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A466E" w14:textId="0075BA55" w:rsidR="003B7B2C" w:rsidRPr="005B09A9" w:rsidRDefault="003B7B2C" w:rsidP="003B7B2C">
      <w:pPr>
        <w:pStyle w:val="Titre"/>
        <w:jc w:val="both"/>
        <w:rPr>
          <w:rFonts w:ascii="Times New Roman" w:hAnsi="Times New Roman" w:cs="Times New Roman"/>
          <w:b w:val="0"/>
        </w:rPr>
      </w:pPr>
      <w:r w:rsidRPr="005B09A9">
        <w:rPr>
          <w:rFonts w:ascii="Times New Roman" w:hAnsi="Times New Roman" w:cs="Times New Roman"/>
          <w:b w:val="0"/>
        </w:rPr>
        <w:t>Title Page</w:t>
      </w:r>
    </w:p>
    <w:p w14:paraId="706CCA9E" w14:textId="77777777" w:rsidR="003B7B2C" w:rsidRPr="005B09A9" w:rsidRDefault="003B7B2C" w:rsidP="003B7B2C">
      <w:pPr>
        <w:spacing w:before="100" w:beforeAutospacing="1" w:after="100" w:afterAutospacing="1" w:line="480" w:lineRule="auto"/>
        <w:jc w:val="left"/>
        <w:rPr>
          <w:rFonts w:ascii="Times New Roman" w:eastAsia="Times New Roman" w:hAnsi="Times New Roman" w:cs="Times New Roman"/>
          <w:sz w:val="24"/>
          <w:szCs w:val="24"/>
          <w:lang w:eastAsia="fr-BE"/>
        </w:rPr>
      </w:pPr>
      <w:r w:rsidRPr="005B09A9">
        <w:rPr>
          <w:rFonts w:ascii="Times New Roman" w:eastAsia="Times New Roman" w:hAnsi="Times New Roman" w:cs="Times New Roman"/>
          <w:sz w:val="24"/>
          <w:szCs w:val="24"/>
          <w:lang w:eastAsia="fr-BE"/>
        </w:rPr>
        <w:t>BIOLOGICAL AND PSYCHOLOGICAL EARLY PROGNOSTIC FACTORS IN COMPLEX REGIONAL PAIN SYNDROME: A SYSTEMATIC REVIEW</w:t>
      </w:r>
    </w:p>
    <w:p w14:paraId="18A5F561" w14:textId="77777777" w:rsidR="003B7B2C" w:rsidRPr="005B09A9" w:rsidRDefault="003B7B2C" w:rsidP="003B7B2C">
      <w:pPr>
        <w:spacing w:before="100" w:beforeAutospacing="1" w:after="100" w:afterAutospacing="1" w:line="480" w:lineRule="auto"/>
        <w:jc w:val="left"/>
        <w:rPr>
          <w:rFonts w:ascii="Times New Roman" w:eastAsia="Times New Roman" w:hAnsi="Times New Roman" w:cs="Times New Roman"/>
          <w:sz w:val="24"/>
          <w:szCs w:val="24"/>
          <w:lang w:eastAsia="fr-BE"/>
        </w:rPr>
      </w:pPr>
      <w:r w:rsidRPr="005B09A9">
        <w:rPr>
          <w:rFonts w:ascii="Times New Roman" w:eastAsia="Times New Roman" w:hAnsi="Times New Roman" w:cs="Times New Roman"/>
          <w:bCs/>
          <w:sz w:val="24"/>
          <w:szCs w:val="24"/>
          <w:lang w:eastAsia="fr-BE"/>
        </w:rPr>
        <w:t>Running head</w:t>
      </w:r>
      <w:r w:rsidRPr="005B09A9">
        <w:rPr>
          <w:rFonts w:ascii="Times New Roman" w:eastAsia="Times New Roman" w:hAnsi="Times New Roman" w:cs="Times New Roman"/>
          <w:sz w:val="24"/>
          <w:szCs w:val="24"/>
          <w:lang w:eastAsia="fr-BE"/>
        </w:rPr>
        <w:t>: Early prognostic factors in CRPS</w:t>
      </w:r>
    </w:p>
    <w:p w14:paraId="31C345F5" w14:textId="77777777" w:rsidR="003B7B2C" w:rsidRPr="005B09A9" w:rsidRDefault="003B7B2C" w:rsidP="003B7B2C">
      <w:pPr>
        <w:spacing w:before="100" w:beforeAutospacing="1" w:after="100" w:afterAutospacing="1" w:line="480" w:lineRule="auto"/>
        <w:rPr>
          <w:rFonts w:ascii="Times New Roman" w:eastAsia="Times New Roman" w:hAnsi="Times New Roman" w:cs="Times New Roman"/>
          <w:sz w:val="24"/>
          <w:szCs w:val="24"/>
          <w:vertAlign w:val="superscript"/>
          <w:lang w:val="fr-FR" w:eastAsia="fr-BE"/>
        </w:rPr>
      </w:pPr>
      <w:r w:rsidRPr="005B09A9">
        <w:rPr>
          <w:rFonts w:ascii="Times New Roman" w:eastAsia="Times New Roman" w:hAnsi="Times New Roman" w:cs="Times New Roman"/>
          <w:sz w:val="24"/>
          <w:szCs w:val="24"/>
          <w:lang w:val="fr-FR" w:eastAsia="fr-BE"/>
        </w:rPr>
        <w:t>Marc-Henri Louis (MD)</w:t>
      </w:r>
      <w:r w:rsidRPr="005B09A9">
        <w:rPr>
          <w:rFonts w:ascii="Times New Roman" w:eastAsia="Times New Roman" w:hAnsi="Times New Roman" w:cs="Times New Roman"/>
          <w:sz w:val="24"/>
          <w:szCs w:val="24"/>
          <w:vertAlign w:val="superscript"/>
          <w:lang w:val="fr-FR" w:eastAsia="fr-BE"/>
        </w:rPr>
        <w:t>1</w:t>
      </w:r>
      <w:r w:rsidRPr="005B09A9">
        <w:rPr>
          <w:rFonts w:ascii="Times New Roman" w:eastAsia="Times New Roman" w:hAnsi="Times New Roman" w:cs="Times New Roman"/>
          <w:sz w:val="24"/>
          <w:szCs w:val="24"/>
          <w:lang w:val="fr-FR" w:eastAsia="fr-BE"/>
        </w:rPr>
        <w:t>, Caroline Meyer (MD)</w:t>
      </w:r>
      <w:r w:rsidRPr="005B09A9">
        <w:rPr>
          <w:rFonts w:ascii="Times New Roman" w:eastAsia="Times New Roman" w:hAnsi="Times New Roman" w:cs="Times New Roman"/>
          <w:sz w:val="24"/>
          <w:szCs w:val="24"/>
          <w:vertAlign w:val="superscript"/>
          <w:lang w:val="fr-FR" w:eastAsia="fr-BE"/>
        </w:rPr>
        <w:t>2</w:t>
      </w:r>
      <w:r w:rsidRPr="005B09A9">
        <w:rPr>
          <w:rFonts w:ascii="Times New Roman" w:eastAsia="Times New Roman" w:hAnsi="Times New Roman" w:cs="Times New Roman"/>
          <w:sz w:val="24"/>
          <w:szCs w:val="24"/>
          <w:lang w:val="fr-FR" w:eastAsia="fr-BE"/>
        </w:rPr>
        <w:t>, Valéry Legrain (PhD)</w:t>
      </w:r>
      <w:r w:rsidRPr="005B09A9">
        <w:rPr>
          <w:rFonts w:ascii="Times New Roman" w:eastAsia="Times New Roman" w:hAnsi="Times New Roman" w:cs="Times New Roman"/>
          <w:sz w:val="24"/>
          <w:szCs w:val="24"/>
          <w:vertAlign w:val="superscript"/>
          <w:lang w:val="fr-FR" w:eastAsia="fr-BE"/>
        </w:rPr>
        <w:t>1, 3, 4</w:t>
      </w:r>
      <w:r w:rsidRPr="005B09A9">
        <w:rPr>
          <w:rFonts w:ascii="Times New Roman" w:eastAsia="Times New Roman" w:hAnsi="Times New Roman" w:cs="Times New Roman"/>
          <w:sz w:val="24"/>
          <w:szCs w:val="24"/>
          <w:lang w:val="fr-FR" w:eastAsia="fr-BE"/>
        </w:rPr>
        <w:t>, Anne Berquin (MD, PhD)</w:t>
      </w:r>
      <w:r w:rsidRPr="005B09A9">
        <w:rPr>
          <w:rFonts w:ascii="Times New Roman" w:eastAsia="Times New Roman" w:hAnsi="Times New Roman" w:cs="Times New Roman"/>
          <w:sz w:val="24"/>
          <w:szCs w:val="24"/>
          <w:vertAlign w:val="superscript"/>
          <w:lang w:val="fr-FR" w:eastAsia="fr-BE"/>
        </w:rPr>
        <w:t>1, 5</w:t>
      </w:r>
    </w:p>
    <w:p w14:paraId="2B5F98EE" w14:textId="77777777" w:rsidR="003B7B2C" w:rsidRPr="005B09A9" w:rsidRDefault="003B7B2C" w:rsidP="00B97BC2">
      <w:pPr>
        <w:spacing w:before="100" w:beforeAutospacing="1" w:after="100" w:afterAutospacing="1" w:line="480" w:lineRule="auto"/>
        <w:jc w:val="left"/>
        <w:rPr>
          <w:rFonts w:ascii="Times New Roman" w:hAnsi="Times New Roman" w:cs="Times New Roman"/>
          <w:sz w:val="24"/>
          <w:szCs w:val="24"/>
          <w:lang w:val="fr-BE"/>
        </w:rPr>
      </w:pPr>
      <w:r w:rsidRPr="005B09A9">
        <w:rPr>
          <w:rFonts w:ascii="Times New Roman" w:hAnsi="Times New Roman" w:cs="Times New Roman"/>
          <w:sz w:val="24"/>
          <w:szCs w:val="24"/>
          <w:lang w:val="fr-BE"/>
        </w:rPr>
        <w:t>1 Institute of Neuroscience, Université catholique de Louvain, Avenue Mounier 53, boîte COSY B1.53.04, 1200, Brussels, Belgium</w:t>
      </w:r>
    </w:p>
    <w:p w14:paraId="0D7A9C89" w14:textId="77777777" w:rsidR="003B7B2C" w:rsidRPr="005B09A9" w:rsidRDefault="003B7B2C" w:rsidP="00B97BC2">
      <w:pPr>
        <w:spacing w:before="100" w:beforeAutospacing="1" w:after="100" w:afterAutospacing="1" w:line="480" w:lineRule="auto"/>
        <w:jc w:val="left"/>
        <w:rPr>
          <w:rFonts w:ascii="Times New Roman" w:hAnsi="Times New Roman" w:cs="Times New Roman"/>
          <w:sz w:val="24"/>
          <w:szCs w:val="24"/>
          <w:lang w:val="en-US"/>
        </w:rPr>
      </w:pPr>
      <w:r w:rsidRPr="005B09A9">
        <w:rPr>
          <w:rFonts w:ascii="Times New Roman" w:hAnsi="Times New Roman" w:cs="Times New Roman"/>
          <w:sz w:val="24"/>
          <w:szCs w:val="24"/>
          <w:lang w:val="en-US"/>
        </w:rPr>
        <w:t>2 CHU UCL Namur site Godinne, department of Physical Medicine and Rehabilitation, B-5530 Yvoir, Belgium.</w:t>
      </w:r>
    </w:p>
    <w:p w14:paraId="33D3DE7B" w14:textId="77777777" w:rsidR="003B7B2C" w:rsidRPr="005B09A9" w:rsidRDefault="003B7B2C" w:rsidP="00053832">
      <w:pPr>
        <w:spacing w:before="100" w:beforeAutospacing="1" w:after="100" w:afterAutospacing="1" w:line="480" w:lineRule="auto"/>
        <w:jc w:val="left"/>
        <w:rPr>
          <w:rFonts w:ascii="Times New Roman" w:hAnsi="Times New Roman" w:cs="Times New Roman"/>
          <w:sz w:val="24"/>
          <w:szCs w:val="24"/>
          <w:lang w:val="fr-BE"/>
        </w:rPr>
      </w:pPr>
      <w:r w:rsidRPr="005B09A9">
        <w:rPr>
          <w:rFonts w:ascii="Times New Roman" w:hAnsi="Times New Roman" w:cs="Times New Roman"/>
          <w:sz w:val="24"/>
          <w:szCs w:val="24"/>
          <w:lang w:val="fr-BE"/>
        </w:rPr>
        <w:t>3 Psychological Sciences Research Institute, Université catholique de Louvain, Louvain-la-Neuve, Belgium </w:t>
      </w:r>
    </w:p>
    <w:p w14:paraId="620ADCB0" w14:textId="77777777" w:rsidR="003B7B2C" w:rsidRPr="005B09A9" w:rsidRDefault="003B7B2C" w:rsidP="00053832">
      <w:pPr>
        <w:spacing w:before="100" w:beforeAutospacing="1" w:after="100" w:afterAutospacing="1" w:line="480" w:lineRule="auto"/>
        <w:jc w:val="left"/>
        <w:rPr>
          <w:rFonts w:ascii="Times New Roman" w:hAnsi="Times New Roman" w:cs="Times New Roman"/>
          <w:sz w:val="24"/>
          <w:szCs w:val="24"/>
          <w:lang w:val="fr-BE"/>
        </w:rPr>
      </w:pPr>
      <w:r w:rsidRPr="005B09A9">
        <w:rPr>
          <w:rFonts w:ascii="Times New Roman" w:hAnsi="Times New Roman" w:cs="Times New Roman"/>
          <w:sz w:val="24"/>
          <w:szCs w:val="24"/>
          <w:lang w:val="fr-BE"/>
        </w:rPr>
        <w:t>4 Louvain Bionics, Université catholique de Louvain, Louvain-la-Neuve, Belgium</w:t>
      </w:r>
    </w:p>
    <w:p w14:paraId="55C13B21" w14:textId="2FDA7E63" w:rsidR="003B7B2C" w:rsidRPr="005B09A9" w:rsidRDefault="00B97BC2" w:rsidP="00B97BC2">
      <w:pPr>
        <w:spacing w:before="100" w:beforeAutospacing="1" w:after="100" w:afterAutospacing="1" w:line="480" w:lineRule="auto"/>
        <w:jc w:val="left"/>
        <w:rPr>
          <w:rFonts w:ascii="Times New Roman" w:hAnsi="Times New Roman" w:cs="Times New Roman"/>
          <w:sz w:val="24"/>
          <w:szCs w:val="24"/>
          <w:lang w:val="fr-BE"/>
        </w:rPr>
      </w:pPr>
      <w:r w:rsidRPr="005B09A9">
        <w:rPr>
          <w:rFonts w:ascii="Times New Roman" w:hAnsi="Times New Roman" w:cs="Times New Roman"/>
          <w:sz w:val="24"/>
          <w:szCs w:val="24"/>
          <w:lang w:val="fr-BE"/>
        </w:rPr>
        <w:t xml:space="preserve">5 </w:t>
      </w:r>
      <w:r w:rsidR="003B7B2C" w:rsidRPr="005B09A9">
        <w:rPr>
          <w:rFonts w:ascii="Times New Roman" w:hAnsi="Times New Roman" w:cs="Times New Roman"/>
          <w:sz w:val="24"/>
          <w:szCs w:val="24"/>
          <w:lang w:val="fr-BE"/>
        </w:rPr>
        <w:t xml:space="preserve">Cliniques Universitaires UCL Saint-Luc, department of Physical and Rehabilitation Medicine, avenue Hippocrate 10/1650, B-1200 Brussels, Belgium. </w:t>
      </w:r>
    </w:p>
    <w:p w14:paraId="7106501B" w14:textId="1705E7EE" w:rsidR="003B7B2C" w:rsidRPr="005B09A9" w:rsidRDefault="003B7B2C" w:rsidP="00B97BC2">
      <w:pPr>
        <w:spacing w:before="100" w:beforeAutospacing="1" w:after="100" w:afterAutospacing="1" w:line="480" w:lineRule="auto"/>
        <w:jc w:val="left"/>
        <w:rPr>
          <w:rStyle w:val="Lienhypertexte"/>
          <w:rFonts w:ascii="Times New Roman" w:hAnsi="Times New Roman" w:cs="Times New Roman"/>
          <w:color w:val="auto"/>
          <w:sz w:val="24"/>
          <w:szCs w:val="24"/>
          <w:lang w:val="fr-BE"/>
        </w:rPr>
      </w:pPr>
      <w:r w:rsidRPr="005B09A9">
        <w:rPr>
          <w:rFonts w:ascii="Times New Roman" w:hAnsi="Times New Roman" w:cs="Times New Roman"/>
          <w:sz w:val="24"/>
          <w:szCs w:val="24"/>
          <w:lang w:val="fr-BE"/>
        </w:rPr>
        <w:t xml:space="preserve">Corresponding author: Marc-Henri Louis, Avenue Mounier 53, boîte COSY B1.53.04, 1200, Brussels, Belgium, +32 2 764 54 89, </w:t>
      </w:r>
      <w:hyperlink r:id="rId8" w:history="1">
        <w:r w:rsidRPr="005B09A9">
          <w:rPr>
            <w:rStyle w:val="Lienhypertexte"/>
            <w:rFonts w:ascii="Times New Roman" w:hAnsi="Times New Roman" w:cs="Times New Roman"/>
            <w:color w:val="auto"/>
            <w:sz w:val="24"/>
            <w:szCs w:val="24"/>
            <w:lang w:val="fr-BE"/>
          </w:rPr>
          <w:t>marc-henri.louis@uclouvain.be</w:t>
        </w:r>
      </w:hyperlink>
    </w:p>
    <w:p w14:paraId="589F596B" w14:textId="11A7DB65" w:rsidR="00053832" w:rsidRPr="005B09A9" w:rsidRDefault="00053832" w:rsidP="00B97BC2">
      <w:pPr>
        <w:spacing w:before="100" w:beforeAutospacing="1" w:after="100" w:afterAutospacing="1" w:line="480" w:lineRule="auto"/>
        <w:jc w:val="left"/>
        <w:rPr>
          <w:rFonts w:ascii="Times New Roman" w:hAnsi="Times New Roman" w:cs="Times New Roman"/>
          <w:sz w:val="24"/>
          <w:szCs w:val="24"/>
          <w:lang w:val="en-US"/>
        </w:rPr>
      </w:pPr>
      <w:r w:rsidRPr="005B09A9">
        <w:rPr>
          <w:rFonts w:ascii="Times New Roman" w:hAnsi="Times New Roman" w:cs="Times New Roman"/>
          <w:sz w:val="24"/>
          <w:szCs w:val="24"/>
          <w:lang w:val="en-US"/>
        </w:rPr>
        <w:t>Category</w:t>
      </w:r>
      <w:r w:rsidRPr="005B09A9">
        <w:rPr>
          <w:lang w:val="en-US"/>
        </w:rPr>
        <w:t>:</w:t>
      </w:r>
      <w:r w:rsidRPr="005B09A9">
        <w:rPr>
          <w:rFonts w:ascii="Times New Roman" w:hAnsi="Times New Roman" w:cs="Times New Roman"/>
          <w:sz w:val="24"/>
          <w:szCs w:val="24"/>
          <w:lang w:val="en-US"/>
        </w:rPr>
        <w:t xml:space="preserve"> review.</w:t>
      </w:r>
    </w:p>
    <w:p w14:paraId="2023A811" w14:textId="21D601FB" w:rsidR="00053832" w:rsidRPr="005B09A9" w:rsidRDefault="00053832" w:rsidP="00053832">
      <w:pPr>
        <w:spacing w:before="100" w:beforeAutospacing="1" w:after="100" w:afterAutospacing="1" w:line="480" w:lineRule="auto"/>
        <w:jc w:val="left"/>
        <w:rPr>
          <w:rFonts w:ascii="Times New Roman" w:hAnsi="Times New Roman" w:cs="Times New Roman"/>
          <w:sz w:val="24"/>
          <w:szCs w:val="24"/>
        </w:rPr>
      </w:pPr>
      <w:r w:rsidRPr="005B09A9">
        <w:rPr>
          <w:rFonts w:ascii="Times New Roman" w:hAnsi="Times New Roman" w:cs="Times New Roman"/>
          <w:sz w:val="24"/>
          <w:szCs w:val="24"/>
          <w:lang w:val="en-US"/>
        </w:rPr>
        <w:t xml:space="preserve">Competing interest: </w:t>
      </w:r>
      <w:r w:rsidRPr="005B09A9">
        <w:rPr>
          <w:rFonts w:ascii="Times New Roman" w:eastAsia="Times New Roman" w:hAnsi="Times New Roman" w:cs="Times New Roman"/>
          <w:sz w:val="24"/>
          <w:szCs w:val="24"/>
          <w:lang w:val="en-US" w:eastAsia="fr-BE"/>
        </w:rPr>
        <w:t>the authors declare that they have no competing interest.</w:t>
      </w:r>
    </w:p>
    <w:p w14:paraId="1A1942F4" w14:textId="53CB410A" w:rsidR="00053832" w:rsidRPr="005B09A9" w:rsidRDefault="00053832" w:rsidP="00B64691">
      <w:pPr>
        <w:pStyle w:val="NormalWeb"/>
        <w:spacing w:line="480" w:lineRule="auto"/>
        <w:rPr>
          <w:lang w:val="en-US"/>
        </w:rPr>
      </w:pPr>
      <w:r w:rsidRPr="005B09A9">
        <w:rPr>
          <w:rFonts w:eastAsiaTheme="minorHAnsi"/>
          <w:lang w:val="en-US" w:eastAsia="en-US"/>
        </w:rPr>
        <w:lastRenderedPageBreak/>
        <w:t>Funding support</w:t>
      </w:r>
      <w:r w:rsidRPr="005B09A9">
        <w:rPr>
          <w:lang w:val="en-US"/>
        </w:rPr>
        <w:t>: MHL is supported by a grant from the Fondation Saint-Luc [grant number: 326E]. This research did not receive any other specific grant from funding agencies in the public, commercial, or not-for-profit sectors. VL is supported by the Funds for Scientific Research of the French-speaking Community of Belgium (F.R.S.-FNRS).</w:t>
      </w:r>
    </w:p>
    <w:p w14:paraId="1F2D73AE" w14:textId="130F558B" w:rsidR="00952409" w:rsidRPr="005B09A9" w:rsidRDefault="00952409" w:rsidP="00B64691">
      <w:pPr>
        <w:pStyle w:val="NormalWeb"/>
        <w:spacing w:line="480" w:lineRule="auto"/>
        <w:rPr>
          <w:lang w:val="en-US"/>
        </w:rPr>
      </w:pPr>
      <w:r w:rsidRPr="005B09A9">
        <w:rPr>
          <w:rFonts w:eastAsiaTheme="minorHAnsi"/>
          <w:lang w:val="en-US" w:eastAsia="en-US"/>
        </w:rPr>
        <w:t>Significance</w:t>
      </w:r>
      <w:r w:rsidRPr="005B09A9">
        <w:rPr>
          <w:lang w:val="en-US"/>
        </w:rPr>
        <w:t>: This systematic review highlights the lack of knowledge about early prognostic factors in CRPS. A</w:t>
      </w:r>
      <w:r w:rsidR="00B64691" w:rsidRPr="005B09A9">
        <w:rPr>
          <w:lang w:val="en-US"/>
        </w:rPr>
        <w:t xml:space="preserve"> </w:t>
      </w:r>
      <w:r w:rsidRPr="005B09A9">
        <w:rPr>
          <w:lang w:val="en-US"/>
        </w:rPr>
        <w:t>few putative prognostic factors were identified. Most of the moderate evidence is related to a single cohort. Future research is required to find out which patients are vulnerable to chronification.</w:t>
      </w:r>
    </w:p>
    <w:p w14:paraId="77C2ACDE" w14:textId="66165E97" w:rsidR="003B7B2C" w:rsidRPr="005B09A9" w:rsidRDefault="003B7B2C" w:rsidP="00350C47">
      <w:pPr>
        <w:pStyle w:val="NormalWeb"/>
        <w:spacing w:line="480" w:lineRule="auto"/>
        <w:rPr>
          <w:rFonts w:eastAsia="Calibri"/>
          <w:lang w:val="en-US"/>
        </w:rPr>
      </w:pPr>
    </w:p>
    <w:p w14:paraId="4E45080D" w14:textId="77777777" w:rsidR="00350C47" w:rsidRPr="005B09A9" w:rsidRDefault="00350C47">
      <w:pPr>
        <w:spacing w:line="259" w:lineRule="auto"/>
        <w:jc w:val="left"/>
        <w:rPr>
          <w:rFonts w:ascii="Times New Roman" w:eastAsiaTheme="majorEastAsia" w:hAnsi="Times New Roman" w:cs="Times New Roman"/>
          <w:spacing w:val="-10"/>
          <w:kern w:val="28"/>
          <w:sz w:val="32"/>
          <w:szCs w:val="56"/>
          <w:u w:val="single"/>
        </w:rPr>
      </w:pPr>
      <w:r w:rsidRPr="005B09A9">
        <w:rPr>
          <w:rFonts w:ascii="Times New Roman" w:hAnsi="Times New Roman" w:cs="Times New Roman"/>
        </w:rPr>
        <w:br w:type="page"/>
      </w:r>
    </w:p>
    <w:p w14:paraId="62BDF26C" w14:textId="6CFA02A9" w:rsidR="007D536E" w:rsidRPr="005B09A9" w:rsidRDefault="007D536E" w:rsidP="003B7B2C">
      <w:pPr>
        <w:pStyle w:val="Titre"/>
        <w:spacing w:line="480" w:lineRule="auto"/>
        <w:jc w:val="both"/>
        <w:rPr>
          <w:rFonts w:ascii="Times New Roman" w:hAnsi="Times New Roman" w:cs="Times New Roman"/>
          <w:b w:val="0"/>
        </w:rPr>
      </w:pPr>
      <w:r w:rsidRPr="005B09A9">
        <w:rPr>
          <w:rFonts w:ascii="Times New Roman" w:hAnsi="Times New Roman" w:cs="Times New Roman"/>
          <w:b w:val="0"/>
        </w:rPr>
        <w:lastRenderedPageBreak/>
        <w:t>Abstract</w:t>
      </w:r>
    </w:p>
    <w:p w14:paraId="432A7137" w14:textId="31BA296A" w:rsidR="00371F71" w:rsidRPr="005B09A9" w:rsidRDefault="00350C47" w:rsidP="003B7B2C">
      <w:pPr>
        <w:spacing w:line="480" w:lineRule="auto"/>
        <w:jc w:val="left"/>
        <w:rPr>
          <w:rFonts w:ascii="Times New Roman" w:hAnsi="Times New Roman" w:cs="Times New Roman"/>
          <w:sz w:val="24"/>
          <w:szCs w:val="24"/>
        </w:rPr>
      </w:pPr>
      <w:r w:rsidRPr="005B09A9">
        <w:rPr>
          <w:rFonts w:ascii="Times New Roman" w:hAnsi="Times New Roman" w:cs="Times New Roman"/>
          <w:bCs/>
          <w:sz w:val="24"/>
          <w:szCs w:val="24"/>
        </w:rPr>
        <w:t xml:space="preserve">Background and Objective: </w:t>
      </w:r>
      <w:r w:rsidR="00952409" w:rsidRPr="005B09A9">
        <w:rPr>
          <w:rFonts w:ascii="Times New Roman" w:hAnsi="Times New Roman" w:cs="Times New Roman"/>
          <w:sz w:val="24"/>
          <w:szCs w:val="24"/>
        </w:rPr>
        <w:t>Several risk factors for the onset of CRPS have been found, but evidence for prognostic factors associated with progression of this condition remains sparse. However, detection and management of these factors are necessary to design secondary prevention strategies. The objective of this systematic review was to identify prognostic factors in adult individuals with early CRPS.</w:t>
      </w:r>
    </w:p>
    <w:p w14:paraId="48A6ABF3" w14:textId="6005A40F" w:rsidR="00371F71" w:rsidRPr="005B09A9" w:rsidRDefault="00534A0B"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Database and Data Treatment</w:t>
      </w:r>
      <w:r w:rsidR="009025A8" w:rsidRPr="005B09A9">
        <w:rPr>
          <w:rFonts w:ascii="Times New Roman" w:hAnsi="Times New Roman" w:cs="Times New Roman"/>
          <w:sz w:val="24"/>
          <w:szCs w:val="24"/>
        </w:rPr>
        <w:t>:</w:t>
      </w:r>
      <w:r w:rsidR="007D536E" w:rsidRPr="005B09A9">
        <w:rPr>
          <w:rFonts w:ascii="Times New Roman" w:hAnsi="Times New Roman" w:cs="Times New Roman"/>
          <w:sz w:val="24"/>
          <w:szCs w:val="24"/>
        </w:rPr>
        <w:t xml:space="preserve"> PubMed, Embase, PsycINFO, Cochrane Library, and Scopus,</w:t>
      </w:r>
      <w:r w:rsidR="007D536E" w:rsidRPr="005B09A9">
        <w:rPr>
          <w:rFonts w:ascii="Times New Roman" w:hAnsi="Times New Roman" w:cs="Times New Roman"/>
          <w:i/>
          <w:iCs/>
          <w:sz w:val="24"/>
          <w:szCs w:val="24"/>
        </w:rPr>
        <w:t xml:space="preserve"> </w:t>
      </w:r>
      <w:r w:rsidR="007D536E" w:rsidRPr="005B09A9">
        <w:rPr>
          <w:rFonts w:ascii="Times New Roman" w:eastAsia="Times New Roman" w:hAnsi="Times New Roman" w:cs="Times New Roman"/>
          <w:sz w:val="24"/>
          <w:szCs w:val="24"/>
          <w:lang w:eastAsia="fr-BE"/>
        </w:rPr>
        <w:t xml:space="preserve">published </w:t>
      </w:r>
      <w:r w:rsidR="007D536E" w:rsidRPr="005B09A9">
        <w:rPr>
          <w:rFonts w:ascii="Times New Roman" w:hAnsi="Times New Roman" w:cs="Times New Roman"/>
          <w:sz w:val="24"/>
          <w:szCs w:val="24"/>
        </w:rPr>
        <w:t xml:space="preserve">between Jan 1990 and Nov 2021. </w:t>
      </w:r>
      <w:r w:rsidR="007D536E" w:rsidRPr="005B09A9">
        <w:rPr>
          <w:rFonts w:ascii="Times New Roman" w:hAnsi="Times New Roman" w:cs="Times New Roman"/>
          <w:bCs/>
          <w:sz w:val="24"/>
          <w:szCs w:val="24"/>
        </w:rPr>
        <w:t>Two</w:t>
      </w:r>
      <w:r w:rsidR="007D536E" w:rsidRPr="005B09A9">
        <w:rPr>
          <w:rFonts w:ascii="Times New Roman" w:hAnsi="Times New Roman" w:cs="Times New Roman"/>
          <w:sz w:val="24"/>
          <w:szCs w:val="24"/>
        </w:rPr>
        <w:t xml:space="preserve"> </w:t>
      </w:r>
      <w:r w:rsidR="007D536E" w:rsidRPr="005B09A9">
        <w:rPr>
          <w:rFonts w:ascii="Times New Roman" w:eastAsia="Times New Roman" w:hAnsi="Times New Roman" w:cs="Times New Roman"/>
          <w:sz w:val="24"/>
          <w:szCs w:val="24"/>
          <w:lang w:eastAsia="fr-BE"/>
        </w:rPr>
        <w:t xml:space="preserve">independent </w:t>
      </w:r>
      <w:r w:rsidR="00E5165B" w:rsidRPr="005B09A9">
        <w:rPr>
          <w:rFonts w:ascii="Times New Roman" w:eastAsia="Times New Roman" w:hAnsi="Times New Roman" w:cs="Times New Roman"/>
          <w:sz w:val="24"/>
          <w:szCs w:val="24"/>
          <w:lang w:eastAsia="fr-BE"/>
        </w:rPr>
        <w:t>investigators</w:t>
      </w:r>
      <w:r w:rsidR="007D536E" w:rsidRPr="005B09A9">
        <w:rPr>
          <w:rFonts w:ascii="Times New Roman" w:eastAsia="Times New Roman" w:hAnsi="Times New Roman" w:cs="Times New Roman"/>
          <w:sz w:val="24"/>
          <w:szCs w:val="24"/>
          <w:lang w:eastAsia="fr-BE"/>
        </w:rPr>
        <w:t xml:space="preserve"> selected </w:t>
      </w:r>
      <w:r w:rsidR="007D536E" w:rsidRPr="005B09A9">
        <w:rPr>
          <w:rFonts w:ascii="Times New Roman" w:hAnsi="Times New Roman" w:cs="Times New Roman"/>
          <w:sz w:val="24"/>
          <w:szCs w:val="24"/>
        </w:rPr>
        <w:t>cross-sectional and longitudinal studies looking at early (&lt;12 weeks from onset) prognostic factors for p</w:t>
      </w:r>
      <w:r w:rsidR="007D536E" w:rsidRPr="005B09A9">
        <w:rPr>
          <w:rFonts w:ascii="Times New Roman" w:eastAsia="Times New Roman" w:hAnsi="Times New Roman" w:cs="Times New Roman"/>
          <w:sz w:val="24"/>
          <w:szCs w:val="24"/>
          <w:lang w:eastAsia="fr-BE"/>
        </w:rPr>
        <w:t xml:space="preserve">ain, CRPS severity score, disability, return to work, </w:t>
      </w:r>
      <w:r w:rsidR="007D536E" w:rsidRPr="005B09A9">
        <w:rPr>
          <w:rFonts w:ascii="Times New Roman" w:eastAsia="Times New Roman" w:hAnsi="Times New Roman" w:cs="Times New Roman"/>
          <w:bCs/>
          <w:sz w:val="24"/>
          <w:szCs w:val="24"/>
          <w:lang w:eastAsia="fr-BE"/>
        </w:rPr>
        <w:t>or</w:t>
      </w:r>
      <w:r w:rsidR="007D536E" w:rsidRPr="005B09A9">
        <w:rPr>
          <w:rFonts w:ascii="Times New Roman" w:eastAsia="Times New Roman" w:hAnsi="Times New Roman" w:cs="Times New Roman"/>
          <w:sz w:val="24"/>
          <w:szCs w:val="24"/>
          <w:lang w:eastAsia="fr-BE"/>
        </w:rPr>
        <w:t xml:space="preserve"> Quality of life. </w:t>
      </w:r>
      <w:r w:rsidR="007D536E" w:rsidRPr="005B09A9">
        <w:rPr>
          <w:rFonts w:ascii="Times New Roman" w:hAnsi="Times New Roman" w:cs="Times New Roman"/>
          <w:sz w:val="24"/>
          <w:szCs w:val="24"/>
        </w:rPr>
        <w:t xml:space="preserve">The Quality In Prognostic Studies (QUIPS) tool was used to assess the risk of bias. </w:t>
      </w:r>
      <w:r w:rsidR="0062559E" w:rsidRPr="005B09A9">
        <w:rPr>
          <w:rFonts w:ascii="Times New Roman" w:hAnsi="Times New Roman" w:cs="Times New Roman"/>
          <w:sz w:val="24"/>
          <w:szCs w:val="24"/>
        </w:rPr>
        <w:t>A qualitative meta-synthesis was performed.</w:t>
      </w:r>
    </w:p>
    <w:p w14:paraId="5BDF3E07" w14:textId="6FACDCAA" w:rsidR="00371F71" w:rsidRPr="005B09A9" w:rsidRDefault="006E7124" w:rsidP="003B7B2C">
      <w:pPr>
        <w:spacing w:line="480" w:lineRule="auto"/>
        <w:jc w:val="left"/>
        <w:rPr>
          <w:rFonts w:ascii="Times New Roman" w:hAnsi="Times New Roman" w:cs="Times New Roman"/>
          <w:sz w:val="24"/>
          <w:szCs w:val="24"/>
        </w:rPr>
      </w:pPr>
      <w:r w:rsidRPr="005B09A9">
        <w:rPr>
          <w:rFonts w:ascii="Times New Roman" w:hAnsi="Times New Roman" w:cs="Times New Roman"/>
          <w:bCs/>
          <w:sz w:val="24"/>
          <w:szCs w:val="24"/>
        </w:rPr>
        <w:t>Results</w:t>
      </w:r>
      <w:r w:rsidR="007D536E" w:rsidRPr="005B09A9">
        <w:rPr>
          <w:rFonts w:ascii="Times New Roman" w:hAnsi="Times New Roman" w:cs="Times New Roman"/>
          <w:sz w:val="24"/>
          <w:szCs w:val="24"/>
        </w:rPr>
        <w:t xml:space="preserve">: </w:t>
      </w:r>
      <w:r w:rsidR="007D536E" w:rsidRPr="005B09A9">
        <w:rPr>
          <w:rFonts w:ascii="Times New Roman" w:eastAsia="Times New Roman" w:hAnsi="Times New Roman" w:cs="Times New Roman"/>
          <w:sz w:val="24"/>
          <w:szCs w:val="24"/>
          <w:lang w:eastAsia="fr-BE"/>
        </w:rPr>
        <w:t xml:space="preserve">Out of 4,652 different articles, </w:t>
      </w:r>
      <w:r w:rsidR="0073403C" w:rsidRPr="005B09A9">
        <w:rPr>
          <w:rFonts w:ascii="Times New Roman" w:eastAsia="Times New Roman" w:hAnsi="Times New Roman" w:cs="Times New Roman"/>
          <w:sz w:val="24"/>
          <w:szCs w:val="24"/>
          <w:lang w:eastAsia="fr-BE"/>
        </w:rPr>
        <w:t>six</w:t>
      </w:r>
      <w:r w:rsidR="007D536E" w:rsidRPr="005B09A9">
        <w:rPr>
          <w:rFonts w:ascii="Times New Roman" w:eastAsia="Times New Roman" w:hAnsi="Times New Roman" w:cs="Times New Roman"/>
          <w:sz w:val="24"/>
          <w:szCs w:val="24"/>
          <w:lang w:eastAsia="fr-BE"/>
        </w:rPr>
        <w:t xml:space="preserve"> </w:t>
      </w:r>
      <w:r w:rsidR="00C6032F" w:rsidRPr="005B09A9">
        <w:rPr>
          <w:rFonts w:ascii="Times New Roman" w:eastAsia="Times New Roman" w:hAnsi="Times New Roman" w:cs="Times New Roman"/>
          <w:sz w:val="24"/>
          <w:szCs w:val="24"/>
          <w:lang w:eastAsia="fr-BE"/>
        </w:rPr>
        <w:t xml:space="preserve">studies met inclusion criteria. We identified 21 early </w:t>
      </w:r>
      <w:r w:rsidR="00C6032F" w:rsidRPr="005B09A9">
        <w:rPr>
          <w:rFonts w:ascii="Times New Roman" w:hAnsi="Times New Roman" w:cs="Times New Roman"/>
          <w:iCs/>
          <w:sz w:val="24"/>
          <w:szCs w:val="24"/>
          <w:lang w:val="en-US"/>
        </w:rPr>
        <w:t>factors associated with poorer prognosis in type I CRPS</w:t>
      </w:r>
      <w:r w:rsidR="00C6032F" w:rsidRPr="005B09A9">
        <w:rPr>
          <w:rFonts w:ascii="Times New Roman" w:eastAsia="Times New Roman" w:hAnsi="Times New Roman" w:cs="Times New Roman"/>
          <w:sz w:val="24"/>
          <w:szCs w:val="24"/>
          <w:lang w:eastAsia="fr-BE"/>
        </w:rPr>
        <w:t xml:space="preserve">. </w:t>
      </w:r>
      <w:r w:rsidR="00C6032F" w:rsidRPr="005B09A9">
        <w:rPr>
          <w:rFonts w:ascii="Times New Roman" w:hAnsi="Times New Roman" w:cs="Times New Roman"/>
          <w:sz w:val="24"/>
          <w:szCs w:val="24"/>
          <w:lang w:val="en-US"/>
        </w:rPr>
        <w:t>W</w:t>
      </w:r>
      <w:r w:rsidR="0034088F" w:rsidRPr="005B09A9">
        <w:rPr>
          <w:rFonts w:ascii="Times New Roman" w:hAnsi="Times New Roman" w:cs="Times New Roman"/>
          <w:iCs/>
          <w:sz w:val="24"/>
          <w:szCs w:val="24"/>
        </w:rPr>
        <w:t xml:space="preserve">e found moderate evidence </w:t>
      </w:r>
      <w:r w:rsidR="00C6032F" w:rsidRPr="005B09A9">
        <w:rPr>
          <w:rFonts w:ascii="Times New Roman" w:hAnsi="Times New Roman" w:cs="Times New Roman"/>
          <w:iCs/>
          <w:sz w:val="24"/>
          <w:szCs w:val="24"/>
        </w:rPr>
        <w:t>to support six of them:</w:t>
      </w:r>
      <w:r w:rsidR="0034088F" w:rsidRPr="005B09A9">
        <w:rPr>
          <w:rFonts w:ascii="Times New Roman" w:hAnsi="Times New Roman" w:cs="Times New Roman"/>
          <w:iCs/>
          <w:sz w:val="24"/>
          <w:szCs w:val="24"/>
        </w:rPr>
        <w:t xml:space="preserve"> higher pain intensity, self-rated disability, anxiety, pain-related fear, </w:t>
      </w:r>
      <w:r w:rsidR="007B385B" w:rsidRPr="005B09A9">
        <w:rPr>
          <w:rFonts w:ascii="Times New Roman" w:hAnsi="Times New Roman" w:cs="Times New Roman"/>
          <w:iCs/>
          <w:sz w:val="24"/>
          <w:szCs w:val="24"/>
        </w:rPr>
        <w:t>being a female</w:t>
      </w:r>
      <w:r w:rsidR="0034088F" w:rsidRPr="005B09A9">
        <w:rPr>
          <w:rFonts w:ascii="Times New Roman" w:hAnsi="Times New Roman" w:cs="Times New Roman"/>
          <w:iCs/>
          <w:sz w:val="24"/>
          <w:szCs w:val="24"/>
        </w:rPr>
        <w:t>, and high-energy triggering event.</w:t>
      </w:r>
      <w:r w:rsidR="007D536E" w:rsidRPr="005B09A9">
        <w:rPr>
          <w:rFonts w:ascii="Times New Roman" w:eastAsia="Times New Roman" w:hAnsi="Times New Roman" w:cs="Times New Roman"/>
          <w:sz w:val="24"/>
          <w:szCs w:val="24"/>
          <w:lang w:eastAsia="fr-BE"/>
        </w:rPr>
        <w:t xml:space="preserve">  Only </w:t>
      </w:r>
      <w:r w:rsidR="00112862" w:rsidRPr="005B09A9">
        <w:rPr>
          <w:rFonts w:ascii="Times New Roman" w:eastAsia="Times New Roman" w:hAnsi="Times New Roman" w:cs="Times New Roman"/>
          <w:sz w:val="24"/>
          <w:szCs w:val="24"/>
          <w:lang w:eastAsia="fr-BE"/>
        </w:rPr>
        <w:t>two</w:t>
      </w:r>
      <w:r w:rsidR="007D536E" w:rsidRPr="005B09A9">
        <w:rPr>
          <w:rFonts w:ascii="Times New Roman" w:eastAsia="Times New Roman" w:hAnsi="Times New Roman" w:cs="Times New Roman"/>
          <w:sz w:val="24"/>
          <w:szCs w:val="24"/>
          <w:lang w:eastAsia="fr-BE"/>
        </w:rPr>
        <w:t xml:space="preserve"> studies had an overall low risk of bias. </w:t>
      </w:r>
    </w:p>
    <w:p w14:paraId="66488818" w14:textId="1B9DA798" w:rsidR="007D536E" w:rsidRPr="005B09A9" w:rsidRDefault="006E7124" w:rsidP="003B7B2C">
      <w:pPr>
        <w:spacing w:line="480" w:lineRule="auto"/>
        <w:jc w:val="left"/>
        <w:rPr>
          <w:rFonts w:ascii="Times New Roman" w:hAnsi="Times New Roman" w:cs="Times New Roman"/>
          <w:sz w:val="24"/>
          <w:szCs w:val="24"/>
        </w:rPr>
      </w:pPr>
      <w:r w:rsidRPr="005B09A9">
        <w:rPr>
          <w:rFonts w:ascii="Times New Roman" w:hAnsi="Times New Roman" w:cs="Times New Roman"/>
          <w:bCs/>
          <w:sz w:val="24"/>
          <w:szCs w:val="24"/>
        </w:rPr>
        <w:t>Conclusions</w:t>
      </w:r>
      <w:r w:rsidR="007D536E" w:rsidRPr="005B09A9">
        <w:rPr>
          <w:rFonts w:ascii="Times New Roman" w:hAnsi="Times New Roman" w:cs="Times New Roman"/>
          <w:sz w:val="24"/>
          <w:szCs w:val="24"/>
        </w:rPr>
        <w:t xml:space="preserve">: This study showed an important lack of information on early prognostic factors in CRPS. </w:t>
      </w:r>
      <w:r w:rsidR="007D536E" w:rsidRPr="005B09A9">
        <w:rPr>
          <w:rFonts w:ascii="Times New Roman" w:eastAsia="Calibri" w:hAnsi="Times New Roman" w:cs="Times New Roman"/>
          <w:sz w:val="24"/>
          <w:szCs w:val="24"/>
        </w:rPr>
        <w:t>Only one article investigated the</w:t>
      </w:r>
      <w:r w:rsidR="007D536E" w:rsidRPr="005B09A9">
        <w:rPr>
          <w:rFonts w:ascii="Times New Roman" w:hAnsi="Times New Roman" w:cs="Times New Roman"/>
          <w:sz w:val="24"/>
          <w:szCs w:val="24"/>
        </w:rPr>
        <w:t xml:space="preserve"> link with psychological characteristics. There is a crucial need of larger studies, with well-defined population using validated measures.</w:t>
      </w:r>
    </w:p>
    <w:p w14:paraId="7C7E7648" w14:textId="30D2B2AF" w:rsidR="00B03916" w:rsidRPr="005B09A9" w:rsidRDefault="0089642F" w:rsidP="003B7B2C">
      <w:pPr>
        <w:spacing w:line="480" w:lineRule="auto"/>
        <w:jc w:val="left"/>
        <w:rPr>
          <w:rFonts w:ascii="Times New Roman" w:hAnsi="Times New Roman" w:cs="Times New Roman"/>
          <w:sz w:val="24"/>
          <w:szCs w:val="24"/>
          <w:lang w:val="en-US"/>
        </w:rPr>
      </w:pPr>
      <w:r w:rsidRPr="005B09A9">
        <w:rPr>
          <w:rFonts w:ascii="Times New Roman" w:hAnsi="Times New Roman" w:cs="Times New Roman"/>
          <w:bCs/>
          <w:sz w:val="24"/>
          <w:szCs w:val="24"/>
          <w:lang w:val="en-US"/>
        </w:rPr>
        <w:t>Keywords</w:t>
      </w:r>
      <w:r w:rsidRPr="005B09A9">
        <w:rPr>
          <w:rFonts w:ascii="Times New Roman" w:hAnsi="Times New Roman" w:cs="Times New Roman"/>
          <w:sz w:val="24"/>
          <w:szCs w:val="24"/>
          <w:lang w:val="en-US"/>
        </w:rPr>
        <w:t>: Complex regional pain syndromes; prognosis; systematic review</w:t>
      </w:r>
      <w:r w:rsidR="00A043E3" w:rsidRPr="005B09A9">
        <w:rPr>
          <w:rFonts w:ascii="Times New Roman" w:hAnsi="Times New Roman" w:cs="Times New Roman"/>
          <w:sz w:val="24"/>
          <w:szCs w:val="24"/>
          <w:lang w:val="en-US"/>
        </w:rPr>
        <w:t>; chronification; early prognostic factors</w:t>
      </w:r>
      <w:r w:rsidR="00B03916" w:rsidRPr="005B09A9">
        <w:rPr>
          <w:rFonts w:ascii="Times New Roman" w:hAnsi="Times New Roman" w:cs="Times New Roman"/>
          <w:szCs w:val="24"/>
        </w:rPr>
        <w:br w:type="page"/>
      </w:r>
    </w:p>
    <w:p w14:paraId="16F841E9" w14:textId="3C46BEE9" w:rsidR="00DA562B" w:rsidRPr="005B09A9" w:rsidRDefault="003B7B2C" w:rsidP="003B7B2C">
      <w:pPr>
        <w:pStyle w:val="Titre"/>
        <w:spacing w:line="480" w:lineRule="auto"/>
        <w:jc w:val="both"/>
        <w:rPr>
          <w:rFonts w:ascii="Times New Roman" w:hAnsi="Times New Roman" w:cs="Times New Roman"/>
          <w:b w:val="0"/>
        </w:rPr>
      </w:pPr>
      <w:r w:rsidRPr="005B09A9">
        <w:rPr>
          <w:rFonts w:ascii="Times New Roman" w:hAnsi="Times New Roman" w:cs="Times New Roman"/>
          <w:b w:val="0"/>
        </w:rPr>
        <w:lastRenderedPageBreak/>
        <w:t xml:space="preserve">Main </w:t>
      </w:r>
      <w:r w:rsidR="00DA562B" w:rsidRPr="005B09A9">
        <w:rPr>
          <w:rFonts w:ascii="Times New Roman" w:hAnsi="Times New Roman" w:cs="Times New Roman"/>
          <w:b w:val="0"/>
        </w:rPr>
        <w:t>Text</w:t>
      </w:r>
    </w:p>
    <w:p w14:paraId="3656C191" w14:textId="210260BC" w:rsidR="00836351" w:rsidRPr="005B09A9" w:rsidRDefault="00320156" w:rsidP="003B7B2C">
      <w:pPr>
        <w:pStyle w:val="Sous-titre"/>
        <w:spacing w:line="480" w:lineRule="auto"/>
        <w:jc w:val="left"/>
        <w:rPr>
          <w:rFonts w:ascii="Times New Roman" w:hAnsi="Times New Roman" w:cs="Times New Roman"/>
          <w:b w:val="0"/>
          <w:szCs w:val="24"/>
        </w:rPr>
      </w:pPr>
      <w:r w:rsidRPr="005B09A9">
        <w:rPr>
          <w:rFonts w:ascii="Times New Roman" w:hAnsi="Times New Roman" w:cs="Times New Roman"/>
          <w:b w:val="0"/>
          <w:szCs w:val="24"/>
        </w:rPr>
        <w:t>Abbreviations list</w:t>
      </w:r>
    </w:p>
    <w:p w14:paraId="14FDDC81" w14:textId="6DF91087" w:rsidR="00320156" w:rsidRPr="005B09A9" w:rsidRDefault="003201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CRPS: complex regional pain syndrome</w:t>
      </w:r>
    </w:p>
    <w:p w14:paraId="19890A23" w14:textId="565E2285" w:rsidR="00320156" w:rsidRPr="005B09A9" w:rsidRDefault="003201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CSS: CRPS severity score</w:t>
      </w:r>
    </w:p>
    <w:p w14:paraId="745F2394" w14:textId="207929D3" w:rsidR="00320156" w:rsidRPr="005B09A9" w:rsidRDefault="003201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DRF: distal radius fracture</w:t>
      </w:r>
    </w:p>
    <w:p w14:paraId="7C256AF0" w14:textId="01CB7563" w:rsidR="00320156" w:rsidRPr="005B09A9" w:rsidRDefault="003201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PSQ: pain sensitization questionnaire</w:t>
      </w:r>
    </w:p>
    <w:p w14:paraId="2F627610" w14:textId="3DE32227" w:rsidR="00320156" w:rsidRPr="005B09A9" w:rsidRDefault="003201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PPT: pressure pain threshold</w:t>
      </w:r>
    </w:p>
    <w:p w14:paraId="4DA1FD66" w14:textId="0D41859C" w:rsidR="000F17C9" w:rsidRPr="005B09A9" w:rsidRDefault="000F17C9"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(N = …): number of studies</w:t>
      </w:r>
    </w:p>
    <w:p w14:paraId="6DBD4BC9" w14:textId="1672D420" w:rsidR="000F17C9" w:rsidRPr="005B09A9" w:rsidRDefault="000F17C9"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(n = …): number of participants</w:t>
      </w:r>
    </w:p>
    <w:p w14:paraId="5C769E46" w14:textId="3E935A04" w:rsidR="008E5A7D" w:rsidRPr="005B09A9" w:rsidRDefault="008E5A7D"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QoL: Quality</w:t>
      </w:r>
      <w:r w:rsidR="00764199" w:rsidRPr="005B09A9">
        <w:rPr>
          <w:rFonts w:ascii="Times New Roman" w:hAnsi="Times New Roman" w:cs="Times New Roman"/>
          <w:sz w:val="24"/>
          <w:szCs w:val="24"/>
        </w:rPr>
        <w:t xml:space="preserve"> </w:t>
      </w:r>
      <w:r w:rsidRPr="005B09A9">
        <w:rPr>
          <w:rFonts w:ascii="Times New Roman" w:hAnsi="Times New Roman" w:cs="Times New Roman"/>
          <w:sz w:val="24"/>
          <w:szCs w:val="24"/>
        </w:rPr>
        <w:t>of</w:t>
      </w:r>
      <w:r w:rsidR="00764199" w:rsidRPr="005B09A9">
        <w:rPr>
          <w:rFonts w:ascii="Times New Roman" w:hAnsi="Times New Roman" w:cs="Times New Roman"/>
          <w:sz w:val="24"/>
          <w:szCs w:val="24"/>
        </w:rPr>
        <w:t xml:space="preserve"> l</w:t>
      </w:r>
      <w:r w:rsidRPr="005B09A9">
        <w:rPr>
          <w:rFonts w:ascii="Times New Roman" w:hAnsi="Times New Roman" w:cs="Times New Roman"/>
          <w:sz w:val="24"/>
          <w:szCs w:val="24"/>
        </w:rPr>
        <w:t>ife</w:t>
      </w:r>
    </w:p>
    <w:p w14:paraId="7C78E4E8" w14:textId="58BE8330" w:rsidR="008E5A7D" w:rsidRPr="005B09A9" w:rsidRDefault="00971C5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QUIPS tool: Q</w:t>
      </w:r>
      <w:r w:rsidR="00646CCE" w:rsidRPr="005B09A9">
        <w:rPr>
          <w:rFonts w:ascii="Times New Roman" w:hAnsi="Times New Roman" w:cs="Times New Roman"/>
          <w:sz w:val="24"/>
          <w:szCs w:val="24"/>
        </w:rPr>
        <w:t>u</w:t>
      </w:r>
      <w:r w:rsidRPr="005B09A9">
        <w:rPr>
          <w:rFonts w:ascii="Times New Roman" w:hAnsi="Times New Roman" w:cs="Times New Roman"/>
          <w:sz w:val="24"/>
          <w:szCs w:val="24"/>
        </w:rPr>
        <w:t>ality I</w:t>
      </w:r>
      <w:r w:rsidR="008E5A7D" w:rsidRPr="005B09A9">
        <w:rPr>
          <w:rFonts w:ascii="Times New Roman" w:hAnsi="Times New Roman" w:cs="Times New Roman"/>
          <w:sz w:val="24"/>
          <w:szCs w:val="24"/>
        </w:rPr>
        <w:t>n Prognostic Studies tool</w:t>
      </w:r>
    </w:p>
    <w:p w14:paraId="61458BDB" w14:textId="7589AB5B" w:rsidR="008E5A7D" w:rsidRPr="005B09A9" w:rsidRDefault="008E5A7D"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RoB: Risk of Bias</w:t>
      </w:r>
    </w:p>
    <w:p w14:paraId="60FB08AF" w14:textId="55FC991A" w:rsidR="008E5A7D" w:rsidRPr="005B09A9" w:rsidRDefault="00755C40"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VAS: visual analog scale</w:t>
      </w:r>
    </w:p>
    <w:p w14:paraId="2A41775F" w14:textId="77777777" w:rsidR="007559E6" w:rsidRPr="005B09A9" w:rsidRDefault="007559E6" w:rsidP="003B7B2C">
      <w:pPr>
        <w:spacing w:before="100" w:beforeAutospacing="1" w:after="100" w:afterAutospacing="1" w:line="480" w:lineRule="auto"/>
        <w:jc w:val="left"/>
        <w:rPr>
          <w:rFonts w:ascii="Times New Roman" w:hAnsi="Times New Roman" w:cs="Times New Roman"/>
          <w:i/>
          <w:sz w:val="24"/>
          <w:szCs w:val="24"/>
        </w:rPr>
      </w:pPr>
    </w:p>
    <w:p w14:paraId="420F970B" w14:textId="77777777" w:rsidR="007559E6" w:rsidRPr="005B09A9" w:rsidRDefault="007559E6" w:rsidP="003B7B2C">
      <w:pPr>
        <w:spacing w:before="100" w:beforeAutospacing="1" w:after="100" w:afterAutospacing="1" w:line="480" w:lineRule="auto"/>
        <w:jc w:val="left"/>
        <w:rPr>
          <w:rFonts w:ascii="Times New Roman" w:hAnsi="Times New Roman" w:cs="Times New Roman"/>
          <w:i/>
          <w:sz w:val="24"/>
          <w:szCs w:val="24"/>
        </w:rPr>
      </w:pPr>
    </w:p>
    <w:p w14:paraId="3ED27C07" w14:textId="3D96DA34" w:rsidR="007559E6" w:rsidRPr="005B09A9" w:rsidRDefault="007559E6" w:rsidP="003B7B2C">
      <w:pPr>
        <w:spacing w:line="480" w:lineRule="auto"/>
        <w:jc w:val="left"/>
        <w:rPr>
          <w:rFonts w:ascii="Times New Roman" w:hAnsi="Times New Roman" w:cs="Times New Roman"/>
          <w:sz w:val="24"/>
          <w:szCs w:val="24"/>
        </w:rPr>
      </w:pPr>
    </w:p>
    <w:p w14:paraId="7F0ED161" w14:textId="77777777" w:rsidR="007559E6" w:rsidRPr="005B09A9" w:rsidRDefault="007559E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br w:type="page"/>
      </w:r>
    </w:p>
    <w:p w14:paraId="0D752DA1" w14:textId="3CE84A04" w:rsidR="0075693F" w:rsidRPr="005B09A9" w:rsidRDefault="0075693F" w:rsidP="003B7B2C">
      <w:pPr>
        <w:pStyle w:val="Sous-titre"/>
        <w:numPr>
          <w:ilvl w:val="0"/>
          <w:numId w:val="18"/>
        </w:numPr>
        <w:spacing w:line="480" w:lineRule="auto"/>
        <w:jc w:val="left"/>
        <w:rPr>
          <w:rFonts w:ascii="Times New Roman" w:hAnsi="Times New Roman" w:cs="Times New Roman"/>
          <w:b w:val="0"/>
          <w:szCs w:val="24"/>
        </w:rPr>
      </w:pPr>
      <w:r w:rsidRPr="005B09A9">
        <w:rPr>
          <w:rFonts w:ascii="Times New Roman" w:hAnsi="Times New Roman" w:cs="Times New Roman"/>
          <w:b w:val="0"/>
          <w:szCs w:val="24"/>
        </w:rPr>
        <w:lastRenderedPageBreak/>
        <w:t>Introduction</w:t>
      </w:r>
    </w:p>
    <w:p w14:paraId="1D55ACD8" w14:textId="1766BB0D" w:rsidR="00B34A5C" w:rsidRPr="005B09A9" w:rsidRDefault="00B327DE" w:rsidP="003B7B2C">
      <w:pPr>
        <w:spacing w:line="480" w:lineRule="auto"/>
        <w:jc w:val="left"/>
        <w:rPr>
          <w:rFonts w:ascii="Times New Roman" w:hAnsi="Times New Roman" w:cs="Times New Roman"/>
          <w:bCs/>
          <w:sz w:val="24"/>
          <w:szCs w:val="24"/>
        </w:rPr>
      </w:pPr>
      <w:r w:rsidRPr="005B09A9">
        <w:rPr>
          <w:rFonts w:ascii="Times New Roman" w:hAnsi="Times New Roman" w:cs="Times New Roman"/>
          <w:sz w:val="24"/>
          <w:szCs w:val="24"/>
        </w:rPr>
        <w:t xml:space="preserve">Complex regional pain syndrome (CRPS) most often occurs </w:t>
      </w:r>
      <w:r w:rsidR="006925B6" w:rsidRPr="005B09A9">
        <w:rPr>
          <w:rFonts w:ascii="Times New Roman" w:hAnsi="Times New Roman" w:cs="Times New Roman"/>
          <w:sz w:val="24"/>
          <w:szCs w:val="24"/>
        </w:rPr>
        <w:t>following surgery or trauma of</w:t>
      </w:r>
      <w:r w:rsidRPr="005B09A9">
        <w:rPr>
          <w:rFonts w:ascii="Times New Roman" w:hAnsi="Times New Roman" w:cs="Times New Roman"/>
          <w:sz w:val="24"/>
          <w:szCs w:val="24"/>
        </w:rPr>
        <w:t xml:space="preserve"> </w:t>
      </w:r>
      <w:r w:rsidR="00242B36" w:rsidRPr="005B09A9">
        <w:rPr>
          <w:rFonts w:ascii="Times New Roman" w:hAnsi="Times New Roman" w:cs="Times New Roman"/>
          <w:sz w:val="24"/>
          <w:szCs w:val="24"/>
        </w:rPr>
        <w:t>a</w:t>
      </w:r>
      <w:r w:rsidR="00B730C9" w:rsidRPr="005B09A9">
        <w:rPr>
          <w:rFonts w:ascii="Times New Roman" w:hAnsi="Times New Roman" w:cs="Times New Roman"/>
          <w:sz w:val="24"/>
          <w:szCs w:val="24"/>
        </w:rPr>
        <w:t>n</w:t>
      </w:r>
      <w:r w:rsidR="007C54E5" w:rsidRPr="005B09A9">
        <w:rPr>
          <w:rFonts w:ascii="Times New Roman" w:hAnsi="Times New Roman" w:cs="Times New Roman"/>
          <w:sz w:val="24"/>
          <w:szCs w:val="24"/>
        </w:rPr>
        <w:t xml:space="preserve"> extremity</w:t>
      </w:r>
      <w:r w:rsidR="008D00DC" w:rsidRPr="005B09A9">
        <w:rPr>
          <w:rFonts w:ascii="Times New Roman" w:hAnsi="Times New Roman" w:cs="Times New Roman"/>
          <w:sz w:val="24"/>
          <w:szCs w:val="24"/>
        </w:rPr>
        <w:t xml:space="preserve"> </w:t>
      </w:r>
      <w:r w:rsidR="00F973DF"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{"citationID":"Y6GLXM4F","properties":{"formattedCitation":"(de Mos et al., 2007; Ott and Maih\\uc0\\u246{}fner, 2018; Sandroni et al., 2003)","plainCitation":"(de Mos et al., 2007; Ott and Maihöfner, 2018; Sandroni et al., 2003)","noteIndex":0},"citationItems":[{"id":174,"uris":["http://zotero.org/users/8777725/items/EHHZEW9N"],"itemData":{"id":174,"type":"article-journal","abstract":"Complex regional pain syndrome (CRPS) is a complex pain disorder that can emerge after limb trauma or a lesion in the peripheral nervous system. Typical features include continuing pain, sensory, vasomotor, sudomotor, motor, and trophic changes as well as edema. These signs provide the basis of CRPS diagnosis. A detailed description of the signs, symptoms, and medical history of CRPS could potentially facilitate an earlier and more accurate diagnosis. The aim of this study was to provide such a description, on the basis of epidemiological measures, clinical presentation, and a thorough description of pain sensations. Some signs (eg, differences of skin temperature &gt;1°C), which have been thought to be crucial for diagnosis, were less common than assumed. We identified 11 distinct etiological triggers, which cover more than 99% of the study participants. We developed a weighted score on the basis of the most decisive data, which achieved a sensitivity of .869 and a specificity of .829, compared with .819 and .679 for the Budapest criteria. The weighted diagnostic criteria may help to better aid in distinguishing CRPS from other pain disorders.\nPERSPECTIVE: This article provides a retrospective epidemiological analysis of 1,043 CRPS patients compared with 421 patients with other pain disorders. The findings could potentially facilitate a more reliable and earlier diagnosis of CRPS, a better differentiation from other pain disorders, and ultimately in a more targeted and effective therapy.","container-title":"The Journal of Pain","DOI":"10.1016/j.jpain.2018.01.004","ISSN":"1528-8447","issue":"6","journalAbbreviation":"J Pain","language":"eng","note":"PMID: 29409933","page":"599-611","source":"PubMed","title":"Signs and Symptoms in 1,043 Patients with Complex Regional Pain Syndrome","volume":"19","author":[{"family":"Ott","given":"Stephan"},{"family":"Maihöfner","given":"Christian"}],"issued":{"date-parts":[["2018",6]]}},"label":"page"},{"id":172,"uris":["http://zotero.org/users/8777725/items/E2AY28TG"],"itemData":{"id":172,"type":"article-journal","abstract":"The complex regional pain syndrome (CRPS) is a painful disorder that can occur in an extremity after any type of injury, or even spontaneously. Data on the incidence of CRPS are scarce and mostly hospital based. Therefore the size of the problem and its burden on health care and society are unknown. The objective of the present study was to estimate the incidence of CRPS in the general population. A retrospective cohort study was conducted during 1996-2005 in the Integrated Primary Care Information (IPCI) project, a general practice research database with electronic patient record data from 600,000 patients throughout The Netherlands. Potential CRPS cases were identified by a sensitive search algorithm including synonyms and abbreviations for CRPS. Subsequently, cases were validated by electronic record review, supplemented with original specialist letters and information from an enquiry of general practitioners. The estimated overall incidence rate of CRPS was 26.2 per 100,000 person years (95% CI: 23.0-29.7). Females were affected at least three times more often than males (ratio: 3.4). The highest incidence occurred in females in the age category of 61-70 years. The upper extremity was affected more frequently than the lower extremity and a fracture was the most common precipitating event (44%). The observed incidence rate of CRPS is more as four times higher than the incidence rate observed in the only other population-based study, performed in Olmsted County, USA. Postmenopausal woman appeared to be at the highest risk for the development of CRPS.","container-title":"Pain","DOI":"10.1016/j.pain.2006.09.008","ISSN":"1872-6623","issue":"1-2","journalAbbreviation":"Pain","language":"eng","note":"PMID: 17084977","page":"12-20","source":"PubMed","title":"The incidence of complex regional pain syndrome: a population-based study","title-short":"The incidence of complex regional pain syndrome","volume":"129","author":[{"family":"Mos","given":"M.","non-dropping-particle":"de"},{"family":"Bruijn","given":"A. G. J.","non-dropping-particle":"de"},{"family":"Huygen","given":"F. J. P. M."},{"family":"Dieleman","given":"J. P."},{"family":"Stricker","given":"B. H. Ch"},{"family":"Sturkenboom","given":"M. C. J. M."}],"issued":{"date-parts":[["2007",5]]}},"label":"page"},{"id":206,"uris":["http://zotero.org/users/8777725/items/CYSBIRAQ"],"itemData":{"id":206,"type":"article-journal","abstract":"The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w:instrText>
      </w:r>
      <w:r w:rsidR="00C00CEA" w:rsidRPr="005B09A9">
        <w:rPr>
          <w:rFonts w:ascii="Times New Roman" w:hAnsi="Times New Roman" w:cs="Times New Roman"/>
          <w:sz w:val="24"/>
          <w:szCs w:val="24"/>
          <w:lang w:val="fr-BE"/>
        </w:rPr>
        <w:instrText xml:space="preserve">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A."}],"issued":{"date-parts":[["2003",5]]}},"label":"page"}],"schema":"https://github.com/citation-style-language/schema/raw/master/csl-citation.json"} </w:instrText>
      </w:r>
      <w:r w:rsidR="00F973DF" w:rsidRPr="005B09A9">
        <w:rPr>
          <w:rFonts w:ascii="Times New Roman" w:hAnsi="Times New Roman" w:cs="Times New Roman"/>
          <w:sz w:val="24"/>
          <w:szCs w:val="24"/>
        </w:rPr>
        <w:fldChar w:fldCharType="separate"/>
      </w:r>
      <w:r w:rsidR="00C00CEA" w:rsidRPr="005B09A9">
        <w:rPr>
          <w:rFonts w:ascii="Times New Roman" w:hAnsi="Times New Roman" w:cs="Times New Roman"/>
          <w:sz w:val="24"/>
          <w:szCs w:val="24"/>
          <w:lang w:val="fr-BE"/>
        </w:rPr>
        <w:t>(de Mos et al., 2007; Ott and Maihöfner, 2018; Sandroni et al., 2003)</w:t>
      </w:r>
      <w:r w:rsidR="00F973DF"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lang w:val="fr-BE"/>
        </w:rPr>
        <w:t>.</w:t>
      </w:r>
      <w:r w:rsidR="002603C0" w:rsidRPr="005B09A9">
        <w:rPr>
          <w:rFonts w:ascii="Times New Roman" w:hAnsi="Times New Roman" w:cs="Times New Roman"/>
          <w:sz w:val="24"/>
          <w:szCs w:val="24"/>
          <w:lang w:val="fr-BE"/>
        </w:rPr>
        <w:t xml:space="preserve"> </w:t>
      </w:r>
      <w:r w:rsidR="007D5FE1" w:rsidRPr="005B09A9">
        <w:rPr>
          <w:rFonts w:ascii="Times New Roman" w:hAnsi="Times New Roman" w:cs="Times New Roman"/>
          <w:sz w:val="24"/>
          <w:szCs w:val="24"/>
        </w:rPr>
        <w:t>This condition is characterized by pain as well as sensory, vasomotor,</w:t>
      </w:r>
      <w:r w:rsidR="007C54E5" w:rsidRPr="005B09A9">
        <w:rPr>
          <w:rFonts w:ascii="Times New Roman" w:hAnsi="Times New Roman" w:cs="Times New Roman"/>
          <w:sz w:val="24"/>
          <w:szCs w:val="24"/>
        </w:rPr>
        <w:t xml:space="preserve"> sudomotor,</w:t>
      </w:r>
      <w:r w:rsidR="007D5FE1" w:rsidRPr="005B09A9">
        <w:rPr>
          <w:rFonts w:ascii="Times New Roman" w:hAnsi="Times New Roman" w:cs="Times New Roman"/>
          <w:sz w:val="24"/>
          <w:szCs w:val="24"/>
        </w:rPr>
        <w:t xml:space="preserve"> </w:t>
      </w:r>
      <w:r w:rsidR="00A633B9" w:rsidRPr="005B09A9">
        <w:rPr>
          <w:rFonts w:ascii="Times New Roman" w:hAnsi="Times New Roman" w:cs="Times New Roman"/>
          <w:sz w:val="24"/>
          <w:szCs w:val="24"/>
        </w:rPr>
        <w:t>trophic, and motor disturbances. I</w:t>
      </w:r>
      <w:r w:rsidRPr="005B09A9">
        <w:rPr>
          <w:rFonts w:ascii="Times New Roman" w:hAnsi="Times New Roman" w:cs="Times New Roman"/>
          <w:sz w:val="24"/>
          <w:szCs w:val="24"/>
        </w:rPr>
        <w:t>ts diagnosis</w:t>
      </w:r>
      <w:r w:rsidR="00454887" w:rsidRPr="005B09A9">
        <w:rPr>
          <w:rFonts w:ascii="Times New Roman" w:hAnsi="Times New Roman" w:cs="Times New Roman"/>
          <w:sz w:val="24"/>
          <w:szCs w:val="24"/>
        </w:rPr>
        <w:t xml:space="preserve"> is clinical,</w:t>
      </w:r>
      <w:r w:rsidR="00B730C9" w:rsidRPr="005B09A9">
        <w:rPr>
          <w:rFonts w:ascii="Times New Roman" w:hAnsi="Times New Roman" w:cs="Times New Roman"/>
          <w:sz w:val="24"/>
          <w:szCs w:val="24"/>
        </w:rPr>
        <w:t xml:space="preserve"> based on the </w:t>
      </w:r>
      <w:r w:rsidR="00E25CDA" w:rsidRPr="005B09A9">
        <w:rPr>
          <w:rFonts w:ascii="Times New Roman" w:hAnsi="Times New Roman" w:cs="Times New Roman"/>
          <w:sz w:val="24"/>
          <w:szCs w:val="24"/>
        </w:rPr>
        <w:t>‘</w:t>
      </w:r>
      <w:r w:rsidR="00B730C9" w:rsidRPr="005B09A9">
        <w:rPr>
          <w:rFonts w:ascii="Times New Roman" w:hAnsi="Times New Roman" w:cs="Times New Roman"/>
          <w:sz w:val="24"/>
          <w:szCs w:val="24"/>
        </w:rPr>
        <w:t>Budapest criteria</w:t>
      </w:r>
      <w:r w:rsidR="00E25CDA" w:rsidRPr="005B09A9">
        <w:rPr>
          <w:rFonts w:ascii="Times New Roman" w:hAnsi="Times New Roman" w:cs="Times New Roman"/>
          <w:sz w:val="24"/>
          <w:szCs w:val="24"/>
        </w:rPr>
        <w:t>’</w:t>
      </w:r>
      <w:r w:rsidR="00DD5CBC" w:rsidRPr="005B09A9">
        <w:rPr>
          <w:rFonts w:ascii="Times New Roman" w:hAnsi="Times New Roman" w:cs="Times New Roman"/>
          <w:sz w:val="24"/>
          <w:szCs w:val="24"/>
        </w:rPr>
        <w:t xml:space="preserve"> </w:t>
      </w:r>
      <w:r w:rsidR="00CA7D6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{"citationID":"0vVyu68p","properties":{"unsorted":true,"formattedCitation":"(Harden et al., 2010a; Goebel et al., 2021)","plainCitation":"(Harden et al., 2010a; Goebel et al., 2021)","noteIndex":0},"citationItems":[{"id":1171,"uris":["http://zotero.org/users/8777725/items/VKWYR6HT"],"itemData":{"id":1171,"type":"article-journal","abstract":"Current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label":"page"},{"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CA7D6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(Harden et al., 2010a; Goebel et al., 2021)</w:t>
      </w:r>
      <w:r w:rsidR="00CA7D69" w:rsidRPr="005B09A9">
        <w:rPr>
          <w:rFonts w:ascii="Times New Roman" w:hAnsi="Times New Roman" w:cs="Times New Roman"/>
          <w:sz w:val="24"/>
          <w:szCs w:val="24"/>
        </w:rPr>
        <w:fldChar w:fldCharType="end"/>
      </w:r>
      <w:r w:rsidR="00DD5CBC" w:rsidRPr="005B09A9">
        <w:rPr>
          <w:rFonts w:ascii="Times New Roman" w:hAnsi="Times New Roman" w:cs="Times New Roman"/>
          <w:sz w:val="24"/>
          <w:szCs w:val="24"/>
        </w:rPr>
        <w:t>.</w:t>
      </w:r>
      <w:r w:rsidR="006A7F52" w:rsidRPr="005B09A9">
        <w:rPr>
          <w:rFonts w:ascii="Times New Roman" w:hAnsi="Times New Roman" w:cs="Times New Roman"/>
          <w:sz w:val="24"/>
          <w:szCs w:val="24"/>
        </w:rPr>
        <w:t xml:space="preserve"> </w:t>
      </w:r>
      <w:r w:rsidRPr="005B09A9">
        <w:rPr>
          <w:rFonts w:ascii="Times New Roman" w:hAnsi="Times New Roman" w:cs="Times New Roman"/>
          <w:sz w:val="24"/>
          <w:szCs w:val="24"/>
        </w:rPr>
        <w:t xml:space="preserve">Although </w:t>
      </w:r>
      <w:r w:rsidR="00FA12CE" w:rsidRPr="005B09A9">
        <w:rPr>
          <w:rFonts w:ascii="Times New Roman" w:hAnsi="Times New Roman" w:cs="Times New Roman"/>
          <w:sz w:val="24"/>
          <w:szCs w:val="24"/>
        </w:rPr>
        <w:t xml:space="preserve">the </w:t>
      </w:r>
      <w:r w:rsidRPr="005B09A9">
        <w:rPr>
          <w:rFonts w:ascii="Times New Roman" w:hAnsi="Times New Roman" w:cs="Times New Roman"/>
          <w:sz w:val="24"/>
          <w:szCs w:val="24"/>
        </w:rPr>
        <w:t>distinct</w:t>
      </w:r>
      <w:r w:rsidR="003C7166" w:rsidRPr="005B09A9">
        <w:rPr>
          <w:rFonts w:ascii="Times New Roman" w:hAnsi="Times New Roman" w:cs="Times New Roman"/>
          <w:sz w:val="24"/>
          <w:szCs w:val="24"/>
        </w:rPr>
        <w:t>ion seems tenuous and relative</w:t>
      </w:r>
      <w:r w:rsidR="008D00DC" w:rsidRPr="005B09A9">
        <w:rPr>
          <w:rFonts w:ascii="Times New Roman" w:hAnsi="Times New Roman" w:cs="Times New Roman"/>
          <w:sz w:val="24"/>
          <w:szCs w:val="24"/>
        </w:rPr>
        <w:t xml:space="preserve"> </w:t>
      </w:r>
      <w:r w:rsidR="003C716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{"citationID":"oKV1vTNP","properties":{"formattedCitation":"(Gierthm\\uc0\\u252{}hlen et al., 2012; Goebel et al., 2021)","plainCitation":"(Gierthmühlen et al., 2012; 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id":492,"uris":["http://zotero.org/users/8777725/items/NS9XK7J8"],"itemData":{"id":492,"type":"article-journal","abstract":"This study determined patterns of sensory signs in complex regional pain syndrome (CRPS) type I and II and peripheral nerve injury (PNI). Patients with upper-limb CRPS-I (n=298), CRPS-II (n=46), and PNI (n=72) were examined with quantitative sensory testing according to the protocol of the German Research Network on Neuropathic Pain. The majority of patients (66%-69%) exhibited a combination of sensory loss and gain. Patients with CRPS-I had more sensory gain (heat and pressure pain) and less sensory loss than patients with PNI (thermal and mechanical detection, hypoalgesia to heat or pinprick). CRPS-II patients shared features of CRPS-I and PNI. CRPS-I and CRPS-II had almost identical somatosensory profiles, with the exception of a stronger loss of mechanical detection in CRPS-II. In CRPS-I and -II, cold hyperalgesia/allodynia (28%-31%) and dynamic mechanical allodynia (24%-28%) were less frequent than heat or pressure hyperalgesia (36%-44%, 67%-73%), and mechanical hypoesthesia (31%-55%) was more frequent than thermal hypoesthesia (30%-44%). About 82% of PNI patients had at least one type of sensory gain. QST demonstrates more sensory loss in CRPS-I than hitherto considered, suggesting either minimal nerve injury or central inhibition. Sensory profiles suggest that CRPS-I and CRPS-II may represent one disease continuum. However, in contrast to recent suggestions, small fiber deficits were less frequent than large fiber deficits. Sensory gain is highly prevalent in PNI, indicating a better similarity of animal models to human patients than previously thought. These sensory profiles should help prioritize approaches for translation between animal and human research.","container-title":"Pain","DOI":"10.1016/j.pain.2011.11.009","ISSN":"1872-6623","issue":"4","journalAbbreviation":"Pain","language":"eng","note":"PMID: 22154921","page":"765-774","source":"PubMed","title":"Sensory signs in complex regional pain syndrome and peripheral nerve injury","volume":"153","author":[{"family":"Gierthmühlen","given":"Janne"},{"family":"Maier","given":"Christoph"},{"family":"Baron","given":"Ralf"},{"family":"Tölle","given":"Thomas"},{"family":"Treede","given":"Rolf-Detlef"},{"family":"Birbaumer","given":"Niels"},{"family":"Huge","given":"Volker"},{"family":"Koroschetz","given":"Jana"},{"family":"Krumova","given":"Elena K."},{"family":"Lauchart","given":"Meike"},{"family":"Maihöfner","given":"Christian"},{"family":"Richter","given":"Helmut"},{"family":"Westermann","given":"Andrea"},{"literal":"German Research Network on Neuropathic Pain (DFNS) study group"}],"issued":{"date-parts":[["2012",4]]}}}],"schema":"https://github.com/citation-style-language/schema/raw/master/csl-citation.json"} </w:instrText>
      </w:r>
      <w:r w:rsidR="003C716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szCs w:val="24"/>
        </w:rPr>
        <w:t>(Gierthmühlen et al., 2012; Goebel et al., 2021)</w:t>
      </w:r>
      <w:r w:rsidR="003C7166"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E96FFD" w:rsidRPr="005B09A9">
        <w:rPr>
          <w:rFonts w:ascii="Times New Roman" w:hAnsi="Times New Roman" w:cs="Times New Roman"/>
          <w:sz w:val="24"/>
          <w:szCs w:val="24"/>
        </w:rPr>
        <w:t xml:space="preserve"> </w:t>
      </w:r>
      <w:r w:rsidRPr="005B09A9">
        <w:rPr>
          <w:rFonts w:ascii="Times New Roman" w:hAnsi="Times New Roman" w:cs="Times New Roman"/>
          <w:sz w:val="24"/>
          <w:szCs w:val="24"/>
        </w:rPr>
        <w:t xml:space="preserve">this syndrome is classically subdivided into </w:t>
      </w:r>
      <w:r w:rsidR="00D50B97" w:rsidRPr="005B09A9">
        <w:rPr>
          <w:rFonts w:ascii="Times New Roman" w:hAnsi="Times New Roman" w:cs="Times New Roman"/>
          <w:sz w:val="24"/>
          <w:szCs w:val="24"/>
        </w:rPr>
        <w:t>two</w:t>
      </w:r>
      <w:r w:rsidRPr="005B09A9">
        <w:rPr>
          <w:rFonts w:ascii="Times New Roman" w:hAnsi="Times New Roman" w:cs="Times New Roman"/>
          <w:sz w:val="24"/>
          <w:szCs w:val="24"/>
        </w:rPr>
        <w:t xml:space="preserve"> </w:t>
      </w:r>
      <w:r w:rsidR="00FC534D" w:rsidRPr="005B09A9">
        <w:rPr>
          <w:rFonts w:ascii="Times New Roman" w:hAnsi="Times New Roman" w:cs="Times New Roman"/>
          <w:sz w:val="24"/>
          <w:szCs w:val="24"/>
        </w:rPr>
        <w:t>sub</w:t>
      </w:r>
      <w:r w:rsidRPr="005B09A9">
        <w:rPr>
          <w:rFonts w:ascii="Times New Roman" w:hAnsi="Times New Roman" w:cs="Times New Roman"/>
          <w:sz w:val="24"/>
          <w:szCs w:val="24"/>
        </w:rPr>
        <w:t xml:space="preserve">types: type I in the absence of </w:t>
      </w:r>
      <w:r w:rsidR="00454887" w:rsidRPr="005B09A9">
        <w:rPr>
          <w:rFonts w:ascii="Times New Roman" w:hAnsi="Times New Roman" w:cs="Times New Roman"/>
          <w:sz w:val="24"/>
          <w:szCs w:val="24"/>
        </w:rPr>
        <w:t>identified</w:t>
      </w:r>
      <w:r w:rsidRPr="005B09A9">
        <w:rPr>
          <w:rFonts w:ascii="Times New Roman" w:hAnsi="Times New Roman" w:cs="Times New Roman"/>
          <w:sz w:val="24"/>
          <w:szCs w:val="24"/>
        </w:rPr>
        <w:t xml:space="preserve"> neurological lesions</w:t>
      </w:r>
      <w:r w:rsidR="00D57477" w:rsidRPr="005B09A9">
        <w:rPr>
          <w:rFonts w:ascii="Times New Roman" w:hAnsi="Times New Roman" w:cs="Times New Roman"/>
          <w:sz w:val="24"/>
          <w:szCs w:val="24"/>
        </w:rPr>
        <w:t>,</w:t>
      </w:r>
      <w:r w:rsidRPr="005B09A9">
        <w:rPr>
          <w:rFonts w:ascii="Times New Roman" w:hAnsi="Times New Roman" w:cs="Times New Roman"/>
          <w:sz w:val="24"/>
          <w:szCs w:val="24"/>
        </w:rPr>
        <w:t xml:space="preserve"> and type II in the case of </w:t>
      </w:r>
      <w:r w:rsidR="00454887" w:rsidRPr="005B09A9">
        <w:rPr>
          <w:rFonts w:ascii="Times New Roman" w:hAnsi="Times New Roman" w:cs="Times New Roman"/>
          <w:sz w:val="24"/>
          <w:szCs w:val="24"/>
        </w:rPr>
        <w:t>proven</w:t>
      </w:r>
      <w:r w:rsidRPr="005B09A9">
        <w:rPr>
          <w:rFonts w:ascii="Times New Roman" w:hAnsi="Times New Roman" w:cs="Times New Roman"/>
          <w:sz w:val="24"/>
          <w:szCs w:val="24"/>
        </w:rPr>
        <w:t xml:space="preserve"> neurological lesions. A third subtype, </w:t>
      </w:r>
      <w:r w:rsidR="005C0721" w:rsidRPr="005B09A9">
        <w:rPr>
          <w:rFonts w:ascii="Times New Roman" w:hAnsi="Times New Roman" w:cs="Times New Roman"/>
          <w:sz w:val="24"/>
          <w:szCs w:val="24"/>
        </w:rPr>
        <w:t>“</w:t>
      </w:r>
      <w:r w:rsidRPr="005B09A9">
        <w:rPr>
          <w:rFonts w:ascii="Times New Roman" w:hAnsi="Times New Roman" w:cs="Times New Roman"/>
          <w:i/>
          <w:iCs/>
          <w:sz w:val="24"/>
          <w:szCs w:val="24"/>
        </w:rPr>
        <w:t>CRPS with Remission of Some Features</w:t>
      </w:r>
      <w:r w:rsidR="006642D3" w:rsidRPr="005B09A9">
        <w:rPr>
          <w:rFonts w:ascii="Times New Roman" w:hAnsi="Times New Roman" w:cs="Times New Roman"/>
          <w:i/>
          <w:iCs/>
          <w:sz w:val="24"/>
          <w:szCs w:val="24"/>
        </w:rPr>
        <w:t>,</w:t>
      </w:r>
      <w:r w:rsidR="005C0721" w:rsidRPr="005B09A9">
        <w:rPr>
          <w:rFonts w:ascii="Times New Roman" w:hAnsi="Times New Roman" w:cs="Times New Roman"/>
          <w:sz w:val="24"/>
          <w:szCs w:val="24"/>
        </w:rPr>
        <w:t>”</w:t>
      </w:r>
      <w:r w:rsidR="003C7166" w:rsidRPr="005B09A9">
        <w:rPr>
          <w:rFonts w:ascii="Times New Roman" w:hAnsi="Times New Roman" w:cs="Times New Roman"/>
          <w:sz w:val="24"/>
          <w:szCs w:val="24"/>
        </w:rPr>
        <w:t xml:space="preserve"> has recently been introduced</w:t>
      </w:r>
      <w:r w:rsidR="008D00DC" w:rsidRPr="005B09A9">
        <w:rPr>
          <w:rFonts w:ascii="Times New Roman" w:hAnsi="Times New Roman" w:cs="Times New Roman"/>
          <w:sz w:val="24"/>
          <w:szCs w:val="24"/>
        </w:rPr>
        <w:t xml:space="preserve"> </w:t>
      </w:r>
      <w:r w:rsidR="00242B3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{"citationID":"I55FyK1I","properties":{"formattedCitation":"(Goebel et al., 2021)","plainCitation":"(Goebel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242B3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(Goebel et al., 2021)</w:t>
      </w:r>
      <w:r w:rsidR="00242B36"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7D5FE1" w:rsidRPr="005B09A9">
        <w:rPr>
          <w:rFonts w:ascii="Times New Roman" w:hAnsi="Times New Roman" w:cs="Times New Roman"/>
          <w:sz w:val="24"/>
          <w:szCs w:val="24"/>
        </w:rPr>
        <w:t xml:space="preserve"> </w:t>
      </w:r>
      <w:r w:rsidR="00FA12CE" w:rsidRPr="005B09A9">
        <w:rPr>
          <w:rFonts w:ascii="Times New Roman" w:hAnsi="Times New Roman" w:cs="Times New Roman"/>
          <w:sz w:val="24"/>
          <w:szCs w:val="24"/>
        </w:rPr>
        <w:t xml:space="preserve">Finally, </w:t>
      </w:r>
      <w:r w:rsidR="00FC534D" w:rsidRPr="005B09A9">
        <w:rPr>
          <w:rFonts w:ascii="Times New Roman" w:hAnsi="Times New Roman" w:cs="Times New Roman"/>
          <w:sz w:val="24"/>
          <w:szCs w:val="24"/>
        </w:rPr>
        <w:t xml:space="preserve">CRPS Not Otherwise Specified (NOS) </w:t>
      </w:r>
      <w:r w:rsidR="00E25CDA" w:rsidRPr="005B09A9">
        <w:rPr>
          <w:rFonts w:ascii="Times New Roman" w:hAnsi="Times New Roman" w:cs="Times New Roman"/>
          <w:sz w:val="24"/>
          <w:szCs w:val="24"/>
        </w:rPr>
        <w:t>refers to</w:t>
      </w:r>
      <w:r w:rsidR="00FC534D" w:rsidRPr="005B09A9">
        <w:rPr>
          <w:rFonts w:ascii="Times New Roman" w:hAnsi="Times New Roman" w:cs="Times New Roman"/>
          <w:bCs/>
          <w:sz w:val="24"/>
          <w:szCs w:val="24"/>
        </w:rPr>
        <w:t xml:space="preserve"> </w:t>
      </w:r>
      <w:r w:rsidR="005E0BEB" w:rsidRPr="005B09A9">
        <w:rPr>
          <w:rFonts w:ascii="Times New Roman" w:hAnsi="Times New Roman" w:cs="Times New Roman"/>
          <w:sz w:val="24"/>
          <w:szCs w:val="24"/>
        </w:rPr>
        <w:t>individuals</w:t>
      </w:r>
      <w:r w:rsidR="00FC534D" w:rsidRPr="005B09A9">
        <w:rPr>
          <w:rFonts w:ascii="Times New Roman" w:hAnsi="Times New Roman" w:cs="Times New Roman"/>
          <w:sz w:val="24"/>
          <w:szCs w:val="24"/>
        </w:rPr>
        <w:t xml:space="preserve"> </w:t>
      </w:r>
      <w:r w:rsidR="00E25CDA" w:rsidRPr="005B09A9">
        <w:rPr>
          <w:rFonts w:ascii="Times New Roman" w:hAnsi="Times New Roman" w:cs="Times New Roman"/>
          <w:sz w:val="24"/>
          <w:szCs w:val="24"/>
        </w:rPr>
        <w:t>who have some</w:t>
      </w:r>
      <w:r w:rsidR="00D525C5" w:rsidRPr="005B09A9">
        <w:rPr>
          <w:rFonts w:ascii="Times New Roman" w:hAnsi="Times New Roman" w:cs="Times New Roman"/>
          <w:sz w:val="24"/>
          <w:szCs w:val="24"/>
        </w:rPr>
        <w:t xml:space="preserve"> CRPS features</w:t>
      </w:r>
      <w:r w:rsidR="00FC534D" w:rsidRPr="005B09A9">
        <w:rPr>
          <w:rFonts w:ascii="Times New Roman" w:hAnsi="Times New Roman" w:cs="Times New Roman"/>
          <w:sz w:val="24"/>
          <w:szCs w:val="24"/>
        </w:rPr>
        <w:t xml:space="preserve"> but </w:t>
      </w:r>
      <w:r w:rsidR="00E25CDA" w:rsidRPr="005B09A9">
        <w:rPr>
          <w:rFonts w:ascii="Times New Roman" w:hAnsi="Times New Roman" w:cs="Times New Roman"/>
          <w:sz w:val="24"/>
          <w:szCs w:val="24"/>
        </w:rPr>
        <w:t xml:space="preserve">have never been documented as meeting </w:t>
      </w:r>
      <w:r w:rsidR="00FA12CE" w:rsidRPr="005B09A9">
        <w:rPr>
          <w:rFonts w:ascii="Times New Roman" w:hAnsi="Times New Roman" w:cs="Times New Roman"/>
          <w:sz w:val="24"/>
          <w:szCs w:val="24"/>
        </w:rPr>
        <w:t xml:space="preserve">all </w:t>
      </w:r>
      <w:r w:rsidR="00047C5A" w:rsidRPr="005B09A9">
        <w:rPr>
          <w:rFonts w:ascii="Times New Roman" w:hAnsi="Times New Roman" w:cs="Times New Roman"/>
          <w:sz w:val="24"/>
          <w:szCs w:val="24"/>
        </w:rPr>
        <w:t>the IASP</w:t>
      </w:r>
      <w:r w:rsidR="00E25CDA" w:rsidRPr="005B09A9">
        <w:rPr>
          <w:rFonts w:ascii="Times New Roman" w:hAnsi="Times New Roman" w:cs="Times New Roman"/>
          <w:sz w:val="24"/>
          <w:szCs w:val="24"/>
        </w:rPr>
        <w:t xml:space="preserve"> criteria</w:t>
      </w:r>
      <w:r w:rsidR="008D00DC" w:rsidRPr="005B09A9">
        <w:rPr>
          <w:rFonts w:ascii="Times New Roman" w:hAnsi="Times New Roman" w:cs="Times New Roman"/>
          <w:sz w:val="24"/>
          <w:szCs w:val="24"/>
        </w:rPr>
        <w:t xml:space="preserve"> </w:t>
      </w:r>
      <w:r w:rsidR="00E25CDA" w:rsidRPr="005B09A9">
        <w:rPr>
          <w:rFonts w:ascii="Times New Roman" w:hAnsi="Times New Roman" w:cs="Times New Roman"/>
          <w:bCs/>
          <w:sz w:val="24"/>
          <w:szCs w:val="24"/>
        </w:rPr>
        <w:fldChar w:fldCharType="begin"/>
      </w:r>
      <w:r w:rsidR="00C00CEA" w:rsidRPr="005B09A9">
        <w:rPr>
          <w:rFonts w:ascii="Times New Roman" w:hAnsi="Times New Roman" w:cs="Times New Roman"/>
          <w:bCs/>
          <w:sz w:val="24"/>
          <w:szCs w:val="24"/>
        </w:rPr>
        <w:instrText xml:space="preserve"> ADDIN ZOTERO_ITEM CSL_CITATION {"citationID":"9Wcjy1AU","properties":{"formattedCitation":"(Goebel et al., 2021)","plainCitation":"(Goebel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E25CDA" w:rsidRPr="005B09A9">
        <w:rPr>
          <w:rFonts w:ascii="Times New Roman" w:hAnsi="Times New Roman" w:cs="Times New Roman"/>
          <w:bCs/>
          <w:sz w:val="24"/>
          <w:szCs w:val="24"/>
        </w:rPr>
        <w:fldChar w:fldCharType="separate"/>
      </w:r>
      <w:r w:rsidR="00C00CEA" w:rsidRPr="005B09A9">
        <w:rPr>
          <w:rFonts w:ascii="Times New Roman" w:hAnsi="Times New Roman" w:cs="Times New Roman"/>
          <w:sz w:val="24"/>
        </w:rPr>
        <w:t>(Goebel et al., 2021)</w:t>
      </w:r>
      <w:r w:rsidR="00E25CDA" w:rsidRPr="005B09A9">
        <w:rPr>
          <w:rFonts w:ascii="Times New Roman" w:hAnsi="Times New Roman" w:cs="Times New Roman"/>
          <w:bCs/>
          <w:sz w:val="24"/>
          <w:szCs w:val="24"/>
        </w:rPr>
        <w:fldChar w:fldCharType="end"/>
      </w:r>
      <w:r w:rsidR="008D00DC" w:rsidRPr="005B09A9">
        <w:rPr>
          <w:rFonts w:ascii="Times New Roman" w:hAnsi="Times New Roman" w:cs="Times New Roman"/>
          <w:bCs/>
          <w:sz w:val="24"/>
          <w:szCs w:val="24"/>
        </w:rPr>
        <w:t>.</w:t>
      </w:r>
    </w:p>
    <w:p w14:paraId="3A09B26C" w14:textId="46AEEB6F" w:rsidR="00B34A5C" w:rsidRPr="005B09A9" w:rsidRDefault="00D525C5"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The CRPS</w:t>
      </w:r>
      <w:r w:rsidR="00E25CDA" w:rsidRPr="005B09A9">
        <w:rPr>
          <w:rFonts w:ascii="Times New Roman" w:hAnsi="Times New Roman" w:cs="Times New Roman"/>
          <w:sz w:val="24"/>
          <w:szCs w:val="24"/>
        </w:rPr>
        <w:t xml:space="preserve"> pathophysiology </w:t>
      </w:r>
      <w:r w:rsidR="00E608A5" w:rsidRPr="005B09A9">
        <w:rPr>
          <w:rFonts w:ascii="Times New Roman" w:hAnsi="Times New Roman" w:cs="Times New Roman"/>
          <w:sz w:val="24"/>
          <w:szCs w:val="24"/>
        </w:rPr>
        <w:t xml:space="preserve">has </w:t>
      </w:r>
      <w:r w:rsidR="00D546AD" w:rsidRPr="005B09A9">
        <w:rPr>
          <w:rFonts w:ascii="Times New Roman" w:hAnsi="Times New Roman" w:cs="Times New Roman"/>
          <w:sz w:val="24"/>
          <w:szCs w:val="24"/>
        </w:rPr>
        <w:t xml:space="preserve">not </w:t>
      </w:r>
      <w:r w:rsidR="00E608A5" w:rsidRPr="005B09A9">
        <w:rPr>
          <w:rFonts w:ascii="Times New Roman" w:hAnsi="Times New Roman" w:cs="Times New Roman"/>
          <w:sz w:val="24"/>
          <w:szCs w:val="24"/>
        </w:rPr>
        <w:t xml:space="preserve">been </w:t>
      </w:r>
      <w:r w:rsidR="00D546AD" w:rsidRPr="005B09A9">
        <w:rPr>
          <w:rFonts w:ascii="Times New Roman" w:hAnsi="Times New Roman" w:cs="Times New Roman"/>
          <w:sz w:val="24"/>
          <w:szCs w:val="24"/>
        </w:rPr>
        <w:t>fully elucidated</w:t>
      </w:r>
      <w:r w:rsidR="00E25CDA" w:rsidRPr="005B09A9">
        <w:rPr>
          <w:rFonts w:ascii="Times New Roman" w:hAnsi="Times New Roman" w:cs="Times New Roman"/>
          <w:sz w:val="24"/>
          <w:szCs w:val="24"/>
        </w:rPr>
        <w:t xml:space="preserve">, </w:t>
      </w:r>
      <w:r w:rsidR="004B25D0" w:rsidRPr="005B09A9">
        <w:rPr>
          <w:rFonts w:ascii="Times New Roman" w:hAnsi="Times New Roman" w:cs="Times New Roman"/>
          <w:sz w:val="24"/>
          <w:szCs w:val="24"/>
        </w:rPr>
        <w:t xml:space="preserve">but it is </w:t>
      </w:r>
      <w:r w:rsidR="00E25CDA" w:rsidRPr="005B09A9">
        <w:rPr>
          <w:rFonts w:ascii="Times New Roman" w:hAnsi="Times New Roman" w:cs="Times New Roman"/>
          <w:sz w:val="24"/>
          <w:szCs w:val="24"/>
        </w:rPr>
        <w:t>multifactorial, and involves both peripheral (e.g.</w:t>
      </w:r>
      <w:r w:rsidR="00C626BC" w:rsidRPr="005B09A9">
        <w:rPr>
          <w:rFonts w:ascii="Times New Roman" w:hAnsi="Times New Roman" w:cs="Times New Roman"/>
          <w:sz w:val="24"/>
          <w:szCs w:val="24"/>
        </w:rPr>
        <w:t>,</w:t>
      </w:r>
      <w:r w:rsidR="00E25CDA" w:rsidRPr="005B09A9">
        <w:rPr>
          <w:rFonts w:ascii="Times New Roman" w:hAnsi="Times New Roman" w:cs="Times New Roman"/>
          <w:sz w:val="24"/>
          <w:szCs w:val="24"/>
        </w:rPr>
        <w:t xml:space="preserve"> neurogenic inflammation) and central (e.g.</w:t>
      </w:r>
      <w:r w:rsidR="00C626BC" w:rsidRPr="005B09A9">
        <w:rPr>
          <w:rFonts w:ascii="Times New Roman" w:hAnsi="Times New Roman" w:cs="Times New Roman"/>
          <w:sz w:val="24"/>
          <w:szCs w:val="24"/>
        </w:rPr>
        <w:t>,</w:t>
      </w:r>
      <w:r w:rsidR="00E25CDA" w:rsidRPr="005B09A9">
        <w:rPr>
          <w:rFonts w:ascii="Times New Roman" w:hAnsi="Times New Roman" w:cs="Times New Roman"/>
          <w:sz w:val="24"/>
          <w:szCs w:val="24"/>
        </w:rPr>
        <w:t xml:space="preserve"> maladaptive plasticity) mechanisms</w:t>
      </w:r>
      <w:r w:rsidR="008D00DC" w:rsidRPr="005B09A9">
        <w:rPr>
          <w:rFonts w:ascii="Times New Roman" w:hAnsi="Times New Roman" w:cs="Times New Roman"/>
          <w:sz w:val="24"/>
          <w:szCs w:val="24"/>
        </w:rPr>
        <w:t xml:space="preserve"> </w:t>
      </w:r>
      <w:r w:rsidR="00E25CDA" w:rsidRPr="005B09A9">
        <w:rPr>
          <w:rFonts w:ascii="Times New Roman" w:hAnsi="Times New Roman" w:cs="Times New Roman"/>
          <w:sz w:val="24"/>
          <w:szCs w:val="24"/>
        </w:rPr>
        <w:fldChar w:fldCharType="begin"/>
      </w:r>
      <w:r w:rsidR="006F05A7" w:rsidRPr="005B09A9">
        <w:rPr>
          <w:rFonts w:ascii="Times New Roman" w:hAnsi="Times New Roman" w:cs="Times New Roman"/>
          <w:sz w:val="24"/>
          <w:szCs w:val="24"/>
        </w:rPr>
        <w:instrText xml:space="preserve"> ADDIN ZOTERO_ITEM CSL_CITATION {"citationID":"753oQg8h","properties":{"formattedCitation":"(Baronio et al., 2020; Birklein et al., 2018; Bruehl, 2015; Halicka et al., 2020)","plainCitation":"(Baronio et al., 2020; Birklein et al., 2018; Bruehl, 2015; Halicka et al., 2020)","noteIndex":0},"citationItems":[{"id":195,"uris":["http://zotero.org/users/8777725/items/P5L6P94G"],"itemData":{"id":195,"type":"article-journal","abstract":"The purpose of this review is to summarize the pathophysiology of complex regional pain syndrome (CRPS), the underlying molecular mechanisms, and potential treatment options for its management. CRPS is a multifactorial pain condition. CRPS is characterized by prolonged or excessive pain and changes in skin color and temperature, and/or swelling in the affected area, and is generally caused by stimuli that lead to tissue damage. An inflammatory response involving various cytokines and autoantibodies is generated in response to acute trauma/stress. Chronic phase pathophysiology is more complex, involving the central and peripheral nervous systems. Various genetic factors involved in the chronicity of pain have been identified in CRPS patients. As with other diseases of complex pathology, CRPS is difficult to treat and no single treatment regimen is the same for two patients. Stimulation of the vagus nerve is a promising technique being tested for different gastrointestinal and inflammatory diseases. CRPS is more frequent in individuals of 61-70 years of age with a female to male ratio of 3 : 1. Menopause, migraine, osteoporosis, and asthma all represent risk factors for CRPS and in smokers the prognosis appears to be more severe. The pathophysiological mechanisms underlying CRPS involve both inflammatory and neurological pathways. Understanding the molecular basis of CRPS is important for its diagnosis, management, and treatment. For instance, vagal nerve stimulation might have the potential for treating CRPS through the cholinergic anti-inflammatory pathway.","container-title":"Pain Research &amp; Management","DOI":"10.1155/2020/7697214","ISSN":"1918-1523","journalAbbreviation":"Pain Res Manag","language":"eng","note":"PMID: 32351641\nPMCID: PMC7171689","page":"7697214","source":"PubMed","title":"Molecular Aspects of Regional Pain Syndrome","volume":"2020","author":[{"family":"Baronio","given":"Manuela"},{"family":"Sadia","given":"Hajra"},{"family":"Paolacci","given":"Stefano"},{"family":"Prestamburgo","given":"Domenico"},{"family":"Miotti","given":"Danilo"},{"family":"Guardamagna","given":"Vittorio A."},{"family":"Natalini","given":"Giuseppe"},{"family":"Sullivan","given":"Stephanie G. B."},{"family":"Bertelli","given":"Matteo"}],"issued":{"date-parts":[["2020"]]}},"label":"page"},{"id":193,"uris":["http://zotero.org/users/8777725/items/K7NIDTCY"],"itemData":{"id":193,"type":"article-journal","abstract":"Complex Regional Pain Syndrome (CRPS) is a poorly understood chronic pain condition of multifactorial origin. CRPS involves sensory, motor, and autonomic symptoms primarily affecting one extremity. Patients can also present with neuropsychological changes such as reduced attention to the CRPS-affected extremity, reminiscent of hemispatial neglect, yet in the absence of any brain lesions. However, this \"neglect-like\" framework is not sufficient to characterise the range of higher cognitive functions that can be altered in CRPS. This comprehensive literature review synthesises evidence of neuropsychological changes in CRPS in the context of potential central mechanisms of the disorder. The affected neuropsychological functions constitute three distinct but not independent groups: distorted body representation, deficits in lateralised spatial cognition, and impairment of non-spatially-lateralised higher cognitive functions. We suggest that many of these symptoms appear to be consistent with a broader disruption to parietal function beyond merely what could be considered \"neglect-like.\" Moreover, the extent of neuropsychological symptoms might be related to the clinical signs of CRPS, and rehabilitation methods that target the neuropsychological changes can improve clinical outcomes in CRPS and other chronic pain conditions. Based on the limitations and gaps in the reviewed literature, we provide several suggestions to improve further research on neuropsychological changes in chronic pain.","container-title":"Behavioural Neurology","DOI":"10.1155/2020/4561831","ISSN":"1875-8584","journalAbbreviation":"Behav Neurol","language":"eng","note":"PMID: 32399082\nPMCID: PMC7201816","page":"4561831","source":"PubMed","title":"Neuropsychological Changes in Complex Regional Pain Syndrome (CRPS)","volume":"2020","author":[{"family":"Halicka","given":"Monika"},{"family":"Vittersø","given":"Axel D."},{"family":"Proulx","given":"Michael J."},{"family":"Bultitude","given":"Janet H."}],"issued":{"date-parts":[["2020"]]}},"label":"page"},{"id":778,"uris":["http://zotero.org/users/8777725/items/CI4KW2A3"],"itemData":{"id":778,"type":"article-journal","abstract":"Complex regional pain syndrome is a chronic pain condition characterized by autonomic and inflammatory features. It occurs acutely in about 7% of patients who have limb fractures, limb surgery, or other injuries. Many cases resolve within the first year, with a smaller subset progressing to the chronic form. This transition is often paralleled by a change from “warm complex regional pain syndrome,” with inflammatory characteristics dominant, to “cold complex regional pain syndrome” in which autonomic features dominate. Multiple peripheral and central mechanisms seem to be involved, the relative contributions of which may differ between individuals and over time. Possible contributors include peripheral and central sensitization, autonomic changes and sympatho-afferent coupling, inflammatory and immune alterations, brain changes, and genetic and psychological factors. The syndrome is diagnosed purely on the basis of clinical signs and symptoms. Effective management of the chronic form of the syndrome is often challenging. Few high quality randomized controlled trials are available to support the efficacy of the most commonly used interventions. Reviews of available randomized trials suggest that physical and occupational therapy (including graded motor imagery and mirror therapy), bisphosphonates, calcitonin, subanesthetic intravenous ketamine, free radical scavengers, oral corticosteroids, and spinal cord stimulation may be effective treatments. Multidisciplinary clinical care, which centers around functionally focused therapies is recommended. Other interventions are used to facilitate engagement in functional therapies and to improve quality of life.","container-title":"BMJ","DOI":"10.1136/bmj.h2730","ISSN":"1756-1833","journalAbbreviation":"BMJ","language":"en","license":"© BMJ Publishing Group Ltd 2015","note":"publisher: British Medical Journal Publishing Group\nsection: Clinical Review\nPMID: 26224572","page":"h2730","source":"www.bmj.com","title":"Complex regional pain syndrome","volume":"351","author":[{"family":"Bruehl","given":"Stephen"}],"issued":{"date-parts":[["2015",7,29]]}},"label":"page"},{"id":95,"uris":["http://zotero.org/users/8777725/items/SETXZ68I"],"itemData":{"id":95,"type":"article-journal","abstract":"Complex regional pain syndrome (CRPS) is a pain condition that usually affects a single limb, often following an injury. The underlying pathophysiology seems to be complex and probably varies between patients. Clinical diagnosis is based on internationally agreed-upon criteria, which consider the reported symptoms, presence of signs and exclusion of alternative causes. Research into CRPS biomarkers to support patient stratification and improve diagnostic certainty is an important scien</w:instrText>
      </w:r>
      <w:r w:rsidR="006F05A7" w:rsidRPr="005B09A9">
        <w:rPr>
          <w:rFonts w:ascii="Times New Roman" w:hAnsi="Times New Roman" w:cs="Times New Roman"/>
          <w:sz w:val="24"/>
          <w:szCs w:val="24"/>
          <w:lang w:val="fr-BE"/>
        </w:rPr>
        <w:instrText xml:space="preserve">tific focus, and recent progress in this area provides an opportunity for an up-to-date topical review of measurable disease-predictive, diagnostic and prognostic parameters. Clinical and biochemical attributes of CRPS that may aid diagnosis and determination of appropriate treatment are delineated. Findings that predict the development of CRPS and support the diagnosis include trauma-related factors, neurocognitive peculiarities, psychological markers, and local and systemic changes that indicate activation of the immune system. Analysis of signatures of non-coding microRNAs that could predict the treatment response represents a new line of research. Results from the past 5 years of CRPS research indicate that a single marker for CRPS will probably never be found; however, a range of biomarkers might assist in clinical diagnosis and guide prognosis and treatment.","container-title":"Nature reviews. Neurology","DOI":"10.1038/NRNEUROL.2018.20","issue":"5","note":"publisher: NIH Public Access\nPMID: 29545626","page":"272","title":"Complex regional pain syndrome — phenotypic characteristics and potential biomarkers","volume":"14","author":[{"family":"Birklein","given":"Frank"},{"family":"Ajit","given":"Seena K."},{"family":"Goebel","given":"Andreas"},{"family":"Perez","given":"Roberto S. G. M."},{"family":"Sommer","given":"Claudia"}],"issued":{"date-parts":[["2018",5]]}},"label":"page"}],"schema":"https://github.com/citation-style-language/schema/raw/master/csl-citation.json"} </w:instrText>
      </w:r>
      <w:r w:rsidR="00E25CDA" w:rsidRPr="005B09A9">
        <w:rPr>
          <w:rFonts w:ascii="Times New Roman" w:hAnsi="Times New Roman" w:cs="Times New Roman"/>
          <w:sz w:val="24"/>
          <w:szCs w:val="24"/>
        </w:rPr>
        <w:fldChar w:fldCharType="separate"/>
      </w:r>
      <w:r w:rsidR="00C00CEA" w:rsidRPr="005B09A9">
        <w:rPr>
          <w:rFonts w:ascii="Times New Roman" w:hAnsi="Times New Roman" w:cs="Times New Roman"/>
          <w:sz w:val="24"/>
          <w:lang w:val="fr-BE"/>
        </w:rPr>
        <w:t>(Baronio et al., 2020; Birklein et al., 2018; Bruehl, 2015; Halicka et al., 2020)</w:t>
      </w:r>
      <w:r w:rsidR="00E25CDA"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lang w:val="fr-BE"/>
        </w:rPr>
        <w:t>.</w:t>
      </w:r>
      <w:r w:rsidR="00B327DE" w:rsidRPr="005B09A9">
        <w:rPr>
          <w:rFonts w:ascii="Times New Roman" w:hAnsi="Times New Roman" w:cs="Times New Roman"/>
          <w:sz w:val="24"/>
          <w:szCs w:val="24"/>
          <w:lang w:val="fr-BE"/>
        </w:rPr>
        <w:t xml:space="preserve"> </w:t>
      </w:r>
      <w:r w:rsidR="00E25CDA" w:rsidRPr="005B09A9">
        <w:rPr>
          <w:rFonts w:ascii="Times New Roman" w:hAnsi="Times New Roman" w:cs="Times New Roman"/>
          <w:sz w:val="24"/>
          <w:szCs w:val="24"/>
        </w:rPr>
        <w:t>E</w:t>
      </w:r>
      <w:r w:rsidR="00B327DE" w:rsidRPr="005B09A9">
        <w:rPr>
          <w:rFonts w:ascii="Times New Roman" w:hAnsi="Times New Roman" w:cs="Times New Roman"/>
          <w:sz w:val="24"/>
          <w:szCs w:val="24"/>
        </w:rPr>
        <w:t xml:space="preserve">pidemiological data </w:t>
      </w:r>
      <w:r w:rsidR="00F93D75" w:rsidRPr="005B09A9">
        <w:rPr>
          <w:rFonts w:ascii="Times New Roman" w:hAnsi="Times New Roman" w:cs="Times New Roman"/>
          <w:sz w:val="24"/>
          <w:szCs w:val="24"/>
        </w:rPr>
        <w:t>are</w:t>
      </w:r>
      <w:r w:rsidR="00B327DE" w:rsidRPr="005B09A9">
        <w:rPr>
          <w:rFonts w:ascii="Times New Roman" w:hAnsi="Times New Roman" w:cs="Times New Roman"/>
          <w:sz w:val="24"/>
          <w:szCs w:val="24"/>
        </w:rPr>
        <w:t xml:space="preserve"> </w:t>
      </w:r>
      <w:r w:rsidR="00E857DE" w:rsidRPr="005B09A9">
        <w:rPr>
          <w:rFonts w:ascii="Times New Roman" w:hAnsi="Times New Roman" w:cs="Times New Roman"/>
          <w:sz w:val="24"/>
          <w:szCs w:val="24"/>
        </w:rPr>
        <w:t>divergent</w:t>
      </w:r>
      <w:r w:rsidR="00B327DE" w:rsidRPr="005B09A9">
        <w:rPr>
          <w:rFonts w:ascii="Times New Roman" w:hAnsi="Times New Roman" w:cs="Times New Roman"/>
          <w:sz w:val="24"/>
          <w:szCs w:val="24"/>
        </w:rPr>
        <w:t xml:space="preserve"> if not contradictory</w:t>
      </w:r>
      <w:r w:rsidR="008D00DC" w:rsidRPr="005B09A9">
        <w:rPr>
          <w:rFonts w:ascii="Times New Roman" w:hAnsi="Times New Roman" w:cs="Times New Roman"/>
          <w:sz w:val="24"/>
          <w:szCs w:val="24"/>
        </w:rPr>
        <w:t xml:space="preserve"> </w:t>
      </w:r>
      <w:r w:rsidR="0019528F"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{"citationID":"W29MyGkp","properties":{"unsorted":true,"formattedCitation":"(Ott and Maih\\uc0\\u246{}fner, 2018; de Mos et al., 2007; Sandroni et al., 2003; Beerthuizen et al., 2012; Kim et al., 2018; Zyluk, 1998)","plainCitation":"(Ott and Maihöfner, 2018; de Mos et al., 2007; Sandroni et al., 2003; Beerthuizen et al., 2012; Kim et al., 2018; Zyluk, 1998)","noteIndex":0},"citationItems":[{"id":174,"uris":["http://zotero.org/users/8777725/items/EHHZEW9N"],"itemData":{"id":174,"type":"article-journal","abstract":"Complex regional pain syndrome (CRPS) is a complex pain disorder that can emerge after limb trauma or a lesion in the peripheral nervous system. Typical features include continuing pain, sensory, vasomotor, sudomotor, motor, and trophic changes as well as edema. These signs provide the basis of CRPS diagnosis. A detailed description of the signs, symptoms, and medical history of CRPS could potentially facilitate an earlier and more accurate diagnosis. The aim of this study was to provide such a description, on the basis of epidemiological measures, clinical presentation, and a thorough description of pain sensations. Some signs (eg, differences of skin temperature &gt;1°C), which have been thought to be crucial for diagnosis, were less common than assumed. We identified 11 distinct etiological triggers, which cover more than 99% of the study participants. We developed a weighted score on the basis of the most decisive data, which achieved a sensitivity of .869 and a specificity of .829, compared with .819 and .679 for the Budapest criteria. The weighted diagnostic criteria may help to better aid in distinguishing CRPS from other pain disorders.\nPERSPECTIVE: This article provides a retrospective epidemiological analysis of 1,043 CRPS patients compared with 421 patients with other pain disorders. The findings could potentially facilitate a more reliable and earlier diagnosis of CRPS, a better differentiation from other pain disorders, and ultimately in a more targeted and effective therapy.","container-title":"The Journal of Pain","DOI":"10.1016/j.jpain.2018.01.004","ISSN":"1528-8447","issue":"6","journalAbbreviation":"J Pain","language":"eng","note":"PMID: 29409933","page":"599-611","source":"PubMed","title":"Signs and Symptoms in 1,043 Patients with Complex Regional Pain Syndrome","volume":"19","author":[{"family":"Ott","given":"Stephan"},{"family":"Maihöfner","given":"Christian"}],"issued":{"date-parts":[["2018",6]]}},"label":"page"},{"id":172,"uris":["http://zotero.org/users/8777725/items/E2AY28TG"],"itemData":{"id":172,"type":"article-journal","abstract":"The complex regional pain syndrome (CRPS) is a painful disorder that can occur in an extremity after any type of injury, or even spontaneously. Data on the incidence of CRPS are scarce and mostly hospital based. Therefore the size of the problem and its burden on health care and society are unknown. The objective of the present study was to estimate the incidence of CRPS in the general population. A retrospective cohort study was conducted during 1996-2005 in the Integrated Primary Care Information (IPCI) project, a general practice research database with electronic patient record data from 600,000 patients throughout The Netherlands. Potential CRPS cases were identified by a sensitive search algorithm including synonyms and abbreviations for CRPS. Subsequently, cases were validated by electronic record review, supplemented with original specialist letters and information from an enquiry of general practitioners. The estimated overall incidence rate of CRPS was 26.2 per 100,000 person years (95% CI: 23.0-29.7). Females were affected at least three times more often than males (ratio: 3.4). The highest incidence occurred in females in the age category of 61-70 years. The upper extremity was affected more frequently than the lower extremity and a fracture was the most common precipitating event (44%). The observed incidence rate of CRPS is more as four times higher than the incidence rate observed in the only other population-based study, performed in Olmsted County, USA. Postmenopausal woman appeared to be at the highest risk for the development of CRPS.","container-title":"Pain","DOI":"10.1016/j.pain.2006.09.008","ISSN":"1872-6623","issue":"1-2","journalAbbreviation":"Pain","language":"eng","note":"PMID: 17084977","page":"12-20","source":"PubMed","title":"The incidence of complex regional pain syndrome: a population-based study","title-short":"The incidence of complex regional pain syndrome","volume":"129","author":[{"family":"Mos","given":"M.","non-dropping-particle":"de"},{"family":"Bruijn","given":"A. G. J.","non-dropping-particle":"de"},{"family":"Huygen","given":"F. J. P. M."},{"family":"Dieleman","given":"J. P."},{"family":"Stricker","given":"B. H. Ch"},{"family":"Sturkenboom","given":"M. C. J. M."}],"issued":{"date-parts":[["2007",5]]}},"label":"page"},{"id":206,"uris":["http://zotero.org/users/8777725/items/CYSBIRAQ"],"itemData":{"id":206,"type":"article-journal","abstract":"The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A."}],"issued":{"date-parts":[["2003",5]]}},"label":"page"},{"id":185,"uris":["http://zotero.org/users/8777725/items/V3KRMRJH"],"itemData":{"id":185,"type":"article-journal","abstract":"Limited data are available on the incidence of complex regional pain syndrome type 1 (CRPS1) and on demographic and medical risk factors for the development of CRPS1. The objective of this study was to investigate the incidence of CRPS1 in patients with a fracture using 3 sets of diagnostic criteria and to evaluate the association between demographic/medical factors and the development of CRPS1 diagnosed with the Harden and Bruehl criteria. A prospective multicenter cohort study of 596 patients (ages 18 years and older) with a single fracture of the wrist, scaphoid, ankle, or metatarsal V, recruited patients from the emergency rooms of 3 Dutch hospitals. Of the 596 participants, 42 (7.0%) were diagnosed with CRPS1 according to the Harden and Bruehl criteria, 289 (48.5%) according to the International Association for the Study of Pain criteria, and 127 (21.3%) according to the criteria of Veldman. An analysis of the medical and demographic differences revealed that patients in whom CRPS1 later developed more often had intra-articular fractures, fracture dislocations, rheumatoid arthritis, or musculoskeletal comorbidities. An ankle fracture, dislocation, and an intra-articular fracture contributed significantly to the prediction of the development of CRPS1. No CRPS1 patients were symptom free at 12 months (T3). At baseline, patients with CRPS1 had significantly more pain than patients without CRPS1 (P&lt;.001). The incidence of the diagnosis of CRPS1 after a single fracture depends to a large extent on the diagnostic criteria used. After a fracture, 7% of the patients developed CRPS1 and none of the patients were free of symptoms at 1-year follow-up.","container-title":"Pain","DOI":"10.1016/j.pain.2012.01.026","ISSN":"1872-6623","issue":"6","journalAbbreviation":"Pain","language":"eng","note":"PMID: 22386473","page":"1187-1192","source":"PubMed","title":"Demographic and medical parameters in the development of complex regional pain syndrome type 1 (CRPS1): prospective study on 596 patients with a fracture","title-short":"Demographic and medical parameters in the development of complex regional pain syndrome type 1 (CRPS1)","volume":"153","author":[{"family":"Beerthuizen","given":"Annemerle"},{"family":"Stronks","given":"Dirk L."},{"family":"Van't Spijker","given":"Adriaan"},{"family":"Yaksh","given":"Ameeta"},{"family":"Hanraets","given":"Barbara M."},{"family":"Klein","given":"Jan"},{"family":"Huygen","given":"Frank J. P. M."}],"issued":{"date-parts":[["2012",6]]}},"label":"page"},{"id":179,"uris":["http://zotero.org/users/8777725/items/KWRGFBAL"],"itemData":{"id":179,"type":"article-journal","abstract":"Chronic regional pain syndrome (CRPS) is an inflammatory and neuropathic pain disorder characterized by the involvement of the autonomic nervous system with sensory, autonomic, motor, skin, and bone changes. At present, universally accepted consensus criteria for CRPS are not yet established, despite the diagnostic criteria proposed by the International Association for the Study of Pain (IASP). Various hypotheses for the pathophysiology of CRPS have been proposed; as a result, current therapeutic modalities are varied. General epidemiological data on CRPS are necessary for effective management. However, recent data on the epidemiology of CRPS in Korea are scarce. The aim of this study was to evaluate the incidence and other epidemiological features of CRPS in the general population in Korea. In this study on the epidemiology of CRPS in Korea, population-based medical data acquired from 51,448,491 subscribers to the National Health Insurance Service (NHIS) from 2011 to 2015 were analyzed, including the incidence, distribution by the CRPS type, regional distribution, monthly distribution, medical costs, and healthcare resource-utilization. The findings indicated that the incidence of CRPS in Korea was 29.0 per 100,000 person-years in 2015 and was correlated with patient age and sex. CRPS types included type I (63%) and type II (37%); moreover, the number of individuals with CRPS I have shown a growing trend since 2011. There was no monthly distribution, but there was regional variation according to the province. The medical departments managing CRPS I the most were orthopedics, internal medicine, anesthesiology and pain medicine, in order; however, patients with CRPS spent more money per visit in the departments of rehabilitation medicine, and anesthesiology and pain medicine. The incidence rate of CRPS in Korea was 29.0 per 100,000 person-years with an increasing trend, which was correlated with patient age in the 70s and female sex. CRPS type I was more common than CRPS type II; in addition, constant increase in medical expenses, regional imbalance, and differences in medical expense among medical specialties should be considered for early management of patients to reduce the disease burden in Korea. Sharing of knowledge about the diagnostic criteria of CRPS are also needed.","container-title":"PloS One","DOI":"10.1371/journal.pone.0198147","ISSN":"1932-6203","issue":"6","journalAbbreviation":"PLoS One","language":"eng","note":"PMID: 29864152\nPMCID: PMC5986148","page":"e0198147","source":"PubMed","title":"Epidemiology of complex regional pain syndrome in Korea: An electronic population health data study","title-short":"Epidemiology of complex regional pain syndrome in Korea","volume":"13","author":[{"family":"Kim","given":"Hyungtae"},{"family":"Lee","given":"Cheol-Hyeong"},{"family":"Kim","given":"Sung-Hun"},{"family":"Kim","given":"Yeon-Dong"}],"issued":{"date-parts":[["2018"]]}},"label":"page"},{"id":191,"uris":["http://zotero.org/users/8777725/items/436TRXCL"],"itemData":{"id":191,"type":"article-journal","abstract":"The paper presents the results of a prospective trial to examine the natural history of early reflex sympathetic dystrophy (RSD). Thirty patients with post-traumatic RSD of the hand were observed without treatment. They were reassessed 1, 2 and 6 months after diagnosis with a final assessment at 10 to 18 months (average 13 months). Twenty-seven patients completed the study. Three were withdrawn during the study because of persistence of signs and symptoms of RSD and were given further treatment. Of the 27 patients who completed the study, only one showed sufficient features of the condition to warrant the diagnosis of mild RSD. In the remaining 26, most features of RSD had resolved spontaneously. Pain and swelling disappeared more quickly than other features of RSD. Although the signs and symptoms of RSD had largely gone at 13 months, the hands were still functionally impaired because of weaker grip strength.","container-title":"Journal of Hand Surgery (Edinburgh, Scotland)","DOI":"10.1016/s0266-7681(98)80211-8","ISSN":"0266-7681","issue":"1","journalAbbreviation":"J Hand Surg Br","language":"eng","note":"PMID: 9571473","page":"20-23","source":"PubMed","title":"The natural history of post-traumatic reflex sympathetic dystrophy","volume":"23","author":[{"family":"Zyluk","given":"A."}],"issued":{"date-parts":[["1998",2]]}},"label":"page"}],"schema":"https://github.com/citation-style-language/schema/raw/master/csl-citation.json"} </w:instrText>
      </w:r>
      <w:r w:rsidR="0019528F" w:rsidRPr="005B09A9">
        <w:rPr>
          <w:rFonts w:ascii="Times New Roman" w:hAnsi="Times New Roman" w:cs="Times New Roman"/>
          <w:sz w:val="24"/>
          <w:szCs w:val="24"/>
        </w:rPr>
        <w:fldChar w:fldCharType="separate"/>
      </w:r>
      <w:r w:rsidR="00C00CEA" w:rsidRPr="005B09A9">
        <w:rPr>
          <w:rFonts w:ascii="Times New Roman" w:hAnsi="Times New Roman" w:cs="Times New Roman"/>
          <w:sz w:val="24"/>
          <w:szCs w:val="24"/>
        </w:rPr>
        <w:t>(Ott and Maihöfner, 2018; de Mos et al., 2007; Sandroni et al., 2003; Beerthuizen et al., 2012; Kim et al., 2018; Zyluk, 1998)</w:t>
      </w:r>
      <w:r w:rsidR="0019528F"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B327DE" w:rsidRPr="005B09A9">
        <w:rPr>
          <w:rFonts w:ascii="Times New Roman" w:hAnsi="Times New Roman" w:cs="Times New Roman"/>
          <w:sz w:val="24"/>
          <w:szCs w:val="24"/>
        </w:rPr>
        <w:t xml:space="preserve"> </w:t>
      </w:r>
      <w:r w:rsidR="009636D3" w:rsidRPr="005B09A9">
        <w:rPr>
          <w:rFonts w:ascii="Times New Roman" w:hAnsi="Times New Roman" w:cs="Times New Roman"/>
          <w:sz w:val="24"/>
          <w:szCs w:val="24"/>
        </w:rPr>
        <w:t>several sets of diagnostic criteria have been used, re</w:t>
      </w:r>
      <w:r w:rsidR="007D5FE1" w:rsidRPr="005B09A9">
        <w:rPr>
          <w:rFonts w:ascii="Times New Roman" w:hAnsi="Times New Roman" w:cs="Times New Roman"/>
          <w:sz w:val="24"/>
          <w:szCs w:val="24"/>
        </w:rPr>
        <w:t>sulting in heterogeneous</w:t>
      </w:r>
      <w:r w:rsidR="009636D3" w:rsidRPr="005B09A9">
        <w:rPr>
          <w:rFonts w:ascii="Times New Roman" w:hAnsi="Times New Roman" w:cs="Times New Roman"/>
          <w:sz w:val="24"/>
          <w:szCs w:val="24"/>
        </w:rPr>
        <w:t xml:space="preserve"> population</w:t>
      </w:r>
      <w:r w:rsidR="00F3219F" w:rsidRPr="005B09A9">
        <w:rPr>
          <w:rFonts w:ascii="Times New Roman" w:hAnsi="Times New Roman" w:cs="Times New Roman"/>
          <w:sz w:val="24"/>
          <w:szCs w:val="24"/>
        </w:rPr>
        <w:t>s</w:t>
      </w:r>
      <w:r w:rsidR="009636D3" w:rsidRPr="005B09A9">
        <w:rPr>
          <w:rFonts w:ascii="Times New Roman" w:hAnsi="Times New Roman" w:cs="Times New Roman"/>
          <w:sz w:val="24"/>
          <w:szCs w:val="24"/>
        </w:rPr>
        <w:t xml:space="preserve"> and </w:t>
      </w:r>
      <w:r w:rsidR="0034192F" w:rsidRPr="005B09A9">
        <w:rPr>
          <w:rFonts w:ascii="Times New Roman" w:hAnsi="Times New Roman" w:cs="Times New Roman"/>
          <w:sz w:val="24"/>
          <w:szCs w:val="24"/>
        </w:rPr>
        <w:t>variable</w:t>
      </w:r>
      <w:r w:rsidR="009636D3" w:rsidRPr="005B09A9">
        <w:rPr>
          <w:rFonts w:ascii="Times New Roman" w:hAnsi="Times New Roman" w:cs="Times New Roman"/>
          <w:sz w:val="24"/>
          <w:szCs w:val="24"/>
        </w:rPr>
        <w:t xml:space="preserve"> results in the literature</w:t>
      </w:r>
      <w:r w:rsidR="008D00DC" w:rsidRPr="005B09A9">
        <w:rPr>
          <w:rFonts w:ascii="Times New Roman" w:hAnsi="Times New Roman" w:cs="Times New Roman"/>
          <w:sz w:val="24"/>
          <w:szCs w:val="24"/>
        </w:rPr>
        <w:t xml:space="preserve"> </w:t>
      </w:r>
      <w:r w:rsidR="005A2D1A"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{"citationID":"0Beavz7V","properties":{"unsorted":true,"formattedCitation":"(Harden et al., 2010a; Goebel et al., 2021; Bickerstaff DR and Kanis JA, 1994; Veldman et al., 1993; Merskey and Bogduk, 1994; Bruehl et al., 1999; Mesaroli et al., 2021)","plainCitation":"(Harden et al., 2010a; Goebel et al., 2021; Bickerstaff DR and Kanis JA, 1994; Veldman et al., 1993; Merskey and Bogduk, 1994; Bruehl et al., 1999; Mesaroli et al., 2021)","noteIndex":0},"citationItems":[{"id":1171,"uris":["http://zotero.org/users/8777725/items/VKWYR6HT"],"itemData":{"id":1171,"type":"article-journal","abstract":"Current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label":"page"},{"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label":"page"},{"id":708,"uris":["http://zotero.org/users/8777725/items/JJXWL9QG"],"itemData":{"id":708,"type":"article-journal","abstract":"Algodystrophy is a poorly recognized condition of uncertain aetiology which presents with pain and tenderness, vascular instability, swelling and stiffness of an affected limb. It is most commonly seen after trauma. In order to ascertain its incidence, natural history and the degree of morbidity induced we studied prospectively 274 patients with Colles' fracture. Algodystrophy, as judged by the presence of bone pain or tenderness, vasomotor symptoms, swelling and stiffness of the hand was noted in 28% of patients. There was a significant association between the presence of these features (P &lt; 0.0001). The degree of trauma sustained was identified as a predisposing factor. Actuarial analysis showed a gradual resolution of symptoms. Six months after injury, the proportion of patients complaining of pain and swelling had fallen to 20-30%, vascular instability and tenderness to 50% and stiffness to 80%. Failure to improve was associated with a significant loss of hand function (P &lt; 0.0001). By 1 yr, pain and tenderness, vascular instability and swelling had decreased still further but stiffness was still apparent in 50%. We believe that algodystrophy is a neglected disorder and is far more common than formerly appreciated. Although it often resolves spontaneously, it is associated with a significant increase in short-term morbidity in the majority of patients and persistent dysfunction in a minority.","archive_location":"rayyan-231267001","container-title":"British journal of rheumatology","ISSN":"0263-7103 (Print)","issue":"3","journalAbbreviation":"Br J Rheumatol","language":"eng","note":"publisher-place: England","page":"240-8","title":"Algodystrophy: an under-recognized complication of minor trauma.","volume":"33","author":[{"literal":"Bickerstaff DR"},{"literal":"Kanis JA"}],"issued":{"date-parts":[["1994"]]}},"label":"page"},{"id":589,"uris":["http://zotero.org/users/8777725/items/JSY8KUZ9"],"itemData":{"id":589,"type":"article-journal","abstract":"The pathogenesis of reflex sympathetic dystrophy--variously known as Sudeck's atrophy, causalgia, algodystrophy, and peripheral trophoneurosis--is not yet understood, and diagnosing and treating patients is difficult. We have prospectively studied 829 patients, paying particular attention to early signs and symptoms. In its early phase, reflex sympathetic dystrophy is characterised by regional inflammation, which increases after muscular exercise. Pain was present in 93% of patients, and hypoaesthesia and hyperpathy were present in 69% and 75% respectively. With time, tissue atrophy may occur as well as involuntary movements, muscle spasms, or pseudoparalysis. Tremor was found in 49% and muscular incoordination in 54% of patients. Sympathetic signs such as hyperhidrosis are infrequent and therefore have no diagnostic value. We found no evidence consistent with the presence of three consecutive phases of the disease. Early symptoms are those of an inflammatory reaction and not of a disturbance of the sympathetic nervous system. These data support the concept of an exaggerated regional inflammatory response to injury or operation in reflex sympathetic dystrophy.","container-title":"Lancet (London, England)","DOI":"10.1016/0140-6736(93)92877-v","ISSN":"0140-6736","issue":"8878","journalAbbreviation":"Lancet","language":"eng","note":"PMID: 8105263","page":"1012-1016","source":"PubMed","title":"Signs and symptoms of reflex sympathetic dystrophy: prospective study of 829 patients","title-short":"Signs and symptoms of reflex sympathetic dystrophy","volume":"342","author":[{"family":"Veldman","given":"P. H."},{"family":"Reynen","given":"H. M."},{"family":"Arntz","given":"I. E."},{"family":"Goris","given":"R. J."}],"issued":{"date-parts":[["1993",10,23]]}},"label":"page"},{"id":1275,"uris":["http://zotero.org/users/8777725/items/MPTMN3SW"],"itemData":{"id":1275,"type":"book","edition":"2nd Edition","event-place":"Seattle","publisher":"IASP Press","publisher-place":"Seattle","title":"Classification of Chronic Pain.","author":[{"family":"Merskey","given":"H"},{"family":"Bogduk","given":"N"}],"issued":{"date-parts":[["1994"]]}}},{"id":603,"uris":["http://zotero.org/users/8777725/items/NB7JUTYE"],"itemData":{"id":603,"type":"article-journal","abstract":"Recent work in our research consortium has raised internal validity concerns regarding the current IASP criteria for Complex Regional Pain Syndrome (CRPS), suggesting problems with inadequate sensitivity and specificity. The current study explored the external validity of these IASP criteria for CRPS. A standardized evaluation of signs and symptoms of CRPS was conducted by study physicians in 117 patients meeting IASP criteria for CRPS, and 43 patients experiencing neuropathic pain with established non-CRPS etiology (e.g. diabetic neuropathy, post-herpetic neuralgia). Multiple discriminant function analyses were used to test the ability of the IASP diagnostic criteria and decision rules, as well as proposed research modifications of these criteria, to discriminate between CRPS patients and those experiencing non-CRPS neuropathic pain. Current IASP criteria and decision rules (e.g. signs or symptoms of edema, or color changes or sweating changes satisfy criterion 3) discriminated significantly between groups (P &lt; 0.001). However, although sensitivity was quite high (0.98), specificity was poor (0.36), and a positive diagnosis of CRPS was likely to be correct in as few as 40% of cases. Empirically-based research modifications to the criteria, which are more comprehensive and require presence of signs and symptoms, were also tested. These modified criteria were also able to discriminate significantly, between the CRPS and non-CRPS groups (P &lt; 0.001). A decision rule, requiring at least two sign categories and four symptom categories to be positive optimized diagnostic efficiency, with a diagnosis of CRPS likely to be accurate in up to 84% of cases, and a diagnosis of non-CRPS neuropathic pain likely to be accurate in up to 88% of cases. These results indicate that the current IASP criteria for CRPS have inadequate specificity and are likely to lead to overdiagnosis. Proposed modifications to these criteria substantially improve their external validity and merit further evaluation.","container-title":"Pain","DOI":"10.1016/s0304-3959(99)00011-1","ISSN":"0304-3959","issue":"1-2","journalAbbreviation":"Pain","language":"eng","note":"PMID: 10353502","page":"147-154","source":"PubMed","title":"External validation of IASP diagnostic criteria for Complex Regional Pain Syndrome and proposed research diagnostic criteria. International Association for the Study of Pain","volume":"81","author":[{"family":"Bruehl","given":"S."},{"family":"Harden","given":"R. N."},{"family":"Galer","given":"B. S."},{"family":"Saltz","given":"S."},{"family":"Bertram","given":"M."},{"family":"Backonja","given":"M."},{"family":"Gayles","given":"R."},{"family":"Rudin","given":"N."},{"family":"Bhugra","given":"M. K."},{"family":"Stanton-Hicks","given":"M."}],"issued":{"date-parts":[["1999",5]]}},"label":"page"},{"id":1206,"uris":["http://zotero.org/users/8777725/items/D9MBBPBF"],"itemData":{"id":1206,"type":"article-journal","abstract":"Supplemental Digital Content is Available in the Text., Complex regional pain syndrome (CRPS) is a severely painful condition that presents with a constellation of symptoms. The understanding of the pathophysiology of CRPS has evolved over time, as have the diagnostic criteria. Our primary objective was to identify screening and diagnostic tools for CRPS and summarize their feasibility, measurement properties, and study quality. A secondary objective was to identify screening and diagnostic tools used for CRPS in pediatric populations (0-21 years of age). A systematic review of English articles in electronic databases (PsycINFO, MEDLINE, Embase, CINAHL, CENTRAL, and Web of Science) was conducted with the aid of a librarian in November 2018 and updated in July 2020. Studies were included if the tool was a screening or diagnostic tool, the tool included self-report or physical examination, and the primary objective of the study was to evaluate the measurement properties or feasibility of use. For each study, data were extracted for quality indicators using the QUADAS-2 tool. No screening tools were identified. Four diagnostic tools were identified: the Veldman criteria, International Association for the Study of Pain criteria, Budapest Criteria, and Budapest Research Criteria. There are no diagnostic tools validated for use in pediatric CRPS. Because there are no extant screening tools for CRPS, all people with suspected disease should undergo rapid diagnostic assessment by a clinician. For adults, the Budapest Criteria are the preferred diagnostic tool. Future research is recommended to develop a diagnostic tool for pediatric populations and screening tools for both pediatric and adults.","container-title":"Pain","DOI":"10.1097/j.pain.0000000000002146","ISSN":"0304-3959","issue":"5","journalAbbreviation":"Pain","note":"PMID: 33230004\nPMCID: PMC8054537","page":"1295-1304","source":"PubMed Central","title":"Screening and diagnostic tools for complex regional pain syndrome: a systematic review","title-short":"Screening and diagnostic tools for complex regional pain syndrome","volume":"162","author":[{"family":"Mesaroli","given":"Giulia"},{"family":"Hundert","given":"Amos"},{"family":"Birnie","given":"Kathryn A."},{"family":"Campbell","given":"Fiona"},{"family":"Stinson","given":"Jennifer"}],"issued":{"date-parts":[["2021",5]]}},"label":"page"}],"schema":"https://github.com/citation-style-language/schema/raw/master/csl-citation.json"} </w:instrText>
      </w:r>
      <w:r w:rsidR="005A2D1A"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(Harden et al., 2010a; Goebel et al., 2021; Bickerstaff DR and Kanis JA, 1994; Veldman et al., 1993; Merskey and Bogduk, 1994; Bruehl et al., 1999; Mesaroli et al., 2021)</w:t>
      </w:r>
      <w:r w:rsidR="005A2D1A"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 xml:space="preserve">. </w:t>
      </w:r>
      <w:r w:rsidR="00DF2F51" w:rsidRPr="005B09A9">
        <w:rPr>
          <w:rFonts w:ascii="Times New Roman" w:hAnsi="Times New Roman" w:cs="Times New Roman"/>
          <w:sz w:val="24"/>
          <w:szCs w:val="24"/>
        </w:rPr>
        <w:t>S</w:t>
      </w:r>
      <w:r w:rsidR="00E25CDA" w:rsidRPr="005B09A9">
        <w:rPr>
          <w:rFonts w:ascii="Times New Roman" w:hAnsi="Times New Roman" w:cs="Times New Roman"/>
          <w:sz w:val="24"/>
          <w:szCs w:val="24"/>
        </w:rPr>
        <w:t xml:space="preserve">ome </w:t>
      </w:r>
      <w:r w:rsidR="005E0BEB" w:rsidRPr="005B09A9">
        <w:rPr>
          <w:rFonts w:ascii="Times New Roman" w:hAnsi="Times New Roman" w:cs="Times New Roman"/>
          <w:sz w:val="24"/>
          <w:szCs w:val="24"/>
        </w:rPr>
        <w:t>subjects</w:t>
      </w:r>
      <w:r w:rsidR="00E25CDA" w:rsidRPr="005B09A9">
        <w:rPr>
          <w:rFonts w:ascii="Times New Roman" w:hAnsi="Times New Roman" w:cs="Times New Roman"/>
          <w:sz w:val="24"/>
          <w:szCs w:val="24"/>
        </w:rPr>
        <w:t xml:space="preserve"> recover spontaneously</w:t>
      </w:r>
      <w:r w:rsidR="00F3219F" w:rsidRPr="005B09A9">
        <w:rPr>
          <w:rFonts w:ascii="Times New Roman" w:hAnsi="Times New Roman" w:cs="Times New Roman"/>
          <w:sz w:val="24"/>
          <w:szCs w:val="24"/>
        </w:rPr>
        <w:t>,</w:t>
      </w:r>
      <w:r w:rsidR="00E25CDA" w:rsidRPr="005B09A9">
        <w:rPr>
          <w:rFonts w:ascii="Times New Roman" w:hAnsi="Times New Roman" w:cs="Times New Roman"/>
          <w:sz w:val="24"/>
          <w:szCs w:val="24"/>
        </w:rPr>
        <w:t xml:space="preserve"> whereas others develo</w:t>
      </w:r>
      <w:r w:rsidR="00DF2F51" w:rsidRPr="005B09A9">
        <w:rPr>
          <w:rFonts w:ascii="Times New Roman" w:hAnsi="Times New Roman" w:cs="Times New Roman"/>
          <w:sz w:val="24"/>
          <w:szCs w:val="24"/>
        </w:rPr>
        <w:t xml:space="preserve">p a chronic disabling </w:t>
      </w:r>
      <w:r w:rsidR="0041698B" w:rsidRPr="005B09A9">
        <w:rPr>
          <w:rFonts w:ascii="Times New Roman" w:hAnsi="Times New Roman" w:cs="Times New Roman"/>
          <w:sz w:val="24"/>
          <w:szCs w:val="24"/>
        </w:rPr>
        <w:t>condition</w:t>
      </w:r>
      <w:r w:rsidR="008D00DC" w:rsidRPr="005B09A9">
        <w:rPr>
          <w:rFonts w:ascii="Times New Roman" w:hAnsi="Times New Roman" w:cs="Times New Roman"/>
          <w:sz w:val="24"/>
          <w:szCs w:val="24"/>
        </w:rPr>
        <w:t xml:space="preserve"> </w:t>
      </w:r>
      <w:r w:rsidR="00E25CDA"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{"citationID":"YIcvGDpM","properties":{"unsorted":true,"formattedCitation":"(Sandroni et al., 2003; Bean et al., 2016a; de Mos M et al., 2009; Brunner et al., 2017; Bean et al., 2014a)","plainCitation":"(Sandroni et al., 2003; Bean et al., 2016a; de Mos M et al., 2009; Brunner et al., 2017; Bean et al., 2014a)","noteIndex":0},"citationItems":[{"id":206,"uris":["http://zotero.org/users/8777725/items/CYSBIRAQ"],"itemData":{"id":206,"type":"article-journal","abstract":"The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A."}],"issued":{"date-parts":[["2003",5]]}},"label":"page"},{"id":89,"uris":["http://zotero.org/users/8777725/items/IVFPSY5Y"],"itemData":{"id":89,"type":"article-journal","abstract":"Background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R."}],"issued":{"date-parts":[["2016",7]]}},"label":"page"},{"id":686,"uris":["http://zotero.org/users/8777725/items/XPMECFQN"],"itemData":{"id":686,"type":"article-journal","abstract":"OBJECTIVES: The outcome of complex regional pain syndrome (CRPS) is relatively unknown. High disease resolution rates have been reported, but also long-lasting impairments in many patients. This study aims to assess CRPS outcome in a population-based cohort of CRPS patients. METHODS: CRPS patients were retrospectively identified (1996 to 2005) in a Dutch general practitioners database, the integrated primary care information project, and included if at onset (ie, in the past) they had complied with the International Association for the Study of Pain (IASP) diagnostic criteria. The disease status at minimum of 2 years since onset was assessed during visits using questionnaires, interviews, and physical examination. Symptoms and signs were compared with reference patients with an identical past injury but without CRPS. Actual fulfillment of the IASP criteria, treatment status, self-reported recovery, and working status were recorded. Moreover, to identify the potential prognostic factors, baseline patient characteristics were compared across subgroups according to the CRPS outcome. These subgroups were derived by cluster analysis on actual symptoms and signs. RESULTS: One hundred and two CRPS patients were assessed at on average 5.8 years (range: 2.1 to 10.8) since onset. CRPS patients displayed higher symptom and sign prevalences in all categories (sensory, vasomotor, sudomotor, and motor/trophic) than controls. Sixteen percent (95% CI: 9-22) reported the CRPS as still progressive, whereas 31% (95% CI: 19-43) were incapable of working. Patients in the poorest outcome cluster more often had their upper extremity affected, event other than a fracture, and cold CRPS. DISCUSSION: Severe CRPS outcome is rare, but a majority of patients has persistent impairments at 2 or more years since onset.","archive_location":"rayyan-231266750","container-title":"The Clinical journal of pain","ISSN":"1536-5409 (Electronic)","issue":"7","journalAbbreviation":"Clin J Pain","language":"eng","note":"publisher-place: United States","page":"590-7","title":"Outcome of the complex regional pain syndrome.","volume":"25","author":[{"literal":"de Mos M"},{"literal":"Huygen FJ"},{"literal":"van der Hoeven-Borgman M"},{"literal":"Dieleman JP"},{"literal":"Ch Stricker BH"},{"literal":"Sturkenboom MC"}],"issued":{"date-parts":[["2009"]]}},"label":"page"},{"id":815,"uris":["http://zotero.org/users/8777725/items/8XJCHG9W"],"itemData":{"id":815,"type":"article-journal","abstract":"Background The timing of diagnosis of complex regional pain syndrome (CRPS) 1 remains a challenge due to the large heterogeneity of clinical presentations. We describe the distribution and differences in outcomes and clinical manifestations between time points and patient groups with and without CRPS 1 following an initiating event. Methods Prospective cohort study with a consecutive registration of patients presenting with painful swelling of the affected extremity after an initiating event and follow-up visits after 3, 6 and 12 months. Results Forty-two patients were enrolled (37 females, mean age 55.1 years). At baseline, 35 participants (83%, females n = 30) fulfilled the diagnostic criteria for CRPS 1. At 3 months, 19 out of the initial 35 CRPS 1 patients (54%) did not meet the diagnostic criteria anymore. Besides our inclusion criteria of a painful swelling, early manifestations indicating a CRPS 1 primarily include an impaired quality of life (SF-35, EQ5-D), more pain (NRS, MPQ) and restricted range of motion. Conclusions CRPS 1 develops within 8 weeks following a noxious event. Although many CRPS 1 patients reach partial remission within the first 3 months, signs and symptoms do not improve significantly at 1 year. In order to identify prognostic risk factors large prospective cohort studies are needed. Significance This prospective cohort study follows patients with complaints most suspected for complex regional pain syndrome (CRPS) 1. CRPS 1 develops within 8 weeks following a noxious event. Although many CRPS 1 patients reach partial remission within the 3 months, symptoms do not improve significantly at 1 year.","container-title":"European Journal of Pain","DOI":"10.1002/ejp.1064","ISSN":"1532-2149","issue":"9","language":"en","note":"_eprint: https://onlinelibrary.wiley.com/doi/pdf/10.1002/ejp.1064","page":"1611-1617","source":"Wiley Online Library","title":"Painful swelling after a noxious event and the development of complex regional pain syndrome 1: A one-year prospective study","title-short":"Painful swelling after a noxious event and the development of complex regional pain syndrome 1","volume":"21","author":[{"family":"Brunner","given":"F."},{"family":"Bachmann","given":"L.m."},{"family":"Perez","given":"R.s.g.m."},{"family":"Marinus","given":"J."},{"family":"Wertli","given":"M.m."}],"issued":{"date-parts":[["2017"]]}},"label":"page"},{"id":117,"uris":["http://zotero.org/users/8777725/items/FUN5EW6V"],"itemData":{"id":117,"type":"article-journal","abstract":"The purpose of this systematic review was to examine the outcome of complex regional pain syndrome (CRPS) type 1. We searched MEDLINE, Embase, and PsycINFO for relevant studies and included 18 studies, with 3,991 participants, in this review. The following data were extracted: study details, measurement tools used, and rates or severity scores for the symptoms/signs of CRPS at baseline and follow-up, or in groups of patients with different disease durations. A quality assessment revealed significant limitations in the literature, with many studies using different diagnostic criteria. The 3 prospective studies demonstrated that for many patients, symptoms improve markedly within 6 to 13 months of onset. The 12 retrospective studies had highly heterogeneous findings, documenting lasting impairments in many patients. The 3 cross-sectional studies showed that rates of pain and sensory symptoms were highest among those with the longest duration of CRPS. Additionally, most studies showed that motor symptoms (stiffness and weakness) were the most likely to persist whereas sudomotor and vasomotor symptoms were the most likely to improve. Overall, this suggests that some CRPS patients make a good early recovery whereas others develop lasting pain and disability. As yet little is known about the prognostic factors that might differentiate between these groups.\nPERSPECTIVE: We found evidence that many CRPS patients recover within 6 to 13 months, but a significant number experience some lasting symptoms, and some experience chronic pain and disability. The quality of the evidence was poor. Future research should examine the factors associated with recovery and identify those at risk of poor outcomes.","container-title":"The Journal of Pain","DOI":"10.1016/j.jpain.2014.01.500","ISSN":"1528-8447","issue":"7","journalAbbreviation":"J Pain","language":"eng","note":"PMID: 24530407","page":"677-690","source":"PubMed","title":"The outcome of complex regional pain syndrome type 1: a systematic review","title-short":"The outcome of complex regional pain syndrome type 1","volume":"15","author":[{"family":"Bean","given":"Debbie J."},{"family":"Johnson","given":"Malcolm H."},{"family":"Kydd","given":"Robert R."}],"issued":{"date-parts":[["2014",7]]}},"label":"page"}],"schema":"https://github.com/citation-style-language/schema/raw/master/csl-citation.json"} </w:instrText>
      </w:r>
      <w:r w:rsidR="00E25CDA"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(Sandroni et al., 2003; Bean et al., 2016a; de Mos M et al., 2009; Brunner et al., 2017; Bean et al., 2014a)</w:t>
      </w:r>
      <w:r w:rsidR="00E25CDA"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E96FFD" w:rsidRPr="005B09A9">
        <w:rPr>
          <w:rFonts w:ascii="Times New Roman" w:hAnsi="Times New Roman" w:cs="Times New Roman"/>
          <w:sz w:val="24"/>
          <w:szCs w:val="24"/>
        </w:rPr>
        <w:t xml:space="preserve"> l</w:t>
      </w:r>
      <w:r w:rsidR="00606BD6" w:rsidRPr="005B09A9">
        <w:rPr>
          <w:rFonts w:ascii="Times New Roman" w:hAnsi="Times New Roman" w:cs="Times New Roman"/>
          <w:sz w:val="24"/>
          <w:szCs w:val="24"/>
        </w:rPr>
        <w:t>eading to</w:t>
      </w:r>
      <w:r w:rsidR="00E25CDA" w:rsidRPr="005B09A9">
        <w:rPr>
          <w:rFonts w:ascii="Times New Roman" w:hAnsi="Times New Roman" w:cs="Times New Roman"/>
          <w:sz w:val="24"/>
          <w:szCs w:val="24"/>
        </w:rPr>
        <w:t xml:space="preserve"> an important additional cost for society</w:t>
      </w:r>
      <w:r w:rsidR="008D00DC" w:rsidRPr="005B09A9">
        <w:rPr>
          <w:rFonts w:ascii="Times New Roman" w:hAnsi="Times New Roman" w:cs="Times New Roman"/>
          <w:sz w:val="24"/>
          <w:szCs w:val="24"/>
        </w:rPr>
        <w:t xml:space="preserve"> </w:t>
      </w:r>
      <w:r w:rsidR="00E25CDA"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{"citationID":"7DUuKZA3","properties":{"formattedCitation":"(Scholz-Odermatt et al., 2019)","plainCitation":"(Scholz-Odermatt et al., 2019)","noteIndex":0},"citationItems":[{"id":167,"uris":["http://zotero.org/users/8777725/items/6J7HY3JX"],"itemData":{"id":167,"type":"article-journal","abstract":"OBJECTIVE: First, to determine the number of accident-related complex regional pain syndrome (CRPS) cases from 2008 to 2015 and to identify factors associated with an increased risk for developing CRPS. Second, to analyze the duration of work incapacity and direct health care costs over follow-up periods of two and five years, respectively.\nDESIGN: Retrospective data analysis.\nSETTING: Database from the Statistical Service for the Swiss National Accident Insurances covering all accidents insured under the compulsory Swiss Accident Insurance Law.\nSUBJECTS: Subjects were registered after an accident between 2008 and 2015.\nMETHODS: Cases were retrospectively retrieved from the Statistical Service for the Swiss National Accident Insurances. Cases were identified using the appropriate International Classification of Diseases, 10th Revision, codes.\nRESULTS: CRPS accounted for 0.15% of all accident cases. Age, female gender (odds ratio [OR] = 1.53, 95% confidence interval [CI] = 1.47-1.60), and fracture of the forearm (OR = 38, 95% CI = 35-42) were related to an increased risk of developing CRPS. Over five years, one CRPS case accumulated average insurance costs of $86,900 USD and treatment costs of $23,300 USD. Insurance costs were 19 times and treatment costs 13 times the average costs of accidents without CPRS. Within the first two years after the accident, the number of days lost at work was 20 times higher in patients with CRPS (330 ± 7 days) than in patients without CRPS (16.1 ± 0.1 days). Two-thirds of all CRPS cases developed long-term work incapacity of more than 90 days.\nCONCLUSION: CRPS is a relatively rare condition but is associated with high direct health care costs and work incapacity.","container-title":"Pain Medicine (Malden, Mass.)","DOI":"10.1093/pm/pnz030","ISSN":"1526-4637","issue":"8","journalAbbreviation":"Pain Med","language":"eng","note":"PMID: 30848817","page":"1559-1569","source":"PubMed","title":"Direct Health Care Cost and Work Incapacity Related to Complex Regional Pain Syndrome in Switzerland: A Retrospective Analysis from 2008 to 2015","title-short":"Direct Health Care Cost and Work Incapacity Related to Complex Regional Pain Syndrome in Switzerland","volume":"20","author":[{"family":"Scholz-Odermatt","given":"Stefan Markus"},{"family":"Luthi","given":"François"},{"family":"Wertli","given":"Maria Monika"},{"family":"Brunner","given":"Florian"}],"issued":{"date-parts":[["2019",8,1]]}}}],"schema":"https://github.com/citation-style-language/schema/raw/master/csl-citation.json"} </w:instrText>
      </w:r>
      <w:r w:rsidR="00E25CDA"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(Scholz-Odermatt et al., 2019)</w:t>
      </w:r>
      <w:r w:rsidR="00E25CDA"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D546AD" w:rsidRPr="005B09A9">
        <w:rPr>
          <w:rFonts w:ascii="Times New Roman" w:hAnsi="Times New Roman" w:cs="Times New Roman"/>
          <w:sz w:val="24"/>
          <w:szCs w:val="24"/>
        </w:rPr>
        <w:t xml:space="preserve"> </w:t>
      </w:r>
      <w:r w:rsidR="00E25CDA" w:rsidRPr="005B09A9">
        <w:rPr>
          <w:rFonts w:ascii="Times New Roman" w:hAnsi="Times New Roman" w:cs="Times New Roman"/>
          <w:sz w:val="24"/>
          <w:szCs w:val="24"/>
        </w:rPr>
        <w:t xml:space="preserve">Recent longitudinal studies suggest </w:t>
      </w:r>
      <w:r w:rsidR="00606BD6" w:rsidRPr="005B09A9">
        <w:rPr>
          <w:rFonts w:ascii="Times New Roman" w:hAnsi="Times New Roman" w:cs="Times New Roman"/>
          <w:sz w:val="24"/>
          <w:szCs w:val="24"/>
        </w:rPr>
        <w:t xml:space="preserve">that </w:t>
      </w:r>
      <w:r w:rsidR="00E25CDA" w:rsidRPr="005B09A9">
        <w:rPr>
          <w:rFonts w:ascii="Times New Roman" w:hAnsi="Times New Roman" w:cs="Times New Roman"/>
          <w:sz w:val="24"/>
          <w:szCs w:val="24"/>
        </w:rPr>
        <w:t>th</w:t>
      </w:r>
      <w:r w:rsidR="002A7F0C" w:rsidRPr="005B09A9">
        <w:rPr>
          <w:rFonts w:ascii="Times New Roman" w:hAnsi="Times New Roman" w:cs="Times New Roman"/>
          <w:sz w:val="24"/>
          <w:szCs w:val="24"/>
        </w:rPr>
        <w:t xml:space="preserve">e vast majority </w:t>
      </w:r>
      <w:r w:rsidR="005603EC" w:rsidRPr="005B09A9">
        <w:rPr>
          <w:rFonts w:ascii="Times New Roman" w:hAnsi="Times New Roman" w:cs="Times New Roman"/>
          <w:sz w:val="24"/>
          <w:szCs w:val="24"/>
        </w:rPr>
        <w:t xml:space="preserve">of </w:t>
      </w:r>
      <w:r w:rsidR="005E0BEB" w:rsidRPr="005B09A9">
        <w:rPr>
          <w:rFonts w:ascii="Times New Roman" w:hAnsi="Times New Roman" w:cs="Times New Roman"/>
          <w:sz w:val="24"/>
          <w:szCs w:val="24"/>
        </w:rPr>
        <w:t>individuals</w:t>
      </w:r>
      <w:r w:rsidR="005603EC" w:rsidRPr="005B09A9">
        <w:rPr>
          <w:rFonts w:ascii="Times New Roman" w:hAnsi="Times New Roman" w:cs="Times New Roman"/>
          <w:sz w:val="24"/>
          <w:szCs w:val="24"/>
        </w:rPr>
        <w:t xml:space="preserve"> </w:t>
      </w:r>
      <w:r w:rsidR="00773AED" w:rsidRPr="005B09A9">
        <w:rPr>
          <w:rFonts w:ascii="Times New Roman" w:hAnsi="Times New Roman" w:cs="Times New Roman"/>
          <w:sz w:val="24"/>
          <w:szCs w:val="24"/>
        </w:rPr>
        <w:t xml:space="preserve">do </w:t>
      </w:r>
      <w:r w:rsidR="002A7F0C" w:rsidRPr="005B09A9">
        <w:rPr>
          <w:rFonts w:ascii="Times New Roman" w:hAnsi="Times New Roman" w:cs="Times New Roman"/>
          <w:sz w:val="24"/>
          <w:szCs w:val="24"/>
        </w:rPr>
        <w:t>not reach</w:t>
      </w:r>
      <w:r w:rsidR="00E25CDA" w:rsidRPr="005B09A9">
        <w:rPr>
          <w:rFonts w:ascii="Times New Roman" w:hAnsi="Times New Roman" w:cs="Times New Roman"/>
          <w:sz w:val="24"/>
          <w:szCs w:val="24"/>
        </w:rPr>
        <w:t xml:space="preserve"> c</w:t>
      </w:r>
      <w:r w:rsidR="002A7F0C" w:rsidRPr="005B09A9">
        <w:rPr>
          <w:rFonts w:ascii="Times New Roman" w:hAnsi="Times New Roman" w:cs="Times New Roman"/>
          <w:sz w:val="24"/>
          <w:szCs w:val="24"/>
        </w:rPr>
        <w:t>om</w:t>
      </w:r>
      <w:r w:rsidR="00E25CDA" w:rsidRPr="005B09A9">
        <w:rPr>
          <w:rFonts w:ascii="Times New Roman" w:hAnsi="Times New Roman" w:cs="Times New Roman"/>
          <w:sz w:val="24"/>
          <w:szCs w:val="24"/>
        </w:rPr>
        <w:t>plete remission</w:t>
      </w:r>
      <w:r w:rsidR="00BE47DB" w:rsidRPr="005B09A9">
        <w:rPr>
          <w:rFonts w:ascii="Times New Roman" w:hAnsi="Times New Roman" w:cs="Times New Roman"/>
          <w:sz w:val="24"/>
          <w:szCs w:val="24"/>
        </w:rPr>
        <w:t>,</w:t>
      </w:r>
      <w:r w:rsidR="00606BD6" w:rsidRPr="005B09A9">
        <w:rPr>
          <w:rFonts w:ascii="Times New Roman" w:hAnsi="Times New Roman" w:cs="Times New Roman"/>
          <w:sz w:val="24"/>
          <w:szCs w:val="24"/>
        </w:rPr>
        <w:t xml:space="preserve"> and</w:t>
      </w:r>
      <w:r w:rsidRPr="005B09A9">
        <w:rPr>
          <w:rFonts w:ascii="Times New Roman" w:hAnsi="Times New Roman" w:cs="Times New Roman"/>
          <w:sz w:val="24"/>
          <w:szCs w:val="24"/>
        </w:rPr>
        <w:t xml:space="preserve"> 14 </w:t>
      </w:r>
      <w:r w:rsidR="00BE47DB" w:rsidRPr="005B09A9">
        <w:rPr>
          <w:rFonts w:ascii="Times New Roman" w:hAnsi="Times New Roman" w:cs="Times New Roman"/>
          <w:sz w:val="24"/>
          <w:szCs w:val="24"/>
        </w:rPr>
        <w:t xml:space="preserve">to </w:t>
      </w:r>
      <w:r w:rsidRPr="005B09A9">
        <w:rPr>
          <w:rFonts w:ascii="Times New Roman" w:hAnsi="Times New Roman" w:cs="Times New Roman"/>
          <w:sz w:val="24"/>
          <w:szCs w:val="24"/>
        </w:rPr>
        <w:t>27</w:t>
      </w:r>
      <w:r w:rsidR="00606BD6" w:rsidRPr="005B09A9">
        <w:rPr>
          <w:rFonts w:ascii="Times New Roman" w:hAnsi="Times New Roman" w:cs="Times New Roman"/>
          <w:sz w:val="24"/>
          <w:szCs w:val="24"/>
        </w:rPr>
        <w:t>%</w:t>
      </w:r>
      <w:r w:rsidR="00BE47DB" w:rsidRPr="005B09A9">
        <w:rPr>
          <w:rFonts w:ascii="Times New Roman" w:hAnsi="Times New Roman" w:cs="Times New Roman"/>
          <w:sz w:val="24"/>
          <w:szCs w:val="24"/>
        </w:rPr>
        <w:t xml:space="preserve"> of </w:t>
      </w:r>
      <w:r w:rsidR="005E0BEB" w:rsidRPr="005B09A9">
        <w:rPr>
          <w:rFonts w:ascii="Times New Roman" w:hAnsi="Times New Roman" w:cs="Times New Roman"/>
          <w:sz w:val="24"/>
          <w:szCs w:val="24"/>
        </w:rPr>
        <w:t>participants</w:t>
      </w:r>
      <w:r w:rsidR="00606BD6" w:rsidRPr="005B09A9">
        <w:rPr>
          <w:rFonts w:ascii="Times New Roman" w:hAnsi="Times New Roman" w:cs="Times New Roman"/>
          <w:sz w:val="24"/>
          <w:szCs w:val="24"/>
        </w:rPr>
        <w:t xml:space="preserve"> still meet</w:t>
      </w:r>
      <w:r w:rsidR="008D00DC" w:rsidRPr="005B09A9">
        <w:rPr>
          <w:rFonts w:ascii="Times New Roman" w:hAnsi="Times New Roman" w:cs="Times New Roman"/>
          <w:sz w:val="24"/>
          <w:szCs w:val="24"/>
        </w:rPr>
        <w:t xml:space="preserve"> </w:t>
      </w:r>
      <w:r w:rsidR="008D00DC" w:rsidRPr="005B09A9">
        <w:rPr>
          <w:rFonts w:ascii="Times New Roman" w:hAnsi="Times New Roman" w:cs="Times New Roman"/>
          <w:sz w:val="24"/>
          <w:szCs w:val="24"/>
        </w:rPr>
        <w:lastRenderedPageBreak/>
        <w:t xml:space="preserve">Budapest criteria at 12 months </w:t>
      </w:r>
      <w:r w:rsidR="00606BD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{"citationID":"pCq4L5vJ","properties":{"formattedCitation":"(Bean et al., 2016a; Beerthuizen et al., 2012; Brunner et al., 2017)","plainCitation":"(Bean et al., 2016a; Beerthuizen et al., 2012; Brunner et al., 2017)","noteIndex":0},"citationItems":[{"id":89,"uris":["http://zotero.org/users/8777725/items/IVFPSY5Y"],"itemData":{"id":89,"type":"article-journal","abstract":"Background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R."}],"issued":{"date-parts":[["2016",7]]}}},{"id":815,"uris":["http://zotero.org/users/8777725/items/8XJCHG9W"],"itemData":{"id":815,"type":"article-journal","abstract":"Background The timing of diagnosis of complex regional pain syndrome (CRPS) 1 remains a challenge due to the large heterogeneity of clinical presentations. We describe the distribution and differences in outcomes and clinical manifestations between time points and patient groups with and without CRPS 1 following an initiating event. Methods Prospective cohort study with a consecutive registration of patients presenting with painful swelling of the affected extremity after an initiating event and follow-up visits after 3, 6 and 12 months. Results Forty-two patients were enrolled (37 females, mean age 55.1 years). At baseline, 35 participants (83%, females n = 30) fulfilled the diagnostic criteria for CRPS 1. At 3 months, 19 out of the initial 35 CRPS 1 patients (54%) did not meet the diagnostic criteria anymore. Besides our inclusion criteria of a painful swelling, early manifestations indicating a CRPS 1 primarily include an impaired quality of life (SF-35, EQ5-D), more pain (NRS, MPQ) and restricted range of motion. Conclusions CRPS 1 develops within 8 weeks following a noxious event. Although many CRPS 1 patients reach partial remission within the first 3 months, signs and symptoms do not improve significantly at 1 year. In order to identify prognostic risk factors large prospective cohort studies are needed. Significance This prospective cohort study follows patients with complaints most suspected for complex regional pain syndrome (CRPS) 1. CRPS 1 develops within 8 weeks following a noxious event. Although many CRPS 1 patients reach partial remission within the 3 months, symptoms do not improve significantly at 1 year.","container-title":"European Journal of Pain","DOI":"10.1002/ejp.1064","ISSN":"1532-2149","issue":"9","language":"en","note":"_eprint: https://onlinelibrary.wiley.com/doi/pdf/10.1002/ejp.1064","page":"1611-1617","source":"Wiley Online Library","title":"Painful swelling after a noxious event and the development of complex regional pain syndrome 1: A one-year prospective study","title-short":"Painful swelling after a noxious event and the development of complex regional pain syndrome 1","volume":"21","author":[{"family":"Brunner","given":"F."},{"family":"Bachmann","given":"L.m."},{"family":"Perez","given":"R.s.g.m."},{"family":"Marinus","given":"J."},{"family":"Wertli","given":"M.m."}],"issued":{"date-parts":[["2017"]]}}},{"id":185,"uris":["http://zotero.org/users/8777725/items/V3KRMRJH"],"itemData":{"id":185,"type":"article-journal","abstract":"Limited data are available on the incidence of complex regional pain syndrome type 1 (CRPS1) and on demographic and medical risk factors for the development of CRPS1. The objective of this study was to investigate the incidence of CRPS1 in patients with a fracture using 3 sets of diagnostic criteria and to evaluate the association between demographic/medical factors and the development of CRPS1 diagnosed with the Harden and Bruehl criteria. A prospective multicenter cohort study of 596 patients (ages 18 years and older) with a single fracture of the wrist, scaphoid, ankle, or metatarsal V, recruited patients from the emergency rooms of 3 Dutch hospitals. Of the 596 participants, 42 (7.0%) were diagnosed with CRPS1 according to the Harden and Bruehl criteria, 289 (48.5%) according to the International Association for the Study of Pain criteria, and 127 (21.3%) according to the criteria of Veldman. An analysis of the medical and demographic differences revealed that patients in whom CRPS1 later developed more often had intra-articular fractures, fracture dislocations, rheumatoid arthri</w:instrText>
      </w:r>
      <w:r w:rsidR="00C00CEA" w:rsidRPr="005B09A9">
        <w:rPr>
          <w:rFonts w:ascii="Times New Roman" w:hAnsi="Times New Roman" w:cs="Times New Roman"/>
          <w:sz w:val="24"/>
          <w:szCs w:val="24"/>
          <w:lang w:val="fr-BE"/>
        </w:rPr>
        <w:instrText xml:space="preserve">tis, or musculoskeletal comorbidities. An ankle fracture, dislocation, and an intra-articular fracture contributed significantly to the prediction of the development of CRPS1. No CRPS1 patients were symptom free at 12 months (T3). At baseline, patients with CRPS1 had significantly more pain than patients without CRPS1 (P&lt;.001). The incidence of the diagnosis of CRPS1 after a single fracture depends to a large extent on the diagnostic criteria used. After a fracture, 7% of the patients developed CRPS1 and none of the patients were free of symptoms at 1-year follow-up.","container-title":"Pain","DOI":"10.1016/j.pain.2012.01.026","ISSN":"1872-6623","issue":"6","journalAbbreviation":"Pain","language":"eng","note":"PMID: 22386473","page":"1187-1192","source":"PubMed","title":"Demographic and medical parameters in the development of complex regional pain syndrome type 1 (CRPS1): prospective study on 596 patients with a fracture","title-short":"Demographic and medical parameters in the development of complex regional pain syndrome type 1 (CRPS1)","volume":"153","author":[{"family":"Beerthuizen","given":"Annemerle"},{"family":"Stronks","given":"Dirk L."},{"family":"Van't Spijker","given":"Adriaan"},{"family":"Yaksh","given":"Ameeta"},{"family":"Hanraets","given":"Barbara M."},{"family":"Klein","given":"Jan"},{"family":"Huygen","given":"Frank J. P. M."}],"issued":{"date-parts":[["2012",6]]}}}],"schema":"https://github.com/citation-style-language/schema/raw/master/csl-citation.json"} </w:instrText>
      </w:r>
      <w:r w:rsidR="00606BD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lang w:val="fr-BE"/>
        </w:rPr>
        <w:t>(Bean et al., 2016a; Beerthuizen et al., 2012; Brunner et al., 2017)</w:t>
      </w:r>
      <w:r w:rsidR="00606BD6"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lang w:val="fr-BE"/>
        </w:rPr>
        <w:t>.</w:t>
      </w:r>
      <w:r w:rsidR="00606BD6" w:rsidRPr="005B09A9">
        <w:rPr>
          <w:rFonts w:ascii="Times New Roman" w:hAnsi="Times New Roman" w:cs="Times New Roman"/>
          <w:sz w:val="24"/>
          <w:szCs w:val="24"/>
          <w:lang w:val="fr-BE"/>
        </w:rPr>
        <w:t xml:space="preserve"> </w:t>
      </w:r>
      <w:r w:rsidR="004737FA" w:rsidRPr="005B09A9">
        <w:rPr>
          <w:rFonts w:ascii="Times New Roman" w:hAnsi="Times New Roman" w:cs="Times New Roman"/>
          <w:sz w:val="24"/>
          <w:szCs w:val="24"/>
        </w:rPr>
        <w:t>Several</w:t>
      </w:r>
      <w:r w:rsidR="00B327DE" w:rsidRPr="005B09A9">
        <w:rPr>
          <w:rFonts w:ascii="Times New Roman" w:hAnsi="Times New Roman" w:cs="Times New Roman"/>
          <w:sz w:val="24"/>
          <w:szCs w:val="24"/>
        </w:rPr>
        <w:t xml:space="preserve"> </w:t>
      </w:r>
      <w:r w:rsidR="005813F1" w:rsidRPr="005B09A9">
        <w:rPr>
          <w:rFonts w:ascii="Times New Roman" w:hAnsi="Times New Roman" w:cs="Times New Roman"/>
          <w:sz w:val="24"/>
          <w:szCs w:val="24"/>
        </w:rPr>
        <w:t xml:space="preserve">risk </w:t>
      </w:r>
      <w:r w:rsidR="00207C0B" w:rsidRPr="005B09A9">
        <w:rPr>
          <w:rFonts w:ascii="Times New Roman" w:hAnsi="Times New Roman" w:cs="Times New Roman"/>
          <w:sz w:val="24"/>
          <w:szCs w:val="24"/>
        </w:rPr>
        <w:t xml:space="preserve">factors </w:t>
      </w:r>
      <w:r w:rsidR="005813F1" w:rsidRPr="005B09A9">
        <w:rPr>
          <w:rFonts w:ascii="Times New Roman" w:hAnsi="Times New Roman" w:cs="Times New Roman"/>
          <w:sz w:val="24"/>
          <w:szCs w:val="24"/>
        </w:rPr>
        <w:t xml:space="preserve">for the onset of the </w:t>
      </w:r>
      <w:r w:rsidR="0041698B" w:rsidRPr="005B09A9">
        <w:rPr>
          <w:rFonts w:ascii="Times New Roman" w:hAnsi="Times New Roman" w:cs="Times New Roman"/>
          <w:sz w:val="24"/>
          <w:szCs w:val="24"/>
        </w:rPr>
        <w:t>condition</w:t>
      </w:r>
      <w:r w:rsidR="00B327DE" w:rsidRPr="005B09A9">
        <w:rPr>
          <w:rFonts w:ascii="Times New Roman" w:hAnsi="Times New Roman" w:cs="Times New Roman"/>
          <w:sz w:val="24"/>
          <w:szCs w:val="24"/>
        </w:rPr>
        <w:t xml:space="preserve"> have been</w:t>
      </w:r>
      <w:r w:rsidR="00207C0B" w:rsidRPr="005B09A9">
        <w:rPr>
          <w:rFonts w:ascii="Times New Roman" w:hAnsi="Times New Roman" w:cs="Times New Roman"/>
          <w:sz w:val="24"/>
          <w:szCs w:val="24"/>
        </w:rPr>
        <w:t xml:space="preserve"> highlighted</w:t>
      </w:r>
      <w:r w:rsidR="008D00DC" w:rsidRPr="005B09A9">
        <w:rPr>
          <w:rFonts w:ascii="Times New Roman" w:hAnsi="Times New Roman" w:cs="Times New Roman"/>
          <w:sz w:val="24"/>
          <w:szCs w:val="24"/>
        </w:rPr>
        <w:t xml:space="preserve"> </w:t>
      </w:r>
      <w:r w:rsidR="004211E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{"citationID":"pAAboLFG","properties":{"formattedCitation":"(Pons et al., 2015)","plainCitation":"(Pons et al., 2015)","noteIndex":0},"citationItems":[{"id":244,"uris":["http://zotero.org/users/8777725/items/QZCXCE4X"],"itemData":{"id":244,"type":"article-journal","abstract":"Anaesthetists in the acute and chronic pain teams are often involved in treating Complex Regional Pain Syndromes. Current literature about the risk factors for the onset of Complex Regional Pain Syndrome Type 1 (CRPS 1) remains sparse. This syndrome has a low prevalence, a highly variable presentation, and no gold standard for diagnosis. In the research setting, the pathogenesis of the syndrome continues to be elusive. There is a growing body of literature that addresses efficacy of a wide range of interventions as well as the likely mechanisms that contribute to the onset of CRPS 1. The objective for this systematic search of the literature focuses on determining the potential risk factors for the onset of CRPS 1. Eligible articles were analysed, dated 1996 to April 2014, and potential risk factors for the onset of CRPS 1 were identified from 10 prospective and 6 retrospective studies. Potential risk factors for the onset of CRPS 1 were found to include being female, particularly postmenopausal female, ankle dislocation or intra-articular fracture, immobilisation, and a report of higher than usual levels of pain in the early phases of trauma. It is not possible to draw definite conclusions as this evidence is heterogeneous and of mixed quality, relevance, and weighting strength against bias and has not been confirmed across multiple trials or in homogenous studies.","container-title":"Anesthesiology Research and Practice","DOI":"10.1155/2015/956539","ISSN":"1687-6962","journalAbbreviation":"Anesthesiol Res Pract","note":"PMID: 25688265\nPMCID: PMC4321092","page":"956539","source":"PubMed Central","title":"Potential Risk Factors for the Onset of Complex Regional Pain Syndrome Type 1: A Systematic Literature Review","title-short":"Potential Risk Factors for the Onset of Complex Regional Pain Syndrome Type 1","volume":"2015","author":[{"family":"Pons","given":"Tracey"},{"family":"Shipton","given":"Edward A."},{"family":"Williman","given":"Jonathan"},{"family":"Mulder","given":"Roger T."}],"issued":{"date-parts":[["2015"]]}},"label":"page"}],"schema":"https://github.com/citation-style-language/schema/raw/master/csl-citation.json"} </w:instrText>
      </w:r>
      <w:r w:rsidR="004211E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(Pons et al., 2015)</w:t>
      </w:r>
      <w:r w:rsidR="004211E9" w:rsidRPr="005B09A9">
        <w:rPr>
          <w:rFonts w:ascii="Times New Roman" w:hAnsi="Times New Roman" w:cs="Times New Roman"/>
          <w:sz w:val="24"/>
          <w:szCs w:val="24"/>
        </w:rPr>
        <w:fldChar w:fldCharType="end"/>
      </w:r>
      <w:r w:rsidR="00E96FFD" w:rsidRPr="005B09A9">
        <w:rPr>
          <w:rFonts w:ascii="Times New Roman" w:hAnsi="Times New Roman" w:cs="Times New Roman"/>
          <w:sz w:val="24"/>
          <w:szCs w:val="24"/>
        </w:rPr>
        <w:t>,</w:t>
      </w:r>
      <w:r w:rsidR="005813F1" w:rsidRPr="005B09A9">
        <w:rPr>
          <w:rFonts w:ascii="Times New Roman" w:hAnsi="Times New Roman" w:cs="Times New Roman"/>
          <w:bCs/>
          <w:sz w:val="24"/>
          <w:szCs w:val="24"/>
        </w:rPr>
        <w:t xml:space="preserve"> </w:t>
      </w:r>
      <w:r w:rsidR="00B327DE" w:rsidRPr="005B09A9">
        <w:rPr>
          <w:rFonts w:ascii="Times New Roman" w:hAnsi="Times New Roman" w:cs="Times New Roman"/>
          <w:sz w:val="24"/>
          <w:szCs w:val="24"/>
        </w:rPr>
        <w:t xml:space="preserve">but evidence </w:t>
      </w:r>
      <w:r w:rsidR="00F44E1B" w:rsidRPr="005B09A9">
        <w:rPr>
          <w:rFonts w:ascii="Times New Roman" w:hAnsi="Times New Roman" w:cs="Times New Roman"/>
          <w:sz w:val="24"/>
          <w:szCs w:val="24"/>
        </w:rPr>
        <w:t xml:space="preserve">for </w:t>
      </w:r>
      <w:r w:rsidR="00FA5C94" w:rsidRPr="005B09A9">
        <w:rPr>
          <w:rFonts w:ascii="Times New Roman" w:hAnsi="Times New Roman" w:cs="Times New Roman"/>
          <w:sz w:val="24"/>
          <w:szCs w:val="24"/>
        </w:rPr>
        <w:t>prognostic factors</w:t>
      </w:r>
      <w:r w:rsidR="00FA12CE" w:rsidRPr="005B09A9">
        <w:rPr>
          <w:rFonts w:ascii="Times New Roman" w:hAnsi="Times New Roman" w:cs="Times New Roman"/>
          <w:sz w:val="24"/>
          <w:szCs w:val="24"/>
        </w:rPr>
        <w:t xml:space="preserve"> </w:t>
      </w:r>
      <w:r w:rsidR="00F44E1B" w:rsidRPr="005B09A9">
        <w:rPr>
          <w:rFonts w:ascii="Times New Roman" w:hAnsi="Times New Roman" w:cs="Times New Roman"/>
          <w:sz w:val="24"/>
          <w:szCs w:val="24"/>
        </w:rPr>
        <w:t>associated</w:t>
      </w:r>
      <w:r w:rsidR="00AE4DCA" w:rsidRPr="005B09A9">
        <w:rPr>
          <w:rFonts w:ascii="Times New Roman" w:hAnsi="Times New Roman" w:cs="Times New Roman"/>
          <w:sz w:val="24"/>
          <w:szCs w:val="24"/>
        </w:rPr>
        <w:t xml:space="preserve"> with</w:t>
      </w:r>
      <w:r w:rsidR="00F44E1B" w:rsidRPr="005B09A9">
        <w:rPr>
          <w:rFonts w:ascii="Times New Roman" w:hAnsi="Times New Roman" w:cs="Times New Roman"/>
          <w:sz w:val="24"/>
          <w:szCs w:val="24"/>
        </w:rPr>
        <w:t xml:space="preserve"> </w:t>
      </w:r>
      <w:r w:rsidR="00FA12CE" w:rsidRPr="005B09A9">
        <w:rPr>
          <w:rFonts w:ascii="Times New Roman" w:hAnsi="Times New Roman" w:cs="Times New Roman"/>
          <w:sz w:val="24"/>
          <w:szCs w:val="24"/>
        </w:rPr>
        <w:t>established CRP</w:t>
      </w:r>
      <w:r w:rsidR="00DF6C62" w:rsidRPr="005B09A9">
        <w:rPr>
          <w:rFonts w:ascii="Times New Roman" w:hAnsi="Times New Roman" w:cs="Times New Roman"/>
          <w:sz w:val="24"/>
          <w:szCs w:val="24"/>
        </w:rPr>
        <w:t>S</w:t>
      </w:r>
      <w:r w:rsidR="00BB468A" w:rsidRPr="005B09A9">
        <w:rPr>
          <w:rFonts w:ascii="Times New Roman" w:hAnsi="Times New Roman" w:cs="Times New Roman"/>
          <w:sz w:val="24"/>
          <w:szCs w:val="24"/>
        </w:rPr>
        <w:t xml:space="preserve"> progression remains sparse</w:t>
      </w:r>
      <w:r w:rsidR="008D00DC" w:rsidRPr="005B09A9">
        <w:rPr>
          <w:rFonts w:ascii="Times New Roman" w:hAnsi="Times New Roman" w:cs="Times New Roman"/>
          <w:sz w:val="24"/>
          <w:szCs w:val="24"/>
        </w:rPr>
        <w:t xml:space="preserve"> </w:t>
      </w:r>
      <w:r w:rsidR="00DF6C62"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{"citationID":"9nYr65Q5","properties":{"formattedCitation":"(Wertli et al., 2013)","plainCitation":"(Wertli et al., 2013)","noteIndex":0},"citationItems":[{"id":215,"uris":["http://zotero.org/users/8777725/items/3U3BU2GE"],"itemData":{"id":215,"type":"article-journal","abstract":"OBJECTIVE: The aim of this systematic review was to merge and summarize the current evidence about prognostic factors relevant to the course of complex regional pain syndrome 1.\nMETHODS: MEDLINE, Embase, PsychINFO, CENTRAL and screened reference lists of included studies were searched for studies of parameters associated with the prognosis of the condition. Studies investigating stroke-related complex regional pain syndrome were excluded.\nRESULTS: Searches retrieved 2,577 references, of which 12 articles were included in the study. The preferred diagnostic criteria were the Veldman and the International Association for the Study of Pain criteria. The mean level of study quality was insufficient. A total of 28 prognostic factors was identified. Sensory disturbances and cold skin temperature appear to represent parameters associated with poor prognosis in complex regional pain syndrome 1. For many parameters the evidence is contradictory.\nCONCLUSION: Evidence about prognostic factors for complex regional pain syndrome 1 is scarce, which prevents firm conclusions being drawn. Further high-quality aetiological and clinical research is needed.","container-title":"Journal of Rehabilitation Medicine","DOI":"10.2340/16501977-1103","ISSN":"1651-2081","issue":"3","journalAbbreviation":"J Rehabil Med","language":"eng","note":"PMID: 23389624","page":"225-231","source":"PubMed","title":"Prognostic factors in complex regional pain syndrome 1: a systematic review","title-short":"Prognostic factors in complex regional pain syndrome 1","volume":"45","author":[{"family":"Wertli","given":"Maria"},{"family":"Bachmann","given":"Lucas M."},{"family":"Weiner","given":"Shira Schecter"},{"family":"Brunner","given":"Florian"}],"issued":{"date-parts":[["2013",3]]}}}],"schema":"https://github.com/citation-style-language/schema/raw/master/csl-citation.json"} </w:instrText>
      </w:r>
      <w:r w:rsidR="00DF6C62"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(Wertli et al., 2013)</w:t>
      </w:r>
      <w:r w:rsidR="00DF6C62"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7E3B76" w:rsidRPr="005B09A9">
        <w:rPr>
          <w:rFonts w:ascii="Times New Roman" w:hAnsi="Times New Roman" w:cs="Times New Roman"/>
          <w:sz w:val="24"/>
          <w:szCs w:val="24"/>
        </w:rPr>
        <w:t xml:space="preserve"> This</w:t>
      </w:r>
      <w:r w:rsidR="00FA12CE" w:rsidRPr="005B09A9">
        <w:rPr>
          <w:rFonts w:ascii="Times New Roman" w:hAnsi="Times New Roman" w:cs="Times New Roman"/>
          <w:sz w:val="24"/>
          <w:szCs w:val="24"/>
        </w:rPr>
        <w:t xml:space="preserve"> </w:t>
      </w:r>
      <w:r w:rsidR="005603EC" w:rsidRPr="005B09A9">
        <w:rPr>
          <w:rFonts w:ascii="Times New Roman" w:hAnsi="Times New Roman" w:cs="Times New Roman"/>
          <w:sz w:val="24"/>
          <w:szCs w:val="24"/>
        </w:rPr>
        <w:t>makes</w:t>
      </w:r>
      <w:r w:rsidR="00A14AE3" w:rsidRPr="005B09A9">
        <w:rPr>
          <w:rFonts w:ascii="Times New Roman" w:hAnsi="Times New Roman" w:cs="Times New Roman"/>
          <w:sz w:val="24"/>
          <w:szCs w:val="24"/>
        </w:rPr>
        <w:t xml:space="preserve"> it</w:t>
      </w:r>
      <w:r w:rsidR="005603EC" w:rsidRPr="005B09A9">
        <w:rPr>
          <w:rFonts w:ascii="Times New Roman" w:hAnsi="Times New Roman" w:cs="Times New Roman"/>
          <w:sz w:val="24"/>
          <w:szCs w:val="24"/>
        </w:rPr>
        <w:t xml:space="preserve"> difficult</w:t>
      </w:r>
      <w:r w:rsidR="00FA12CE" w:rsidRPr="005B09A9">
        <w:rPr>
          <w:rFonts w:ascii="Times New Roman" w:hAnsi="Times New Roman" w:cs="Times New Roman"/>
          <w:sz w:val="24"/>
          <w:szCs w:val="24"/>
        </w:rPr>
        <w:t xml:space="preserve"> </w:t>
      </w:r>
      <w:r w:rsidR="00A14AE3" w:rsidRPr="005B09A9">
        <w:rPr>
          <w:rFonts w:ascii="Times New Roman" w:hAnsi="Times New Roman" w:cs="Times New Roman"/>
          <w:sz w:val="24"/>
          <w:szCs w:val="24"/>
        </w:rPr>
        <w:t xml:space="preserve">to </w:t>
      </w:r>
      <w:r w:rsidR="00FA12CE" w:rsidRPr="005B09A9">
        <w:rPr>
          <w:rFonts w:ascii="Times New Roman" w:hAnsi="Times New Roman" w:cs="Times New Roman"/>
          <w:sz w:val="24"/>
          <w:szCs w:val="24"/>
        </w:rPr>
        <w:t xml:space="preserve">develop interventions </w:t>
      </w:r>
      <w:r w:rsidR="005603EC" w:rsidRPr="005B09A9">
        <w:rPr>
          <w:rFonts w:ascii="Times New Roman" w:hAnsi="Times New Roman" w:cs="Times New Roman"/>
          <w:sz w:val="24"/>
          <w:szCs w:val="24"/>
        </w:rPr>
        <w:t>aiming</w:t>
      </w:r>
      <w:r w:rsidR="00FA12CE" w:rsidRPr="005B09A9">
        <w:rPr>
          <w:rFonts w:ascii="Times New Roman" w:hAnsi="Times New Roman" w:cs="Times New Roman"/>
          <w:sz w:val="24"/>
          <w:szCs w:val="24"/>
        </w:rPr>
        <w:t xml:space="preserve"> at</w:t>
      </w:r>
      <w:r w:rsidR="00B327DE" w:rsidRPr="005B09A9">
        <w:rPr>
          <w:rFonts w:ascii="Times New Roman" w:hAnsi="Times New Roman" w:cs="Times New Roman"/>
          <w:sz w:val="24"/>
          <w:szCs w:val="24"/>
        </w:rPr>
        <w:t xml:space="preserve"> secondary prevention (</w:t>
      </w:r>
      <w:r w:rsidR="00B24F52" w:rsidRPr="005B09A9">
        <w:rPr>
          <w:rFonts w:ascii="Times New Roman" w:hAnsi="Times New Roman" w:cs="Times New Roman"/>
          <w:sz w:val="24"/>
          <w:szCs w:val="24"/>
        </w:rPr>
        <w:t xml:space="preserve">i.e., </w:t>
      </w:r>
      <w:r w:rsidR="00B327DE" w:rsidRPr="005B09A9">
        <w:rPr>
          <w:rFonts w:ascii="Times New Roman" w:hAnsi="Times New Roman" w:cs="Times New Roman"/>
          <w:sz w:val="24"/>
          <w:szCs w:val="24"/>
        </w:rPr>
        <w:t xml:space="preserve">reducing the impact of </w:t>
      </w:r>
      <w:r w:rsidR="0041698B" w:rsidRPr="005B09A9">
        <w:rPr>
          <w:rFonts w:ascii="Times New Roman" w:hAnsi="Times New Roman" w:cs="Times New Roman"/>
          <w:sz w:val="24"/>
          <w:szCs w:val="24"/>
        </w:rPr>
        <w:t>disease</w:t>
      </w:r>
      <w:r w:rsidR="00B327DE" w:rsidRPr="005B09A9">
        <w:rPr>
          <w:rFonts w:ascii="Times New Roman" w:hAnsi="Times New Roman" w:cs="Times New Roman"/>
          <w:sz w:val="24"/>
          <w:szCs w:val="24"/>
        </w:rPr>
        <w:t xml:space="preserve"> or injury, in this case preventing </w:t>
      </w:r>
      <w:r w:rsidR="00217725" w:rsidRPr="005B09A9">
        <w:rPr>
          <w:rFonts w:ascii="Times New Roman" w:hAnsi="Times New Roman" w:cs="Times New Roman"/>
          <w:sz w:val="24"/>
          <w:szCs w:val="24"/>
        </w:rPr>
        <w:t>chronification</w:t>
      </w:r>
      <w:r w:rsidR="00B327DE" w:rsidRPr="005B09A9">
        <w:rPr>
          <w:rFonts w:ascii="Times New Roman" w:hAnsi="Times New Roman" w:cs="Times New Roman"/>
          <w:sz w:val="24"/>
          <w:szCs w:val="24"/>
        </w:rPr>
        <w:t xml:space="preserve"> of acute or subacute pain</w:t>
      </w:r>
      <w:r w:rsidR="008D00DC" w:rsidRPr="005B09A9">
        <w:rPr>
          <w:rFonts w:ascii="Times New Roman" w:hAnsi="Times New Roman" w:cs="Times New Roman"/>
          <w:sz w:val="24"/>
          <w:szCs w:val="24"/>
        </w:rPr>
        <w:t xml:space="preserve"> </w:t>
      </w:r>
      <w:r w:rsidR="00DF6C62"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{"citationID":"ChKpJGnX","properties":{"formattedCitation":"(Meyer et al., 2018)","plainCitation":"(Meyer et al., 2018)","noteIndex":0},"citationItems":[{"id":1246,"uris":["http://zotero.org/users/8777725/items/NJIG9CL6"],"itemData":{"id":1246,"type":"article-journal","abstract":"BACKGROUND: Chronic musculoskeletal pain disorders are highly prevalent and have high personal and societal cost. Hence, early detection and care of patients at risk of developing chronic pain is important. Risk factors are well known and screening tools exist, but much less is known about the care of at-risk patients. The aim of this study was to investigate the effectiveness of secondary prevention strategies for musculoskeletal pain.\nMETHODS: We performed a systematic review of clinical trials in which treatments were adjusted to the risk of chronicity in adults with acute or subacute musculoskeletal pain. Clinical trials, systematic reviews and meta-analyses published after January 1, 2000 were searched in PubMed and PEDro databases and in the reference list of relevant papers. The risk of bias was assessed by the PEDro score.\nRESULTS: We identified 4807 potentially eligible articles; 13, corresponding to 9 studies, met the inclusion criteria. Most studies investigated low back pain. The overall risk of bias was moderate, mainly because of the difficulty of blinding in physiotherapy studies. As compared with a \"one-size-fits-all\" treatment, stratified programmes showed significant improvements in several domains of the International Classification of Functioning, Disability and Health: body structures and functions (pain, mood), activities (functional capacity), participation (return to work, quality of life), as well as environmental factors (healthcare consumption). Effect sizes were moderate. Overall, simple educational messages seemed sufficient for low-risk patients. Medium- and high-risk patients benefited from a physical reactivation programme combined with education. In high-risk patients, an additional cognitive-behavioural intervention further improved the outcome.\nCONCLUSIONS: A stratified approach seems effective in reducing long-term disability in patients with musculoskeletal pain. However, more research is necessary to confirm these results.","container-title":"Annals of Physical and Rehabilitation Medicine","DOI":"10.1016/j.rehab.2018.03.002","ISSN":"1877-0665","issue":"5","journalAbbreviation":"Ann Phys Rehabil Med","language":"eng","note":"PMID: 29578102","page":"323-338","source":"PubMed","title":"Secondary prevention of chronic musculoskeletal pain: A systematic review of clinical trials","title-short":"Secondary prevention of chronic musculoskeletal pain","volume":"61","author":[{"family":"Meyer","given":"Caroline"},{"family":"Denis","given":"Camille M."},{"family":"Berquin","given":"Anne D."}],"issued":{"date-parts":[["2018",9]]}}}],"schema":"https://github.com/citation-style-language/schema/raw/master/csl-citation.json"} </w:instrText>
      </w:r>
      <w:r w:rsidR="00DF6C62"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(Meyer et al., 2018)</w:t>
      </w:r>
      <w:r w:rsidR="00DF6C62" w:rsidRPr="005B09A9">
        <w:rPr>
          <w:rFonts w:ascii="Times New Roman" w:hAnsi="Times New Roman" w:cs="Times New Roman"/>
          <w:sz w:val="24"/>
          <w:szCs w:val="24"/>
        </w:rPr>
        <w:fldChar w:fldCharType="end"/>
      </w:r>
      <w:r w:rsidR="00B327DE" w:rsidRPr="005B09A9">
        <w:rPr>
          <w:rFonts w:ascii="Times New Roman" w:hAnsi="Times New Roman" w:cs="Times New Roman"/>
          <w:sz w:val="24"/>
          <w:szCs w:val="24"/>
        </w:rPr>
        <w:t>)</w:t>
      </w:r>
      <w:r w:rsidR="00155077" w:rsidRPr="005B09A9">
        <w:rPr>
          <w:rFonts w:ascii="Times New Roman" w:hAnsi="Times New Roman" w:cs="Times New Roman"/>
          <w:sz w:val="24"/>
          <w:szCs w:val="24"/>
        </w:rPr>
        <w:t xml:space="preserve"> whereas it has been showed </w:t>
      </w:r>
      <w:r w:rsidR="00E61418" w:rsidRPr="005B09A9">
        <w:rPr>
          <w:rFonts w:ascii="Times New Roman" w:hAnsi="Times New Roman" w:cs="Times New Roman"/>
          <w:sz w:val="24"/>
          <w:szCs w:val="24"/>
        </w:rPr>
        <w:t xml:space="preserve">that a therapeutic stratified approach, allowed by  the early assessment of the risk of </w:t>
      </w:r>
      <w:r w:rsidR="009930F4" w:rsidRPr="005B09A9">
        <w:rPr>
          <w:rFonts w:ascii="Times New Roman" w:hAnsi="Times New Roman" w:cs="Times New Roman"/>
          <w:sz w:val="24"/>
          <w:szCs w:val="24"/>
        </w:rPr>
        <w:t>chronification</w:t>
      </w:r>
      <w:r w:rsidR="00E61418" w:rsidRPr="005B09A9">
        <w:rPr>
          <w:rFonts w:ascii="Times New Roman" w:hAnsi="Times New Roman" w:cs="Times New Roman"/>
          <w:sz w:val="24"/>
          <w:szCs w:val="24"/>
        </w:rPr>
        <w:t>, seems effective in reducing long-term disability in patients with musculoskeletal pain</w:t>
      </w:r>
      <w:r w:rsidR="008D00DC" w:rsidRPr="005B09A9">
        <w:rPr>
          <w:rFonts w:ascii="Times New Roman" w:hAnsi="Times New Roman" w:cs="Times New Roman"/>
          <w:sz w:val="24"/>
          <w:szCs w:val="24"/>
        </w:rPr>
        <w:t xml:space="preserve"> </w:t>
      </w:r>
      <w:r w:rsidR="009930F4"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{"citationID":"ueo9bzVs","properties":{"formattedCitation":"(Meyer et al., 2018)","plainCitation":"(Meyer et al., 2018)","noteIndex":0},"citationItems":[{"id":1246,"uris":["http://zotero.org/users/8777725/items/NJIG9CL6"],"itemData":{"id":1246,"type":"article-journal","abstract":"BACKGROUND: Chronic musculoskeletal pain disorders are highly prevalent and have high personal and societal cost. Hence, early detection and care of patients at risk of developing chronic pain is important. Risk factors are well known and screening tools exist, but much less is known about the care of at-risk patients. The aim of this study was to investigate the effectiveness of secondary prevention strategies for musculoskeletal pain.\nMETHODS: We performed a systematic review of clinical trials in which treatments were adjusted to the risk of chronicity in adults with acute or subacute musculoskeletal pain. Clinical trials, systematic reviews and meta-analyses published after January 1, 2000 were searched in PubMed and PEDro databases and in the reference list of relevant papers. The risk of bias was assessed by the PEDro score.\nRESULTS: We identified 4807 potentially eligible articles; 13, corresponding to 9 studies, met the inclusion criteria. Most studies investigated low back pain. The overall risk of bias was moderate, mainly because of the difficulty of blinding in physiotherapy studies. As compared with a \"one-size-fits-all\" treatment, stratified programmes showed significant improvements in several domains of the International Classification of Functioning, Disability and Health: body structures and functions (pain, mood), activities (functional capacity), participation (return to work, quality of life), as well as environmental factors (healthcare consumption). Effect sizes were moderate. Overall, simple educational messages seemed sufficient for low-risk patients. Medium- and high-risk patients benefited from a physical reactivation programme combined with education. In high-risk patients, an additional cognitive-behavioural intervention further improved the outcome.\nCONCLUSIONS: A stratified approach seems effective in reducing long-term disability in patients with musculoskeletal pain. However, more research is necessary to confirm these results.","container-title":"Annals of Physical and Rehabilitation Medicine","DOI":"10.1016/j.rehab.2018.03.002","ISSN":"1877-0665","issue":"5","journalAbbreviation":"Ann Phys Rehabil Med","language":"eng","note":"PMID: 29578102","page":"323-338","source":"PubMed","title":"Secondary prevention of chronic musculoskeletal pain: A systematic review of clinical trials","title-short":"Secondary prevention of chronic musculoskeletal pain","volume":"61","author":[{"family":"Meyer","given":"Caroline"},{"family":"Denis","given":"Camille M."},{"family":"Berquin","given":"Anne D."}],"issued":{"date-parts":[["2018",9]]}}}],"schema":"https://github.com/citation-style-language/schema/raw/master/csl-citation.json"} </w:instrText>
      </w:r>
      <w:r w:rsidR="009930F4"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(Meyer et al., 2018)</w:t>
      </w:r>
      <w:r w:rsidR="009930F4"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B327DE" w:rsidRPr="005B09A9">
        <w:rPr>
          <w:rFonts w:ascii="Times New Roman" w:hAnsi="Times New Roman" w:cs="Times New Roman"/>
          <w:sz w:val="24"/>
          <w:szCs w:val="24"/>
        </w:rPr>
        <w:t xml:space="preserve"> </w:t>
      </w:r>
    </w:p>
    <w:p w14:paraId="06628F0E" w14:textId="6D00A05F" w:rsidR="004325BA" w:rsidRPr="005B09A9" w:rsidRDefault="00D358FA" w:rsidP="003B7B2C">
      <w:pPr>
        <w:autoSpaceDE w:val="0"/>
        <w:autoSpaceDN w:val="0"/>
        <w:adjustRightInd w:val="0"/>
        <w:spacing w:after="0" w:line="480" w:lineRule="auto"/>
        <w:jc w:val="left"/>
        <w:rPr>
          <w:rFonts w:ascii="Times New Roman" w:hAnsi="Times New Roman" w:cs="Times New Roman"/>
          <w:sz w:val="24"/>
          <w:szCs w:val="24"/>
        </w:rPr>
      </w:pPr>
      <w:r w:rsidRPr="005B09A9">
        <w:rPr>
          <w:rFonts w:ascii="Times New Roman" w:hAnsi="Times New Roman" w:cs="Times New Roman"/>
          <w:sz w:val="24"/>
          <w:szCs w:val="24"/>
        </w:rPr>
        <w:t>To our knowledge,</w:t>
      </w:r>
      <w:r w:rsidR="006B17EB" w:rsidRPr="005B09A9">
        <w:rPr>
          <w:rFonts w:ascii="Times New Roman" w:hAnsi="Times New Roman" w:cs="Times New Roman"/>
          <w:sz w:val="24"/>
          <w:szCs w:val="24"/>
        </w:rPr>
        <w:t xml:space="preserve"> only </w:t>
      </w:r>
      <w:r w:rsidR="004737FA" w:rsidRPr="005B09A9">
        <w:rPr>
          <w:rFonts w:ascii="Times New Roman" w:hAnsi="Times New Roman" w:cs="Times New Roman"/>
          <w:sz w:val="24"/>
          <w:szCs w:val="24"/>
        </w:rPr>
        <w:t xml:space="preserve">one </w:t>
      </w:r>
      <w:r w:rsidR="00FA12CE" w:rsidRPr="005B09A9">
        <w:rPr>
          <w:rFonts w:ascii="Times New Roman" w:hAnsi="Times New Roman" w:cs="Times New Roman"/>
          <w:sz w:val="24"/>
          <w:szCs w:val="24"/>
        </w:rPr>
        <w:t xml:space="preserve">systematic review </w:t>
      </w:r>
      <w:r w:rsidR="00454887" w:rsidRPr="005B09A9">
        <w:rPr>
          <w:rFonts w:ascii="Times New Roman" w:hAnsi="Times New Roman" w:cs="Times New Roman"/>
          <w:sz w:val="24"/>
          <w:szCs w:val="24"/>
        </w:rPr>
        <w:t>has been</w:t>
      </w:r>
      <w:r w:rsidR="004737FA" w:rsidRPr="005B09A9">
        <w:rPr>
          <w:rFonts w:ascii="Times New Roman" w:hAnsi="Times New Roman" w:cs="Times New Roman"/>
          <w:sz w:val="24"/>
          <w:szCs w:val="24"/>
        </w:rPr>
        <w:t xml:space="preserve"> published </w:t>
      </w:r>
      <w:r w:rsidR="00FA12CE" w:rsidRPr="005B09A9">
        <w:rPr>
          <w:rFonts w:ascii="Times New Roman" w:hAnsi="Times New Roman" w:cs="Times New Roman"/>
          <w:sz w:val="24"/>
          <w:szCs w:val="24"/>
        </w:rPr>
        <w:t>on</w:t>
      </w:r>
      <w:r w:rsidR="00AB626D" w:rsidRPr="005B09A9">
        <w:rPr>
          <w:rFonts w:ascii="Times New Roman" w:hAnsi="Times New Roman" w:cs="Times New Roman"/>
          <w:sz w:val="24"/>
          <w:szCs w:val="24"/>
        </w:rPr>
        <w:t xml:space="preserve"> the prognostic factors </w:t>
      </w:r>
      <w:r w:rsidR="004737FA" w:rsidRPr="005B09A9">
        <w:rPr>
          <w:rFonts w:ascii="Times New Roman" w:hAnsi="Times New Roman" w:cs="Times New Roman"/>
          <w:sz w:val="24"/>
          <w:szCs w:val="24"/>
        </w:rPr>
        <w:t>in</w:t>
      </w:r>
      <w:r w:rsidR="00B3574D" w:rsidRPr="005B09A9">
        <w:rPr>
          <w:rFonts w:ascii="Times New Roman" w:hAnsi="Times New Roman" w:cs="Times New Roman"/>
          <w:sz w:val="24"/>
          <w:szCs w:val="24"/>
        </w:rPr>
        <w:t xml:space="preserve"> </w:t>
      </w:r>
      <w:r w:rsidR="00AB626D" w:rsidRPr="005B09A9">
        <w:rPr>
          <w:rFonts w:ascii="Times New Roman" w:hAnsi="Times New Roman" w:cs="Times New Roman"/>
          <w:sz w:val="24"/>
          <w:szCs w:val="24"/>
        </w:rPr>
        <w:t>CRPS</w:t>
      </w:r>
      <w:r w:rsidR="008D00DC" w:rsidRPr="005B09A9">
        <w:rPr>
          <w:rFonts w:ascii="Times New Roman" w:hAnsi="Times New Roman" w:cs="Times New Roman"/>
          <w:sz w:val="24"/>
          <w:szCs w:val="24"/>
        </w:rPr>
        <w:t xml:space="preserve"> </w:t>
      </w:r>
      <w:r w:rsidR="00A45E17"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{"citationID":"MeyqB7R9","properties":{"formattedCitation":"(Wertli et al., 2013)","plainCitation":"(Wertli et al., 2013)","noteIndex":0},"citationItems":[{"id":215,"uris":["http://zotero.org/users/8777725/items/3U3BU2GE"],"itemData":{"id":215,"type":"article-journal","abstract":"OBJECTIVE: The aim of this systematic review was to merge and summarize the current evidence about prognostic factors relevant to the course of complex regional pain syndrome 1.\nMETHODS: MEDLINE, Embase, PsychINFO, CENTRAL and screened reference lists of included studies were searched for studies of parameters associated with the prognosis of the condition. Studies investigating stroke-related complex regional pain syndrome were excluded.\nRESULTS: Searches retrieved 2,577 references, of which 12 articles were included in the study. The preferred diagnostic criteria were the Veldman and the International Association for the Study of Pain criteria. The mean level of study quality was insufficient. A total of 28 prognostic factors was identified. Sensory disturbances and cold skin temperature appear to represent parameters associated with poor prognosis in complex regional pain syndrome 1. For many parameters the evidence is contradictory.\nCONCLUSION: Evidence about prognostic factors for complex regional pain syndrome 1 is scarce, which prevents firm conclusions being drawn. Further high-quality aetiological and clinical research is needed.","container-title":"Journal of Rehabilitation Medicine","DOI":"10.2340/16501977-1103","ISSN":"1651-2081","issue":"3","journalAbbreviation":"J Rehabil Med","language":"eng","note":"PMID: 23389624","page":"225-231","source":"PubMed","title":"Prognostic factors in complex regional pain syndrome 1: a systematic review","title-short":"Prognostic factors in complex regional pain syndrome 1","volume":"45","author":[{"family":"Wertli","given":"Maria"},{"family":"Bachmann","given":"Lucas M."},{"family":"Weiner","given":"Shira Schecter"},{"family":"Brunner","given":"Florian"}],"issued":{"date-parts":[["2013",3]]}}}],"schema":"https://github.com/citation-style-language/schema/raw/master/csl-citation.json"} </w:instrText>
      </w:r>
      <w:r w:rsidR="00A45E17"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(Wertli et al., 2013)</w:t>
      </w:r>
      <w:r w:rsidR="00A45E17"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6B17EB" w:rsidRPr="005B09A9">
        <w:rPr>
          <w:rFonts w:ascii="Times New Roman" w:hAnsi="Times New Roman" w:cs="Times New Roman"/>
          <w:sz w:val="24"/>
          <w:szCs w:val="24"/>
        </w:rPr>
        <w:t xml:space="preserve"> Based on the literature published between 1990 and 2011, </w:t>
      </w:r>
      <w:r w:rsidR="004737FA" w:rsidRPr="005B09A9">
        <w:rPr>
          <w:rFonts w:ascii="Times New Roman" w:hAnsi="Times New Roman" w:cs="Times New Roman"/>
          <w:sz w:val="24"/>
          <w:szCs w:val="24"/>
        </w:rPr>
        <w:t>the authors</w:t>
      </w:r>
      <w:r w:rsidR="00B3574D" w:rsidRPr="005B09A9">
        <w:rPr>
          <w:rFonts w:ascii="Times New Roman" w:hAnsi="Times New Roman" w:cs="Times New Roman"/>
          <w:sz w:val="24"/>
          <w:szCs w:val="24"/>
        </w:rPr>
        <w:t xml:space="preserve"> identified </w:t>
      </w:r>
      <w:r w:rsidR="006B17EB" w:rsidRPr="005B09A9">
        <w:rPr>
          <w:rFonts w:ascii="Times New Roman" w:hAnsi="Times New Roman" w:cs="Times New Roman"/>
          <w:sz w:val="24"/>
          <w:szCs w:val="24"/>
        </w:rPr>
        <w:t xml:space="preserve">that </w:t>
      </w:r>
      <w:r w:rsidR="006B17EB" w:rsidRPr="005B09A9">
        <w:rPr>
          <w:rFonts w:ascii="Times New Roman" w:hAnsi="Times New Roman" w:cs="Times New Roman"/>
          <w:i/>
          <w:sz w:val="24"/>
          <w:szCs w:val="24"/>
        </w:rPr>
        <w:t xml:space="preserve">sensory </w:t>
      </w:r>
      <w:r w:rsidR="000556BC" w:rsidRPr="005B09A9">
        <w:rPr>
          <w:rFonts w:ascii="Times New Roman" w:hAnsi="Times New Roman" w:cs="Times New Roman"/>
          <w:i/>
          <w:sz w:val="24"/>
          <w:szCs w:val="24"/>
        </w:rPr>
        <w:t>disturbance</w:t>
      </w:r>
      <w:r w:rsidR="006B17EB" w:rsidRPr="005B09A9">
        <w:rPr>
          <w:rFonts w:ascii="Times New Roman" w:hAnsi="Times New Roman" w:cs="Times New Roman"/>
          <w:sz w:val="24"/>
          <w:szCs w:val="24"/>
        </w:rPr>
        <w:t xml:space="preserve"> and </w:t>
      </w:r>
      <w:r w:rsidR="006B17EB" w:rsidRPr="005B09A9">
        <w:rPr>
          <w:rFonts w:ascii="Times New Roman" w:hAnsi="Times New Roman" w:cs="Times New Roman"/>
          <w:i/>
          <w:sz w:val="24"/>
          <w:szCs w:val="24"/>
        </w:rPr>
        <w:t>cold skin temperature</w:t>
      </w:r>
      <w:r w:rsidR="006B17EB" w:rsidRPr="005B09A9">
        <w:rPr>
          <w:rFonts w:ascii="Times New Roman" w:hAnsi="Times New Roman" w:cs="Times New Roman"/>
          <w:sz w:val="24"/>
          <w:szCs w:val="24"/>
        </w:rPr>
        <w:t xml:space="preserve"> in </w:t>
      </w:r>
      <w:r w:rsidR="00840335" w:rsidRPr="005B09A9">
        <w:rPr>
          <w:rFonts w:ascii="Times New Roman" w:hAnsi="Times New Roman" w:cs="Times New Roman"/>
          <w:sz w:val="24"/>
          <w:szCs w:val="24"/>
        </w:rPr>
        <w:t xml:space="preserve">type I </w:t>
      </w:r>
      <w:r w:rsidR="006B17EB" w:rsidRPr="005B09A9">
        <w:rPr>
          <w:rFonts w:ascii="Times New Roman" w:hAnsi="Times New Roman" w:cs="Times New Roman"/>
          <w:sz w:val="24"/>
          <w:szCs w:val="24"/>
        </w:rPr>
        <w:t>CR</w:t>
      </w:r>
      <w:r w:rsidR="00454887" w:rsidRPr="005B09A9">
        <w:rPr>
          <w:rFonts w:ascii="Times New Roman" w:hAnsi="Times New Roman" w:cs="Times New Roman"/>
          <w:sz w:val="24"/>
          <w:szCs w:val="24"/>
        </w:rPr>
        <w:t xml:space="preserve">PS </w:t>
      </w:r>
      <w:r w:rsidR="00DF6601" w:rsidRPr="005B09A9">
        <w:rPr>
          <w:rFonts w:ascii="Times New Roman" w:hAnsi="Times New Roman" w:cs="Times New Roman"/>
          <w:sz w:val="24"/>
          <w:szCs w:val="24"/>
        </w:rPr>
        <w:t>could</w:t>
      </w:r>
      <w:r w:rsidR="006B17EB" w:rsidRPr="005B09A9">
        <w:rPr>
          <w:rFonts w:ascii="Times New Roman" w:hAnsi="Times New Roman" w:cs="Times New Roman"/>
          <w:sz w:val="24"/>
          <w:szCs w:val="24"/>
        </w:rPr>
        <w:t xml:space="preserve"> </w:t>
      </w:r>
      <w:r w:rsidR="00B3574D" w:rsidRPr="005B09A9">
        <w:rPr>
          <w:rFonts w:ascii="Times New Roman" w:hAnsi="Times New Roman" w:cs="Times New Roman"/>
          <w:sz w:val="24"/>
          <w:szCs w:val="24"/>
        </w:rPr>
        <w:t xml:space="preserve">predict a </w:t>
      </w:r>
      <w:r w:rsidR="008A41E2" w:rsidRPr="005B09A9">
        <w:rPr>
          <w:rFonts w:ascii="Times New Roman" w:hAnsi="Times New Roman" w:cs="Times New Roman"/>
          <w:sz w:val="24"/>
          <w:szCs w:val="24"/>
        </w:rPr>
        <w:t xml:space="preserve">poor </w:t>
      </w:r>
      <w:r w:rsidR="00B3574D" w:rsidRPr="005B09A9">
        <w:rPr>
          <w:rFonts w:ascii="Times New Roman" w:hAnsi="Times New Roman" w:cs="Times New Roman"/>
          <w:sz w:val="24"/>
          <w:szCs w:val="24"/>
        </w:rPr>
        <w:t>outcome</w:t>
      </w:r>
      <w:r w:rsidR="006B17EB" w:rsidRPr="005B09A9">
        <w:rPr>
          <w:rFonts w:ascii="Times New Roman" w:hAnsi="Times New Roman" w:cs="Times New Roman"/>
          <w:sz w:val="24"/>
          <w:szCs w:val="24"/>
        </w:rPr>
        <w:t xml:space="preserve">. </w:t>
      </w:r>
      <w:r w:rsidR="002A5709" w:rsidRPr="005B09A9">
        <w:rPr>
          <w:rFonts w:ascii="Times New Roman" w:hAnsi="Times New Roman" w:cs="Times New Roman"/>
          <w:sz w:val="24"/>
          <w:szCs w:val="24"/>
        </w:rPr>
        <w:t>F</w:t>
      </w:r>
      <w:r w:rsidR="006D4D6F" w:rsidRPr="005B09A9">
        <w:rPr>
          <w:rFonts w:ascii="Times New Roman" w:hAnsi="Times New Roman" w:cs="Times New Roman"/>
          <w:sz w:val="24"/>
          <w:szCs w:val="24"/>
        </w:rPr>
        <w:t>or th</w:t>
      </w:r>
      <w:r w:rsidR="00787113" w:rsidRPr="005B09A9">
        <w:rPr>
          <w:rFonts w:ascii="Times New Roman" w:hAnsi="Times New Roman" w:cs="Times New Roman"/>
          <w:sz w:val="24"/>
          <w:szCs w:val="24"/>
        </w:rPr>
        <w:t>e remaining 26 factors examined</w:t>
      </w:r>
      <w:r w:rsidR="002A5709" w:rsidRPr="005B09A9">
        <w:rPr>
          <w:rFonts w:ascii="Times New Roman" w:hAnsi="Times New Roman" w:cs="Times New Roman"/>
          <w:sz w:val="24"/>
          <w:szCs w:val="24"/>
        </w:rPr>
        <w:t xml:space="preserve">, results </w:t>
      </w:r>
      <w:r w:rsidR="006D4D6F" w:rsidRPr="005B09A9">
        <w:rPr>
          <w:rFonts w:ascii="Times New Roman" w:hAnsi="Times New Roman" w:cs="Times New Roman"/>
          <w:sz w:val="24"/>
          <w:szCs w:val="24"/>
        </w:rPr>
        <w:t xml:space="preserve">were inconsistent or conflicting. </w:t>
      </w:r>
      <w:r w:rsidR="00C4003A" w:rsidRPr="005B09A9">
        <w:rPr>
          <w:rFonts w:ascii="Times New Roman" w:hAnsi="Times New Roman" w:cs="Times New Roman"/>
          <w:sz w:val="24"/>
          <w:szCs w:val="24"/>
        </w:rPr>
        <w:t xml:space="preserve">The authors </w:t>
      </w:r>
      <w:r w:rsidR="000B77F9" w:rsidRPr="005B09A9">
        <w:rPr>
          <w:rFonts w:ascii="Times New Roman" w:hAnsi="Times New Roman" w:cs="Times New Roman"/>
          <w:sz w:val="24"/>
          <w:szCs w:val="24"/>
        </w:rPr>
        <w:t>concluded that evidence ab</w:t>
      </w:r>
      <w:r w:rsidR="00454887" w:rsidRPr="005B09A9">
        <w:rPr>
          <w:rFonts w:ascii="Times New Roman" w:hAnsi="Times New Roman" w:cs="Times New Roman"/>
          <w:sz w:val="24"/>
          <w:szCs w:val="24"/>
        </w:rPr>
        <w:t xml:space="preserve">out prognostic factors for </w:t>
      </w:r>
      <w:r w:rsidR="00840335" w:rsidRPr="005B09A9">
        <w:rPr>
          <w:rFonts w:ascii="Times New Roman" w:hAnsi="Times New Roman" w:cs="Times New Roman"/>
          <w:sz w:val="24"/>
          <w:szCs w:val="24"/>
        </w:rPr>
        <w:t xml:space="preserve">type I </w:t>
      </w:r>
      <w:r w:rsidR="00454887" w:rsidRPr="005B09A9">
        <w:rPr>
          <w:rFonts w:ascii="Times New Roman" w:hAnsi="Times New Roman" w:cs="Times New Roman"/>
          <w:sz w:val="24"/>
          <w:szCs w:val="24"/>
        </w:rPr>
        <w:t>CRPS</w:t>
      </w:r>
      <w:r w:rsidR="000B77F9" w:rsidRPr="005B09A9">
        <w:rPr>
          <w:rFonts w:ascii="Times New Roman" w:hAnsi="Times New Roman" w:cs="Times New Roman"/>
          <w:sz w:val="24"/>
          <w:szCs w:val="24"/>
        </w:rPr>
        <w:t xml:space="preserve"> </w:t>
      </w:r>
      <w:r w:rsidR="004325BA" w:rsidRPr="005B09A9">
        <w:rPr>
          <w:rFonts w:ascii="Times New Roman" w:hAnsi="Times New Roman" w:cs="Times New Roman"/>
          <w:sz w:val="24"/>
          <w:szCs w:val="24"/>
        </w:rPr>
        <w:t xml:space="preserve">was </w:t>
      </w:r>
      <w:r w:rsidR="000B77F9" w:rsidRPr="005B09A9">
        <w:rPr>
          <w:rFonts w:ascii="Times New Roman" w:hAnsi="Times New Roman" w:cs="Times New Roman"/>
          <w:sz w:val="24"/>
          <w:szCs w:val="24"/>
        </w:rPr>
        <w:t>scarce</w:t>
      </w:r>
      <w:r w:rsidR="00047C5A" w:rsidRPr="005B09A9">
        <w:rPr>
          <w:rFonts w:ascii="Times New Roman" w:hAnsi="Times New Roman" w:cs="Times New Roman"/>
          <w:sz w:val="24"/>
          <w:szCs w:val="24"/>
        </w:rPr>
        <w:t xml:space="preserve"> and </w:t>
      </w:r>
      <w:r w:rsidR="004325BA" w:rsidRPr="005B09A9">
        <w:rPr>
          <w:rFonts w:ascii="Times New Roman" w:hAnsi="Times New Roman" w:cs="Times New Roman"/>
          <w:sz w:val="24"/>
          <w:szCs w:val="24"/>
        </w:rPr>
        <w:t xml:space="preserve">recommended </w:t>
      </w:r>
      <w:r w:rsidR="000B77F9" w:rsidRPr="005B09A9">
        <w:rPr>
          <w:rFonts w:ascii="Times New Roman" w:hAnsi="Times New Roman" w:cs="Times New Roman"/>
          <w:sz w:val="24"/>
          <w:szCs w:val="24"/>
        </w:rPr>
        <w:t xml:space="preserve">further high-quality </w:t>
      </w:r>
      <w:r w:rsidR="00E96FFD" w:rsidRPr="005B09A9">
        <w:rPr>
          <w:rFonts w:ascii="Times New Roman" w:hAnsi="Times New Roman" w:cs="Times New Roman"/>
          <w:sz w:val="24"/>
          <w:szCs w:val="24"/>
        </w:rPr>
        <w:t>aetiology</w:t>
      </w:r>
      <w:r w:rsidR="000B77F9" w:rsidRPr="005B09A9">
        <w:rPr>
          <w:rFonts w:ascii="Times New Roman" w:hAnsi="Times New Roman" w:cs="Times New Roman"/>
          <w:sz w:val="24"/>
          <w:szCs w:val="24"/>
        </w:rPr>
        <w:t xml:space="preserve"> and clinical research.</w:t>
      </w:r>
      <w:r w:rsidR="0068405C" w:rsidRPr="005B09A9">
        <w:rPr>
          <w:rFonts w:ascii="Times New Roman" w:hAnsi="Times New Roman" w:cs="Times New Roman"/>
          <w:sz w:val="24"/>
          <w:szCs w:val="24"/>
        </w:rPr>
        <w:t xml:space="preserve"> </w:t>
      </w:r>
    </w:p>
    <w:p w14:paraId="661DCC9F" w14:textId="77E764C5" w:rsidR="00B7381A" w:rsidRPr="005B09A9" w:rsidRDefault="004737FA" w:rsidP="00B7381A">
      <w:pPr>
        <w:tabs>
          <w:tab w:val="left" w:pos="720"/>
          <w:tab w:val="right" w:leader="dot" w:pos="9062"/>
        </w:tabs>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Surprisingly</w:t>
      </w:r>
      <w:r w:rsidR="004325BA" w:rsidRPr="005B09A9">
        <w:rPr>
          <w:rFonts w:ascii="Times New Roman" w:hAnsi="Times New Roman" w:cs="Times New Roman"/>
          <w:sz w:val="24"/>
          <w:szCs w:val="24"/>
        </w:rPr>
        <w:t xml:space="preserve">, psychosocial factors were not identified, even </w:t>
      </w:r>
      <w:r w:rsidR="00881F3F" w:rsidRPr="005B09A9">
        <w:rPr>
          <w:rFonts w:ascii="Times New Roman" w:hAnsi="Times New Roman" w:cs="Times New Roman"/>
          <w:sz w:val="24"/>
          <w:szCs w:val="24"/>
        </w:rPr>
        <w:t>though</w:t>
      </w:r>
      <w:r w:rsidR="004325BA" w:rsidRPr="005B09A9">
        <w:rPr>
          <w:rFonts w:ascii="Times New Roman" w:hAnsi="Times New Roman" w:cs="Times New Roman"/>
          <w:sz w:val="24"/>
          <w:szCs w:val="24"/>
        </w:rPr>
        <w:t xml:space="preserve"> there is ample evidence that they play a crucial role in the chronif</w:t>
      </w:r>
      <w:r w:rsidR="008D00DC" w:rsidRPr="005B09A9">
        <w:rPr>
          <w:rFonts w:ascii="Times New Roman" w:hAnsi="Times New Roman" w:cs="Times New Roman"/>
          <w:sz w:val="24"/>
          <w:szCs w:val="24"/>
        </w:rPr>
        <w:t xml:space="preserve">ication of musculoskeletal pain </w:t>
      </w:r>
      <w:r w:rsidR="004325BA"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{"citationID":"TTvVdqdM","properties":{"unsorted":true,"formattedCitation":"(Linton, 2000; Nicholas et al., 2011)","plainCitation":"(Linton, 2000; Nicholas et al., 2011)","noteIndex":0},"citationItems":[{"id":648,"uris":["http://zotero.org/users/8777725/items/E88APKG9"],"itemData":{"id":648,"type":"article-journal","abstract":"STUDY DESIGN: The literature on psychological factors in neck and back pain was systematically searched and reviewed.\nOBJECTIVES: To summarize current knowledge concerning the role of psychological variables in the etiology and development of neck and back pain.\nSUMMARY OF BACKGROUND DATA: Recent conceptions of spinal pain, especially chronic back pain, have highlighted the role of psychological factors. Numerous studies subsequently have examined the effects of various psychological factors in neck and back pain. There is a need to review this material to ascertain what conclusions may be drawn.\nMETHODS: Medical and psychological databases and cross-referencing were used to locate 913 potentially relevant articles. A table of 37 studies was constructed, consisting only of studies with prospective designs to ensure quality. Each study was reviewed for the population studied, the psychological predictor variables, and the outcome.\nRESULTS: The available literature indicated a clear link between psychological variables and neck and back pain. The prospective studies indicated that psychological variables were related to the onset of pain, and to acute, subacute, and chronic pain. Stress, distress, or anxiety as well as mood and emotions, cognitive functioning, and pain behavior all were found to be significant factors. Personality factors produced mixed results. Although the level of evidence was low, abuse also was found to be a potentially significant factor.\nCONCLUSIONS: Psychological factors play a significant role not only in chronic pain, but also in the etiology of acute pain, particularly in the transition to chronic problems. Specific types of psychological variables emerge and may be important in distinct developmental time frames, also implying that assessment and intervention need to reflect these variables. Still, psychological factors account for only a portion of the variance, thereby highlighting the multidimensional view. Because the methodologic quality of the studies varied considerably, future research should focus on improving quality and addressing new questions such as the mechanism, the developmental time factor, and the relevance that these risk factors have for intervention.","container-title":"Spine","DOI":"10.1097/00007632-200005010-00017","ISSN":"0362-2436","issue":"9","journalAbbreviation":"Spine (Phila Pa 1976)","language":"eng","note":"PMID: 10788861","page":"1148-1156","source":"PubMed","title":"A review of psychological risk factors in back and neck pain","volume":"25","author":[{"family":"Linton","given":"S. J."}],"issued":{"date-parts":[["2000",5,1]]}}},{"id":1181,"uris":["http://zotero.org/users/8777725/items/JQABIHQL"],"itemData":{"id":1181,"type":"article-journal","abstract":"Originally the term “yellow flags” was used to describe psychosocial prognostic factors for the development of disability following the onset of musculoskeletal pain. The identification of yellow flags through early screening was expected to prompt the application of intervention guidelines to achieve secondary prevention. In recent conceptualizations of yellow flags, it has been suggested that their range of applicability should be confined primarily to psychological risk factors to differentiate them from other risk factors, such as social and environmental variables. This article addresses 2 specific questions that arise from this development: (1) Can yellow flags influence outcomes in people with acute or subacute low back pain? and (2) Can yellow flags be targeted in interventions to produce better outcomes? Consistent evidence has been found to support the role of various psychological factors in prognosis, although questions remain about which factors are the most important, both individually and in combination, and how they affect outcomes. Published early interventions have reported mixed results, but, overall, the evidence suggests that targeting yellow flags, particularly when they are at high levels, does seem to lead to more consistently positive results than either ignoring them or providing omnibus interventions to people regardless of psychological risk factors. Psychological risk factors for poor prognosis can be identified clinically and addressed within interventions, but questions remain in relation to issues such as timing, necessary skills, content of treatments, and context. In addition, there is still a need to elucidate mechanisms of change and better integrate this understanding into the broader context of secondary prevention of chronic pain and disability.","container-title":"Physical Therapy","DOI":"10.2522/ptj.20100224","ISSN":"0031-9023","issue":"5","journalAbbreviation":"Physical Therapy","page":"737-753","source":"Silverchair","title":"Early Identification and Management of Psychological Risk Factors (“Yellow Flags”) in Patients With Low Back Pain: A Reappraisal","title-short":"Early Identification and Management of Psychological Risk Factors (“Yellow Flags”) in Patients With Low Back Pain","volume":"91","author":[{"family":"Nicholas","given":"Michael K."},{"family":"Linton","given":"Steven J."},{"family":"Watson","given":"Paul J."},{"family":"Main","given":"Chris J."},{"literal":"the “Decade of the Flags” Working Group"}],"issued":{"date-parts":[["2011",5,1]]}}}],"schema":"https://github.com/citation-style-language/schema/raw/master/csl-citation.json"} </w:instrText>
      </w:r>
      <w:r w:rsidR="004325BA"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(Linton, 2000; Nicholas et al., 2011)</w:t>
      </w:r>
      <w:r w:rsidR="004325BA"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4325BA" w:rsidRPr="005B09A9">
        <w:rPr>
          <w:rFonts w:ascii="Times New Roman" w:hAnsi="Times New Roman" w:cs="Times New Roman"/>
          <w:sz w:val="24"/>
          <w:szCs w:val="24"/>
        </w:rPr>
        <w:t xml:space="preserve"> </w:t>
      </w:r>
    </w:p>
    <w:p w14:paraId="51C9C1D7" w14:textId="138D3142" w:rsidR="00527F56" w:rsidRPr="005B09A9" w:rsidRDefault="00203369" w:rsidP="003B7B2C">
      <w:pPr>
        <w:autoSpaceDE w:val="0"/>
        <w:autoSpaceDN w:val="0"/>
        <w:adjustRightInd w:val="0"/>
        <w:spacing w:after="0"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In contrast, some authors tried to identify </w:t>
      </w:r>
      <w:r w:rsidR="00527F56" w:rsidRPr="005B09A9">
        <w:rPr>
          <w:rFonts w:ascii="Times New Roman" w:hAnsi="Times New Roman" w:cs="Times New Roman"/>
          <w:sz w:val="24"/>
          <w:szCs w:val="24"/>
        </w:rPr>
        <w:t>the prognostic value of psychological factors in CRPS</w:t>
      </w:r>
      <w:r w:rsidRPr="005B09A9">
        <w:rPr>
          <w:rFonts w:ascii="Times New Roman" w:hAnsi="Times New Roman" w:cs="Times New Roman"/>
          <w:sz w:val="24"/>
          <w:szCs w:val="24"/>
        </w:rPr>
        <w:t xml:space="preserve"> in the last decade. In a longitudinal study, anxiety and pain-related fear were associated with poorer outcome at 1-year follow-up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{"citationID":"2B5eyDhL","properties":{"formattedCitation":"(Bean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(Bean et al., 2015)</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w:t>
      </w:r>
    </w:p>
    <w:p w14:paraId="4CB381EA" w14:textId="63170BC3" w:rsidR="007559E6" w:rsidRPr="005B09A9" w:rsidRDefault="005603EC"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The aim of this systematic review</w:t>
      </w:r>
      <w:r w:rsidR="007A424B" w:rsidRPr="005B09A9">
        <w:rPr>
          <w:rFonts w:ascii="Times New Roman" w:hAnsi="Times New Roman" w:cs="Times New Roman"/>
          <w:sz w:val="24"/>
          <w:szCs w:val="24"/>
        </w:rPr>
        <w:t xml:space="preserve"> is to </w:t>
      </w:r>
      <w:r w:rsidR="00C665FC" w:rsidRPr="005B09A9">
        <w:rPr>
          <w:rFonts w:ascii="Times New Roman" w:hAnsi="Times New Roman" w:cs="Times New Roman"/>
          <w:sz w:val="24"/>
          <w:szCs w:val="24"/>
        </w:rPr>
        <w:t xml:space="preserve">identify and </w:t>
      </w:r>
      <w:r w:rsidR="007A424B" w:rsidRPr="005B09A9">
        <w:rPr>
          <w:rFonts w:ascii="Times New Roman" w:hAnsi="Times New Roman" w:cs="Times New Roman"/>
          <w:sz w:val="24"/>
          <w:szCs w:val="24"/>
        </w:rPr>
        <w:t xml:space="preserve">summarize </w:t>
      </w:r>
      <w:r w:rsidR="00C665FC" w:rsidRPr="005B09A9">
        <w:rPr>
          <w:rFonts w:ascii="Times New Roman" w:hAnsi="Times New Roman" w:cs="Times New Roman"/>
          <w:sz w:val="24"/>
          <w:szCs w:val="24"/>
        </w:rPr>
        <w:t xml:space="preserve">the </w:t>
      </w:r>
      <w:r w:rsidR="00DB0F56" w:rsidRPr="005B09A9">
        <w:rPr>
          <w:rFonts w:ascii="Times New Roman" w:hAnsi="Times New Roman" w:cs="Times New Roman"/>
          <w:sz w:val="24"/>
          <w:szCs w:val="24"/>
        </w:rPr>
        <w:t xml:space="preserve">prognostic factors </w:t>
      </w:r>
      <w:r w:rsidR="00C665FC" w:rsidRPr="005B09A9">
        <w:rPr>
          <w:rFonts w:ascii="Times New Roman" w:hAnsi="Times New Roman" w:cs="Times New Roman"/>
          <w:sz w:val="24"/>
          <w:szCs w:val="24"/>
        </w:rPr>
        <w:t>influencing</w:t>
      </w:r>
      <w:r w:rsidR="004F4C91" w:rsidRPr="005B09A9">
        <w:rPr>
          <w:rFonts w:ascii="Times New Roman" w:hAnsi="Times New Roman" w:cs="Times New Roman"/>
          <w:sz w:val="24"/>
          <w:szCs w:val="24"/>
        </w:rPr>
        <w:t xml:space="preserve"> the progression of </w:t>
      </w:r>
      <w:r w:rsidR="00646CCE" w:rsidRPr="005B09A9">
        <w:rPr>
          <w:rFonts w:ascii="Times New Roman" w:hAnsi="Times New Roman" w:cs="Times New Roman"/>
          <w:sz w:val="24"/>
          <w:szCs w:val="24"/>
        </w:rPr>
        <w:t xml:space="preserve">early </w:t>
      </w:r>
      <w:r w:rsidR="00840335" w:rsidRPr="005B09A9">
        <w:rPr>
          <w:rFonts w:ascii="Times New Roman" w:hAnsi="Times New Roman" w:cs="Times New Roman"/>
          <w:sz w:val="24"/>
          <w:szCs w:val="24"/>
        </w:rPr>
        <w:t xml:space="preserve">type I </w:t>
      </w:r>
      <w:r w:rsidR="007A424B" w:rsidRPr="005B09A9">
        <w:rPr>
          <w:rFonts w:ascii="Times New Roman" w:hAnsi="Times New Roman" w:cs="Times New Roman"/>
          <w:sz w:val="24"/>
          <w:szCs w:val="24"/>
        </w:rPr>
        <w:t xml:space="preserve">or </w:t>
      </w:r>
      <w:r w:rsidR="00C1639E" w:rsidRPr="005B09A9">
        <w:rPr>
          <w:rFonts w:ascii="Times New Roman" w:hAnsi="Times New Roman" w:cs="Times New Roman"/>
          <w:sz w:val="24"/>
          <w:szCs w:val="24"/>
        </w:rPr>
        <w:t>type II</w:t>
      </w:r>
      <w:r w:rsidR="007A424B" w:rsidRPr="005B09A9">
        <w:rPr>
          <w:rFonts w:ascii="Times New Roman" w:hAnsi="Times New Roman" w:cs="Times New Roman"/>
          <w:sz w:val="24"/>
          <w:szCs w:val="24"/>
        </w:rPr>
        <w:t xml:space="preserve"> </w:t>
      </w:r>
      <w:r w:rsidR="00DB0F56" w:rsidRPr="005B09A9">
        <w:rPr>
          <w:rFonts w:ascii="Times New Roman" w:hAnsi="Times New Roman" w:cs="Times New Roman"/>
          <w:sz w:val="24"/>
          <w:szCs w:val="24"/>
        </w:rPr>
        <w:t>CRPS</w:t>
      </w:r>
      <w:r w:rsidR="00543254" w:rsidRPr="005B09A9">
        <w:rPr>
          <w:rFonts w:ascii="Times New Roman" w:hAnsi="Times New Roman" w:cs="Times New Roman"/>
          <w:sz w:val="24"/>
          <w:szCs w:val="24"/>
        </w:rPr>
        <w:t>.</w:t>
      </w:r>
      <w:r w:rsidR="00527F56" w:rsidRPr="005B09A9">
        <w:rPr>
          <w:rFonts w:ascii="Times New Roman" w:hAnsi="Times New Roman" w:cs="Times New Roman"/>
          <w:sz w:val="24"/>
          <w:szCs w:val="24"/>
        </w:rPr>
        <w:t xml:space="preserve"> W</w:t>
      </w:r>
      <w:r w:rsidR="00014BE6" w:rsidRPr="005B09A9">
        <w:rPr>
          <w:rFonts w:ascii="Times New Roman" w:hAnsi="Times New Roman" w:cs="Times New Roman"/>
          <w:sz w:val="24"/>
          <w:szCs w:val="24"/>
        </w:rPr>
        <w:t>e defined</w:t>
      </w:r>
      <w:r w:rsidR="002B3C45" w:rsidRPr="005B09A9">
        <w:rPr>
          <w:rFonts w:ascii="Times New Roman" w:hAnsi="Times New Roman" w:cs="Times New Roman"/>
          <w:sz w:val="24"/>
          <w:szCs w:val="24"/>
        </w:rPr>
        <w:t xml:space="preserve"> </w:t>
      </w:r>
      <w:r w:rsidR="00014BE6" w:rsidRPr="005B09A9">
        <w:rPr>
          <w:rFonts w:ascii="Times New Roman" w:hAnsi="Times New Roman" w:cs="Times New Roman"/>
          <w:sz w:val="24"/>
          <w:szCs w:val="24"/>
        </w:rPr>
        <w:t xml:space="preserve">these factors </w:t>
      </w:r>
      <w:r w:rsidR="00543254" w:rsidRPr="005B09A9">
        <w:rPr>
          <w:rFonts w:ascii="Times New Roman" w:hAnsi="Times New Roman" w:cs="Times New Roman"/>
          <w:sz w:val="24"/>
          <w:szCs w:val="24"/>
        </w:rPr>
        <w:t xml:space="preserve">as </w:t>
      </w:r>
      <w:r w:rsidR="003B637D" w:rsidRPr="005B09A9">
        <w:rPr>
          <w:rFonts w:ascii="Times New Roman" w:hAnsi="Times New Roman" w:cs="Times New Roman"/>
          <w:sz w:val="24"/>
          <w:szCs w:val="24"/>
        </w:rPr>
        <w:t>a</w:t>
      </w:r>
      <w:r w:rsidR="00527F56" w:rsidRPr="005B09A9">
        <w:rPr>
          <w:rFonts w:ascii="Times New Roman" w:hAnsi="Times New Roman" w:cs="Times New Roman"/>
          <w:sz w:val="24"/>
          <w:szCs w:val="24"/>
        </w:rPr>
        <w:t>ny</w:t>
      </w:r>
      <w:r w:rsidR="00543254" w:rsidRPr="005B09A9">
        <w:rPr>
          <w:rFonts w:ascii="Times New Roman" w:hAnsi="Times New Roman" w:cs="Times New Roman"/>
          <w:sz w:val="24"/>
          <w:szCs w:val="24"/>
        </w:rPr>
        <w:t xml:space="preserve"> set of clinical and non-clinical parameters </w:t>
      </w:r>
      <w:r w:rsidR="00A56CE4" w:rsidRPr="005B09A9">
        <w:rPr>
          <w:rFonts w:ascii="Times New Roman" w:hAnsi="Times New Roman" w:cs="Times New Roman"/>
          <w:sz w:val="24"/>
          <w:szCs w:val="24"/>
        </w:rPr>
        <w:t>(e.g.</w:t>
      </w:r>
      <w:r w:rsidR="009B64FC" w:rsidRPr="005B09A9">
        <w:rPr>
          <w:rFonts w:ascii="Times New Roman" w:hAnsi="Times New Roman" w:cs="Times New Roman"/>
          <w:sz w:val="24"/>
          <w:szCs w:val="24"/>
        </w:rPr>
        <w:t>,</w:t>
      </w:r>
      <w:r w:rsidR="00385C1F" w:rsidRPr="005B09A9">
        <w:rPr>
          <w:rFonts w:ascii="Times New Roman" w:hAnsi="Times New Roman" w:cs="Times New Roman"/>
          <w:sz w:val="24"/>
          <w:szCs w:val="24"/>
        </w:rPr>
        <w:t xml:space="preserve"> </w:t>
      </w:r>
      <w:r w:rsidR="00454887" w:rsidRPr="005B09A9">
        <w:rPr>
          <w:rFonts w:ascii="Times New Roman" w:hAnsi="Times New Roman" w:cs="Times New Roman"/>
          <w:sz w:val="24"/>
          <w:szCs w:val="24"/>
        </w:rPr>
        <w:t>psychological</w:t>
      </w:r>
      <w:r w:rsidR="00A56CE4" w:rsidRPr="005B09A9">
        <w:rPr>
          <w:rFonts w:ascii="Times New Roman" w:hAnsi="Times New Roman" w:cs="Times New Roman"/>
          <w:sz w:val="24"/>
          <w:szCs w:val="24"/>
        </w:rPr>
        <w:t>, physical, demographic</w:t>
      </w:r>
      <w:r w:rsidR="005336FE" w:rsidRPr="005B09A9">
        <w:rPr>
          <w:rFonts w:ascii="Times New Roman" w:hAnsi="Times New Roman" w:cs="Times New Roman"/>
          <w:sz w:val="24"/>
          <w:szCs w:val="24"/>
        </w:rPr>
        <w:t>, etc</w:t>
      </w:r>
      <w:r w:rsidR="00A56CE4" w:rsidRPr="005B09A9">
        <w:rPr>
          <w:rFonts w:ascii="Times New Roman" w:hAnsi="Times New Roman" w:cs="Times New Roman"/>
          <w:sz w:val="24"/>
          <w:szCs w:val="24"/>
        </w:rPr>
        <w:t xml:space="preserve">) </w:t>
      </w:r>
      <w:r w:rsidR="00014BE6" w:rsidRPr="005B09A9">
        <w:rPr>
          <w:rFonts w:ascii="Times New Roman" w:hAnsi="Times New Roman" w:cs="Times New Roman"/>
          <w:sz w:val="24"/>
          <w:szCs w:val="24"/>
        </w:rPr>
        <w:t xml:space="preserve">with </w:t>
      </w:r>
      <w:r w:rsidR="00C64391" w:rsidRPr="005B09A9">
        <w:rPr>
          <w:rFonts w:ascii="Times New Roman" w:hAnsi="Times New Roman" w:cs="Times New Roman"/>
          <w:sz w:val="24"/>
          <w:szCs w:val="24"/>
        </w:rPr>
        <w:t xml:space="preserve">an </w:t>
      </w:r>
      <w:r w:rsidR="00543254" w:rsidRPr="005B09A9">
        <w:rPr>
          <w:rFonts w:ascii="Times New Roman" w:hAnsi="Times New Roman" w:cs="Times New Roman"/>
          <w:sz w:val="24"/>
          <w:szCs w:val="24"/>
        </w:rPr>
        <w:t xml:space="preserve">impact on the </w:t>
      </w:r>
      <w:r w:rsidR="00170747" w:rsidRPr="005B09A9">
        <w:rPr>
          <w:rFonts w:ascii="Times New Roman" w:hAnsi="Times New Roman" w:cs="Times New Roman"/>
          <w:sz w:val="24"/>
          <w:szCs w:val="24"/>
        </w:rPr>
        <w:t xml:space="preserve">outcomes that, </w:t>
      </w:r>
      <w:r w:rsidR="00543254" w:rsidRPr="005B09A9">
        <w:rPr>
          <w:rFonts w:ascii="Times New Roman" w:hAnsi="Times New Roman" w:cs="Times New Roman"/>
          <w:sz w:val="24"/>
          <w:szCs w:val="24"/>
        </w:rPr>
        <w:t xml:space="preserve">according to </w:t>
      </w:r>
      <w:r w:rsidR="00543254" w:rsidRPr="005B09A9">
        <w:rPr>
          <w:rFonts w:ascii="Times New Roman" w:hAnsi="Times New Roman" w:cs="Times New Roman"/>
          <w:i/>
          <w:sz w:val="24"/>
          <w:szCs w:val="24"/>
        </w:rPr>
        <w:t xml:space="preserve">the International Classification of </w:t>
      </w:r>
      <w:r w:rsidR="00543254" w:rsidRPr="005B09A9">
        <w:rPr>
          <w:rFonts w:ascii="Times New Roman" w:hAnsi="Times New Roman" w:cs="Times New Roman"/>
          <w:i/>
          <w:sz w:val="24"/>
          <w:szCs w:val="24"/>
        </w:rPr>
        <w:lastRenderedPageBreak/>
        <w:t>Functioning, D</w:t>
      </w:r>
      <w:r w:rsidR="002B3C45" w:rsidRPr="005B09A9">
        <w:rPr>
          <w:rFonts w:ascii="Times New Roman" w:hAnsi="Times New Roman" w:cs="Times New Roman"/>
          <w:i/>
          <w:sz w:val="24"/>
          <w:szCs w:val="24"/>
        </w:rPr>
        <w:t>isability</w:t>
      </w:r>
      <w:r w:rsidR="00C168F4" w:rsidRPr="005B09A9">
        <w:rPr>
          <w:rFonts w:ascii="Times New Roman" w:hAnsi="Times New Roman" w:cs="Times New Roman"/>
          <w:i/>
          <w:sz w:val="24"/>
          <w:szCs w:val="24"/>
        </w:rPr>
        <w:t>,</w:t>
      </w:r>
      <w:r w:rsidR="002B3C45" w:rsidRPr="005B09A9">
        <w:rPr>
          <w:rFonts w:ascii="Times New Roman" w:hAnsi="Times New Roman" w:cs="Times New Roman"/>
          <w:i/>
          <w:sz w:val="24"/>
          <w:szCs w:val="24"/>
        </w:rPr>
        <w:t xml:space="preserve"> and Health (ICF)</w:t>
      </w:r>
      <w:r w:rsidR="005336FE" w:rsidRPr="005B09A9">
        <w:rPr>
          <w:rFonts w:ascii="Times New Roman" w:hAnsi="Times New Roman" w:cs="Times New Roman"/>
          <w:i/>
          <w:sz w:val="24"/>
          <w:szCs w:val="24"/>
        </w:rPr>
        <w:t>,</w:t>
      </w:r>
      <w:r w:rsidR="00170747" w:rsidRPr="005B09A9">
        <w:rPr>
          <w:rFonts w:ascii="Times New Roman" w:hAnsi="Times New Roman" w:cs="Times New Roman"/>
          <w:sz w:val="24"/>
          <w:szCs w:val="24"/>
        </w:rPr>
        <w:t xml:space="preserve"> refer</w:t>
      </w:r>
      <w:r w:rsidR="00543254" w:rsidRPr="005B09A9">
        <w:rPr>
          <w:rFonts w:ascii="Times New Roman" w:hAnsi="Times New Roman" w:cs="Times New Roman"/>
          <w:sz w:val="24"/>
          <w:szCs w:val="24"/>
        </w:rPr>
        <w:t xml:space="preserve"> to </w:t>
      </w:r>
      <w:r w:rsidR="00014BE6" w:rsidRPr="005B09A9">
        <w:rPr>
          <w:rFonts w:ascii="Times New Roman" w:hAnsi="Times New Roman" w:cs="Times New Roman"/>
          <w:sz w:val="24"/>
          <w:szCs w:val="24"/>
        </w:rPr>
        <w:t>one</w:t>
      </w:r>
      <w:r w:rsidR="00543254" w:rsidRPr="005B09A9">
        <w:rPr>
          <w:rFonts w:ascii="Times New Roman" w:hAnsi="Times New Roman" w:cs="Times New Roman"/>
          <w:sz w:val="24"/>
          <w:szCs w:val="24"/>
        </w:rPr>
        <w:t xml:space="preserve"> of the </w:t>
      </w:r>
      <w:r w:rsidR="0073403C" w:rsidRPr="005B09A9">
        <w:rPr>
          <w:rFonts w:ascii="Times New Roman" w:hAnsi="Times New Roman" w:cs="Times New Roman"/>
          <w:sz w:val="24"/>
          <w:szCs w:val="24"/>
        </w:rPr>
        <w:t>three</w:t>
      </w:r>
      <w:r w:rsidR="00543254" w:rsidRPr="005B09A9">
        <w:rPr>
          <w:rFonts w:ascii="Times New Roman" w:hAnsi="Times New Roman" w:cs="Times New Roman"/>
          <w:sz w:val="24"/>
          <w:szCs w:val="24"/>
        </w:rPr>
        <w:t xml:space="preserve"> following components</w:t>
      </w:r>
      <w:r w:rsidR="00A56CE4" w:rsidRPr="005B09A9">
        <w:rPr>
          <w:rFonts w:ascii="Times New Roman" w:hAnsi="Times New Roman" w:cs="Times New Roman"/>
          <w:sz w:val="24"/>
          <w:szCs w:val="24"/>
        </w:rPr>
        <w:t>:</w:t>
      </w:r>
      <w:r w:rsidR="00543254" w:rsidRPr="005B09A9">
        <w:rPr>
          <w:rFonts w:ascii="Times New Roman" w:hAnsi="Times New Roman" w:cs="Times New Roman"/>
          <w:sz w:val="24"/>
          <w:szCs w:val="24"/>
        </w:rPr>
        <w:t xml:space="preserve"> Body structures and functions (</w:t>
      </w:r>
      <w:r w:rsidR="00543254" w:rsidRPr="005B09A9">
        <w:rPr>
          <w:rFonts w:ascii="Times New Roman" w:hAnsi="Times New Roman" w:cs="Times New Roman"/>
          <w:i/>
          <w:iCs/>
          <w:sz w:val="24"/>
          <w:szCs w:val="24"/>
        </w:rPr>
        <w:t>pain</w:t>
      </w:r>
      <w:r w:rsidR="00543254" w:rsidRPr="005B09A9">
        <w:rPr>
          <w:rFonts w:ascii="Times New Roman" w:hAnsi="Times New Roman" w:cs="Times New Roman"/>
          <w:sz w:val="24"/>
          <w:szCs w:val="24"/>
        </w:rPr>
        <w:t xml:space="preserve">, </w:t>
      </w:r>
      <w:r w:rsidR="00543254" w:rsidRPr="005B09A9">
        <w:rPr>
          <w:rFonts w:ascii="Times New Roman" w:hAnsi="Times New Roman" w:cs="Times New Roman"/>
          <w:i/>
          <w:iCs/>
          <w:sz w:val="24"/>
          <w:szCs w:val="24"/>
        </w:rPr>
        <w:t>CRPS severity score</w:t>
      </w:r>
      <w:r w:rsidR="00543254" w:rsidRPr="005B09A9">
        <w:rPr>
          <w:rFonts w:ascii="Times New Roman" w:hAnsi="Times New Roman" w:cs="Times New Roman"/>
          <w:sz w:val="24"/>
          <w:szCs w:val="24"/>
        </w:rPr>
        <w:t xml:space="preserve"> (</w:t>
      </w:r>
      <w:r w:rsidR="00BA1267" w:rsidRPr="005B09A9">
        <w:rPr>
          <w:rFonts w:ascii="Times New Roman" w:hAnsi="Times New Roman" w:cs="Times New Roman"/>
          <w:sz w:val="24"/>
          <w:szCs w:val="24"/>
        </w:rPr>
        <w:t>[C</w:t>
      </w:r>
      <w:r w:rsidR="00242B36" w:rsidRPr="005B09A9">
        <w:rPr>
          <w:rFonts w:ascii="Times New Roman" w:hAnsi="Times New Roman" w:cs="Times New Roman"/>
          <w:sz w:val="24"/>
          <w:szCs w:val="24"/>
        </w:rPr>
        <w:t>SS</w:t>
      </w:r>
      <w:r w:rsidR="00BA1267" w:rsidRPr="005B09A9">
        <w:rPr>
          <w:rFonts w:ascii="Times New Roman" w:hAnsi="Times New Roman" w:cs="Times New Roman"/>
          <w:sz w:val="24"/>
          <w:szCs w:val="24"/>
        </w:rPr>
        <w:t>]</w:t>
      </w:r>
      <w:r w:rsidR="00242B36" w:rsidRPr="005B09A9">
        <w:rPr>
          <w:rFonts w:ascii="Times New Roman" w:hAnsi="Times New Roman" w:cs="Times New Roman"/>
          <w:sz w:val="24"/>
          <w:szCs w:val="24"/>
        </w:rPr>
        <w:t>), Activities (</w:t>
      </w:r>
      <w:r w:rsidR="00242B36" w:rsidRPr="005B09A9">
        <w:rPr>
          <w:rFonts w:ascii="Times New Roman" w:hAnsi="Times New Roman" w:cs="Times New Roman"/>
          <w:i/>
          <w:iCs/>
          <w:sz w:val="24"/>
          <w:szCs w:val="24"/>
        </w:rPr>
        <w:t>disability</w:t>
      </w:r>
      <w:r w:rsidR="00242B36" w:rsidRPr="005B09A9">
        <w:rPr>
          <w:rFonts w:ascii="Times New Roman" w:hAnsi="Times New Roman" w:cs="Times New Roman"/>
          <w:sz w:val="24"/>
          <w:szCs w:val="24"/>
        </w:rPr>
        <w:t xml:space="preserve">) or </w:t>
      </w:r>
      <w:r w:rsidR="00543254" w:rsidRPr="005B09A9">
        <w:rPr>
          <w:rFonts w:ascii="Times New Roman" w:hAnsi="Times New Roman" w:cs="Times New Roman"/>
          <w:sz w:val="24"/>
          <w:szCs w:val="24"/>
        </w:rPr>
        <w:t>Participation (</w:t>
      </w:r>
      <w:r w:rsidR="00543254" w:rsidRPr="005B09A9">
        <w:rPr>
          <w:rFonts w:ascii="Times New Roman" w:hAnsi="Times New Roman" w:cs="Times New Roman"/>
          <w:i/>
          <w:iCs/>
          <w:sz w:val="24"/>
          <w:szCs w:val="24"/>
        </w:rPr>
        <w:t>ret</w:t>
      </w:r>
      <w:r w:rsidR="00A56CE4" w:rsidRPr="005B09A9">
        <w:rPr>
          <w:rFonts w:ascii="Times New Roman" w:hAnsi="Times New Roman" w:cs="Times New Roman"/>
          <w:i/>
          <w:iCs/>
          <w:sz w:val="24"/>
          <w:szCs w:val="24"/>
        </w:rPr>
        <w:t>urn to work</w:t>
      </w:r>
      <w:r w:rsidR="00A56CE4" w:rsidRPr="005B09A9">
        <w:rPr>
          <w:rFonts w:ascii="Times New Roman" w:hAnsi="Times New Roman" w:cs="Times New Roman"/>
          <w:sz w:val="24"/>
          <w:szCs w:val="24"/>
        </w:rPr>
        <w:t xml:space="preserve">, </w:t>
      </w:r>
      <w:r w:rsidR="00A56CE4" w:rsidRPr="005B09A9">
        <w:rPr>
          <w:rFonts w:ascii="Times New Roman" w:hAnsi="Times New Roman" w:cs="Times New Roman"/>
          <w:i/>
          <w:iCs/>
          <w:sz w:val="24"/>
          <w:szCs w:val="24"/>
        </w:rPr>
        <w:t>quality</w:t>
      </w:r>
      <w:r w:rsidR="00376136" w:rsidRPr="005B09A9">
        <w:rPr>
          <w:rFonts w:ascii="Times New Roman" w:hAnsi="Times New Roman" w:cs="Times New Roman"/>
          <w:i/>
          <w:iCs/>
          <w:sz w:val="24"/>
          <w:szCs w:val="24"/>
        </w:rPr>
        <w:t xml:space="preserve"> </w:t>
      </w:r>
      <w:r w:rsidR="00A56CE4" w:rsidRPr="005B09A9">
        <w:rPr>
          <w:rFonts w:ascii="Times New Roman" w:hAnsi="Times New Roman" w:cs="Times New Roman"/>
          <w:i/>
          <w:iCs/>
          <w:sz w:val="24"/>
          <w:szCs w:val="24"/>
        </w:rPr>
        <w:t>of</w:t>
      </w:r>
      <w:r w:rsidR="00376136" w:rsidRPr="005B09A9">
        <w:rPr>
          <w:rFonts w:ascii="Times New Roman" w:hAnsi="Times New Roman" w:cs="Times New Roman"/>
          <w:i/>
          <w:iCs/>
          <w:sz w:val="24"/>
          <w:szCs w:val="24"/>
        </w:rPr>
        <w:t xml:space="preserve"> </w:t>
      </w:r>
      <w:r w:rsidR="00A56CE4" w:rsidRPr="005B09A9">
        <w:rPr>
          <w:rFonts w:ascii="Times New Roman" w:hAnsi="Times New Roman" w:cs="Times New Roman"/>
          <w:i/>
          <w:iCs/>
          <w:sz w:val="24"/>
          <w:szCs w:val="24"/>
        </w:rPr>
        <w:t>life</w:t>
      </w:r>
      <w:r w:rsidR="008E5A7D" w:rsidRPr="005B09A9">
        <w:rPr>
          <w:rFonts w:ascii="Times New Roman" w:hAnsi="Times New Roman" w:cs="Times New Roman"/>
          <w:sz w:val="24"/>
          <w:szCs w:val="24"/>
        </w:rPr>
        <w:t xml:space="preserve"> </w:t>
      </w:r>
      <w:r w:rsidR="00BA1267" w:rsidRPr="005B09A9">
        <w:rPr>
          <w:rFonts w:ascii="Times New Roman" w:hAnsi="Times New Roman" w:cs="Times New Roman"/>
          <w:sz w:val="24"/>
          <w:szCs w:val="24"/>
        </w:rPr>
        <w:t>[</w:t>
      </w:r>
      <w:r w:rsidR="008E5A7D" w:rsidRPr="005B09A9">
        <w:rPr>
          <w:rFonts w:ascii="Times New Roman" w:hAnsi="Times New Roman" w:cs="Times New Roman"/>
          <w:sz w:val="24"/>
          <w:szCs w:val="24"/>
        </w:rPr>
        <w:t>QoL</w:t>
      </w:r>
      <w:r w:rsidR="00BA1267" w:rsidRPr="005B09A9">
        <w:rPr>
          <w:rFonts w:ascii="Times New Roman" w:hAnsi="Times New Roman" w:cs="Times New Roman"/>
          <w:sz w:val="24"/>
          <w:szCs w:val="24"/>
        </w:rPr>
        <w:t>]</w:t>
      </w:r>
      <w:r w:rsidR="00A56CE4" w:rsidRPr="005B09A9">
        <w:rPr>
          <w:rFonts w:ascii="Times New Roman" w:hAnsi="Times New Roman" w:cs="Times New Roman"/>
          <w:sz w:val="24"/>
          <w:szCs w:val="24"/>
        </w:rPr>
        <w:t xml:space="preserve">). </w:t>
      </w:r>
    </w:p>
    <w:p w14:paraId="7CA5FB90" w14:textId="77777777" w:rsidR="0070398E" w:rsidRPr="005B09A9" w:rsidRDefault="0070398E">
      <w:pPr>
        <w:spacing w:line="259" w:lineRule="auto"/>
        <w:jc w:val="left"/>
        <w:rPr>
          <w:rFonts w:ascii="Times New Roman" w:eastAsiaTheme="minorEastAsia" w:hAnsi="Times New Roman" w:cs="Times New Roman"/>
          <w:spacing w:val="15"/>
          <w:sz w:val="24"/>
          <w:szCs w:val="24"/>
          <w:u w:val="single"/>
        </w:rPr>
      </w:pPr>
      <w:r w:rsidRPr="005B09A9">
        <w:rPr>
          <w:rFonts w:ascii="Times New Roman" w:hAnsi="Times New Roman" w:cs="Times New Roman"/>
          <w:b/>
          <w:szCs w:val="24"/>
        </w:rPr>
        <w:br w:type="page"/>
      </w:r>
    </w:p>
    <w:p w14:paraId="075F10EB" w14:textId="51351651" w:rsidR="00836351" w:rsidRPr="005B09A9" w:rsidRDefault="006E7124" w:rsidP="003B7B2C">
      <w:pPr>
        <w:pStyle w:val="Sous-titre"/>
        <w:numPr>
          <w:ilvl w:val="0"/>
          <w:numId w:val="18"/>
        </w:numPr>
        <w:spacing w:line="480" w:lineRule="auto"/>
        <w:jc w:val="left"/>
        <w:rPr>
          <w:rFonts w:ascii="Times New Roman" w:hAnsi="Times New Roman" w:cs="Times New Roman"/>
          <w:b w:val="0"/>
          <w:szCs w:val="24"/>
        </w:rPr>
      </w:pPr>
      <w:r w:rsidRPr="005B09A9">
        <w:rPr>
          <w:rFonts w:ascii="Times New Roman" w:hAnsi="Times New Roman" w:cs="Times New Roman"/>
          <w:b w:val="0"/>
          <w:szCs w:val="24"/>
        </w:rPr>
        <w:lastRenderedPageBreak/>
        <w:t>Literature Search Methods</w:t>
      </w:r>
    </w:p>
    <w:p w14:paraId="514C4A31" w14:textId="43E0E3F2" w:rsidR="00401E95" w:rsidRPr="005B09A9" w:rsidRDefault="00DA25A4" w:rsidP="003B7B2C">
      <w:pPr>
        <w:spacing w:before="100" w:beforeAutospacing="1" w:after="100" w:afterAutospacing="1" w:line="480" w:lineRule="auto"/>
        <w:jc w:val="left"/>
        <w:rPr>
          <w:rFonts w:ascii="Times New Roman" w:hAnsi="Times New Roman" w:cs="Times New Roman"/>
          <w:sz w:val="24"/>
          <w:szCs w:val="24"/>
        </w:rPr>
      </w:pPr>
      <w:r w:rsidRPr="005B09A9">
        <w:rPr>
          <w:rFonts w:ascii="Times New Roman" w:hAnsi="Times New Roman" w:cs="Times New Roman"/>
          <w:sz w:val="24"/>
          <w:szCs w:val="24"/>
        </w:rPr>
        <w:t>This systematic review followed the PRISMA guidelines</w:t>
      </w:r>
      <w:r w:rsidR="008D00DC" w:rsidRPr="005B09A9">
        <w:rPr>
          <w:rFonts w:ascii="Times New Roman" w:hAnsi="Times New Roman" w:cs="Times New Roman"/>
          <w:sz w:val="24"/>
          <w:szCs w:val="24"/>
        </w:rPr>
        <w:t xml:space="preserve"> </w:t>
      </w:r>
      <w:r w:rsidRPr="005B09A9">
        <w:rPr>
          <w:rFonts w:ascii="Times New Roman" w:hAnsi="Times New Roman" w:cs="Times New Roman"/>
          <w:sz w:val="24"/>
          <w:szCs w:val="24"/>
        </w:rPr>
        <w:fldChar w:fldCharType="begin"/>
      </w:r>
      <w:r w:rsidR="006F05A7" w:rsidRPr="005B09A9">
        <w:rPr>
          <w:rFonts w:ascii="Times New Roman" w:hAnsi="Times New Roman" w:cs="Times New Roman"/>
          <w:sz w:val="24"/>
          <w:szCs w:val="24"/>
        </w:rPr>
        <w:instrText xml:space="preserve"> ADDIN ZOTERO_ITEM CSL_CITATION {"citationID":"gqWL9U3p","properties":{"formattedCitation":"(Page et al., 2021)","plainCitation":"(Page et al., 2021)","noteIndex":0},"citationItems":[{"id":1174,"uris":["http://zotero.org/users/8777725/items/VY4BLJ3M"],"itemData":{"id":1174,"type":"article-journal","abstract":"&lt;p&gt;The methods and results of systematic reviews should be reported in sufficient detail to allow users to assess the trustworthiness and applicability of the review findings. The Preferred Reporting Items for Systematic reviews and Meta-Analyses (PRISMA) statement was developed to facilitate transparent and complete reporting of systematic reviews and has been updated (to PRISMA 2020) to reflect recent advances in systematic review methodology and terminology. Here, we present the explanation and elaboration paper for PRISMA 2020, where we explain why reporting of each item is recommended, present bullet points that detail the reporting recommendations, and present examples from published reviews. We hope that changes to the content and structure of PRISMA 2020 will facilitate uptake of the guideline and lead to more transparent, complete, and accurate reporting of systematic reviews.&lt;/p&gt;","container-title":"BMJ","DOI":"10.1136/bmj.n160","ISSN":"1756-1833","journalAbbreviation":"BMJ","language":"en","license":"©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33781993","page":"n160","source":"www.bmj.com","title":"PRISMA 2020 explanation and elaboration: updated guidance and exemplars for reporting systematic reviews","title-short":"PRISMA 2020 explanation and elaboration","volume":"372","author":[{"family":"Page","given":"Matthew J."},{"family":"Moher","given":"David"},{"family":"Bossuyt","given":"Patrick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A."},{"family":"Whiting","given":"Penny"},{"family":"McKenzie","given":"Joanne E."}],"issued":{"date-parts":[["2021",3,29]]}}}],"schema":"https://github.com/citation-style-language/schema/raw/master/csl-citation.json"} </w:instrText>
      </w:r>
      <w:r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(Page et al., 2021)</w:t>
      </w:r>
      <w:r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Pr="005B09A9">
        <w:rPr>
          <w:rFonts w:ascii="Times New Roman" w:hAnsi="Times New Roman" w:cs="Times New Roman"/>
          <w:sz w:val="24"/>
          <w:szCs w:val="24"/>
        </w:rPr>
        <w:t xml:space="preserve"> </w:t>
      </w:r>
      <w:r w:rsidR="00401E95" w:rsidRPr="005B09A9">
        <w:rPr>
          <w:rFonts w:ascii="Times New Roman" w:hAnsi="Times New Roman" w:cs="Times New Roman"/>
          <w:sz w:val="24"/>
          <w:szCs w:val="24"/>
        </w:rPr>
        <w:t>The study protocol was registered on December 2, 2021</w:t>
      </w:r>
      <w:r w:rsidR="002A7F0C" w:rsidRPr="005B09A9">
        <w:rPr>
          <w:rFonts w:ascii="Times New Roman" w:hAnsi="Times New Roman" w:cs="Times New Roman"/>
          <w:sz w:val="24"/>
          <w:szCs w:val="24"/>
        </w:rPr>
        <w:t>,</w:t>
      </w:r>
      <w:r w:rsidR="00401E95" w:rsidRPr="005B09A9">
        <w:rPr>
          <w:rFonts w:ascii="Times New Roman" w:hAnsi="Times New Roman" w:cs="Times New Roman"/>
          <w:sz w:val="24"/>
          <w:szCs w:val="24"/>
        </w:rPr>
        <w:t xml:space="preserve"> in the international prospective register of systematic reviews (PROSPERO, Ref</w:t>
      </w:r>
      <w:r w:rsidR="00742180" w:rsidRPr="005B09A9">
        <w:rPr>
          <w:rFonts w:ascii="Times New Roman" w:hAnsi="Times New Roman" w:cs="Times New Roman"/>
          <w:sz w:val="24"/>
          <w:szCs w:val="24"/>
        </w:rPr>
        <w:t>.</w:t>
      </w:r>
      <w:r w:rsidR="00401E95" w:rsidRPr="005B09A9">
        <w:rPr>
          <w:rFonts w:ascii="Times New Roman" w:hAnsi="Times New Roman" w:cs="Times New Roman"/>
          <w:sz w:val="24"/>
          <w:szCs w:val="24"/>
        </w:rPr>
        <w:t xml:space="preserve"> CRD42021288676). </w:t>
      </w:r>
      <w:r w:rsidR="002D3FF7" w:rsidRPr="005B09A9">
        <w:rPr>
          <w:rFonts w:ascii="Times New Roman" w:hAnsi="Times New Roman" w:cs="Times New Roman"/>
          <w:sz w:val="24"/>
          <w:szCs w:val="24"/>
        </w:rPr>
        <w:t xml:space="preserve"> </w:t>
      </w:r>
    </w:p>
    <w:p w14:paraId="7EEB4705" w14:textId="60EB1DAA" w:rsidR="00975515" w:rsidRPr="005B09A9" w:rsidRDefault="00975515" w:rsidP="003B7B2C">
      <w:pPr>
        <w:pStyle w:val="Paragraphedeliste"/>
        <w:numPr>
          <w:ilvl w:val="1"/>
          <w:numId w:val="18"/>
        </w:numPr>
        <w:spacing w:line="480" w:lineRule="auto"/>
        <w:rPr>
          <w:rStyle w:val="Accentuationlgre"/>
          <w:rFonts w:ascii="Times New Roman" w:hAnsi="Times New Roman" w:cs="Times New Roman"/>
          <w:b w:val="0"/>
          <w:sz w:val="24"/>
          <w:lang w:val="en-GB"/>
        </w:rPr>
      </w:pPr>
      <w:r w:rsidRPr="005B09A9">
        <w:rPr>
          <w:rStyle w:val="Accentuationlgre"/>
          <w:rFonts w:ascii="Times New Roman" w:hAnsi="Times New Roman" w:cs="Times New Roman"/>
          <w:b w:val="0"/>
          <w:sz w:val="24"/>
          <w:lang w:val="en-GB"/>
        </w:rPr>
        <w:t xml:space="preserve">Data </w:t>
      </w:r>
      <w:r w:rsidR="003B7B2C" w:rsidRPr="005B09A9">
        <w:rPr>
          <w:rStyle w:val="Accentuationlgre"/>
          <w:rFonts w:ascii="Times New Roman" w:hAnsi="Times New Roman" w:cs="Times New Roman"/>
          <w:b w:val="0"/>
          <w:sz w:val="24"/>
          <w:lang w:val="en-GB"/>
        </w:rPr>
        <w:t>S</w:t>
      </w:r>
      <w:r w:rsidRPr="005B09A9">
        <w:rPr>
          <w:rStyle w:val="Accentuationlgre"/>
          <w:rFonts w:ascii="Times New Roman" w:hAnsi="Times New Roman" w:cs="Times New Roman"/>
          <w:b w:val="0"/>
          <w:sz w:val="24"/>
          <w:lang w:val="en-GB"/>
        </w:rPr>
        <w:t>ources</w:t>
      </w:r>
    </w:p>
    <w:p w14:paraId="114BEE54" w14:textId="7551FCE3" w:rsidR="00C64391" w:rsidRPr="005B09A9" w:rsidRDefault="00527F56" w:rsidP="003B7B2C">
      <w:pPr>
        <w:spacing w:before="100" w:beforeAutospacing="1" w:after="100" w:afterAutospacing="1" w:line="480" w:lineRule="auto"/>
        <w:jc w:val="left"/>
        <w:rPr>
          <w:rFonts w:ascii="Times New Roman" w:eastAsia="Times New Roman" w:hAnsi="Times New Roman" w:cs="Times New Roman"/>
          <w:sz w:val="24"/>
          <w:szCs w:val="24"/>
          <w:lang w:eastAsia="fr-BE"/>
        </w:rPr>
      </w:pPr>
      <w:r w:rsidRPr="005B09A9">
        <w:rPr>
          <w:rFonts w:ascii="Times New Roman" w:hAnsi="Times New Roman" w:cs="Times New Roman"/>
          <w:sz w:val="24"/>
          <w:szCs w:val="24"/>
        </w:rPr>
        <w:t>S</w:t>
      </w:r>
      <w:r w:rsidR="00BE663D" w:rsidRPr="005B09A9">
        <w:rPr>
          <w:rFonts w:ascii="Times New Roman" w:hAnsi="Times New Roman" w:cs="Times New Roman"/>
          <w:sz w:val="24"/>
          <w:szCs w:val="24"/>
        </w:rPr>
        <w:t xml:space="preserve">tudies </w:t>
      </w:r>
      <w:r w:rsidR="00170C88" w:rsidRPr="005B09A9">
        <w:rPr>
          <w:rFonts w:ascii="Times New Roman" w:hAnsi="Times New Roman" w:cs="Times New Roman"/>
          <w:sz w:val="24"/>
          <w:szCs w:val="24"/>
        </w:rPr>
        <w:t xml:space="preserve">corresponding </w:t>
      </w:r>
      <w:r w:rsidR="00BE663D" w:rsidRPr="005B09A9">
        <w:rPr>
          <w:rFonts w:ascii="Times New Roman" w:hAnsi="Times New Roman" w:cs="Times New Roman"/>
          <w:sz w:val="24"/>
          <w:szCs w:val="24"/>
        </w:rPr>
        <w:t>to</w:t>
      </w:r>
      <w:r w:rsidR="0092337D" w:rsidRPr="005B09A9">
        <w:rPr>
          <w:rFonts w:ascii="Times New Roman" w:hAnsi="Times New Roman" w:cs="Times New Roman"/>
          <w:sz w:val="24"/>
          <w:szCs w:val="24"/>
        </w:rPr>
        <w:t xml:space="preserve"> inclusion and exclusion criteria </w:t>
      </w:r>
      <w:r w:rsidR="00370D76" w:rsidRPr="005B09A9">
        <w:rPr>
          <w:rFonts w:ascii="Times New Roman" w:hAnsi="Times New Roman" w:cs="Times New Roman"/>
          <w:sz w:val="24"/>
          <w:szCs w:val="24"/>
        </w:rPr>
        <w:t xml:space="preserve">were </w:t>
      </w:r>
      <w:r w:rsidR="0092337D" w:rsidRPr="005B09A9">
        <w:rPr>
          <w:rFonts w:ascii="Times New Roman" w:hAnsi="Times New Roman" w:cs="Times New Roman"/>
          <w:sz w:val="24"/>
          <w:szCs w:val="24"/>
        </w:rPr>
        <w:t>identified by searching</w:t>
      </w:r>
      <w:r w:rsidR="00C64391" w:rsidRPr="005B09A9">
        <w:rPr>
          <w:rFonts w:ascii="Times New Roman" w:hAnsi="Times New Roman" w:cs="Times New Roman"/>
          <w:sz w:val="24"/>
          <w:szCs w:val="24"/>
        </w:rPr>
        <w:t xml:space="preserve"> </w:t>
      </w:r>
      <w:r w:rsidR="0092337D" w:rsidRPr="005B09A9">
        <w:rPr>
          <w:rFonts w:ascii="Times New Roman" w:hAnsi="Times New Roman" w:cs="Times New Roman"/>
          <w:sz w:val="24"/>
          <w:szCs w:val="24"/>
        </w:rPr>
        <w:t xml:space="preserve">the following databases </w:t>
      </w:r>
      <w:r w:rsidR="00170C88" w:rsidRPr="005B09A9">
        <w:rPr>
          <w:rFonts w:ascii="Times New Roman" w:hAnsi="Times New Roman" w:cs="Times New Roman"/>
          <w:sz w:val="24"/>
          <w:szCs w:val="24"/>
        </w:rPr>
        <w:t xml:space="preserve">between </w:t>
      </w:r>
      <w:r w:rsidR="002650D3" w:rsidRPr="005B09A9">
        <w:rPr>
          <w:rFonts w:ascii="Times New Roman" w:hAnsi="Times New Roman" w:cs="Times New Roman"/>
          <w:sz w:val="24"/>
          <w:szCs w:val="24"/>
        </w:rPr>
        <w:t>Jan 1</w:t>
      </w:r>
      <w:r w:rsidR="002650D3" w:rsidRPr="005B09A9">
        <w:rPr>
          <w:rFonts w:ascii="Times New Roman" w:hAnsi="Times New Roman" w:cs="Times New Roman"/>
          <w:sz w:val="24"/>
          <w:szCs w:val="24"/>
          <w:vertAlign w:val="superscript"/>
        </w:rPr>
        <w:t>st</w:t>
      </w:r>
      <w:r w:rsidR="002650D3" w:rsidRPr="005B09A9">
        <w:rPr>
          <w:rFonts w:ascii="Times New Roman" w:hAnsi="Times New Roman" w:cs="Times New Roman"/>
          <w:sz w:val="24"/>
          <w:szCs w:val="24"/>
        </w:rPr>
        <w:t xml:space="preserve">, </w:t>
      </w:r>
      <w:r w:rsidR="00170C88" w:rsidRPr="005B09A9">
        <w:rPr>
          <w:rFonts w:ascii="Times New Roman" w:hAnsi="Times New Roman" w:cs="Times New Roman"/>
          <w:sz w:val="24"/>
          <w:szCs w:val="24"/>
        </w:rPr>
        <w:t xml:space="preserve">1990 and </w:t>
      </w:r>
      <w:r w:rsidR="002650D3" w:rsidRPr="005B09A9">
        <w:rPr>
          <w:rFonts w:ascii="Times New Roman" w:hAnsi="Times New Roman" w:cs="Times New Roman"/>
          <w:sz w:val="24"/>
          <w:szCs w:val="24"/>
        </w:rPr>
        <w:t>Nov 2</w:t>
      </w:r>
      <w:r w:rsidR="002650D3" w:rsidRPr="005B09A9">
        <w:rPr>
          <w:rFonts w:ascii="Times New Roman" w:hAnsi="Times New Roman" w:cs="Times New Roman"/>
          <w:sz w:val="24"/>
          <w:szCs w:val="24"/>
          <w:vertAlign w:val="superscript"/>
        </w:rPr>
        <w:t>nd</w:t>
      </w:r>
      <w:r w:rsidR="002650D3" w:rsidRPr="005B09A9">
        <w:rPr>
          <w:rFonts w:ascii="Times New Roman" w:hAnsi="Times New Roman" w:cs="Times New Roman"/>
          <w:sz w:val="24"/>
          <w:szCs w:val="24"/>
        </w:rPr>
        <w:t xml:space="preserve">, </w:t>
      </w:r>
      <w:r w:rsidR="00000B59" w:rsidRPr="005B09A9">
        <w:rPr>
          <w:rFonts w:ascii="Times New Roman" w:hAnsi="Times New Roman" w:cs="Times New Roman"/>
          <w:sz w:val="24"/>
          <w:szCs w:val="24"/>
        </w:rPr>
        <w:t>2021:</w:t>
      </w:r>
      <w:r w:rsidR="0092337D" w:rsidRPr="005B09A9">
        <w:rPr>
          <w:rFonts w:ascii="Times New Roman" w:hAnsi="Times New Roman" w:cs="Times New Roman"/>
          <w:sz w:val="24"/>
          <w:szCs w:val="24"/>
        </w:rPr>
        <w:t xml:space="preserve"> </w:t>
      </w:r>
      <w:r w:rsidR="005B4D03" w:rsidRPr="005B09A9">
        <w:rPr>
          <w:rFonts w:ascii="Times New Roman" w:hAnsi="Times New Roman" w:cs="Times New Roman"/>
          <w:sz w:val="24"/>
          <w:szCs w:val="24"/>
        </w:rPr>
        <w:t>PubMed</w:t>
      </w:r>
      <w:r w:rsidR="00B34FE2" w:rsidRPr="005B09A9">
        <w:rPr>
          <w:rFonts w:ascii="Times New Roman" w:hAnsi="Times New Roman" w:cs="Times New Roman"/>
          <w:sz w:val="24"/>
          <w:szCs w:val="24"/>
        </w:rPr>
        <w:t xml:space="preserve">, </w:t>
      </w:r>
      <w:r w:rsidR="005B4D03" w:rsidRPr="005B09A9">
        <w:rPr>
          <w:rFonts w:ascii="Times New Roman" w:hAnsi="Times New Roman" w:cs="Times New Roman"/>
          <w:sz w:val="24"/>
          <w:szCs w:val="24"/>
        </w:rPr>
        <w:t>Embase</w:t>
      </w:r>
      <w:r w:rsidR="0092337D" w:rsidRPr="005B09A9">
        <w:rPr>
          <w:rFonts w:ascii="Times New Roman" w:hAnsi="Times New Roman" w:cs="Times New Roman"/>
          <w:sz w:val="24"/>
          <w:szCs w:val="24"/>
        </w:rPr>
        <w:t>, PsycI</w:t>
      </w:r>
      <w:r w:rsidR="00907A26" w:rsidRPr="005B09A9">
        <w:rPr>
          <w:rFonts w:ascii="Times New Roman" w:hAnsi="Times New Roman" w:cs="Times New Roman"/>
          <w:sz w:val="24"/>
          <w:szCs w:val="24"/>
        </w:rPr>
        <w:t>NFO</w:t>
      </w:r>
      <w:r w:rsidR="002B3C45" w:rsidRPr="005B09A9">
        <w:rPr>
          <w:rFonts w:ascii="Times New Roman" w:hAnsi="Times New Roman" w:cs="Times New Roman"/>
          <w:sz w:val="24"/>
          <w:szCs w:val="24"/>
        </w:rPr>
        <w:t xml:space="preserve">, </w:t>
      </w:r>
      <w:r w:rsidR="0092337D" w:rsidRPr="005B09A9">
        <w:rPr>
          <w:rFonts w:ascii="Times New Roman" w:hAnsi="Times New Roman" w:cs="Times New Roman"/>
          <w:sz w:val="24"/>
          <w:szCs w:val="24"/>
        </w:rPr>
        <w:t xml:space="preserve">Cochrane </w:t>
      </w:r>
      <w:r w:rsidR="003E337A" w:rsidRPr="005B09A9">
        <w:rPr>
          <w:rFonts w:ascii="Times New Roman" w:hAnsi="Times New Roman" w:cs="Times New Roman"/>
          <w:sz w:val="24"/>
          <w:szCs w:val="24"/>
        </w:rPr>
        <w:t>L</w:t>
      </w:r>
      <w:r w:rsidR="0092337D" w:rsidRPr="005B09A9">
        <w:rPr>
          <w:rFonts w:ascii="Times New Roman" w:hAnsi="Times New Roman" w:cs="Times New Roman"/>
          <w:sz w:val="24"/>
          <w:szCs w:val="24"/>
        </w:rPr>
        <w:t>ibrary</w:t>
      </w:r>
      <w:r w:rsidR="00C168F4" w:rsidRPr="005B09A9">
        <w:rPr>
          <w:rFonts w:ascii="Times New Roman" w:hAnsi="Times New Roman" w:cs="Times New Roman"/>
          <w:sz w:val="24"/>
          <w:szCs w:val="24"/>
        </w:rPr>
        <w:t>,</w:t>
      </w:r>
      <w:r w:rsidR="002B3C45" w:rsidRPr="005B09A9">
        <w:rPr>
          <w:rFonts w:ascii="Times New Roman" w:hAnsi="Times New Roman" w:cs="Times New Roman"/>
          <w:sz w:val="24"/>
          <w:szCs w:val="24"/>
        </w:rPr>
        <w:t xml:space="preserve"> and Scopus</w:t>
      </w:r>
      <w:r w:rsidR="0092337D" w:rsidRPr="005B09A9">
        <w:rPr>
          <w:rFonts w:ascii="Times New Roman" w:hAnsi="Times New Roman" w:cs="Times New Roman"/>
          <w:i/>
          <w:iCs/>
          <w:sz w:val="24"/>
          <w:szCs w:val="24"/>
        </w:rPr>
        <w:t xml:space="preserve">. </w:t>
      </w:r>
      <w:r w:rsidR="0092337D" w:rsidRPr="005B09A9">
        <w:rPr>
          <w:rFonts w:ascii="Times New Roman" w:hAnsi="Times New Roman" w:cs="Times New Roman"/>
          <w:sz w:val="24"/>
          <w:szCs w:val="24"/>
        </w:rPr>
        <w:t>We also screened the</w:t>
      </w:r>
      <w:r w:rsidR="0092337D" w:rsidRPr="005B09A9">
        <w:rPr>
          <w:rFonts w:ascii="Times New Roman" w:eastAsia="Times New Roman" w:hAnsi="Times New Roman" w:cs="Times New Roman"/>
          <w:sz w:val="24"/>
          <w:szCs w:val="24"/>
          <w:lang w:eastAsia="fr-BE"/>
        </w:rPr>
        <w:t xml:space="preserve"> bibliographies of all included </w:t>
      </w:r>
      <w:r w:rsidR="00170747" w:rsidRPr="005B09A9">
        <w:rPr>
          <w:rFonts w:ascii="Times New Roman" w:eastAsia="Times New Roman" w:hAnsi="Times New Roman" w:cs="Times New Roman"/>
          <w:sz w:val="24"/>
          <w:szCs w:val="24"/>
          <w:lang w:eastAsia="fr-BE"/>
        </w:rPr>
        <w:t>papers</w:t>
      </w:r>
      <w:r w:rsidR="00413924" w:rsidRPr="005B09A9">
        <w:rPr>
          <w:rFonts w:ascii="Times New Roman" w:eastAsia="Times New Roman" w:hAnsi="Times New Roman" w:cs="Times New Roman"/>
          <w:sz w:val="24"/>
          <w:szCs w:val="24"/>
          <w:lang w:eastAsia="fr-BE"/>
        </w:rPr>
        <w:t xml:space="preserve"> </w:t>
      </w:r>
      <w:r w:rsidR="006442D7" w:rsidRPr="005B09A9">
        <w:rPr>
          <w:rFonts w:ascii="Times New Roman" w:eastAsia="Times New Roman" w:hAnsi="Times New Roman" w:cs="Times New Roman"/>
          <w:sz w:val="24"/>
          <w:szCs w:val="24"/>
          <w:lang w:eastAsia="fr-BE"/>
        </w:rPr>
        <w:t xml:space="preserve">or relevant </w:t>
      </w:r>
      <w:r w:rsidR="00413924" w:rsidRPr="005B09A9">
        <w:rPr>
          <w:rFonts w:ascii="Times New Roman" w:eastAsia="Times New Roman" w:hAnsi="Times New Roman" w:cs="Times New Roman"/>
          <w:sz w:val="24"/>
          <w:szCs w:val="24"/>
          <w:lang w:eastAsia="fr-BE"/>
        </w:rPr>
        <w:t xml:space="preserve">reviews </w:t>
      </w:r>
      <w:r w:rsidR="00170C88" w:rsidRPr="005B09A9">
        <w:rPr>
          <w:rFonts w:ascii="Times New Roman" w:eastAsia="Times New Roman" w:hAnsi="Times New Roman" w:cs="Times New Roman"/>
          <w:sz w:val="24"/>
          <w:szCs w:val="24"/>
          <w:lang w:eastAsia="fr-BE"/>
        </w:rPr>
        <w:t xml:space="preserve">and </w:t>
      </w:r>
      <w:r w:rsidR="00014BE6" w:rsidRPr="005B09A9">
        <w:rPr>
          <w:rFonts w:ascii="Times New Roman" w:eastAsia="Times New Roman" w:hAnsi="Times New Roman" w:cs="Times New Roman"/>
          <w:sz w:val="24"/>
          <w:szCs w:val="24"/>
          <w:lang w:eastAsia="fr-BE"/>
        </w:rPr>
        <w:t xml:space="preserve">evaluated </w:t>
      </w:r>
      <w:r w:rsidR="00170C88" w:rsidRPr="005B09A9">
        <w:rPr>
          <w:rFonts w:ascii="Times New Roman" w:eastAsia="Times New Roman" w:hAnsi="Times New Roman" w:cs="Times New Roman"/>
          <w:sz w:val="24"/>
          <w:szCs w:val="24"/>
          <w:lang w:eastAsia="fr-BE"/>
        </w:rPr>
        <w:t>any</w:t>
      </w:r>
      <w:r w:rsidR="0092337D" w:rsidRPr="005B09A9">
        <w:rPr>
          <w:rFonts w:ascii="Times New Roman" w:eastAsia="Times New Roman" w:hAnsi="Times New Roman" w:cs="Times New Roman"/>
          <w:sz w:val="24"/>
          <w:szCs w:val="24"/>
          <w:lang w:eastAsia="fr-BE"/>
        </w:rPr>
        <w:t xml:space="preserve"> conference posters </w:t>
      </w:r>
      <w:r w:rsidR="00170C88" w:rsidRPr="005B09A9">
        <w:rPr>
          <w:rFonts w:ascii="Times New Roman" w:eastAsia="Times New Roman" w:hAnsi="Times New Roman" w:cs="Times New Roman"/>
          <w:sz w:val="24"/>
          <w:szCs w:val="24"/>
          <w:lang w:eastAsia="fr-BE"/>
        </w:rPr>
        <w:t>or</w:t>
      </w:r>
      <w:r w:rsidR="0092337D" w:rsidRPr="005B09A9">
        <w:rPr>
          <w:rFonts w:ascii="Times New Roman" w:eastAsia="Times New Roman" w:hAnsi="Times New Roman" w:cs="Times New Roman"/>
          <w:sz w:val="24"/>
          <w:szCs w:val="24"/>
          <w:lang w:eastAsia="fr-BE"/>
        </w:rPr>
        <w:t xml:space="preserve"> abstracts</w:t>
      </w:r>
      <w:r w:rsidR="00170C88" w:rsidRPr="005B09A9">
        <w:rPr>
          <w:rFonts w:ascii="Times New Roman" w:eastAsia="Times New Roman" w:hAnsi="Times New Roman" w:cs="Times New Roman"/>
          <w:sz w:val="24"/>
          <w:szCs w:val="24"/>
          <w:lang w:eastAsia="fr-BE"/>
        </w:rPr>
        <w:t xml:space="preserve"> </w:t>
      </w:r>
      <w:r w:rsidR="00B409E8" w:rsidRPr="005B09A9">
        <w:rPr>
          <w:rFonts w:ascii="Times New Roman" w:eastAsia="Times New Roman" w:hAnsi="Times New Roman" w:cs="Times New Roman"/>
          <w:sz w:val="24"/>
          <w:szCs w:val="24"/>
          <w:lang w:eastAsia="fr-BE"/>
        </w:rPr>
        <w:t>on this topic</w:t>
      </w:r>
      <w:r w:rsidR="0092337D" w:rsidRPr="005B09A9">
        <w:rPr>
          <w:rFonts w:ascii="Times New Roman" w:eastAsia="Times New Roman" w:hAnsi="Times New Roman" w:cs="Times New Roman"/>
          <w:sz w:val="24"/>
          <w:szCs w:val="24"/>
          <w:lang w:eastAsia="fr-BE"/>
        </w:rPr>
        <w:t>.</w:t>
      </w:r>
      <w:r w:rsidR="00170C88" w:rsidRPr="005B09A9">
        <w:rPr>
          <w:rFonts w:ascii="Times New Roman" w:eastAsia="Times New Roman" w:hAnsi="Times New Roman" w:cs="Times New Roman"/>
          <w:sz w:val="24"/>
          <w:szCs w:val="24"/>
          <w:lang w:eastAsia="fr-BE"/>
        </w:rPr>
        <w:t xml:space="preserve"> </w:t>
      </w:r>
      <w:r w:rsidR="00C64391" w:rsidRPr="005B09A9">
        <w:rPr>
          <w:rFonts w:ascii="Times New Roman" w:eastAsia="Times New Roman" w:hAnsi="Times New Roman" w:cs="Times New Roman"/>
          <w:sz w:val="24"/>
          <w:szCs w:val="24"/>
          <w:lang w:eastAsia="fr-BE"/>
        </w:rPr>
        <w:t xml:space="preserve">The detailed search strategy </w:t>
      </w:r>
      <w:r w:rsidR="00014BE6" w:rsidRPr="005B09A9">
        <w:rPr>
          <w:rFonts w:ascii="Times New Roman" w:eastAsia="Times New Roman" w:hAnsi="Times New Roman" w:cs="Times New Roman"/>
          <w:sz w:val="24"/>
          <w:szCs w:val="24"/>
          <w:lang w:eastAsia="fr-BE"/>
        </w:rPr>
        <w:t xml:space="preserve">can be found </w:t>
      </w:r>
      <w:r w:rsidR="00C64391" w:rsidRPr="005B09A9">
        <w:rPr>
          <w:rFonts w:ascii="Times New Roman" w:eastAsia="Times New Roman" w:hAnsi="Times New Roman" w:cs="Times New Roman"/>
          <w:sz w:val="24"/>
          <w:szCs w:val="24"/>
          <w:lang w:eastAsia="fr-BE"/>
        </w:rPr>
        <w:t xml:space="preserve">in the </w:t>
      </w:r>
      <w:r w:rsidR="0062559E" w:rsidRPr="005B09A9">
        <w:rPr>
          <w:rFonts w:ascii="Times New Roman" w:eastAsia="Times New Roman" w:hAnsi="Times New Roman" w:cs="Times New Roman"/>
          <w:sz w:val="24"/>
          <w:szCs w:val="24"/>
          <w:lang w:eastAsia="fr-BE"/>
        </w:rPr>
        <w:t>Appendix</w:t>
      </w:r>
      <w:r w:rsidR="00EC4E0A" w:rsidRPr="005B09A9">
        <w:rPr>
          <w:rFonts w:ascii="Times New Roman" w:eastAsia="Times New Roman" w:hAnsi="Times New Roman" w:cs="Times New Roman"/>
          <w:sz w:val="24"/>
          <w:szCs w:val="24"/>
          <w:lang w:eastAsia="fr-BE"/>
        </w:rPr>
        <w:t xml:space="preserve"> 1 (</w:t>
      </w:r>
      <w:r w:rsidR="009822EC" w:rsidRPr="005B09A9">
        <w:rPr>
          <w:rFonts w:ascii="Times New Roman" w:eastAsia="Times New Roman" w:hAnsi="Times New Roman" w:cs="Times New Roman"/>
          <w:sz w:val="24"/>
          <w:szCs w:val="24"/>
          <w:lang w:eastAsia="fr-BE"/>
        </w:rPr>
        <w:t>“Res</w:t>
      </w:r>
      <w:r w:rsidR="00EC4E0A" w:rsidRPr="005B09A9">
        <w:rPr>
          <w:rFonts w:ascii="Times New Roman" w:eastAsia="Times New Roman" w:hAnsi="Times New Roman" w:cs="Times New Roman"/>
          <w:sz w:val="24"/>
          <w:szCs w:val="24"/>
          <w:lang w:eastAsia="fr-BE"/>
        </w:rPr>
        <w:t>earch equations</w:t>
      </w:r>
      <w:r w:rsidR="009822EC" w:rsidRPr="005B09A9">
        <w:rPr>
          <w:rFonts w:ascii="Times New Roman" w:eastAsia="Times New Roman" w:hAnsi="Times New Roman" w:cs="Times New Roman"/>
          <w:sz w:val="24"/>
          <w:szCs w:val="24"/>
          <w:lang w:eastAsia="fr-BE"/>
        </w:rPr>
        <w:t>”</w:t>
      </w:r>
      <w:r w:rsidR="00EC4E0A" w:rsidRPr="005B09A9">
        <w:rPr>
          <w:rFonts w:ascii="Times New Roman" w:eastAsia="Times New Roman" w:hAnsi="Times New Roman" w:cs="Times New Roman"/>
          <w:sz w:val="24"/>
          <w:szCs w:val="24"/>
          <w:lang w:eastAsia="fr-BE"/>
        </w:rPr>
        <w:t>)</w:t>
      </w:r>
      <w:r w:rsidR="00C64391" w:rsidRPr="005B09A9">
        <w:rPr>
          <w:rFonts w:ascii="Times New Roman" w:eastAsia="Times New Roman" w:hAnsi="Times New Roman" w:cs="Times New Roman"/>
          <w:sz w:val="24"/>
          <w:szCs w:val="24"/>
          <w:lang w:eastAsia="fr-BE"/>
        </w:rPr>
        <w:t>. It was based on recommended search terms for systemati</w:t>
      </w:r>
      <w:r w:rsidR="008D00DC" w:rsidRPr="005B09A9">
        <w:rPr>
          <w:rFonts w:ascii="Times New Roman" w:eastAsia="Times New Roman" w:hAnsi="Times New Roman" w:cs="Times New Roman"/>
          <w:sz w:val="24"/>
          <w:szCs w:val="24"/>
          <w:lang w:eastAsia="fr-BE"/>
        </w:rPr>
        <w:t xml:space="preserve">c reviews on prognostic factors </w:t>
      </w:r>
      <w:r w:rsidR="00C64391" w:rsidRPr="005B09A9">
        <w:rPr>
          <w:rFonts w:ascii="Times New Roman" w:eastAsia="Times New Roman" w:hAnsi="Times New Roman" w:cs="Times New Roman"/>
          <w:sz w:val="24"/>
          <w:szCs w:val="24"/>
          <w:lang w:eastAsia="fr-BE"/>
        </w:rPr>
        <w:fldChar w:fldCharType="begin"/>
      </w:r>
      <w:r w:rsidR="00C00CEA" w:rsidRPr="005B09A9">
        <w:rPr>
          <w:rFonts w:ascii="Times New Roman" w:eastAsia="Times New Roman" w:hAnsi="Times New Roman" w:cs="Times New Roman"/>
          <w:sz w:val="24"/>
          <w:szCs w:val="24"/>
          <w:lang w:eastAsia="fr-BE"/>
        </w:rPr>
        <w:instrText xml:space="preserve"> ADDIN ZOTERO_ITEM CSL_CITATION {"citationID":"HYk8xIjq","properties":{"formattedCitation":"(Altman, 2001)","plainCitation":"(Altman, 2001)","noteIndex":0},"citationItems":[{"id":826,"uris":["http://zotero.org/users/8777725/items/IVHSWCXU"],"itemData":{"id":826,"type":"article-journal","container-title":"BMJ : British Medical Journal","ISSN":"0959-8138","issue":"7306","journalAbbreviation":"BMJ","note":"PMID: 11473921\nPMCID: PMC1120839","page":"224-228","source":"PubMed Central","title":"Systematic reviews of evaluations of prognostic variables","volume":"323","author":[{"family":"Altman","given":"Douglas G"}],"issued":{"date-parts":[["2001",7,28]]}}}],"schema":"https://github.com/citation-style-language/schema/raw/master/csl-citation.json"} </w:instrText>
      </w:r>
      <w:r w:rsidR="00C64391" w:rsidRPr="005B09A9">
        <w:rPr>
          <w:rFonts w:ascii="Times New Roman" w:eastAsia="Times New Roman" w:hAnsi="Times New Roman" w:cs="Times New Roman"/>
          <w:sz w:val="24"/>
          <w:szCs w:val="24"/>
          <w:lang w:eastAsia="fr-BE"/>
        </w:rPr>
        <w:fldChar w:fldCharType="separate"/>
      </w:r>
      <w:r w:rsidR="00C00CEA" w:rsidRPr="005B09A9">
        <w:rPr>
          <w:rFonts w:ascii="Times New Roman" w:hAnsi="Times New Roman" w:cs="Times New Roman"/>
          <w:sz w:val="24"/>
        </w:rPr>
        <w:t>(Altman, 2001)</w:t>
      </w:r>
      <w:r w:rsidR="00C64391" w:rsidRPr="005B09A9">
        <w:rPr>
          <w:rFonts w:ascii="Times New Roman" w:eastAsia="Times New Roman" w:hAnsi="Times New Roman" w:cs="Times New Roman"/>
          <w:sz w:val="24"/>
          <w:szCs w:val="24"/>
          <w:lang w:eastAsia="fr-BE"/>
        </w:rPr>
        <w:fldChar w:fldCharType="end"/>
      </w:r>
      <w:r w:rsidR="008D00DC" w:rsidRPr="005B09A9">
        <w:rPr>
          <w:rFonts w:ascii="Times New Roman" w:eastAsia="Times New Roman" w:hAnsi="Times New Roman" w:cs="Times New Roman"/>
          <w:sz w:val="24"/>
          <w:szCs w:val="24"/>
          <w:lang w:eastAsia="fr-BE"/>
        </w:rPr>
        <w:t>.</w:t>
      </w:r>
      <w:r w:rsidR="00C64391" w:rsidRPr="005B09A9">
        <w:rPr>
          <w:rFonts w:ascii="Times New Roman" w:eastAsia="Times New Roman" w:hAnsi="Times New Roman" w:cs="Times New Roman"/>
          <w:sz w:val="24"/>
          <w:szCs w:val="24"/>
          <w:lang w:eastAsia="fr-BE"/>
        </w:rPr>
        <w:t xml:space="preserve"> </w:t>
      </w:r>
      <w:r w:rsidRPr="005B09A9">
        <w:rPr>
          <w:rFonts w:ascii="Times New Roman" w:eastAsia="Times New Roman" w:hAnsi="Times New Roman" w:cs="Times New Roman"/>
          <w:sz w:val="24"/>
          <w:szCs w:val="24"/>
          <w:lang w:eastAsia="fr-BE"/>
        </w:rPr>
        <w:t>Because the current definition of CRPS was introduced in the ’90s</w:t>
      </w:r>
      <w:r w:rsidR="008D00DC" w:rsidRPr="005B09A9">
        <w:rPr>
          <w:rFonts w:ascii="Times New Roman" w:eastAsia="Times New Roman" w:hAnsi="Times New Roman" w:cs="Times New Roman"/>
          <w:sz w:val="24"/>
          <w:szCs w:val="24"/>
          <w:lang w:eastAsia="fr-BE"/>
        </w:rPr>
        <w:t xml:space="preserve"> </w:t>
      </w:r>
      <w:r w:rsidRPr="005B09A9">
        <w:rPr>
          <w:rFonts w:ascii="Times New Roman" w:eastAsia="Times New Roman" w:hAnsi="Times New Roman" w:cs="Times New Roman"/>
          <w:sz w:val="24"/>
          <w:szCs w:val="24"/>
          <w:lang w:eastAsia="fr-BE"/>
        </w:rPr>
        <w:fldChar w:fldCharType="begin"/>
      </w:r>
      <w:r w:rsidR="00C00CEA" w:rsidRPr="005B09A9">
        <w:rPr>
          <w:rFonts w:ascii="Times New Roman" w:eastAsia="Times New Roman" w:hAnsi="Times New Roman" w:cs="Times New Roman"/>
          <w:sz w:val="24"/>
          <w:szCs w:val="24"/>
          <w:lang w:eastAsia="fr-BE"/>
        </w:rPr>
        <w:instrText xml:space="preserve"> ADDIN ZOTERO_ITEM CSL_CITATION {"citationID":"H7InkCKj","properties":{"formattedCitation":"(Merskey and Bogduk, 1994)","plainCitation":"(Merskey and Bogduk, 1994)","noteIndex":0},"citationItems":[{"id":1275,"uris":["http://zotero.org/users/8777725/items/MPTMN3SW"],"itemData":{"id":1275,"type":"book","edition":"2nd Edition","event-place":"Seattle","publisher":"IASP Press","publisher-place":"Seattle","title":"Classification of Chronic Pain.","author":[{"family":"Merskey","given":"H"},{"family":"Bogduk","given":"N"}],"issued":{"date-parts":[["1994"]]}}}],"schema":"https://github.com/citation-style-language/schema/raw/master/csl-citation.json"} </w:instrText>
      </w:r>
      <w:r w:rsidRPr="005B09A9">
        <w:rPr>
          <w:rFonts w:ascii="Times New Roman" w:eastAsia="Times New Roman" w:hAnsi="Times New Roman" w:cs="Times New Roman"/>
          <w:sz w:val="24"/>
          <w:szCs w:val="24"/>
          <w:lang w:eastAsia="fr-BE"/>
        </w:rPr>
        <w:fldChar w:fldCharType="separate"/>
      </w:r>
      <w:r w:rsidR="00C00CEA" w:rsidRPr="005B09A9">
        <w:rPr>
          <w:rFonts w:ascii="Times New Roman" w:hAnsi="Times New Roman" w:cs="Times New Roman"/>
          <w:sz w:val="24"/>
        </w:rPr>
        <w:t>(Merskey and Bogduk, 1994)</w:t>
      </w:r>
      <w:r w:rsidRPr="005B09A9">
        <w:rPr>
          <w:rFonts w:ascii="Times New Roman" w:eastAsia="Times New Roman" w:hAnsi="Times New Roman" w:cs="Times New Roman"/>
          <w:sz w:val="24"/>
          <w:szCs w:val="24"/>
          <w:lang w:eastAsia="fr-BE"/>
        </w:rPr>
        <w:fldChar w:fldCharType="end"/>
      </w:r>
      <w:r w:rsidR="008D00DC" w:rsidRPr="005B09A9">
        <w:rPr>
          <w:rFonts w:ascii="Times New Roman" w:eastAsia="Times New Roman" w:hAnsi="Times New Roman" w:cs="Times New Roman"/>
          <w:sz w:val="24"/>
          <w:szCs w:val="24"/>
          <w:lang w:eastAsia="fr-BE"/>
        </w:rPr>
        <w:t>,</w:t>
      </w:r>
      <w:r w:rsidRPr="005B09A9">
        <w:rPr>
          <w:rFonts w:ascii="Times New Roman" w:eastAsia="Times New Roman" w:hAnsi="Times New Roman" w:cs="Times New Roman"/>
          <w:sz w:val="24"/>
          <w:szCs w:val="24"/>
          <w:lang w:eastAsia="fr-BE"/>
        </w:rPr>
        <w:t xml:space="preserve"> </w:t>
      </w:r>
      <w:r w:rsidR="00170C88" w:rsidRPr="005B09A9">
        <w:rPr>
          <w:rFonts w:ascii="Times New Roman" w:eastAsia="Times New Roman" w:hAnsi="Times New Roman" w:cs="Times New Roman"/>
          <w:sz w:val="24"/>
          <w:szCs w:val="24"/>
          <w:lang w:eastAsia="fr-BE"/>
        </w:rPr>
        <w:t xml:space="preserve">we </w:t>
      </w:r>
      <w:r w:rsidR="00E534BE" w:rsidRPr="005B09A9">
        <w:rPr>
          <w:rFonts w:ascii="Times New Roman" w:eastAsia="Times New Roman" w:hAnsi="Times New Roman" w:cs="Times New Roman"/>
          <w:sz w:val="24"/>
          <w:szCs w:val="24"/>
          <w:lang w:eastAsia="fr-BE"/>
        </w:rPr>
        <w:t>restricted</w:t>
      </w:r>
      <w:r w:rsidR="00170C88" w:rsidRPr="005B09A9">
        <w:rPr>
          <w:rFonts w:ascii="Times New Roman" w:eastAsia="Times New Roman" w:hAnsi="Times New Roman" w:cs="Times New Roman"/>
          <w:sz w:val="24"/>
          <w:szCs w:val="24"/>
          <w:lang w:eastAsia="fr-BE"/>
        </w:rPr>
        <w:t xml:space="preserve"> our search to</w:t>
      </w:r>
      <w:r w:rsidR="00366922" w:rsidRPr="005B09A9">
        <w:rPr>
          <w:rFonts w:ascii="Times New Roman" w:eastAsia="Times New Roman" w:hAnsi="Times New Roman" w:cs="Times New Roman"/>
          <w:sz w:val="24"/>
          <w:szCs w:val="24"/>
          <w:lang w:eastAsia="fr-BE"/>
        </w:rPr>
        <w:t xml:space="preserve"> </w:t>
      </w:r>
      <w:r w:rsidR="00170C88" w:rsidRPr="005B09A9">
        <w:rPr>
          <w:rFonts w:ascii="Times New Roman" w:eastAsia="Times New Roman" w:hAnsi="Times New Roman" w:cs="Times New Roman"/>
          <w:sz w:val="24"/>
          <w:szCs w:val="24"/>
          <w:lang w:eastAsia="fr-BE"/>
        </w:rPr>
        <w:t>1990</w:t>
      </w:r>
      <w:r w:rsidR="00AD7C10" w:rsidRPr="005B09A9">
        <w:rPr>
          <w:rFonts w:ascii="Times New Roman" w:eastAsia="Times New Roman" w:hAnsi="Times New Roman" w:cs="Times New Roman"/>
          <w:sz w:val="24"/>
          <w:szCs w:val="24"/>
          <w:lang w:eastAsia="fr-BE"/>
        </w:rPr>
        <w:t xml:space="preserve"> and beyond</w:t>
      </w:r>
      <w:r w:rsidR="003A2DBC" w:rsidRPr="005B09A9">
        <w:rPr>
          <w:rFonts w:ascii="Times New Roman" w:eastAsia="Times New Roman" w:hAnsi="Times New Roman" w:cs="Times New Roman"/>
          <w:sz w:val="24"/>
          <w:szCs w:val="24"/>
          <w:lang w:eastAsia="fr-BE"/>
        </w:rPr>
        <w:t>.</w:t>
      </w:r>
    </w:p>
    <w:p w14:paraId="2A9A4DCD" w14:textId="57C405D3" w:rsidR="00975515" w:rsidRPr="005B09A9" w:rsidRDefault="003B7B2C" w:rsidP="003B7B2C">
      <w:pPr>
        <w:pStyle w:val="Paragraphedeliste"/>
        <w:numPr>
          <w:ilvl w:val="1"/>
          <w:numId w:val="18"/>
        </w:numPr>
        <w:spacing w:line="480" w:lineRule="auto"/>
        <w:rPr>
          <w:rStyle w:val="Accentuationlgre"/>
          <w:rFonts w:ascii="Times New Roman" w:hAnsi="Times New Roman" w:cs="Times New Roman"/>
          <w:b w:val="0"/>
          <w:sz w:val="24"/>
          <w:lang w:val="en-GB"/>
        </w:rPr>
      </w:pPr>
      <w:r w:rsidRPr="005B09A9">
        <w:rPr>
          <w:rStyle w:val="Accentuationlgre"/>
          <w:rFonts w:ascii="Times New Roman" w:hAnsi="Times New Roman" w:cs="Times New Roman"/>
          <w:b w:val="0"/>
          <w:sz w:val="24"/>
          <w:lang w:val="en-GB"/>
        </w:rPr>
        <w:t>Inclusion and E</w:t>
      </w:r>
      <w:r w:rsidR="00975515" w:rsidRPr="005B09A9">
        <w:rPr>
          <w:rStyle w:val="Accentuationlgre"/>
          <w:rFonts w:ascii="Times New Roman" w:hAnsi="Times New Roman" w:cs="Times New Roman"/>
          <w:b w:val="0"/>
          <w:sz w:val="24"/>
          <w:lang w:val="en-GB"/>
        </w:rPr>
        <w:t xml:space="preserve">xclusion </w:t>
      </w:r>
      <w:r w:rsidRPr="005B09A9">
        <w:rPr>
          <w:rStyle w:val="Accentuationlgre"/>
          <w:rFonts w:ascii="Times New Roman" w:hAnsi="Times New Roman" w:cs="Times New Roman"/>
          <w:b w:val="0"/>
          <w:sz w:val="24"/>
          <w:lang w:val="en-GB"/>
        </w:rPr>
        <w:t>C</w:t>
      </w:r>
      <w:r w:rsidR="00975515" w:rsidRPr="005B09A9">
        <w:rPr>
          <w:rStyle w:val="Accentuationlgre"/>
          <w:rFonts w:ascii="Times New Roman" w:hAnsi="Times New Roman" w:cs="Times New Roman"/>
          <w:b w:val="0"/>
          <w:sz w:val="24"/>
          <w:lang w:val="en-GB"/>
        </w:rPr>
        <w:t>riteria</w:t>
      </w:r>
    </w:p>
    <w:p w14:paraId="31737A53" w14:textId="1C04435C" w:rsidR="007E453D" w:rsidRPr="005B09A9" w:rsidRDefault="00AB504A" w:rsidP="003B7B2C">
      <w:pPr>
        <w:spacing w:before="100" w:beforeAutospacing="1" w:after="0" w:line="480" w:lineRule="auto"/>
        <w:jc w:val="left"/>
        <w:rPr>
          <w:rStyle w:val="Marquedecommentaire"/>
          <w:rFonts w:ascii="Times New Roman" w:hAnsi="Times New Roman" w:cs="Times New Roman"/>
          <w:sz w:val="24"/>
          <w:szCs w:val="24"/>
        </w:rPr>
      </w:pPr>
      <w:r w:rsidRPr="005B09A9">
        <w:rPr>
          <w:rFonts w:ascii="Times New Roman" w:eastAsia="Times New Roman" w:hAnsi="Times New Roman" w:cs="Times New Roman"/>
          <w:sz w:val="24"/>
          <w:szCs w:val="24"/>
          <w:lang w:eastAsia="fr-BE"/>
        </w:rPr>
        <w:t>Inclusion</w:t>
      </w:r>
      <w:r w:rsidR="00002DB1" w:rsidRPr="005B09A9">
        <w:rPr>
          <w:rFonts w:ascii="Times New Roman" w:eastAsia="Times New Roman" w:hAnsi="Times New Roman" w:cs="Times New Roman"/>
          <w:sz w:val="24"/>
          <w:szCs w:val="24"/>
          <w:lang w:eastAsia="fr-BE"/>
        </w:rPr>
        <w:t xml:space="preserve"> criteria</w:t>
      </w:r>
      <w:r w:rsidR="00A15E9F" w:rsidRPr="005B09A9">
        <w:rPr>
          <w:rFonts w:ascii="Times New Roman" w:eastAsia="Times New Roman" w:hAnsi="Times New Roman" w:cs="Times New Roman"/>
          <w:sz w:val="24"/>
          <w:szCs w:val="24"/>
          <w:lang w:eastAsia="fr-BE"/>
        </w:rPr>
        <w:t xml:space="preserve"> were</w:t>
      </w:r>
      <w:r w:rsidR="001242A1" w:rsidRPr="005B09A9">
        <w:rPr>
          <w:rFonts w:ascii="Times New Roman" w:eastAsia="Times New Roman" w:hAnsi="Times New Roman" w:cs="Times New Roman"/>
          <w:sz w:val="24"/>
          <w:szCs w:val="24"/>
          <w:lang w:eastAsia="fr-BE"/>
        </w:rPr>
        <w:t>:</w:t>
      </w:r>
      <w:r w:rsidR="00170747" w:rsidRPr="005B09A9">
        <w:rPr>
          <w:rFonts w:ascii="Times New Roman" w:eastAsia="Times New Roman" w:hAnsi="Times New Roman" w:cs="Times New Roman"/>
          <w:sz w:val="24"/>
          <w:szCs w:val="24"/>
          <w:lang w:eastAsia="fr-BE"/>
        </w:rPr>
        <w:t xml:space="preserve"> (1) l</w:t>
      </w:r>
      <w:r w:rsidR="00002DB1" w:rsidRPr="005B09A9">
        <w:rPr>
          <w:rFonts w:ascii="Times New Roman" w:eastAsia="Times New Roman" w:hAnsi="Times New Roman" w:cs="Times New Roman"/>
          <w:sz w:val="24"/>
          <w:szCs w:val="24"/>
          <w:lang w:eastAsia="fr-BE"/>
        </w:rPr>
        <w:t>ongitudinal (prospective</w:t>
      </w:r>
      <w:r w:rsidR="007C2FCF" w:rsidRPr="005B09A9">
        <w:rPr>
          <w:rFonts w:ascii="Times New Roman" w:eastAsia="Times New Roman" w:hAnsi="Times New Roman" w:cs="Times New Roman"/>
          <w:sz w:val="24"/>
          <w:szCs w:val="24"/>
          <w:lang w:eastAsia="fr-BE"/>
        </w:rPr>
        <w:t xml:space="preserve"> or </w:t>
      </w:r>
      <w:r w:rsidR="00002DB1" w:rsidRPr="005B09A9">
        <w:rPr>
          <w:rFonts w:ascii="Times New Roman" w:eastAsia="Times New Roman" w:hAnsi="Times New Roman" w:cs="Times New Roman"/>
          <w:sz w:val="24"/>
          <w:szCs w:val="24"/>
          <w:lang w:eastAsia="fr-BE"/>
        </w:rPr>
        <w:t>retrospective</w:t>
      </w:r>
      <w:r w:rsidR="007C2FCF" w:rsidRPr="005B09A9">
        <w:rPr>
          <w:rFonts w:ascii="Times New Roman" w:eastAsia="Times New Roman" w:hAnsi="Times New Roman" w:cs="Times New Roman"/>
          <w:sz w:val="24"/>
          <w:szCs w:val="24"/>
          <w:lang w:eastAsia="fr-BE"/>
        </w:rPr>
        <w:t>)</w:t>
      </w:r>
      <w:r w:rsidR="007A1F7C" w:rsidRPr="005B09A9">
        <w:rPr>
          <w:rFonts w:ascii="Times New Roman" w:eastAsia="Times New Roman" w:hAnsi="Times New Roman" w:cs="Times New Roman"/>
          <w:sz w:val="24"/>
          <w:szCs w:val="24"/>
          <w:lang w:eastAsia="fr-BE"/>
        </w:rPr>
        <w:t xml:space="preserve"> or cross-sectional studies</w:t>
      </w:r>
      <w:r w:rsidR="007C2FCF" w:rsidRPr="005B09A9">
        <w:rPr>
          <w:rFonts w:ascii="Times New Roman" w:eastAsia="Times New Roman" w:hAnsi="Times New Roman" w:cs="Times New Roman"/>
          <w:sz w:val="24"/>
          <w:szCs w:val="24"/>
          <w:lang w:eastAsia="fr-BE"/>
        </w:rPr>
        <w:t xml:space="preserve">, </w:t>
      </w:r>
      <w:r w:rsidR="00170747" w:rsidRPr="005B09A9">
        <w:rPr>
          <w:rFonts w:ascii="Times New Roman" w:eastAsia="Times New Roman" w:hAnsi="Times New Roman" w:cs="Times New Roman"/>
          <w:sz w:val="24"/>
          <w:szCs w:val="24"/>
          <w:lang w:eastAsia="fr-BE"/>
        </w:rPr>
        <w:t xml:space="preserve">(2) </w:t>
      </w:r>
      <w:r w:rsidR="0092337D" w:rsidRPr="005B09A9">
        <w:rPr>
          <w:rFonts w:ascii="Times New Roman" w:eastAsia="Times New Roman" w:hAnsi="Times New Roman" w:cs="Times New Roman"/>
          <w:sz w:val="24"/>
          <w:szCs w:val="24"/>
          <w:lang w:eastAsia="fr-BE"/>
        </w:rPr>
        <w:t xml:space="preserve">English or French language, </w:t>
      </w:r>
      <w:r w:rsidR="00170747" w:rsidRPr="005B09A9">
        <w:rPr>
          <w:rFonts w:ascii="Times New Roman" w:eastAsia="Times New Roman" w:hAnsi="Times New Roman" w:cs="Times New Roman"/>
          <w:sz w:val="24"/>
          <w:szCs w:val="24"/>
          <w:lang w:eastAsia="fr-BE"/>
        </w:rPr>
        <w:t>(3) p</w:t>
      </w:r>
      <w:r w:rsidR="0092337D" w:rsidRPr="005B09A9">
        <w:rPr>
          <w:rFonts w:ascii="Times New Roman" w:eastAsia="Times New Roman" w:hAnsi="Times New Roman" w:cs="Times New Roman"/>
          <w:sz w:val="24"/>
          <w:szCs w:val="24"/>
          <w:lang w:eastAsia="fr-BE"/>
        </w:rPr>
        <w:t xml:space="preserve">eer-reviewed journals, </w:t>
      </w:r>
      <w:r w:rsidR="007E453D" w:rsidRPr="005B09A9">
        <w:rPr>
          <w:rFonts w:ascii="Times New Roman" w:eastAsia="Times New Roman" w:hAnsi="Times New Roman" w:cs="Times New Roman"/>
          <w:sz w:val="24"/>
          <w:szCs w:val="24"/>
          <w:lang w:eastAsia="fr-BE"/>
        </w:rPr>
        <w:t xml:space="preserve">(4) </w:t>
      </w:r>
      <w:r w:rsidR="0092337D" w:rsidRPr="005B09A9">
        <w:rPr>
          <w:rFonts w:ascii="Times New Roman" w:eastAsia="Times New Roman" w:hAnsi="Times New Roman" w:cs="Times New Roman"/>
          <w:sz w:val="24"/>
          <w:szCs w:val="24"/>
          <w:lang w:eastAsia="fr-BE"/>
        </w:rPr>
        <w:t>human subjects</w:t>
      </w:r>
      <w:r w:rsidR="00BF53E3" w:rsidRPr="005B09A9">
        <w:rPr>
          <w:rFonts w:ascii="Times New Roman" w:eastAsia="Times New Roman" w:hAnsi="Times New Roman" w:cs="Times New Roman"/>
          <w:sz w:val="24"/>
          <w:szCs w:val="24"/>
          <w:lang w:eastAsia="fr-BE"/>
        </w:rPr>
        <w:t xml:space="preserve"> only</w:t>
      </w:r>
      <w:r w:rsidR="007E59D3" w:rsidRPr="005B09A9">
        <w:rPr>
          <w:rFonts w:ascii="Times New Roman" w:eastAsia="Times New Roman" w:hAnsi="Times New Roman" w:cs="Times New Roman"/>
          <w:sz w:val="24"/>
          <w:szCs w:val="24"/>
          <w:lang w:eastAsia="fr-BE"/>
        </w:rPr>
        <w:t>,</w:t>
      </w:r>
      <w:r w:rsidR="00A15E9F" w:rsidRPr="005B09A9">
        <w:rPr>
          <w:rFonts w:ascii="Times New Roman" w:eastAsia="Times New Roman" w:hAnsi="Times New Roman" w:cs="Times New Roman"/>
          <w:sz w:val="24"/>
          <w:szCs w:val="24"/>
          <w:lang w:eastAsia="fr-BE"/>
        </w:rPr>
        <w:t xml:space="preserve"> </w:t>
      </w:r>
      <w:r w:rsidR="007E453D" w:rsidRPr="005B09A9">
        <w:rPr>
          <w:rFonts w:ascii="Times New Roman" w:eastAsia="Times New Roman" w:hAnsi="Times New Roman" w:cs="Times New Roman"/>
          <w:sz w:val="24"/>
          <w:szCs w:val="24"/>
          <w:lang w:eastAsia="fr-BE"/>
        </w:rPr>
        <w:t>(5) i</w:t>
      </w:r>
      <w:r w:rsidR="007E453D" w:rsidRPr="005B09A9">
        <w:rPr>
          <w:rFonts w:ascii="Times New Roman" w:eastAsia="Times New Roman" w:hAnsi="Times New Roman" w:cs="Times New Roman"/>
          <w:bCs/>
          <w:sz w:val="24"/>
          <w:szCs w:val="24"/>
          <w:lang w:eastAsia="fr-BE"/>
        </w:rPr>
        <w:t>dentification</w:t>
      </w:r>
      <w:r w:rsidR="00083EFF" w:rsidRPr="005B09A9">
        <w:rPr>
          <w:rFonts w:ascii="Times New Roman" w:eastAsia="Times New Roman" w:hAnsi="Times New Roman" w:cs="Times New Roman"/>
          <w:bCs/>
          <w:sz w:val="24"/>
          <w:szCs w:val="24"/>
          <w:lang w:eastAsia="fr-BE"/>
        </w:rPr>
        <w:t xml:space="preserve"> of at least one</w:t>
      </w:r>
      <w:r w:rsidR="00083EFF" w:rsidRPr="005B09A9">
        <w:rPr>
          <w:rFonts w:ascii="Times New Roman" w:eastAsia="Times New Roman" w:hAnsi="Times New Roman" w:cs="Times New Roman"/>
          <w:sz w:val="24"/>
          <w:szCs w:val="24"/>
          <w:lang w:eastAsia="fr-BE"/>
        </w:rPr>
        <w:t xml:space="preserve"> </w:t>
      </w:r>
      <w:r w:rsidR="00083EFF" w:rsidRPr="005B09A9">
        <w:rPr>
          <w:rFonts w:ascii="Times New Roman" w:eastAsia="Times New Roman" w:hAnsi="Times New Roman" w:cs="Times New Roman"/>
          <w:bCs/>
          <w:sz w:val="24"/>
          <w:szCs w:val="24"/>
          <w:lang w:eastAsia="fr-BE"/>
        </w:rPr>
        <w:t xml:space="preserve">factor having a </w:t>
      </w:r>
      <w:r w:rsidR="00653C88" w:rsidRPr="005B09A9">
        <w:rPr>
          <w:rFonts w:ascii="Times New Roman" w:eastAsia="Times New Roman" w:hAnsi="Times New Roman" w:cs="Times New Roman"/>
          <w:bCs/>
          <w:sz w:val="24"/>
          <w:szCs w:val="24"/>
          <w:lang w:eastAsia="fr-BE"/>
        </w:rPr>
        <w:t>statistical</w:t>
      </w:r>
      <w:r w:rsidR="00BF53E3" w:rsidRPr="005B09A9">
        <w:rPr>
          <w:rFonts w:ascii="Times New Roman" w:eastAsia="Times New Roman" w:hAnsi="Times New Roman" w:cs="Times New Roman"/>
          <w:bCs/>
          <w:sz w:val="24"/>
          <w:szCs w:val="24"/>
          <w:lang w:eastAsia="fr-BE"/>
        </w:rPr>
        <w:t>ly</w:t>
      </w:r>
      <w:r w:rsidR="00653C88" w:rsidRPr="005B09A9">
        <w:rPr>
          <w:rFonts w:ascii="Times New Roman" w:eastAsia="Times New Roman" w:hAnsi="Times New Roman" w:cs="Times New Roman"/>
          <w:bCs/>
          <w:sz w:val="24"/>
          <w:szCs w:val="24"/>
          <w:lang w:eastAsia="fr-BE"/>
        </w:rPr>
        <w:t xml:space="preserve"> </w:t>
      </w:r>
      <w:r w:rsidR="00083EFF" w:rsidRPr="005B09A9">
        <w:rPr>
          <w:rFonts w:ascii="Times New Roman" w:eastAsia="Times New Roman" w:hAnsi="Times New Roman" w:cs="Times New Roman"/>
          <w:bCs/>
          <w:sz w:val="24"/>
          <w:szCs w:val="24"/>
          <w:lang w:eastAsia="fr-BE"/>
        </w:rPr>
        <w:t>significant</w:t>
      </w:r>
      <w:r w:rsidR="00653C88" w:rsidRPr="005B09A9">
        <w:rPr>
          <w:rFonts w:ascii="Times New Roman" w:eastAsia="Times New Roman" w:hAnsi="Times New Roman" w:cs="Times New Roman"/>
          <w:bCs/>
          <w:sz w:val="24"/>
          <w:szCs w:val="24"/>
          <w:lang w:eastAsia="fr-BE"/>
        </w:rPr>
        <w:t xml:space="preserve"> (p &lt;0.05)</w:t>
      </w:r>
      <w:r w:rsidR="00083EFF" w:rsidRPr="005B09A9">
        <w:rPr>
          <w:rFonts w:ascii="Times New Roman" w:eastAsia="Times New Roman" w:hAnsi="Times New Roman" w:cs="Times New Roman"/>
          <w:bCs/>
          <w:sz w:val="24"/>
          <w:szCs w:val="24"/>
          <w:lang w:eastAsia="fr-BE"/>
        </w:rPr>
        <w:t xml:space="preserve"> impact</w:t>
      </w:r>
      <w:r w:rsidR="00083EFF" w:rsidRPr="005B09A9">
        <w:rPr>
          <w:rFonts w:ascii="Times New Roman" w:eastAsia="Times New Roman" w:hAnsi="Times New Roman" w:cs="Times New Roman"/>
          <w:sz w:val="24"/>
          <w:szCs w:val="24"/>
          <w:lang w:eastAsia="fr-BE"/>
        </w:rPr>
        <w:t xml:space="preserve"> </w:t>
      </w:r>
      <w:r w:rsidR="00083EFF" w:rsidRPr="005B09A9">
        <w:rPr>
          <w:rFonts w:ascii="Times New Roman" w:eastAsia="Times New Roman" w:hAnsi="Times New Roman" w:cs="Times New Roman"/>
          <w:bCs/>
          <w:sz w:val="24"/>
          <w:szCs w:val="24"/>
          <w:lang w:eastAsia="fr-BE"/>
        </w:rPr>
        <w:t>on</w:t>
      </w:r>
      <w:r w:rsidR="002650D3" w:rsidRPr="005B09A9">
        <w:rPr>
          <w:rFonts w:ascii="Times New Roman" w:eastAsia="Times New Roman" w:hAnsi="Times New Roman" w:cs="Times New Roman"/>
          <w:sz w:val="24"/>
          <w:szCs w:val="24"/>
          <w:lang w:eastAsia="fr-BE"/>
        </w:rPr>
        <w:t xml:space="preserve"> </w:t>
      </w:r>
      <w:r w:rsidR="007E59D3" w:rsidRPr="005B09A9">
        <w:rPr>
          <w:rFonts w:ascii="Times New Roman" w:eastAsia="Times New Roman" w:hAnsi="Times New Roman" w:cs="Times New Roman"/>
          <w:sz w:val="24"/>
          <w:szCs w:val="24"/>
          <w:lang w:eastAsia="fr-BE"/>
        </w:rPr>
        <w:t>pain, CSS, disability, return to work</w:t>
      </w:r>
      <w:r w:rsidR="00024FB2" w:rsidRPr="005B09A9">
        <w:rPr>
          <w:rFonts w:ascii="Times New Roman" w:eastAsia="Times New Roman" w:hAnsi="Times New Roman" w:cs="Times New Roman"/>
          <w:sz w:val="24"/>
          <w:szCs w:val="24"/>
          <w:lang w:eastAsia="fr-BE"/>
        </w:rPr>
        <w:t xml:space="preserve"> </w:t>
      </w:r>
      <w:r w:rsidR="00917521" w:rsidRPr="005B09A9">
        <w:rPr>
          <w:rFonts w:ascii="Times New Roman" w:eastAsia="Times New Roman" w:hAnsi="Times New Roman" w:cs="Times New Roman"/>
          <w:bCs/>
          <w:sz w:val="24"/>
          <w:szCs w:val="24"/>
          <w:lang w:eastAsia="fr-BE"/>
        </w:rPr>
        <w:t>or</w:t>
      </w:r>
      <w:r w:rsidR="007E59D3" w:rsidRPr="005B09A9">
        <w:rPr>
          <w:rFonts w:ascii="Times New Roman" w:eastAsia="Times New Roman" w:hAnsi="Times New Roman" w:cs="Times New Roman"/>
          <w:sz w:val="24"/>
          <w:szCs w:val="24"/>
          <w:lang w:eastAsia="fr-BE"/>
        </w:rPr>
        <w:t xml:space="preserve"> </w:t>
      </w:r>
      <w:r w:rsidR="00024FB2" w:rsidRPr="005B09A9">
        <w:rPr>
          <w:rFonts w:ascii="Times New Roman" w:eastAsia="Times New Roman" w:hAnsi="Times New Roman" w:cs="Times New Roman"/>
          <w:sz w:val="24"/>
          <w:szCs w:val="24"/>
          <w:lang w:eastAsia="fr-BE"/>
        </w:rPr>
        <w:t>QoL</w:t>
      </w:r>
      <w:r w:rsidR="00170747" w:rsidRPr="005B09A9">
        <w:rPr>
          <w:rFonts w:ascii="Times New Roman" w:eastAsia="Times New Roman" w:hAnsi="Times New Roman" w:cs="Times New Roman"/>
          <w:sz w:val="24"/>
          <w:szCs w:val="24"/>
          <w:lang w:eastAsia="fr-BE"/>
        </w:rPr>
        <w:t>, and (6)</w:t>
      </w:r>
      <w:r w:rsidR="007B3338" w:rsidRPr="005B09A9">
        <w:rPr>
          <w:rFonts w:ascii="Times New Roman" w:eastAsia="Times New Roman" w:hAnsi="Times New Roman" w:cs="Times New Roman"/>
          <w:sz w:val="24"/>
          <w:szCs w:val="24"/>
          <w:lang w:eastAsia="fr-BE"/>
        </w:rPr>
        <w:t xml:space="preserve"> adult </w:t>
      </w:r>
      <w:r w:rsidR="00AB2CA7" w:rsidRPr="005B09A9">
        <w:rPr>
          <w:rFonts w:ascii="Times New Roman" w:eastAsia="Times New Roman" w:hAnsi="Times New Roman" w:cs="Times New Roman"/>
          <w:sz w:val="24"/>
          <w:szCs w:val="24"/>
          <w:lang w:eastAsia="fr-BE"/>
        </w:rPr>
        <w:t xml:space="preserve">population </w:t>
      </w:r>
      <w:r w:rsidR="007B3338" w:rsidRPr="005B09A9">
        <w:rPr>
          <w:rFonts w:ascii="Times New Roman" w:eastAsia="Times New Roman" w:hAnsi="Times New Roman" w:cs="Times New Roman"/>
          <w:sz w:val="24"/>
          <w:szCs w:val="24"/>
          <w:lang w:eastAsia="fr-BE"/>
        </w:rPr>
        <w:t>(</w:t>
      </w:r>
      <w:r w:rsidR="006D3764" w:rsidRPr="005B09A9">
        <w:rPr>
          <w:rFonts w:ascii="Times New Roman" w:eastAsia="Times New Roman" w:hAnsi="Times New Roman" w:cs="Times New Roman"/>
          <w:sz w:val="24"/>
          <w:szCs w:val="24"/>
          <w:lang w:eastAsia="fr-BE"/>
        </w:rPr>
        <w:t>≥</w:t>
      </w:r>
      <w:r w:rsidR="007B3338" w:rsidRPr="005B09A9">
        <w:rPr>
          <w:rFonts w:ascii="Times New Roman" w:eastAsia="Times New Roman" w:hAnsi="Times New Roman" w:cs="Times New Roman"/>
          <w:sz w:val="24"/>
          <w:szCs w:val="24"/>
          <w:lang w:eastAsia="fr-BE"/>
        </w:rPr>
        <w:t xml:space="preserve">18 years) </w:t>
      </w:r>
      <w:r w:rsidR="00E534BE" w:rsidRPr="005B09A9">
        <w:rPr>
          <w:rFonts w:ascii="Times New Roman" w:eastAsia="Times New Roman" w:hAnsi="Times New Roman" w:cs="Times New Roman"/>
          <w:sz w:val="24"/>
          <w:szCs w:val="24"/>
          <w:lang w:eastAsia="fr-BE"/>
        </w:rPr>
        <w:t xml:space="preserve">with an </w:t>
      </w:r>
      <w:r w:rsidR="00646CCE" w:rsidRPr="005B09A9">
        <w:rPr>
          <w:rFonts w:ascii="Times New Roman" w:eastAsia="Times New Roman" w:hAnsi="Times New Roman" w:cs="Times New Roman"/>
          <w:sz w:val="24"/>
          <w:szCs w:val="24"/>
          <w:lang w:eastAsia="fr-BE"/>
        </w:rPr>
        <w:t xml:space="preserve">early </w:t>
      </w:r>
      <w:r w:rsidR="00FB2B0C" w:rsidRPr="005B09A9">
        <w:rPr>
          <w:rFonts w:ascii="Times New Roman" w:eastAsia="Times New Roman" w:hAnsi="Times New Roman" w:cs="Times New Roman"/>
          <w:sz w:val="24"/>
          <w:szCs w:val="24"/>
          <w:lang w:eastAsia="fr-BE"/>
        </w:rPr>
        <w:t xml:space="preserve">type I or II </w:t>
      </w:r>
      <w:r w:rsidR="00971C56" w:rsidRPr="005B09A9">
        <w:rPr>
          <w:rFonts w:ascii="Times New Roman" w:eastAsia="Times New Roman" w:hAnsi="Times New Roman" w:cs="Times New Roman"/>
          <w:sz w:val="24"/>
          <w:szCs w:val="24"/>
          <w:lang w:eastAsia="fr-BE"/>
        </w:rPr>
        <w:t>CRPS</w:t>
      </w:r>
      <w:r w:rsidR="00E534BE" w:rsidRPr="005B09A9">
        <w:rPr>
          <w:rFonts w:ascii="Times New Roman" w:eastAsia="Times New Roman" w:hAnsi="Times New Roman" w:cs="Times New Roman"/>
          <w:sz w:val="24"/>
          <w:szCs w:val="24"/>
          <w:lang w:eastAsia="fr-BE"/>
        </w:rPr>
        <w:t xml:space="preserve"> (&lt;12 weeks from the </w:t>
      </w:r>
      <w:r w:rsidR="00692636" w:rsidRPr="005B09A9">
        <w:rPr>
          <w:rFonts w:ascii="Times New Roman" w:eastAsia="Times New Roman" w:hAnsi="Times New Roman" w:cs="Times New Roman"/>
          <w:sz w:val="24"/>
          <w:szCs w:val="24"/>
          <w:lang w:eastAsia="fr-BE"/>
        </w:rPr>
        <w:t xml:space="preserve">diagnosis of the </w:t>
      </w:r>
      <w:r w:rsidR="0041698B" w:rsidRPr="005B09A9">
        <w:rPr>
          <w:rFonts w:ascii="Times New Roman" w:eastAsia="Times New Roman" w:hAnsi="Times New Roman" w:cs="Times New Roman"/>
          <w:sz w:val="24"/>
          <w:szCs w:val="24"/>
          <w:lang w:eastAsia="fr-BE"/>
        </w:rPr>
        <w:t>condition</w:t>
      </w:r>
      <w:r w:rsidR="00E534BE" w:rsidRPr="005B09A9">
        <w:rPr>
          <w:rFonts w:ascii="Times New Roman" w:eastAsia="Times New Roman" w:hAnsi="Times New Roman" w:cs="Times New Roman"/>
          <w:sz w:val="24"/>
          <w:szCs w:val="24"/>
          <w:lang w:eastAsia="fr-BE"/>
        </w:rPr>
        <w:t>, at the time of study inclusion)</w:t>
      </w:r>
      <w:r w:rsidR="00020E45" w:rsidRPr="005B09A9">
        <w:rPr>
          <w:rFonts w:ascii="Times New Roman" w:eastAsia="Times New Roman" w:hAnsi="Times New Roman" w:cs="Times New Roman"/>
          <w:sz w:val="24"/>
          <w:szCs w:val="24"/>
          <w:lang w:eastAsia="fr-BE"/>
        </w:rPr>
        <w:t>;</w:t>
      </w:r>
      <w:r w:rsidR="00E534BE" w:rsidRPr="005B09A9">
        <w:rPr>
          <w:rFonts w:ascii="Times New Roman" w:eastAsia="Times New Roman" w:hAnsi="Times New Roman" w:cs="Times New Roman"/>
          <w:sz w:val="24"/>
          <w:szCs w:val="24"/>
          <w:lang w:eastAsia="fr-BE"/>
        </w:rPr>
        <w:t xml:space="preserve"> </w:t>
      </w:r>
      <w:bookmarkStart w:id="0" w:name="_Hlk86229795"/>
      <w:r w:rsidR="006442D7" w:rsidRPr="005B09A9">
        <w:rPr>
          <w:rFonts w:ascii="Times New Roman" w:eastAsia="Times New Roman" w:hAnsi="Times New Roman" w:cs="Times New Roman"/>
          <w:sz w:val="24"/>
          <w:szCs w:val="24"/>
          <w:lang w:eastAsia="fr-BE"/>
        </w:rPr>
        <w:t>or cross-sectional data</w:t>
      </w:r>
      <w:bookmarkEnd w:id="0"/>
      <w:r w:rsidR="008944F1" w:rsidRPr="005B09A9">
        <w:rPr>
          <w:rFonts w:ascii="Times New Roman" w:eastAsia="Times New Roman" w:hAnsi="Times New Roman" w:cs="Times New Roman"/>
          <w:sz w:val="24"/>
          <w:szCs w:val="24"/>
          <w:lang w:eastAsia="fr-BE"/>
        </w:rPr>
        <w:t xml:space="preserve"> looking at prognostic factors</w:t>
      </w:r>
      <w:r w:rsidR="007E59D3" w:rsidRPr="005B09A9">
        <w:rPr>
          <w:rFonts w:ascii="Times New Roman" w:eastAsia="Times New Roman" w:hAnsi="Times New Roman" w:cs="Times New Roman"/>
          <w:sz w:val="24"/>
          <w:szCs w:val="24"/>
          <w:lang w:eastAsia="fr-BE"/>
        </w:rPr>
        <w:t>.</w:t>
      </w:r>
    </w:p>
    <w:p w14:paraId="516DCFB4" w14:textId="13DD45F2" w:rsidR="007B3338" w:rsidRPr="005B09A9" w:rsidRDefault="007E453D" w:rsidP="003B7B2C">
      <w:pPr>
        <w:spacing w:after="0" w:line="480" w:lineRule="auto"/>
        <w:jc w:val="left"/>
        <w:rPr>
          <w:rFonts w:ascii="Times New Roman" w:eastAsia="Times New Roman" w:hAnsi="Times New Roman" w:cs="Times New Roman"/>
          <w:sz w:val="24"/>
          <w:szCs w:val="24"/>
          <w:lang w:eastAsia="fr-BE"/>
        </w:rPr>
      </w:pPr>
      <w:r w:rsidRPr="005B09A9">
        <w:rPr>
          <w:rStyle w:val="Marquedecommentaire"/>
          <w:rFonts w:ascii="Times New Roman" w:hAnsi="Times New Roman" w:cs="Times New Roman"/>
          <w:sz w:val="24"/>
          <w:szCs w:val="24"/>
        </w:rPr>
        <w:t>T</w:t>
      </w:r>
      <w:r w:rsidR="00900CA4" w:rsidRPr="005B09A9">
        <w:rPr>
          <w:rFonts w:ascii="Times New Roman" w:eastAsia="Times New Roman" w:hAnsi="Times New Roman" w:cs="Times New Roman"/>
          <w:sz w:val="24"/>
          <w:szCs w:val="24"/>
          <w:lang w:eastAsia="fr-BE"/>
        </w:rPr>
        <w:t xml:space="preserve">here is currently no consensus on what </w:t>
      </w:r>
      <w:r w:rsidR="0081229A" w:rsidRPr="005B09A9">
        <w:rPr>
          <w:rFonts w:ascii="Times New Roman" w:eastAsia="Times New Roman" w:hAnsi="Times New Roman" w:cs="Times New Roman"/>
          <w:sz w:val="24"/>
          <w:szCs w:val="24"/>
          <w:lang w:eastAsia="fr-BE"/>
        </w:rPr>
        <w:t xml:space="preserve">constitutes </w:t>
      </w:r>
      <w:r w:rsidR="00F626D3" w:rsidRPr="005B09A9">
        <w:rPr>
          <w:rFonts w:ascii="Times New Roman" w:eastAsia="Times New Roman" w:hAnsi="Times New Roman" w:cs="Times New Roman"/>
          <w:sz w:val="24"/>
          <w:szCs w:val="24"/>
          <w:lang w:eastAsia="fr-BE"/>
        </w:rPr>
        <w:t>early</w:t>
      </w:r>
      <w:r w:rsidR="00900CA4" w:rsidRPr="005B09A9">
        <w:rPr>
          <w:rFonts w:ascii="Times New Roman" w:eastAsia="Times New Roman" w:hAnsi="Times New Roman" w:cs="Times New Roman"/>
          <w:sz w:val="24"/>
          <w:szCs w:val="24"/>
          <w:lang w:eastAsia="fr-BE"/>
        </w:rPr>
        <w:t xml:space="preserve"> or </w:t>
      </w:r>
      <w:r w:rsidR="00F626D3" w:rsidRPr="005B09A9">
        <w:rPr>
          <w:rFonts w:ascii="Times New Roman" w:eastAsia="Times New Roman" w:hAnsi="Times New Roman" w:cs="Times New Roman"/>
          <w:sz w:val="24"/>
          <w:szCs w:val="24"/>
          <w:lang w:eastAsia="fr-BE"/>
        </w:rPr>
        <w:t>persistent</w:t>
      </w:r>
      <w:r w:rsidR="00900CA4" w:rsidRPr="005B09A9">
        <w:rPr>
          <w:rFonts w:ascii="Times New Roman" w:eastAsia="Times New Roman" w:hAnsi="Times New Roman" w:cs="Times New Roman"/>
          <w:sz w:val="24"/>
          <w:szCs w:val="24"/>
          <w:lang w:eastAsia="fr-BE"/>
        </w:rPr>
        <w:t xml:space="preserve"> CRPS</w:t>
      </w:r>
      <w:r w:rsidR="004D4C8E" w:rsidRPr="005B09A9">
        <w:rPr>
          <w:rFonts w:ascii="Times New Roman" w:eastAsia="Times New Roman" w:hAnsi="Times New Roman" w:cs="Times New Roman"/>
          <w:sz w:val="24"/>
          <w:szCs w:val="24"/>
          <w:lang w:eastAsia="fr-BE"/>
        </w:rPr>
        <w:t xml:space="preserve"> </w:t>
      </w:r>
      <w:r w:rsidR="00594B6C" w:rsidRPr="005B09A9">
        <w:rPr>
          <w:rFonts w:ascii="Times New Roman" w:eastAsia="Times New Roman" w:hAnsi="Times New Roman" w:cs="Times New Roman"/>
          <w:sz w:val="24"/>
          <w:szCs w:val="24"/>
          <w:lang w:eastAsia="fr-BE"/>
        </w:rPr>
        <w:fldChar w:fldCharType="begin"/>
      </w:r>
      <w:r w:rsidR="00C00CEA" w:rsidRPr="005B09A9">
        <w:rPr>
          <w:rFonts w:ascii="Times New Roman" w:eastAsia="Times New Roman" w:hAnsi="Times New Roman" w:cs="Times New Roman"/>
          <w:sz w:val="24"/>
          <w:szCs w:val="24"/>
          <w:lang w:eastAsia="fr-BE"/>
        </w:rPr>
        <w:instrText xml:space="preserve"> ADDIN ZOTERO_ITEM CSL_CITATION {"citationID":"1H0M8FT4","properties":{"formattedCitation":"(Goebel et al., 2021)","plainCitation":"(Goebel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594B6C" w:rsidRPr="005B09A9">
        <w:rPr>
          <w:rFonts w:ascii="Times New Roman" w:eastAsia="Times New Roman" w:hAnsi="Times New Roman" w:cs="Times New Roman"/>
          <w:sz w:val="24"/>
          <w:szCs w:val="24"/>
          <w:lang w:eastAsia="fr-BE"/>
        </w:rPr>
        <w:fldChar w:fldCharType="separate"/>
      </w:r>
      <w:r w:rsidR="00C00CEA" w:rsidRPr="005B09A9">
        <w:rPr>
          <w:rFonts w:ascii="Times New Roman" w:hAnsi="Times New Roman" w:cs="Times New Roman"/>
          <w:sz w:val="24"/>
        </w:rPr>
        <w:t>(Goebel et al., 2021)</w:t>
      </w:r>
      <w:r w:rsidR="00594B6C" w:rsidRPr="005B09A9">
        <w:rPr>
          <w:rFonts w:ascii="Times New Roman" w:eastAsia="Times New Roman" w:hAnsi="Times New Roman" w:cs="Times New Roman"/>
          <w:sz w:val="24"/>
          <w:szCs w:val="24"/>
          <w:lang w:eastAsia="fr-BE"/>
        </w:rPr>
        <w:fldChar w:fldCharType="end"/>
      </w:r>
      <w:r w:rsidR="004D4C8E" w:rsidRPr="005B09A9">
        <w:rPr>
          <w:rFonts w:ascii="Times New Roman" w:eastAsia="Times New Roman" w:hAnsi="Times New Roman" w:cs="Times New Roman"/>
          <w:sz w:val="24"/>
          <w:szCs w:val="24"/>
          <w:lang w:eastAsia="fr-BE"/>
        </w:rPr>
        <w:t>.</w:t>
      </w:r>
      <w:r w:rsidR="003C48F4" w:rsidRPr="005B09A9">
        <w:rPr>
          <w:rFonts w:ascii="Times New Roman" w:eastAsia="Times New Roman" w:hAnsi="Times New Roman" w:cs="Times New Roman"/>
          <w:sz w:val="24"/>
          <w:szCs w:val="24"/>
          <w:lang w:eastAsia="fr-BE"/>
        </w:rPr>
        <w:t xml:space="preserve"> </w:t>
      </w:r>
      <w:r w:rsidR="003A2DBC" w:rsidRPr="005B09A9">
        <w:rPr>
          <w:rFonts w:ascii="Times New Roman" w:eastAsia="Times New Roman" w:hAnsi="Times New Roman" w:cs="Times New Roman"/>
          <w:sz w:val="24"/>
          <w:szCs w:val="24"/>
          <w:lang w:eastAsia="fr-BE"/>
        </w:rPr>
        <w:t>As o</w:t>
      </w:r>
      <w:r w:rsidR="00205C0D" w:rsidRPr="005B09A9">
        <w:rPr>
          <w:rFonts w:ascii="Times New Roman" w:eastAsia="Times New Roman" w:hAnsi="Times New Roman" w:cs="Times New Roman"/>
          <w:sz w:val="24"/>
          <w:szCs w:val="24"/>
          <w:lang w:eastAsia="fr-BE"/>
        </w:rPr>
        <w:t xml:space="preserve">ur </w:t>
      </w:r>
      <w:r w:rsidR="002E452A" w:rsidRPr="005B09A9">
        <w:rPr>
          <w:rFonts w:ascii="Times New Roman" w:eastAsia="Times New Roman" w:hAnsi="Times New Roman" w:cs="Times New Roman"/>
          <w:sz w:val="24"/>
          <w:szCs w:val="24"/>
          <w:lang w:eastAsia="fr-BE"/>
        </w:rPr>
        <w:t>ultimate goal</w:t>
      </w:r>
      <w:r w:rsidR="00205C0D" w:rsidRPr="005B09A9">
        <w:rPr>
          <w:rFonts w:ascii="Times New Roman" w:eastAsia="Times New Roman" w:hAnsi="Times New Roman" w:cs="Times New Roman"/>
          <w:sz w:val="24"/>
          <w:szCs w:val="24"/>
          <w:lang w:eastAsia="fr-BE"/>
        </w:rPr>
        <w:t xml:space="preserve"> was to identify </w:t>
      </w:r>
      <w:r w:rsidR="003A2DBC" w:rsidRPr="005B09A9">
        <w:rPr>
          <w:rFonts w:ascii="Times New Roman" w:eastAsia="Times New Roman" w:hAnsi="Times New Roman" w:cs="Times New Roman"/>
          <w:sz w:val="24"/>
          <w:szCs w:val="24"/>
          <w:lang w:eastAsia="fr-BE"/>
        </w:rPr>
        <w:t>prognostic</w:t>
      </w:r>
      <w:r w:rsidR="00205C0D" w:rsidRPr="005B09A9">
        <w:rPr>
          <w:rFonts w:ascii="Times New Roman" w:eastAsia="Times New Roman" w:hAnsi="Times New Roman" w:cs="Times New Roman"/>
          <w:sz w:val="24"/>
          <w:szCs w:val="24"/>
          <w:lang w:eastAsia="fr-BE"/>
        </w:rPr>
        <w:t xml:space="preserve"> factors</w:t>
      </w:r>
      <w:r w:rsidR="003A2DBC" w:rsidRPr="005B09A9">
        <w:rPr>
          <w:rFonts w:ascii="Times New Roman" w:eastAsia="Times New Roman" w:hAnsi="Times New Roman" w:cs="Times New Roman"/>
          <w:sz w:val="24"/>
          <w:szCs w:val="24"/>
          <w:lang w:eastAsia="fr-BE"/>
        </w:rPr>
        <w:t xml:space="preserve"> </w:t>
      </w:r>
      <w:r w:rsidR="003179EF" w:rsidRPr="005B09A9">
        <w:rPr>
          <w:rFonts w:ascii="Times New Roman" w:eastAsia="Times New Roman" w:hAnsi="Times New Roman" w:cs="Times New Roman"/>
          <w:sz w:val="24"/>
          <w:szCs w:val="24"/>
          <w:lang w:eastAsia="fr-BE"/>
        </w:rPr>
        <w:t>that can be used</w:t>
      </w:r>
      <w:r w:rsidR="00446B24" w:rsidRPr="005B09A9">
        <w:rPr>
          <w:rFonts w:ascii="Times New Roman" w:eastAsia="Times New Roman" w:hAnsi="Times New Roman" w:cs="Times New Roman"/>
          <w:sz w:val="24"/>
          <w:szCs w:val="24"/>
          <w:lang w:eastAsia="fr-BE"/>
        </w:rPr>
        <w:t xml:space="preserve"> for</w:t>
      </w:r>
      <w:r w:rsidR="003179EF" w:rsidRPr="005B09A9">
        <w:rPr>
          <w:rFonts w:ascii="Times New Roman" w:eastAsia="Times New Roman" w:hAnsi="Times New Roman" w:cs="Times New Roman"/>
          <w:sz w:val="24"/>
          <w:szCs w:val="24"/>
          <w:lang w:eastAsia="fr-BE"/>
        </w:rPr>
        <w:t xml:space="preserve"> </w:t>
      </w:r>
      <w:r w:rsidR="003A2DBC" w:rsidRPr="005B09A9">
        <w:rPr>
          <w:rFonts w:ascii="Times New Roman" w:eastAsia="Times New Roman" w:hAnsi="Times New Roman" w:cs="Times New Roman"/>
          <w:sz w:val="24"/>
          <w:szCs w:val="24"/>
          <w:lang w:eastAsia="fr-BE"/>
        </w:rPr>
        <w:t xml:space="preserve">early </w:t>
      </w:r>
      <w:r w:rsidR="003A2DBC" w:rsidRPr="005B09A9">
        <w:rPr>
          <w:rFonts w:ascii="Times New Roman" w:eastAsia="Times New Roman" w:hAnsi="Times New Roman" w:cs="Times New Roman"/>
          <w:sz w:val="24"/>
          <w:szCs w:val="24"/>
          <w:lang w:eastAsia="fr-BE"/>
        </w:rPr>
        <w:lastRenderedPageBreak/>
        <w:t xml:space="preserve">management of </w:t>
      </w:r>
      <w:r w:rsidR="00446B24" w:rsidRPr="005B09A9">
        <w:rPr>
          <w:rFonts w:ascii="Times New Roman" w:eastAsia="Times New Roman" w:hAnsi="Times New Roman" w:cs="Times New Roman"/>
          <w:sz w:val="24"/>
          <w:szCs w:val="24"/>
          <w:lang w:eastAsia="fr-BE"/>
        </w:rPr>
        <w:t>at-</w:t>
      </w:r>
      <w:r w:rsidR="003A2DBC" w:rsidRPr="005B09A9">
        <w:rPr>
          <w:rFonts w:ascii="Times New Roman" w:eastAsia="Times New Roman" w:hAnsi="Times New Roman" w:cs="Times New Roman"/>
          <w:sz w:val="24"/>
          <w:szCs w:val="24"/>
          <w:lang w:eastAsia="fr-BE"/>
        </w:rPr>
        <w:t xml:space="preserve">risk </w:t>
      </w:r>
      <w:r w:rsidR="005E0BEB" w:rsidRPr="005B09A9">
        <w:rPr>
          <w:rFonts w:ascii="Times New Roman" w:eastAsia="Times New Roman" w:hAnsi="Times New Roman" w:cs="Times New Roman"/>
          <w:sz w:val="24"/>
          <w:szCs w:val="24"/>
          <w:lang w:eastAsia="fr-BE"/>
        </w:rPr>
        <w:t>subjects</w:t>
      </w:r>
      <w:r w:rsidR="003A2DBC" w:rsidRPr="005B09A9">
        <w:rPr>
          <w:rFonts w:ascii="Times New Roman" w:eastAsia="Times New Roman" w:hAnsi="Times New Roman" w:cs="Times New Roman"/>
          <w:sz w:val="24"/>
          <w:szCs w:val="24"/>
          <w:lang w:eastAsia="fr-BE"/>
        </w:rPr>
        <w:t xml:space="preserve">, </w:t>
      </w:r>
      <w:r w:rsidR="00B6784E" w:rsidRPr="005B09A9">
        <w:rPr>
          <w:rFonts w:ascii="Times New Roman" w:eastAsia="Times New Roman" w:hAnsi="Times New Roman" w:cs="Times New Roman"/>
          <w:sz w:val="24"/>
          <w:szCs w:val="24"/>
          <w:lang w:eastAsia="fr-BE"/>
        </w:rPr>
        <w:t xml:space="preserve">in the context of this study, </w:t>
      </w:r>
      <w:r w:rsidR="003A2DBC" w:rsidRPr="005B09A9">
        <w:rPr>
          <w:rFonts w:ascii="Times New Roman" w:eastAsia="Times New Roman" w:hAnsi="Times New Roman" w:cs="Times New Roman"/>
          <w:sz w:val="24"/>
          <w:szCs w:val="24"/>
          <w:lang w:eastAsia="fr-BE"/>
        </w:rPr>
        <w:t xml:space="preserve">we </w:t>
      </w:r>
      <w:r w:rsidR="00900CA4" w:rsidRPr="005B09A9">
        <w:rPr>
          <w:rFonts w:ascii="Times New Roman" w:eastAsia="Times New Roman" w:hAnsi="Times New Roman" w:cs="Times New Roman"/>
          <w:sz w:val="24"/>
          <w:szCs w:val="24"/>
          <w:lang w:eastAsia="fr-BE"/>
        </w:rPr>
        <w:t>decided to define "</w:t>
      </w:r>
      <w:r w:rsidR="00646CCE" w:rsidRPr="005B09A9">
        <w:rPr>
          <w:rFonts w:ascii="Times New Roman" w:eastAsia="Times New Roman" w:hAnsi="Times New Roman" w:cs="Times New Roman"/>
          <w:i/>
          <w:sz w:val="24"/>
          <w:szCs w:val="24"/>
          <w:lang w:eastAsia="fr-BE"/>
        </w:rPr>
        <w:t xml:space="preserve">early </w:t>
      </w:r>
      <w:r w:rsidR="00900CA4" w:rsidRPr="005B09A9">
        <w:rPr>
          <w:rFonts w:ascii="Times New Roman" w:eastAsia="Times New Roman" w:hAnsi="Times New Roman" w:cs="Times New Roman"/>
          <w:i/>
          <w:sz w:val="24"/>
          <w:szCs w:val="24"/>
          <w:lang w:eastAsia="fr-BE"/>
        </w:rPr>
        <w:t>CRPS</w:t>
      </w:r>
      <w:r w:rsidR="00900CA4" w:rsidRPr="005B09A9">
        <w:rPr>
          <w:rFonts w:ascii="Times New Roman" w:eastAsia="Times New Roman" w:hAnsi="Times New Roman" w:cs="Times New Roman"/>
          <w:sz w:val="24"/>
          <w:szCs w:val="24"/>
          <w:lang w:eastAsia="fr-BE"/>
        </w:rPr>
        <w:t xml:space="preserve">" as &lt;12 weeks from the onset of the </w:t>
      </w:r>
      <w:r w:rsidR="0041698B" w:rsidRPr="005B09A9">
        <w:rPr>
          <w:rFonts w:ascii="Times New Roman" w:eastAsia="Times New Roman" w:hAnsi="Times New Roman" w:cs="Times New Roman"/>
          <w:sz w:val="24"/>
          <w:szCs w:val="24"/>
          <w:lang w:eastAsia="fr-BE"/>
        </w:rPr>
        <w:t>condition</w:t>
      </w:r>
      <w:r w:rsidR="00900CA4" w:rsidRPr="005B09A9">
        <w:rPr>
          <w:rFonts w:ascii="Times New Roman" w:eastAsia="Times New Roman" w:hAnsi="Times New Roman" w:cs="Times New Roman"/>
          <w:sz w:val="24"/>
          <w:szCs w:val="24"/>
          <w:lang w:eastAsia="fr-BE"/>
        </w:rPr>
        <w:t>.</w:t>
      </w:r>
    </w:p>
    <w:p w14:paraId="304FD261" w14:textId="3DE8E0BC" w:rsidR="003A2DBC" w:rsidRPr="005B09A9" w:rsidRDefault="00AB504A"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Exclusion </w:t>
      </w:r>
      <w:r w:rsidR="00A15E9F" w:rsidRPr="005B09A9">
        <w:rPr>
          <w:rFonts w:ascii="Times New Roman" w:hAnsi="Times New Roman" w:cs="Times New Roman"/>
          <w:sz w:val="24"/>
          <w:szCs w:val="24"/>
        </w:rPr>
        <w:t>criteria were</w:t>
      </w:r>
      <w:r w:rsidR="007C2FCF" w:rsidRPr="005B09A9">
        <w:rPr>
          <w:rFonts w:ascii="Times New Roman" w:hAnsi="Times New Roman" w:cs="Times New Roman"/>
          <w:sz w:val="24"/>
          <w:szCs w:val="24"/>
        </w:rPr>
        <w:t xml:space="preserve">: </w:t>
      </w:r>
      <w:r w:rsidR="007E453D" w:rsidRPr="005B09A9">
        <w:rPr>
          <w:rFonts w:ascii="Times New Roman" w:hAnsi="Times New Roman" w:cs="Times New Roman"/>
          <w:sz w:val="24"/>
          <w:szCs w:val="24"/>
        </w:rPr>
        <w:t>(1) studies not published in full article format or from which data could not be extracted, (2)</w:t>
      </w:r>
      <w:r w:rsidR="00454887" w:rsidRPr="005B09A9">
        <w:rPr>
          <w:rFonts w:ascii="Times New Roman" w:hAnsi="Times New Roman" w:cs="Times New Roman"/>
          <w:sz w:val="24"/>
          <w:szCs w:val="24"/>
        </w:rPr>
        <w:t xml:space="preserve"> </w:t>
      </w:r>
      <w:r w:rsidR="007E453D" w:rsidRPr="005B09A9">
        <w:rPr>
          <w:rFonts w:ascii="Times New Roman" w:hAnsi="Times New Roman" w:cs="Times New Roman"/>
          <w:sz w:val="24"/>
          <w:szCs w:val="24"/>
        </w:rPr>
        <w:t>s</w:t>
      </w:r>
      <w:r w:rsidR="0092337D" w:rsidRPr="005B09A9">
        <w:rPr>
          <w:rFonts w:ascii="Times New Roman" w:hAnsi="Times New Roman" w:cs="Times New Roman"/>
          <w:sz w:val="24"/>
          <w:szCs w:val="24"/>
        </w:rPr>
        <w:t>tudies looking at t</w:t>
      </w:r>
      <w:r w:rsidR="007E453D" w:rsidRPr="005B09A9">
        <w:rPr>
          <w:rFonts w:ascii="Times New Roman" w:hAnsi="Times New Roman" w:cs="Times New Roman"/>
          <w:sz w:val="24"/>
          <w:szCs w:val="24"/>
        </w:rPr>
        <w:t>he effect of a specific therapy, (3) s</w:t>
      </w:r>
      <w:r w:rsidR="00C64391" w:rsidRPr="005B09A9">
        <w:rPr>
          <w:rFonts w:ascii="Times New Roman" w:hAnsi="Times New Roman" w:cs="Times New Roman"/>
          <w:sz w:val="24"/>
          <w:szCs w:val="24"/>
        </w:rPr>
        <w:t>tudies that did</w:t>
      </w:r>
      <w:r w:rsidR="00250592" w:rsidRPr="005B09A9">
        <w:rPr>
          <w:rFonts w:ascii="Times New Roman" w:hAnsi="Times New Roman" w:cs="Times New Roman"/>
          <w:sz w:val="24"/>
          <w:szCs w:val="24"/>
        </w:rPr>
        <w:t xml:space="preserve"> not</w:t>
      </w:r>
      <w:r w:rsidR="0092337D" w:rsidRPr="005B09A9">
        <w:rPr>
          <w:rFonts w:ascii="Times New Roman" w:hAnsi="Times New Roman" w:cs="Times New Roman"/>
          <w:sz w:val="24"/>
          <w:szCs w:val="24"/>
        </w:rPr>
        <w:t xml:space="preserve"> </w:t>
      </w:r>
      <w:r w:rsidR="00105B2C" w:rsidRPr="005B09A9">
        <w:rPr>
          <w:rFonts w:ascii="Times New Roman" w:hAnsi="Times New Roman" w:cs="Times New Roman"/>
          <w:sz w:val="24"/>
          <w:szCs w:val="24"/>
        </w:rPr>
        <w:t xml:space="preserve">specify </w:t>
      </w:r>
      <w:r w:rsidR="0092337D" w:rsidRPr="005B09A9">
        <w:rPr>
          <w:rFonts w:ascii="Times New Roman" w:hAnsi="Times New Roman" w:cs="Times New Roman"/>
          <w:sz w:val="24"/>
          <w:szCs w:val="24"/>
        </w:rPr>
        <w:t>their diagnostic criteria</w:t>
      </w:r>
      <w:r w:rsidR="007E453D" w:rsidRPr="005B09A9">
        <w:rPr>
          <w:rFonts w:ascii="Times New Roman" w:hAnsi="Times New Roman" w:cs="Times New Roman"/>
          <w:sz w:val="24"/>
          <w:szCs w:val="24"/>
        </w:rPr>
        <w:t xml:space="preserve">, </w:t>
      </w:r>
      <w:r w:rsidR="00763BEA" w:rsidRPr="005B09A9">
        <w:rPr>
          <w:rFonts w:ascii="Times New Roman" w:hAnsi="Times New Roman" w:cs="Times New Roman"/>
          <w:sz w:val="24"/>
          <w:szCs w:val="24"/>
        </w:rPr>
        <w:t xml:space="preserve">(4) studies looking at risk factors for the onset of the </w:t>
      </w:r>
      <w:r w:rsidR="0041698B" w:rsidRPr="005B09A9">
        <w:rPr>
          <w:rFonts w:ascii="Times New Roman" w:hAnsi="Times New Roman" w:cs="Times New Roman"/>
          <w:sz w:val="24"/>
          <w:szCs w:val="24"/>
        </w:rPr>
        <w:t>condition</w:t>
      </w:r>
      <w:r w:rsidR="00763BEA" w:rsidRPr="005B09A9">
        <w:rPr>
          <w:rFonts w:ascii="Times New Roman" w:hAnsi="Times New Roman" w:cs="Times New Roman"/>
          <w:sz w:val="24"/>
          <w:szCs w:val="24"/>
        </w:rPr>
        <w:t xml:space="preserve">, </w:t>
      </w:r>
      <w:r w:rsidR="007E453D" w:rsidRPr="005B09A9">
        <w:rPr>
          <w:rFonts w:ascii="Times New Roman" w:hAnsi="Times New Roman" w:cs="Times New Roman"/>
          <w:sz w:val="24"/>
          <w:szCs w:val="24"/>
        </w:rPr>
        <w:t>(</w:t>
      </w:r>
      <w:r w:rsidR="00763BEA" w:rsidRPr="005B09A9">
        <w:rPr>
          <w:rFonts w:ascii="Times New Roman" w:hAnsi="Times New Roman" w:cs="Times New Roman"/>
          <w:sz w:val="24"/>
          <w:szCs w:val="24"/>
        </w:rPr>
        <w:t>5</w:t>
      </w:r>
      <w:r w:rsidR="007E453D" w:rsidRPr="005B09A9">
        <w:rPr>
          <w:rFonts w:ascii="Times New Roman" w:hAnsi="Times New Roman" w:cs="Times New Roman"/>
          <w:sz w:val="24"/>
          <w:szCs w:val="24"/>
        </w:rPr>
        <w:t>)</w:t>
      </w:r>
      <w:r w:rsidR="0092337D" w:rsidRPr="005B09A9">
        <w:rPr>
          <w:rFonts w:ascii="Times New Roman" w:hAnsi="Times New Roman" w:cs="Times New Roman"/>
          <w:sz w:val="24"/>
          <w:szCs w:val="24"/>
        </w:rPr>
        <w:t xml:space="preserve"> </w:t>
      </w:r>
      <w:r w:rsidR="00D63A33" w:rsidRPr="005B09A9">
        <w:rPr>
          <w:rFonts w:ascii="Times New Roman" w:hAnsi="Times New Roman" w:cs="Times New Roman"/>
          <w:sz w:val="24"/>
          <w:szCs w:val="24"/>
        </w:rPr>
        <w:t>paediatric</w:t>
      </w:r>
      <w:r w:rsidR="006442D7" w:rsidRPr="005B09A9">
        <w:rPr>
          <w:rFonts w:ascii="Times New Roman" w:hAnsi="Times New Roman" w:cs="Times New Roman"/>
          <w:sz w:val="24"/>
          <w:szCs w:val="24"/>
        </w:rPr>
        <w:t xml:space="preserve"> </w:t>
      </w:r>
      <w:r w:rsidR="00105B2C" w:rsidRPr="005B09A9">
        <w:rPr>
          <w:rFonts w:ascii="Times New Roman" w:hAnsi="Times New Roman" w:cs="Times New Roman"/>
          <w:sz w:val="24"/>
          <w:szCs w:val="24"/>
        </w:rPr>
        <w:t xml:space="preserve">population </w:t>
      </w:r>
      <w:r w:rsidR="006442D7" w:rsidRPr="005B09A9">
        <w:rPr>
          <w:rFonts w:ascii="Times New Roman" w:hAnsi="Times New Roman" w:cs="Times New Roman"/>
          <w:sz w:val="24"/>
          <w:szCs w:val="24"/>
        </w:rPr>
        <w:t>(&lt;18 years)</w:t>
      </w:r>
      <w:r w:rsidR="0092337D" w:rsidRPr="005B09A9">
        <w:rPr>
          <w:rFonts w:ascii="Times New Roman" w:hAnsi="Times New Roman" w:cs="Times New Roman"/>
          <w:sz w:val="24"/>
          <w:szCs w:val="24"/>
        </w:rPr>
        <w:t xml:space="preserve"> or </w:t>
      </w:r>
      <w:r w:rsidR="00545437" w:rsidRPr="005B09A9">
        <w:rPr>
          <w:rFonts w:ascii="Times New Roman" w:hAnsi="Times New Roman" w:cs="Times New Roman"/>
          <w:sz w:val="24"/>
          <w:szCs w:val="24"/>
        </w:rPr>
        <w:t>post-stroke</w:t>
      </w:r>
      <w:r w:rsidR="007B3338" w:rsidRPr="005B09A9">
        <w:rPr>
          <w:rFonts w:ascii="Times New Roman" w:hAnsi="Times New Roman" w:cs="Times New Roman"/>
          <w:sz w:val="24"/>
          <w:szCs w:val="24"/>
        </w:rPr>
        <w:t xml:space="preserve"> CRPS</w:t>
      </w:r>
      <w:r w:rsidR="00CA19B0" w:rsidRPr="005B09A9">
        <w:rPr>
          <w:rFonts w:ascii="Times New Roman" w:hAnsi="Times New Roman" w:cs="Times New Roman"/>
          <w:sz w:val="24"/>
          <w:szCs w:val="24"/>
        </w:rPr>
        <w:t xml:space="preserve"> (</w:t>
      </w:r>
      <w:r w:rsidR="000D1C94" w:rsidRPr="005B09A9">
        <w:rPr>
          <w:rFonts w:ascii="Times New Roman" w:hAnsi="Times New Roman" w:cs="Times New Roman"/>
          <w:sz w:val="24"/>
          <w:szCs w:val="24"/>
        </w:rPr>
        <w:t xml:space="preserve">also known as </w:t>
      </w:r>
      <w:r w:rsidR="003E337A" w:rsidRPr="005B09A9">
        <w:rPr>
          <w:rFonts w:ascii="Times New Roman" w:hAnsi="Times New Roman" w:cs="Times New Roman"/>
          <w:sz w:val="24"/>
          <w:szCs w:val="24"/>
        </w:rPr>
        <w:t>“</w:t>
      </w:r>
      <w:r w:rsidR="00CA19B0" w:rsidRPr="005B09A9">
        <w:rPr>
          <w:rFonts w:ascii="Times New Roman" w:hAnsi="Times New Roman" w:cs="Times New Roman"/>
          <w:sz w:val="24"/>
          <w:szCs w:val="24"/>
        </w:rPr>
        <w:t>shoulder-hand syndrome</w:t>
      </w:r>
      <w:r w:rsidR="003E337A" w:rsidRPr="005B09A9">
        <w:rPr>
          <w:rFonts w:ascii="Times New Roman" w:hAnsi="Times New Roman" w:cs="Times New Roman"/>
          <w:sz w:val="24"/>
          <w:szCs w:val="24"/>
        </w:rPr>
        <w:t>”</w:t>
      </w:r>
      <w:r w:rsidR="00CA19B0" w:rsidRPr="005B09A9">
        <w:rPr>
          <w:rFonts w:ascii="Times New Roman" w:hAnsi="Times New Roman" w:cs="Times New Roman"/>
          <w:sz w:val="24"/>
          <w:szCs w:val="24"/>
        </w:rPr>
        <w:t>)</w:t>
      </w:r>
      <w:r w:rsidR="00170C88" w:rsidRPr="005B09A9">
        <w:rPr>
          <w:rFonts w:ascii="Times New Roman" w:hAnsi="Times New Roman" w:cs="Times New Roman"/>
          <w:sz w:val="24"/>
          <w:szCs w:val="24"/>
        </w:rPr>
        <w:t>.</w:t>
      </w:r>
      <w:r w:rsidR="002D385E" w:rsidRPr="005B09A9">
        <w:rPr>
          <w:rFonts w:ascii="Times New Roman" w:hAnsi="Times New Roman" w:cs="Times New Roman"/>
          <w:sz w:val="24"/>
          <w:szCs w:val="24"/>
        </w:rPr>
        <w:t xml:space="preserve"> </w:t>
      </w:r>
    </w:p>
    <w:p w14:paraId="50A8C7CB" w14:textId="4E0FE198" w:rsidR="00070E1E" w:rsidRPr="005B09A9" w:rsidRDefault="00070E1E" w:rsidP="003B7B2C">
      <w:pPr>
        <w:spacing w:line="480" w:lineRule="auto"/>
        <w:jc w:val="left"/>
        <w:rPr>
          <w:rFonts w:ascii="Times New Roman" w:eastAsia="Times New Roman" w:hAnsi="Times New Roman" w:cs="Times New Roman"/>
          <w:sz w:val="24"/>
          <w:szCs w:val="24"/>
          <w:lang w:eastAsia="fr-BE"/>
        </w:rPr>
      </w:pPr>
      <w:r w:rsidRPr="005B09A9">
        <w:rPr>
          <w:rFonts w:ascii="Times New Roman" w:eastAsia="Times New Roman" w:hAnsi="Times New Roman" w:cs="Times New Roman"/>
          <w:sz w:val="24"/>
          <w:szCs w:val="24"/>
          <w:lang w:eastAsia="fr-BE"/>
        </w:rPr>
        <w:t>Because we only included peer-reviewed articles in full-text format, we excluded posters or grey literature.</w:t>
      </w:r>
    </w:p>
    <w:p w14:paraId="75FAA6AE" w14:textId="3735705F" w:rsidR="00834298" w:rsidRPr="005B09A9" w:rsidRDefault="0023057A"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All </w:t>
      </w:r>
      <w:r w:rsidR="00AB504A" w:rsidRPr="005B09A9">
        <w:rPr>
          <w:rFonts w:ascii="Times New Roman" w:hAnsi="Times New Roman" w:cs="Times New Roman"/>
          <w:sz w:val="24"/>
          <w:szCs w:val="24"/>
        </w:rPr>
        <w:t xml:space="preserve">the identified </w:t>
      </w:r>
      <w:r w:rsidRPr="005B09A9">
        <w:rPr>
          <w:rFonts w:ascii="Times New Roman" w:hAnsi="Times New Roman" w:cs="Times New Roman"/>
          <w:sz w:val="24"/>
          <w:szCs w:val="24"/>
        </w:rPr>
        <w:t xml:space="preserve">records </w:t>
      </w:r>
      <w:r w:rsidR="003B637D" w:rsidRPr="005B09A9">
        <w:rPr>
          <w:rFonts w:ascii="Times New Roman" w:hAnsi="Times New Roman" w:cs="Times New Roman"/>
          <w:sz w:val="24"/>
          <w:szCs w:val="24"/>
        </w:rPr>
        <w:t xml:space="preserve">were </w:t>
      </w:r>
      <w:r w:rsidRPr="005B09A9">
        <w:rPr>
          <w:rFonts w:ascii="Times New Roman" w:hAnsi="Times New Roman" w:cs="Times New Roman"/>
          <w:sz w:val="24"/>
          <w:szCs w:val="24"/>
        </w:rPr>
        <w:t xml:space="preserve">screened </w:t>
      </w:r>
      <w:r w:rsidR="00834298" w:rsidRPr="005B09A9">
        <w:rPr>
          <w:rFonts w:ascii="Times New Roman" w:hAnsi="Times New Roman" w:cs="Times New Roman"/>
          <w:sz w:val="24"/>
          <w:szCs w:val="24"/>
        </w:rPr>
        <w:t xml:space="preserve">by </w:t>
      </w:r>
      <w:r w:rsidR="00D50B97" w:rsidRPr="005B09A9">
        <w:rPr>
          <w:rFonts w:ascii="Times New Roman" w:hAnsi="Times New Roman" w:cs="Times New Roman"/>
          <w:sz w:val="24"/>
          <w:szCs w:val="24"/>
        </w:rPr>
        <w:t>two</w:t>
      </w:r>
      <w:r w:rsidR="00834298" w:rsidRPr="005B09A9">
        <w:rPr>
          <w:rFonts w:ascii="Times New Roman" w:hAnsi="Times New Roman" w:cs="Times New Roman"/>
          <w:sz w:val="24"/>
          <w:szCs w:val="24"/>
        </w:rPr>
        <w:t xml:space="preserve"> independent reviewers</w:t>
      </w:r>
      <w:r w:rsidR="00DE5B78" w:rsidRPr="005B09A9">
        <w:rPr>
          <w:rFonts w:ascii="Times New Roman" w:hAnsi="Times New Roman" w:cs="Times New Roman"/>
          <w:sz w:val="24"/>
          <w:szCs w:val="24"/>
        </w:rPr>
        <w:t xml:space="preserve"> (MHL and CM)</w:t>
      </w:r>
      <w:r w:rsidR="00AB504A" w:rsidRPr="005B09A9">
        <w:rPr>
          <w:rFonts w:ascii="Times New Roman" w:hAnsi="Times New Roman" w:cs="Times New Roman"/>
          <w:sz w:val="24"/>
          <w:szCs w:val="24"/>
        </w:rPr>
        <w:t>,</w:t>
      </w:r>
      <w:r w:rsidR="00834298" w:rsidRPr="005B09A9">
        <w:rPr>
          <w:rFonts w:ascii="Times New Roman" w:hAnsi="Times New Roman" w:cs="Times New Roman"/>
          <w:sz w:val="24"/>
          <w:szCs w:val="24"/>
        </w:rPr>
        <w:t xml:space="preserve"> based on title and abstract</w:t>
      </w:r>
      <w:r w:rsidR="00CA7D69" w:rsidRPr="005B09A9">
        <w:rPr>
          <w:rFonts w:ascii="Times New Roman" w:hAnsi="Times New Roman" w:cs="Times New Roman"/>
          <w:sz w:val="24"/>
          <w:szCs w:val="24"/>
        </w:rPr>
        <w:t xml:space="preserve">. </w:t>
      </w:r>
      <w:r w:rsidR="00AB504A" w:rsidRPr="005B09A9">
        <w:rPr>
          <w:rFonts w:ascii="Times New Roman" w:hAnsi="Times New Roman" w:cs="Times New Roman"/>
          <w:sz w:val="24"/>
          <w:szCs w:val="24"/>
        </w:rPr>
        <w:t xml:space="preserve">The full text of the records meeting inclusion and exclusion criteria were then evaluated. </w:t>
      </w:r>
      <w:r w:rsidR="00834298" w:rsidRPr="005B09A9">
        <w:rPr>
          <w:rFonts w:ascii="Times New Roman" w:hAnsi="Times New Roman" w:cs="Times New Roman"/>
          <w:sz w:val="24"/>
          <w:szCs w:val="24"/>
        </w:rPr>
        <w:t xml:space="preserve">Both steps </w:t>
      </w:r>
      <w:r w:rsidR="003B637D" w:rsidRPr="005B09A9">
        <w:rPr>
          <w:rFonts w:ascii="Times New Roman" w:hAnsi="Times New Roman" w:cs="Times New Roman"/>
          <w:sz w:val="24"/>
          <w:szCs w:val="24"/>
        </w:rPr>
        <w:t xml:space="preserve">were </w:t>
      </w:r>
      <w:r w:rsidR="00834298" w:rsidRPr="005B09A9">
        <w:rPr>
          <w:rFonts w:ascii="Times New Roman" w:hAnsi="Times New Roman" w:cs="Times New Roman"/>
          <w:sz w:val="24"/>
          <w:szCs w:val="24"/>
        </w:rPr>
        <w:t>blind</w:t>
      </w:r>
      <w:r w:rsidR="00C677BD" w:rsidRPr="005B09A9">
        <w:rPr>
          <w:rFonts w:ascii="Times New Roman" w:hAnsi="Times New Roman" w:cs="Times New Roman"/>
          <w:sz w:val="24"/>
          <w:szCs w:val="24"/>
        </w:rPr>
        <w:t xml:space="preserve"> from one reviewer to the other</w:t>
      </w:r>
      <w:r w:rsidR="00834298" w:rsidRPr="005B09A9">
        <w:rPr>
          <w:rFonts w:ascii="Times New Roman" w:hAnsi="Times New Roman" w:cs="Times New Roman"/>
          <w:sz w:val="24"/>
          <w:szCs w:val="24"/>
        </w:rPr>
        <w:t>. Disagreements after step</w:t>
      </w:r>
      <w:r w:rsidR="001A7C63" w:rsidRPr="005B09A9">
        <w:rPr>
          <w:rFonts w:ascii="Times New Roman" w:hAnsi="Times New Roman" w:cs="Times New Roman"/>
          <w:sz w:val="24"/>
          <w:szCs w:val="24"/>
        </w:rPr>
        <w:t>s</w:t>
      </w:r>
      <w:r w:rsidR="00834298" w:rsidRPr="005B09A9">
        <w:rPr>
          <w:rFonts w:ascii="Times New Roman" w:hAnsi="Times New Roman" w:cs="Times New Roman"/>
          <w:sz w:val="24"/>
          <w:szCs w:val="24"/>
        </w:rPr>
        <w:t xml:space="preserve"> 1 and 2 </w:t>
      </w:r>
      <w:r w:rsidR="003B637D" w:rsidRPr="005B09A9">
        <w:rPr>
          <w:rFonts w:ascii="Times New Roman" w:hAnsi="Times New Roman" w:cs="Times New Roman"/>
          <w:sz w:val="24"/>
          <w:szCs w:val="24"/>
        </w:rPr>
        <w:t xml:space="preserve">were </w:t>
      </w:r>
      <w:r w:rsidR="00D27690" w:rsidRPr="005B09A9">
        <w:rPr>
          <w:rFonts w:ascii="Times New Roman" w:hAnsi="Times New Roman" w:cs="Times New Roman"/>
          <w:sz w:val="24"/>
          <w:szCs w:val="24"/>
        </w:rPr>
        <w:t>s</w:t>
      </w:r>
      <w:r w:rsidR="00834298" w:rsidRPr="005B09A9">
        <w:rPr>
          <w:rFonts w:ascii="Times New Roman" w:hAnsi="Times New Roman" w:cs="Times New Roman"/>
          <w:sz w:val="24"/>
          <w:szCs w:val="24"/>
        </w:rPr>
        <w:t xml:space="preserve">olved either by consensus or, if </w:t>
      </w:r>
      <w:r w:rsidR="009B64FC" w:rsidRPr="005B09A9">
        <w:rPr>
          <w:rFonts w:ascii="Times New Roman" w:hAnsi="Times New Roman" w:cs="Times New Roman"/>
          <w:sz w:val="24"/>
          <w:szCs w:val="24"/>
        </w:rPr>
        <w:t>needed</w:t>
      </w:r>
      <w:r w:rsidR="00834298" w:rsidRPr="005B09A9">
        <w:rPr>
          <w:rFonts w:ascii="Times New Roman" w:hAnsi="Times New Roman" w:cs="Times New Roman"/>
          <w:sz w:val="24"/>
          <w:szCs w:val="24"/>
        </w:rPr>
        <w:t xml:space="preserve">, by </w:t>
      </w:r>
      <w:r w:rsidR="00C168F4" w:rsidRPr="005B09A9">
        <w:rPr>
          <w:rFonts w:ascii="Times New Roman" w:hAnsi="Times New Roman" w:cs="Times New Roman"/>
          <w:sz w:val="24"/>
          <w:szCs w:val="24"/>
        </w:rPr>
        <w:t xml:space="preserve">the </w:t>
      </w:r>
      <w:r w:rsidR="00207C0B" w:rsidRPr="005B09A9">
        <w:rPr>
          <w:rFonts w:ascii="Times New Roman" w:hAnsi="Times New Roman" w:cs="Times New Roman"/>
          <w:sz w:val="24"/>
          <w:szCs w:val="24"/>
        </w:rPr>
        <w:t>decision of a third person (AB</w:t>
      </w:r>
      <w:r w:rsidR="00834298" w:rsidRPr="005B09A9">
        <w:rPr>
          <w:rFonts w:ascii="Times New Roman" w:hAnsi="Times New Roman" w:cs="Times New Roman"/>
          <w:sz w:val="24"/>
          <w:szCs w:val="24"/>
        </w:rPr>
        <w:t xml:space="preserve">). The software system for recording decisions </w:t>
      </w:r>
      <w:r w:rsidR="003C2064" w:rsidRPr="005B09A9">
        <w:rPr>
          <w:rFonts w:ascii="Times New Roman" w:hAnsi="Times New Roman" w:cs="Times New Roman"/>
          <w:sz w:val="24"/>
          <w:szCs w:val="24"/>
        </w:rPr>
        <w:t>was</w:t>
      </w:r>
      <w:r w:rsidR="00834298" w:rsidRPr="005B09A9">
        <w:rPr>
          <w:rFonts w:ascii="Times New Roman" w:hAnsi="Times New Roman" w:cs="Times New Roman"/>
          <w:sz w:val="24"/>
          <w:szCs w:val="24"/>
        </w:rPr>
        <w:t xml:space="preserve"> Rayyan</w:t>
      </w:r>
      <w:r w:rsidR="008D00DC" w:rsidRPr="005B09A9">
        <w:rPr>
          <w:rFonts w:ascii="Times New Roman" w:hAnsi="Times New Roman" w:cs="Times New Roman"/>
          <w:sz w:val="24"/>
          <w:szCs w:val="24"/>
        </w:rPr>
        <w:t xml:space="preserve"> </w:t>
      </w:r>
      <w:r w:rsidR="00786FD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{"citationID":"JV2eTRE8","properties":{"formattedCitation":"(Ouzzani et al., 2016)","plainCitation":"(Ouzzani et al., 2016)","noteIndex":0},"citationItems":[{"id":1276,"uris":["http://zotero.org/users/8777725/items/3WPWGPGP"],"itemData":{"id":1276,"type":"article-journal","container-title":"Systematic Reviews","DOI":"10.1186/s13643-016-0384-4.","page":"210","title":"Rayyan — a web and mobile app for systematic reviews.","volume":"5","author":[{"family":"Ouzzani","given":"Mourad"},{"family":"Hammady","given":"Hossam"},{"family":"Fedorowicz","given":"Zbys"},{"family":"Elmagardmid","given":"Ahmed"}],"issued":{"date-parts":[["2016"]]}}}],"schema":"https://github.com/citation-style-language/schema/raw/master/csl-citation.json"} </w:instrText>
      </w:r>
      <w:r w:rsidR="00786FD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(Ouzzani et al., 2016)</w:t>
      </w:r>
      <w:r w:rsidR="00786FD9"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786FD9" w:rsidRPr="005B09A9">
        <w:rPr>
          <w:rFonts w:ascii="Times New Roman" w:hAnsi="Times New Roman" w:cs="Times New Roman"/>
          <w:sz w:val="24"/>
          <w:szCs w:val="24"/>
        </w:rPr>
        <w:t xml:space="preserve"> </w:t>
      </w:r>
    </w:p>
    <w:p w14:paraId="41B40402" w14:textId="71C921EB" w:rsidR="00975515" w:rsidRPr="005B09A9" w:rsidRDefault="00975515" w:rsidP="003B7B2C">
      <w:pPr>
        <w:pStyle w:val="Paragraphedeliste"/>
        <w:numPr>
          <w:ilvl w:val="1"/>
          <w:numId w:val="18"/>
        </w:numPr>
        <w:spacing w:line="480" w:lineRule="auto"/>
        <w:rPr>
          <w:rStyle w:val="Accentuationlgre"/>
          <w:rFonts w:ascii="Times New Roman" w:hAnsi="Times New Roman" w:cs="Times New Roman"/>
          <w:b w:val="0"/>
          <w:sz w:val="24"/>
          <w:lang w:val="en-GB"/>
        </w:rPr>
      </w:pPr>
      <w:r w:rsidRPr="005B09A9">
        <w:rPr>
          <w:rStyle w:val="Accentuationlgre"/>
          <w:rFonts w:ascii="Times New Roman" w:hAnsi="Times New Roman" w:cs="Times New Roman"/>
          <w:b w:val="0"/>
          <w:sz w:val="24"/>
          <w:lang w:val="en-GB"/>
        </w:rPr>
        <w:t xml:space="preserve">Data </w:t>
      </w:r>
      <w:r w:rsidR="003B7B2C" w:rsidRPr="005B09A9">
        <w:rPr>
          <w:rStyle w:val="Accentuationlgre"/>
          <w:rFonts w:ascii="Times New Roman" w:hAnsi="Times New Roman" w:cs="Times New Roman"/>
          <w:b w:val="0"/>
          <w:sz w:val="24"/>
          <w:lang w:val="en-GB"/>
        </w:rPr>
        <w:t>E</w:t>
      </w:r>
      <w:r w:rsidRPr="005B09A9">
        <w:rPr>
          <w:rStyle w:val="Accentuationlgre"/>
          <w:rFonts w:ascii="Times New Roman" w:hAnsi="Times New Roman" w:cs="Times New Roman"/>
          <w:b w:val="0"/>
          <w:sz w:val="24"/>
          <w:lang w:val="en-GB"/>
        </w:rPr>
        <w:t>xtraction</w:t>
      </w:r>
    </w:p>
    <w:p w14:paraId="709708FD" w14:textId="1AD5210B" w:rsidR="00C1658C" w:rsidRPr="005B09A9" w:rsidRDefault="00834298"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At the end of the selection phase,</w:t>
      </w:r>
      <w:r w:rsidR="0039283B" w:rsidRPr="005B09A9">
        <w:rPr>
          <w:rFonts w:ascii="Times New Roman" w:hAnsi="Times New Roman" w:cs="Times New Roman"/>
          <w:sz w:val="24"/>
          <w:szCs w:val="24"/>
        </w:rPr>
        <w:t xml:space="preserve"> the main </w:t>
      </w:r>
      <w:r w:rsidR="00454887" w:rsidRPr="005B09A9">
        <w:rPr>
          <w:rFonts w:ascii="Times New Roman" w:hAnsi="Times New Roman" w:cs="Times New Roman"/>
          <w:sz w:val="24"/>
          <w:szCs w:val="24"/>
        </w:rPr>
        <w:t>reviewer</w:t>
      </w:r>
      <w:r w:rsidR="0039283B" w:rsidRPr="005B09A9">
        <w:rPr>
          <w:rFonts w:ascii="Times New Roman" w:hAnsi="Times New Roman" w:cs="Times New Roman"/>
          <w:sz w:val="24"/>
          <w:szCs w:val="24"/>
        </w:rPr>
        <w:t xml:space="preserve"> (MHL) extracted the</w:t>
      </w:r>
      <w:r w:rsidRPr="005B09A9">
        <w:rPr>
          <w:rFonts w:ascii="Times New Roman" w:hAnsi="Times New Roman" w:cs="Times New Roman"/>
          <w:sz w:val="24"/>
          <w:szCs w:val="24"/>
        </w:rPr>
        <w:t xml:space="preserve"> data </w:t>
      </w:r>
      <w:r w:rsidR="0039283B" w:rsidRPr="005B09A9">
        <w:rPr>
          <w:rFonts w:ascii="Times New Roman" w:hAnsi="Times New Roman" w:cs="Times New Roman"/>
          <w:sz w:val="24"/>
          <w:szCs w:val="24"/>
        </w:rPr>
        <w:t>and pooled preliminary results</w:t>
      </w:r>
      <w:r w:rsidR="003A2DBC" w:rsidRPr="005B09A9">
        <w:rPr>
          <w:rFonts w:ascii="Times New Roman" w:hAnsi="Times New Roman" w:cs="Times New Roman"/>
          <w:sz w:val="24"/>
          <w:szCs w:val="24"/>
        </w:rPr>
        <w:t xml:space="preserve"> in an Excel database</w:t>
      </w:r>
      <w:r w:rsidRPr="005B09A9">
        <w:rPr>
          <w:rFonts w:ascii="Times New Roman" w:hAnsi="Times New Roman" w:cs="Times New Roman"/>
          <w:sz w:val="24"/>
          <w:szCs w:val="24"/>
        </w:rPr>
        <w:t>. In case of missing</w:t>
      </w:r>
      <w:r w:rsidR="004E05EC" w:rsidRPr="005B09A9">
        <w:rPr>
          <w:rFonts w:ascii="Times New Roman" w:hAnsi="Times New Roman" w:cs="Times New Roman"/>
          <w:sz w:val="24"/>
          <w:szCs w:val="24"/>
        </w:rPr>
        <w:t xml:space="preserve"> or contradictory</w:t>
      </w:r>
      <w:r w:rsidRPr="005B09A9">
        <w:rPr>
          <w:rFonts w:ascii="Times New Roman" w:hAnsi="Times New Roman" w:cs="Times New Roman"/>
          <w:sz w:val="24"/>
          <w:szCs w:val="24"/>
        </w:rPr>
        <w:t xml:space="preserve"> data, study investigators </w:t>
      </w:r>
      <w:r w:rsidR="003B637D" w:rsidRPr="005B09A9">
        <w:rPr>
          <w:rFonts w:ascii="Times New Roman" w:hAnsi="Times New Roman" w:cs="Times New Roman"/>
          <w:sz w:val="24"/>
          <w:szCs w:val="24"/>
        </w:rPr>
        <w:t xml:space="preserve">were </w:t>
      </w:r>
      <w:r w:rsidRPr="005B09A9">
        <w:rPr>
          <w:rFonts w:ascii="Times New Roman" w:hAnsi="Times New Roman" w:cs="Times New Roman"/>
          <w:sz w:val="24"/>
          <w:szCs w:val="24"/>
        </w:rPr>
        <w:t xml:space="preserve">contacted for clarification. </w:t>
      </w:r>
      <w:r w:rsidR="00C677BD" w:rsidRPr="005B09A9">
        <w:rPr>
          <w:rFonts w:ascii="Times New Roman" w:hAnsi="Times New Roman" w:cs="Times New Roman"/>
          <w:sz w:val="24"/>
          <w:szCs w:val="24"/>
        </w:rPr>
        <w:t>Tables were used to summarize results and qualitative analysis</w:t>
      </w:r>
      <w:r w:rsidR="00A965C5" w:rsidRPr="005B09A9">
        <w:rPr>
          <w:rFonts w:ascii="Times New Roman" w:hAnsi="Times New Roman" w:cs="Times New Roman"/>
          <w:sz w:val="24"/>
          <w:szCs w:val="24"/>
        </w:rPr>
        <w:t>.</w:t>
      </w:r>
      <w:r w:rsidR="00C677BD" w:rsidRPr="005B09A9">
        <w:rPr>
          <w:rFonts w:ascii="Times New Roman" w:hAnsi="Times New Roman" w:cs="Times New Roman"/>
          <w:sz w:val="24"/>
          <w:szCs w:val="24"/>
        </w:rPr>
        <w:t xml:space="preserve"> </w:t>
      </w:r>
    </w:p>
    <w:p w14:paraId="42600587" w14:textId="6E4E0B24" w:rsidR="00975515" w:rsidRPr="005B09A9" w:rsidRDefault="00975515" w:rsidP="003B7B2C">
      <w:pPr>
        <w:pStyle w:val="Paragraphedeliste"/>
        <w:numPr>
          <w:ilvl w:val="1"/>
          <w:numId w:val="18"/>
        </w:numPr>
        <w:spacing w:line="480" w:lineRule="auto"/>
        <w:rPr>
          <w:rStyle w:val="Accentuationlgre"/>
          <w:rFonts w:ascii="Times New Roman" w:hAnsi="Times New Roman" w:cs="Times New Roman"/>
          <w:b w:val="0"/>
          <w:sz w:val="24"/>
          <w:lang w:val="en-GB"/>
        </w:rPr>
      </w:pPr>
      <w:r w:rsidRPr="005B09A9">
        <w:rPr>
          <w:rStyle w:val="Accentuationlgre"/>
          <w:rFonts w:ascii="Times New Roman" w:hAnsi="Times New Roman" w:cs="Times New Roman"/>
          <w:b w:val="0"/>
          <w:sz w:val="24"/>
          <w:lang w:val="en-GB"/>
        </w:rPr>
        <w:t xml:space="preserve">Risk of Bias </w:t>
      </w:r>
      <w:r w:rsidR="003B7B2C" w:rsidRPr="005B09A9">
        <w:rPr>
          <w:rStyle w:val="Accentuationlgre"/>
          <w:rFonts w:ascii="Times New Roman" w:hAnsi="Times New Roman" w:cs="Times New Roman"/>
          <w:b w:val="0"/>
          <w:sz w:val="24"/>
          <w:lang w:val="en-GB"/>
        </w:rPr>
        <w:t>A</w:t>
      </w:r>
      <w:r w:rsidRPr="005B09A9">
        <w:rPr>
          <w:rStyle w:val="Accentuationlgre"/>
          <w:rFonts w:ascii="Times New Roman" w:hAnsi="Times New Roman" w:cs="Times New Roman"/>
          <w:b w:val="0"/>
          <w:sz w:val="24"/>
          <w:lang w:val="en-GB"/>
        </w:rPr>
        <w:t>ssessment</w:t>
      </w:r>
    </w:p>
    <w:p w14:paraId="643F003E" w14:textId="4C2DB7A2" w:rsidR="00C64391" w:rsidRPr="005B09A9" w:rsidRDefault="00B47E79"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As recommended by The Cochrane Prognosis Methods Group</w:t>
      </w:r>
      <w:r w:rsidR="006F05A7" w:rsidRPr="005B09A9">
        <w:rPr>
          <w:rFonts w:ascii="Times New Roman" w:hAnsi="Times New Roman" w:cs="Times New Roman"/>
          <w:sz w:val="24"/>
          <w:szCs w:val="24"/>
        </w:rPr>
        <w:t xml:space="preserve"> </w:t>
      </w:r>
      <w:r w:rsidR="002B4924" w:rsidRPr="005B09A9">
        <w:rPr>
          <w:rFonts w:ascii="Times New Roman" w:hAnsi="Times New Roman" w:cs="Times New Roman"/>
          <w:sz w:val="24"/>
          <w:szCs w:val="24"/>
        </w:rPr>
        <w:fldChar w:fldCharType="begin"/>
      </w:r>
      <w:r w:rsidR="006F05A7" w:rsidRPr="005B09A9">
        <w:rPr>
          <w:rFonts w:ascii="Times New Roman" w:hAnsi="Times New Roman" w:cs="Times New Roman"/>
          <w:sz w:val="24"/>
          <w:szCs w:val="24"/>
        </w:rPr>
        <w:instrText xml:space="preserve"> ADDIN ZOTERO_ITEM CSL_CITATION {"citationID":"IC2Xduv2","properties":{"formattedCitation":"(Riley et al., 2019)","plainCitation":"(Riley et al., 2019)","noteIndex":0},"citationItems":[{"id":909,"uris":["http://zotero.org/users/8777725/items/6VKY3M8D"],"itemData":{"id":909,"type":"article-journal","abstract":"&lt;p&gt;Prognostic factors are associated with the risk of future health outcomes in individuals with a particular health condition or some clinical start point (eg, a particular diagnosis). Research to identify genuine prognostic factors is important because these factors can help improve risk stratification, treatment, and lifestyle decisions, and the design of randomised trials. Although thousands of prognostic factor studies are published each year, often they are of variable quality and the findings are inconsistent. Systematic reviews and meta-analyses are therefore needed that summarise the evidence about the prognostic value of particular factors. In this article, the key steps involved in this review process are described.&lt;/p&gt;","container-title":"BMJ","DOI":"10.1136/bmj.k4597","ISSN":"0959-8138, 1756-1833","journalAbbreviation":"BMJ","language":"en","license":"Published by the BMJ Publishing Group Limited. For permission to use (where not already granted under a licence) please go to http://group.bmj.com/group/rights-licensing/permissions","note":"publisher: British Medical Journal Publishing Group\nsection: Research Methods &amp;amp; Reporting\nPMID: 30700442","page":"k4597","source":"www.bmj.com","title":"A guide to systematic review and meta-analysis of prognostic factor studies","volume":"364","author":[{"family":"Riley","given":"Richard D."},{"family":"Moons","given":"Karel G. M."},{"family":"Snell","given":"Kym I. E."},{"family":"Ensor","given":"Joie"},{"family":"Hooft","given":"Lotty"},{"family":"Altman","given":"Douglas G."},{"family":"Hayden","given":"Jill"},{"family":"Collins","given":"Gary S."},{"family":"Debray","given":"Thomas P. A."}],"issued":{"date-parts":[["2019",1,30]]}}}],"schema":"https://github.com/citation-style-language/schema/raw/master/csl-citation.json"} </w:instrText>
      </w:r>
      <w:r w:rsidR="002B4924"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(Riley et al., 2019)</w:t>
      </w:r>
      <w:r w:rsidR="002B4924"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and Prospero, t</w:t>
      </w:r>
      <w:r w:rsidR="00971C56" w:rsidRPr="005B09A9">
        <w:rPr>
          <w:rFonts w:ascii="Times New Roman" w:hAnsi="Times New Roman" w:cs="Times New Roman"/>
          <w:sz w:val="24"/>
          <w:szCs w:val="24"/>
        </w:rPr>
        <w:t>he Risk of B</w:t>
      </w:r>
      <w:r w:rsidR="00C1658C" w:rsidRPr="005B09A9">
        <w:rPr>
          <w:rFonts w:ascii="Times New Roman" w:hAnsi="Times New Roman" w:cs="Times New Roman"/>
          <w:sz w:val="24"/>
          <w:szCs w:val="24"/>
        </w:rPr>
        <w:t xml:space="preserve">ias (RoB) was assessed </w:t>
      </w:r>
      <w:r w:rsidR="007333E0" w:rsidRPr="005B09A9">
        <w:rPr>
          <w:rFonts w:ascii="Times New Roman" w:hAnsi="Times New Roman" w:cs="Times New Roman"/>
          <w:sz w:val="24"/>
          <w:szCs w:val="24"/>
        </w:rPr>
        <w:t>using</w:t>
      </w:r>
      <w:r w:rsidR="00C1658C" w:rsidRPr="005B09A9">
        <w:rPr>
          <w:rFonts w:ascii="Times New Roman" w:hAnsi="Times New Roman" w:cs="Times New Roman"/>
          <w:sz w:val="24"/>
          <w:szCs w:val="24"/>
        </w:rPr>
        <w:t xml:space="preserve"> </w:t>
      </w:r>
      <w:r w:rsidR="006539F3" w:rsidRPr="005B09A9">
        <w:rPr>
          <w:rFonts w:ascii="Times New Roman" w:hAnsi="Times New Roman" w:cs="Times New Roman"/>
          <w:sz w:val="24"/>
          <w:szCs w:val="24"/>
        </w:rPr>
        <w:t>the Qu</w:t>
      </w:r>
      <w:r w:rsidR="00DB0F56" w:rsidRPr="005B09A9">
        <w:rPr>
          <w:rFonts w:ascii="Times New Roman" w:hAnsi="Times New Roman" w:cs="Times New Roman"/>
          <w:sz w:val="24"/>
          <w:szCs w:val="24"/>
        </w:rPr>
        <w:t xml:space="preserve">ality </w:t>
      </w:r>
      <w:r w:rsidR="00971C56" w:rsidRPr="005B09A9">
        <w:rPr>
          <w:rFonts w:ascii="Times New Roman" w:hAnsi="Times New Roman" w:cs="Times New Roman"/>
          <w:sz w:val="24"/>
          <w:szCs w:val="24"/>
        </w:rPr>
        <w:t>I</w:t>
      </w:r>
      <w:r w:rsidR="00DB0F56" w:rsidRPr="005B09A9">
        <w:rPr>
          <w:rFonts w:ascii="Times New Roman" w:hAnsi="Times New Roman" w:cs="Times New Roman"/>
          <w:sz w:val="24"/>
          <w:szCs w:val="24"/>
        </w:rPr>
        <w:t>n Prognostic Studies (QUIPS) tool</w:t>
      </w:r>
      <w:r w:rsidR="008D00DC" w:rsidRPr="005B09A9">
        <w:rPr>
          <w:rFonts w:ascii="Times New Roman" w:hAnsi="Times New Roman" w:cs="Times New Roman"/>
          <w:sz w:val="24"/>
          <w:szCs w:val="24"/>
        </w:rPr>
        <w:t xml:space="preserve"> </w:t>
      </w:r>
      <w:r w:rsidR="00C1658C"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{"citationID":"8k5z2uHG","properties":{"formattedCitation":"(Hayden et al., 2013)","plainCitation":"(Hayden et al., 2013)","noteIndex":0},"citationItems":[{"id":532,"uris":["http://zotero.org/users/8777725/items/CAXT27FC"],"itemData":{"id":532,"type":"article-journal","abstract":"Previous work has identified 6 important areas to consider when evaluating validity and bias in studies of prognostic factors: participation, attrition, prognostic factor measurement, confounding measurement and account, outcome measurement, and analysis and reporting. This article describes the Quality In Prognosis Studies tool, which includes questions related to these areas that can inform judgments of risk of bias in prognostic research.A working group comprising epidemiologists, statisticians, and clinicians developed the tool as they considered prognosis studies of low back pain. Forty-three groups reviewing studies addressing prognosis in other topic areas used the tool and provided feedback. Most reviewers (74%) reported that reaching consensus on judgments was easy. Median completion time per study was 20 minutes; interrater agreement (κ statistic) reported by 9 review teams varied from 0.56 to 0.82 (median, 0.75). Some reviewers reported challenges making judgments across prompting items, which were addressed by providing comprehensive guidance and examples. The refined Quality In Prognosis Studies tool may be useful to assess the risk of bias in studies of prognostic factors.","container-title":"Annals of Internal Medicine","DOI":"10.7326/0003-4819-158-4-201302190-00009","ISSN":"1539-3704","issue":"4","journalAbbreviation":"Ann Intern Med","language":"eng","note":"PMID: 23420236","page":"280-286","source":"PubMed","title":"Assessing bias in studies of prognostic factors","volume":"158","author":[{"family":"Hayden","given":"Jill A."},{"family":"Windt","given":"Danielle A.","non-dropping-particle":"van der"},{"family":"Cartwright","given":"Jennifer L."},{"family":"Côté","given":"Pierre"},{"family":"Bombardier","given":"Claire"}],"issued":{"date-parts":[["2013",2,19]]}}}],"schema":"https://github.com/citation-style-language/schema/raw/master/csl-citation.json"} </w:instrText>
      </w:r>
      <w:r w:rsidR="00C1658C"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(Hayden et al., 2013)</w:t>
      </w:r>
      <w:r w:rsidR="00C1658C"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rPr>
        <w:t>.</w:t>
      </w:r>
      <w:r w:rsidR="00C1658C" w:rsidRPr="005B09A9">
        <w:rPr>
          <w:rFonts w:ascii="Times New Roman" w:hAnsi="Times New Roman" w:cs="Times New Roman"/>
          <w:sz w:val="24"/>
          <w:szCs w:val="24"/>
        </w:rPr>
        <w:t xml:space="preserve"> This tool </w:t>
      </w:r>
      <w:r w:rsidR="008D00DC" w:rsidRPr="005B09A9">
        <w:rPr>
          <w:rFonts w:ascii="Times New Roman" w:hAnsi="Times New Roman" w:cs="Times New Roman"/>
          <w:sz w:val="24"/>
          <w:szCs w:val="24"/>
        </w:rPr>
        <w:t>analyses</w:t>
      </w:r>
      <w:r w:rsidR="00C1658C" w:rsidRPr="005B09A9">
        <w:rPr>
          <w:rFonts w:ascii="Times New Roman" w:hAnsi="Times New Roman" w:cs="Times New Roman"/>
          <w:sz w:val="24"/>
          <w:szCs w:val="24"/>
        </w:rPr>
        <w:t xml:space="preserve"> six domains: study participation, study attrition, prognos</w:t>
      </w:r>
      <w:r w:rsidR="009B0DB9" w:rsidRPr="005B09A9">
        <w:rPr>
          <w:rFonts w:ascii="Times New Roman" w:hAnsi="Times New Roman" w:cs="Times New Roman"/>
          <w:sz w:val="24"/>
          <w:szCs w:val="24"/>
        </w:rPr>
        <w:t>tic</w:t>
      </w:r>
      <w:r w:rsidR="00C1658C" w:rsidRPr="005B09A9">
        <w:rPr>
          <w:rFonts w:ascii="Times New Roman" w:hAnsi="Times New Roman" w:cs="Times New Roman"/>
          <w:sz w:val="24"/>
          <w:szCs w:val="24"/>
        </w:rPr>
        <w:t xml:space="preserve"> factor measurement, outcome measurement, study confounding, </w:t>
      </w:r>
      <w:r w:rsidR="00C1658C" w:rsidRPr="005B09A9">
        <w:rPr>
          <w:rFonts w:ascii="Times New Roman" w:hAnsi="Times New Roman" w:cs="Times New Roman"/>
          <w:sz w:val="24"/>
          <w:szCs w:val="24"/>
        </w:rPr>
        <w:lastRenderedPageBreak/>
        <w:t xml:space="preserve">statistical analysis and reporting. </w:t>
      </w:r>
      <w:r w:rsidR="007333E0" w:rsidRPr="005B09A9">
        <w:rPr>
          <w:rFonts w:ascii="Times New Roman" w:hAnsi="Times New Roman" w:cs="Times New Roman"/>
          <w:sz w:val="24"/>
          <w:szCs w:val="24"/>
        </w:rPr>
        <w:t>Each domain is assessed as “</w:t>
      </w:r>
      <w:r w:rsidR="007333E0" w:rsidRPr="005B09A9">
        <w:rPr>
          <w:rFonts w:ascii="Times New Roman" w:hAnsi="Times New Roman" w:cs="Times New Roman"/>
          <w:i/>
          <w:iCs/>
          <w:sz w:val="24"/>
          <w:szCs w:val="24"/>
        </w:rPr>
        <w:t>yes</w:t>
      </w:r>
      <w:r w:rsidR="007333E0" w:rsidRPr="005B09A9">
        <w:rPr>
          <w:rFonts w:ascii="Times New Roman" w:hAnsi="Times New Roman" w:cs="Times New Roman"/>
          <w:sz w:val="24"/>
          <w:szCs w:val="24"/>
        </w:rPr>
        <w:t>”</w:t>
      </w:r>
      <w:r w:rsidR="006F05A7" w:rsidRPr="005B09A9">
        <w:rPr>
          <w:rFonts w:ascii="Times New Roman" w:hAnsi="Times New Roman" w:cs="Times New Roman"/>
          <w:sz w:val="24"/>
          <w:szCs w:val="24"/>
        </w:rPr>
        <w:t>,</w:t>
      </w:r>
      <w:r w:rsidR="007333E0" w:rsidRPr="005B09A9">
        <w:rPr>
          <w:rFonts w:ascii="Times New Roman" w:hAnsi="Times New Roman" w:cs="Times New Roman"/>
          <w:sz w:val="24"/>
          <w:szCs w:val="24"/>
        </w:rPr>
        <w:t xml:space="preserve"> “</w:t>
      </w:r>
      <w:r w:rsidR="007333E0" w:rsidRPr="005B09A9">
        <w:rPr>
          <w:rFonts w:ascii="Times New Roman" w:hAnsi="Times New Roman" w:cs="Times New Roman"/>
          <w:i/>
          <w:iCs/>
          <w:sz w:val="24"/>
          <w:szCs w:val="24"/>
        </w:rPr>
        <w:t>partial</w:t>
      </w:r>
      <w:r w:rsidR="007333E0" w:rsidRPr="005B09A9">
        <w:rPr>
          <w:rFonts w:ascii="Times New Roman" w:hAnsi="Times New Roman" w:cs="Times New Roman"/>
          <w:sz w:val="24"/>
          <w:szCs w:val="24"/>
        </w:rPr>
        <w:t>”</w:t>
      </w:r>
      <w:r w:rsidR="006F05A7" w:rsidRPr="005B09A9">
        <w:rPr>
          <w:rFonts w:ascii="Times New Roman" w:hAnsi="Times New Roman" w:cs="Times New Roman"/>
          <w:sz w:val="24"/>
          <w:szCs w:val="24"/>
        </w:rPr>
        <w:t>,</w:t>
      </w:r>
      <w:r w:rsidR="007333E0" w:rsidRPr="005B09A9">
        <w:rPr>
          <w:rFonts w:ascii="Times New Roman" w:hAnsi="Times New Roman" w:cs="Times New Roman"/>
          <w:sz w:val="24"/>
          <w:szCs w:val="24"/>
        </w:rPr>
        <w:t xml:space="preserve"> “</w:t>
      </w:r>
      <w:r w:rsidR="007333E0" w:rsidRPr="005B09A9">
        <w:rPr>
          <w:rFonts w:ascii="Times New Roman" w:hAnsi="Times New Roman" w:cs="Times New Roman"/>
          <w:i/>
          <w:iCs/>
          <w:sz w:val="24"/>
          <w:szCs w:val="24"/>
        </w:rPr>
        <w:t>no</w:t>
      </w:r>
      <w:r w:rsidR="007333E0" w:rsidRPr="005B09A9">
        <w:rPr>
          <w:rFonts w:ascii="Times New Roman" w:hAnsi="Times New Roman" w:cs="Times New Roman"/>
          <w:sz w:val="24"/>
          <w:szCs w:val="24"/>
        </w:rPr>
        <w:t>”</w:t>
      </w:r>
      <w:r w:rsidR="006F05A7" w:rsidRPr="005B09A9">
        <w:rPr>
          <w:rFonts w:ascii="Times New Roman" w:hAnsi="Times New Roman" w:cs="Times New Roman"/>
          <w:sz w:val="24"/>
          <w:szCs w:val="24"/>
        </w:rPr>
        <w:t>,</w:t>
      </w:r>
      <w:r w:rsidR="007333E0" w:rsidRPr="005B09A9">
        <w:rPr>
          <w:rFonts w:ascii="Times New Roman" w:hAnsi="Times New Roman" w:cs="Times New Roman"/>
          <w:sz w:val="24"/>
          <w:szCs w:val="24"/>
        </w:rPr>
        <w:t xml:space="preserve"> or “</w:t>
      </w:r>
      <w:r w:rsidR="007333E0" w:rsidRPr="005B09A9">
        <w:rPr>
          <w:rFonts w:ascii="Times New Roman" w:hAnsi="Times New Roman" w:cs="Times New Roman"/>
          <w:i/>
          <w:iCs/>
          <w:sz w:val="24"/>
          <w:szCs w:val="24"/>
        </w:rPr>
        <w:t>unsure</w:t>
      </w:r>
      <w:r w:rsidR="007333E0" w:rsidRPr="005B09A9">
        <w:rPr>
          <w:rFonts w:ascii="Times New Roman" w:hAnsi="Times New Roman" w:cs="Times New Roman"/>
          <w:sz w:val="24"/>
          <w:szCs w:val="24"/>
        </w:rPr>
        <w:t>”</w:t>
      </w:r>
      <w:r w:rsidR="006F05A7" w:rsidRPr="005B09A9">
        <w:rPr>
          <w:rFonts w:ascii="Times New Roman" w:hAnsi="Times New Roman" w:cs="Times New Roman"/>
          <w:sz w:val="24"/>
          <w:szCs w:val="24"/>
        </w:rPr>
        <w:t>,</w:t>
      </w:r>
      <w:r w:rsidR="007333E0" w:rsidRPr="005B09A9">
        <w:rPr>
          <w:rFonts w:ascii="Times New Roman" w:hAnsi="Times New Roman" w:cs="Times New Roman"/>
          <w:sz w:val="24"/>
          <w:szCs w:val="24"/>
        </w:rPr>
        <w:t xml:space="preserve"> leading to a final judgment. An overall subjective appreciation of the </w:t>
      </w:r>
      <w:r w:rsidR="00C64391" w:rsidRPr="005B09A9">
        <w:rPr>
          <w:rFonts w:ascii="Times New Roman" w:hAnsi="Times New Roman" w:cs="Times New Roman"/>
          <w:sz w:val="24"/>
          <w:szCs w:val="24"/>
        </w:rPr>
        <w:t>domain</w:t>
      </w:r>
      <w:r w:rsidR="00C11700" w:rsidRPr="005B09A9">
        <w:rPr>
          <w:rFonts w:ascii="Times New Roman" w:hAnsi="Times New Roman" w:cs="Times New Roman"/>
          <w:sz w:val="24"/>
          <w:szCs w:val="24"/>
        </w:rPr>
        <w:t xml:space="preserve"> is then given (</w:t>
      </w:r>
      <w:r w:rsidR="007333E0" w:rsidRPr="005B09A9">
        <w:rPr>
          <w:rFonts w:ascii="Times New Roman" w:hAnsi="Times New Roman" w:cs="Times New Roman"/>
          <w:i/>
          <w:iCs/>
          <w:sz w:val="24"/>
          <w:szCs w:val="24"/>
        </w:rPr>
        <w:t>high</w:t>
      </w:r>
      <w:r w:rsidR="007333E0" w:rsidRPr="005B09A9">
        <w:rPr>
          <w:rFonts w:ascii="Times New Roman" w:hAnsi="Times New Roman" w:cs="Times New Roman"/>
          <w:sz w:val="24"/>
          <w:szCs w:val="24"/>
        </w:rPr>
        <w:t xml:space="preserve">, </w:t>
      </w:r>
      <w:r w:rsidR="007333E0" w:rsidRPr="005B09A9">
        <w:rPr>
          <w:rFonts w:ascii="Times New Roman" w:hAnsi="Times New Roman" w:cs="Times New Roman"/>
          <w:i/>
          <w:iCs/>
          <w:sz w:val="24"/>
          <w:szCs w:val="24"/>
        </w:rPr>
        <w:t>moderate</w:t>
      </w:r>
      <w:r w:rsidR="007E5C3C" w:rsidRPr="005B09A9">
        <w:rPr>
          <w:rFonts w:ascii="Times New Roman" w:hAnsi="Times New Roman" w:cs="Times New Roman"/>
          <w:i/>
          <w:iCs/>
          <w:sz w:val="24"/>
          <w:szCs w:val="24"/>
        </w:rPr>
        <w:t>,</w:t>
      </w:r>
      <w:r w:rsidR="007333E0" w:rsidRPr="005B09A9">
        <w:rPr>
          <w:rFonts w:ascii="Times New Roman" w:hAnsi="Times New Roman" w:cs="Times New Roman"/>
          <w:sz w:val="24"/>
          <w:szCs w:val="24"/>
        </w:rPr>
        <w:t xml:space="preserve"> or </w:t>
      </w:r>
      <w:r w:rsidR="007333E0" w:rsidRPr="005B09A9">
        <w:rPr>
          <w:rFonts w:ascii="Times New Roman" w:hAnsi="Times New Roman" w:cs="Times New Roman"/>
          <w:i/>
          <w:iCs/>
          <w:sz w:val="24"/>
          <w:szCs w:val="24"/>
        </w:rPr>
        <w:t>low</w:t>
      </w:r>
      <w:r w:rsidR="007333E0" w:rsidRPr="005B09A9">
        <w:rPr>
          <w:rFonts w:ascii="Times New Roman" w:hAnsi="Times New Roman" w:cs="Times New Roman"/>
          <w:sz w:val="24"/>
          <w:szCs w:val="24"/>
        </w:rPr>
        <w:t xml:space="preserve">). </w:t>
      </w:r>
      <w:r w:rsidR="004217FB" w:rsidRPr="005B09A9">
        <w:rPr>
          <w:rFonts w:ascii="Times New Roman" w:hAnsi="Times New Roman" w:cs="Times New Roman"/>
          <w:sz w:val="24"/>
          <w:szCs w:val="24"/>
        </w:rPr>
        <w:t>Two</w:t>
      </w:r>
      <w:r w:rsidR="001A7C63" w:rsidRPr="005B09A9">
        <w:rPr>
          <w:rFonts w:ascii="Times New Roman" w:hAnsi="Times New Roman" w:cs="Times New Roman"/>
          <w:sz w:val="24"/>
          <w:szCs w:val="24"/>
        </w:rPr>
        <w:t xml:space="preserve"> </w:t>
      </w:r>
      <w:r w:rsidR="00CD04FE" w:rsidRPr="005B09A9">
        <w:rPr>
          <w:rFonts w:ascii="Times New Roman" w:hAnsi="Times New Roman" w:cs="Times New Roman"/>
          <w:sz w:val="24"/>
          <w:szCs w:val="24"/>
        </w:rPr>
        <w:t>independent</w:t>
      </w:r>
      <w:r w:rsidR="001A7C63" w:rsidRPr="005B09A9">
        <w:rPr>
          <w:rFonts w:ascii="Times New Roman" w:hAnsi="Times New Roman" w:cs="Times New Roman"/>
          <w:sz w:val="24"/>
          <w:szCs w:val="24"/>
        </w:rPr>
        <w:t xml:space="preserve"> reviewers</w:t>
      </w:r>
      <w:r w:rsidR="0039283B" w:rsidRPr="005B09A9">
        <w:rPr>
          <w:rFonts w:ascii="Times New Roman" w:hAnsi="Times New Roman" w:cs="Times New Roman"/>
          <w:sz w:val="24"/>
          <w:szCs w:val="24"/>
        </w:rPr>
        <w:t xml:space="preserve"> (MHL and CM)</w:t>
      </w:r>
      <w:r w:rsidR="001A7C63" w:rsidRPr="005B09A9">
        <w:rPr>
          <w:rFonts w:ascii="Times New Roman" w:hAnsi="Times New Roman" w:cs="Times New Roman"/>
          <w:sz w:val="24"/>
          <w:szCs w:val="24"/>
        </w:rPr>
        <w:t xml:space="preserve"> </w:t>
      </w:r>
      <w:r w:rsidR="003B637D" w:rsidRPr="005B09A9">
        <w:rPr>
          <w:rFonts w:ascii="Times New Roman" w:hAnsi="Times New Roman" w:cs="Times New Roman"/>
          <w:sz w:val="24"/>
          <w:szCs w:val="24"/>
        </w:rPr>
        <w:t xml:space="preserve">were </w:t>
      </w:r>
      <w:r w:rsidR="001A7C63" w:rsidRPr="005B09A9">
        <w:rPr>
          <w:rFonts w:ascii="Times New Roman" w:hAnsi="Times New Roman" w:cs="Times New Roman"/>
          <w:sz w:val="24"/>
          <w:szCs w:val="24"/>
        </w:rPr>
        <w:t xml:space="preserve">involved in this step and </w:t>
      </w:r>
      <w:r w:rsidR="00C1658C" w:rsidRPr="005B09A9">
        <w:rPr>
          <w:rFonts w:ascii="Times New Roman" w:hAnsi="Times New Roman" w:cs="Times New Roman"/>
          <w:sz w:val="24"/>
          <w:szCs w:val="24"/>
        </w:rPr>
        <w:t xml:space="preserve">any disagreement </w:t>
      </w:r>
      <w:r w:rsidR="003B637D" w:rsidRPr="005B09A9">
        <w:rPr>
          <w:rFonts w:ascii="Times New Roman" w:hAnsi="Times New Roman" w:cs="Times New Roman"/>
          <w:sz w:val="24"/>
          <w:szCs w:val="24"/>
        </w:rPr>
        <w:t xml:space="preserve">was </w:t>
      </w:r>
      <w:r w:rsidR="00C1658C" w:rsidRPr="005B09A9">
        <w:rPr>
          <w:rFonts w:ascii="Times New Roman" w:hAnsi="Times New Roman" w:cs="Times New Roman"/>
          <w:sz w:val="24"/>
          <w:szCs w:val="24"/>
        </w:rPr>
        <w:t>solved by consensus or</w:t>
      </w:r>
      <w:r w:rsidR="009E1237" w:rsidRPr="005B09A9">
        <w:rPr>
          <w:rFonts w:ascii="Times New Roman" w:hAnsi="Times New Roman" w:cs="Times New Roman"/>
          <w:sz w:val="24"/>
          <w:szCs w:val="24"/>
        </w:rPr>
        <w:t>,</w:t>
      </w:r>
      <w:r w:rsidR="00C1658C" w:rsidRPr="005B09A9">
        <w:rPr>
          <w:rFonts w:ascii="Times New Roman" w:hAnsi="Times New Roman" w:cs="Times New Roman"/>
          <w:sz w:val="24"/>
          <w:szCs w:val="24"/>
        </w:rPr>
        <w:t xml:space="preserve"> if </w:t>
      </w:r>
      <w:r w:rsidR="009B64FC" w:rsidRPr="005B09A9">
        <w:rPr>
          <w:rFonts w:ascii="Times New Roman" w:hAnsi="Times New Roman" w:cs="Times New Roman"/>
          <w:sz w:val="24"/>
          <w:szCs w:val="24"/>
        </w:rPr>
        <w:t>needed</w:t>
      </w:r>
      <w:r w:rsidR="00C1658C" w:rsidRPr="005B09A9">
        <w:rPr>
          <w:rFonts w:ascii="Times New Roman" w:hAnsi="Times New Roman" w:cs="Times New Roman"/>
          <w:sz w:val="24"/>
          <w:szCs w:val="24"/>
        </w:rPr>
        <w:t>, by a</w:t>
      </w:r>
      <w:r w:rsidR="004E05EC" w:rsidRPr="005B09A9">
        <w:rPr>
          <w:rFonts w:ascii="Times New Roman" w:hAnsi="Times New Roman" w:cs="Times New Roman"/>
          <w:sz w:val="24"/>
          <w:szCs w:val="24"/>
        </w:rPr>
        <w:t xml:space="preserve"> third reviewer’s </w:t>
      </w:r>
      <w:r w:rsidR="00C1658C" w:rsidRPr="005B09A9">
        <w:rPr>
          <w:rFonts w:ascii="Times New Roman" w:hAnsi="Times New Roman" w:cs="Times New Roman"/>
          <w:sz w:val="24"/>
          <w:szCs w:val="24"/>
        </w:rPr>
        <w:t>decision (AB).</w:t>
      </w:r>
      <w:r w:rsidR="007E4E16" w:rsidRPr="005B09A9">
        <w:rPr>
          <w:rFonts w:ascii="Times New Roman" w:hAnsi="Times New Roman" w:cs="Times New Roman"/>
          <w:sz w:val="24"/>
          <w:szCs w:val="24"/>
        </w:rPr>
        <w:t xml:space="preserve"> </w:t>
      </w:r>
    </w:p>
    <w:p w14:paraId="49ACF52B" w14:textId="6827CAC6" w:rsidR="006F05A7" w:rsidRPr="005B09A9" w:rsidRDefault="006F05A7" w:rsidP="003B7B2C">
      <w:pPr>
        <w:pStyle w:val="Paragraphedeliste"/>
        <w:numPr>
          <w:ilvl w:val="1"/>
          <w:numId w:val="18"/>
        </w:numPr>
        <w:spacing w:line="480" w:lineRule="auto"/>
        <w:rPr>
          <w:rFonts w:ascii="Times New Roman" w:hAnsi="Times New Roman" w:cs="Times New Roman"/>
          <w:i/>
          <w:iCs/>
          <w:sz w:val="24"/>
          <w:u w:val="single"/>
          <w:lang w:val="en-GB"/>
        </w:rPr>
      </w:pPr>
      <w:r w:rsidRPr="005B09A9">
        <w:rPr>
          <w:rStyle w:val="Accentuationlgre"/>
          <w:rFonts w:ascii="Times New Roman" w:hAnsi="Times New Roman" w:cs="Times New Roman"/>
          <w:b w:val="0"/>
          <w:sz w:val="24"/>
          <w:lang w:val="en-GB"/>
        </w:rPr>
        <w:t xml:space="preserve">Certainty of </w:t>
      </w:r>
      <w:r w:rsidR="009822EC" w:rsidRPr="005B09A9">
        <w:rPr>
          <w:rStyle w:val="Accentuationlgre"/>
          <w:rFonts w:ascii="Times New Roman" w:hAnsi="Times New Roman" w:cs="Times New Roman"/>
          <w:b w:val="0"/>
          <w:sz w:val="24"/>
          <w:lang w:val="en-GB"/>
        </w:rPr>
        <w:t>Evidence A</w:t>
      </w:r>
      <w:r w:rsidRPr="005B09A9">
        <w:rPr>
          <w:rStyle w:val="Accentuationlgre"/>
          <w:rFonts w:ascii="Times New Roman" w:hAnsi="Times New Roman" w:cs="Times New Roman"/>
          <w:b w:val="0"/>
          <w:sz w:val="24"/>
          <w:lang w:val="en-GB"/>
        </w:rPr>
        <w:t>ssessment</w:t>
      </w:r>
    </w:p>
    <w:p w14:paraId="5BE3A6F6" w14:textId="7FAD99CA" w:rsidR="00C00CEA" w:rsidRPr="005B09A9" w:rsidRDefault="006F05A7"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A qualitative meta-synthesis was conducted following the method </w:t>
      </w:r>
      <w:r w:rsidR="006D180B" w:rsidRPr="005B09A9">
        <w:rPr>
          <w:rFonts w:ascii="Times New Roman" w:hAnsi="Times New Roman" w:cs="Times New Roman"/>
          <w:sz w:val="24"/>
          <w:szCs w:val="24"/>
        </w:rPr>
        <w:t>recommended</w:t>
      </w:r>
      <w:r w:rsidRPr="005B09A9">
        <w:rPr>
          <w:rFonts w:ascii="Times New Roman" w:hAnsi="Times New Roman" w:cs="Times New Roman"/>
          <w:sz w:val="24"/>
          <w:szCs w:val="24"/>
        </w:rPr>
        <w:t xml:space="preserve"> by </w:t>
      </w:r>
      <w:r w:rsidR="00F71103" w:rsidRPr="005B09A9">
        <w:rPr>
          <w:rFonts w:ascii="Times New Roman" w:hAnsi="Times New Roman" w:cs="Times New Roman"/>
          <w:sz w:val="24"/>
          <w:szCs w:val="24"/>
        </w:rPr>
        <w:t xml:space="preserve">Hayden </w:t>
      </w:r>
      <w:r w:rsidR="00F71103" w:rsidRPr="005B09A9">
        <w:rPr>
          <w:rFonts w:ascii="Times New Roman" w:hAnsi="Times New Roman" w:cs="Times New Roman"/>
          <w:sz w:val="24"/>
          <w:szCs w:val="24"/>
        </w:rPr>
        <w:fldChar w:fldCharType="begin"/>
      </w:r>
      <w:r w:rsidR="00F71103" w:rsidRPr="005B09A9">
        <w:rPr>
          <w:rFonts w:ascii="Times New Roman" w:hAnsi="Times New Roman" w:cs="Times New Roman"/>
          <w:sz w:val="24"/>
          <w:szCs w:val="24"/>
        </w:rPr>
        <w:instrText xml:space="preserve"> ADDIN ZOTERO_ITEM CSL_CITATION {"citationID":"nNjNw04o","properties":{"formattedCitation":"(Hayden et al., 2014)","plainCitation":"(Hayden et al., 2014)","noteIndex":0},"citationItems":[{"id":1457,"uris":["http://zotero.org/users/8777725/items/7823AAUM"],"itemData":{"id":1457,"type":"article-journal","container-title":"Cochrane Database of Systematic Reviews","DOI":"10.1002/14651858.CD011284","ISSN":"1465-1858","issue":"9","language":"en","note":"publisher: John Wiley &amp; Sons, Ltd","source":"www.cochranelibrary.com","title":"Individual recovery expectations and prognosis of outcomes in non‐specific low back pain: prognostic factor exemplar review","title-short":"Individual recovery expectations and prognosis of outcomes in non‐specific low back pain","URL":"https://www.cochranelibrary.com/cdsr/doi/10.1002/14651858.CD011284/full","author":[{"family":"Hayden","given":"Jill A."},{"family":"Tougas","given":"Michelle E."},{"family":"Riley","given":"Richard"},{"family":"Iles","given":"Ross"},{"family":"Pincus","given":"Tamar"}],"accessed":{"date-parts":[["2022",8,17]]},"issued":{"date-parts":[["2014"]]}}}],"schema":"https://github.com/citation-style-language/schema/raw/master/csl-citation.json"} </w:instrText>
      </w:r>
      <w:r w:rsidR="00F71103" w:rsidRPr="005B09A9">
        <w:rPr>
          <w:rFonts w:ascii="Times New Roman" w:hAnsi="Times New Roman" w:cs="Times New Roman"/>
          <w:sz w:val="24"/>
          <w:szCs w:val="24"/>
        </w:rPr>
        <w:fldChar w:fldCharType="separate"/>
      </w:r>
      <w:r w:rsidR="00F71103" w:rsidRPr="005B09A9">
        <w:rPr>
          <w:rFonts w:ascii="Times New Roman" w:hAnsi="Times New Roman" w:cs="Times New Roman"/>
          <w:sz w:val="24"/>
        </w:rPr>
        <w:t>(Hayden et al., 2014)</w:t>
      </w:r>
      <w:r w:rsidR="00F71103" w:rsidRPr="005B09A9">
        <w:rPr>
          <w:rFonts w:ascii="Times New Roman" w:hAnsi="Times New Roman" w:cs="Times New Roman"/>
          <w:sz w:val="24"/>
          <w:szCs w:val="24"/>
        </w:rPr>
        <w:fldChar w:fldCharType="end"/>
      </w:r>
      <w:r w:rsidR="00F71103" w:rsidRPr="005B09A9">
        <w:rPr>
          <w:rFonts w:ascii="Times New Roman" w:hAnsi="Times New Roman" w:cs="Times New Roman"/>
          <w:sz w:val="24"/>
          <w:szCs w:val="24"/>
        </w:rPr>
        <w:t xml:space="preserve"> and used in several systematic reviews since then</w:t>
      </w:r>
      <w:r w:rsidRPr="005B09A9">
        <w:rPr>
          <w:rFonts w:ascii="Times New Roman" w:hAnsi="Times New Roman" w:cs="Times New Roman"/>
          <w:sz w:val="24"/>
          <w:szCs w:val="24"/>
        </w:rPr>
        <w:t xml:space="preserve"> </w:t>
      </w:r>
      <w:r w:rsidRPr="005B09A9">
        <w:rPr>
          <w:rFonts w:ascii="Times New Roman" w:hAnsi="Times New Roman" w:cs="Times New Roman"/>
          <w:sz w:val="24"/>
          <w:szCs w:val="24"/>
        </w:rPr>
        <w:fldChar w:fldCharType="begin"/>
      </w:r>
      <w:r w:rsidR="00F71103" w:rsidRPr="005B09A9">
        <w:rPr>
          <w:rFonts w:ascii="Times New Roman" w:hAnsi="Times New Roman" w:cs="Times New Roman"/>
          <w:sz w:val="24"/>
          <w:szCs w:val="24"/>
        </w:rPr>
        <w:instrText xml:space="preserve"> ADDIN ZOTERO_ITEM CSL_CITATION {"citationID":"soSoOTeZ","properties":{"formattedCitation":"(Manderlier et al., 2022; Verwoerd et al., 2019)","plainCitation":"(Manderlier et al., 2022; Verwoerd et al., 2019)","noteIndex":0},"citationItems":[{"id":1361,"uris":["http://zotero.org/users/8777725/items/K5BV5LRD"],"itemData":{"id":1361,"type":"article-journal","abstract":"BACKGROUND: Stratified approaches to spinal pain that address psychosocial risk factors reduce long-term disability to a moderate extent. Identifying and managing other risk factors might help improve outcomes.\nOBJECTIVE: This systematic review of longitudinal studies aimed to evaluate possible associations between the onset of chronic spinal pain (including low back, back and neck pain) and putative modifiable lifestyle-related risk or protective factors.\nMETHODS: This systematic review of longitudinal studies published during the last 2 decades followed PRISMA guidelines. Two reviewers screened Medline, Scopus, Pedro, Cochrane Library, Psycinfo, Science Direct, PTSDpubs and Google Scholar for relevant studies. The QUIPS tool was used to assess the risk of bias. A qualitative meta-synthesis of relevant factors was performed.\nRESULTS: Of 3716 unique records, 14 studies met the inclusion criteria (10 with low risk of bias and 4 moderate risk of bias). The highest bias observed was attrition. For chronic low back pain, we found moderate evidence for the involvement of high body weight, waist circumference, and hip circumference and conflicting evidence for high body mass index (BMI), smoking, and physical activity. For chronic neck pain, we found strong evidence for high BMI in women, moderate evidence for sleep disorders in women and conflicting evidence for high BMI in men and physical activity. For chronic back pain, we found limited evidence for gardening/yard work in men and more than one adult at home. Effect sizes were small.\nCONCLUSIONS: Several modifiable lifestyle-related factors were identified. Evidence is still sparse and there is a need for more studies. PROSPERO database registration: Ref 172,112 CRD42020172112.","container-title":"Annals of Physical and Rehabilitation Medicine","DOI":"10.1016/j.rehab.2022.101660","ISSN":"1877-0665","issue":"6","journalAbbreviation":"Ann Phys Rehabil Med","language":"eng","note":"PMID: 35351652","page":"101660","source":"PubMed","title":"Modifiable lifestyle-related prognostic factors for the onset of chronic spinal pain: A systematic review of longitudinal studies","title-short":"Modifiable lifestyle-related prognostic factors for the onset of chronic spinal pain","volume":"65","author":[{"family":"Manderlier","given":"Adrien"},{"family":"Fooz","given":"Maxime","non-dropping-particle":"de"},{"family":"Patris","given":"Sophie"},{"family":"Berquin","given":"Anne"}],"issued":{"date-parts":[["2022",4,28]]}}},{"id":1454,"uris":["http://zotero.org/users/8777725/items/WPN9QGZK"],"itemData":{"id":1454,"type":"article-journal","abstract":"BACKGROUND: Prognosis of acute idiopathic neck pain is poor. An overview of modifiable and non-modifiable prognostic factors for the development of chronic musculoskeletal neck pain after an episode of idiopathic, non-traumatic neck pain is needed.\nOBJECTIVE: Identify prognostic factors for pain intensity and perceived non-recovery at three, six and 12 months after a first episode of idiopathic, non-traumatic neck pain.\nSTUDY DESIGN: Systematic review METHODS: Systematic literature search up to October 21, 2017 for prospective prognostic studies with main outcomes perceived non-recovery and pain intensity. The QUIPS was used for quality assessment.\nRESULTS: Out of 2737 screened articles six prospective studies with high-risk-of-bias were identified, analyzing 47 and 43 factors for the outcome variables 'pain intensity' and 'perceived non-recovery', respectively. Based on univariate- and multivariate analyses we found moderate evidence for 'age&gt; 40 years' and 'concomitant back pain' to be prognostic for 'pain intensity'. For the outcome 'perceived non-recovery' at 12 months, we found moderate evidence for both 'a previous period of neck pain' and 'accompanying headache' as prognostic variables for persistent pain, based on univariate analysis. No prognostic factor was found which was retained in more than one multivariate analysis for the outcome variable 'perceived non-recovery'. However, the quality of the evidence for these prognostic factors was low to very low.\nCONCLUSION: This review identifies prognostic factors for neck pain, of which only a few are modifiable. Further research is needed before drawing definite conclusions about the prognostic value of these factors.","container-title":"Musculoskeletal Science &amp; Practice","DOI":"10.1016/j.msksp.2019.03.009","ISSN":"2468-7812","journalAbbreviation":"Musculoskelet Sci Pract","language":"eng","note":"PMID: 31026716","page":"13-37","source":"PubMed","title":"Prognostic factors for persistent pain after a first episode of nonspecific idiopathic, non-traumatic neck pain: A systematic review","title-short":"Prognostic factors for persistent pain after a first episode of nonspecific idiopathic, non-traumatic neck pain","volume":"42","author":[{"family":"Verwoerd","given":"Martine"},{"family":"Wittink","given":"Harriet"},{"family":"Maissan","given":"Francois"},{"family":"Raaij","given":"Edwin","non-dropping-particle":"de"},{"family":"Smeets","given":"Rob J. E. M."}],"issued":{"date-parts":[["2019",7]]}}}],"schema":"https://github.com/citation-style-language/schema/raw/master/csl-citation.json"} </w:instrText>
      </w:r>
      <w:r w:rsidRPr="005B09A9">
        <w:rPr>
          <w:rFonts w:ascii="Times New Roman" w:hAnsi="Times New Roman" w:cs="Times New Roman"/>
          <w:sz w:val="24"/>
          <w:szCs w:val="24"/>
        </w:rPr>
        <w:fldChar w:fldCharType="separate"/>
      </w:r>
      <w:r w:rsidR="00F71103" w:rsidRPr="005B09A9">
        <w:rPr>
          <w:rFonts w:ascii="Times New Roman" w:hAnsi="Times New Roman" w:cs="Times New Roman"/>
          <w:sz w:val="24"/>
        </w:rPr>
        <w:t>(Manderlier et al., 2022; Verwoerd et al., 2019)</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w:t>
      </w:r>
      <w:r w:rsidRPr="005B09A9">
        <w:rPr>
          <w:rFonts w:cstheme="minorHAnsi"/>
          <w:sz w:val="24"/>
          <w:szCs w:val="24"/>
        </w:rPr>
        <w:t xml:space="preserve"> </w:t>
      </w:r>
      <w:r w:rsidRPr="005B09A9">
        <w:rPr>
          <w:rFonts w:ascii="Times New Roman" w:hAnsi="Times New Roman" w:cs="Times New Roman"/>
          <w:sz w:val="24"/>
          <w:szCs w:val="24"/>
        </w:rPr>
        <w:t xml:space="preserve">Prognostic factors were qualified as having “limited evidence” if found in only one study, “moderate evidence” if found in one low risk study </w:t>
      </w:r>
      <w:r w:rsidR="005F33C7" w:rsidRPr="005B09A9">
        <w:rPr>
          <w:rFonts w:ascii="Times New Roman" w:hAnsi="Times New Roman" w:cs="Times New Roman"/>
          <w:sz w:val="24"/>
          <w:szCs w:val="24"/>
        </w:rPr>
        <w:t>or more than one high RoB study</w:t>
      </w:r>
      <w:r w:rsidRPr="005B09A9">
        <w:rPr>
          <w:rFonts w:ascii="Times New Roman" w:hAnsi="Times New Roman" w:cs="Times New Roman"/>
          <w:sz w:val="24"/>
          <w:szCs w:val="24"/>
        </w:rPr>
        <w:t xml:space="preserve"> with &gt;75% positive association with outcome, and “strong evidence” if found in more than one low RoB study with positive association. “Conflicting evidence” is given if evidence is inconsistent with &lt;75% studies showing the same direction of effect and “No evidence” is given if no association between variables is found.</w:t>
      </w:r>
    </w:p>
    <w:p w14:paraId="64E6D852" w14:textId="77777777" w:rsidR="0070398E" w:rsidRPr="005B09A9" w:rsidRDefault="0070398E">
      <w:pPr>
        <w:spacing w:line="259" w:lineRule="auto"/>
        <w:jc w:val="left"/>
        <w:rPr>
          <w:rFonts w:ascii="Times New Roman" w:eastAsiaTheme="minorEastAsia" w:hAnsi="Times New Roman" w:cs="Times New Roman"/>
          <w:spacing w:val="15"/>
          <w:sz w:val="24"/>
          <w:szCs w:val="24"/>
          <w:u w:val="single"/>
        </w:rPr>
      </w:pPr>
      <w:r w:rsidRPr="005B09A9">
        <w:rPr>
          <w:rFonts w:ascii="Times New Roman" w:hAnsi="Times New Roman" w:cs="Times New Roman"/>
          <w:b/>
          <w:szCs w:val="24"/>
        </w:rPr>
        <w:br w:type="page"/>
      </w:r>
    </w:p>
    <w:p w14:paraId="00EB9F10" w14:textId="66299931" w:rsidR="00836351" w:rsidRPr="005B09A9" w:rsidRDefault="00C1658C" w:rsidP="006F05A7">
      <w:pPr>
        <w:pStyle w:val="Sous-titre"/>
        <w:numPr>
          <w:ilvl w:val="0"/>
          <w:numId w:val="18"/>
        </w:numPr>
        <w:spacing w:line="480" w:lineRule="auto"/>
        <w:jc w:val="left"/>
        <w:rPr>
          <w:rFonts w:ascii="Times New Roman" w:hAnsi="Times New Roman" w:cs="Times New Roman"/>
          <w:b w:val="0"/>
          <w:szCs w:val="24"/>
        </w:rPr>
      </w:pPr>
      <w:r w:rsidRPr="005B09A9">
        <w:rPr>
          <w:rFonts w:ascii="Times New Roman" w:hAnsi="Times New Roman" w:cs="Times New Roman"/>
          <w:b w:val="0"/>
          <w:szCs w:val="24"/>
        </w:rPr>
        <w:lastRenderedPageBreak/>
        <w:t>Results</w:t>
      </w:r>
    </w:p>
    <w:p w14:paraId="7FDF0E62" w14:textId="32DA64DA" w:rsidR="00836351" w:rsidRPr="005B09A9" w:rsidRDefault="00D26367" w:rsidP="006F05A7">
      <w:pPr>
        <w:pStyle w:val="Paragraphedeliste"/>
        <w:numPr>
          <w:ilvl w:val="1"/>
          <w:numId w:val="18"/>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 xml:space="preserve"> </w:t>
      </w:r>
      <w:r w:rsidR="00EE3CF8" w:rsidRPr="005B09A9">
        <w:rPr>
          <w:rStyle w:val="Accentuationlgre"/>
          <w:rFonts w:ascii="Times New Roman" w:hAnsi="Times New Roman" w:cs="Times New Roman"/>
          <w:b w:val="0"/>
          <w:sz w:val="24"/>
          <w:szCs w:val="24"/>
          <w:lang w:val="en-GB"/>
        </w:rPr>
        <w:t xml:space="preserve">Study </w:t>
      </w:r>
      <w:r w:rsidR="003B7B2C" w:rsidRPr="005B09A9">
        <w:rPr>
          <w:rStyle w:val="Accentuationlgre"/>
          <w:rFonts w:ascii="Times New Roman" w:hAnsi="Times New Roman" w:cs="Times New Roman"/>
          <w:b w:val="0"/>
          <w:sz w:val="24"/>
          <w:szCs w:val="24"/>
          <w:lang w:val="en-GB"/>
        </w:rPr>
        <w:t>S</w:t>
      </w:r>
      <w:r w:rsidRPr="005B09A9">
        <w:rPr>
          <w:rStyle w:val="Accentuationlgre"/>
          <w:rFonts w:ascii="Times New Roman" w:hAnsi="Times New Roman" w:cs="Times New Roman"/>
          <w:b w:val="0"/>
          <w:sz w:val="24"/>
          <w:szCs w:val="24"/>
          <w:lang w:val="en-GB"/>
        </w:rPr>
        <w:t>election</w:t>
      </w:r>
    </w:p>
    <w:p w14:paraId="04F421FA" w14:textId="1DFE4E15" w:rsidR="00A2218E" w:rsidRPr="005B09A9" w:rsidRDefault="00A2218E"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Our search strategy</w:t>
      </w:r>
      <w:r w:rsidR="00320DDC" w:rsidRPr="005B09A9">
        <w:rPr>
          <w:rFonts w:ascii="Times New Roman" w:hAnsi="Times New Roman" w:cs="Times New Roman"/>
          <w:sz w:val="24"/>
          <w:szCs w:val="24"/>
        </w:rPr>
        <w:t xml:space="preserve"> identified </w:t>
      </w:r>
      <w:r w:rsidR="00AF2B86" w:rsidRPr="005B09A9">
        <w:rPr>
          <w:rFonts w:ascii="Times New Roman" w:hAnsi="Times New Roman" w:cs="Times New Roman"/>
          <w:sz w:val="24"/>
          <w:szCs w:val="24"/>
        </w:rPr>
        <w:t>4</w:t>
      </w:r>
      <w:r w:rsidR="00622065" w:rsidRPr="005B09A9">
        <w:rPr>
          <w:rFonts w:ascii="Times New Roman" w:hAnsi="Times New Roman" w:cs="Times New Roman"/>
          <w:sz w:val="24"/>
          <w:szCs w:val="24"/>
        </w:rPr>
        <w:t>,</w:t>
      </w:r>
      <w:r w:rsidR="00AF2B86" w:rsidRPr="005B09A9">
        <w:rPr>
          <w:rFonts w:ascii="Times New Roman" w:hAnsi="Times New Roman" w:cs="Times New Roman"/>
          <w:sz w:val="24"/>
          <w:szCs w:val="24"/>
        </w:rPr>
        <w:t>652</w:t>
      </w:r>
      <w:r w:rsidRPr="005B09A9">
        <w:rPr>
          <w:rFonts w:ascii="Times New Roman" w:hAnsi="Times New Roman" w:cs="Times New Roman"/>
          <w:sz w:val="24"/>
          <w:szCs w:val="24"/>
        </w:rPr>
        <w:t xml:space="preserve"> </w:t>
      </w:r>
      <w:r w:rsidR="00AF2B86" w:rsidRPr="005B09A9">
        <w:rPr>
          <w:rFonts w:ascii="Times New Roman" w:hAnsi="Times New Roman" w:cs="Times New Roman"/>
          <w:sz w:val="24"/>
          <w:szCs w:val="24"/>
        </w:rPr>
        <w:t xml:space="preserve">different </w:t>
      </w:r>
      <w:r w:rsidRPr="005B09A9">
        <w:rPr>
          <w:rFonts w:ascii="Times New Roman" w:hAnsi="Times New Roman" w:cs="Times New Roman"/>
          <w:sz w:val="24"/>
          <w:szCs w:val="24"/>
        </w:rPr>
        <w:t>articles</w:t>
      </w:r>
      <w:r w:rsidR="00320DDC" w:rsidRPr="005B09A9">
        <w:rPr>
          <w:rFonts w:ascii="Times New Roman" w:hAnsi="Times New Roman" w:cs="Times New Roman"/>
          <w:sz w:val="24"/>
          <w:szCs w:val="24"/>
        </w:rPr>
        <w:t xml:space="preserve">, </w:t>
      </w:r>
      <w:r w:rsidR="0039283B" w:rsidRPr="005B09A9">
        <w:rPr>
          <w:rFonts w:ascii="Times New Roman" w:hAnsi="Times New Roman" w:cs="Times New Roman"/>
          <w:sz w:val="24"/>
          <w:szCs w:val="24"/>
        </w:rPr>
        <w:t xml:space="preserve">of </w:t>
      </w:r>
      <w:r w:rsidR="00320DDC" w:rsidRPr="005B09A9">
        <w:rPr>
          <w:rFonts w:ascii="Times New Roman" w:hAnsi="Times New Roman" w:cs="Times New Roman"/>
          <w:sz w:val="24"/>
          <w:szCs w:val="24"/>
        </w:rPr>
        <w:t xml:space="preserve">which </w:t>
      </w:r>
      <w:r w:rsidR="0073403C" w:rsidRPr="005B09A9">
        <w:rPr>
          <w:rFonts w:ascii="Times New Roman" w:hAnsi="Times New Roman" w:cs="Times New Roman"/>
          <w:sz w:val="24"/>
          <w:szCs w:val="24"/>
        </w:rPr>
        <w:t xml:space="preserve">six (four prospective studies and two </w:t>
      </w:r>
      <w:r w:rsidR="00AF2B86" w:rsidRPr="005B09A9">
        <w:rPr>
          <w:rFonts w:ascii="Times New Roman" w:hAnsi="Times New Roman" w:cs="Times New Roman"/>
          <w:sz w:val="24"/>
          <w:szCs w:val="24"/>
        </w:rPr>
        <w:t>cross-sectional studies)</w:t>
      </w:r>
      <w:r w:rsidR="00320DDC" w:rsidRPr="005B09A9">
        <w:rPr>
          <w:rFonts w:ascii="Times New Roman" w:hAnsi="Times New Roman" w:cs="Times New Roman"/>
          <w:sz w:val="24"/>
          <w:szCs w:val="24"/>
        </w:rPr>
        <w:t xml:space="preserve"> were included in the final</w:t>
      </w:r>
      <w:r w:rsidR="00AF2B86" w:rsidRPr="005B09A9">
        <w:rPr>
          <w:rFonts w:ascii="Times New Roman" w:hAnsi="Times New Roman" w:cs="Times New Roman"/>
          <w:sz w:val="24"/>
          <w:szCs w:val="24"/>
        </w:rPr>
        <w:t xml:space="preserve"> analysis</w:t>
      </w:r>
      <w:r w:rsidR="00320DDC" w:rsidRPr="005B09A9">
        <w:rPr>
          <w:rFonts w:ascii="Times New Roman" w:hAnsi="Times New Roman" w:cs="Times New Roman"/>
          <w:sz w:val="24"/>
          <w:szCs w:val="24"/>
        </w:rPr>
        <w:t xml:space="preserve"> (</w:t>
      </w:r>
      <w:r w:rsidRPr="005B09A9">
        <w:rPr>
          <w:rFonts w:ascii="Times New Roman" w:hAnsi="Times New Roman" w:cs="Times New Roman"/>
          <w:sz w:val="24"/>
          <w:szCs w:val="24"/>
        </w:rPr>
        <w:t>Fig</w:t>
      </w:r>
      <w:r w:rsidR="00EF1D00" w:rsidRPr="005B09A9">
        <w:rPr>
          <w:rFonts w:ascii="Times New Roman" w:hAnsi="Times New Roman" w:cs="Times New Roman"/>
          <w:sz w:val="24"/>
          <w:szCs w:val="24"/>
        </w:rPr>
        <w:t>.</w:t>
      </w:r>
      <w:r w:rsidR="00320DDC" w:rsidRPr="005B09A9">
        <w:rPr>
          <w:rFonts w:ascii="Times New Roman" w:hAnsi="Times New Roman" w:cs="Times New Roman"/>
          <w:sz w:val="24"/>
          <w:szCs w:val="24"/>
        </w:rPr>
        <w:t xml:space="preserve"> 1)</w:t>
      </w:r>
      <w:r w:rsidR="008D00DC" w:rsidRPr="005B09A9">
        <w:rPr>
          <w:rFonts w:ascii="Times New Roman" w:hAnsi="Times New Roman" w:cs="Times New Roman"/>
          <w:sz w:val="24"/>
          <w:szCs w:val="24"/>
        </w:rPr>
        <w:t xml:space="preserve"> </w:t>
      </w:r>
      <w:r w:rsidR="00622065"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{"citationID":"cfwAG4xd","properties":{"formattedCitation":"(Bean et al., 2015, 2016b; Dauty et al., 2001; Dumas et al., 2011; Laulan et al., 1997; Roh et al., 2019)","plainCitation":"(Bean et al., 2015, 2016b; Dauty et al., 2001; Dumas et al., 2011; Laulan et al., 1997; Roh et al., 2019)","noteIndex":0},"citationItems":[{"id":108,"uris":["http://zotero.org/users/8777725/items/5R5L23ZJ"],"itemData":{"id":108,"type":"article-journal","abstract":"Previous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R."}],"issued":{"date-parts":[["2015",11]]}},"label":"page"},{"id":146,"uris":["http://zotero.org/users/8777725/items/R94ZA7RL"],"itemData":{"id":146,"type":"article-journal","abstract":"OBJECTIVE: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R."}],"issued":{"date-parts":[["2016",2]]}},"label":"page"},{"id":123,"uris":["http://zotero.org/users/8777725/items/R8NLVG5J"],"itemData":{"id":123,"type":"article-journal","abstract":"OBJECTIVE: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Hyun"}],"issued":{"date-parts":[["2019",6,1]]}},"label":"page"},{"id":441,"uris":["http://zotero.org/users/8777725/items/EQG2M7E9"],"itemData":{"id":441,"type":"article-journal","abstract":"A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label":"page"},{"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w:instrText>
      </w:r>
      <w:r w:rsidR="00C00CEA" w:rsidRPr="005B09A9">
        <w:rPr>
          <w:rFonts w:ascii="Times New Roman" w:hAnsi="Times New Roman" w:cs="Times New Roman"/>
          <w:sz w:val="24"/>
          <w:szCs w:val="24"/>
          <w:lang w:val="fr-BE"/>
        </w:rPr>
        <w:instrText xml:space="preserve">"0168-6054","issue":"2","journalAbbreviation":"Ann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label":"page"},{"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label":"page"}],"schema":"https://github.com/citation-style-language/schema/raw/master/csl-citation.json"} </w:instrText>
      </w:r>
      <w:r w:rsidR="00622065" w:rsidRPr="005B09A9">
        <w:rPr>
          <w:rFonts w:ascii="Times New Roman" w:hAnsi="Times New Roman" w:cs="Times New Roman"/>
          <w:sz w:val="24"/>
          <w:szCs w:val="24"/>
        </w:rPr>
        <w:fldChar w:fldCharType="separate"/>
      </w:r>
      <w:r w:rsidR="00C00CEA" w:rsidRPr="005B09A9">
        <w:rPr>
          <w:rFonts w:ascii="Times New Roman" w:hAnsi="Times New Roman" w:cs="Times New Roman"/>
          <w:sz w:val="24"/>
          <w:lang w:val="fr-BE"/>
        </w:rPr>
        <w:t>(Bean et al., 2015, 2016b; Dauty et al., 2001; Dumas et al., 2011; Laulan et al., 1997; Roh et al., 2019)</w:t>
      </w:r>
      <w:r w:rsidR="00622065" w:rsidRPr="005B09A9">
        <w:rPr>
          <w:rFonts w:ascii="Times New Roman" w:hAnsi="Times New Roman" w:cs="Times New Roman"/>
          <w:sz w:val="24"/>
          <w:szCs w:val="24"/>
        </w:rPr>
        <w:fldChar w:fldCharType="end"/>
      </w:r>
      <w:r w:rsidR="008D00DC" w:rsidRPr="005B09A9">
        <w:rPr>
          <w:rFonts w:ascii="Times New Roman" w:hAnsi="Times New Roman" w:cs="Times New Roman"/>
          <w:sz w:val="24"/>
          <w:szCs w:val="24"/>
          <w:lang w:val="fr-BE"/>
        </w:rPr>
        <w:t>.</w:t>
      </w:r>
      <w:r w:rsidR="003A2DBC" w:rsidRPr="005B09A9">
        <w:rPr>
          <w:rFonts w:ascii="Times New Roman" w:hAnsi="Times New Roman" w:cs="Times New Roman"/>
          <w:sz w:val="24"/>
          <w:szCs w:val="24"/>
          <w:lang w:val="fr-BE"/>
        </w:rPr>
        <w:t xml:space="preserve"> </w:t>
      </w:r>
      <w:r w:rsidR="003A2DBC" w:rsidRPr="005B09A9">
        <w:rPr>
          <w:rFonts w:ascii="Times New Roman" w:hAnsi="Times New Roman" w:cs="Times New Roman"/>
          <w:sz w:val="24"/>
          <w:szCs w:val="24"/>
        </w:rPr>
        <w:t>No additional relevant articles were found i</w:t>
      </w:r>
      <w:r w:rsidRPr="005B09A9">
        <w:rPr>
          <w:rFonts w:ascii="Times New Roman" w:hAnsi="Times New Roman" w:cs="Times New Roman"/>
          <w:sz w:val="24"/>
          <w:szCs w:val="24"/>
        </w:rPr>
        <w:t xml:space="preserve">n the </w:t>
      </w:r>
      <w:r w:rsidR="000A3671" w:rsidRPr="005B09A9">
        <w:rPr>
          <w:rFonts w:ascii="Times New Roman" w:hAnsi="Times New Roman" w:cs="Times New Roman"/>
          <w:sz w:val="24"/>
          <w:szCs w:val="24"/>
        </w:rPr>
        <w:t>bibliographies</w:t>
      </w:r>
      <w:r w:rsidRPr="005B09A9">
        <w:rPr>
          <w:rFonts w:ascii="Times New Roman" w:hAnsi="Times New Roman" w:cs="Times New Roman"/>
          <w:sz w:val="24"/>
          <w:szCs w:val="24"/>
        </w:rPr>
        <w:t xml:space="preserve"> of </w:t>
      </w:r>
      <w:r w:rsidR="003A2DBC" w:rsidRPr="005B09A9">
        <w:rPr>
          <w:rFonts w:ascii="Times New Roman" w:hAnsi="Times New Roman" w:cs="Times New Roman"/>
          <w:sz w:val="24"/>
          <w:szCs w:val="24"/>
        </w:rPr>
        <w:t xml:space="preserve">reviews and </w:t>
      </w:r>
      <w:r w:rsidRPr="005B09A9">
        <w:rPr>
          <w:rFonts w:ascii="Times New Roman" w:hAnsi="Times New Roman" w:cs="Times New Roman"/>
          <w:sz w:val="24"/>
          <w:szCs w:val="24"/>
        </w:rPr>
        <w:t xml:space="preserve">the </w:t>
      </w:r>
      <w:r w:rsidR="003A2DBC" w:rsidRPr="005B09A9">
        <w:rPr>
          <w:rFonts w:ascii="Times New Roman" w:hAnsi="Times New Roman" w:cs="Times New Roman"/>
          <w:sz w:val="24"/>
          <w:szCs w:val="24"/>
        </w:rPr>
        <w:t>included</w:t>
      </w:r>
      <w:r w:rsidRPr="005B09A9">
        <w:rPr>
          <w:rFonts w:ascii="Times New Roman" w:hAnsi="Times New Roman" w:cs="Times New Roman"/>
          <w:sz w:val="24"/>
          <w:szCs w:val="24"/>
        </w:rPr>
        <w:t xml:space="preserve"> </w:t>
      </w:r>
      <w:r w:rsidR="00C438FA" w:rsidRPr="005B09A9">
        <w:rPr>
          <w:rFonts w:ascii="Times New Roman" w:hAnsi="Times New Roman" w:cs="Times New Roman"/>
          <w:sz w:val="24"/>
          <w:szCs w:val="24"/>
        </w:rPr>
        <w:t>articles</w:t>
      </w:r>
      <w:r w:rsidRPr="005B09A9">
        <w:rPr>
          <w:rFonts w:ascii="Times New Roman" w:hAnsi="Times New Roman" w:cs="Times New Roman"/>
          <w:sz w:val="24"/>
          <w:szCs w:val="24"/>
        </w:rPr>
        <w:t>.</w:t>
      </w:r>
    </w:p>
    <w:p w14:paraId="32A93479" w14:textId="48ACE289" w:rsidR="00DB7452" w:rsidRPr="005B09A9" w:rsidRDefault="00520A9B"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Most of the</w:t>
      </w:r>
      <w:r w:rsidR="00D80001" w:rsidRPr="005B09A9">
        <w:rPr>
          <w:rFonts w:ascii="Times New Roman" w:hAnsi="Times New Roman" w:cs="Times New Roman"/>
          <w:sz w:val="24"/>
          <w:szCs w:val="24"/>
        </w:rPr>
        <w:t xml:space="preserve"> rejected</w:t>
      </w:r>
      <w:r w:rsidRPr="005B09A9">
        <w:rPr>
          <w:rFonts w:ascii="Times New Roman" w:hAnsi="Times New Roman" w:cs="Times New Roman"/>
          <w:sz w:val="24"/>
          <w:szCs w:val="24"/>
        </w:rPr>
        <w:t xml:space="preserve"> studies</w:t>
      </w:r>
      <w:r w:rsidR="00D80001" w:rsidRPr="005B09A9">
        <w:rPr>
          <w:rFonts w:ascii="Times New Roman" w:hAnsi="Times New Roman" w:cs="Times New Roman"/>
          <w:sz w:val="24"/>
          <w:szCs w:val="24"/>
        </w:rPr>
        <w:t>,</w:t>
      </w:r>
      <w:r w:rsidRPr="005B09A9">
        <w:rPr>
          <w:rFonts w:ascii="Times New Roman" w:hAnsi="Times New Roman" w:cs="Times New Roman"/>
          <w:sz w:val="24"/>
          <w:szCs w:val="24"/>
        </w:rPr>
        <w:t xml:space="preserve"> especially the cross-sectional studies, did not </w:t>
      </w:r>
      <w:r w:rsidR="00C97D5D" w:rsidRPr="005B09A9">
        <w:rPr>
          <w:rFonts w:ascii="Times New Roman" w:hAnsi="Times New Roman" w:cs="Times New Roman"/>
          <w:sz w:val="24"/>
          <w:szCs w:val="24"/>
        </w:rPr>
        <w:t>identify</w:t>
      </w:r>
      <w:r w:rsidRPr="005B09A9">
        <w:rPr>
          <w:rFonts w:ascii="Times New Roman" w:hAnsi="Times New Roman" w:cs="Times New Roman"/>
          <w:sz w:val="24"/>
          <w:szCs w:val="24"/>
        </w:rPr>
        <w:t xml:space="preserve"> or </w:t>
      </w:r>
      <w:r w:rsidR="003B637D" w:rsidRPr="005B09A9">
        <w:rPr>
          <w:rFonts w:ascii="Times New Roman" w:hAnsi="Times New Roman" w:cs="Times New Roman"/>
          <w:sz w:val="24"/>
          <w:szCs w:val="24"/>
        </w:rPr>
        <w:t xml:space="preserve">did </w:t>
      </w:r>
      <w:r w:rsidRPr="005B09A9">
        <w:rPr>
          <w:rFonts w:ascii="Times New Roman" w:hAnsi="Times New Roman" w:cs="Times New Roman"/>
          <w:sz w:val="24"/>
          <w:szCs w:val="24"/>
        </w:rPr>
        <w:t xml:space="preserve">not look at prognostic factors </w:t>
      </w:r>
      <w:r w:rsidR="00C97D5D" w:rsidRPr="005B09A9">
        <w:rPr>
          <w:rFonts w:ascii="Times New Roman" w:hAnsi="Times New Roman" w:cs="Times New Roman"/>
          <w:sz w:val="24"/>
          <w:szCs w:val="24"/>
        </w:rPr>
        <w:t>(N = 31).</w:t>
      </w:r>
      <w:r w:rsidR="003B637D" w:rsidRPr="005B09A9">
        <w:rPr>
          <w:rFonts w:ascii="Times New Roman" w:hAnsi="Times New Roman" w:cs="Times New Roman"/>
          <w:sz w:val="24"/>
          <w:szCs w:val="24"/>
        </w:rPr>
        <w:t xml:space="preserve"> </w:t>
      </w:r>
      <w:r w:rsidR="00EF1D00" w:rsidRPr="005B09A9">
        <w:rPr>
          <w:rFonts w:ascii="Times New Roman" w:hAnsi="Times New Roman" w:cs="Times New Roman"/>
          <w:sz w:val="24"/>
          <w:szCs w:val="24"/>
        </w:rPr>
        <w:t>Several c</w:t>
      </w:r>
      <w:r w:rsidR="002A7F0C" w:rsidRPr="005B09A9">
        <w:rPr>
          <w:rFonts w:ascii="Times New Roman" w:hAnsi="Times New Roman" w:cs="Times New Roman"/>
          <w:sz w:val="24"/>
          <w:szCs w:val="24"/>
        </w:rPr>
        <w:t>ohorts</w:t>
      </w:r>
      <w:r w:rsidRPr="005B09A9">
        <w:rPr>
          <w:rFonts w:ascii="Times New Roman" w:hAnsi="Times New Roman" w:cs="Times New Roman"/>
          <w:sz w:val="24"/>
          <w:szCs w:val="24"/>
        </w:rPr>
        <w:t xml:space="preserve"> did not </w:t>
      </w:r>
      <w:r w:rsidR="003B637D" w:rsidRPr="005B09A9">
        <w:rPr>
          <w:rFonts w:ascii="Times New Roman" w:hAnsi="Times New Roman" w:cs="Times New Roman"/>
          <w:sz w:val="24"/>
          <w:szCs w:val="24"/>
        </w:rPr>
        <w:t>meet</w:t>
      </w:r>
      <w:r w:rsidRPr="005B09A9">
        <w:rPr>
          <w:rFonts w:ascii="Times New Roman" w:hAnsi="Times New Roman" w:cs="Times New Roman"/>
          <w:sz w:val="24"/>
          <w:szCs w:val="24"/>
        </w:rPr>
        <w:t xml:space="preserve"> our inclusion</w:t>
      </w:r>
      <w:r w:rsidR="005449E3" w:rsidRPr="005B09A9">
        <w:rPr>
          <w:rFonts w:ascii="Times New Roman" w:hAnsi="Times New Roman" w:cs="Times New Roman"/>
          <w:sz w:val="24"/>
          <w:szCs w:val="24"/>
        </w:rPr>
        <w:t>/</w:t>
      </w:r>
      <w:r w:rsidR="00C97D5D" w:rsidRPr="005B09A9">
        <w:rPr>
          <w:rFonts w:ascii="Times New Roman" w:hAnsi="Times New Roman" w:cs="Times New Roman"/>
          <w:sz w:val="24"/>
          <w:szCs w:val="24"/>
        </w:rPr>
        <w:t>exclusion</w:t>
      </w:r>
      <w:r w:rsidRPr="005B09A9">
        <w:rPr>
          <w:rFonts w:ascii="Times New Roman" w:hAnsi="Times New Roman" w:cs="Times New Roman"/>
          <w:sz w:val="24"/>
          <w:szCs w:val="24"/>
        </w:rPr>
        <w:t xml:space="preserve"> criteria (N = 27)</w:t>
      </w:r>
      <w:r w:rsidR="00545437" w:rsidRPr="005B09A9">
        <w:rPr>
          <w:rFonts w:ascii="Times New Roman" w:hAnsi="Times New Roman" w:cs="Times New Roman"/>
          <w:sz w:val="24"/>
          <w:szCs w:val="24"/>
        </w:rPr>
        <w:t xml:space="preserve"> including</w:t>
      </w:r>
      <w:r w:rsidR="00F77EF0" w:rsidRPr="005B09A9">
        <w:rPr>
          <w:rFonts w:ascii="Times New Roman" w:hAnsi="Times New Roman" w:cs="Times New Roman"/>
          <w:sz w:val="24"/>
          <w:szCs w:val="24"/>
        </w:rPr>
        <w:t xml:space="preserve"> either a sample of </w:t>
      </w:r>
      <w:r w:rsidR="00D63A33" w:rsidRPr="005B09A9">
        <w:rPr>
          <w:rFonts w:ascii="Times New Roman" w:hAnsi="Times New Roman" w:cs="Times New Roman"/>
          <w:sz w:val="24"/>
          <w:szCs w:val="24"/>
        </w:rPr>
        <w:t>paediatric</w:t>
      </w:r>
      <w:r w:rsidR="00F77EF0" w:rsidRPr="005B09A9">
        <w:rPr>
          <w:rFonts w:ascii="Times New Roman" w:hAnsi="Times New Roman" w:cs="Times New Roman"/>
          <w:sz w:val="24"/>
          <w:szCs w:val="24"/>
        </w:rPr>
        <w:t xml:space="preserve"> </w:t>
      </w:r>
      <w:r w:rsidR="005E0BEB" w:rsidRPr="005B09A9">
        <w:rPr>
          <w:rFonts w:ascii="Times New Roman" w:hAnsi="Times New Roman" w:cs="Times New Roman"/>
          <w:sz w:val="24"/>
          <w:szCs w:val="24"/>
        </w:rPr>
        <w:t>participants</w:t>
      </w:r>
      <w:r w:rsidR="00F77EF0" w:rsidRPr="005B09A9">
        <w:rPr>
          <w:rFonts w:ascii="Times New Roman" w:hAnsi="Times New Roman" w:cs="Times New Roman"/>
          <w:sz w:val="24"/>
          <w:szCs w:val="24"/>
        </w:rPr>
        <w:t xml:space="preserve">, </w:t>
      </w:r>
      <w:r w:rsidR="0052444F" w:rsidRPr="005B09A9">
        <w:rPr>
          <w:rFonts w:ascii="Times New Roman" w:hAnsi="Times New Roman" w:cs="Times New Roman"/>
          <w:sz w:val="24"/>
          <w:szCs w:val="24"/>
        </w:rPr>
        <w:t xml:space="preserve">post-stroke CRPS or </w:t>
      </w:r>
      <w:r w:rsidR="00C168F4" w:rsidRPr="005B09A9">
        <w:rPr>
          <w:rFonts w:ascii="Times New Roman" w:hAnsi="Times New Roman" w:cs="Times New Roman"/>
          <w:sz w:val="24"/>
          <w:szCs w:val="24"/>
        </w:rPr>
        <w:t>subacute/persistent</w:t>
      </w:r>
      <w:r w:rsidR="00AF2B86" w:rsidRPr="005B09A9">
        <w:rPr>
          <w:rFonts w:ascii="Times New Roman" w:hAnsi="Times New Roman" w:cs="Times New Roman"/>
          <w:sz w:val="24"/>
          <w:szCs w:val="24"/>
        </w:rPr>
        <w:t xml:space="preserve"> CRPS.</w:t>
      </w:r>
    </w:p>
    <w:p w14:paraId="09974326" w14:textId="51CF01DA" w:rsidR="008331E8" w:rsidRPr="005B09A9" w:rsidRDefault="00DB7452" w:rsidP="003B7B2C">
      <w:pPr>
        <w:spacing w:line="480" w:lineRule="auto"/>
        <w:jc w:val="center"/>
        <w:rPr>
          <w:rFonts w:ascii="Times New Roman" w:hAnsi="Times New Roman" w:cs="Times New Roman"/>
        </w:rPr>
      </w:pPr>
      <w:r w:rsidRPr="005B09A9">
        <w:rPr>
          <w:rFonts w:ascii="Times New Roman" w:hAnsi="Times New Roman" w:cs="Times New Roman"/>
          <w:sz w:val="24"/>
          <w:szCs w:val="24"/>
        </w:rPr>
        <w:t>[Insert figure 1.]</w:t>
      </w:r>
    </w:p>
    <w:p w14:paraId="2B3B4CA8" w14:textId="59CF876F" w:rsidR="00836351" w:rsidRPr="005B09A9" w:rsidRDefault="00D216F3" w:rsidP="006F05A7">
      <w:pPr>
        <w:pStyle w:val="Paragraphedeliste"/>
        <w:numPr>
          <w:ilvl w:val="1"/>
          <w:numId w:val="18"/>
        </w:numPr>
        <w:spacing w:line="480" w:lineRule="auto"/>
        <w:rPr>
          <w:rFonts w:ascii="Times New Roman" w:hAnsi="Times New Roman" w:cs="Times New Roman"/>
          <w:i/>
          <w:iCs/>
          <w:sz w:val="24"/>
          <w:szCs w:val="24"/>
          <w:u w:val="single"/>
          <w:lang w:val="en-GB"/>
        </w:rPr>
      </w:pPr>
      <w:r w:rsidRPr="005B09A9">
        <w:rPr>
          <w:rStyle w:val="Accentuationlgre"/>
          <w:rFonts w:ascii="Times New Roman" w:hAnsi="Times New Roman" w:cs="Times New Roman"/>
          <w:b w:val="0"/>
          <w:sz w:val="24"/>
          <w:szCs w:val="24"/>
          <w:lang w:val="en-GB"/>
        </w:rPr>
        <w:t xml:space="preserve"> </w:t>
      </w:r>
      <w:r w:rsidR="003B7B2C" w:rsidRPr="005B09A9">
        <w:rPr>
          <w:rStyle w:val="Accentuationlgre"/>
          <w:rFonts w:ascii="Times New Roman" w:hAnsi="Times New Roman" w:cs="Times New Roman"/>
          <w:b w:val="0"/>
          <w:sz w:val="24"/>
          <w:szCs w:val="24"/>
          <w:lang w:val="en-GB"/>
        </w:rPr>
        <w:t>Study C</w:t>
      </w:r>
      <w:r w:rsidR="00EC5391" w:rsidRPr="005B09A9">
        <w:rPr>
          <w:rStyle w:val="Accentuationlgre"/>
          <w:rFonts w:ascii="Times New Roman" w:hAnsi="Times New Roman" w:cs="Times New Roman"/>
          <w:b w:val="0"/>
          <w:sz w:val="24"/>
          <w:szCs w:val="24"/>
          <w:lang w:val="en-GB"/>
        </w:rPr>
        <w:t>haracteristics</w:t>
      </w:r>
    </w:p>
    <w:p w14:paraId="7EE788F8" w14:textId="7A50BF11" w:rsidR="00E96FFD" w:rsidRPr="005B09A9" w:rsidRDefault="00D26367"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The characteristics</w:t>
      </w:r>
      <w:r w:rsidR="0039283B" w:rsidRPr="005B09A9">
        <w:rPr>
          <w:rFonts w:ascii="Times New Roman" w:hAnsi="Times New Roman" w:cs="Times New Roman"/>
          <w:sz w:val="24"/>
          <w:szCs w:val="24"/>
        </w:rPr>
        <w:t xml:space="preserve"> of the included studies</w:t>
      </w:r>
      <w:r w:rsidRPr="005B09A9">
        <w:rPr>
          <w:rFonts w:ascii="Times New Roman" w:hAnsi="Times New Roman" w:cs="Times New Roman"/>
          <w:sz w:val="24"/>
          <w:szCs w:val="24"/>
        </w:rPr>
        <w:t xml:space="preserve"> </w:t>
      </w:r>
      <w:r w:rsidR="00DD1AE5" w:rsidRPr="005B09A9">
        <w:rPr>
          <w:rFonts w:ascii="Times New Roman" w:hAnsi="Times New Roman" w:cs="Times New Roman"/>
          <w:sz w:val="24"/>
          <w:szCs w:val="24"/>
        </w:rPr>
        <w:t>are</w:t>
      </w:r>
      <w:r w:rsidRPr="005B09A9">
        <w:rPr>
          <w:rFonts w:ascii="Times New Roman" w:hAnsi="Times New Roman" w:cs="Times New Roman"/>
          <w:sz w:val="24"/>
          <w:szCs w:val="24"/>
        </w:rPr>
        <w:t xml:space="preserve"> described in Table </w:t>
      </w:r>
      <w:r w:rsidR="0011337F" w:rsidRPr="005B09A9">
        <w:rPr>
          <w:rFonts w:ascii="Times New Roman" w:hAnsi="Times New Roman" w:cs="Times New Roman"/>
          <w:sz w:val="24"/>
          <w:szCs w:val="24"/>
        </w:rPr>
        <w:t>1</w:t>
      </w:r>
      <w:r w:rsidRPr="005B09A9">
        <w:rPr>
          <w:rFonts w:ascii="Times New Roman" w:hAnsi="Times New Roman" w:cs="Times New Roman"/>
          <w:sz w:val="24"/>
          <w:szCs w:val="24"/>
        </w:rPr>
        <w:t xml:space="preserve">. </w:t>
      </w:r>
      <w:r w:rsidR="00170747" w:rsidRPr="005B09A9">
        <w:rPr>
          <w:rFonts w:ascii="Times New Roman" w:hAnsi="Times New Roman" w:cs="Times New Roman"/>
          <w:sz w:val="24"/>
          <w:szCs w:val="24"/>
        </w:rPr>
        <w:t xml:space="preserve">The total number of participants in this review is 213 and the </w:t>
      </w:r>
      <w:r w:rsidRPr="005B09A9">
        <w:rPr>
          <w:rFonts w:ascii="Times New Roman" w:hAnsi="Times New Roman" w:cs="Times New Roman"/>
          <w:sz w:val="24"/>
          <w:szCs w:val="24"/>
        </w:rPr>
        <w:t>sample size</w:t>
      </w:r>
      <w:r w:rsidR="00466982" w:rsidRPr="005B09A9">
        <w:rPr>
          <w:rFonts w:ascii="Times New Roman" w:hAnsi="Times New Roman" w:cs="Times New Roman"/>
          <w:sz w:val="24"/>
          <w:szCs w:val="24"/>
        </w:rPr>
        <w:t>s</w:t>
      </w:r>
      <w:r w:rsidRPr="005B09A9">
        <w:rPr>
          <w:rFonts w:ascii="Times New Roman" w:hAnsi="Times New Roman" w:cs="Times New Roman"/>
          <w:sz w:val="24"/>
          <w:szCs w:val="24"/>
        </w:rPr>
        <w:t xml:space="preserve"> </w:t>
      </w:r>
      <w:r w:rsidR="0048187E" w:rsidRPr="005B09A9">
        <w:rPr>
          <w:rFonts w:ascii="Times New Roman" w:hAnsi="Times New Roman" w:cs="Times New Roman"/>
          <w:sz w:val="24"/>
          <w:szCs w:val="24"/>
        </w:rPr>
        <w:t>range</w:t>
      </w:r>
      <w:r w:rsidR="009E1237" w:rsidRPr="005B09A9">
        <w:rPr>
          <w:rFonts w:ascii="Times New Roman" w:hAnsi="Times New Roman" w:cs="Times New Roman"/>
          <w:sz w:val="24"/>
          <w:szCs w:val="24"/>
        </w:rPr>
        <w:t>d</w:t>
      </w:r>
      <w:r w:rsidRPr="005B09A9">
        <w:rPr>
          <w:rFonts w:ascii="Times New Roman" w:hAnsi="Times New Roman" w:cs="Times New Roman"/>
          <w:sz w:val="24"/>
          <w:szCs w:val="24"/>
        </w:rPr>
        <w:t xml:space="preserve"> from 16 to 66</w:t>
      </w:r>
      <w:r w:rsidR="0048187E" w:rsidRPr="005B09A9">
        <w:rPr>
          <w:rFonts w:ascii="Times New Roman" w:hAnsi="Times New Roman" w:cs="Times New Roman"/>
          <w:sz w:val="24"/>
          <w:szCs w:val="24"/>
        </w:rPr>
        <w:t xml:space="preserve">. </w:t>
      </w:r>
      <w:r w:rsidR="009B7BC5" w:rsidRPr="005B09A9">
        <w:rPr>
          <w:rFonts w:ascii="Times New Roman" w:hAnsi="Times New Roman" w:cs="Times New Roman"/>
          <w:sz w:val="24"/>
          <w:szCs w:val="24"/>
        </w:rPr>
        <w:t>Two articles related</w:t>
      </w:r>
      <w:r w:rsidR="00965A05" w:rsidRPr="005B09A9">
        <w:rPr>
          <w:rFonts w:ascii="Times New Roman" w:hAnsi="Times New Roman" w:cs="Times New Roman"/>
          <w:sz w:val="24"/>
          <w:szCs w:val="24"/>
        </w:rPr>
        <w:t xml:space="preserve"> to</w:t>
      </w:r>
      <w:r w:rsidR="009B7BC5" w:rsidRPr="005B09A9">
        <w:rPr>
          <w:rFonts w:ascii="Times New Roman" w:hAnsi="Times New Roman" w:cs="Times New Roman"/>
          <w:sz w:val="24"/>
          <w:szCs w:val="24"/>
        </w:rPr>
        <w:t xml:space="preserve"> the same cohort</w:t>
      </w:r>
      <w:r w:rsidR="00C665FC" w:rsidRPr="005B09A9">
        <w:rPr>
          <w:rFonts w:ascii="Times New Roman" w:hAnsi="Times New Roman" w:cs="Times New Roman"/>
          <w:sz w:val="24"/>
          <w:szCs w:val="24"/>
        </w:rPr>
        <w:t xml:space="preserve"> </w:t>
      </w:r>
      <w:r w:rsidR="009B7BC5"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{"citationID":"gZi8qYpG","properties":{"formattedCitation":"(Bean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9B7BC5"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(Bean et al., 2015, 2016b)</w:t>
      </w:r>
      <w:r w:rsidR="009B7BC5" w:rsidRPr="005B09A9">
        <w:rPr>
          <w:rFonts w:ascii="Times New Roman" w:hAnsi="Times New Roman" w:cs="Times New Roman"/>
          <w:sz w:val="24"/>
          <w:szCs w:val="24"/>
        </w:rPr>
        <w:fldChar w:fldCharType="end"/>
      </w:r>
      <w:r w:rsidR="00C665FC" w:rsidRPr="005B09A9">
        <w:rPr>
          <w:rFonts w:ascii="Times New Roman" w:hAnsi="Times New Roman" w:cs="Times New Roman"/>
          <w:sz w:val="24"/>
          <w:szCs w:val="24"/>
        </w:rPr>
        <w:t>.</w:t>
      </w:r>
      <w:r w:rsidR="009B7BC5" w:rsidRPr="005B09A9">
        <w:rPr>
          <w:rFonts w:ascii="Times New Roman" w:hAnsi="Times New Roman" w:cs="Times New Roman"/>
          <w:sz w:val="24"/>
          <w:szCs w:val="24"/>
        </w:rPr>
        <w:t xml:space="preserve"> </w:t>
      </w:r>
      <w:r w:rsidR="0039283B" w:rsidRPr="005B09A9">
        <w:rPr>
          <w:rFonts w:ascii="Times New Roman" w:hAnsi="Times New Roman" w:cs="Times New Roman"/>
          <w:sz w:val="24"/>
          <w:szCs w:val="24"/>
        </w:rPr>
        <w:t>M</w:t>
      </w:r>
      <w:r w:rsidR="0048187E" w:rsidRPr="005B09A9">
        <w:rPr>
          <w:rFonts w:ascii="Times New Roman" w:hAnsi="Times New Roman" w:cs="Times New Roman"/>
          <w:sz w:val="24"/>
          <w:szCs w:val="24"/>
        </w:rPr>
        <w:t xml:space="preserve">ean age </w:t>
      </w:r>
      <w:r w:rsidR="0039283B" w:rsidRPr="005B09A9">
        <w:rPr>
          <w:rFonts w:ascii="Times New Roman" w:hAnsi="Times New Roman" w:cs="Times New Roman"/>
          <w:sz w:val="24"/>
          <w:szCs w:val="24"/>
        </w:rPr>
        <w:t xml:space="preserve">of the </w:t>
      </w:r>
      <w:r w:rsidR="005E0BEB" w:rsidRPr="005B09A9">
        <w:rPr>
          <w:rFonts w:ascii="Times New Roman" w:hAnsi="Times New Roman" w:cs="Times New Roman"/>
          <w:sz w:val="24"/>
          <w:szCs w:val="24"/>
        </w:rPr>
        <w:t>participants</w:t>
      </w:r>
      <w:r w:rsidR="0039283B" w:rsidRPr="005B09A9">
        <w:rPr>
          <w:rFonts w:ascii="Times New Roman" w:hAnsi="Times New Roman" w:cs="Times New Roman"/>
          <w:sz w:val="24"/>
          <w:szCs w:val="24"/>
        </w:rPr>
        <w:t xml:space="preserve"> </w:t>
      </w:r>
      <w:r w:rsidR="00D80001" w:rsidRPr="005B09A9">
        <w:rPr>
          <w:rFonts w:ascii="Times New Roman" w:hAnsi="Times New Roman" w:cs="Times New Roman"/>
          <w:sz w:val="24"/>
          <w:szCs w:val="24"/>
        </w:rPr>
        <w:t>ranged</w:t>
      </w:r>
      <w:r w:rsidR="0048187E" w:rsidRPr="005B09A9">
        <w:rPr>
          <w:rFonts w:ascii="Times New Roman" w:hAnsi="Times New Roman" w:cs="Times New Roman"/>
          <w:sz w:val="24"/>
          <w:szCs w:val="24"/>
        </w:rPr>
        <w:t xml:space="preserve"> from 34 to 5</w:t>
      </w:r>
      <w:r w:rsidR="00F5307B" w:rsidRPr="005B09A9">
        <w:rPr>
          <w:rFonts w:ascii="Times New Roman" w:hAnsi="Times New Roman" w:cs="Times New Roman"/>
          <w:sz w:val="24"/>
          <w:szCs w:val="24"/>
        </w:rPr>
        <w:t>8</w:t>
      </w:r>
      <w:r w:rsidR="0048187E" w:rsidRPr="005B09A9">
        <w:rPr>
          <w:rFonts w:ascii="Times New Roman" w:hAnsi="Times New Roman" w:cs="Times New Roman"/>
          <w:sz w:val="24"/>
          <w:szCs w:val="24"/>
        </w:rPr>
        <w:t xml:space="preserve"> years. All the studies </w:t>
      </w:r>
      <w:r w:rsidR="00720B10" w:rsidRPr="005B09A9">
        <w:rPr>
          <w:rFonts w:ascii="Times New Roman" w:hAnsi="Times New Roman" w:cs="Times New Roman"/>
          <w:sz w:val="24"/>
          <w:szCs w:val="24"/>
        </w:rPr>
        <w:t>include</w:t>
      </w:r>
      <w:r w:rsidR="009E1237" w:rsidRPr="005B09A9">
        <w:rPr>
          <w:rFonts w:ascii="Times New Roman" w:hAnsi="Times New Roman" w:cs="Times New Roman"/>
          <w:sz w:val="24"/>
          <w:szCs w:val="24"/>
        </w:rPr>
        <w:t>d</w:t>
      </w:r>
      <w:r w:rsidR="0048187E" w:rsidRPr="005B09A9">
        <w:rPr>
          <w:rFonts w:ascii="Times New Roman" w:hAnsi="Times New Roman" w:cs="Times New Roman"/>
          <w:sz w:val="24"/>
          <w:szCs w:val="24"/>
        </w:rPr>
        <w:t xml:space="preserve"> </w:t>
      </w:r>
      <w:r w:rsidR="00840335" w:rsidRPr="005B09A9">
        <w:rPr>
          <w:rFonts w:ascii="Times New Roman" w:hAnsi="Times New Roman" w:cs="Times New Roman"/>
          <w:sz w:val="24"/>
          <w:szCs w:val="24"/>
        </w:rPr>
        <w:t xml:space="preserve">type I </w:t>
      </w:r>
      <w:r w:rsidR="0048187E" w:rsidRPr="005B09A9">
        <w:rPr>
          <w:rFonts w:ascii="Times New Roman" w:hAnsi="Times New Roman" w:cs="Times New Roman"/>
          <w:sz w:val="24"/>
          <w:szCs w:val="24"/>
        </w:rPr>
        <w:t xml:space="preserve">CRPS </w:t>
      </w:r>
      <w:r w:rsidR="005E0BEB" w:rsidRPr="005B09A9">
        <w:rPr>
          <w:rFonts w:ascii="Times New Roman" w:hAnsi="Times New Roman" w:cs="Times New Roman"/>
          <w:sz w:val="24"/>
          <w:szCs w:val="24"/>
        </w:rPr>
        <w:t>subjects</w:t>
      </w:r>
      <w:r w:rsidR="00703DEC" w:rsidRPr="005B09A9">
        <w:rPr>
          <w:rFonts w:ascii="Times New Roman" w:hAnsi="Times New Roman" w:cs="Times New Roman"/>
          <w:sz w:val="24"/>
          <w:szCs w:val="24"/>
        </w:rPr>
        <w:t xml:space="preserve"> only</w:t>
      </w:r>
      <w:r w:rsidR="00E74B59" w:rsidRPr="005B09A9">
        <w:rPr>
          <w:rFonts w:ascii="Times New Roman" w:hAnsi="Times New Roman" w:cs="Times New Roman"/>
          <w:sz w:val="24"/>
          <w:szCs w:val="24"/>
        </w:rPr>
        <w:t xml:space="preserve">. </w:t>
      </w:r>
      <w:r w:rsidR="00122249" w:rsidRPr="005B09A9">
        <w:rPr>
          <w:rFonts w:ascii="Times New Roman" w:hAnsi="Times New Roman" w:cs="Times New Roman"/>
          <w:sz w:val="24"/>
          <w:szCs w:val="24"/>
        </w:rPr>
        <w:t xml:space="preserve">Most </w:t>
      </w:r>
      <w:r w:rsidR="005E0BEB" w:rsidRPr="005B09A9">
        <w:rPr>
          <w:rFonts w:ascii="Times New Roman" w:hAnsi="Times New Roman" w:cs="Times New Roman"/>
          <w:sz w:val="24"/>
          <w:szCs w:val="24"/>
        </w:rPr>
        <w:t>participants</w:t>
      </w:r>
      <w:r w:rsidR="0008142E" w:rsidRPr="005B09A9">
        <w:rPr>
          <w:rFonts w:ascii="Times New Roman" w:hAnsi="Times New Roman" w:cs="Times New Roman"/>
          <w:sz w:val="24"/>
          <w:szCs w:val="24"/>
        </w:rPr>
        <w:t xml:space="preserve"> (85.9%)</w:t>
      </w:r>
      <w:r w:rsidR="00122249" w:rsidRPr="005B09A9">
        <w:rPr>
          <w:rFonts w:ascii="Times New Roman" w:hAnsi="Times New Roman" w:cs="Times New Roman"/>
          <w:sz w:val="24"/>
          <w:szCs w:val="24"/>
        </w:rPr>
        <w:t xml:space="preserve"> </w:t>
      </w:r>
      <w:r w:rsidR="00EC07A5" w:rsidRPr="005B09A9">
        <w:rPr>
          <w:rFonts w:ascii="Times New Roman" w:hAnsi="Times New Roman" w:cs="Times New Roman"/>
          <w:sz w:val="24"/>
          <w:szCs w:val="24"/>
        </w:rPr>
        <w:t xml:space="preserve">had </w:t>
      </w:r>
      <w:r w:rsidR="0048187E" w:rsidRPr="005B09A9">
        <w:rPr>
          <w:rFonts w:ascii="Times New Roman" w:hAnsi="Times New Roman" w:cs="Times New Roman"/>
          <w:sz w:val="24"/>
          <w:szCs w:val="24"/>
        </w:rPr>
        <w:t>upper extremity CRPS</w:t>
      </w:r>
      <w:r w:rsidR="00122249" w:rsidRPr="005B09A9">
        <w:rPr>
          <w:rFonts w:ascii="Times New Roman" w:hAnsi="Times New Roman" w:cs="Times New Roman"/>
          <w:sz w:val="24"/>
          <w:szCs w:val="24"/>
        </w:rPr>
        <w:t xml:space="preserve">, </w:t>
      </w:r>
      <w:r w:rsidR="00454887" w:rsidRPr="005B09A9">
        <w:rPr>
          <w:rFonts w:ascii="Times New Roman" w:hAnsi="Times New Roman" w:cs="Times New Roman"/>
          <w:sz w:val="24"/>
          <w:szCs w:val="24"/>
        </w:rPr>
        <w:t>with 2</w:t>
      </w:r>
      <w:r w:rsidR="002650D3" w:rsidRPr="005B09A9">
        <w:rPr>
          <w:rFonts w:ascii="Times New Roman" w:hAnsi="Times New Roman" w:cs="Times New Roman"/>
          <w:sz w:val="24"/>
          <w:szCs w:val="24"/>
        </w:rPr>
        <w:t xml:space="preserve"> </w:t>
      </w:r>
      <w:r w:rsidR="00EF1D00" w:rsidRPr="005B09A9">
        <w:rPr>
          <w:rFonts w:ascii="Times New Roman" w:hAnsi="Times New Roman" w:cs="Times New Roman"/>
          <w:sz w:val="24"/>
          <w:szCs w:val="24"/>
        </w:rPr>
        <w:t>articles</w:t>
      </w:r>
      <w:r w:rsidR="002650D3" w:rsidRPr="005B09A9">
        <w:rPr>
          <w:rFonts w:ascii="Times New Roman" w:hAnsi="Times New Roman" w:cs="Times New Roman"/>
          <w:sz w:val="24"/>
          <w:szCs w:val="24"/>
        </w:rPr>
        <w:t xml:space="preserve"> </w:t>
      </w:r>
      <w:r w:rsidR="009E1237" w:rsidRPr="005B09A9">
        <w:rPr>
          <w:rFonts w:ascii="Times New Roman" w:hAnsi="Times New Roman" w:cs="Times New Roman"/>
          <w:sz w:val="24"/>
          <w:szCs w:val="24"/>
        </w:rPr>
        <w:t xml:space="preserve">having </w:t>
      </w:r>
      <w:r w:rsidR="002650D3" w:rsidRPr="005B09A9">
        <w:rPr>
          <w:rFonts w:ascii="Times New Roman" w:hAnsi="Times New Roman" w:cs="Times New Roman"/>
          <w:sz w:val="24"/>
          <w:szCs w:val="24"/>
        </w:rPr>
        <w:t>only inclu</w:t>
      </w:r>
      <w:r w:rsidR="009E1237" w:rsidRPr="005B09A9">
        <w:rPr>
          <w:rFonts w:ascii="Times New Roman" w:hAnsi="Times New Roman" w:cs="Times New Roman"/>
          <w:sz w:val="24"/>
          <w:szCs w:val="24"/>
        </w:rPr>
        <w:t>ded</w:t>
      </w:r>
      <w:r w:rsidR="00D82B05" w:rsidRPr="005B09A9">
        <w:rPr>
          <w:rFonts w:ascii="Times New Roman" w:hAnsi="Times New Roman" w:cs="Times New Roman"/>
          <w:sz w:val="24"/>
          <w:szCs w:val="24"/>
        </w:rPr>
        <w:t xml:space="preserve"> distal radius fracture</w:t>
      </w:r>
      <w:r w:rsidR="00720B10" w:rsidRPr="005B09A9">
        <w:rPr>
          <w:rFonts w:ascii="Times New Roman" w:hAnsi="Times New Roman" w:cs="Times New Roman"/>
          <w:sz w:val="24"/>
          <w:szCs w:val="24"/>
        </w:rPr>
        <w:t>s (DRF)</w:t>
      </w:r>
      <w:r w:rsidR="00D82B05" w:rsidRPr="005B09A9">
        <w:rPr>
          <w:rFonts w:ascii="Times New Roman" w:hAnsi="Times New Roman" w:cs="Times New Roman"/>
          <w:sz w:val="24"/>
          <w:szCs w:val="24"/>
        </w:rPr>
        <w:t xml:space="preserve"> (n = 84)</w:t>
      </w:r>
      <w:r w:rsidR="002B2B1E" w:rsidRPr="005B09A9">
        <w:rPr>
          <w:rFonts w:ascii="Times New Roman" w:hAnsi="Times New Roman" w:cs="Times New Roman"/>
          <w:sz w:val="24"/>
          <w:szCs w:val="24"/>
        </w:rPr>
        <w:t xml:space="preserve">. </w:t>
      </w:r>
      <w:r w:rsidR="00E15F7A" w:rsidRPr="005B09A9">
        <w:rPr>
          <w:rFonts w:ascii="Times New Roman" w:hAnsi="Times New Roman" w:cs="Times New Roman"/>
          <w:sz w:val="24"/>
          <w:szCs w:val="24"/>
        </w:rPr>
        <w:t>D</w:t>
      </w:r>
      <w:r w:rsidR="002B2B1E" w:rsidRPr="005B09A9">
        <w:rPr>
          <w:rFonts w:ascii="Times New Roman" w:hAnsi="Times New Roman" w:cs="Times New Roman"/>
          <w:sz w:val="24"/>
          <w:szCs w:val="24"/>
        </w:rPr>
        <w:t>iagnosis</w:t>
      </w:r>
      <w:r w:rsidR="0048187E" w:rsidRPr="005B09A9">
        <w:rPr>
          <w:rFonts w:ascii="Times New Roman" w:hAnsi="Times New Roman" w:cs="Times New Roman"/>
          <w:sz w:val="24"/>
          <w:szCs w:val="24"/>
        </w:rPr>
        <w:t xml:space="preserve"> </w:t>
      </w:r>
      <w:r w:rsidR="009E1237" w:rsidRPr="005B09A9">
        <w:rPr>
          <w:rFonts w:ascii="Times New Roman" w:hAnsi="Times New Roman" w:cs="Times New Roman"/>
          <w:sz w:val="24"/>
          <w:szCs w:val="24"/>
        </w:rPr>
        <w:t xml:space="preserve">was based on </w:t>
      </w:r>
      <w:r w:rsidR="00245B8D" w:rsidRPr="005B09A9">
        <w:rPr>
          <w:rFonts w:ascii="Times New Roman" w:hAnsi="Times New Roman" w:cs="Times New Roman"/>
          <w:sz w:val="24"/>
          <w:szCs w:val="24"/>
        </w:rPr>
        <w:t>one of the following criteria:</w:t>
      </w:r>
      <w:r w:rsidR="009E1237" w:rsidRPr="005B09A9">
        <w:rPr>
          <w:rFonts w:ascii="Times New Roman" w:hAnsi="Times New Roman" w:cs="Times New Roman"/>
          <w:sz w:val="24"/>
          <w:szCs w:val="24"/>
        </w:rPr>
        <w:t xml:space="preserve"> </w:t>
      </w:r>
      <w:r w:rsidR="0048187E" w:rsidRPr="005B09A9">
        <w:rPr>
          <w:rFonts w:ascii="Times New Roman" w:hAnsi="Times New Roman" w:cs="Times New Roman"/>
          <w:sz w:val="24"/>
          <w:szCs w:val="24"/>
        </w:rPr>
        <w:t>Veldman</w:t>
      </w:r>
      <w:r w:rsidR="007B3BE2"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{"citationID":"8omm5cix","properties":{"formattedCitation":"(Veldman et al., 1993)","plainCitation":"(Veldman et al., 1993)","noteIndex":0},"citationItems":[{"id":589,"uris":["http://zotero.org/users/8777725/items/JSY8KUZ9"],"itemData":{"id":589,"type":"article-journal","abstract":"The pathogenesis of reflex sympathetic dystrophy--variously known as Sudeck's atrophy, causalgia, algodystrophy, and peripheral trophoneurosis--is not yet understood, and diagnosing and treating patients is difficult. We have prospectively studied 829 patients, paying particular attention to early signs and symptoms. In its early phase, reflex sympathetic dystrophy is characterised by regional inflammation, which increases after muscular exercise. Pain was present in 93% of patients, and hypoaesthesia and hyperpathy were present in 69% and 75% respectively. With time, tissue atrophy may occur as well as involuntary movements, muscle spasms, or pseudoparalysis. Tremor was found in 49% and muscular incoordination in 54% of patients. Sympathetic signs such as hyperhidrosis are infrequent and therefore have no diagnostic value. We found no evidence consistent with the presence of three consecutive phases of the disease. Early symptoms are those of an inflammatory reaction and not of a disturbance of the sympathetic nervous system. These data support the concept of an exaggerated regional inflammatory response to injury or operation in reflex sympathetic dystrophy.","container-title":"Lancet (London, England)","DOI":"10.1016/0140-6736(93)92877-v","ISSN":"0140-6736","issue":"8878","journalAbbreviation":"Lancet","language":"eng","note":"PMID: 8105263","page":"1012-1016","source":"PubMed","title":"Signs and symptoms of reflex sympathetic dystrophy: prospective study of 829 patients","title-short":"Signs and symptoms of reflex sympathetic dystrophy","volume":"342","author":[{"family":"Veldman","given":"P. H."},{"family":"Reynen","given":"H. M."},{"family":"Arntz","given":"I. E."},{"family":"Goris","given":"R. J."}],"issued":{"date-parts":[["1993",10,23]]}}}],"schema":"https://github.com/citation-style-language/schema/raw/master/csl-citation.json"} </w:instrText>
      </w:r>
      <w:r w:rsidR="00E74B5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(Veldman et al., 1993)</w:t>
      </w:r>
      <w:r w:rsidR="00E74B59" w:rsidRPr="005B09A9">
        <w:rPr>
          <w:rFonts w:ascii="Times New Roman" w:hAnsi="Times New Roman" w:cs="Times New Roman"/>
          <w:sz w:val="24"/>
          <w:szCs w:val="24"/>
        </w:rPr>
        <w:fldChar w:fldCharType="end"/>
      </w:r>
      <w:r w:rsidR="0048187E"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t>(N = 2)</w:t>
      </w:r>
      <w:r w:rsidR="009E1237"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t>1994</w:t>
      </w:r>
      <w:r w:rsidR="00552E63" w:rsidRPr="005B09A9">
        <w:rPr>
          <w:rFonts w:ascii="Times New Roman" w:hAnsi="Times New Roman" w:cs="Times New Roman"/>
          <w:sz w:val="24"/>
          <w:szCs w:val="24"/>
        </w:rPr>
        <w:t xml:space="preserve"> IASP</w:t>
      </w:r>
      <w:r w:rsidR="00C665FC"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{"citationID":"m28TIJ8o","properties":{"formattedCitation":"(Merskey and Bogduk, 1994)","plainCitation":"(Merskey and Bogduk, 1994)","noteIndex":0},"citationItems":[{"id":1275,"uris":["http://zotero.org/users/8777725/items/MPTMN3SW"],"itemData":{"id":1275,"type":"book","edition":"2nd Edition","event-place":"Seattle","publisher":"IASP Press","publisher-place":"Seattle","title":"Classification of Chronic Pain.","author":[{"family":"Merskey","given":"H"},{"family":"Bogduk","given":"N"}],"issued":{"date-parts":[["1994"]]}}}],"schema":"https://github.com/citation-style-language/schema/raw/master/csl-citation.json"} </w:instrText>
      </w:r>
      <w:r w:rsidR="00E74B5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(Merskey and Bogduk, 1994)</w:t>
      </w:r>
      <w:r w:rsidR="00E74B59" w:rsidRPr="005B09A9">
        <w:rPr>
          <w:rFonts w:ascii="Times New Roman" w:hAnsi="Times New Roman" w:cs="Times New Roman"/>
          <w:sz w:val="24"/>
          <w:szCs w:val="24"/>
        </w:rPr>
        <w:fldChar w:fldCharType="end"/>
      </w:r>
      <w:r w:rsidR="00E74B59" w:rsidRPr="005B09A9">
        <w:rPr>
          <w:rFonts w:ascii="Times New Roman" w:hAnsi="Times New Roman" w:cs="Times New Roman"/>
          <w:sz w:val="24"/>
          <w:szCs w:val="24"/>
        </w:rPr>
        <w:t xml:space="preserve"> (N = 2), Budapest research</w:t>
      </w:r>
      <w:r w:rsidR="007B3BE2"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{"citationID":"Oxnti4LM","properties":{"formattedCitation":"(Harden et al., 2010a)","plainCitation":"(Harden et al., 2010a)","noteIndex":0},"citationItems":[{"id":1171,"uris":["http://zotero.org/users/8777725/items/VKWYR6HT"],"itemData":{"id":1171,"type":"article-journal","abstract":"Current IASP diagnostic criteria for CRPS have low specificity, potentially leading to overdiagnosis. This validation study compared current IASP diagnostic criteria for CRPS to proposed new diagnostic criteria (the \"Budapest Criteria\") regarding diagnostic accuracy. Structured evaluations of CRPS-related signs and symptoms were conducted in 113 CRPS-I and 47 non-CRPS neuropathic pain patients. Discriminating between diagnostic groups based on presence of signs or symptoms meeting IASP criteria showed high diagnostic sensitivity (1.00), but poor specificity (0.41), replicating prior work. In comparison, the Budapest clinical criteria retained the exceptional sensitivity of the IASP criteria (0.99), but greatly improved upon the specificity (0.68). As designed, the Budapest research criteria resulted in the highest specificity (0.79), again replicating prior work. Analyses indicated that inclusion of four distinct CRPS components in the Budapest Criteria contributed to enhanced specificity. Overall, results corroborate the validity of the Budapest Criteria and suggest they improve upon existing IASP diagnostic criteria for CRPS.","container-title":"Pain","DOI":"10.1016/j.pain.2010.04.030","ISSN":"1872-6623","issue":"2","journalAbbreviation":"Pain","language":"eng","note":"PMID: 20493633\nPMCID: PMC2914601","page":"268-274","source":"PubMed","title":"Validation of proposed diagnostic criteria (the \"Budapest Criteria\") for Complex Regional Pain Syndrome","volume":"150","author":[{"family":"Harden","given":"Norman R."},{"family":"Bruehl","given":"Stephen"},{"family":"Perez","given":"Roberto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Chont","given":"Melissa"},{"family":"Vatine","given":"Jean-Jacques"}],"issued":{"date-parts":[["2010",8]]}}}],"schema":"https://github.com/citation-style-language/schema/raw/master/csl-citation.json"} </w:instrText>
      </w:r>
      <w:r w:rsidR="00E74B5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(Harden et al., 2010a)</w:t>
      </w:r>
      <w:r w:rsidR="00E74B59" w:rsidRPr="005B09A9">
        <w:rPr>
          <w:rFonts w:ascii="Times New Roman" w:hAnsi="Times New Roman" w:cs="Times New Roman"/>
          <w:sz w:val="24"/>
          <w:szCs w:val="24"/>
        </w:rPr>
        <w:fldChar w:fldCharType="end"/>
      </w:r>
      <w:r w:rsidR="00E74B59" w:rsidRPr="005B09A9">
        <w:rPr>
          <w:rFonts w:ascii="Times New Roman" w:hAnsi="Times New Roman" w:cs="Times New Roman"/>
          <w:sz w:val="24"/>
          <w:szCs w:val="24"/>
        </w:rPr>
        <w:t xml:space="preserve"> (N = 1) </w:t>
      </w:r>
      <w:r w:rsidR="009E1237" w:rsidRPr="005B09A9">
        <w:rPr>
          <w:rFonts w:ascii="Times New Roman" w:hAnsi="Times New Roman" w:cs="Times New Roman"/>
          <w:sz w:val="24"/>
          <w:szCs w:val="24"/>
        </w:rPr>
        <w:t xml:space="preserve">or </w:t>
      </w:r>
      <w:r w:rsidR="002F7AFD" w:rsidRPr="005B09A9">
        <w:rPr>
          <w:rFonts w:ascii="Times New Roman" w:hAnsi="Times New Roman" w:cs="Times New Roman"/>
          <w:sz w:val="24"/>
          <w:szCs w:val="24"/>
        </w:rPr>
        <w:t xml:space="preserve">on </w:t>
      </w:r>
      <w:r w:rsidR="00DC5813" w:rsidRPr="005B09A9">
        <w:rPr>
          <w:rFonts w:ascii="Times New Roman" w:hAnsi="Times New Roman" w:cs="Times New Roman"/>
          <w:sz w:val="24"/>
          <w:szCs w:val="24"/>
        </w:rPr>
        <w:t>non-validated clinical</w:t>
      </w:r>
      <w:r w:rsidR="00E74B59" w:rsidRPr="005B09A9">
        <w:rPr>
          <w:rFonts w:ascii="Times New Roman" w:hAnsi="Times New Roman" w:cs="Times New Roman"/>
          <w:sz w:val="24"/>
          <w:szCs w:val="24"/>
        </w:rPr>
        <w:t xml:space="preserve"> criteria</w:t>
      </w:r>
      <w:r w:rsidR="007B3BE2" w:rsidRPr="005B09A9">
        <w:rPr>
          <w:rFonts w:ascii="Times New Roman" w:hAnsi="Times New Roman" w:cs="Times New Roman"/>
          <w:sz w:val="24"/>
          <w:szCs w:val="24"/>
        </w:rPr>
        <w:t xml:space="preserve"> </w:t>
      </w:r>
      <w:r w:rsidR="00E74B59"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{"citationID":"SbYh0L33","properties":{"formattedCitation":"(Laulan et al., 1997)","plainCitation":"(Laulan et al., 1997)","noteIndex":0},"citationItems":[{"id":441,"uris":["http://zotero.org/users/8777725/items/EQG2M7E9"],"itemData":{"id":441,"type":"article-journal","abstract":"A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schema":"https://github.com/citation-style-language/schema/raw/master/csl-citation.json"} </w:instrText>
      </w:r>
      <w:r w:rsidR="00E74B59"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(Laulan et al., 1997)</w:t>
      </w:r>
      <w:r w:rsidR="00E74B59" w:rsidRPr="005B09A9">
        <w:rPr>
          <w:rFonts w:ascii="Times New Roman" w:hAnsi="Times New Roman" w:cs="Times New Roman"/>
          <w:sz w:val="24"/>
          <w:szCs w:val="24"/>
        </w:rPr>
        <w:fldChar w:fldCharType="end"/>
      </w:r>
      <w:r w:rsidR="008E5A7D" w:rsidRPr="005B09A9">
        <w:rPr>
          <w:rFonts w:ascii="Times New Roman" w:hAnsi="Times New Roman" w:cs="Times New Roman"/>
          <w:sz w:val="24"/>
          <w:szCs w:val="24"/>
        </w:rPr>
        <w:t xml:space="preserve"> (N = 1)</w:t>
      </w:r>
      <w:r w:rsidR="00E74B59" w:rsidRPr="005B09A9">
        <w:rPr>
          <w:rFonts w:ascii="Times New Roman" w:hAnsi="Times New Roman" w:cs="Times New Roman"/>
          <w:sz w:val="24"/>
          <w:szCs w:val="24"/>
        </w:rPr>
        <w:t>.</w:t>
      </w:r>
      <w:r w:rsidR="0057486C" w:rsidRPr="005B09A9">
        <w:rPr>
          <w:rFonts w:ascii="Times New Roman" w:hAnsi="Times New Roman" w:cs="Times New Roman"/>
          <w:bCs/>
          <w:sz w:val="24"/>
          <w:szCs w:val="24"/>
        </w:rPr>
        <w:t xml:space="preserve"> It should be noted that 89% of Bean’s cohort</w:t>
      </w:r>
      <w:r w:rsidR="007B3BE2" w:rsidRPr="005B09A9">
        <w:rPr>
          <w:rFonts w:ascii="Times New Roman" w:hAnsi="Times New Roman" w:cs="Times New Roman"/>
          <w:bCs/>
          <w:sz w:val="24"/>
          <w:szCs w:val="24"/>
        </w:rPr>
        <w:t xml:space="preserve"> </w:t>
      </w:r>
      <w:r w:rsidR="0057486C" w:rsidRPr="005B09A9">
        <w:rPr>
          <w:rFonts w:ascii="Times New Roman" w:hAnsi="Times New Roman" w:cs="Times New Roman"/>
          <w:bCs/>
          <w:sz w:val="24"/>
          <w:szCs w:val="24"/>
        </w:rPr>
        <w:fldChar w:fldCharType="begin"/>
      </w:r>
      <w:r w:rsidR="00C00CEA" w:rsidRPr="005B09A9">
        <w:rPr>
          <w:rFonts w:ascii="Times New Roman" w:hAnsi="Times New Roman" w:cs="Times New Roman"/>
          <w:bCs/>
          <w:sz w:val="24"/>
          <w:szCs w:val="24"/>
        </w:rPr>
        <w:instrText xml:space="preserve"> ADDIN ZOTERO_ITEM CSL_CITATION {"citationID":"oMr69syJ","properties":{"formattedCitation":"(Bean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57486C" w:rsidRPr="005B09A9">
        <w:rPr>
          <w:rFonts w:ascii="Times New Roman" w:hAnsi="Times New Roman" w:cs="Times New Roman"/>
          <w:bCs/>
          <w:sz w:val="24"/>
          <w:szCs w:val="24"/>
        </w:rPr>
        <w:fldChar w:fldCharType="separate"/>
      </w:r>
      <w:r w:rsidR="00C00CEA" w:rsidRPr="005B09A9">
        <w:rPr>
          <w:rFonts w:ascii="Times New Roman" w:hAnsi="Times New Roman" w:cs="Times New Roman"/>
          <w:sz w:val="24"/>
        </w:rPr>
        <w:t>(Bean et al., 2015, 2016b)</w:t>
      </w:r>
      <w:r w:rsidR="0057486C" w:rsidRPr="005B09A9">
        <w:rPr>
          <w:rFonts w:ascii="Times New Roman" w:hAnsi="Times New Roman" w:cs="Times New Roman"/>
          <w:bCs/>
          <w:sz w:val="24"/>
          <w:szCs w:val="24"/>
        </w:rPr>
        <w:fldChar w:fldCharType="end"/>
      </w:r>
      <w:r w:rsidR="0057486C" w:rsidRPr="005B09A9">
        <w:rPr>
          <w:rFonts w:ascii="Times New Roman" w:hAnsi="Times New Roman" w:cs="Times New Roman"/>
          <w:bCs/>
          <w:sz w:val="24"/>
          <w:szCs w:val="24"/>
        </w:rPr>
        <w:t xml:space="preserve"> </w:t>
      </w:r>
      <w:r w:rsidR="00C677BD" w:rsidRPr="005B09A9">
        <w:rPr>
          <w:rFonts w:ascii="Times New Roman" w:hAnsi="Times New Roman" w:cs="Times New Roman"/>
          <w:bCs/>
          <w:sz w:val="24"/>
          <w:szCs w:val="24"/>
        </w:rPr>
        <w:t xml:space="preserve">met the </w:t>
      </w:r>
      <w:r w:rsidR="007B3BE2" w:rsidRPr="005B09A9">
        <w:rPr>
          <w:rFonts w:ascii="Times New Roman" w:hAnsi="Times New Roman" w:cs="Times New Roman"/>
          <w:bCs/>
          <w:sz w:val="24"/>
          <w:szCs w:val="24"/>
        </w:rPr>
        <w:t>clinical Budapest criteria.</w:t>
      </w:r>
      <w:r w:rsidR="0057486C" w:rsidRPr="005B09A9">
        <w:rPr>
          <w:rFonts w:ascii="Times New Roman" w:hAnsi="Times New Roman" w:cs="Times New Roman"/>
          <w:bCs/>
          <w:sz w:val="24"/>
          <w:szCs w:val="24"/>
        </w:rPr>
        <w:t xml:space="preserve"> </w:t>
      </w:r>
      <w:r w:rsidR="00122249" w:rsidRPr="005B09A9">
        <w:rPr>
          <w:rFonts w:ascii="Times New Roman" w:hAnsi="Times New Roman" w:cs="Times New Roman"/>
          <w:sz w:val="24"/>
          <w:szCs w:val="24"/>
        </w:rPr>
        <w:t xml:space="preserve">In the </w:t>
      </w:r>
      <w:r w:rsidR="006D6861" w:rsidRPr="005B09A9">
        <w:rPr>
          <w:rFonts w:ascii="Times New Roman" w:hAnsi="Times New Roman" w:cs="Times New Roman"/>
          <w:sz w:val="24"/>
          <w:szCs w:val="24"/>
        </w:rPr>
        <w:t xml:space="preserve">prospective studies, the mean CRPS duration </w:t>
      </w:r>
      <w:r w:rsidR="00C97D5D" w:rsidRPr="005B09A9">
        <w:rPr>
          <w:rFonts w:ascii="Times New Roman" w:hAnsi="Times New Roman" w:cs="Times New Roman"/>
          <w:sz w:val="24"/>
          <w:szCs w:val="24"/>
        </w:rPr>
        <w:t xml:space="preserve">at follow-up </w:t>
      </w:r>
      <w:r w:rsidR="009E1237" w:rsidRPr="005B09A9">
        <w:rPr>
          <w:rFonts w:ascii="Times New Roman" w:hAnsi="Times New Roman" w:cs="Times New Roman"/>
          <w:sz w:val="24"/>
          <w:szCs w:val="24"/>
        </w:rPr>
        <w:lastRenderedPageBreak/>
        <w:t xml:space="preserve">was </w:t>
      </w:r>
      <w:r w:rsidR="00C97D5D" w:rsidRPr="005B09A9">
        <w:rPr>
          <w:rFonts w:ascii="Times New Roman" w:hAnsi="Times New Roman" w:cs="Times New Roman"/>
          <w:sz w:val="24"/>
          <w:szCs w:val="24"/>
        </w:rPr>
        <w:t xml:space="preserve">12 </w:t>
      </w:r>
      <w:r w:rsidR="00AF2B86" w:rsidRPr="005B09A9">
        <w:rPr>
          <w:rFonts w:ascii="Times New Roman" w:hAnsi="Times New Roman" w:cs="Times New Roman"/>
          <w:sz w:val="24"/>
          <w:szCs w:val="24"/>
        </w:rPr>
        <w:t xml:space="preserve">(N = 3) </w:t>
      </w:r>
      <w:r w:rsidR="00C97D5D" w:rsidRPr="005B09A9">
        <w:rPr>
          <w:rFonts w:ascii="Times New Roman" w:hAnsi="Times New Roman" w:cs="Times New Roman"/>
          <w:sz w:val="24"/>
          <w:szCs w:val="24"/>
        </w:rPr>
        <w:t>or 18 months</w:t>
      </w:r>
      <w:r w:rsidR="00AF2B86" w:rsidRPr="005B09A9">
        <w:rPr>
          <w:rFonts w:ascii="Times New Roman" w:hAnsi="Times New Roman" w:cs="Times New Roman"/>
          <w:sz w:val="24"/>
          <w:szCs w:val="24"/>
        </w:rPr>
        <w:t xml:space="preserve"> (N = </w:t>
      </w:r>
      <w:r w:rsidR="00F5307B" w:rsidRPr="005B09A9">
        <w:rPr>
          <w:rFonts w:ascii="Times New Roman" w:hAnsi="Times New Roman" w:cs="Times New Roman"/>
          <w:sz w:val="24"/>
          <w:szCs w:val="24"/>
        </w:rPr>
        <w:t>1)</w:t>
      </w:r>
      <w:r w:rsidR="00C97D5D" w:rsidRPr="005B09A9">
        <w:rPr>
          <w:rFonts w:ascii="Times New Roman" w:hAnsi="Times New Roman" w:cs="Times New Roman"/>
          <w:sz w:val="24"/>
          <w:szCs w:val="24"/>
        </w:rPr>
        <w:t xml:space="preserve">. </w:t>
      </w:r>
      <w:r w:rsidR="00D82B05" w:rsidRPr="005B09A9">
        <w:rPr>
          <w:rFonts w:ascii="Times New Roman" w:hAnsi="Times New Roman" w:cs="Times New Roman"/>
          <w:sz w:val="24"/>
          <w:szCs w:val="24"/>
        </w:rPr>
        <w:t xml:space="preserve">The outcomes </w:t>
      </w:r>
      <w:r w:rsidR="009E1237" w:rsidRPr="005B09A9">
        <w:rPr>
          <w:rFonts w:ascii="Times New Roman" w:hAnsi="Times New Roman" w:cs="Times New Roman"/>
          <w:sz w:val="24"/>
          <w:szCs w:val="24"/>
        </w:rPr>
        <w:t xml:space="preserve">were </w:t>
      </w:r>
      <w:r w:rsidR="00D82B05" w:rsidRPr="005B09A9">
        <w:rPr>
          <w:rFonts w:ascii="Times New Roman" w:hAnsi="Times New Roman" w:cs="Times New Roman"/>
          <w:sz w:val="24"/>
          <w:szCs w:val="24"/>
        </w:rPr>
        <w:t xml:space="preserve">related </w:t>
      </w:r>
      <w:r w:rsidR="00720B10" w:rsidRPr="005B09A9">
        <w:rPr>
          <w:rFonts w:ascii="Times New Roman" w:hAnsi="Times New Roman" w:cs="Times New Roman"/>
          <w:sz w:val="24"/>
          <w:szCs w:val="24"/>
        </w:rPr>
        <w:t xml:space="preserve">to </w:t>
      </w:r>
      <w:r w:rsidR="008F0A0B" w:rsidRPr="005B09A9">
        <w:rPr>
          <w:rFonts w:ascii="Times New Roman" w:hAnsi="Times New Roman" w:cs="Times New Roman"/>
          <w:sz w:val="24"/>
          <w:szCs w:val="24"/>
        </w:rPr>
        <w:t>professional status</w:t>
      </w:r>
      <w:r w:rsidR="00552E63" w:rsidRPr="005B09A9">
        <w:rPr>
          <w:rFonts w:ascii="Times New Roman" w:hAnsi="Times New Roman" w:cs="Times New Roman"/>
          <w:sz w:val="24"/>
          <w:szCs w:val="24"/>
        </w:rPr>
        <w:t xml:space="preserve"> (N = 3)</w:t>
      </w:r>
      <w:r w:rsidR="00720B10" w:rsidRPr="005B09A9">
        <w:rPr>
          <w:rFonts w:ascii="Times New Roman" w:hAnsi="Times New Roman" w:cs="Times New Roman"/>
          <w:sz w:val="24"/>
          <w:szCs w:val="24"/>
        </w:rPr>
        <w:t>,</w:t>
      </w:r>
      <w:r w:rsidR="00552E63" w:rsidRPr="005B09A9">
        <w:rPr>
          <w:rFonts w:ascii="Times New Roman" w:hAnsi="Times New Roman" w:cs="Times New Roman"/>
          <w:sz w:val="24"/>
          <w:szCs w:val="24"/>
        </w:rPr>
        <w:t xml:space="preserve"> </w:t>
      </w:r>
      <w:r w:rsidR="008F0A0B" w:rsidRPr="005B09A9">
        <w:rPr>
          <w:rFonts w:ascii="Times New Roman" w:hAnsi="Times New Roman" w:cs="Times New Roman"/>
          <w:sz w:val="24"/>
          <w:szCs w:val="24"/>
        </w:rPr>
        <w:t>CRPS status</w:t>
      </w:r>
      <w:r w:rsidR="00D82B05" w:rsidRPr="005B09A9">
        <w:rPr>
          <w:rFonts w:ascii="Times New Roman" w:hAnsi="Times New Roman" w:cs="Times New Roman"/>
          <w:sz w:val="24"/>
          <w:szCs w:val="24"/>
        </w:rPr>
        <w:t xml:space="preserve"> (N = 3), </w:t>
      </w:r>
      <w:r w:rsidR="00720B10" w:rsidRPr="005B09A9">
        <w:rPr>
          <w:rFonts w:ascii="Times New Roman" w:hAnsi="Times New Roman" w:cs="Times New Roman"/>
          <w:sz w:val="24"/>
          <w:szCs w:val="24"/>
        </w:rPr>
        <w:t>disability (N = 2)</w:t>
      </w:r>
      <w:r w:rsidR="00D82B05" w:rsidRPr="005B09A9">
        <w:rPr>
          <w:rFonts w:ascii="Times New Roman" w:hAnsi="Times New Roman" w:cs="Times New Roman"/>
          <w:sz w:val="24"/>
          <w:szCs w:val="24"/>
        </w:rPr>
        <w:t xml:space="preserve"> </w:t>
      </w:r>
      <w:r w:rsidR="00720B10" w:rsidRPr="005B09A9">
        <w:rPr>
          <w:rFonts w:ascii="Times New Roman" w:hAnsi="Times New Roman" w:cs="Times New Roman"/>
          <w:sz w:val="24"/>
          <w:szCs w:val="24"/>
        </w:rPr>
        <w:t xml:space="preserve">or </w:t>
      </w:r>
      <w:r w:rsidR="00D82B05" w:rsidRPr="005B09A9">
        <w:rPr>
          <w:rFonts w:ascii="Times New Roman" w:hAnsi="Times New Roman" w:cs="Times New Roman"/>
          <w:sz w:val="24"/>
          <w:szCs w:val="24"/>
        </w:rPr>
        <w:t>pain (N = 1)</w:t>
      </w:r>
      <w:r w:rsidR="00720B10" w:rsidRPr="005B09A9">
        <w:rPr>
          <w:rFonts w:ascii="Times New Roman" w:hAnsi="Times New Roman" w:cs="Times New Roman"/>
          <w:sz w:val="24"/>
          <w:szCs w:val="24"/>
        </w:rPr>
        <w:t>.</w:t>
      </w:r>
    </w:p>
    <w:p w14:paraId="16F5E035" w14:textId="483DC789" w:rsidR="00E96FFD" w:rsidRPr="005B09A9" w:rsidRDefault="000E0862" w:rsidP="003B7B2C">
      <w:pPr>
        <w:spacing w:line="480" w:lineRule="auto"/>
        <w:jc w:val="center"/>
        <w:rPr>
          <w:rFonts w:ascii="Times New Roman" w:hAnsi="Times New Roman" w:cs="Times New Roman"/>
          <w:sz w:val="24"/>
          <w:szCs w:val="24"/>
        </w:rPr>
      </w:pPr>
      <w:r w:rsidRPr="005B09A9">
        <w:rPr>
          <w:rFonts w:ascii="Times New Roman" w:hAnsi="Times New Roman" w:cs="Times New Roman"/>
          <w:sz w:val="24"/>
          <w:szCs w:val="24"/>
        </w:rPr>
        <w:t>[insert Table 1.]</w:t>
      </w:r>
    </w:p>
    <w:p w14:paraId="6B6F1042" w14:textId="538FBECB" w:rsidR="00836351" w:rsidRPr="005B09A9" w:rsidRDefault="00146CDF" w:rsidP="006F05A7">
      <w:pPr>
        <w:pStyle w:val="Paragraphedeliste"/>
        <w:numPr>
          <w:ilvl w:val="1"/>
          <w:numId w:val="18"/>
        </w:numPr>
        <w:spacing w:line="480" w:lineRule="auto"/>
        <w:rPr>
          <w:rFonts w:ascii="Times New Roman" w:hAnsi="Times New Roman" w:cs="Times New Roman"/>
          <w:i/>
          <w:iCs/>
          <w:sz w:val="24"/>
          <w:szCs w:val="24"/>
          <w:u w:val="single"/>
          <w:lang w:val="en-GB"/>
        </w:rPr>
      </w:pPr>
      <w:r w:rsidRPr="005B09A9">
        <w:rPr>
          <w:rStyle w:val="Accentuationlgre"/>
          <w:rFonts w:ascii="Times New Roman" w:hAnsi="Times New Roman" w:cs="Times New Roman"/>
          <w:b w:val="0"/>
          <w:sz w:val="24"/>
          <w:szCs w:val="24"/>
          <w:lang w:val="en-GB"/>
        </w:rPr>
        <w:t>Quality</w:t>
      </w:r>
      <w:r w:rsidR="003B7B2C" w:rsidRPr="005B09A9">
        <w:rPr>
          <w:rStyle w:val="Accentuationlgre"/>
          <w:rFonts w:ascii="Times New Roman" w:hAnsi="Times New Roman" w:cs="Times New Roman"/>
          <w:b w:val="0"/>
          <w:sz w:val="24"/>
          <w:szCs w:val="24"/>
          <w:lang w:val="en-GB"/>
        </w:rPr>
        <w:t xml:space="preserve"> A</w:t>
      </w:r>
      <w:r w:rsidRPr="005B09A9">
        <w:rPr>
          <w:rStyle w:val="Accentuationlgre"/>
          <w:rFonts w:ascii="Times New Roman" w:hAnsi="Times New Roman" w:cs="Times New Roman"/>
          <w:b w:val="0"/>
          <w:sz w:val="24"/>
          <w:szCs w:val="24"/>
          <w:lang w:val="en-GB"/>
        </w:rPr>
        <w:t>ssessment</w:t>
      </w:r>
    </w:p>
    <w:p w14:paraId="5878188C" w14:textId="2143232D" w:rsidR="00646AC8" w:rsidRPr="005B09A9" w:rsidRDefault="00122249" w:rsidP="003B7B2C">
      <w:pPr>
        <w:spacing w:line="480" w:lineRule="auto"/>
        <w:jc w:val="left"/>
        <w:rPr>
          <w:rFonts w:ascii="Times New Roman" w:hAnsi="Times New Roman" w:cs="Times New Roman"/>
          <w:sz w:val="24"/>
          <w:szCs w:val="24"/>
        </w:rPr>
      </w:pPr>
      <w:r w:rsidRPr="005B09A9">
        <w:rPr>
          <w:rFonts w:ascii="Times New Roman" w:hAnsi="Times New Roman" w:cs="Times New Roman"/>
          <w:iCs/>
          <w:sz w:val="24"/>
          <w:szCs w:val="24"/>
        </w:rPr>
        <w:t>The</w:t>
      </w:r>
      <w:r w:rsidR="00646AC8" w:rsidRPr="005B09A9">
        <w:rPr>
          <w:rFonts w:ascii="Times New Roman" w:hAnsi="Times New Roman" w:cs="Times New Roman"/>
          <w:iCs/>
          <w:sz w:val="24"/>
          <w:szCs w:val="24"/>
        </w:rPr>
        <w:t xml:space="preserve"> </w:t>
      </w:r>
      <w:r w:rsidR="008E5A7D" w:rsidRPr="005B09A9">
        <w:rPr>
          <w:rFonts w:ascii="Times New Roman" w:hAnsi="Times New Roman" w:cs="Times New Roman"/>
          <w:iCs/>
          <w:sz w:val="24"/>
          <w:szCs w:val="24"/>
        </w:rPr>
        <w:t>RoB</w:t>
      </w:r>
      <w:r w:rsidR="00170335" w:rsidRPr="005B09A9">
        <w:rPr>
          <w:rFonts w:ascii="Times New Roman" w:hAnsi="Times New Roman" w:cs="Times New Roman"/>
          <w:iCs/>
          <w:sz w:val="24"/>
          <w:szCs w:val="24"/>
        </w:rPr>
        <w:t xml:space="preserve"> </w:t>
      </w:r>
      <w:r w:rsidR="00646AC8" w:rsidRPr="005B09A9">
        <w:rPr>
          <w:rFonts w:ascii="Times New Roman" w:hAnsi="Times New Roman" w:cs="Times New Roman"/>
          <w:iCs/>
          <w:sz w:val="24"/>
          <w:szCs w:val="24"/>
        </w:rPr>
        <w:t xml:space="preserve">of each </w:t>
      </w:r>
      <w:r w:rsidR="00DC6029" w:rsidRPr="005B09A9">
        <w:rPr>
          <w:rFonts w:ascii="Times New Roman" w:hAnsi="Times New Roman" w:cs="Times New Roman"/>
          <w:iCs/>
          <w:sz w:val="24"/>
          <w:szCs w:val="24"/>
        </w:rPr>
        <w:t xml:space="preserve">included </w:t>
      </w:r>
      <w:r w:rsidR="00646AC8" w:rsidRPr="005B09A9">
        <w:rPr>
          <w:rFonts w:ascii="Times New Roman" w:hAnsi="Times New Roman" w:cs="Times New Roman"/>
          <w:iCs/>
          <w:sz w:val="24"/>
          <w:szCs w:val="24"/>
        </w:rPr>
        <w:t xml:space="preserve">study </w:t>
      </w:r>
      <w:r w:rsidR="003B637D" w:rsidRPr="005B09A9">
        <w:rPr>
          <w:rFonts w:ascii="Times New Roman" w:hAnsi="Times New Roman" w:cs="Times New Roman"/>
          <w:iCs/>
          <w:sz w:val="24"/>
          <w:szCs w:val="24"/>
        </w:rPr>
        <w:t xml:space="preserve">was </w:t>
      </w:r>
      <w:r w:rsidR="00646AC8" w:rsidRPr="005B09A9">
        <w:rPr>
          <w:rFonts w:ascii="Times New Roman" w:hAnsi="Times New Roman" w:cs="Times New Roman"/>
          <w:iCs/>
          <w:sz w:val="24"/>
          <w:szCs w:val="24"/>
        </w:rPr>
        <w:t>assessed</w:t>
      </w:r>
      <w:r w:rsidR="00192BED" w:rsidRPr="005B09A9">
        <w:rPr>
          <w:rFonts w:ascii="Times New Roman" w:hAnsi="Times New Roman" w:cs="Times New Roman"/>
          <w:iCs/>
          <w:sz w:val="24"/>
          <w:szCs w:val="24"/>
        </w:rPr>
        <w:t xml:space="preserve"> </w:t>
      </w:r>
      <w:r w:rsidR="00CB39AF" w:rsidRPr="005B09A9">
        <w:rPr>
          <w:rFonts w:ascii="Times New Roman" w:hAnsi="Times New Roman" w:cs="Times New Roman"/>
          <w:iCs/>
          <w:sz w:val="24"/>
          <w:szCs w:val="24"/>
        </w:rPr>
        <w:t xml:space="preserve">with the QUIPS </w:t>
      </w:r>
      <w:r w:rsidRPr="005B09A9">
        <w:rPr>
          <w:rFonts w:ascii="Times New Roman" w:hAnsi="Times New Roman" w:cs="Times New Roman"/>
          <w:iCs/>
          <w:sz w:val="24"/>
          <w:szCs w:val="24"/>
        </w:rPr>
        <w:t xml:space="preserve">tool </w:t>
      </w:r>
      <w:r w:rsidR="00192BED" w:rsidRPr="005B09A9">
        <w:rPr>
          <w:rFonts w:ascii="Times New Roman" w:hAnsi="Times New Roman" w:cs="Times New Roman"/>
          <w:iCs/>
          <w:sz w:val="24"/>
          <w:szCs w:val="24"/>
        </w:rPr>
        <w:t xml:space="preserve">(Table </w:t>
      </w:r>
      <w:r w:rsidR="00192BED" w:rsidRPr="005B09A9">
        <w:rPr>
          <w:rFonts w:ascii="Times New Roman" w:hAnsi="Times New Roman" w:cs="Times New Roman"/>
          <w:bCs/>
          <w:iCs/>
          <w:sz w:val="24"/>
          <w:szCs w:val="24"/>
        </w:rPr>
        <w:t>2</w:t>
      </w:r>
      <w:r w:rsidR="00192BED" w:rsidRPr="005B09A9">
        <w:rPr>
          <w:rFonts w:ascii="Times New Roman" w:hAnsi="Times New Roman" w:cs="Times New Roman"/>
          <w:iCs/>
          <w:sz w:val="24"/>
          <w:szCs w:val="24"/>
        </w:rPr>
        <w:t>)</w:t>
      </w:r>
      <w:r w:rsidR="00646AC8" w:rsidRPr="005B09A9">
        <w:rPr>
          <w:rFonts w:ascii="Times New Roman" w:hAnsi="Times New Roman" w:cs="Times New Roman"/>
          <w:iCs/>
          <w:sz w:val="24"/>
          <w:szCs w:val="24"/>
        </w:rPr>
        <w:t>.</w:t>
      </w:r>
      <w:r w:rsidR="00E95683" w:rsidRPr="005B09A9">
        <w:rPr>
          <w:rFonts w:ascii="Times New Roman" w:hAnsi="Times New Roman" w:cs="Times New Roman"/>
          <w:iCs/>
          <w:sz w:val="24"/>
          <w:szCs w:val="24"/>
        </w:rPr>
        <w:t xml:space="preserve"> O</w:t>
      </w:r>
      <w:r w:rsidR="00AF2B86" w:rsidRPr="005B09A9">
        <w:rPr>
          <w:rFonts w:ascii="Times New Roman" w:hAnsi="Times New Roman" w:cs="Times New Roman"/>
          <w:sz w:val="24"/>
          <w:szCs w:val="24"/>
        </w:rPr>
        <w:t xml:space="preserve">nly </w:t>
      </w:r>
      <w:r w:rsidR="00D47F15" w:rsidRPr="005B09A9">
        <w:rPr>
          <w:rFonts w:ascii="Times New Roman" w:hAnsi="Times New Roman" w:cs="Times New Roman"/>
          <w:sz w:val="24"/>
          <w:szCs w:val="24"/>
        </w:rPr>
        <w:t>2</w:t>
      </w:r>
      <w:r w:rsidR="00BA5950" w:rsidRPr="005B09A9">
        <w:rPr>
          <w:rFonts w:ascii="Times New Roman" w:hAnsi="Times New Roman" w:cs="Times New Roman"/>
          <w:iCs/>
          <w:sz w:val="24"/>
          <w:szCs w:val="24"/>
        </w:rPr>
        <w:t xml:space="preserve"> studies</w:t>
      </w:r>
      <w:r w:rsidR="007B3BE2" w:rsidRPr="005B09A9">
        <w:rPr>
          <w:rFonts w:ascii="Times New Roman" w:hAnsi="Times New Roman" w:cs="Times New Roman"/>
          <w:iCs/>
          <w:sz w:val="24"/>
          <w:szCs w:val="24"/>
        </w:rPr>
        <w:t xml:space="preserve"> </w:t>
      </w:r>
      <w:r w:rsidR="00BA5950"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{"citationID":"hALc6tXJ","properties":{"formattedCitation":"(Bean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BA5950"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(Bean et al., 2015, 2016b)</w:t>
      </w:r>
      <w:r w:rsidR="00BA5950" w:rsidRPr="005B09A9">
        <w:rPr>
          <w:rFonts w:ascii="Times New Roman" w:hAnsi="Times New Roman" w:cs="Times New Roman"/>
          <w:iCs/>
          <w:sz w:val="24"/>
          <w:szCs w:val="24"/>
        </w:rPr>
        <w:fldChar w:fldCharType="end"/>
      </w:r>
      <w:r w:rsidR="00BA5950" w:rsidRPr="005B09A9">
        <w:rPr>
          <w:rFonts w:ascii="Times New Roman" w:hAnsi="Times New Roman" w:cs="Times New Roman"/>
          <w:iCs/>
          <w:sz w:val="24"/>
          <w:szCs w:val="24"/>
        </w:rPr>
        <w:t xml:space="preserve"> </w:t>
      </w:r>
      <w:r w:rsidR="00AF2B86" w:rsidRPr="005B09A9">
        <w:rPr>
          <w:rFonts w:ascii="Times New Roman" w:eastAsia="Times New Roman" w:hAnsi="Times New Roman" w:cs="Times New Roman"/>
          <w:sz w:val="24"/>
          <w:szCs w:val="24"/>
          <w:lang w:eastAsia="fr-BE"/>
        </w:rPr>
        <w:t xml:space="preserve">had an overall low </w:t>
      </w:r>
      <w:r w:rsidR="00C665FC" w:rsidRPr="005B09A9">
        <w:rPr>
          <w:rFonts w:ascii="Times New Roman" w:eastAsia="Times New Roman" w:hAnsi="Times New Roman" w:cs="Times New Roman"/>
          <w:sz w:val="24"/>
          <w:szCs w:val="24"/>
          <w:lang w:eastAsia="fr-BE"/>
        </w:rPr>
        <w:t>RoB</w:t>
      </w:r>
      <w:r w:rsidRPr="005B09A9">
        <w:rPr>
          <w:rFonts w:ascii="Times New Roman" w:hAnsi="Times New Roman" w:cs="Times New Roman"/>
          <w:iCs/>
          <w:sz w:val="24"/>
          <w:szCs w:val="24"/>
        </w:rPr>
        <w:t>,</w:t>
      </w:r>
      <w:r w:rsidR="00BA5950" w:rsidRPr="005B09A9">
        <w:rPr>
          <w:rFonts w:ascii="Times New Roman" w:hAnsi="Times New Roman" w:cs="Times New Roman"/>
          <w:iCs/>
          <w:sz w:val="24"/>
          <w:szCs w:val="24"/>
        </w:rPr>
        <w:t xml:space="preserve"> whereas the others suffered from numerous biases. </w:t>
      </w:r>
      <w:r w:rsidR="00DC6029" w:rsidRPr="005B09A9">
        <w:rPr>
          <w:rFonts w:ascii="Times New Roman" w:hAnsi="Times New Roman" w:cs="Times New Roman"/>
          <w:sz w:val="24"/>
          <w:szCs w:val="24"/>
        </w:rPr>
        <w:t xml:space="preserve">Justifications for </w:t>
      </w:r>
      <w:r w:rsidRPr="005B09A9">
        <w:rPr>
          <w:rFonts w:ascii="Times New Roman" w:hAnsi="Times New Roman" w:cs="Times New Roman"/>
          <w:sz w:val="24"/>
          <w:szCs w:val="24"/>
        </w:rPr>
        <w:t xml:space="preserve">these </w:t>
      </w:r>
      <w:r w:rsidR="00DC6029" w:rsidRPr="005B09A9">
        <w:rPr>
          <w:rFonts w:ascii="Times New Roman" w:hAnsi="Times New Roman" w:cs="Times New Roman"/>
          <w:sz w:val="24"/>
          <w:szCs w:val="24"/>
        </w:rPr>
        <w:t xml:space="preserve">assessments are available </w:t>
      </w:r>
      <w:r w:rsidR="00DC5813" w:rsidRPr="005B09A9">
        <w:rPr>
          <w:rFonts w:ascii="Times New Roman" w:hAnsi="Times New Roman" w:cs="Times New Roman"/>
          <w:sz w:val="24"/>
          <w:szCs w:val="24"/>
        </w:rPr>
        <w:t>in</w:t>
      </w:r>
      <w:r w:rsidR="00692636" w:rsidRPr="005B09A9">
        <w:rPr>
          <w:rFonts w:ascii="Times New Roman" w:hAnsi="Times New Roman" w:cs="Times New Roman"/>
          <w:sz w:val="24"/>
          <w:szCs w:val="24"/>
        </w:rPr>
        <w:t xml:space="preserve"> </w:t>
      </w:r>
      <w:r w:rsidR="00D475DA" w:rsidRPr="005B09A9">
        <w:rPr>
          <w:rFonts w:ascii="Times New Roman" w:hAnsi="Times New Roman" w:cs="Times New Roman"/>
          <w:sz w:val="24"/>
          <w:szCs w:val="24"/>
        </w:rPr>
        <w:t>Appendix 2 (</w:t>
      </w:r>
      <w:r w:rsidR="009822EC" w:rsidRPr="005B09A9">
        <w:rPr>
          <w:rFonts w:ascii="Times New Roman" w:hAnsi="Times New Roman" w:cs="Times New Roman"/>
          <w:sz w:val="24"/>
          <w:szCs w:val="24"/>
        </w:rPr>
        <w:t>“Justification for RoB”</w:t>
      </w:r>
      <w:r w:rsidR="00D475DA" w:rsidRPr="005B09A9">
        <w:rPr>
          <w:rFonts w:ascii="Times New Roman" w:hAnsi="Times New Roman" w:cs="Times New Roman"/>
          <w:sz w:val="24"/>
          <w:szCs w:val="24"/>
        </w:rPr>
        <w:t>)</w:t>
      </w:r>
      <w:r w:rsidR="0075693F" w:rsidRPr="005B09A9">
        <w:rPr>
          <w:rFonts w:ascii="Times New Roman" w:hAnsi="Times New Roman" w:cs="Times New Roman"/>
          <w:sz w:val="24"/>
          <w:szCs w:val="24"/>
        </w:rPr>
        <w:t>.</w:t>
      </w:r>
      <w:r w:rsidR="00DC6029" w:rsidRPr="005B09A9">
        <w:rPr>
          <w:rFonts w:ascii="Times New Roman" w:hAnsi="Times New Roman" w:cs="Times New Roman"/>
          <w:sz w:val="24"/>
          <w:szCs w:val="24"/>
        </w:rPr>
        <w:t xml:space="preserve"> </w:t>
      </w:r>
    </w:p>
    <w:p w14:paraId="3BB7ADC6" w14:textId="1297C5B0" w:rsidR="00603588" w:rsidRPr="005B09A9" w:rsidRDefault="00B7441A" w:rsidP="003B7B2C">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Regarding </w:t>
      </w:r>
      <w:r w:rsidR="00500CC8" w:rsidRPr="005B09A9">
        <w:rPr>
          <w:rFonts w:ascii="Times New Roman" w:hAnsi="Times New Roman" w:cs="Times New Roman"/>
          <w:iCs/>
          <w:sz w:val="24"/>
          <w:szCs w:val="24"/>
        </w:rPr>
        <w:t>the participation domain, only one</w:t>
      </w:r>
      <w:r w:rsidRPr="005B09A9">
        <w:rPr>
          <w:rFonts w:ascii="Times New Roman" w:hAnsi="Times New Roman" w:cs="Times New Roman"/>
          <w:iCs/>
          <w:sz w:val="24"/>
          <w:szCs w:val="24"/>
        </w:rPr>
        <w:t xml:space="preserve"> study </w:t>
      </w:r>
      <w:r w:rsidR="003B637D" w:rsidRPr="005B09A9">
        <w:rPr>
          <w:rFonts w:ascii="Times New Roman" w:hAnsi="Times New Roman" w:cs="Times New Roman"/>
          <w:iCs/>
          <w:sz w:val="24"/>
          <w:szCs w:val="24"/>
        </w:rPr>
        <w:t xml:space="preserve">was </w:t>
      </w:r>
      <w:r w:rsidR="00D47F15" w:rsidRPr="005B09A9">
        <w:rPr>
          <w:rFonts w:ascii="Times New Roman" w:hAnsi="Times New Roman" w:cs="Times New Roman"/>
          <w:iCs/>
          <w:sz w:val="24"/>
          <w:szCs w:val="24"/>
        </w:rPr>
        <w:t>assessed as</w:t>
      </w:r>
      <w:r w:rsidRPr="005B09A9">
        <w:rPr>
          <w:rFonts w:ascii="Times New Roman" w:hAnsi="Times New Roman" w:cs="Times New Roman"/>
          <w:iCs/>
          <w:sz w:val="24"/>
          <w:szCs w:val="24"/>
        </w:rPr>
        <w:t xml:space="preserve"> low RoB</w:t>
      </w:r>
      <w:r w:rsidR="007B3BE2"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{"citationID":"u9dgTiy8","properties":{"formattedCitation":"(Bean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(Bean et al., 2015)</w:t>
      </w:r>
      <w:r w:rsidRPr="005B09A9">
        <w:rPr>
          <w:rFonts w:ascii="Times New Roman" w:hAnsi="Times New Roman" w:cs="Times New Roman"/>
          <w:iCs/>
          <w:sz w:val="24"/>
          <w:szCs w:val="24"/>
        </w:rPr>
        <w:fldChar w:fldCharType="end"/>
      </w:r>
      <w:r w:rsidR="007B3BE2" w:rsidRPr="005B09A9">
        <w:rPr>
          <w:rFonts w:ascii="Times New Roman" w:hAnsi="Times New Roman" w:cs="Times New Roman"/>
          <w:iCs/>
          <w:sz w:val="24"/>
          <w:szCs w:val="24"/>
        </w:rPr>
        <w:t>.</w:t>
      </w:r>
      <w:r w:rsidR="00EF1D00" w:rsidRPr="005B09A9">
        <w:rPr>
          <w:rFonts w:ascii="Times New Roman" w:hAnsi="Times New Roman" w:cs="Times New Roman"/>
          <w:iCs/>
          <w:sz w:val="24"/>
          <w:szCs w:val="24"/>
        </w:rPr>
        <w:t xml:space="preserve"> </w:t>
      </w:r>
      <w:r w:rsidR="00DF54DF" w:rsidRPr="005B09A9">
        <w:rPr>
          <w:rFonts w:ascii="Times New Roman" w:hAnsi="Times New Roman" w:cs="Times New Roman"/>
          <w:iCs/>
          <w:sz w:val="24"/>
          <w:szCs w:val="24"/>
        </w:rPr>
        <w:t>Q</w:t>
      </w:r>
      <w:r w:rsidR="0011337F" w:rsidRPr="005B09A9">
        <w:rPr>
          <w:rFonts w:ascii="Times New Roman" w:hAnsi="Times New Roman" w:cs="Times New Roman"/>
          <w:iCs/>
          <w:sz w:val="24"/>
          <w:szCs w:val="24"/>
        </w:rPr>
        <w:t>uestionable or unclear</w:t>
      </w:r>
      <w:r w:rsidRPr="005B09A9">
        <w:rPr>
          <w:rFonts w:ascii="Times New Roman" w:hAnsi="Times New Roman" w:cs="Times New Roman"/>
          <w:iCs/>
          <w:sz w:val="24"/>
          <w:szCs w:val="24"/>
        </w:rPr>
        <w:t xml:space="preserve"> inclusion criteria</w:t>
      </w:r>
      <w:r w:rsidR="007B3BE2" w:rsidRPr="005B09A9">
        <w:rPr>
          <w:rFonts w:ascii="Times New Roman" w:hAnsi="Times New Roman" w:cs="Times New Roman"/>
          <w:iCs/>
          <w:sz w:val="24"/>
          <w:szCs w:val="24"/>
        </w:rPr>
        <w:t xml:space="preserve"> </w:t>
      </w:r>
      <w:r w:rsidR="0011337F"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{"citationID":"Kdk9qTEs","properties":{"formattedCitation":"(Dumas et al., 2011; Laulan et al., 1997; Roh et al., 2019)","plainCitation":"(Dumas et al., 2011; Laulan et al., 1997; 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11337F"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(Dumas et al., 2011; Laulan et al., 1997; Roh et al., 2019)</w:t>
      </w:r>
      <w:r w:rsidR="0011337F" w:rsidRPr="005B09A9">
        <w:rPr>
          <w:rFonts w:ascii="Times New Roman" w:hAnsi="Times New Roman" w:cs="Times New Roman"/>
          <w:iCs/>
          <w:sz w:val="24"/>
          <w:szCs w:val="24"/>
        </w:rPr>
        <w:fldChar w:fldCharType="end"/>
      </w:r>
      <w:r w:rsidR="0011337F"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t xml:space="preserve">or a lack of information </w:t>
      </w:r>
      <w:r w:rsidR="00D47F15" w:rsidRPr="005B09A9">
        <w:rPr>
          <w:rFonts w:ascii="Times New Roman" w:hAnsi="Times New Roman" w:cs="Times New Roman"/>
          <w:iCs/>
          <w:sz w:val="24"/>
          <w:szCs w:val="24"/>
        </w:rPr>
        <w:t>on</w:t>
      </w:r>
      <w:r w:rsidRPr="005B09A9">
        <w:rPr>
          <w:rFonts w:ascii="Times New Roman" w:hAnsi="Times New Roman" w:cs="Times New Roman"/>
          <w:iCs/>
          <w:sz w:val="24"/>
          <w:szCs w:val="24"/>
        </w:rPr>
        <w:t xml:space="preserve"> sample characteristics</w:t>
      </w:r>
      <w:r w:rsidR="007B3BE2" w:rsidRPr="005B09A9">
        <w:rPr>
          <w:rFonts w:ascii="Times New Roman" w:hAnsi="Times New Roman" w:cs="Times New Roman"/>
          <w:iCs/>
          <w:sz w:val="24"/>
          <w:szCs w:val="24"/>
        </w:rPr>
        <w:t xml:space="preserve"> </w:t>
      </w:r>
      <w:r w:rsidR="0011337F"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{"citationID":"pV3MBcju","properties":{"formattedCitation":"(Bean et al., 2016b; Dauty et al., 2001; Dumas et al., 2011; Laulan et al., 1997; Roh et al., 2019)","plainCitation":"(Bean et al., 2016b; Dauty et al., 2001; Dumas et al., 2011; Laulan et al., 1997; 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11337F"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(Bean et al., 2016b; Dauty et al., 2001; Dumas et al., 2011; Laulan et al., 1997; Roh et al., 2019)</w:t>
      </w:r>
      <w:r w:rsidR="0011337F" w:rsidRPr="005B09A9">
        <w:rPr>
          <w:rFonts w:ascii="Times New Roman" w:hAnsi="Times New Roman" w:cs="Times New Roman"/>
          <w:iCs/>
          <w:sz w:val="24"/>
          <w:szCs w:val="24"/>
        </w:rPr>
        <w:fldChar w:fldCharType="end"/>
      </w:r>
      <w:r w:rsidR="0011337F"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t>account</w:t>
      </w:r>
      <w:r w:rsidR="000733FF" w:rsidRPr="005B09A9">
        <w:rPr>
          <w:rFonts w:ascii="Times New Roman" w:hAnsi="Times New Roman" w:cs="Times New Roman"/>
          <w:iCs/>
          <w:sz w:val="24"/>
          <w:szCs w:val="24"/>
        </w:rPr>
        <w:t>ed</w:t>
      </w:r>
      <w:r w:rsidRPr="005B09A9">
        <w:rPr>
          <w:rFonts w:ascii="Times New Roman" w:hAnsi="Times New Roman" w:cs="Times New Roman"/>
          <w:iCs/>
          <w:sz w:val="24"/>
          <w:szCs w:val="24"/>
        </w:rPr>
        <w:t xml:space="preserve"> for this result.</w:t>
      </w:r>
      <w:r w:rsidR="00603588" w:rsidRPr="005B09A9">
        <w:rPr>
          <w:rFonts w:ascii="Times New Roman" w:hAnsi="Times New Roman" w:cs="Times New Roman"/>
          <w:iCs/>
          <w:sz w:val="24"/>
          <w:szCs w:val="24"/>
        </w:rPr>
        <w:t xml:space="preserve"> </w:t>
      </w:r>
      <w:r w:rsidR="00DF54DF" w:rsidRPr="005B09A9">
        <w:rPr>
          <w:rFonts w:ascii="Times New Roman" w:hAnsi="Times New Roman" w:cs="Times New Roman"/>
          <w:iCs/>
          <w:sz w:val="24"/>
          <w:szCs w:val="24"/>
        </w:rPr>
        <w:t xml:space="preserve">Sample sizes were particularly small in </w:t>
      </w:r>
      <w:r w:rsidR="004F1C1D" w:rsidRPr="005B09A9">
        <w:rPr>
          <w:rFonts w:ascii="Times New Roman" w:hAnsi="Times New Roman" w:cs="Times New Roman"/>
          <w:iCs/>
          <w:sz w:val="24"/>
          <w:szCs w:val="24"/>
        </w:rPr>
        <w:t>2</w:t>
      </w:r>
      <w:r w:rsidR="00DF54DF" w:rsidRPr="005B09A9">
        <w:rPr>
          <w:rFonts w:ascii="Times New Roman" w:hAnsi="Times New Roman" w:cs="Times New Roman"/>
          <w:iCs/>
          <w:sz w:val="24"/>
          <w:szCs w:val="24"/>
        </w:rPr>
        <w:t xml:space="preserve"> studies</w:t>
      </w:r>
      <w:r w:rsidR="007B3BE2" w:rsidRPr="005B09A9">
        <w:rPr>
          <w:rFonts w:ascii="Times New Roman" w:hAnsi="Times New Roman" w:cs="Times New Roman"/>
          <w:iCs/>
          <w:sz w:val="24"/>
          <w:szCs w:val="24"/>
        </w:rPr>
        <w:t xml:space="preserve"> </w:t>
      </w:r>
      <w:r w:rsidR="00DF54DF"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{"citationID":"7Swfpl42","properties":{"formattedCitation":"(Dauty et al., 2001; Laulan et al., 1997)","plainCitation":"(Dauty et al., 2001; Laulan et al., 1997)","noteIndex":0},"citationItems":[{"id":441,"uris":["http://zotero.org/users/8777725/items/EQG2M7E9"],"itemData":{"id":441,"type":"article-journal","abstract":"A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schema":"https://github.com/citation-style-language/schema/raw/master/csl-citation.json"} </w:instrText>
      </w:r>
      <w:r w:rsidR="00DF54DF"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(Dauty et al., 2001; Laulan et al., 1997)</w:t>
      </w:r>
      <w:r w:rsidR="00DF54DF" w:rsidRPr="005B09A9">
        <w:rPr>
          <w:rFonts w:ascii="Times New Roman" w:hAnsi="Times New Roman" w:cs="Times New Roman"/>
          <w:iCs/>
          <w:sz w:val="24"/>
          <w:szCs w:val="24"/>
        </w:rPr>
        <w:fldChar w:fldCharType="end"/>
      </w:r>
      <w:r w:rsidR="007B3BE2" w:rsidRPr="005B09A9">
        <w:rPr>
          <w:rFonts w:ascii="Times New Roman" w:hAnsi="Times New Roman" w:cs="Times New Roman"/>
          <w:iCs/>
          <w:sz w:val="24"/>
          <w:szCs w:val="24"/>
        </w:rPr>
        <w:t>.</w:t>
      </w:r>
    </w:p>
    <w:p w14:paraId="4B1C9C6B" w14:textId="1C532A67" w:rsidR="00B7441A" w:rsidRPr="005B09A9" w:rsidRDefault="00AF2B86" w:rsidP="003B7B2C">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The evaluation of study attrition</w:t>
      </w:r>
      <w:r w:rsidR="00B7441A" w:rsidRPr="005B09A9">
        <w:rPr>
          <w:rFonts w:ascii="Times New Roman" w:hAnsi="Times New Roman" w:cs="Times New Roman"/>
          <w:iCs/>
          <w:sz w:val="24"/>
          <w:szCs w:val="24"/>
        </w:rPr>
        <w:t xml:space="preserve"> </w:t>
      </w:r>
      <w:r w:rsidR="003B637D" w:rsidRPr="005B09A9">
        <w:rPr>
          <w:rFonts w:ascii="Times New Roman" w:hAnsi="Times New Roman" w:cs="Times New Roman"/>
          <w:iCs/>
          <w:sz w:val="24"/>
          <w:szCs w:val="24"/>
        </w:rPr>
        <w:t xml:space="preserve">was not </w:t>
      </w:r>
      <w:r w:rsidRPr="005B09A9">
        <w:rPr>
          <w:rFonts w:ascii="Times New Roman" w:hAnsi="Times New Roman" w:cs="Times New Roman"/>
          <w:iCs/>
          <w:sz w:val="24"/>
          <w:szCs w:val="24"/>
        </w:rPr>
        <w:t>relevant</w:t>
      </w:r>
      <w:r w:rsidR="00B7441A" w:rsidRPr="005B09A9">
        <w:rPr>
          <w:rFonts w:ascii="Times New Roman" w:hAnsi="Times New Roman" w:cs="Times New Roman"/>
          <w:iCs/>
          <w:sz w:val="24"/>
          <w:szCs w:val="24"/>
        </w:rPr>
        <w:t xml:space="preserve"> in cross-</w:t>
      </w:r>
      <w:r w:rsidR="00603588" w:rsidRPr="005B09A9">
        <w:rPr>
          <w:rFonts w:ascii="Times New Roman" w:hAnsi="Times New Roman" w:cs="Times New Roman"/>
          <w:iCs/>
          <w:sz w:val="24"/>
          <w:szCs w:val="24"/>
        </w:rPr>
        <w:t>sectional</w:t>
      </w:r>
      <w:r w:rsidR="00B7441A" w:rsidRPr="005B09A9">
        <w:rPr>
          <w:rFonts w:ascii="Times New Roman" w:hAnsi="Times New Roman" w:cs="Times New Roman"/>
          <w:iCs/>
          <w:sz w:val="24"/>
          <w:szCs w:val="24"/>
        </w:rPr>
        <w:t xml:space="preserve"> studies (reported as </w:t>
      </w:r>
      <w:r w:rsidR="00192BED" w:rsidRPr="005B09A9">
        <w:rPr>
          <w:rFonts w:ascii="Times New Roman" w:hAnsi="Times New Roman" w:cs="Times New Roman"/>
          <w:iCs/>
          <w:sz w:val="24"/>
          <w:szCs w:val="24"/>
        </w:rPr>
        <w:t>‘</w:t>
      </w:r>
      <w:r w:rsidR="00B7441A" w:rsidRPr="005B09A9">
        <w:rPr>
          <w:rFonts w:ascii="Times New Roman" w:hAnsi="Times New Roman" w:cs="Times New Roman"/>
          <w:i/>
          <w:iCs/>
          <w:sz w:val="24"/>
          <w:szCs w:val="24"/>
        </w:rPr>
        <w:t>Not Applicable</w:t>
      </w:r>
      <w:r w:rsidR="00192BED" w:rsidRPr="005B09A9">
        <w:rPr>
          <w:rFonts w:ascii="Times New Roman" w:hAnsi="Times New Roman" w:cs="Times New Roman"/>
          <w:iCs/>
          <w:sz w:val="24"/>
          <w:szCs w:val="24"/>
        </w:rPr>
        <w:t>’</w:t>
      </w:r>
      <w:r w:rsidR="00B7441A" w:rsidRPr="005B09A9">
        <w:rPr>
          <w:rFonts w:ascii="Times New Roman" w:hAnsi="Times New Roman" w:cs="Times New Roman"/>
          <w:iCs/>
          <w:sz w:val="24"/>
          <w:szCs w:val="24"/>
        </w:rPr>
        <w:t>).</w:t>
      </w:r>
      <w:r w:rsidR="00192847" w:rsidRPr="005B09A9">
        <w:rPr>
          <w:rFonts w:ascii="Times New Roman" w:hAnsi="Times New Roman" w:cs="Times New Roman"/>
          <w:iCs/>
          <w:sz w:val="24"/>
          <w:szCs w:val="24"/>
        </w:rPr>
        <w:t xml:space="preserve"> </w:t>
      </w:r>
      <w:r w:rsidR="00C677BD" w:rsidRPr="005B09A9">
        <w:rPr>
          <w:rFonts w:ascii="Times New Roman" w:hAnsi="Times New Roman" w:cs="Times New Roman"/>
          <w:iCs/>
          <w:sz w:val="24"/>
          <w:szCs w:val="24"/>
        </w:rPr>
        <w:t xml:space="preserve">According to our assessment, </w:t>
      </w:r>
      <w:r w:rsidR="0073403C" w:rsidRPr="005B09A9">
        <w:rPr>
          <w:rFonts w:ascii="Times New Roman" w:hAnsi="Times New Roman" w:cs="Times New Roman"/>
          <w:iCs/>
          <w:sz w:val="24"/>
          <w:szCs w:val="24"/>
        </w:rPr>
        <w:t>three</w:t>
      </w:r>
      <w:r w:rsidR="00C677BD" w:rsidRPr="005B09A9">
        <w:rPr>
          <w:rFonts w:ascii="Times New Roman" w:hAnsi="Times New Roman" w:cs="Times New Roman"/>
          <w:iCs/>
          <w:sz w:val="24"/>
          <w:szCs w:val="24"/>
        </w:rPr>
        <w:t xml:space="preserve"> studies had a high RoB</w:t>
      </w:r>
      <w:r w:rsidRPr="005B09A9">
        <w:rPr>
          <w:rFonts w:ascii="Times New Roman" w:hAnsi="Times New Roman" w:cs="Times New Roman"/>
          <w:iCs/>
          <w:sz w:val="24"/>
          <w:szCs w:val="24"/>
        </w:rPr>
        <w:t>: e</w:t>
      </w:r>
      <w:r w:rsidR="00192847" w:rsidRPr="005B09A9">
        <w:rPr>
          <w:rFonts w:ascii="Times New Roman" w:hAnsi="Times New Roman" w:cs="Times New Roman"/>
          <w:iCs/>
          <w:sz w:val="24"/>
          <w:szCs w:val="24"/>
        </w:rPr>
        <w:t>ither they did not report study attrition</w:t>
      </w:r>
      <w:r w:rsidR="007B3BE2" w:rsidRPr="005B09A9">
        <w:rPr>
          <w:rFonts w:ascii="Times New Roman" w:hAnsi="Times New Roman" w:cs="Times New Roman"/>
          <w:iCs/>
          <w:sz w:val="24"/>
          <w:szCs w:val="24"/>
        </w:rPr>
        <w:t xml:space="preserve"> </w:t>
      </w:r>
      <w:r w:rsidR="00192847"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{"citationID":"Wquh4h41","properties":{"formattedCitation":"(Dauty et al., 2001; Laulan et al., 1997)","plainCitation":"(Dauty et al., 2001; Laulan et al., 1997)","noteIndex":0},"citationItems":[{"id":441,"uris":["http://zotero.org/users/8777725/items/EQG2M7E9"],"itemData":{"id":441,"type":"article-journal","abstract":"A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schema":"https://github.com/citation-style-language/schema/raw/master/csl-citation.json"} </w:instrText>
      </w:r>
      <w:r w:rsidR="00192847"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(Dauty et al., 2001; Laulan et al., 1997)</w:t>
      </w:r>
      <w:r w:rsidR="00192847" w:rsidRPr="005B09A9">
        <w:rPr>
          <w:rFonts w:ascii="Times New Roman" w:hAnsi="Times New Roman" w:cs="Times New Roman"/>
          <w:iCs/>
          <w:sz w:val="24"/>
          <w:szCs w:val="24"/>
        </w:rPr>
        <w:fldChar w:fldCharType="end"/>
      </w:r>
      <w:r w:rsidR="007B3BE2" w:rsidRPr="005B09A9">
        <w:rPr>
          <w:rFonts w:ascii="Times New Roman" w:hAnsi="Times New Roman" w:cs="Times New Roman"/>
          <w:iCs/>
          <w:sz w:val="24"/>
          <w:szCs w:val="24"/>
        </w:rPr>
        <w:t>,</w:t>
      </w:r>
      <w:r w:rsidR="00192847" w:rsidRPr="005B09A9">
        <w:rPr>
          <w:rFonts w:ascii="Times New Roman" w:hAnsi="Times New Roman" w:cs="Times New Roman"/>
          <w:iCs/>
          <w:sz w:val="24"/>
          <w:szCs w:val="24"/>
        </w:rPr>
        <w:t xml:space="preserve"> or </w:t>
      </w:r>
      <w:r w:rsidR="007B1427" w:rsidRPr="005B09A9">
        <w:rPr>
          <w:rFonts w:ascii="Times New Roman" w:hAnsi="Times New Roman" w:cs="Times New Roman"/>
          <w:iCs/>
          <w:sz w:val="24"/>
          <w:szCs w:val="24"/>
        </w:rPr>
        <w:t xml:space="preserve">their </w:t>
      </w:r>
      <w:r w:rsidR="00192847" w:rsidRPr="005B09A9">
        <w:rPr>
          <w:rFonts w:ascii="Times New Roman" w:hAnsi="Times New Roman" w:cs="Times New Roman"/>
          <w:iCs/>
          <w:sz w:val="24"/>
          <w:szCs w:val="24"/>
        </w:rPr>
        <w:t xml:space="preserve">inclusion criteria </w:t>
      </w:r>
      <w:r w:rsidR="002314BE" w:rsidRPr="005B09A9">
        <w:rPr>
          <w:rFonts w:ascii="Times New Roman" w:hAnsi="Times New Roman" w:cs="Times New Roman"/>
          <w:iCs/>
          <w:sz w:val="24"/>
          <w:szCs w:val="24"/>
        </w:rPr>
        <w:t xml:space="preserve">precluded </w:t>
      </w:r>
      <w:r w:rsidR="00192847" w:rsidRPr="005B09A9">
        <w:rPr>
          <w:rFonts w:ascii="Times New Roman" w:hAnsi="Times New Roman" w:cs="Times New Roman"/>
          <w:iCs/>
          <w:sz w:val="24"/>
          <w:szCs w:val="24"/>
        </w:rPr>
        <w:t>any loss during the study (</w:t>
      </w:r>
      <w:r w:rsidR="00F3068E" w:rsidRPr="005B09A9">
        <w:rPr>
          <w:rFonts w:ascii="Times New Roman" w:hAnsi="Times New Roman" w:cs="Times New Roman"/>
          <w:iCs/>
          <w:sz w:val="24"/>
          <w:szCs w:val="24"/>
        </w:rPr>
        <w:t xml:space="preserve">i.e., </w:t>
      </w:r>
      <w:r w:rsidR="005E0BEB" w:rsidRPr="005B09A9">
        <w:rPr>
          <w:rFonts w:ascii="Times New Roman" w:hAnsi="Times New Roman" w:cs="Times New Roman"/>
          <w:iCs/>
          <w:sz w:val="24"/>
          <w:szCs w:val="24"/>
        </w:rPr>
        <w:t>participants</w:t>
      </w:r>
      <w:r w:rsidR="00192BED" w:rsidRPr="005B09A9">
        <w:rPr>
          <w:rFonts w:ascii="Times New Roman" w:hAnsi="Times New Roman" w:cs="Times New Roman"/>
          <w:iCs/>
          <w:sz w:val="24"/>
          <w:szCs w:val="24"/>
        </w:rPr>
        <w:t xml:space="preserve"> ha</w:t>
      </w:r>
      <w:r w:rsidR="000733FF" w:rsidRPr="005B09A9">
        <w:rPr>
          <w:rFonts w:ascii="Times New Roman" w:hAnsi="Times New Roman" w:cs="Times New Roman"/>
          <w:iCs/>
          <w:sz w:val="24"/>
          <w:szCs w:val="24"/>
        </w:rPr>
        <w:t>d to</w:t>
      </w:r>
      <w:r w:rsidR="00192BED" w:rsidRPr="005B09A9">
        <w:rPr>
          <w:rFonts w:ascii="Times New Roman" w:hAnsi="Times New Roman" w:cs="Times New Roman"/>
          <w:iCs/>
          <w:sz w:val="24"/>
          <w:szCs w:val="24"/>
        </w:rPr>
        <w:t xml:space="preserve"> </w:t>
      </w:r>
      <w:r w:rsidR="00603588" w:rsidRPr="005B09A9">
        <w:rPr>
          <w:rFonts w:ascii="Times New Roman" w:hAnsi="Times New Roman" w:cs="Times New Roman"/>
          <w:iCs/>
          <w:sz w:val="24"/>
          <w:szCs w:val="24"/>
        </w:rPr>
        <w:t>“</w:t>
      </w:r>
      <w:r w:rsidR="00603588" w:rsidRPr="005B09A9">
        <w:rPr>
          <w:rFonts w:ascii="Times New Roman" w:hAnsi="Times New Roman" w:cs="Times New Roman"/>
          <w:i/>
          <w:sz w:val="24"/>
          <w:szCs w:val="24"/>
        </w:rPr>
        <w:t>complete</w:t>
      </w:r>
      <w:r w:rsidR="00192847" w:rsidRPr="005B09A9">
        <w:rPr>
          <w:rFonts w:ascii="Times New Roman" w:hAnsi="Times New Roman" w:cs="Times New Roman"/>
          <w:i/>
          <w:sz w:val="24"/>
          <w:szCs w:val="24"/>
        </w:rPr>
        <w:t xml:space="preserve"> the </w:t>
      </w:r>
      <w:r w:rsidR="0020156C" w:rsidRPr="005B09A9">
        <w:rPr>
          <w:rFonts w:ascii="Times New Roman" w:hAnsi="Times New Roman" w:cs="Times New Roman"/>
          <w:i/>
          <w:sz w:val="24"/>
          <w:szCs w:val="24"/>
        </w:rPr>
        <w:t>12-</w:t>
      </w:r>
      <w:r w:rsidR="00603588" w:rsidRPr="005B09A9">
        <w:rPr>
          <w:rFonts w:ascii="Times New Roman" w:hAnsi="Times New Roman" w:cs="Times New Roman"/>
          <w:i/>
          <w:sz w:val="24"/>
          <w:szCs w:val="24"/>
        </w:rPr>
        <w:t xml:space="preserve">month </w:t>
      </w:r>
      <w:r w:rsidR="00192847" w:rsidRPr="005B09A9">
        <w:rPr>
          <w:rFonts w:ascii="Times New Roman" w:hAnsi="Times New Roman" w:cs="Times New Roman"/>
          <w:i/>
          <w:sz w:val="24"/>
          <w:szCs w:val="24"/>
        </w:rPr>
        <w:t>follow-up</w:t>
      </w:r>
      <w:r w:rsidR="00603588" w:rsidRPr="005B09A9">
        <w:rPr>
          <w:rFonts w:ascii="Times New Roman" w:hAnsi="Times New Roman" w:cs="Times New Roman"/>
          <w:iCs/>
          <w:sz w:val="24"/>
          <w:szCs w:val="24"/>
        </w:rPr>
        <w:t>”</w:t>
      </w:r>
      <w:r w:rsidR="00192847" w:rsidRPr="005B09A9">
        <w:rPr>
          <w:rFonts w:ascii="Times New Roman" w:hAnsi="Times New Roman" w:cs="Times New Roman"/>
          <w:iCs/>
          <w:sz w:val="24"/>
          <w:szCs w:val="24"/>
        </w:rPr>
        <w:t xml:space="preserve"> to be included)</w:t>
      </w:r>
      <w:r w:rsidR="007B3BE2" w:rsidRPr="005B09A9">
        <w:rPr>
          <w:rFonts w:ascii="Times New Roman" w:hAnsi="Times New Roman" w:cs="Times New Roman"/>
          <w:iCs/>
          <w:sz w:val="24"/>
          <w:szCs w:val="24"/>
        </w:rPr>
        <w:t xml:space="preserve"> </w:t>
      </w:r>
      <w:r w:rsidR="00192847"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{"citationID":"lukvaMvs","properties":{"formattedCitation":"(Roh et al., 2019)","plainCitation":"(Roh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Hyun"}],"issued":{"date-parts":[["2019",6,1]]}}}],"schema":"https://github.com/citation-style-language/schema/raw/master/csl-citation.json"} </w:instrText>
      </w:r>
      <w:r w:rsidR="00192847"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(Roh et al., 2019)</w:t>
      </w:r>
      <w:r w:rsidR="00192847" w:rsidRPr="005B09A9">
        <w:rPr>
          <w:rFonts w:ascii="Times New Roman" w:hAnsi="Times New Roman" w:cs="Times New Roman"/>
          <w:iCs/>
          <w:sz w:val="24"/>
          <w:szCs w:val="24"/>
        </w:rPr>
        <w:fldChar w:fldCharType="end"/>
      </w:r>
      <w:r w:rsidR="007B3BE2" w:rsidRPr="005B09A9">
        <w:rPr>
          <w:rFonts w:ascii="Times New Roman" w:hAnsi="Times New Roman" w:cs="Times New Roman"/>
          <w:iCs/>
          <w:sz w:val="24"/>
          <w:szCs w:val="24"/>
        </w:rPr>
        <w:t>.</w:t>
      </w:r>
    </w:p>
    <w:p w14:paraId="63050BA6" w14:textId="7EAAA8E8" w:rsidR="00192847" w:rsidRPr="005B09A9" w:rsidRDefault="005E02FB" w:rsidP="003B7B2C">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All studies except </w:t>
      </w:r>
      <w:r w:rsidR="00621818" w:rsidRPr="005B09A9">
        <w:rPr>
          <w:rFonts w:ascii="Times New Roman" w:hAnsi="Times New Roman" w:cs="Times New Roman"/>
          <w:iCs/>
          <w:sz w:val="24"/>
          <w:szCs w:val="24"/>
        </w:rPr>
        <w:t xml:space="preserve">one </w:t>
      </w:r>
      <w:r w:rsidR="00621818" w:rsidRPr="005B09A9">
        <w:rPr>
          <w:rFonts w:ascii="Times New Roman" w:hAnsi="Times New Roman" w:cs="Times New Roman"/>
          <w:iCs/>
          <w:sz w:val="24"/>
          <w:szCs w:val="24"/>
        </w:rPr>
        <w:fldChar w:fldCharType="begin"/>
      </w:r>
      <w:r w:rsidR="00621818" w:rsidRPr="005B09A9">
        <w:rPr>
          <w:rFonts w:ascii="Times New Roman" w:hAnsi="Times New Roman" w:cs="Times New Roman"/>
          <w:iCs/>
          <w:sz w:val="24"/>
          <w:szCs w:val="24"/>
        </w:rPr>
        <w:instrText xml:space="preserve"> ADDIN ZOTERO_ITEM CSL_CITATION {"citationID":"Mybktlbr","properties":{"formattedCitation":"(Dumas et al., 2011)","plainCitation":"(Dumas et al., 2011)","noteIndex":0},"citationItems":[{"id":154,"uris":["http://zotero.org/users/8777725/items/HHQWL3BX"],"itemData":{"id":154,"type":"article-journal","container-title":"Journal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621818" w:rsidRPr="005B09A9">
        <w:rPr>
          <w:rFonts w:ascii="Times New Roman" w:hAnsi="Times New Roman" w:cs="Times New Roman"/>
          <w:iCs/>
          <w:sz w:val="24"/>
          <w:szCs w:val="24"/>
        </w:rPr>
        <w:fldChar w:fldCharType="separate"/>
      </w:r>
      <w:r w:rsidR="00621818" w:rsidRPr="005B09A9">
        <w:rPr>
          <w:rFonts w:ascii="Times New Roman" w:hAnsi="Times New Roman" w:cs="Times New Roman"/>
          <w:sz w:val="24"/>
        </w:rPr>
        <w:t>(Dumas et al., 2011)</w:t>
      </w:r>
      <w:r w:rsidR="00621818" w:rsidRPr="005B09A9">
        <w:rPr>
          <w:rFonts w:ascii="Times New Roman" w:hAnsi="Times New Roman" w:cs="Times New Roman"/>
          <w:iCs/>
          <w:sz w:val="24"/>
          <w:szCs w:val="24"/>
        </w:rPr>
        <w:fldChar w:fldCharType="end"/>
      </w:r>
      <w:r w:rsidR="00621818"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t xml:space="preserve">used similar methods and settings to measure </w:t>
      </w:r>
      <w:r w:rsidR="00192847" w:rsidRPr="005B09A9">
        <w:rPr>
          <w:rFonts w:ascii="Times New Roman" w:hAnsi="Times New Roman" w:cs="Times New Roman"/>
          <w:iCs/>
          <w:sz w:val="24"/>
          <w:szCs w:val="24"/>
        </w:rPr>
        <w:t>prognostic factor</w:t>
      </w:r>
      <w:r w:rsidR="005603EC" w:rsidRPr="005B09A9">
        <w:rPr>
          <w:rFonts w:ascii="Times New Roman" w:hAnsi="Times New Roman" w:cs="Times New Roman"/>
          <w:iCs/>
          <w:sz w:val="24"/>
          <w:szCs w:val="24"/>
        </w:rPr>
        <w:t>s</w:t>
      </w:r>
      <w:r w:rsidR="00192847" w:rsidRPr="005B09A9">
        <w:rPr>
          <w:rFonts w:ascii="Times New Roman" w:hAnsi="Times New Roman" w:cs="Times New Roman"/>
          <w:iCs/>
          <w:sz w:val="24"/>
          <w:szCs w:val="24"/>
        </w:rPr>
        <w:t xml:space="preserve"> and outcome</w:t>
      </w:r>
      <w:r w:rsidR="005603EC" w:rsidRPr="005B09A9">
        <w:rPr>
          <w:rFonts w:ascii="Times New Roman" w:hAnsi="Times New Roman" w:cs="Times New Roman"/>
          <w:iCs/>
          <w:sz w:val="24"/>
          <w:szCs w:val="24"/>
        </w:rPr>
        <w:t>s</w:t>
      </w:r>
      <w:r w:rsidRPr="005B09A9">
        <w:rPr>
          <w:rFonts w:ascii="Times New Roman" w:hAnsi="Times New Roman" w:cs="Times New Roman"/>
          <w:iCs/>
          <w:sz w:val="24"/>
          <w:szCs w:val="24"/>
        </w:rPr>
        <w:t xml:space="preserve"> for all</w:t>
      </w:r>
      <w:r w:rsidR="00603588" w:rsidRPr="005B09A9">
        <w:rPr>
          <w:rFonts w:ascii="Times New Roman" w:hAnsi="Times New Roman" w:cs="Times New Roman"/>
          <w:iCs/>
          <w:sz w:val="24"/>
          <w:szCs w:val="24"/>
        </w:rPr>
        <w:t xml:space="preserve"> participants</w:t>
      </w:r>
      <w:r w:rsidRPr="005B09A9">
        <w:rPr>
          <w:rFonts w:ascii="Times New Roman" w:hAnsi="Times New Roman" w:cs="Times New Roman"/>
          <w:iCs/>
          <w:sz w:val="24"/>
          <w:szCs w:val="24"/>
        </w:rPr>
        <w:t xml:space="preserve">. </w:t>
      </w:r>
      <w:r w:rsidR="005603EC" w:rsidRPr="005B09A9">
        <w:rPr>
          <w:rFonts w:ascii="Times New Roman" w:hAnsi="Times New Roman" w:cs="Times New Roman"/>
          <w:iCs/>
          <w:sz w:val="24"/>
          <w:szCs w:val="24"/>
        </w:rPr>
        <w:t>Both p</w:t>
      </w:r>
      <w:r w:rsidRPr="005B09A9">
        <w:rPr>
          <w:rFonts w:ascii="Times New Roman" w:hAnsi="Times New Roman" w:cs="Times New Roman"/>
          <w:iCs/>
          <w:sz w:val="24"/>
          <w:szCs w:val="24"/>
        </w:rPr>
        <w:t xml:space="preserve">rognostic factor and outcome measures </w:t>
      </w:r>
      <w:r w:rsidR="003B637D" w:rsidRPr="005B09A9">
        <w:rPr>
          <w:rFonts w:ascii="Times New Roman" w:hAnsi="Times New Roman" w:cs="Times New Roman"/>
          <w:iCs/>
          <w:sz w:val="24"/>
          <w:szCs w:val="24"/>
        </w:rPr>
        <w:t xml:space="preserve">were not </w:t>
      </w:r>
      <w:r w:rsidRPr="005B09A9">
        <w:rPr>
          <w:rFonts w:ascii="Times New Roman" w:hAnsi="Times New Roman" w:cs="Times New Roman"/>
          <w:iCs/>
          <w:sz w:val="24"/>
          <w:szCs w:val="24"/>
        </w:rPr>
        <w:t>always clearly defined or assessed with validated instruments</w:t>
      </w:r>
      <w:r w:rsidR="00641F00" w:rsidRPr="005B09A9">
        <w:rPr>
          <w:rFonts w:ascii="Times New Roman" w:hAnsi="Times New Roman" w:cs="Times New Roman"/>
          <w:iCs/>
          <w:sz w:val="24"/>
          <w:szCs w:val="24"/>
        </w:rPr>
        <w:t>.</w:t>
      </w:r>
      <w:r w:rsidR="003B637D"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t>Moreover</w:t>
      </w:r>
      <w:r w:rsidR="003B637D" w:rsidRPr="005B09A9">
        <w:rPr>
          <w:rFonts w:ascii="Times New Roman" w:hAnsi="Times New Roman" w:cs="Times New Roman"/>
          <w:iCs/>
          <w:sz w:val="24"/>
          <w:szCs w:val="24"/>
        </w:rPr>
        <w:t>, some studies</w:t>
      </w:r>
      <w:r w:rsidR="00452949" w:rsidRPr="005B09A9">
        <w:rPr>
          <w:rFonts w:ascii="Times New Roman" w:hAnsi="Times New Roman" w:cs="Times New Roman"/>
          <w:iCs/>
          <w:sz w:val="24"/>
          <w:szCs w:val="24"/>
        </w:rPr>
        <w:t xml:space="preserve"> could have been less dichotomous</w:t>
      </w:r>
      <w:r w:rsidR="000E2D2F" w:rsidRPr="005B09A9">
        <w:rPr>
          <w:rFonts w:ascii="Times New Roman" w:hAnsi="Times New Roman" w:cs="Times New Roman"/>
          <w:iCs/>
          <w:sz w:val="24"/>
          <w:szCs w:val="24"/>
        </w:rPr>
        <w:t xml:space="preserve"> in their outcome criteria</w:t>
      </w:r>
      <w:r w:rsidR="00452949" w:rsidRPr="005B09A9">
        <w:rPr>
          <w:rFonts w:ascii="Times New Roman" w:hAnsi="Times New Roman" w:cs="Times New Roman"/>
          <w:iCs/>
          <w:sz w:val="24"/>
          <w:szCs w:val="24"/>
        </w:rPr>
        <w:t xml:space="preserve"> (e.g., Roh et </w:t>
      </w:r>
      <w:r w:rsidR="00452949" w:rsidRPr="005B09A9">
        <w:rPr>
          <w:rFonts w:ascii="Times New Roman" w:hAnsi="Times New Roman" w:cs="Times New Roman"/>
          <w:i/>
          <w:sz w:val="24"/>
          <w:szCs w:val="24"/>
        </w:rPr>
        <w:t>al</w:t>
      </w:r>
      <w:r w:rsidR="00452949" w:rsidRPr="005B09A9">
        <w:rPr>
          <w:rFonts w:ascii="Times New Roman" w:hAnsi="Times New Roman" w:cs="Times New Roman"/>
          <w:iCs/>
          <w:sz w:val="24"/>
          <w:szCs w:val="24"/>
        </w:rPr>
        <w:t>.</w:t>
      </w:r>
      <w:r w:rsidR="007B3BE2" w:rsidRPr="005B09A9">
        <w:rPr>
          <w:rFonts w:ascii="Times New Roman" w:hAnsi="Times New Roman" w:cs="Times New Roman"/>
          <w:iCs/>
          <w:sz w:val="24"/>
          <w:szCs w:val="24"/>
        </w:rPr>
        <w:t xml:space="preserve"> </w:t>
      </w:r>
      <w:r w:rsidR="00452949" w:rsidRPr="005B09A9">
        <w:rPr>
          <w:rFonts w:ascii="Times New Roman" w:hAnsi="Times New Roman" w:cs="Times New Roman"/>
          <w:iCs/>
          <w:sz w:val="24"/>
          <w:szCs w:val="24"/>
        </w:rPr>
        <w:t>used</w:t>
      </w:r>
      <w:r w:rsidR="00C677BD" w:rsidRPr="005B09A9">
        <w:rPr>
          <w:rFonts w:ascii="Times New Roman" w:hAnsi="Times New Roman" w:cs="Times New Roman"/>
          <w:iCs/>
          <w:sz w:val="24"/>
          <w:szCs w:val="24"/>
        </w:rPr>
        <w:t xml:space="preserve"> ‘</w:t>
      </w:r>
      <w:r w:rsidR="00C677BD" w:rsidRPr="005B09A9">
        <w:rPr>
          <w:rFonts w:ascii="Times New Roman" w:hAnsi="Times New Roman" w:cs="Times New Roman"/>
          <w:i/>
          <w:iCs/>
          <w:sz w:val="24"/>
          <w:szCs w:val="24"/>
        </w:rPr>
        <w:t>meeting</w:t>
      </w:r>
      <w:r w:rsidR="00C677BD" w:rsidRPr="005B09A9">
        <w:rPr>
          <w:rFonts w:ascii="Times New Roman" w:hAnsi="Times New Roman" w:cs="Times New Roman"/>
          <w:iCs/>
          <w:sz w:val="24"/>
          <w:szCs w:val="24"/>
        </w:rPr>
        <w:t xml:space="preserve"> </w:t>
      </w:r>
      <w:r w:rsidR="00452949" w:rsidRPr="005B09A9">
        <w:rPr>
          <w:rFonts w:ascii="Times New Roman" w:hAnsi="Times New Roman" w:cs="Times New Roman"/>
          <w:i/>
          <w:sz w:val="24"/>
          <w:szCs w:val="24"/>
        </w:rPr>
        <w:t xml:space="preserve">research Budapest criteria at 12 </w:t>
      </w:r>
      <w:r w:rsidR="00C168F4" w:rsidRPr="005B09A9">
        <w:rPr>
          <w:rFonts w:ascii="Times New Roman" w:hAnsi="Times New Roman" w:cs="Times New Roman"/>
          <w:i/>
          <w:sz w:val="24"/>
          <w:szCs w:val="24"/>
        </w:rPr>
        <w:t>months</w:t>
      </w:r>
      <w:r w:rsidR="00C53694" w:rsidRPr="005B09A9">
        <w:rPr>
          <w:rFonts w:ascii="Times New Roman" w:hAnsi="Times New Roman" w:cs="Times New Roman"/>
          <w:i/>
          <w:sz w:val="24"/>
          <w:szCs w:val="24"/>
        </w:rPr>
        <w:t xml:space="preserve"> (yes/no)</w:t>
      </w:r>
      <w:r w:rsidR="00BA5950" w:rsidRPr="005B09A9">
        <w:rPr>
          <w:rFonts w:ascii="Times New Roman" w:hAnsi="Times New Roman" w:cs="Times New Roman"/>
          <w:i/>
          <w:sz w:val="24"/>
          <w:szCs w:val="24"/>
        </w:rPr>
        <w:t>’</w:t>
      </w:r>
      <w:r w:rsidR="00F815EF" w:rsidRPr="005B09A9">
        <w:rPr>
          <w:rFonts w:ascii="Times New Roman" w:hAnsi="Times New Roman" w:cs="Times New Roman"/>
          <w:iCs/>
          <w:sz w:val="24"/>
          <w:szCs w:val="24"/>
        </w:rPr>
        <w:t xml:space="preserve"> </w:t>
      </w:r>
      <w:r w:rsidR="00452949" w:rsidRPr="005B09A9">
        <w:rPr>
          <w:rFonts w:ascii="Times New Roman" w:hAnsi="Times New Roman" w:cs="Times New Roman"/>
          <w:iCs/>
          <w:sz w:val="24"/>
          <w:szCs w:val="24"/>
        </w:rPr>
        <w:t xml:space="preserve">instead of </w:t>
      </w:r>
      <w:r w:rsidR="00F3068E" w:rsidRPr="005B09A9">
        <w:rPr>
          <w:rFonts w:ascii="Times New Roman" w:hAnsi="Times New Roman" w:cs="Times New Roman"/>
          <w:iCs/>
          <w:sz w:val="24"/>
          <w:szCs w:val="24"/>
        </w:rPr>
        <w:t>CSS</w:t>
      </w:r>
      <w:r w:rsidR="00890D4E" w:rsidRPr="005B09A9">
        <w:rPr>
          <w:rFonts w:ascii="Times New Roman" w:hAnsi="Times New Roman" w:cs="Times New Roman"/>
          <w:iCs/>
          <w:sz w:val="24"/>
          <w:szCs w:val="24"/>
        </w:rPr>
        <w:t xml:space="preserve">, a continuous and </w:t>
      </w:r>
      <w:r w:rsidR="00890D4E" w:rsidRPr="005B09A9">
        <w:rPr>
          <w:rFonts w:ascii="Times New Roman" w:hAnsi="Times New Roman" w:cs="Times New Roman"/>
          <w:iCs/>
          <w:sz w:val="24"/>
          <w:szCs w:val="24"/>
        </w:rPr>
        <w:lastRenderedPageBreak/>
        <w:t>well-studied</w:t>
      </w:r>
      <w:r w:rsidR="002A7F0C" w:rsidRPr="005B09A9">
        <w:rPr>
          <w:rFonts w:ascii="Times New Roman" w:hAnsi="Times New Roman" w:cs="Times New Roman"/>
          <w:iCs/>
          <w:sz w:val="24"/>
          <w:szCs w:val="24"/>
        </w:rPr>
        <w:t xml:space="preserve"> </w:t>
      </w:r>
      <w:r w:rsidR="00F3068E" w:rsidRPr="005B09A9">
        <w:rPr>
          <w:rFonts w:ascii="Times New Roman" w:hAnsi="Times New Roman" w:cs="Times New Roman"/>
          <w:iCs/>
          <w:sz w:val="24"/>
          <w:szCs w:val="24"/>
        </w:rPr>
        <w:t>parameter</w:t>
      </w:r>
      <w:r w:rsidR="007B3BE2" w:rsidRPr="005B09A9">
        <w:rPr>
          <w:rFonts w:ascii="Times New Roman" w:hAnsi="Times New Roman" w:cs="Times New Roman"/>
          <w:iCs/>
          <w:sz w:val="24"/>
          <w:szCs w:val="24"/>
        </w:rPr>
        <w:t xml:space="preserve"> </w:t>
      </w:r>
      <w:r w:rsidR="00F3068E"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{"citationID":"a5DxgMpy","properties":{"formattedCitation":"(Harden et al., 2010b, 2017)","plainCitation":"(Harden et al., 2010b, 2017)","noteIndex":0},"citationItems":[{"id":110,"uris":["http://zotero.org/users/8777725/items/MMPIEDAQ"],"itemData":{"id":110,"type":"article-journal","abstract":"The clinical diagnosis of Complex Regional Pain Syndrome (CRPS) is a dichotomous (yes/no) categorization necessary for clinical decision-making. However, such dichotomous diagnostic categories do not convey an individual's subtle and temporal gradations in severity of the condition, and have poor statistical power when used as an outcome measure in research. This study evaluated the validity and potential utility of a continuous type score to index severity of CRPS. Psychometric and medical evaluations were conducted in 114 CRPS patients and 41 non-CRPS neuropathic pain patients. Based on the presence/absence of 17 clinically-assessed signs and symptoms of CRPS, an overall CRPS Severity Score (CSS) was derived. The CSS discriminated well between CRPS and non-CRPS patients (p &lt; .001), and displayed strong associations with dichotomous CRPS diagnoses using both IASP diagnostic criteria (Eta = 0.69) and proposed revised criteria (Eta = 0.77-0.88). Higher CSS was associated with significantly higher clinical pain intensity, distress, and functional impairments, as well as greater bilateral temperature asymmetry and thermal perception abnormalities (p's &lt; .05). In an archival prospective dataset, increases in anxiety and depression from pre-surgical baseline to 4 weeks post-knee arthroplasty were found to predict significantly higher CSS at 6- and 12-month follow-up (p's &lt; .05). Results indicate the CSS corresponds with and complements currently accepted dichotomous diagnostic criteria for CRPS, and support its validity as an index of CRPS severity. Its utility as an outcome measure in research studies is also suggested, with potential statistical advantages over dichotomous diagnostic criteria. © 2010 International Association for the Study of Pain. Published by Elsevier B.V. All rights reserved.","container-title":"Pain","DOI":"10.1016/j.pain.2010.09.031","ISSN":"03043959","issue":"3","note":"PMID: 20965657","page":"870-876","title":"Development of a severity score for CRPS","volume":"151","author":[{"family":"Harden","given":"R. Norman"},{"family":"Bruehl","given":"Stephen"},{"family":"Perez","given":"Roberto S. G. M."},{"family":"Birklein","given":"Frank"},{"family":"Marinus","given":"Johan"},{"family":"Maihofner","given":"Christian"},{"family":"Lubenow","given":"Timothy"},{"family":"Buvanendran","given":"Asokumar"},{"family":"MacKey","given":"Sean"},{"family":"Graciosa","given":"Joseph"},{"family":"Mogilevski","given":"Mila"},{"family":"Ramsden","given":"Christopher"},{"family":"Schlereth","given":"Tanja"},{"family":"Chont","given":"Melissa"},{"family":"Vatine","given":"Jean Jacques"}],"issued":{"date-parts":[["2010",12]]}}},{"id":940,"uris":["http://zotero.org/users/8777725/items/FJKK5TAH"],"itemData":{"id":940,"type":"article-journal","abstract":"Clinical diagnosis of complex regional pain syndrome (CRPS) is a dichotomous (yes/no) categorization, a format necessary for clinical decision making. Such dichotomous diagnostic categories do not convey an individual's subtle gradations in the severity of the condition over time and have poor statistical power when used as an outcome measure in research. This prospective, international, multicenter study slightly modified and further evaluated the validity of the CRPS Severity Score (CSS), a continuous index of CRPS severity. Using a prospective design, medical evaluations were conducted in 156 patients with CRPS to compare changes over time in CSS scores between patients initiating a new treatment program and patients on stable treatment regimens. New vs stable categorizations were supported by greater changes in pain and function in the former. Results indicated that CSS values in the stable CRPS treatment group exhibited much less change over time relative to the new treatment group, with intraclass correlations nearly twice as large in the former. A calculated smallest real difference value revealed that a change in the CSS of ≥4.9 scale points would indicate real differences in CRPS symptomatology (with 95% confidence). Across groups, larger changes in CRPS features on the CSS over time were associated in the expected direction with greater changes in pain intensity, fatigue, social functioning, ability to engage in physical roles, and general well-being. The overall pattern of findings further supports the validity of the CSS as a measure of CRPS severity and suggests it may prove useful in clinical monitoring and outcomes research.","container-title":"Pain","DOI":"10.1097/j.pain.0000000000000927","ISSN":"1872-6623","issue":"8","journalAbbreviation":"Pain","language":"eng","note":"PMID: 28715350","page":"1430-1436","source":"PubMed","title":"A prospective, multisite, international validation of the Complex Regional Pain Syndrome Severity Score","volume":"158","author":[{"family":"Harden","given":"R. Norman"},{"family":"Maihofner","given":"Christian"},{"family":"Abousaad","given":"Elias"},{"family":"Vatine","given":"Jean-Jacques"},{"family":"Kirsling","given":"Amy"},{"family":"Perez","given":"Roberto S. G. M."},{"family":"Kuroda","given":"Maxine"},{"family":"Brunner","given":"Florian"},{"family":"Stanton-Hicks","given":"Michael"},{"family":"Marinus","given":"Johan"},{"family":"Hilten","given":"Jacobus J.","non-dropping-particle":"van"},{"family":"Mackey","given":"Sean"},{"family":"Birklein","given":"Frank"},{"family":"Schlereth","given":"Tanja"},{"family":"Mailis-Gagnon","given":"Angela"},{"family":"Graciosa","given":"Joe"},{"family":"Connoly","given":"Sara B."},{"family":"Dayanim","given":"David"},{"family":"Massey","given":"Michael"},{"family":"Frank","given":"Hadas"},{"family":"Livshitz","given":"Anatoly"},{"family":"Bruehl","given":"Stephen"}],"issued":{"date-parts":[["2017",8]]}}}],"schema":"https://github.com/citation-style-language/schema/raw/master/csl-citation.json"} </w:instrText>
      </w:r>
      <w:r w:rsidR="00F3068E"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(Harden et al., 2010b, 2017)</w:t>
      </w:r>
      <w:r w:rsidR="00F3068E" w:rsidRPr="005B09A9">
        <w:rPr>
          <w:rFonts w:ascii="Times New Roman" w:hAnsi="Times New Roman" w:cs="Times New Roman"/>
          <w:iCs/>
          <w:sz w:val="24"/>
          <w:szCs w:val="24"/>
        </w:rPr>
        <w:fldChar w:fldCharType="end"/>
      </w:r>
      <w:r w:rsidR="00AF680A" w:rsidRPr="005B09A9">
        <w:rPr>
          <w:rFonts w:ascii="Times New Roman" w:hAnsi="Times New Roman" w:cs="Times New Roman"/>
          <w:iCs/>
          <w:sz w:val="24"/>
          <w:szCs w:val="24"/>
        </w:rPr>
        <w:t>).</w:t>
      </w:r>
      <w:r w:rsidR="00C677BD" w:rsidRPr="005B09A9">
        <w:rPr>
          <w:rFonts w:ascii="Times New Roman" w:hAnsi="Times New Roman" w:cs="Times New Roman"/>
          <w:iCs/>
          <w:sz w:val="24"/>
          <w:szCs w:val="24"/>
        </w:rPr>
        <w:t xml:space="preserve"> </w:t>
      </w:r>
      <w:r w:rsidRPr="005B09A9">
        <w:rPr>
          <w:rFonts w:ascii="Times New Roman" w:hAnsi="Times New Roman" w:cs="Times New Roman"/>
          <w:iCs/>
          <w:sz w:val="24"/>
          <w:szCs w:val="24"/>
        </w:rPr>
        <w:t>C</w:t>
      </w:r>
      <w:r w:rsidR="00192847" w:rsidRPr="005B09A9">
        <w:rPr>
          <w:rFonts w:ascii="Times New Roman" w:hAnsi="Times New Roman" w:cs="Times New Roman"/>
          <w:iCs/>
          <w:sz w:val="24"/>
          <w:szCs w:val="24"/>
        </w:rPr>
        <w:t xml:space="preserve">onfounding factors </w:t>
      </w:r>
      <w:r w:rsidR="003B637D" w:rsidRPr="005B09A9">
        <w:rPr>
          <w:rFonts w:ascii="Times New Roman" w:hAnsi="Times New Roman" w:cs="Times New Roman"/>
          <w:iCs/>
          <w:sz w:val="24"/>
          <w:szCs w:val="24"/>
        </w:rPr>
        <w:t xml:space="preserve">were </w:t>
      </w:r>
      <w:r w:rsidRPr="005B09A9">
        <w:rPr>
          <w:rFonts w:ascii="Times New Roman" w:hAnsi="Times New Roman" w:cs="Times New Roman"/>
          <w:iCs/>
          <w:sz w:val="24"/>
          <w:szCs w:val="24"/>
        </w:rPr>
        <w:t>only investigated</w:t>
      </w:r>
      <w:r w:rsidR="00A845C2" w:rsidRPr="005B09A9">
        <w:rPr>
          <w:rFonts w:ascii="Times New Roman" w:hAnsi="Times New Roman" w:cs="Times New Roman"/>
          <w:iCs/>
          <w:sz w:val="24"/>
          <w:szCs w:val="24"/>
        </w:rPr>
        <w:t xml:space="preserve"> in </w:t>
      </w:r>
      <w:r w:rsidR="00621818" w:rsidRPr="005B09A9">
        <w:rPr>
          <w:rFonts w:ascii="Times New Roman" w:hAnsi="Times New Roman" w:cs="Times New Roman"/>
          <w:iCs/>
          <w:sz w:val="24"/>
          <w:szCs w:val="24"/>
        </w:rPr>
        <w:t>one cohort</w:t>
      </w:r>
      <w:r w:rsidR="007B3BE2" w:rsidRPr="005B09A9">
        <w:rPr>
          <w:rFonts w:ascii="Times New Roman" w:hAnsi="Times New Roman" w:cs="Times New Roman"/>
          <w:iCs/>
          <w:sz w:val="24"/>
          <w:szCs w:val="24"/>
        </w:rPr>
        <w:t xml:space="preserve"> </w:t>
      </w:r>
      <w:r w:rsidR="00D547C2"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{"citationID":"ZsyxPp6E","properties":{"formattedCitation":"(Bean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D547C2"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(Bean et al., 2015, 2016b)</w:t>
      </w:r>
      <w:r w:rsidR="00D547C2" w:rsidRPr="005B09A9">
        <w:rPr>
          <w:rFonts w:ascii="Times New Roman" w:hAnsi="Times New Roman" w:cs="Times New Roman"/>
          <w:iCs/>
          <w:sz w:val="24"/>
          <w:szCs w:val="24"/>
        </w:rPr>
        <w:fldChar w:fldCharType="end"/>
      </w:r>
      <w:r w:rsidR="007B3BE2" w:rsidRPr="005B09A9">
        <w:rPr>
          <w:rFonts w:ascii="Times New Roman" w:hAnsi="Times New Roman" w:cs="Times New Roman"/>
          <w:iCs/>
          <w:sz w:val="24"/>
          <w:szCs w:val="24"/>
        </w:rPr>
        <w:t>.</w:t>
      </w:r>
    </w:p>
    <w:p w14:paraId="1140D599" w14:textId="48FB7ED5" w:rsidR="00836351" w:rsidRPr="005B09A9" w:rsidRDefault="00BA5950" w:rsidP="003B7B2C">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A</w:t>
      </w:r>
      <w:r w:rsidR="00603588" w:rsidRPr="005B09A9">
        <w:rPr>
          <w:rFonts w:ascii="Times New Roman" w:hAnsi="Times New Roman" w:cs="Times New Roman"/>
          <w:iCs/>
          <w:sz w:val="24"/>
          <w:szCs w:val="24"/>
        </w:rPr>
        <w:t>part from</w:t>
      </w:r>
      <w:r w:rsidR="00A21DBC" w:rsidRPr="005B09A9">
        <w:rPr>
          <w:rFonts w:ascii="Times New Roman" w:hAnsi="Times New Roman" w:cs="Times New Roman"/>
          <w:iCs/>
          <w:sz w:val="24"/>
          <w:szCs w:val="24"/>
        </w:rPr>
        <w:t xml:space="preserve"> </w:t>
      </w:r>
      <w:r w:rsidR="00621818" w:rsidRPr="005B09A9">
        <w:rPr>
          <w:rFonts w:ascii="Times New Roman" w:hAnsi="Times New Roman" w:cs="Times New Roman"/>
          <w:iCs/>
          <w:sz w:val="24"/>
          <w:szCs w:val="24"/>
        </w:rPr>
        <w:t xml:space="preserve">two studies </w:t>
      </w:r>
      <w:r w:rsidR="008A0055"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{"citationID":"fyHSskYX","properties":{"formattedCitation":"(Bean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8A0055"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(Bean et al., 2015, 2016b)</w:t>
      </w:r>
      <w:r w:rsidR="008A0055" w:rsidRPr="005B09A9">
        <w:rPr>
          <w:rFonts w:ascii="Times New Roman" w:hAnsi="Times New Roman" w:cs="Times New Roman"/>
          <w:iCs/>
          <w:sz w:val="24"/>
          <w:szCs w:val="24"/>
        </w:rPr>
        <w:fldChar w:fldCharType="end"/>
      </w:r>
      <w:r w:rsidR="00192847" w:rsidRPr="005B09A9">
        <w:rPr>
          <w:rFonts w:ascii="Times New Roman" w:hAnsi="Times New Roman" w:cs="Times New Roman"/>
          <w:iCs/>
          <w:sz w:val="24"/>
          <w:szCs w:val="24"/>
        </w:rPr>
        <w:t xml:space="preserve">, </w:t>
      </w:r>
      <w:r w:rsidR="006D5A62" w:rsidRPr="005B09A9">
        <w:rPr>
          <w:rFonts w:ascii="Times New Roman" w:hAnsi="Times New Roman" w:cs="Times New Roman"/>
          <w:iCs/>
          <w:sz w:val="24"/>
          <w:szCs w:val="24"/>
        </w:rPr>
        <w:t xml:space="preserve">no other study </w:t>
      </w:r>
      <w:r w:rsidR="00653C88" w:rsidRPr="005B09A9">
        <w:rPr>
          <w:rFonts w:ascii="Times New Roman" w:hAnsi="Times New Roman" w:cs="Times New Roman"/>
          <w:iCs/>
          <w:sz w:val="24"/>
          <w:szCs w:val="24"/>
        </w:rPr>
        <w:t>performed multivariable</w:t>
      </w:r>
      <w:r w:rsidR="00346137" w:rsidRPr="005B09A9">
        <w:rPr>
          <w:rFonts w:ascii="Times New Roman" w:hAnsi="Times New Roman" w:cs="Times New Roman"/>
          <w:iCs/>
          <w:sz w:val="24"/>
          <w:szCs w:val="24"/>
        </w:rPr>
        <w:t xml:space="preserve"> </w:t>
      </w:r>
      <w:r w:rsidR="008A0055" w:rsidRPr="005B09A9">
        <w:rPr>
          <w:rFonts w:ascii="Times New Roman" w:hAnsi="Times New Roman" w:cs="Times New Roman"/>
          <w:iCs/>
          <w:sz w:val="24"/>
          <w:szCs w:val="24"/>
        </w:rPr>
        <w:t>analyses</w:t>
      </w:r>
      <w:r w:rsidR="00E40024" w:rsidRPr="005B09A9">
        <w:rPr>
          <w:rFonts w:ascii="Times New Roman" w:hAnsi="Times New Roman" w:cs="Times New Roman"/>
          <w:iCs/>
          <w:sz w:val="24"/>
          <w:szCs w:val="24"/>
        </w:rPr>
        <w:t>,</w:t>
      </w:r>
      <w:r w:rsidR="00192847" w:rsidRPr="005B09A9">
        <w:rPr>
          <w:rFonts w:ascii="Times New Roman" w:hAnsi="Times New Roman" w:cs="Times New Roman"/>
          <w:iCs/>
          <w:sz w:val="24"/>
          <w:szCs w:val="24"/>
        </w:rPr>
        <w:t xml:space="preserve"> and only </w:t>
      </w:r>
      <w:r w:rsidR="00621818" w:rsidRPr="005B09A9">
        <w:rPr>
          <w:rFonts w:ascii="Times New Roman" w:hAnsi="Times New Roman" w:cs="Times New Roman"/>
          <w:iCs/>
          <w:sz w:val="24"/>
          <w:szCs w:val="24"/>
        </w:rPr>
        <w:t xml:space="preserve">one </w:t>
      </w:r>
      <w:r w:rsidRPr="005B09A9">
        <w:rPr>
          <w:rFonts w:ascii="Times New Roman" w:hAnsi="Times New Roman" w:cs="Times New Roman"/>
          <w:iCs/>
          <w:sz w:val="24"/>
          <w:szCs w:val="24"/>
        </w:rPr>
        <w:fldChar w:fldCharType="begin"/>
      </w:r>
      <w:r w:rsidR="00C00CEA" w:rsidRPr="005B09A9">
        <w:rPr>
          <w:rFonts w:ascii="Times New Roman" w:hAnsi="Times New Roman" w:cs="Times New Roman"/>
          <w:iCs/>
          <w:sz w:val="24"/>
          <w:szCs w:val="24"/>
        </w:rPr>
        <w:instrText xml:space="preserve"> ADDIN ZOTERO_ITEM CSL_CITATION {"citationID":"srnr5t4G","properties":{"formattedCitation":"(Dumas et al., 2011)","plainCitation":"(Dumas et al., 2011)","noteIndex":0},"citationItems":[{"id":154,"uris":["http://zotero.org/users/8777725/items/HHQWL3BX"],"itemData":{"id":154,"type":"article-journal","container-title":"Journal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Pr="005B09A9">
        <w:rPr>
          <w:rFonts w:ascii="Times New Roman" w:hAnsi="Times New Roman" w:cs="Times New Roman"/>
          <w:iCs/>
          <w:sz w:val="24"/>
          <w:szCs w:val="24"/>
        </w:rPr>
        <w:fldChar w:fldCharType="separate"/>
      </w:r>
      <w:r w:rsidR="00C00CEA" w:rsidRPr="005B09A9">
        <w:rPr>
          <w:rFonts w:ascii="Times New Roman" w:hAnsi="Times New Roman" w:cs="Times New Roman"/>
          <w:sz w:val="24"/>
        </w:rPr>
        <w:t>(Dumas et al., 2011)</w:t>
      </w:r>
      <w:r w:rsidRPr="005B09A9">
        <w:rPr>
          <w:rFonts w:ascii="Times New Roman" w:hAnsi="Times New Roman" w:cs="Times New Roman"/>
          <w:iCs/>
          <w:sz w:val="24"/>
          <w:szCs w:val="24"/>
        </w:rPr>
        <w:fldChar w:fldCharType="end"/>
      </w:r>
      <w:r w:rsidR="00192847" w:rsidRPr="005B09A9">
        <w:rPr>
          <w:rFonts w:ascii="Times New Roman" w:hAnsi="Times New Roman" w:cs="Times New Roman"/>
          <w:iCs/>
          <w:sz w:val="24"/>
          <w:szCs w:val="24"/>
        </w:rPr>
        <w:t xml:space="preserve"> justified this choice (</w:t>
      </w:r>
      <w:r w:rsidR="00192847" w:rsidRPr="005B09A9">
        <w:rPr>
          <w:rFonts w:ascii="Times New Roman" w:hAnsi="Times New Roman" w:cs="Times New Roman"/>
          <w:i/>
          <w:iCs/>
          <w:sz w:val="24"/>
          <w:szCs w:val="24"/>
        </w:rPr>
        <w:t>la</w:t>
      </w:r>
      <w:r w:rsidR="00630608" w:rsidRPr="005B09A9">
        <w:rPr>
          <w:rFonts w:ascii="Times New Roman" w:hAnsi="Times New Roman" w:cs="Times New Roman"/>
          <w:i/>
          <w:iCs/>
          <w:sz w:val="24"/>
          <w:szCs w:val="24"/>
        </w:rPr>
        <w:t>ck</w:t>
      </w:r>
      <w:r w:rsidR="00192847" w:rsidRPr="005B09A9">
        <w:rPr>
          <w:rFonts w:ascii="Times New Roman" w:hAnsi="Times New Roman" w:cs="Times New Roman"/>
          <w:i/>
          <w:iCs/>
          <w:sz w:val="24"/>
          <w:szCs w:val="24"/>
        </w:rPr>
        <w:t xml:space="preserve"> of power</w:t>
      </w:r>
      <w:r w:rsidR="00192847" w:rsidRPr="005B09A9">
        <w:rPr>
          <w:rFonts w:ascii="Times New Roman" w:hAnsi="Times New Roman" w:cs="Times New Roman"/>
          <w:iCs/>
          <w:sz w:val="24"/>
          <w:szCs w:val="24"/>
        </w:rPr>
        <w:t>).</w:t>
      </w:r>
      <w:r w:rsidR="00603588" w:rsidRPr="005B09A9">
        <w:rPr>
          <w:rFonts w:ascii="Times New Roman" w:hAnsi="Times New Roman" w:cs="Times New Roman"/>
          <w:iCs/>
          <w:sz w:val="24"/>
          <w:szCs w:val="24"/>
        </w:rPr>
        <w:t xml:space="preserve"> Results </w:t>
      </w:r>
      <w:r w:rsidR="0011337F" w:rsidRPr="005B09A9">
        <w:rPr>
          <w:rFonts w:ascii="Times New Roman" w:hAnsi="Times New Roman" w:cs="Times New Roman"/>
          <w:iCs/>
          <w:sz w:val="24"/>
          <w:szCs w:val="24"/>
        </w:rPr>
        <w:t>correspond</w:t>
      </w:r>
      <w:r w:rsidR="003603AD" w:rsidRPr="005B09A9">
        <w:rPr>
          <w:rFonts w:ascii="Times New Roman" w:hAnsi="Times New Roman" w:cs="Times New Roman"/>
          <w:iCs/>
          <w:sz w:val="24"/>
          <w:szCs w:val="24"/>
        </w:rPr>
        <w:t>ed</w:t>
      </w:r>
      <w:r w:rsidR="0011337F" w:rsidRPr="005B09A9">
        <w:rPr>
          <w:rFonts w:ascii="Times New Roman" w:hAnsi="Times New Roman" w:cs="Times New Roman"/>
          <w:iCs/>
          <w:sz w:val="24"/>
          <w:szCs w:val="24"/>
        </w:rPr>
        <w:t xml:space="preserve"> therefore to descriptive analyses </w:t>
      </w:r>
      <w:r w:rsidR="001B5C1C" w:rsidRPr="005B09A9">
        <w:rPr>
          <w:rFonts w:ascii="Times New Roman" w:hAnsi="Times New Roman" w:cs="Times New Roman"/>
          <w:iCs/>
          <w:sz w:val="24"/>
          <w:szCs w:val="24"/>
        </w:rPr>
        <w:t xml:space="preserve">in small samples </w:t>
      </w:r>
      <w:r w:rsidR="0011337F" w:rsidRPr="005B09A9">
        <w:rPr>
          <w:rFonts w:ascii="Times New Roman" w:hAnsi="Times New Roman" w:cs="Times New Roman"/>
          <w:iCs/>
          <w:sz w:val="24"/>
          <w:szCs w:val="24"/>
        </w:rPr>
        <w:t xml:space="preserve">and </w:t>
      </w:r>
      <w:r w:rsidR="00603588" w:rsidRPr="005B09A9">
        <w:rPr>
          <w:rFonts w:ascii="Times New Roman" w:hAnsi="Times New Roman" w:cs="Times New Roman"/>
          <w:iCs/>
          <w:sz w:val="24"/>
          <w:szCs w:val="24"/>
        </w:rPr>
        <w:t>must be read with caution</w:t>
      </w:r>
      <w:r w:rsidR="007E471C" w:rsidRPr="005B09A9">
        <w:rPr>
          <w:rFonts w:ascii="Times New Roman" w:hAnsi="Times New Roman" w:cs="Times New Roman"/>
          <w:iCs/>
          <w:sz w:val="24"/>
          <w:szCs w:val="24"/>
        </w:rPr>
        <w:t>.</w:t>
      </w:r>
      <w:r w:rsidR="00D47F15" w:rsidRPr="005B09A9">
        <w:rPr>
          <w:rFonts w:ascii="Times New Roman" w:hAnsi="Times New Roman" w:cs="Times New Roman"/>
          <w:iCs/>
          <w:sz w:val="24"/>
          <w:szCs w:val="24"/>
        </w:rPr>
        <w:t xml:space="preserve"> Data on the effect size of prognostic factors were mostly lacking</w:t>
      </w:r>
      <w:r w:rsidR="00BD0BD5" w:rsidRPr="005B09A9">
        <w:rPr>
          <w:rFonts w:ascii="Times New Roman" w:hAnsi="Times New Roman" w:cs="Times New Roman"/>
          <w:iCs/>
          <w:sz w:val="24"/>
          <w:szCs w:val="24"/>
        </w:rPr>
        <w:t xml:space="preserve"> and could not be extracted</w:t>
      </w:r>
      <w:r w:rsidR="00D47F15" w:rsidRPr="005B09A9">
        <w:rPr>
          <w:rFonts w:ascii="Times New Roman" w:hAnsi="Times New Roman" w:cs="Times New Roman"/>
          <w:iCs/>
          <w:sz w:val="24"/>
          <w:szCs w:val="24"/>
        </w:rPr>
        <w:t xml:space="preserve">. </w:t>
      </w:r>
    </w:p>
    <w:p w14:paraId="1B17702B" w14:textId="2E04C346" w:rsidR="000E0862" w:rsidRPr="005B09A9" w:rsidRDefault="000E0862" w:rsidP="003B7B2C">
      <w:pPr>
        <w:spacing w:line="480" w:lineRule="auto"/>
        <w:jc w:val="center"/>
        <w:rPr>
          <w:rStyle w:val="Accentuationlgre"/>
          <w:rFonts w:ascii="Times New Roman" w:hAnsi="Times New Roman" w:cs="Times New Roman"/>
          <w:b w:val="0"/>
          <w:bCs/>
          <w:i w:val="0"/>
          <w:sz w:val="24"/>
          <w:szCs w:val="24"/>
          <w:u w:val="none"/>
        </w:rPr>
      </w:pPr>
      <w:r w:rsidRPr="005B09A9">
        <w:rPr>
          <w:rStyle w:val="Accentuationlgre"/>
          <w:rFonts w:ascii="Times New Roman" w:hAnsi="Times New Roman" w:cs="Times New Roman"/>
          <w:b w:val="0"/>
          <w:bCs/>
          <w:i w:val="0"/>
          <w:sz w:val="24"/>
          <w:szCs w:val="24"/>
          <w:u w:val="none"/>
        </w:rPr>
        <w:t>[insert Table 2.]</w:t>
      </w:r>
    </w:p>
    <w:p w14:paraId="7D238BF0" w14:textId="33A4EC39" w:rsidR="00836351" w:rsidRPr="005B09A9" w:rsidRDefault="008B37E3" w:rsidP="006F05A7">
      <w:pPr>
        <w:pStyle w:val="Paragraphedeliste"/>
        <w:numPr>
          <w:ilvl w:val="1"/>
          <w:numId w:val="18"/>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 xml:space="preserve"> </w:t>
      </w:r>
      <w:r w:rsidR="00E40024" w:rsidRPr="005B09A9">
        <w:rPr>
          <w:rStyle w:val="Accentuationlgre"/>
          <w:rFonts w:ascii="Times New Roman" w:hAnsi="Times New Roman" w:cs="Times New Roman"/>
          <w:b w:val="0"/>
          <w:sz w:val="24"/>
          <w:szCs w:val="24"/>
          <w:lang w:val="en-GB"/>
        </w:rPr>
        <w:t xml:space="preserve">Study </w:t>
      </w:r>
      <w:r w:rsidR="003B7B2C" w:rsidRPr="005B09A9">
        <w:rPr>
          <w:rStyle w:val="Accentuationlgre"/>
          <w:rFonts w:ascii="Times New Roman" w:hAnsi="Times New Roman" w:cs="Times New Roman"/>
          <w:b w:val="0"/>
          <w:sz w:val="24"/>
          <w:szCs w:val="24"/>
          <w:lang w:val="en-GB"/>
        </w:rPr>
        <w:t>R</w:t>
      </w:r>
      <w:r w:rsidR="00552E63" w:rsidRPr="005B09A9">
        <w:rPr>
          <w:rStyle w:val="Accentuationlgre"/>
          <w:rFonts w:ascii="Times New Roman" w:hAnsi="Times New Roman" w:cs="Times New Roman"/>
          <w:b w:val="0"/>
          <w:sz w:val="24"/>
          <w:szCs w:val="24"/>
          <w:lang w:val="en-GB"/>
        </w:rPr>
        <w:t>esults</w:t>
      </w:r>
    </w:p>
    <w:p w14:paraId="1BC028FB" w14:textId="3A8212E4" w:rsidR="00836351" w:rsidRPr="005B09A9" w:rsidRDefault="00303796"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The results </w:t>
      </w:r>
      <w:r w:rsidR="00095B5F" w:rsidRPr="005B09A9">
        <w:rPr>
          <w:rFonts w:ascii="Times New Roman" w:hAnsi="Times New Roman" w:cs="Times New Roman"/>
          <w:sz w:val="24"/>
          <w:szCs w:val="24"/>
        </w:rPr>
        <w:t xml:space="preserve">from individual studies </w:t>
      </w:r>
      <w:r w:rsidRPr="005B09A9">
        <w:rPr>
          <w:rFonts w:ascii="Times New Roman" w:hAnsi="Times New Roman" w:cs="Times New Roman"/>
          <w:sz w:val="24"/>
          <w:szCs w:val="24"/>
        </w:rPr>
        <w:t xml:space="preserve">are presented in Table </w:t>
      </w:r>
      <w:r w:rsidR="0011337F" w:rsidRPr="005B09A9">
        <w:rPr>
          <w:rFonts w:ascii="Times New Roman" w:hAnsi="Times New Roman" w:cs="Times New Roman"/>
          <w:bCs/>
          <w:sz w:val="24"/>
          <w:szCs w:val="24"/>
        </w:rPr>
        <w:t>3</w:t>
      </w:r>
      <w:r w:rsidRPr="005B09A9">
        <w:rPr>
          <w:rFonts w:ascii="Times New Roman" w:hAnsi="Times New Roman" w:cs="Times New Roman"/>
          <w:sz w:val="24"/>
          <w:szCs w:val="24"/>
        </w:rPr>
        <w:t>.</w:t>
      </w:r>
      <w:r w:rsidR="00763BEA" w:rsidRPr="005B09A9">
        <w:rPr>
          <w:rFonts w:ascii="Times New Roman" w:hAnsi="Times New Roman" w:cs="Times New Roman"/>
          <w:sz w:val="24"/>
          <w:szCs w:val="24"/>
        </w:rPr>
        <w:t xml:space="preserve"> </w:t>
      </w:r>
      <w:r w:rsidR="00621818" w:rsidRPr="005B09A9">
        <w:rPr>
          <w:rFonts w:ascii="Times New Roman" w:hAnsi="Times New Roman" w:cs="Times New Roman"/>
          <w:sz w:val="24"/>
          <w:szCs w:val="24"/>
        </w:rPr>
        <w:t>Due to the heterogeneity of the investigated prognostic factors, outcomes, and the lack of data on effect sizes, we did not perform any quantitative analysis.</w:t>
      </w:r>
    </w:p>
    <w:p w14:paraId="5EB7EDB2" w14:textId="2E7A6027" w:rsidR="00156E26" w:rsidRPr="005B09A9" w:rsidRDefault="00156E26" w:rsidP="003B7B2C">
      <w:pPr>
        <w:spacing w:line="480" w:lineRule="auto"/>
        <w:jc w:val="center"/>
        <w:rPr>
          <w:rFonts w:ascii="Times New Roman" w:hAnsi="Times New Roman" w:cs="Times New Roman"/>
          <w:sz w:val="24"/>
          <w:szCs w:val="24"/>
        </w:rPr>
      </w:pPr>
      <w:r w:rsidRPr="005B09A9">
        <w:rPr>
          <w:rFonts w:ascii="Times New Roman" w:hAnsi="Times New Roman" w:cs="Times New Roman"/>
          <w:sz w:val="24"/>
          <w:szCs w:val="24"/>
        </w:rPr>
        <w:t>[insert Table 3.]</w:t>
      </w:r>
    </w:p>
    <w:p w14:paraId="5CC46EE8" w14:textId="2C0069B6" w:rsidR="00A6130D" w:rsidRPr="005B09A9" w:rsidRDefault="00A6130D" w:rsidP="003B7B2C">
      <w:pPr>
        <w:spacing w:line="480" w:lineRule="auto"/>
        <w:jc w:val="left"/>
        <w:rPr>
          <w:rStyle w:val="Accentuationlgre"/>
          <w:rFonts w:ascii="Times New Roman" w:hAnsi="Times New Roman" w:cs="Times New Roman"/>
          <w:b w:val="0"/>
          <w:i w:val="0"/>
          <w:iCs w:val="0"/>
          <w:sz w:val="24"/>
          <w:szCs w:val="24"/>
          <w:u w:val="none"/>
        </w:rPr>
      </w:pPr>
      <w:r w:rsidRPr="005B09A9">
        <w:rPr>
          <w:rFonts w:ascii="Times New Roman" w:hAnsi="Times New Roman" w:cs="Times New Roman"/>
          <w:sz w:val="24"/>
          <w:szCs w:val="24"/>
        </w:rPr>
        <w:t>We reported prognostic factors below according to the outcomes and the number of studies that investigated these outcomes.</w:t>
      </w:r>
    </w:p>
    <w:p w14:paraId="35DB1F14" w14:textId="5A1DE306" w:rsidR="00836351" w:rsidRPr="005B09A9" w:rsidRDefault="003B7B2C" w:rsidP="006F05A7">
      <w:pPr>
        <w:pStyle w:val="Paragraphedeliste"/>
        <w:numPr>
          <w:ilvl w:val="2"/>
          <w:numId w:val="18"/>
        </w:numPr>
        <w:spacing w:line="480" w:lineRule="auto"/>
        <w:rPr>
          <w:rStyle w:val="Accentuation"/>
          <w:rFonts w:ascii="Times New Roman" w:hAnsi="Times New Roman" w:cs="Times New Roman"/>
          <w:b w:val="0"/>
          <w:sz w:val="24"/>
          <w:szCs w:val="24"/>
          <w:lang w:val="en-GB"/>
        </w:rPr>
      </w:pPr>
      <w:r w:rsidRPr="005B09A9">
        <w:rPr>
          <w:rStyle w:val="Accentuation"/>
          <w:rFonts w:ascii="Times New Roman" w:hAnsi="Times New Roman" w:cs="Times New Roman"/>
          <w:b w:val="0"/>
          <w:sz w:val="24"/>
          <w:szCs w:val="24"/>
          <w:lang w:val="en-GB"/>
        </w:rPr>
        <w:t>Measures R</w:t>
      </w:r>
      <w:r w:rsidR="00552E63" w:rsidRPr="005B09A9">
        <w:rPr>
          <w:rStyle w:val="Accentuation"/>
          <w:rFonts w:ascii="Times New Roman" w:hAnsi="Times New Roman" w:cs="Times New Roman"/>
          <w:b w:val="0"/>
          <w:sz w:val="24"/>
          <w:szCs w:val="24"/>
          <w:lang w:val="en-GB"/>
        </w:rPr>
        <w:t xml:space="preserve">elated to </w:t>
      </w:r>
      <w:r w:rsidRPr="005B09A9">
        <w:rPr>
          <w:rStyle w:val="Accentuation"/>
          <w:rFonts w:ascii="Times New Roman" w:hAnsi="Times New Roman" w:cs="Times New Roman"/>
          <w:b w:val="0"/>
          <w:sz w:val="24"/>
          <w:szCs w:val="24"/>
          <w:lang w:val="en-GB"/>
        </w:rPr>
        <w:t>R</w:t>
      </w:r>
      <w:r w:rsidR="008F0A0B" w:rsidRPr="005B09A9">
        <w:rPr>
          <w:rStyle w:val="Accentuation"/>
          <w:rFonts w:ascii="Times New Roman" w:hAnsi="Times New Roman" w:cs="Times New Roman"/>
          <w:b w:val="0"/>
          <w:sz w:val="24"/>
          <w:szCs w:val="24"/>
          <w:lang w:val="en-GB"/>
        </w:rPr>
        <w:t xml:space="preserve">eturn to </w:t>
      </w:r>
      <w:r w:rsidRPr="005B09A9">
        <w:rPr>
          <w:rStyle w:val="Accentuation"/>
          <w:rFonts w:ascii="Times New Roman" w:hAnsi="Times New Roman" w:cs="Times New Roman"/>
          <w:b w:val="0"/>
          <w:sz w:val="24"/>
          <w:szCs w:val="24"/>
          <w:lang w:val="en-GB"/>
        </w:rPr>
        <w:t>W</w:t>
      </w:r>
      <w:r w:rsidR="008F0A0B" w:rsidRPr="005B09A9">
        <w:rPr>
          <w:rStyle w:val="Accentuation"/>
          <w:rFonts w:ascii="Times New Roman" w:hAnsi="Times New Roman" w:cs="Times New Roman"/>
          <w:b w:val="0"/>
          <w:sz w:val="24"/>
          <w:szCs w:val="24"/>
          <w:lang w:val="en-GB"/>
        </w:rPr>
        <w:t>ork</w:t>
      </w:r>
      <w:r w:rsidR="00A133E9" w:rsidRPr="005B09A9">
        <w:rPr>
          <w:rStyle w:val="Accentuation"/>
          <w:rFonts w:ascii="Times New Roman" w:hAnsi="Times New Roman" w:cs="Times New Roman"/>
          <w:b w:val="0"/>
          <w:sz w:val="24"/>
          <w:szCs w:val="24"/>
          <w:lang w:val="en-GB"/>
        </w:rPr>
        <w:t xml:space="preserve"> (N = 3</w:t>
      </w:r>
      <w:r w:rsidR="00343557" w:rsidRPr="005B09A9">
        <w:rPr>
          <w:rStyle w:val="Accentuation"/>
          <w:rFonts w:ascii="Times New Roman" w:hAnsi="Times New Roman" w:cs="Times New Roman"/>
          <w:b w:val="0"/>
          <w:sz w:val="24"/>
          <w:szCs w:val="24"/>
          <w:lang w:val="en-GB"/>
        </w:rPr>
        <w:t xml:space="preserve">, </w:t>
      </w:r>
      <w:r w:rsidR="00F5661C" w:rsidRPr="005B09A9">
        <w:rPr>
          <w:rStyle w:val="Accentuation"/>
          <w:rFonts w:ascii="Times New Roman" w:hAnsi="Times New Roman" w:cs="Times New Roman"/>
          <w:b w:val="0"/>
          <w:sz w:val="24"/>
          <w:szCs w:val="24"/>
          <w:lang w:val="en-GB"/>
        </w:rPr>
        <w:t>n = 112</w:t>
      </w:r>
      <w:r w:rsidR="001E1A6D" w:rsidRPr="005B09A9">
        <w:rPr>
          <w:rStyle w:val="Accentuation"/>
          <w:rFonts w:ascii="Times New Roman" w:hAnsi="Times New Roman" w:cs="Times New Roman"/>
          <w:b w:val="0"/>
          <w:sz w:val="24"/>
          <w:szCs w:val="24"/>
          <w:lang w:val="en-GB"/>
        </w:rPr>
        <w:t>, Participation in CIF classification</w:t>
      </w:r>
      <w:r w:rsidR="00A133E9" w:rsidRPr="005B09A9">
        <w:rPr>
          <w:rStyle w:val="Accentuation"/>
          <w:rFonts w:ascii="Times New Roman" w:hAnsi="Times New Roman" w:cs="Times New Roman"/>
          <w:b w:val="0"/>
          <w:sz w:val="24"/>
          <w:szCs w:val="24"/>
          <w:lang w:val="en-GB"/>
        </w:rPr>
        <w:t>)</w:t>
      </w:r>
    </w:p>
    <w:p w14:paraId="76A9DFF5" w14:textId="3B78F42F" w:rsidR="008F0A0B" w:rsidRPr="005B09A9" w:rsidRDefault="002B437D"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Two studies</w:t>
      </w:r>
      <w:r w:rsidR="00500CC8" w:rsidRPr="005B09A9">
        <w:rPr>
          <w:rFonts w:ascii="Times New Roman" w:hAnsi="Times New Roman" w:cs="Times New Roman"/>
          <w:sz w:val="24"/>
          <w:szCs w:val="24"/>
        </w:rPr>
        <w:t xml:space="preserve"> (one</w:t>
      </w:r>
      <w:r w:rsidR="008F0A0B" w:rsidRPr="005B09A9">
        <w:rPr>
          <w:rFonts w:ascii="Times New Roman" w:hAnsi="Times New Roman" w:cs="Times New Roman"/>
          <w:sz w:val="24"/>
          <w:szCs w:val="24"/>
        </w:rPr>
        <w:t xml:space="preserve"> prospective</w:t>
      </w:r>
      <w:r w:rsidR="007B3BE2" w:rsidRPr="005B09A9">
        <w:rPr>
          <w:rFonts w:ascii="Times New Roman" w:hAnsi="Times New Roman" w:cs="Times New Roman"/>
          <w:sz w:val="24"/>
          <w:szCs w:val="24"/>
        </w:rPr>
        <w:t xml:space="preserve"> </w:t>
      </w:r>
      <w:r w:rsidR="00971C5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{"citationID":"oco6QjGf","properties":{"formattedCitation":"(Dauty et al., 2001)","plainCitation":"(Dauty et al., 2001)","noteIndex":0},"citationItems":[{"id":156,"uris":["http://zotero.org/users/8777725/items/F9SAAVYI"],"itemData":{"id":156,"type":"article-journal","abstract":"OBJECTIVE: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schema":"https://github.com/citation-style-language/schema/raw/master/csl-citation.json"} </w:instrText>
      </w:r>
      <w:r w:rsidR="00971C5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(Dauty et al., 2001)</w:t>
      </w:r>
      <w:r w:rsidR="00971C56" w:rsidRPr="005B09A9">
        <w:rPr>
          <w:rFonts w:ascii="Times New Roman" w:hAnsi="Times New Roman" w:cs="Times New Roman"/>
          <w:sz w:val="24"/>
          <w:szCs w:val="24"/>
        </w:rPr>
        <w:fldChar w:fldCharType="end"/>
      </w:r>
      <w:r w:rsidR="007B3BE2" w:rsidRPr="005B09A9">
        <w:rPr>
          <w:rFonts w:ascii="Times New Roman" w:hAnsi="Times New Roman" w:cs="Times New Roman"/>
          <w:sz w:val="24"/>
          <w:szCs w:val="24"/>
        </w:rPr>
        <w:t>,</w:t>
      </w:r>
      <w:r w:rsidR="00500CC8" w:rsidRPr="005B09A9">
        <w:rPr>
          <w:rFonts w:ascii="Times New Roman" w:hAnsi="Times New Roman" w:cs="Times New Roman"/>
          <w:sz w:val="24"/>
          <w:szCs w:val="24"/>
        </w:rPr>
        <w:t xml:space="preserve"> one</w:t>
      </w:r>
      <w:r w:rsidR="00971C56" w:rsidRPr="005B09A9">
        <w:rPr>
          <w:rFonts w:ascii="Times New Roman" w:hAnsi="Times New Roman" w:cs="Times New Roman"/>
          <w:sz w:val="24"/>
          <w:szCs w:val="24"/>
        </w:rPr>
        <w:t xml:space="preserve"> cross-sectional</w:t>
      </w:r>
      <w:r w:rsidR="007B3BE2" w:rsidRPr="005B09A9">
        <w:rPr>
          <w:rFonts w:ascii="Times New Roman" w:hAnsi="Times New Roman" w:cs="Times New Roman"/>
          <w:sz w:val="24"/>
          <w:szCs w:val="24"/>
        </w:rPr>
        <w:t xml:space="preserve"> </w:t>
      </w:r>
      <w:r w:rsidR="00971C5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{"citationID":"EuAQuSFV","properties":{"formattedCitation":"(Dumas et al., 2011)","plainCitation":"(Dumas et al., 2011)","noteIndex":0},"citationItems":[{"id":154,"uris":["http://zotero.org/users/8777725/items/HHQWL3BX"],"itemData":{"id":154,"type":"article-journal","container-title":"Journal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971C5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(Dumas et al., 2011)</w:t>
      </w:r>
      <w:r w:rsidR="00971C56" w:rsidRPr="005B09A9">
        <w:rPr>
          <w:rFonts w:ascii="Times New Roman" w:hAnsi="Times New Roman" w:cs="Times New Roman"/>
          <w:sz w:val="24"/>
          <w:szCs w:val="24"/>
        </w:rPr>
        <w:fldChar w:fldCharType="end"/>
      </w:r>
      <w:r w:rsidR="007B3BE2" w:rsidRPr="005B09A9">
        <w:rPr>
          <w:rFonts w:ascii="Times New Roman" w:hAnsi="Times New Roman" w:cs="Times New Roman"/>
          <w:sz w:val="24"/>
          <w:szCs w:val="24"/>
        </w:rPr>
        <w:t>)</w:t>
      </w:r>
      <w:r w:rsidR="005F6D69" w:rsidRPr="005B09A9">
        <w:rPr>
          <w:rFonts w:ascii="Times New Roman" w:hAnsi="Times New Roman" w:cs="Times New Roman"/>
          <w:sz w:val="24"/>
          <w:szCs w:val="24"/>
        </w:rPr>
        <w:t xml:space="preserve"> </w:t>
      </w:r>
      <w:r w:rsidR="007154D3" w:rsidRPr="005B09A9">
        <w:rPr>
          <w:rFonts w:ascii="Times New Roman" w:hAnsi="Times New Roman" w:cs="Times New Roman"/>
          <w:sz w:val="24"/>
          <w:szCs w:val="24"/>
        </w:rPr>
        <w:t>assessed</w:t>
      </w:r>
      <w:r w:rsidR="00BB4550" w:rsidRPr="005B09A9">
        <w:rPr>
          <w:rFonts w:ascii="Times New Roman" w:hAnsi="Times New Roman" w:cs="Times New Roman"/>
          <w:sz w:val="24"/>
          <w:szCs w:val="24"/>
        </w:rPr>
        <w:t xml:space="preserve"> return to work</w:t>
      </w:r>
      <w:r w:rsidR="0042357B" w:rsidRPr="005B09A9">
        <w:rPr>
          <w:rFonts w:ascii="Times New Roman" w:hAnsi="Times New Roman" w:cs="Times New Roman"/>
          <w:sz w:val="24"/>
          <w:szCs w:val="24"/>
        </w:rPr>
        <w:t>,</w:t>
      </w:r>
      <w:r w:rsidRPr="005B09A9">
        <w:rPr>
          <w:rFonts w:ascii="Times New Roman" w:hAnsi="Times New Roman" w:cs="Times New Roman"/>
          <w:sz w:val="24"/>
          <w:szCs w:val="24"/>
        </w:rPr>
        <w:t xml:space="preserve"> while </w:t>
      </w:r>
      <w:r w:rsidR="0017429B" w:rsidRPr="005B09A9">
        <w:rPr>
          <w:rFonts w:ascii="Times New Roman" w:hAnsi="Times New Roman" w:cs="Times New Roman"/>
          <w:sz w:val="24"/>
          <w:szCs w:val="24"/>
        </w:rPr>
        <w:t>an</w:t>
      </w:r>
      <w:r w:rsidR="003B637D" w:rsidRPr="005B09A9">
        <w:rPr>
          <w:rFonts w:ascii="Times New Roman" w:hAnsi="Times New Roman" w:cs="Times New Roman"/>
          <w:sz w:val="24"/>
          <w:szCs w:val="24"/>
        </w:rPr>
        <w:t xml:space="preserve">other </w:t>
      </w:r>
      <w:r w:rsidR="00A21DBC" w:rsidRPr="005B09A9">
        <w:rPr>
          <w:rFonts w:ascii="Times New Roman" w:hAnsi="Times New Roman" w:cs="Times New Roman"/>
          <w:sz w:val="24"/>
          <w:szCs w:val="24"/>
        </w:rPr>
        <w:t>cross-sectional study</w:t>
      </w:r>
      <w:r w:rsidR="007B3BE2" w:rsidRPr="005B09A9">
        <w:rPr>
          <w:rFonts w:ascii="Times New Roman" w:hAnsi="Times New Roman" w:cs="Times New Roman"/>
          <w:sz w:val="24"/>
          <w:szCs w:val="24"/>
        </w:rPr>
        <w:t xml:space="preserve"> </w:t>
      </w:r>
      <w:r w:rsidR="00971C56"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{"citationID":"tjoLLy3p","properties":{"formattedCitation":"(Bean et al., 2016b)","plainCitation":"(Bean et al., 2016b)","noteIndex":0},"citationItems":[{"id":146,"uris":["http://zotero.org/users/8777725/items/R94ZA7RL"],"itemData":{"id":146,"type":"article-journal","abstract":"OBJECTIVE: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971C56"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(Bean et al., 2016b)</w:t>
      </w:r>
      <w:r w:rsidR="00971C56" w:rsidRPr="005B09A9">
        <w:rPr>
          <w:rFonts w:ascii="Times New Roman" w:hAnsi="Times New Roman" w:cs="Times New Roman"/>
          <w:sz w:val="24"/>
          <w:szCs w:val="24"/>
        </w:rPr>
        <w:fldChar w:fldCharType="end"/>
      </w:r>
      <w:r w:rsidR="00A21DBC" w:rsidRPr="005B09A9">
        <w:rPr>
          <w:rFonts w:ascii="Times New Roman" w:hAnsi="Times New Roman" w:cs="Times New Roman"/>
          <w:sz w:val="24"/>
          <w:szCs w:val="24"/>
        </w:rPr>
        <w:t xml:space="preserve"> </w:t>
      </w:r>
      <w:r w:rsidR="007154D3" w:rsidRPr="005B09A9">
        <w:rPr>
          <w:rFonts w:ascii="Times New Roman" w:hAnsi="Times New Roman" w:cs="Times New Roman"/>
          <w:sz w:val="24"/>
          <w:szCs w:val="24"/>
        </w:rPr>
        <w:t>assessed</w:t>
      </w:r>
      <w:r w:rsidRPr="005B09A9">
        <w:rPr>
          <w:rFonts w:ascii="Times New Roman" w:hAnsi="Times New Roman" w:cs="Times New Roman"/>
          <w:sz w:val="24"/>
          <w:szCs w:val="24"/>
        </w:rPr>
        <w:t xml:space="preserve"> factors predicting which </w:t>
      </w:r>
      <w:r w:rsidR="005E0BEB" w:rsidRPr="005B09A9">
        <w:rPr>
          <w:rFonts w:ascii="Times New Roman" w:hAnsi="Times New Roman" w:cs="Times New Roman"/>
          <w:sz w:val="24"/>
          <w:szCs w:val="24"/>
        </w:rPr>
        <w:t>participants</w:t>
      </w:r>
      <w:r w:rsidRPr="005B09A9">
        <w:rPr>
          <w:rFonts w:ascii="Times New Roman" w:hAnsi="Times New Roman" w:cs="Times New Roman"/>
          <w:sz w:val="24"/>
          <w:szCs w:val="24"/>
        </w:rPr>
        <w:t xml:space="preserve"> </w:t>
      </w:r>
      <w:r w:rsidR="003B637D" w:rsidRPr="005B09A9">
        <w:rPr>
          <w:rFonts w:ascii="Times New Roman" w:hAnsi="Times New Roman" w:cs="Times New Roman"/>
          <w:sz w:val="24"/>
          <w:szCs w:val="24"/>
        </w:rPr>
        <w:t xml:space="preserve">were </w:t>
      </w:r>
      <w:r w:rsidRPr="005B09A9">
        <w:rPr>
          <w:rFonts w:ascii="Times New Roman" w:hAnsi="Times New Roman" w:cs="Times New Roman"/>
          <w:sz w:val="24"/>
          <w:szCs w:val="24"/>
        </w:rPr>
        <w:t>still working approximately 2 months after the onset of the</w:t>
      </w:r>
      <w:r w:rsidR="0073403C" w:rsidRPr="005B09A9">
        <w:rPr>
          <w:rFonts w:ascii="Times New Roman" w:hAnsi="Times New Roman" w:cs="Times New Roman"/>
          <w:sz w:val="24"/>
          <w:szCs w:val="24"/>
        </w:rPr>
        <w:t xml:space="preserve"> condition</w:t>
      </w:r>
      <w:r w:rsidR="00BB4550" w:rsidRPr="005B09A9">
        <w:rPr>
          <w:rFonts w:ascii="Times New Roman" w:hAnsi="Times New Roman" w:cs="Times New Roman"/>
          <w:sz w:val="24"/>
          <w:szCs w:val="24"/>
        </w:rPr>
        <w:t>.</w:t>
      </w:r>
    </w:p>
    <w:p w14:paraId="53F01B95" w14:textId="3FF059EA" w:rsidR="004D35A0" w:rsidRPr="005B09A9" w:rsidRDefault="00E37778"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T</w:t>
      </w:r>
      <w:r w:rsidR="004D35A0" w:rsidRPr="005B09A9">
        <w:rPr>
          <w:rFonts w:ascii="Times New Roman" w:hAnsi="Times New Roman" w:cs="Times New Roman"/>
          <w:sz w:val="24"/>
          <w:szCs w:val="24"/>
        </w:rPr>
        <w:t>he prospective study</w:t>
      </w:r>
      <w:r w:rsidR="00A21DBC" w:rsidRPr="005B09A9">
        <w:rPr>
          <w:rFonts w:ascii="Times New Roman" w:hAnsi="Times New Roman" w:cs="Times New Roman"/>
          <w:sz w:val="24"/>
          <w:szCs w:val="24"/>
        </w:rPr>
        <w:t xml:space="preserve">, by Dauty et </w:t>
      </w:r>
      <w:r w:rsidR="00A21DBC" w:rsidRPr="005B09A9">
        <w:rPr>
          <w:rFonts w:ascii="Times New Roman" w:hAnsi="Times New Roman" w:cs="Times New Roman"/>
          <w:i/>
          <w:iCs/>
          <w:sz w:val="24"/>
          <w:szCs w:val="24"/>
        </w:rPr>
        <w:t>al</w:t>
      </w:r>
      <w:r w:rsidR="00A21DBC" w:rsidRPr="005B09A9">
        <w:rPr>
          <w:rFonts w:ascii="Times New Roman" w:hAnsi="Times New Roman" w:cs="Times New Roman"/>
          <w:sz w:val="24"/>
          <w:szCs w:val="24"/>
        </w:rPr>
        <w:t xml:space="preserve">., </w:t>
      </w:r>
      <w:r w:rsidR="003B637D" w:rsidRPr="005B09A9">
        <w:rPr>
          <w:rFonts w:ascii="Times New Roman" w:hAnsi="Times New Roman" w:cs="Times New Roman"/>
          <w:sz w:val="24"/>
          <w:szCs w:val="24"/>
        </w:rPr>
        <w:t>had</w:t>
      </w:r>
      <w:r w:rsidR="004D35A0" w:rsidRPr="005B09A9">
        <w:rPr>
          <w:rFonts w:ascii="Times New Roman" w:hAnsi="Times New Roman" w:cs="Times New Roman"/>
          <w:sz w:val="24"/>
          <w:szCs w:val="24"/>
        </w:rPr>
        <w:t xml:space="preserve"> the smallest sample size (n = 16)</w:t>
      </w:r>
      <w:r w:rsidR="007B3BE2" w:rsidRPr="005B09A9">
        <w:rPr>
          <w:rFonts w:ascii="Times New Roman" w:hAnsi="Times New Roman" w:cs="Times New Roman"/>
          <w:sz w:val="24"/>
          <w:szCs w:val="24"/>
        </w:rPr>
        <w:t>.</w:t>
      </w:r>
      <w:r w:rsidR="00260FDA" w:rsidRPr="005B09A9">
        <w:rPr>
          <w:rFonts w:ascii="Times New Roman" w:hAnsi="Times New Roman" w:cs="Times New Roman"/>
          <w:sz w:val="24"/>
          <w:szCs w:val="24"/>
        </w:rPr>
        <w:t xml:space="preserve"> </w:t>
      </w:r>
      <w:r w:rsidR="00E41262" w:rsidRPr="005B09A9">
        <w:rPr>
          <w:rFonts w:ascii="Times New Roman" w:hAnsi="Times New Roman" w:cs="Times New Roman"/>
          <w:sz w:val="24"/>
          <w:szCs w:val="24"/>
        </w:rPr>
        <w:t xml:space="preserve">All </w:t>
      </w:r>
      <w:r w:rsidR="005E0BEB" w:rsidRPr="005B09A9">
        <w:rPr>
          <w:rFonts w:ascii="Times New Roman" w:hAnsi="Times New Roman" w:cs="Times New Roman"/>
          <w:sz w:val="24"/>
          <w:szCs w:val="24"/>
        </w:rPr>
        <w:t>participants</w:t>
      </w:r>
      <w:r w:rsidR="00E41262" w:rsidRPr="005B09A9">
        <w:rPr>
          <w:rFonts w:ascii="Times New Roman" w:hAnsi="Times New Roman" w:cs="Times New Roman"/>
          <w:sz w:val="24"/>
          <w:szCs w:val="24"/>
        </w:rPr>
        <w:t xml:space="preserve"> were hospitalized after trauma. </w:t>
      </w:r>
      <w:r w:rsidR="00395A25" w:rsidRPr="005B09A9">
        <w:rPr>
          <w:rFonts w:ascii="Times New Roman" w:hAnsi="Times New Roman" w:cs="Times New Roman"/>
          <w:i/>
          <w:sz w:val="24"/>
          <w:szCs w:val="24"/>
        </w:rPr>
        <w:t>S</w:t>
      </w:r>
      <w:r w:rsidR="004D35A0" w:rsidRPr="005B09A9">
        <w:rPr>
          <w:rFonts w:ascii="Times New Roman" w:hAnsi="Times New Roman" w:cs="Times New Roman"/>
          <w:i/>
          <w:iCs/>
          <w:sz w:val="24"/>
          <w:szCs w:val="24"/>
        </w:rPr>
        <w:t>evere trauma</w:t>
      </w:r>
      <w:r w:rsidR="004D35A0" w:rsidRPr="005B09A9">
        <w:rPr>
          <w:rFonts w:ascii="Times New Roman" w:hAnsi="Times New Roman" w:cs="Times New Roman"/>
          <w:sz w:val="24"/>
          <w:szCs w:val="24"/>
        </w:rPr>
        <w:t xml:space="preserve"> (polytrauma or multifracture of the same limb), </w:t>
      </w:r>
      <w:r w:rsidR="00CB4CF7" w:rsidRPr="005B09A9">
        <w:rPr>
          <w:rFonts w:ascii="Times New Roman" w:hAnsi="Times New Roman" w:cs="Times New Roman"/>
          <w:i/>
          <w:iCs/>
          <w:sz w:val="24"/>
          <w:szCs w:val="24"/>
        </w:rPr>
        <w:lastRenderedPageBreak/>
        <w:t>distal fracture localization</w:t>
      </w:r>
      <w:r w:rsidR="00222C19" w:rsidRPr="005B09A9">
        <w:rPr>
          <w:rFonts w:ascii="Times New Roman" w:hAnsi="Times New Roman" w:cs="Times New Roman"/>
          <w:sz w:val="24"/>
          <w:szCs w:val="24"/>
        </w:rPr>
        <w:t xml:space="preserve"> </w:t>
      </w:r>
      <w:r w:rsidR="0034296E" w:rsidRPr="005B09A9">
        <w:rPr>
          <w:rFonts w:ascii="Times New Roman" w:hAnsi="Times New Roman" w:cs="Times New Roman"/>
          <w:sz w:val="24"/>
          <w:szCs w:val="24"/>
        </w:rPr>
        <w:t xml:space="preserve">and </w:t>
      </w:r>
      <w:r w:rsidR="0034296E" w:rsidRPr="005B09A9">
        <w:rPr>
          <w:rFonts w:ascii="Times New Roman" w:hAnsi="Times New Roman" w:cs="Times New Roman"/>
          <w:i/>
          <w:iCs/>
          <w:sz w:val="24"/>
          <w:szCs w:val="24"/>
        </w:rPr>
        <w:t xml:space="preserve">work injury </w:t>
      </w:r>
      <w:r w:rsidR="00CB4CF7" w:rsidRPr="005B09A9">
        <w:rPr>
          <w:rFonts w:ascii="Times New Roman" w:hAnsi="Times New Roman" w:cs="Times New Roman"/>
          <w:sz w:val="24"/>
          <w:szCs w:val="24"/>
        </w:rPr>
        <w:t xml:space="preserve">were </w:t>
      </w:r>
      <w:r w:rsidR="00653C88" w:rsidRPr="005B09A9">
        <w:rPr>
          <w:rFonts w:ascii="Times New Roman" w:hAnsi="Times New Roman" w:cs="Times New Roman"/>
          <w:sz w:val="24"/>
          <w:szCs w:val="24"/>
        </w:rPr>
        <w:t>associated</w:t>
      </w:r>
      <w:r w:rsidR="00CB4CF7" w:rsidRPr="005B09A9">
        <w:rPr>
          <w:rFonts w:ascii="Times New Roman" w:hAnsi="Times New Roman" w:cs="Times New Roman"/>
          <w:sz w:val="24"/>
          <w:szCs w:val="24"/>
        </w:rPr>
        <w:t xml:space="preserve"> with a </w:t>
      </w:r>
      <w:r w:rsidR="00222C19" w:rsidRPr="005B09A9">
        <w:rPr>
          <w:rFonts w:ascii="Times New Roman" w:hAnsi="Times New Roman" w:cs="Times New Roman"/>
          <w:sz w:val="24"/>
          <w:szCs w:val="24"/>
        </w:rPr>
        <w:t>longer mean time to return to work.</w:t>
      </w:r>
      <w:r w:rsidR="00260FDA" w:rsidRPr="005B09A9">
        <w:rPr>
          <w:rFonts w:ascii="Times New Roman" w:hAnsi="Times New Roman" w:cs="Times New Roman"/>
          <w:sz w:val="24"/>
          <w:szCs w:val="24"/>
        </w:rPr>
        <w:t xml:space="preserve"> </w:t>
      </w:r>
    </w:p>
    <w:p w14:paraId="783FC6B1" w14:textId="38597E06" w:rsidR="00CB4CF7" w:rsidRPr="005B09A9" w:rsidRDefault="00080831"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 xml:space="preserve">In their cross-sectional study </w:t>
      </w:r>
      <w:r w:rsidR="00CB4CF7" w:rsidRPr="005B09A9">
        <w:rPr>
          <w:rFonts w:ascii="Times New Roman" w:hAnsi="Times New Roman" w:cs="Times New Roman"/>
          <w:sz w:val="24"/>
          <w:szCs w:val="24"/>
        </w:rPr>
        <w:t>looking at return to work</w:t>
      </w:r>
      <w:r w:rsidR="007B3BE2" w:rsidRPr="005B09A9">
        <w:rPr>
          <w:rFonts w:ascii="Times New Roman" w:hAnsi="Times New Roman" w:cs="Times New Roman"/>
          <w:sz w:val="24"/>
          <w:szCs w:val="24"/>
        </w:rPr>
        <w:t>,</w:t>
      </w:r>
      <w:r w:rsidRPr="005B09A9">
        <w:rPr>
          <w:rFonts w:ascii="Times New Roman" w:hAnsi="Times New Roman" w:cs="Times New Roman"/>
          <w:sz w:val="24"/>
          <w:szCs w:val="24"/>
        </w:rPr>
        <w:t xml:space="preserve"> Dumas et </w:t>
      </w:r>
      <w:r w:rsidRPr="005B09A9">
        <w:rPr>
          <w:rFonts w:ascii="Times New Roman" w:hAnsi="Times New Roman" w:cs="Times New Roman"/>
          <w:i/>
          <w:iCs/>
          <w:sz w:val="24"/>
          <w:szCs w:val="24"/>
        </w:rPr>
        <w:t>al</w:t>
      </w:r>
      <w:r w:rsidRPr="005B09A9">
        <w:rPr>
          <w:rFonts w:ascii="Times New Roman" w:hAnsi="Times New Roman" w:cs="Times New Roman"/>
          <w:sz w:val="24"/>
          <w:szCs w:val="24"/>
        </w:rPr>
        <w:t xml:space="preserve">. identified </w:t>
      </w:r>
      <w:r w:rsidR="00CB4CF7" w:rsidRPr="005B09A9">
        <w:rPr>
          <w:rFonts w:ascii="Times New Roman" w:hAnsi="Times New Roman" w:cs="Times New Roman"/>
          <w:sz w:val="24"/>
          <w:szCs w:val="24"/>
        </w:rPr>
        <w:t xml:space="preserve">that </w:t>
      </w:r>
      <w:r w:rsidR="00CD73FD" w:rsidRPr="005B09A9">
        <w:rPr>
          <w:rFonts w:ascii="Times New Roman" w:hAnsi="Times New Roman" w:cs="Times New Roman"/>
          <w:i/>
          <w:iCs/>
          <w:sz w:val="24"/>
          <w:szCs w:val="24"/>
        </w:rPr>
        <w:t>upper limb involvement</w:t>
      </w:r>
      <w:r w:rsidR="00A550AC" w:rsidRPr="005B09A9">
        <w:rPr>
          <w:rFonts w:ascii="Times New Roman" w:hAnsi="Times New Roman" w:cs="Times New Roman"/>
          <w:sz w:val="24"/>
          <w:szCs w:val="24"/>
        </w:rPr>
        <w:t xml:space="preserve"> was correlated with </w:t>
      </w:r>
      <w:r w:rsidR="00170747" w:rsidRPr="005B09A9">
        <w:rPr>
          <w:rFonts w:ascii="Times New Roman" w:hAnsi="Times New Roman" w:cs="Times New Roman"/>
          <w:sz w:val="24"/>
          <w:szCs w:val="24"/>
        </w:rPr>
        <w:t xml:space="preserve">a </w:t>
      </w:r>
      <w:r w:rsidR="00C739E2" w:rsidRPr="005B09A9">
        <w:rPr>
          <w:rFonts w:ascii="Times New Roman" w:hAnsi="Times New Roman" w:cs="Times New Roman"/>
          <w:sz w:val="24"/>
          <w:szCs w:val="24"/>
        </w:rPr>
        <w:t>higher probabi</w:t>
      </w:r>
      <w:r w:rsidR="00170747" w:rsidRPr="005B09A9">
        <w:rPr>
          <w:rFonts w:ascii="Times New Roman" w:hAnsi="Times New Roman" w:cs="Times New Roman"/>
          <w:sz w:val="24"/>
          <w:szCs w:val="24"/>
        </w:rPr>
        <w:t xml:space="preserve">lity </w:t>
      </w:r>
      <w:r w:rsidR="008757E8" w:rsidRPr="005B09A9">
        <w:rPr>
          <w:rFonts w:ascii="Times New Roman" w:hAnsi="Times New Roman" w:cs="Times New Roman"/>
          <w:sz w:val="24"/>
          <w:szCs w:val="24"/>
        </w:rPr>
        <w:t xml:space="preserve">of </w:t>
      </w:r>
      <w:r w:rsidR="00170747" w:rsidRPr="005B09A9">
        <w:rPr>
          <w:rFonts w:ascii="Times New Roman" w:hAnsi="Times New Roman" w:cs="Times New Roman"/>
          <w:sz w:val="24"/>
          <w:szCs w:val="24"/>
        </w:rPr>
        <w:t>return to work</w:t>
      </w:r>
      <w:r w:rsidR="004F4C91" w:rsidRPr="005B09A9">
        <w:rPr>
          <w:rFonts w:ascii="Times New Roman" w:hAnsi="Times New Roman" w:cs="Times New Roman"/>
          <w:sz w:val="24"/>
          <w:szCs w:val="24"/>
        </w:rPr>
        <w:t xml:space="preserve"> than lower limb involvement</w:t>
      </w:r>
      <w:r w:rsidR="00170747" w:rsidRPr="005B09A9">
        <w:rPr>
          <w:rFonts w:ascii="Times New Roman" w:hAnsi="Times New Roman" w:cs="Times New Roman"/>
          <w:sz w:val="24"/>
          <w:szCs w:val="24"/>
        </w:rPr>
        <w:t xml:space="preserve">. </w:t>
      </w:r>
      <w:r w:rsidR="00395A25" w:rsidRPr="005B09A9">
        <w:rPr>
          <w:rFonts w:ascii="Times New Roman" w:hAnsi="Times New Roman" w:cs="Times New Roman"/>
          <w:sz w:val="24"/>
          <w:szCs w:val="24"/>
        </w:rPr>
        <w:t>Y</w:t>
      </w:r>
      <w:r w:rsidR="00EC705B" w:rsidRPr="005B09A9">
        <w:rPr>
          <w:rFonts w:ascii="Times New Roman" w:hAnsi="Times New Roman" w:cs="Times New Roman"/>
          <w:sz w:val="24"/>
          <w:szCs w:val="24"/>
        </w:rPr>
        <w:t>oung</w:t>
      </w:r>
      <w:r w:rsidR="00137A8D" w:rsidRPr="005B09A9">
        <w:rPr>
          <w:rFonts w:ascii="Times New Roman" w:hAnsi="Times New Roman" w:cs="Times New Roman"/>
          <w:sz w:val="24"/>
          <w:szCs w:val="24"/>
        </w:rPr>
        <w:t>er</w:t>
      </w:r>
      <w:r w:rsidR="00EC705B" w:rsidRPr="005B09A9">
        <w:rPr>
          <w:rFonts w:ascii="Times New Roman" w:hAnsi="Times New Roman" w:cs="Times New Roman"/>
          <w:sz w:val="24"/>
          <w:szCs w:val="24"/>
        </w:rPr>
        <w:t xml:space="preserve"> age, sedentary job, higher level of </w:t>
      </w:r>
      <w:r w:rsidR="007B3BE2" w:rsidRPr="005B09A9">
        <w:rPr>
          <w:rFonts w:ascii="Times New Roman" w:hAnsi="Times New Roman" w:cs="Times New Roman"/>
          <w:sz w:val="24"/>
          <w:szCs w:val="24"/>
        </w:rPr>
        <w:t>education,</w:t>
      </w:r>
      <w:r w:rsidR="00EC705B" w:rsidRPr="005B09A9">
        <w:rPr>
          <w:rFonts w:ascii="Times New Roman" w:hAnsi="Times New Roman" w:cs="Times New Roman"/>
          <w:sz w:val="24"/>
          <w:szCs w:val="24"/>
        </w:rPr>
        <w:t xml:space="preserve"> and early introduction of analgesic treatment associated with physiotherapy</w:t>
      </w:r>
      <w:r w:rsidR="00395A25" w:rsidRPr="005B09A9">
        <w:rPr>
          <w:rFonts w:ascii="Times New Roman" w:hAnsi="Times New Roman" w:cs="Times New Roman"/>
          <w:sz w:val="24"/>
          <w:szCs w:val="24"/>
        </w:rPr>
        <w:t xml:space="preserve"> </w:t>
      </w:r>
      <w:r w:rsidR="009706DD" w:rsidRPr="005B09A9">
        <w:rPr>
          <w:rFonts w:ascii="Times New Roman" w:hAnsi="Times New Roman" w:cs="Times New Roman"/>
          <w:sz w:val="24"/>
          <w:szCs w:val="24"/>
        </w:rPr>
        <w:t xml:space="preserve">were also suggested </w:t>
      </w:r>
      <w:r w:rsidR="00D55DCA" w:rsidRPr="005B09A9">
        <w:rPr>
          <w:rFonts w:ascii="Times New Roman" w:hAnsi="Times New Roman" w:cs="Times New Roman"/>
          <w:sz w:val="24"/>
          <w:szCs w:val="24"/>
        </w:rPr>
        <w:t>to be associated with return to</w:t>
      </w:r>
      <w:r w:rsidR="007C628B" w:rsidRPr="005B09A9">
        <w:rPr>
          <w:rFonts w:ascii="Times New Roman" w:hAnsi="Times New Roman" w:cs="Times New Roman"/>
          <w:sz w:val="24"/>
          <w:szCs w:val="24"/>
        </w:rPr>
        <w:t xml:space="preserve"> work</w:t>
      </w:r>
      <w:r w:rsidR="00D55DCA" w:rsidRPr="005B09A9">
        <w:rPr>
          <w:rFonts w:ascii="Times New Roman" w:hAnsi="Times New Roman" w:cs="Times New Roman"/>
          <w:sz w:val="24"/>
          <w:szCs w:val="24"/>
        </w:rPr>
        <w:t>, but these associations were described as non-significant in the table</w:t>
      </w:r>
      <w:r w:rsidR="00A550AC" w:rsidRPr="005B09A9">
        <w:rPr>
          <w:rFonts w:ascii="Times New Roman" w:hAnsi="Times New Roman" w:cs="Times New Roman"/>
          <w:sz w:val="24"/>
          <w:szCs w:val="24"/>
        </w:rPr>
        <w:t>.</w:t>
      </w:r>
      <w:r w:rsidR="00EC705B" w:rsidRPr="005B09A9">
        <w:rPr>
          <w:rFonts w:ascii="Times New Roman" w:hAnsi="Times New Roman" w:cs="Times New Roman"/>
          <w:sz w:val="24"/>
          <w:szCs w:val="24"/>
        </w:rPr>
        <w:t xml:space="preserve"> </w:t>
      </w:r>
      <w:r w:rsidR="00D3754B" w:rsidRPr="005B09A9">
        <w:rPr>
          <w:rFonts w:ascii="Times New Roman" w:hAnsi="Times New Roman" w:cs="Times New Roman"/>
          <w:sz w:val="24"/>
          <w:szCs w:val="24"/>
        </w:rPr>
        <w:t>Unfortunately, w</w:t>
      </w:r>
      <w:r w:rsidR="00A550AC" w:rsidRPr="005B09A9">
        <w:rPr>
          <w:rFonts w:ascii="Times New Roman" w:hAnsi="Times New Roman" w:cs="Times New Roman"/>
          <w:sz w:val="24"/>
          <w:szCs w:val="24"/>
        </w:rPr>
        <w:t>e were not able to get in touch with the authors</w:t>
      </w:r>
      <w:r w:rsidR="00D3754B" w:rsidRPr="005B09A9">
        <w:rPr>
          <w:rFonts w:ascii="Times New Roman" w:hAnsi="Times New Roman" w:cs="Times New Roman"/>
          <w:sz w:val="24"/>
          <w:szCs w:val="24"/>
        </w:rPr>
        <w:t xml:space="preserve"> for clarification,</w:t>
      </w:r>
      <w:r w:rsidR="00CD73FD" w:rsidRPr="005B09A9">
        <w:rPr>
          <w:rFonts w:ascii="Times New Roman" w:hAnsi="Times New Roman" w:cs="Times New Roman"/>
          <w:sz w:val="24"/>
          <w:szCs w:val="24"/>
        </w:rPr>
        <w:t xml:space="preserve"> </w:t>
      </w:r>
      <w:r w:rsidR="00D3754B" w:rsidRPr="005B09A9">
        <w:rPr>
          <w:rFonts w:ascii="Times New Roman" w:hAnsi="Times New Roman" w:cs="Times New Roman"/>
          <w:sz w:val="24"/>
          <w:szCs w:val="24"/>
        </w:rPr>
        <w:t>and consequently</w:t>
      </w:r>
      <w:r w:rsidR="00E23B53" w:rsidRPr="005B09A9">
        <w:rPr>
          <w:rFonts w:ascii="Times New Roman" w:hAnsi="Times New Roman" w:cs="Times New Roman"/>
          <w:sz w:val="24"/>
          <w:szCs w:val="24"/>
        </w:rPr>
        <w:t xml:space="preserve"> they </w:t>
      </w:r>
      <w:r w:rsidR="00343557" w:rsidRPr="005B09A9">
        <w:rPr>
          <w:rFonts w:ascii="Times New Roman" w:hAnsi="Times New Roman" w:cs="Times New Roman"/>
          <w:sz w:val="24"/>
          <w:szCs w:val="24"/>
        </w:rPr>
        <w:t>were not</w:t>
      </w:r>
      <w:r w:rsidR="00E23B53" w:rsidRPr="005B09A9">
        <w:rPr>
          <w:rFonts w:ascii="Times New Roman" w:hAnsi="Times New Roman" w:cs="Times New Roman"/>
          <w:sz w:val="24"/>
          <w:szCs w:val="24"/>
        </w:rPr>
        <w:t xml:space="preserve"> incorporated into Table </w:t>
      </w:r>
      <w:r w:rsidR="00322FE4" w:rsidRPr="005B09A9">
        <w:rPr>
          <w:rFonts w:ascii="Times New Roman" w:hAnsi="Times New Roman" w:cs="Times New Roman"/>
          <w:bCs/>
          <w:sz w:val="24"/>
          <w:szCs w:val="24"/>
        </w:rPr>
        <w:t>3</w:t>
      </w:r>
      <w:r w:rsidR="00E23B53" w:rsidRPr="005B09A9">
        <w:rPr>
          <w:rFonts w:ascii="Times New Roman" w:hAnsi="Times New Roman" w:cs="Times New Roman"/>
          <w:sz w:val="24"/>
          <w:szCs w:val="24"/>
        </w:rPr>
        <w:t>.</w:t>
      </w:r>
    </w:p>
    <w:p w14:paraId="53C8296D" w14:textId="542938AF" w:rsidR="00836351" w:rsidRPr="005B09A9" w:rsidRDefault="00D55DCA" w:rsidP="003B7B2C">
      <w:pPr>
        <w:spacing w:line="480" w:lineRule="auto"/>
        <w:jc w:val="left"/>
        <w:rPr>
          <w:rFonts w:ascii="Times New Roman" w:hAnsi="Times New Roman" w:cs="Times New Roman"/>
          <w:sz w:val="24"/>
          <w:szCs w:val="24"/>
        </w:rPr>
      </w:pPr>
      <w:r w:rsidRPr="005B09A9">
        <w:rPr>
          <w:rFonts w:ascii="Times New Roman" w:hAnsi="Times New Roman" w:cs="Times New Roman"/>
          <w:sz w:val="24"/>
          <w:szCs w:val="24"/>
        </w:rPr>
        <w:t>Finally, a recent</w:t>
      </w:r>
      <w:r w:rsidR="00CD73FD" w:rsidRPr="005B09A9">
        <w:rPr>
          <w:rFonts w:ascii="Times New Roman" w:hAnsi="Times New Roman" w:cs="Times New Roman"/>
          <w:sz w:val="24"/>
          <w:szCs w:val="24"/>
        </w:rPr>
        <w:t xml:space="preserve"> cross-sectional </w:t>
      </w:r>
      <w:r w:rsidR="00E23B53" w:rsidRPr="005B09A9">
        <w:rPr>
          <w:rFonts w:ascii="Times New Roman" w:hAnsi="Times New Roman" w:cs="Times New Roman"/>
          <w:sz w:val="24"/>
          <w:szCs w:val="24"/>
        </w:rPr>
        <w:t>study</w:t>
      </w:r>
      <w:r w:rsidR="007B3BE2" w:rsidRPr="005B09A9">
        <w:rPr>
          <w:rFonts w:ascii="Times New Roman" w:hAnsi="Times New Roman" w:cs="Times New Roman"/>
          <w:sz w:val="24"/>
          <w:szCs w:val="24"/>
        </w:rPr>
        <w:t xml:space="preserve"> </w:t>
      </w:r>
      <w:r w:rsidR="00E86FCB"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{"citationID":"ePATIVfv","properties":{"formattedCitation":"(Bean et al., 2016b)","plainCitation":"(Bean et al., 2016b)","noteIndex":0},"citationItems":[{"id":146,"uris":["http://zotero.org/users/8777725/items/R94ZA7RL"],"itemData":{"id":146,"type":"article-journal","abstract":"OBJECTIVE: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E86FCB"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(Bean et al., 2016b)</w:t>
      </w:r>
      <w:r w:rsidR="00E86FCB"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w:t>
      </w:r>
      <w:r w:rsidR="003B363E" w:rsidRPr="005B09A9">
        <w:rPr>
          <w:rFonts w:ascii="Times New Roman" w:hAnsi="Times New Roman" w:cs="Times New Roman"/>
          <w:sz w:val="24"/>
          <w:szCs w:val="24"/>
        </w:rPr>
        <w:t>investigated participants who were</w:t>
      </w:r>
      <w:r w:rsidR="00F5567E" w:rsidRPr="005B09A9">
        <w:rPr>
          <w:rFonts w:ascii="Times New Roman" w:hAnsi="Times New Roman" w:cs="Times New Roman"/>
          <w:sz w:val="24"/>
          <w:szCs w:val="24"/>
        </w:rPr>
        <w:t xml:space="preserve"> </w:t>
      </w:r>
      <w:r w:rsidR="003B363E" w:rsidRPr="005B09A9">
        <w:rPr>
          <w:rFonts w:ascii="Times New Roman" w:hAnsi="Times New Roman" w:cs="Times New Roman"/>
          <w:sz w:val="24"/>
          <w:szCs w:val="24"/>
        </w:rPr>
        <w:t>working or studying before the onset of their CRPS (n = 49, 74% of the</w:t>
      </w:r>
      <w:r w:rsidR="00E41262" w:rsidRPr="005B09A9">
        <w:rPr>
          <w:rFonts w:ascii="Times New Roman" w:hAnsi="Times New Roman" w:cs="Times New Roman"/>
          <w:sz w:val="24"/>
          <w:szCs w:val="24"/>
        </w:rPr>
        <w:t xml:space="preserve"> study</w:t>
      </w:r>
      <w:r w:rsidR="003B363E" w:rsidRPr="005B09A9">
        <w:rPr>
          <w:rFonts w:ascii="Times New Roman" w:hAnsi="Times New Roman" w:cs="Times New Roman"/>
          <w:sz w:val="24"/>
          <w:szCs w:val="24"/>
        </w:rPr>
        <w:t xml:space="preserve"> sample). Only 21 participants were </w:t>
      </w:r>
      <w:r w:rsidR="00F5567E" w:rsidRPr="005B09A9">
        <w:rPr>
          <w:rFonts w:ascii="Times New Roman" w:hAnsi="Times New Roman" w:cs="Times New Roman"/>
          <w:sz w:val="24"/>
          <w:szCs w:val="24"/>
        </w:rPr>
        <w:t xml:space="preserve">still </w:t>
      </w:r>
      <w:r w:rsidR="003B363E" w:rsidRPr="005B09A9">
        <w:rPr>
          <w:rFonts w:ascii="Times New Roman" w:hAnsi="Times New Roman" w:cs="Times New Roman"/>
          <w:sz w:val="24"/>
          <w:szCs w:val="24"/>
        </w:rPr>
        <w:t xml:space="preserve">working or studying </w:t>
      </w:r>
      <w:r w:rsidRPr="005B09A9">
        <w:rPr>
          <w:rFonts w:ascii="Times New Roman" w:hAnsi="Times New Roman" w:cs="Times New Roman"/>
          <w:sz w:val="24"/>
          <w:szCs w:val="24"/>
        </w:rPr>
        <w:t>two months later</w:t>
      </w:r>
      <w:r w:rsidR="002B437D" w:rsidRPr="005B09A9">
        <w:rPr>
          <w:rFonts w:ascii="Times New Roman" w:hAnsi="Times New Roman" w:cs="Times New Roman"/>
          <w:sz w:val="24"/>
          <w:szCs w:val="24"/>
        </w:rPr>
        <w:t xml:space="preserve">. The authors </w:t>
      </w:r>
      <w:r w:rsidR="00CD73FD" w:rsidRPr="005B09A9">
        <w:rPr>
          <w:rFonts w:ascii="Times New Roman" w:hAnsi="Times New Roman" w:cs="Times New Roman"/>
          <w:sz w:val="24"/>
          <w:szCs w:val="24"/>
        </w:rPr>
        <w:t xml:space="preserve">showed that the following variables were </w:t>
      </w:r>
      <w:r w:rsidR="00653C88" w:rsidRPr="005B09A9">
        <w:rPr>
          <w:rFonts w:ascii="Times New Roman" w:hAnsi="Times New Roman" w:cs="Times New Roman"/>
          <w:sz w:val="24"/>
          <w:szCs w:val="24"/>
        </w:rPr>
        <w:t>associated</w:t>
      </w:r>
      <w:r w:rsidR="00CD73FD" w:rsidRPr="005B09A9">
        <w:rPr>
          <w:rFonts w:ascii="Times New Roman" w:hAnsi="Times New Roman" w:cs="Times New Roman"/>
          <w:sz w:val="24"/>
          <w:szCs w:val="24"/>
        </w:rPr>
        <w:t xml:space="preserve"> with</w:t>
      </w:r>
      <w:r w:rsidR="00E23B53" w:rsidRPr="005B09A9">
        <w:rPr>
          <w:rFonts w:ascii="Times New Roman" w:hAnsi="Times New Roman" w:cs="Times New Roman"/>
          <w:sz w:val="24"/>
          <w:szCs w:val="24"/>
        </w:rPr>
        <w:t xml:space="preserve"> a </w:t>
      </w:r>
      <w:r w:rsidR="00184422" w:rsidRPr="005B09A9">
        <w:rPr>
          <w:rFonts w:ascii="Times New Roman" w:hAnsi="Times New Roman" w:cs="Times New Roman"/>
          <w:sz w:val="24"/>
          <w:szCs w:val="24"/>
        </w:rPr>
        <w:t xml:space="preserve">smaller </w:t>
      </w:r>
      <w:r w:rsidR="00500CC8" w:rsidRPr="005B09A9">
        <w:rPr>
          <w:rFonts w:ascii="Times New Roman" w:hAnsi="Times New Roman" w:cs="Times New Roman"/>
          <w:sz w:val="24"/>
          <w:szCs w:val="24"/>
        </w:rPr>
        <w:t>probability to keep working at 2</w:t>
      </w:r>
      <w:r w:rsidR="00E23B53" w:rsidRPr="005B09A9">
        <w:rPr>
          <w:rFonts w:ascii="Times New Roman" w:hAnsi="Times New Roman" w:cs="Times New Roman"/>
          <w:sz w:val="24"/>
          <w:szCs w:val="24"/>
        </w:rPr>
        <w:t xml:space="preserve"> months</w:t>
      </w:r>
      <w:r w:rsidR="00653C88" w:rsidRPr="005B09A9">
        <w:rPr>
          <w:rFonts w:ascii="Times New Roman" w:hAnsi="Times New Roman" w:cs="Times New Roman"/>
          <w:sz w:val="24"/>
          <w:szCs w:val="24"/>
        </w:rPr>
        <w:t xml:space="preserve"> in </w:t>
      </w:r>
      <w:r w:rsidR="0070398E" w:rsidRPr="005B09A9">
        <w:rPr>
          <w:rFonts w:ascii="Times New Roman" w:hAnsi="Times New Roman" w:cs="Times New Roman"/>
          <w:sz w:val="24"/>
          <w:szCs w:val="24"/>
        </w:rPr>
        <w:t>univariable</w:t>
      </w:r>
      <w:r w:rsidR="00653C88" w:rsidRPr="005B09A9">
        <w:rPr>
          <w:rFonts w:ascii="Times New Roman" w:hAnsi="Times New Roman" w:cs="Times New Roman"/>
          <w:sz w:val="24"/>
          <w:szCs w:val="24"/>
        </w:rPr>
        <w:t xml:space="preserve"> analysis</w:t>
      </w:r>
      <w:r w:rsidR="00E23B53" w:rsidRPr="005B09A9">
        <w:rPr>
          <w:rFonts w:ascii="Times New Roman" w:hAnsi="Times New Roman" w:cs="Times New Roman"/>
          <w:sz w:val="24"/>
          <w:szCs w:val="24"/>
        </w:rPr>
        <w:t xml:space="preserve">: </w:t>
      </w:r>
      <w:r w:rsidR="008F480F" w:rsidRPr="005B09A9">
        <w:rPr>
          <w:rFonts w:ascii="Times New Roman" w:hAnsi="Times New Roman" w:cs="Times New Roman"/>
          <w:i/>
          <w:iCs/>
          <w:sz w:val="24"/>
          <w:szCs w:val="24"/>
        </w:rPr>
        <w:t>higher depressive score</w:t>
      </w:r>
      <w:r w:rsidR="008F480F" w:rsidRPr="005B09A9">
        <w:rPr>
          <w:rFonts w:ascii="Times New Roman" w:hAnsi="Times New Roman" w:cs="Times New Roman"/>
          <w:sz w:val="24"/>
          <w:szCs w:val="24"/>
        </w:rPr>
        <w:t xml:space="preserve">, </w:t>
      </w:r>
      <w:r w:rsidR="0066341C" w:rsidRPr="005B09A9">
        <w:rPr>
          <w:rFonts w:ascii="Times New Roman" w:hAnsi="Times New Roman" w:cs="Times New Roman"/>
          <w:i/>
          <w:iCs/>
          <w:sz w:val="24"/>
          <w:szCs w:val="24"/>
        </w:rPr>
        <w:t xml:space="preserve">self-reported </w:t>
      </w:r>
      <w:r w:rsidR="008F480F" w:rsidRPr="005B09A9">
        <w:rPr>
          <w:rFonts w:ascii="Times New Roman" w:hAnsi="Times New Roman" w:cs="Times New Roman"/>
          <w:i/>
          <w:iCs/>
          <w:sz w:val="24"/>
          <w:szCs w:val="24"/>
        </w:rPr>
        <w:t>disability</w:t>
      </w:r>
      <w:r w:rsidR="008F480F" w:rsidRPr="005B09A9">
        <w:rPr>
          <w:rFonts w:ascii="Times New Roman" w:hAnsi="Times New Roman" w:cs="Times New Roman"/>
          <w:sz w:val="24"/>
          <w:szCs w:val="24"/>
        </w:rPr>
        <w:t xml:space="preserve">, </w:t>
      </w:r>
      <w:r w:rsidR="0066341C" w:rsidRPr="005B09A9">
        <w:rPr>
          <w:rFonts w:ascii="Times New Roman" w:hAnsi="Times New Roman" w:cs="Times New Roman"/>
          <w:i/>
          <w:iCs/>
          <w:sz w:val="24"/>
          <w:szCs w:val="24"/>
        </w:rPr>
        <w:t xml:space="preserve">heavier </w:t>
      </w:r>
      <w:r w:rsidR="008F480F" w:rsidRPr="005B09A9">
        <w:rPr>
          <w:rFonts w:ascii="Times New Roman" w:hAnsi="Times New Roman" w:cs="Times New Roman"/>
          <w:i/>
          <w:iCs/>
          <w:sz w:val="24"/>
          <w:szCs w:val="24"/>
        </w:rPr>
        <w:t>work</w:t>
      </w:r>
      <w:r w:rsidR="008F480F" w:rsidRPr="005B09A9">
        <w:rPr>
          <w:rFonts w:ascii="Times New Roman" w:hAnsi="Times New Roman" w:cs="Times New Roman"/>
          <w:sz w:val="24"/>
          <w:szCs w:val="24"/>
        </w:rPr>
        <w:t xml:space="preserve">, </w:t>
      </w:r>
      <w:r w:rsidR="0066341C" w:rsidRPr="005B09A9">
        <w:rPr>
          <w:rFonts w:ascii="Times New Roman" w:hAnsi="Times New Roman" w:cs="Times New Roman"/>
          <w:i/>
          <w:iCs/>
          <w:sz w:val="24"/>
          <w:szCs w:val="24"/>
        </w:rPr>
        <w:t xml:space="preserve">more severe </w:t>
      </w:r>
      <w:r w:rsidR="008F480F" w:rsidRPr="005B09A9">
        <w:rPr>
          <w:rFonts w:ascii="Times New Roman" w:hAnsi="Times New Roman" w:cs="Times New Roman"/>
          <w:i/>
          <w:iCs/>
          <w:sz w:val="24"/>
          <w:szCs w:val="24"/>
        </w:rPr>
        <w:t>injury</w:t>
      </w:r>
      <w:r w:rsidR="008F480F" w:rsidRPr="005B09A9">
        <w:rPr>
          <w:rFonts w:ascii="Times New Roman" w:hAnsi="Times New Roman" w:cs="Times New Roman"/>
          <w:sz w:val="24"/>
          <w:szCs w:val="24"/>
        </w:rPr>
        <w:t xml:space="preserve">. </w:t>
      </w:r>
      <w:r w:rsidR="00653C88" w:rsidRPr="005B09A9">
        <w:rPr>
          <w:rFonts w:ascii="Times New Roman" w:hAnsi="Times New Roman" w:cs="Times New Roman"/>
          <w:sz w:val="24"/>
          <w:szCs w:val="24"/>
        </w:rPr>
        <w:t>In multivariable</w:t>
      </w:r>
      <w:r w:rsidR="00786845" w:rsidRPr="005B09A9">
        <w:rPr>
          <w:rFonts w:ascii="Times New Roman" w:hAnsi="Times New Roman" w:cs="Times New Roman"/>
          <w:sz w:val="24"/>
          <w:szCs w:val="24"/>
        </w:rPr>
        <w:t xml:space="preserve"> analys</w:t>
      </w:r>
      <w:r w:rsidR="00DD7D95" w:rsidRPr="005B09A9">
        <w:rPr>
          <w:rFonts w:ascii="Times New Roman" w:hAnsi="Times New Roman" w:cs="Times New Roman"/>
          <w:sz w:val="24"/>
          <w:szCs w:val="24"/>
        </w:rPr>
        <w:t>is</w:t>
      </w:r>
      <w:r w:rsidR="00E86FCB" w:rsidRPr="005B09A9">
        <w:rPr>
          <w:rFonts w:ascii="Times New Roman" w:hAnsi="Times New Roman" w:cs="Times New Roman"/>
          <w:sz w:val="24"/>
          <w:szCs w:val="24"/>
        </w:rPr>
        <w:t xml:space="preserve">, </w:t>
      </w:r>
      <w:r w:rsidR="00500CC8" w:rsidRPr="005B09A9">
        <w:rPr>
          <w:rFonts w:ascii="Times New Roman" w:hAnsi="Times New Roman" w:cs="Times New Roman"/>
          <w:sz w:val="24"/>
          <w:szCs w:val="24"/>
        </w:rPr>
        <w:t>three</w:t>
      </w:r>
      <w:r w:rsidR="00E86FCB" w:rsidRPr="005B09A9">
        <w:rPr>
          <w:rFonts w:ascii="Times New Roman" w:hAnsi="Times New Roman" w:cs="Times New Roman"/>
          <w:sz w:val="24"/>
          <w:szCs w:val="24"/>
        </w:rPr>
        <w:t xml:space="preserve"> variables </w:t>
      </w:r>
      <w:r w:rsidR="00ED2EC3" w:rsidRPr="005B09A9">
        <w:rPr>
          <w:rFonts w:ascii="Times New Roman" w:hAnsi="Times New Roman" w:cs="Times New Roman"/>
          <w:sz w:val="24"/>
          <w:szCs w:val="24"/>
        </w:rPr>
        <w:t>still</w:t>
      </w:r>
      <w:r w:rsidR="00786845" w:rsidRPr="005B09A9">
        <w:rPr>
          <w:rFonts w:ascii="Times New Roman" w:hAnsi="Times New Roman" w:cs="Times New Roman"/>
          <w:sz w:val="24"/>
          <w:szCs w:val="24"/>
        </w:rPr>
        <w:t xml:space="preserve"> </w:t>
      </w:r>
      <w:r w:rsidR="00DD7D95" w:rsidRPr="005B09A9">
        <w:rPr>
          <w:rFonts w:ascii="Times New Roman" w:hAnsi="Times New Roman" w:cs="Times New Roman"/>
          <w:sz w:val="24"/>
          <w:szCs w:val="24"/>
        </w:rPr>
        <w:t>predicted</w:t>
      </w:r>
      <w:r w:rsidR="00786845" w:rsidRPr="005B09A9">
        <w:rPr>
          <w:rFonts w:ascii="Times New Roman" w:hAnsi="Times New Roman" w:cs="Times New Roman"/>
          <w:sz w:val="24"/>
          <w:szCs w:val="24"/>
        </w:rPr>
        <w:t xml:space="preserve"> sick leave: </w:t>
      </w:r>
      <w:r w:rsidR="00ED2EC3" w:rsidRPr="005B09A9">
        <w:rPr>
          <w:rFonts w:ascii="Times New Roman" w:hAnsi="Times New Roman" w:cs="Times New Roman"/>
          <w:i/>
          <w:iCs/>
          <w:sz w:val="24"/>
          <w:szCs w:val="24"/>
        </w:rPr>
        <w:t>severity of the injury</w:t>
      </w:r>
      <w:r w:rsidR="00ED2EC3" w:rsidRPr="005B09A9">
        <w:rPr>
          <w:rFonts w:ascii="Times New Roman" w:hAnsi="Times New Roman" w:cs="Times New Roman"/>
          <w:sz w:val="24"/>
          <w:szCs w:val="24"/>
        </w:rPr>
        <w:t xml:space="preserve">, </w:t>
      </w:r>
      <w:r w:rsidR="00ED2EC3" w:rsidRPr="005B09A9">
        <w:rPr>
          <w:rFonts w:ascii="Times New Roman" w:hAnsi="Times New Roman" w:cs="Times New Roman"/>
          <w:i/>
          <w:iCs/>
          <w:sz w:val="24"/>
          <w:szCs w:val="24"/>
        </w:rPr>
        <w:t>physically</w:t>
      </w:r>
      <w:r w:rsidR="00ED2EC3" w:rsidRPr="005B09A9">
        <w:rPr>
          <w:rFonts w:ascii="Times New Roman" w:hAnsi="Times New Roman" w:cs="Times New Roman"/>
          <w:sz w:val="24"/>
          <w:szCs w:val="24"/>
        </w:rPr>
        <w:t xml:space="preserve"> </w:t>
      </w:r>
      <w:r w:rsidR="00ED2EC3" w:rsidRPr="005B09A9">
        <w:rPr>
          <w:rFonts w:ascii="Times New Roman" w:hAnsi="Times New Roman" w:cs="Times New Roman"/>
          <w:i/>
          <w:iCs/>
          <w:sz w:val="24"/>
          <w:szCs w:val="24"/>
        </w:rPr>
        <w:t>demanding jobs</w:t>
      </w:r>
      <w:r w:rsidR="00C168F4" w:rsidRPr="005B09A9">
        <w:rPr>
          <w:rFonts w:ascii="Times New Roman" w:hAnsi="Times New Roman" w:cs="Times New Roman"/>
          <w:i/>
          <w:iCs/>
          <w:sz w:val="24"/>
          <w:szCs w:val="24"/>
        </w:rPr>
        <w:t>,</w:t>
      </w:r>
      <w:r w:rsidR="0020631F" w:rsidRPr="005B09A9">
        <w:rPr>
          <w:rFonts w:ascii="Times New Roman" w:hAnsi="Times New Roman" w:cs="Times New Roman"/>
          <w:sz w:val="24"/>
          <w:szCs w:val="24"/>
        </w:rPr>
        <w:t xml:space="preserve"> and</w:t>
      </w:r>
      <w:r w:rsidR="00ED2EC3" w:rsidRPr="005B09A9">
        <w:rPr>
          <w:rFonts w:ascii="Times New Roman" w:hAnsi="Times New Roman" w:cs="Times New Roman"/>
          <w:sz w:val="24"/>
          <w:szCs w:val="24"/>
        </w:rPr>
        <w:t xml:space="preserve"> </w:t>
      </w:r>
      <w:r w:rsidR="00ED2EC3" w:rsidRPr="005B09A9">
        <w:rPr>
          <w:rFonts w:ascii="Times New Roman" w:hAnsi="Times New Roman" w:cs="Times New Roman"/>
          <w:i/>
          <w:iCs/>
          <w:sz w:val="24"/>
          <w:szCs w:val="24"/>
        </w:rPr>
        <w:t>self-reported disability</w:t>
      </w:r>
      <w:r w:rsidR="00ED2EC3" w:rsidRPr="005B09A9">
        <w:rPr>
          <w:rFonts w:ascii="Times New Roman" w:hAnsi="Times New Roman" w:cs="Times New Roman"/>
          <w:sz w:val="24"/>
          <w:szCs w:val="24"/>
        </w:rPr>
        <w:t>.</w:t>
      </w:r>
      <w:r w:rsidR="000052B9" w:rsidRPr="005B09A9">
        <w:rPr>
          <w:rFonts w:ascii="Times New Roman" w:hAnsi="Times New Roman" w:cs="Times New Roman"/>
          <w:sz w:val="24"/>
          <w:szCs w:val="24"/>
        </w:rPr>
        <w:t xml:space="preserve"> </w:t>
      </w:r>
      <w:r w:rsidR="00F3068E" w:rsidRPr="005B09A9">
        <w:rPr>
          <w:rFonts w:ascii="Times New Roman" w:hAnsi="Times New Roman" w:cs="Times New Roman"/>
          <w:sz w:val="24"/>
          <w:szCs w:val="24"/>
        </w:rPr>
        <w:t>Contrary to the previous study</w:t>
      </w:r>
      <w:r w:rsidR="007B3BE2" w:rsidRPr="005B09A9">
        <w:rPr>
          <w:rFonts w:ascii="Times New Roman" w:hAnsi="Times New Roman" w:cs="Times New Roman"/>
          <w:sz w:val="24"/>
          <w:szCs w:val="24"/>
        </w:rPr>
        <w:t xml:space="preserve"> </w:t>
      </w:r>
      <w:r w:rsidR="00BA5950"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{"citationID":"sOeDyekD","properties":{"formattedCitation":"(Dumas et al., 2011)","plainCitation":"(Dumas et al., 2011)","noteIndex":0},"citationItems":[{"id":154,"uris":["http://zotero.org/users/8777725/items/HHQWL3BX"],"itemData":{"id":154,"type":"article-journal","container-title":"Journal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BA5950"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(Dumas et al., 2011)</w:t>
      </w:r>
      <w:r w:rsidR="00BA5950" w:rsidRPr="005B09A9">
        <w:rPr>
          <w:rFonts w:ascii="Times New Roman" w:hAnsi="Times New Roman" w:cs="Times New Roman"/>
          <w:sz w:val="24"/>
          <w:szCs w:val="24"/>
        </w:rPr>
        <w:fldChar w:fldCharType="end"/>
      </w:r>
      <w:r w:rsidR="007B3BE2" w:rsidRPr="005B09A9">
        <w:rPr>
          <w:rFonts w:ascii="Times New Roman" w:hAnsi="Times New Roman" w:cs="Times New Roman"/>
          <w:sz w:val="24"/>
          <w:szCs w:val="24"/>
        </w:rPr>
        <w:t>,</w:t>
      </w:r>
      <w:r w:rsidR="00F3068E" w:rsidRPr="005B09A9">
        <w:rPr>
          <w:rFonts w:ascii="Times New Roman" w:hAnsi="Times New Roman" w:cs="Times New Roman"/>
          <w:sz w:val="24"/>
          <w:szCs w:val="24"/>
        </w:rPr>
        <w:t xml:space="preserve"> the </w:t>
      </w:r>
      <w:r w:rsidR="007154D3" w:rsidRPr="005B09A9">
        <w:rPr>
          <w:rFonts w:ascii="Times New Roman" w:hAnsi="Times New Roman" w:cs="Times New Roman"/>
          <w:i/>
          <w:sz w:val="24"/>
          <w:szCs w:val="24"/>
        </w:rPr>
        <w:t>involved limb</w:t>
      </w:r>
      <w:r w:rsidR="00F5567E" w:rsidRPr="005B09A9">
        <w:rPr>
          <w:rFonts w:ascii="Times New Roman" w:hAnsi="Times New Roman" w:cs="Times New Roman"/>
          <w:sz w:val="24"/>
          <w:szCs w:val="24"/>
        </w:rPr>
        <w:t xml:space="preserve"> </w:t>
      </w:r>
      <w:r w:rsidR="00C97D5D" w:rsidRPr="005B09A9">
        <w:rPr>
          <w:rFonts w:ascii="Times New Roman" w:hAnsi="Times New Roman" w:cs="Times New Roman"/>
          <w:sz w:val="24"/>
          <w:szCs w:val="24"/>
        </w:rPr>
        <w:t xml:space="preserve">(upper or lower) </w:t>
      </w:r>
      <w:r w:rsidR="00184422" w:rsidRPr="005B09A9">
        <w:rPr>
          <w:rFonts w:ascii="Times New Roman" w:hAnsi="Times New Roman" w:cs="Times New Roman"/>
          <w:sz w:val="24"/>
          <w:szCs w:val="24"/>
        </w:rPr>
        <w:t>had no impact on work status.</w:t>
      </w:r>
    </w:p>
    <w:p w14:paraId="37787AD6" w14:textId="72F63E7A" w:rsidR="00836351" w:rsidRPr="005B09A9" w:rsidRDefault="00552E63" w:rsidP="006F05A7">
      <w:pPr>
        <w:pStyle w:val="Paragraphedeliste"/>
        <w:numPr>
          <w:ilvl w:val="2"/>
          <w:numId w:val="18"/>
        </w:numPr>
        <w:spacing w:line="480" w:lineRule="auto"/>
        <w:rPr>
          <w:rStyle w:val="Accentuation"/>
          <w:rFonts w:ascii="Times New Roman" w:hAnsi="Times New Roman" w:cs="Times New Roman"/>
          <w:b w:val="0"/>
          <w:sz w:val="24"/>
          <w:szCs w:val="24"/>
          <w:lang w:val="en-GB"/>
        </w:rPr>
      </w:pPr>
      <w:r w:rsidRPr="005B09A9">
        <w:rPr>
          <w:rStyle w:val="Accentuation"/>
          <w:rFonts w:ascii="Times New Roman" w:hAnsi="Times New Roman" w:cs="Times New Roman"/>
          <w:b w:val="0"/>
          <w:sz w:val="24"/>
          <w:szCs w:val="24"/>
          <w:lang w:val="en-GB"/>
        </w:rPr>
        <w:t xml:space="preserve">Measures </w:t>
      </w:r>
      <w:r w:rsidR="003B7B2C" w:rsidRPr="005B09A9">
        <w:rPr>
          <w:rStyle w:val="Accentuation"/>
          <w:rFonts w:ascii="Times New Roman" w:hAnsi="Times New Roman" w:cs="Times New Roman"/>
          <w:b w:val="0"/>
          <w:sz w:val="24"/>
          <w:szCs w:val="24"/>
          <w:lang w:val="en-GB"/>
        </w:rPr>
        <w:t>R</w:t>
      </w:r>
      <w:r w:rsidRPr="005B09A9">
        <w:rPr>
          <w:rStyle w:val="Accentuation"/>
          <w:rFonts w:ascii="Times New Roman" w:hAnsi="Times New Roman" w:cs="Times New Roman"/>
          <w:b w:val="0"/>
          <w:sz w:val="24"/>
          <w:szCs w:val="24"/>
          <w:lang w:val="en-GB"/>
        </w:rPr>
        <w:t xml:space="preserve">elated to CRPS </w:t>
      </w:r>
      <w:r w:rsidR="003B7B2C" w:rsidRPr="005B09A9">
        <w:rPr>
          <w:rStyle w:val="Accentuation"/>
          <w:rFonts w:ascii="Times New Roman" w:hAnsi="Times New Roman" w:cs="Times New Roman"/>
          <w:b w:val="0"/>
          <w:sz w:val="24"/>
          <w:szCs w:val="24"/>
          <w:lang w:val="en-GB"/>
        </w:rPr>
        <w:t>S</w:t>
      </w:r>
      <w:r w:rsidRPr="005B09A9">
        <w:rPr>
          <w:rStyle w:val="Accentuation"/>
          <w:rFonts w:ascii="Times New Roman" w:hAnsi="Times New Roman" w:cs="Times New Roman"/>
          <w:b w:val="0"/>
          <w:sz w:val="24"/>
          <w:szCs w:val="24"/>
          <w:lang w:val="en-GB"/>
        </w:rPr>
        <w:t>tatus</w:t>
      </w:r>
      <w:r w:rsidR="00A133E9" w:rsidRPr="005B09A9">
        <w:rPr>
          <w:rStyle w:val="Accentuation"/>
          <w:rFonts w:ascii="Times New Roman" w:hAnsi="Times New Roman" w:cs="Times New Roman"/>
          <w:b w:val="0"/>
          <w:sz w:val="24"/>
          <w:szCs w:val="24"/>
          <w:lang w:val="en-GB"/>
        </w:rPr>
        <w:t xml:space="preserve"> (N = 3</w:t>
      </w:r>
      <w:r w:rsidR="009706DD" w:rsidRPr="005B09A9">
        <w:rPr>
          <w:rStyle w:val="Accentuation"/>
          <w:rFonts w:ascii="Times New Roman" w:hAnsi="Times New Roman" w:cs="Times New Roman"/>
          <w:b w:val="0"/>
          <w:sz w:val="24"/>
          <w:szCs w:val="24"/>
          <w:lang w:val="en-GB"/>
        </w:rPr>
        <w:t>, n = 150</w:t>
      </w:r>
      <w:r w:rsidR="001E1A6D" w:rsidRPr="005B09A9">
        <w:rPr>
          <w:rStyle w:val="Accentuation"/>
          <w:rFonts w:ascii="Times New Roman" w:hAnsi="Times New Roman" w:cs="Times New Roman"/>
          <w:b w:val="0"/>
          <w:sz w:val="24"/>
          <w:szCs w:val="24"/>
          <w:lang w:val="en-GB"/>
        </w:rPr>
        <w:t>, Body structure and Function in ICF classification</w:t>
      </w:r>
      <w:r w:rsidR="00A133E9" w:rsidRPr="005B09A9">
        <w:rPr>
          <w:rStyle w:val="Accentuation"/>
          <w:rFonts w:ascii="Times New Roman" w:hAnsi="Times New Roman" w:cs="Times New Roman"/>
          <w:b w:val="0"/>
          <w:sz w:val="24"/>
          <w:szCs w:val="24"/>
          <w:lang w:val="en-GB"/>
        </w:rPr>
        <w:t>)</w:t>
      </w:r>
    </w:p>
    <w:p w14:paraId="14D75F43" w14:textId="3F6E0EEF" w:rsidR="00303796" w:rsidRPr="005B09A9" w:rsidRDefault="00A133E9"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 xml:space="preserve">All </w:t>
      </w:r>
      <w:r w:rsidR="00846CC1" w:rsidRPr="005B09A9">
        <w:rPr>
          <w:rStyle w:val="Accentuation"/>
          <w:rFonts w:ascii="Times New Roman" w:hAnsi="Times New Roman" w:cs="Times New Roman"/>
          <w:b w:val="0"/>
          <w:i w:val="0"/>
          <w:sz w:val="24"/>
          <w:szCs w:val="24"/>
        </w:rPr>
        <w:t>three</w:t>
      </w:r>
      <w:r w:rsidR="00753D69"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 w:val="0"/>
          <w:sz w:val="24"/>
          <w:szCs w:val="24"/>
        </w:rPr>
        <w:t xml:space="preserve">studies </w:t>
      </w:r>
      <w:r w:rsidR="005603EC" w:rsidRPr="005B09A9">
        <w:rPr>
          <w:rStyle w:val="Accentuation"/>
          <w:rFonts w:ascii="Times New Roman" w:hAnsi="Times New Roman" w:cs="Times New Roman"/>
          <w:b w:val="0"/>
          <w:i w:val="0"/>
          <w:sz w:val="24"/>
          <w:szCs w:val="24"/>
        </w:rPr>
        <w:t>assessing</w:t>
      </w:r>
      <w:r w:rsidRPr="005B09A9">
        <w:rPr>
          <w:rStyle w:val="Accentuation"/>
          <w:rFonts w:ascii="Times New Roman" w:hAnsi="Times New Roman" w:cs="Times New Roman"/>
          <w:b w:val="0"/>
          <w:i w:val="0"/>
          <w:sz w:val="24"/>
          <w:szCs w:val="24"/>
        </w:rPr>
        <w:t xml:space="preserve"> CRPS status were prospective</w:t>
      </w:r>
      <w:r w:rsidR="00F815EF" w:rsidRPr="005B09A9">
        <w:rPr>
          <w:rStyle w:val="Accentuation"/>
          <w:rFonts w:ascii="Times New Roman" w:hAnsi="Times New Roman" w:cs="Times New Roman"/>
          <w:b w:val="0"/>
          <w:i w:val="0"/>
          <w:sz w:val="24"/>
          <w:szCs w:val="24"/>
        </w:rPr>
        <w:t xml:space="preserve">, with a </w:t>
      </w:r>
      <w:r w:rsidR="00491D75" w:rsidRPr="005B09A9">
        <w:rPr>
          <w:rStyle w:val="Accentuation"/>
          <w:rFonts w:ascii="Times New Roman" w:hAnsi="Times New Roman" w:cs="Times New Roman"/>
          <w:b w:val="0"/>
          <w:i w:val="0"/>
          <w:sz w:val="24"/>
          <w:szCs w:val="24"/>
        </w:rPr>
        <w:t>12-</w:t>
      </w:r>
      <w:r w:rsidR="00F815EF" w:rsidRPr="005B09A9">
        <w:rPr>
          <w:rStyle w:val="Accentuation"/>
          <w:rFonts w:ascii="Times New Roman" w:hAnsi="Times New Roman" w:cs="Times New Roman"/>
          <w:b w:val="0"/>
          <w:i w:val="0"/>
          <w:sz w:val="24"/>
          <w:szCs w:val="24"/>
        </w:rPr>
        <w:t>month follow-up</w:t>
      </w:r>
      <w:r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T</w:t>
      </w:r>
      <w:r w:rsidRPr="005B09A9">
        <w:rPr>
          <w:rStyle w:val="Accentuation"/>
          <w:rFonts w:ascii="Times New Roman" w:hAnsi="Times New Roman" w:cs="Times New Roman"/>
          <w:b w:val="0"/>
          <w:i w:val="0"/>
          <w:sz w:val="24"/>
          <w:szCs w:val="24"/>
        </w:rPr>
        <w:t>he outcome</w:t>
      </w:r>
      <w:r w:rsidR="002A7F0C" w:rsidRPr="005B09A9">
        <w:rPr>
          <w:rStyle w:val="Accentuation"/>
          <w:rFonts w:ascii="Times New Roman" w:hAnsi="Times New Roman" w:cs="Times New Roman"/>
          <w:b w:val="0"/>
          <w:i w:val="0"/>
          <w:sz w:val="24"/>
          <w:szCs w:val="24"/>
        </w:rPr>
        <w:t>s</w:t>
      </w:r>
      <w:r w:rsidRPr="005B09A9">
        <w:rPr>
          <w:rStyle w:val="Accentuation"/>
          <w:rFonts w:ascii="Times New Roman" w:hAnsi="Times New Roman" w:cs="Times New Roman"/>
          <w:b w:val="0"/>
          <w:i w:val="0"/>
          <w:sz w:val="24"/>
          <w:szCs w:val="24"/>
        </w:rPr>
        <w:t xml:space="preserve"> </w:t>
      </w:r>
      <w:r w:rsidR="00A876FC" w:rsidRPr="005B09A9">
        <w:rPr>
          <w:rStyle w:val="Accentuation"/>
          <w:rFonts w:ascii="Times New Roman" w:hAnsi="Times New Roman" w:cs="Times New Roman"/>
          <w:b w:val="0"/>
          <w:i w:val="0"/>
          <w:sz w:val="24"/>
          <w:szCs w:val="24"/>
        </w:rPr>
        <w:t xml:space="preserve">evaluated </w:t>
      </w:r>
      <w:r w:rsidR="002A7F0C" w:rsidRPr="005B09A9">
        <w:rPr>
          <w:rStyle w:val="Accentuation"/>
          <w:rFonts w:ascii="Times New Roman" w:hAnsi="Times New Roman" w:cs="Times New Roman"/>
          <w:b w:val="0"/>
          <w:i w:val="0"/>
          <w:sz w:val="24"/>
          <w:szCs w:val="24"/>
        </w:rPr>
        <w:t>were</w:t>
      </w:r>
      <w:r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different</w:t>
      </w:r>
      <w:r w:rsidRPr="005B09A9">
        <w:rPr>
          <w:rStyle w:val="Accentuation"/>
          <w:rFonts w:ascii="Times New Roman" w:hAnsi="Times New Roman" w:cs="Times New Roman"/>
          <w:b w:val="0"/>
          <w:i w:val="0"/>
          <w:sz w:val="24"/>
          <w:szCs w:val="24"/>
        </w:rPr>
        <w:t xml:space="preserve">: </w:t>
      </w:r>
      <w:r w:rsidR="00C739E2" w:rsidRPr="005B09A9">
        <w:rPr>
          <w:rStyle w:val="Accentuation"/>
          <w:rFonts w:ascii="Times New Roman" w:hAnsi="Times New Roman" w:cs="Times New Roman"/>
          <w:b w:val="0"/>
          <w:i w:val="0"/>
          <w:sz w:val="24"/>
          <w:szCs w:val="24"/>
        </w:rPr>
        <w:t xml:space="preserve">non-validated </w:t>
      </w:r>
      <w:r w:rsidR="00406191" w:rsidRPr="005B09A9">
        <w:rPr>
          <w:rStyle w:val="Accentuation"/>
          <w:rFonts w:ascii="Times New Roman" w:hAnsi="Times New Roman" w:cs="Times New Roman"/>
          <w:b w:val="0"/>
          <w:i w:val="0"/>
          <w:sz w:val="24"/>
          <w:szCs w:val="24"/>
        </w:rPr>
        <w:t>clinical algodystrophy score</w:t>
      </w:r>
      <w:r w:rsidR="007B3BE2" w:rsidRPr="005B09A9">
        <w:rPr>
          <w:rStyle w:val="Accentuation"/>
          <w:rFonts w:ascii="Times New Roman" w:hAnsi="Times New Roman" w:cs="Times New Roman"/>
          <w:b w:val="0"/>
          <w:i w:val="0"/>
          <w:sz w:val="24"/>
          <w:szCs w:val="24"/>
        </w:rPr>
        <w:t xml:space="preserve"> </w:t>
      </w:r>
      <w:r w:rsidR="00406191"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{"citationID":"zu61pBIq","properties":{"formattedCitation":"(Laulan et al., 1997)","plainCitation":"(Laulan et al., 1997)","noteIndex":0},"citationItems":[{"id":441,"uris":["http://zotero.org/users/8777725/items/EQG2M7E9"],"itemData":{"id":441,"type":"article-journal","abstract":"A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schema":"https://github.com/citation-style-language/schema/raw/master/csl-citation.json"} </w:instrText>
      </w:r>
      <w:r w:rsidR="00406191"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(Laulan et al., 1997)</w:t>
      </w:r>
      <w:r w:rsidR="00406191"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 xml:space="preserve">, </w:t>
      </w:r>
      <w:r w:rsidR="00406191" w:rsidRPr="005B09A9">
        <w:rPr>
          <w:rStyle w:val="Accentuation"/>
          <w:rFonts w:ascii="Times New Roman" w:hAnsi="Times New Roman" w:cs="Times New Roman"/>
          <w:b w:val="0"/>
          <w:i w:val="0"/>
          <w:sz w:val="24"/>
          <w:szCs w:val="24"/>
        </w:rPr>
        <w:t>still meet</w:t>
      </w:r>
      <w:r w:rsidR="003B637D" w:rsidRPr="005B09A9">
        <w:rPr>
          <w:rStyle w:val="Accentuation"/>
          <w:rFonts w:ascii="Times New Roman" w:hAnsi="Times New Roman" w:cs="Times New Roman"/>
          <w:b w:val="0"/>
          <w:i w:val="0"/>
          <w:sz w:val="24"/>
          <w:szCs w:val="24"/>
        </w:rPr>
        <w:t>ing</w:t>
      </w:r>
      <w:r w:rsidR="00406191" w:rsidRPr="005B09A9">
        <w:rPr>
          <w:rStyle w:val="Accentuation"/>
          <w:rFonts w:ascii="Times New Roman" w:hAnsi="Times New Roman" w:cs="Times New Roman"/>
          <w:b w:val="0"/>
          <w:i w:val="0"/>
          <w:sz w:val="24"/>
          <w:szCs w:val="24"/>
        </w:rPr>
        <w:t xml:space="preserve"> Budapest research criteria</w:t>
      </w:r>
      <w:r w:rsidR="007B3BE2" w:rsidRPr="005B09A9">
        <w:rPr>
          <w:rStyle w:val="Accentuation"/>
          <w:rFonts w:ascii="Times New Roman" w:hAnsi="Times New Roman" w:cs="Times New Roman"/>
          <w:b w:val="0"/>
          <w:i w:val="0"/>
          <w:sz w:val="24"/>
          <w:szCs w:val="24"/>
        </w:rPr>
        <w:t xml:space="preserve"> </w:t>
      </w:r>
      <w:r w:rsidR="00406191"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{"citationID":"9FQFPMl9","properties":{"formattedCitation":"(Roh et al., 2019)","plainCitation":"(Roh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Hyun"}],"issued":{"date-parts":[["2019",6,1]]}}}],"schema":"https://github.com/citation-style-language/schema/raw/master/csl-citation.json"} </w:instrText>
      </w:r>
      <w:r w:rsidR="00406191"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(Roh et al., 2019)</w:t>
      </w:r>
      <w:r w:rsidR="00406191"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w:t>
      </w:r>
      <w:r w:rsidR="006D06EA" w:rsidRPr="005B09A9">
        <w:rPr>
          <w:rStyle w:val="Accentuation"/>
          <w:rFonts w:ascii="Times New Roman" w:hAnsi="Times New Roman" w:cs="Times New Roman"/>
          <w:b w:val="0"/>
          <w:i w:val="0"/>
          <w:sz w:val="24"/>
          <w:szCs w:val="24"/>
        </w:rPr>
        <w:t xml:space="preserve"> </w:t>
      </w:r>
      <w:r w:rsidR="00406191" w:rsidRPr="005B09A9">
        <w:rPr>
          <w:rStyle w:val="Accentuation"/>
          <w:rFonts w:ascii="Times New Roman" w:hAnsi="Times New Roman" w:cs="Times New Roman"/>
          <w:b w:val="0"/>
          <w:i w:val="0"/>
          <w:sz w:val="24"/>
          <w:szCs w:val="24"/>
        </w:rPr>
        <w:t xml:space="preserve">or </w:t>
      </w:r>
      <w:r w:rsidR="00F3068E" w:rsidRPr="005B09A9">
        <w:rPr>
          <w:rStyle w:val="Accentuation"/>
          <w:rFonts w:ascii="Times New Roman" w:hAnsi="Times New Roman" w:cs="Times New Roman"/>
          <w:b w:val="0"/>
          <w:i w:val="0"/>
          <w:sz w:val="24"/>
          <w:szCs w:val="24"/>
        </w:rPr>
        <w:t>CSS</w:t>
      </w:r>
      <w:r w:rsidR="007B3BE2" w:rsidRPr="005B09A9">
        <w:rPr>
          <w:rStyle w:val="Accentuation"/>
          <w:rFonts w:ascii="Times New Roman" w:hAnsi="Times New Roman" w:cs="Times New Roman"/>
          <w:b w:val="0"/>
          <w:i w:val="0"/>
          <w:sz w:val="24"/>
          <w:szCs w:val="24"/>
        </w:rPr>
        <w:t xml:space="preserve"> </w:t>
      </w:r>
      <w:r w:rsidR="005C3089"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{"citationID":"RK3CQxV9","properties":{"formattedCitation":"(Bean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005C3089"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(Bean et al., 2015)</w:t>
      </w:r>
      <w:r w:rsidR="005C3089"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w:t>
      </w:r>
      <w:r w:rsidRPr="005B09A9">
        <w:rPr>
          <w:rStyle w:val="Accentuation"/>
          <w:rFonts w:ascii="Times New Roman" w:hAnsi="Times New Roman" w:cs="Times New Roman"/>
          <w:b w:val="0"/>
          <w:i w:val="0"/>
          <w:sz w:val="24"/>
          <w:szCs w:val="24"/>
        </w:rPr>
        <w:t xml:space="preserve"> </w:t>
      </w:r>
      <w:r w:rsidR="006B44DD" w:rsidRPr="005B09A9">
        <w:rPr>
          <w:rStyle w:val="Accentuation"/>
          <w:rFonts w:ascii="Times New Roman" w:hAnsi="Times New Roman" w:cs="Times New Roman"/>
          <w:b w:val="0"/>
          <w:i w:val="0"/>
          <w:sz w:val="24"/>
          <w:szCs w:val="24"/>
        </w:rPr>
        <w:t xml:space="preserve">The </w:t>
      </w:r>
      <w:r w:rsidR="00406191" w:rsidRPr="005B09A9">
        <w:rPr>
          <w:rStyle w:val="Accentuation"/>
          <w:rFonts w:ascii="Times New Roman" w:hAnsi="Times New Roman" w:cs="Times New Roman"/>
          <w:b w:val="0"/>
          <w:i w:val="0"/>
          <w:sz w:val="24"/>
          <w:szCs w:val="24"/>
        </w:rPr>
        <w:t xml:space="preserve">prognostic </w:t>
      </w:r>
      <w:r w:rsidR="006B44DD" w:rsidRPr="005B09A9">
        <w:rPr>
          <w:rStyle w:val="Accentuation"/>
          <w:rFonts w:ascii="Times New Roman" w:hAnsi="Times New Roman" w:cs="Times New Roman"/>
          <w:b w:val="0"/>
          <w:i w:val="0"/>
          <w:sz w:val="24"/>
          <w:szCs w:val="24"/>
        </w:rPr>
        <w:t xml:space="preserve">factors investigated were </w:t>
      </w:r>
      <w:r w:rsidR="00F5567E" w:rsidRPr="005B09A9">
        <w:rPr>
          <w:rStyle w:val="Accentuation"/>
          <w:rFonts w:ascii="Times New Roman" w:hAnsi="Times New Roman" w:cs="Times New Roman"/>
          <w:b w:val="0"/>
          <w:i w:val="0"/>
          <w:sz w:val="24"/>
          <w:szCs w:val="24"/>
        </w:rPr>
        <w:t xml:space="preserve">also </w:t>
      </w:r>
      <w:r w:rsidR="006B44DD" w:rsidRPr="005B09A9">
        <w:rPr>
          <w:rStyle w:val="Accentuation"/>
          <w:rFonts w:ascii="Times New Roman" w:hAnsi="Times New Roman" w:cs="Times New Roman"/>
          <w:b w:val="0"/>
          <w:i w:val="0"/>
          <w:sz w:val="24"/>
          <w:szCs w:val="24"/>
        </w:rPr>
        <w:t>different.</w:t>
      </w:r>
    </w:p>
    <w:p w14:paraId="161E9CE6" w14:textId="55D5B5D4" w:rsidR="007F3A4D" w:rsidRPr="005B09A9" w:rsidRDefault="00395922"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lastRenderedPageBreak/>
        <w:t xml:space="preserve">Two studies exclusively included </w:t>
      </w:r>
      <w:r w:rsidR="00C168F4" w:rsidRPr="005B09A9">
        <w:rPr>
          <w:rStyle w:val="Accentuation"/>
          <w:rFonts w:ascii="Times New Roman" w:hAnsi="Times New Roman" w:cs="Times New Roman"/>
          <w:b w:val="0"/>
          <w:i w:val="0"/>
          <w:sz w:val="24"/>
          <w:szCs w:val="24"/>
        </w:rPr>
        <w:t>post-DRF</w:t>
      </w:r>
      <w:r w:rsidRPr="005B09A9">
        <w:rPr>
          <w:rStyle w:val="Accentuation"/>
          <w:rFonts w:ascii="Times New Roman" w:hAnsi="Times New Roman" w:cs="Times New Roman"/>
          <w:b w:val="0"/>
          <w:i w:val="0"/>
          <w:sz w:val="24"/>
          <w:szCs w:val="24"/>
        </w:rPr>
        <w:t xml:space="preserve"> </w:t>
      </w:r>
      <w:r w:rsidR="005E0BEB" w:rsidRPr="005B09A9">
        <w:rPr>
          <w:rStyle w:val="Accentuation"/>
          <w:rFonts w:ascii="Times New Roman" w:hAnsi="Times New Roman" w:cs="Times New Roman"/>
          <w:b w:val="0"/>
          <w:i w:val="0"/>
          <w:sz w:val="24"/>
          <w:szCs w:val="24"/>
        </w:rPr>
        <w:t>individuals</w:t>
      </w:r>
      <w:r w:rsidR="007B3BE2" w:rsidRPr="005B09A9">
        <w:rPr>
          <w:rStyle w:val="Accentuation"/>
          <w:rFonts w:ascii="Times New Roman" w:hAnsi="Times New Roman" w:cs="Times New Roman"/>
          <w:b w:val="0"/>
          <w:i w:val="0"/>
          <w:sz w:val="24"/>
          <w:szCs w:val="24"/>
        </w:rPr>
        <w:t xml:space="preserve"> </w:t>
      </w:r>
      <w:r w:rsidR="00F5567E"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{"citationID":"q5j0xyMQ","properties":{"formattedCitation":"(Laulan et al., 1997; Roh et al., 2019)","plainCitation":"(Laulan et al., 1997; 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schema":"https://github.com/citation-style-language/schema/raw/master/csl-citation.json"} </w:instrText>
      </w:r>
      <w:r w:rsidR="00F5567E"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(Laulan et al., 1997; Roh et al., 2019)</w:t>
      </w:r>
      <w:r w:rsidR="00F5567E"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w:t>
      </w:r>
      <w:r w:rsidRPr="005B09A9">
        <w:rPr>
          <w:rStyle w:val="Accentuation"/>
          <w:rFonts w:ascii="Times New Roman" w:hAnsi="Times New Roman" w:cs="Times New Roman"/>
          <w:b w:val="0"/>
          <w:i w:val="0"/>
          <w:sz w:val="24"/>
          <w:szCs w:val="24"/>
        </w:rPr>
        <w:t xml:space="preserve"> </w:t>
      </w:r>
      <w:r w:rsidR="00184422" w:rsidRPr="005B09A9">
        <w:rPr>
          <w:rStyle w:val="Accentuation"/>
          <w:rFonts w:ascii="Times New Roman" w:hAnsi="Times New Roman" w:cs="Times New Roman"/>
          <w:b w:val="0"/>
          <w:i w:val="0"/>
          <w:sz w:val="24"/>
          <w:szCs w:val="24"/>
        </w:rPr>
        <w:t xml:space="preserve">Laulan et </w:t>
      </w:r>
      <w:r w:rsidR="00184422" w:rsidRPr="005B09A9">
        <w:rPr>
          <w:rStyle w:val="Accentuation"/>
          <w:rFonts w:ascii="Times New Roman" w:hAnsi="Times New Roman" w:cs="Times New Roman"/>
          <w:b w:val="0"/>
          <w:iCs w:val="0"/>
          <w:sz w:val="24"/>
          <w:szCs w:val="24"/>
        </w:rPr>
        <w:t>al</w:t>
      </w:r>
      <w:r w:rsidR="00184422" w:rsidRPr="005B09A9">
        <w:rPr>
          <w:rStyle w:val="Accentuation"/>
          <w:rFonts w:ascii="Times New Roman" w:hAnsi="Times New Roman" w:cs="Times New Roman"/>
          <w:b w:val="0"/>
          <w:i w:val="0"/>
          <w:sz w:val="24"/>
          <w:szCs w:val="24"/>
        </w:rPr>
        <w:t>.</w:t>
      </w:r>
      <w:r w:rsidR="007B3BE2" w:rsidRPr="005B09A9">
        <w:rPr>
          <w:rStyle w:val="Accentuation"/>
          <w:rFonts w:ascii="Times New Roman" w:hAnsi="Times New Roman" w:cs="Times New Roman"/>
          <w:b w:val="0"/>
          <w:i w:val="0"/>
          <w:sz w:val="24"/>
          <w:szCs w:val="24"/>
        </w:rPr>
        <w:t xml:space="preserve"> </w:t>
      </w:r>
      <w:r w:rsidR="004C765C" w:rsidRPr="005B09A9">
        <w:rPr>
          <w:rStyle w:val="Accentuation"/>
          <w:rFonts w:ascii="Times New Roman" w:hAnsi="Times New Roman" w:cs="Times New Roman"/>
          <w:b w:val="0"/>
          <w:i w:val="0"/>
          <w:sz w:val="24"/>
          <w:szCs w:val="24"/>
        </w:rPr>
        <w:t xml:space="preserve">followed </w:t>
      </w:r>
      <w:r w:rsidR="009822EC" w:rsidRPr="005B09A9">
        <w:rPr>
          <w:rStyle w:val="Accentuation"/>
          <w:rFonts w:ascii="Times New Roman" w:hAnsi="Times New Roman" w:cs="Times New Roman"/>
          <w:b w:val="0"/>
          <w:i w:val="0"/>
          <w:sz w:val="24"/>
          <w:szCs w:val="24"/>
        </w:rPr>
        <w:t>126</w:t>
      </w:r>
      <w:r w:rsidR="004C765C" w:rsidRPr="005B09A9">
        <w:rPr>
          <w:rStyle w:val="Accentuation"/>
          <w:rFonts w:ascii="Times New Roman" w:hAnsi="Times New Roman" w:cs="Times New Roman"/>
          <w:b w:val="0"/>
          <w:i w:val="0"/>
          <w:sz w:val="24"/>
          <w:szCs w:val="24"/>
        </w:rPr>
        <w:t xml:space="preserve"> </w:t>
      </w:r>
      <w:r w:rsidR="009822EC" w:rsidRPr="005B09A9">
        <w:rPr>
          <w:rStyle w:val="Accentuation"/>
          <w:rFonts w:ascii="Times New Roman" w:hAnsi="Times New Roman" w:cs="Times New Roman"/>
          <w:b w:val="0"/>
          <w:i w:val="0"/>
          <w:sz w:val="24"/>
          <w:szCs w:val="24"/>
        </w:rPr>
        <w:t>individuals. A</w:t>
      </w:r>
      <w:r w:rsidR="004C765C" w:rsidRPr="005B09A9">
        <w:rPr>
          <w:rStyle w:val="Accentuation"/>
          <w:rFonts w:ascii="Times New Roman" w:hAnsi="Times New Roman" w:cs="Times New Roman"/>
          <w:b w:val="0"/>
          <w:i w:val="0"/>
          <w:sz w:val="24"/>
          <w:szCs w:val="24"/>
        </w:rPr>
        <w:t xml:space="preserve">mong them, 26 </w:t>
      </w:r>
      <w:r w:rsidR="009822EC" w:rsidRPr="005B09A9">
        <w:rPr>
          <w:rStyle w:val="Accentuation"/>
          <w:rFonts w:ascii="Times New Roman" w:hAnsi="Times New Roman" w:cs="Times New Roman"/>
          <w:b w:val="0"/>
          <w:i w:val="0"/>
          <w:sz w:val="24"/>
          <w:szCs w:val="24"/>
        </w:rPr>
        <w:t>developed a</w:t>
      </w:r>
      <w:r w:rsidR="004C765C" w:rsidRPr="005B09A9">
        <w:rPr>
          <w:rStyle w:val="Accentuation"/>
          <w:rFonts w:ascii="Times New Roman" w:hAnsi="Times New Roman" w:cs="Times New Roman"/>
          <w:b w:val="0"/>
          <w:i w:val="0"/>
          <w:sz w:val="24"/>
          <w:szCs w:val="24"/>
        </w:rPr>
        <w:t xml:space="preserve"> CRPS</w:t>
      </w:r>
      <w:r w:rsidR="001434AC" w:rsidRPr="005B09A9">
        <w:rPr>
          <w:rStyle w:val="Accentuation"/>
          <w:rFonts w:ascii="Times New Roman" w:hAnsi="Times New Roman" w:cs="Times New Roman"/>
          <w:b w:val="0"/>
          <w:i w:val="0"/>
          <w:sz w:val="24"/>
          <w:szCs w:val="24"/>
        </w:rPr>
        <w:t>.</w:t>
      </w:r>
      <w:r w:rsidR="004C765C" w:rsidRPr="005B09A9">
        <w:rPr>
          <w:rStyle w:val="Accentuation"/>
          <w:rFonts w:ascii="Times New Roman" w:hAnsi="Times New Roman" w:cs="Times New Roman"/>
          <w:b w:val="0"/>
          <w:i w:val="0"/>
          <w:sz w:val="24"/>
          <w:szCs w:val="24"/>
        </w:rPr>
        <w:t xml:space="preserve"> </w:t>
      </w:r>
      <w:r w:rsidR="001434AC" w:rsidRPr="005B09A9">
        <w:rPr>
          <w:rStyle w:val="Accentuation"/>
          <w:rFonts w:ascii="Times New Roman" w:hAnsi="Times New Roman" w:cs="Times New Roman"/>
          <w:b w:val="0"/>
          <w:i w:val="0"/>
          <w:sz w:val="24"/>
          <w:szCs w:val="24"/>
        </w:rPr>
        <w:t xml:space="preserve">In this subgroup, </w:t>
      </w:r>
      <w:r w:rsidR="00703F3C" w:rsidRPr="005B09A9">
        <w:rPr>
          <w:rStyle w:val="Accentuation"/>
          <w:rFonts w:ascii="Times New Roman" w:hAnsi="Times New Roman" w:cs="Times New Roman"/>
          <w:b w:val="0"/>
          <w:i w:val="0"/>
          <w:sz w:val="24"/>
          <w:szCs w:val="24"/>
        </w:rPr>
        <w:t xml:space="preserve">a </w:t>
      </w:r>
      <w:r w:rsidR="00703F3C" w:rsidRPr="005B09A9">
        <w:rPr>
          <w:rStyle w:val="Accentuation"/>
          <w:rFonts w:ascii="Times New Roman" w:hAnsi="Times New Roman" w:cs="Times New Roman"/>
          <w:b w:val="0"/>
          <w:iCs w:val="0"/>
          <w:sz w:val="24"/>
          <w:szCs w:val="24"/>
        </w:rPr>
        <w:t xml:space="preserve">clinical </w:t>
      </w:r>
      <w:r w:rsidR="00775677" w:rsidRPr="005B09A9">
        <w:rPr>
          <w:rStyle w:val="Accentuation"/>
          <w:rFonts w:ascii="Times New Roman" w:hAnsi="Times New Roman" w:cs="Times New Roman"/>
          <w:b w:val="0"/>
          <w:iCs w:val="0"/>
          <w:sz w:val="24"/>
          <w:szCs w:val="24"/>
        </w:rPr>
        <w:t xml:space="preserve">score for </w:t>
      </w:r>
      <w:r w:rsidR="00703F3C" w:rsidRPr="005B09A9">
        <w:rPr>
          <w:rStyle w:val="Accentuation"/>
          <w:rFonts w:ascii="Times New Roman" w:hAnsi="Times New Roman" w:cs="Times New Roman"/>
          <w:b w:val="0"/>
          <w:iCs w:val="0"/>
          <w:sz w:val="24"/>
          <w:szCs w:val="24"/>
        </w:rPr>
        <w:t>algodystrophy&gt;7 at 6 weeks</w:t>
      </w:r>
      <w:r w:rsidR="00703F3C" w:rsidRPr="005B09A9">
        <w:rPr>
          <w:rStyle w:val="Accentuation"/>
          <w:rFonts w:ascii="Times New Roman" w:hAnsi="Times New Roman" w:cs="Times New Roman"/>
          <w:b w:val="0"/>
          <w:i w:val="0"/>
          <w:sz w:val="24"/>
          <w:szCs w:val="24"/>
        </w:rPr>
        <w:t xml:space="preserve"> </w:t>
      </w:r>
      <w:r w:rsidR="00F35158" w:rsidRPr="005B09A9">
        <w:rPr>
          <w:rStyle w:val="Accentuation"/>
          <w:rFonts w:ascii="Times New Roman" w:hAnsi="Times New Roman" w:cs="Times New Roman"/>
          <w:b w:val="0"/>
          <w:i w:val="0"/>
          <w:sz w:val="24"/>
          <w:szCs w:val="24"/>
        </w:rPr>
        <w:t>was</w:t>
      </w:r>
      <w:r w:rsidR="00703F3C" w:rsidRPr="005B09A9">
        <w:rPr>
          <w:rStyle w:val="Accentuation"/>
          <w:rFonts w:ascii="Times New Roman" w:hAnsi="Times New Roman" w:cs="Times New Roman"/>
          <w:b w:val="0"/>
          <w:i w:val="0"/>
          <w:sz w:val="24"/>
          <w:szCs w:val="24"/>
        </w:rPr>
        <w:t xml:space="preserve"> </w:t>
      </w:r>
      <w:r w:rsidR="007E453D" w:rsidRPr="005B09A9">
        <w:rPr>
          <w:rStyle w:val="Accentuation"/>
          <w:rFonts w:ascii="Times New Roman" w:hAnsi="Times New Roman" w:cs="Times New Roman"/>
          <w:b w:val="0"/>
          <w:i w:val="0"/>
          <w:sz w:val="24"/>
          <w:szCs w:val="24"/>
        </w:rPr>
        <w:t>associated</w:t>
      </w:r>
      <w:r w:rsidR="00703F3C" w:rsidRPr="005B09A9">
        <w:rPr>
          <w:rStyle w:val="Accentuation"/>
          <w:rFonts w:ascii="Times New Roman" w:hAnsi="Times New Roman" w:cs="Times New Roman"/>
          <w:b w:val="0"/>
          <w:i w:val="0"/>
          <w:sz w:val="24"/>
          <w:szCs w:val="24"/>
        </w:rPr>
        <w:t xml:space="preserve"> with </w:t>
      </w:r>
      <w:r w:rsidR="00343557" w:rsidRPr="005B09A9">
        <w:rPr>
          <w:rStyle w:val="Accentuation"/>
          <w:rFonts w:ascii="Times New Roman" w:hAnsi="Times New Roman" w:cs="Times New Roman"/>
          <w:b w:val="0"/>
          <w:i w:val="0"/>
          <w:sz w:val="24"/>
          <w:szCs w:val="24"/>
        </w:rPr>
        <w:t xml:space="preserve">the same </w:t>
      </w:r>
      <w:r w:rsidR="00EB68DC" w:rsidRPr="005B09A9">
        <w:rPr>
          <w:rStyle w:val="Accentuation"/>
          <w:rFonts w:ascii="Times New Roman" w:hAnsi="Times New Roman" w:cs="Times New Roman"/>
          <w:b w:val="0"/>
          <w:i w:val="0"/>
          <w:sz w:val="24"/>
          <w:szCs w:val="24"/>
        </w:rPr>
        <w:t xml:space="preserve">score </w:t>
      </w:r>
      <w:r w:rsidR="00F35158" w:rsidRPr="005B09A9">
        <w:rPr>
          <w:rStyle w:val="Accentuation"/>
          <w:rFonts w:ascii="Times New Roman" w:hAnsi="Times New Roman" w:cs="Times New Roman"/>
          <w:b w:val="0"/>
          <w:i w:val="0"/>
          <w:sz w:val="24"/>
          <w:szCs w:val="24"/>
        </w:rPr>
        <w:t>at 12 months</w:t>
      </w:r>
      <w:r w:rsidR="00703F3C" w:rsidRPr="005B09A9">
        <w:rPr>
          <w:rStyle w:val="Accentuation"/>
          <w:rFonts w:ascii="Times New Roman" w:hAnsi="Times New Roman" w:cs="Times New Roman"/>
          <w:b w:val="0"/>
          <w:i w:val="0"/>
          <w:sz w:val="24"/>
          <w:szCs w:val="24"/>
        </w:rPr>
        <w:t>.</w:t>
      </w:r>
      <w:r w:rsidR="004C765C" w:rsidRPr="005B09A9">
        <w:rPr>
          <w:rStyle w:val="Accentuation"/>
          <w:rFonts w:ascii="Times New Roman" w:hAnsi="Times New Roman" w:cs="Times New Roman"/>
          <w:b w:val="0"/>
          <w:i w:val="0"/>
          <w:sz w:val="24"/>
          <w:szCs w:val="24"/>
        </w:rPr>
        <w:t xml:space="preserve"> </w:t>
      </w:r>
      <w:r w:rsidR="007F3A4D" w:rsidRPr="005B09A9">
        <w:rPr>
          <w:rStyle w:val="Accentuation"/>
          <w:rFonts w:ascii="Times New Roman" w:hAnsi="Times New Roman" w:cs="Times New Roman"/>
          <w:b w:val="0"/>
          <w:i w:val="0"/>
          <w:sz w:val="24"/>
          <w:szCs w:val="24"/>
        </w:rPr>
        <w:t>After contacting the author</w:t>
      </w:r>
      <w:r w:rsidR="00B5000A" w:rsidRPr="005B09A9">
        <w:rPr>
          <w:rStyle w:val="Accentuation"/>
          <w:rFonts w:ascii="Times New Roman" w:hAnsi="Times New Roman" w:cs="Times New Roman"/>
          <w:b w:val="0"/>
          <w:i w:val="0"/>
          <w:sz w:val="24"/>
          <w:szCs w:val="24"/>
        </w:rPr>
        <w:t>s</w:t>
      </w:r>
      <w:r w:rsidR="007F3A4D" w:rsidRPr="005B09A9">
        <w:rPr>
          <w:rStyle w:val="Accentuation"/>
          <w:rFonts w:ascii="Times New Roman" w:hAnsi="Times New Roman" w:cs="Times New Roman"/>
          <w:b w:val="0"/>
          <w:i w:val="0"/>
          <w:sz w:val="24"/>
          <w:szCs w:val="24"/>
        </w:rPr>
        <w:t xml:space="preserve">, </w:t>
      </w:r>
      <w:r w:rsidR="007F3A4D" w:rsidRPr="005B09A9">
        <w:rPr>
          <w:rStyle w:val="Accentuation"/>
          <w:rFonts w:ascii="Times New Roman" w:hAnsi="Times New Roman" w:cs="Times New Roman"/>
          <w:b w:val="0"/>
          <w:iCs w:val="0"/>
          <w:sz w:val="24"/>
          <w:szCs w:val="24"/>
        </w:rPr>
        <w:t>displaced fracture of ulnar styloid</w:t>
      </w:r>
      <w:r w:rsidR="007F3A4D" w:rsidRPr="005B09A9">
        <w:rPr>
          <w:rStyle w:val="Accentuation"/>
          <w:rFonts w:ascii="Times New Roman" w:hAnsi="Times New Roman" w:cs="Times New Roman"/>
          <w:b w:val="0"/>
          <w:i w:val="0"/>
          <w:sz w:val="24"/>
          <w:szCs w:val="24"/>
        </w:rPr>
        <w:t xml:space="preserve"> and </w:t>
      </w:r>
      <w:r w:rsidR="007F3A4D" w:rsidRPr="005B09A9">
        <w:rPr>
          <w:rStyle w:val="Accentuation"/>
          <w:rFonts w:ascii="Times New Roman" w:hAnsi="Times New Roman" w:cs="Times New Roman"/>
          <w:b w:val="0"/>
          <w:iCs w:val="0"/>
          <w:sz w:val="24"/>
          <w:szCs w:val="24"/>
        </w:rPr>
        <w:t>distal radioulnar joint pain</w:t>
      </w:r>
      <w:r w:rsidR="007F3A4D" w:rsidRPr="005B09A9">
        <w:rPr>
          <w:rStyle w:val="Accentuation"/>
          <w:rFonts w:ascii="Times New Roman" w:hAnsi="Times New Roman" w:cs="Times New Roman"/>
          <w:b w:val="0"/>
          <w:i w:val="0"/>
          <w:sz w:val="24"/>
          <w:szCs w:val="24"/>
        </w:rPr>
        <w:t xml:space="preserve"> parameters were found </w:t>
      </w:r>
      <w:r w:rsidR="009822EC" w:rsidRPr="005B09A9">
        <w:rPr>
          <w:rStyle w:val="Accentuation"/>
          <w:rFonts w:ascii="Times New Roman" w:hAnsi="Times New Roman" w:cs="Times New Roman"/>
          <w:b w:val="0"/>
          <w:i w:val="0"/>
          <w:sz w:val="24"/>
          <w:szCs w:val="24"/>
        </w:rPr>
        <w:t xml:space="preserve">not </w:t>
      </w:r>
      <w:r w:rsidR="007F3A4D" w:rsidRPr="005B09A9">
        <w:rPr>
          <w:rStyle w:val="Accentuation"/>
          <w:rFonts w:ascii="Times New Roman" w:hAnsi="Times New Roman" w:cs="Times New Roman"/>
          <w:b w:val="0"/>
          <w:i w:val="0"/>
          <w:sz w:val="24"/>
          <w:szCs w:val="24"/>
        </w:rPr>
        <w:t>to be</w:t>
      </w:r>
      <w:r w:rsidR="001434AC" w:rsidRPr="005B09A9">
        <w:rPr>
          <w:rStyle w:val="Accentuation"/>
          <w:rFonts w:ascii="Times New Roman" w:hAnsi="Times New Roman" w:cs="Times New Roman"/>
          <w:b w:val="0"/>
          <w:i w:val="0"/>
          <w:sz w:val="24"/>
          <w:szCs w:val="24"/>
        </w:rPr>
        <w:t xml:space="preserve"> prognostic factors in </w:t>
      </w:r>
      <w:r w:rsidR="007B385B" w:rsidRPr="005B09A9">
        <w:rPr>
          <w:rStyle w:val="Accentuation"/>
          <w:rFonts w:ascii="Times New Roman" w:hAnsi="Times New Roman" w:cs="Times New Roman"/>
          <w:b w:val="0"/>
          <w:i w:val="0"/>
          <w:sz w:val="24"/>
          <w:szCs w:val="24"/>
        </w:rPr>
        <w:t xml:space="preserve">this </w:t>
      </w:r>
      <w:r w:rsidR="001434AC" w:rsidRPr="005B09A9">
        <w:rPr>
          <w:rStyle w:val="Accentuation"/>
          <w:rFonts w:ascii="Times New Roman" w:hAnsi="Times New Roman" w:cs="Times New Roman"/>
          <w:b w:val="0"/>
          <w:i w:val="0"/>
          <w:sz w:val="24"/>
          <w:szCs w:val="24"/>
        </w:rPr>
        <w:t>CRPS subgroup</w:t>
      </w:r>
      <w:r w:rsidR="007B385B" w:rsidRPr="005B09A9">
        <w:rPr>
          <w:rStyle w:val="Accentuation"/>
          <w:rFonts w:ascii="Times New Roman" w:hAnsi="Times New Roman" w:cs="Times New Roman"/>
          <w:b w:val="0"/>
          <w:i w:val="0"/>
          <w:sz w:val="24"/>
          <w:szCs w:val="24"/>
        </w:rPr>
        <w:t xml:space="preserve"> (n=26)</w:t>
      </w:r>
      <w:r w:rsidR="001434AC" w:rsidRPr="005B09A9">
        <w:rPr>
          <w:rStyle w:val="Accentuation"/>
          <w:rFonts w:ascii="Times New Roman" w:hAnsi="Times New Roman" w:cs="Times New Roman"/>
          <w:b w:val="0"/>
          <w:i w:val="0"/>
          <w:sz w:val="24"/>
          <w:szCs w:val="24"/>
        </w:rPr>
        <w:t>.</w:t>
      </w:r>
      <w:r w:rsidR="007F3A4D" w:rsidRPr="005B09A9">
        <w:rPr>
          <w:rStyle w:val="Accentuation"/>
          <w:rFonts w:ascii="Times New Roman" w:hAnsi="Times New Roman" w:cs="Times New Roman"/>
          <w:b w:val="0"/>
          <w:i w:val="0"/>
          <w:sz w:val="24"/>
          <w:szCs w:val="24"/>
        </w:rPr>
        <w:t xml:space="preserve"> Therefore, we did not include </w:t>
      </w:r>
      <w:r w:rsidR="00B9310E" w:rsidRPr="005B09A9">
        <w:rPr>
          <w:rStyle w:val="Accentuation"/>
          <w:rFonts w:ascii="Times New Roman" w:hAnsi="Times New Roman" w:cs="Times New Roman"/>
          <w:b w:val="0"/>
          <w:i w:val="0"/>
          <w:sz w:val="24"/>
          <w:szCs w:val="24"/>
        </w:rPr>
        <w:t>them</w:t>
      </w:r>
      <w:r w:rsidR="007F3A4D" w:rsidRPr="005B09A9">
        <w:rPr>
          <w:rStyle w:val="Accentuation"/>
          <w:rFonts w:ascii="Times New Roman" w:hAnsi="Times New Roman" w:cs="Times New Roman"/>
          <w:b w:val="0"/>
          <w:i w:val="0"/>
          <w:sz w:val="24"/>
          <w:szCs w:val="24"/>
        </w:rPr>
        <w:t xml:space="preserve"> in our results.</w:t>
      </w:r>
    </w:p>
    <w:p w14:paraId="2B5F8998" w14:textId="34948A67" w:rsidR="00395922" w:rsidRPr="005B09A9" w:rsidRDefault="00184422"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 xml:space="preserve">Roh et </w:t>
      </w:r>
      <w:r w:rsidRPr="005B09A9">
        <w:rPr>
          <w:rStyle w:val="Accentuation"/>
          <w:rFonts w:ascii="Times New Roman" w:hAnsi="Times New Roman" w:cs="Times New Roman"/>
          <w:b w:val="0"/>
          <w:iCs w:val="0"/>
          <w:sz w:val="24"/>
          <w:szCs w:val="24"/>
        </w:rPr>
        <w:t>al</w:t>
      </w:r>
      <w:r w:rsidR="003D1FA4" w:rsidRPr="005B09A9">
        <w:rPr>
          <w:rStyle w:val="Accentuation"/>
          <w:rFonts w:ascii="Times New Roman" w:hAnsi="Times New Roman" w:cs="Times New Roman"/>
          <w:b w:val="0"/>
          <w:i w:val="0"/>
          <w:sz w:val="24"/>
          <w:szCs w:val="24"/>
        </w:rPr>
        <w:t>.</w:t>
      </w:r>
      <w:r w:rsidR="007B3BE2" w:rsidRPr="005B09A9">
        <w:rPr>
          <w:rStyle w:val="Accentuation"/>
          <w:rFonts w:ascii="Times New Roman" w:hAnsi="Times New Roman" w:cs="Times New Roman"/>
          <w:b w:val="0"/>
          <w:i w:val="0"/>
          <w:sz w:val="24"/>
          <w:szCs w:val="24"/>
        </w:rPr>
        <w:t xml:space="preserve"> </w:t>
      </w:r>
      <w:r w:rsidR="005C46A2" w:rsidRPr="005B09A9">
        <w:rPr>
          <w:rStyle w:val="Accentuation"/>
          <w:rFonts w:ascii="Times New Roman" w:hAnsi="Times New Roman" w:cs="Times New Roman"/>
          <w:b w:val="0"/>
          <w:i w:val="0"/>
          <w:sz w:val="24"/>
          <w:szCs w:val="24"/>
        </w:rPr>
        <w:t>identified that</w:t>
      </w:r>
      <w:r w:rsidR="002A7F0C" w:rsidRPr="005B09A9">
        <w:rPr>
          <w:rStyle w:val="Accentuation"/>
          <w:rFonts w:ascii="Times New Roman" w:hAnsi="Times New Roman" w:cs="Times New Roman"/>
          <w:b w:val="0"/>
          <w:i w:val="0"/>
          <w:sz w:val="24"/>
          <w:szCs w:val="24"/>
        </w:rPr>
        <w:t xml:space="preserve"> </w:t>
      </w:r>
      <w:r w:rsidR="005603EC" w:rsidRPr="005B09A9">
        <w:rPr>
          <w:rStyle w:val="Accentuation"/>
          <w:rFonts w:ascii="Times New Roman" w:hAnsi="Times New Roman" w:cs="Times New Roman"/>
          <w:b w:val="0"/>
          <w:iCs w:val="0"/>
          <w:sz w:val="24"/>
          <w:szCs w:val="24"/>
        </w:rPr>
        <w:t>higher Pain Sensitivity Questionnaire (PSQ) score</w:t>
      </w:r>
      <w:r w:rsidR="005603EC" w:rsidRPr="005B09A9">
        <w:rPr>
          <w:rStyle w:val="Accentuation"/>
          <w:rFonts w:ascii="Times New Roman" w:hAnsi="Times New Roman" w:cs="Times New Roman"/>
          <w:b w:val="0"/>
          <w:i w:val="0"/>
          <w:sz w:val="24"/>
          <w:szCs w:val="24"/>
        </w:rPr>
        <w:t xml:space="preserve">, </w:t>
      </w:r>
      <w:r w:rsidR="005603EC" w:rsidRPr="005B09A9">
        <w:rPr>
          <w:rStyle w:val="Accentuation"/>
          <w:rFonts w:ascii="Times New Roman" w:hAnsi="Times New Roman" w:cs="Times New Roman"/>
          <w:b w:val="0"/>
          <w:iCs w:val="0"/>
          <w:sz w:val="24"/>
          <w:szCs w:val="24"/>
        </w:rPr>
        <w:t>lower Pressure Pain Thresholds (PPT</w:t>
      </w:r>
      <w:r w:rsidR="00587596" w:rsidRPr="005B09A9">
        <w:rPr>
          <w:rStyle w:val="Accentuation"/>
          <w:rFonts w:ascii="Times New Roman" w:hAnsi="Times New Roman" w:cs="Times New Roman"/>
          <w:b w:val="0"/>
          <w:iCs w:val="0"/>
          <w:sz w:val="24"/>
          <w:szCs w:val="24"/>
        </w:rPr>
        <w:t>s</w:t>
      </w:r>
      <w:r w:rsidR="005603EC" w:rsidRPr="005B09A9">
        <w:rPr>
          <w:rStyle w:val="Accentuation"/>
          <w:rFonts w:ascii="Times New Roman" w:hAnsi="Times New Roman" w:cs="Times New Roman"/>
          <w:b w:val="0"/>
          <w:iCs w:val="0"/>
          <w:sz w:val="24"/>
          <w:szCs w:val="24"/>
        </w:rPr>
        <w:t>)</w:t>
      </w:r>
      <w:r w:rsidR="005603EC" w:rsidRPr="005B09A9">
        <w:rPr>
          <w:rStyle w:val="Accentuation"/>
          <w:rFonts w:ascii="Times New Roman" w:hAnsi="Times New Roman" w:cs="Times New Roman"/>
          <w:b w:val="0"/>
          <w:i w:val="0"/>
          <w:sz w:val="24"/>
          <w:szCs w:val="24"/>
        </w:rPr>
        <w:t xml:space="preserve">, and </w:t>
      </w:r>
      <w:r w:rsidR="005603EC" w:rsidRPr="005B09A9">
        <w:rPr>
          <w:rStyle w:val="Accentuation"/>
          <w:rFonts w:ascii="Times New Roman" w:hAnsi="Times New Roman" w:cs="Times New Roman"/>
          <w:b w:val="0"/>
          <w:iCs w:val="0"/>
          <w:sz w:val="24"/>
          <w:szCs w:val="24"/>
        </w:rPr>
        <w:t>high-energy injury</w:t>
      </w:r>
      <w:r w:rsidR="005603EC" w:rsidRPr="005B09A9">
        <w:rPr>
          <w:rStyle w:val="Accentuation"/>
          <w:rFonts w:ascii="Times New Roman" w:hAnsi="Times New Roman" w:cs="Times New Roman"/>
          <w:b w:val="0"/>
          <w:i w:val="0"/>
          <w:sz w:val="24"/>
          <w:szCs w:val="24"/>
        </w:rPr>
        <w:t xml:space="preserve"> at</w:t>
      </w:r>
      <w:r w:rsidR="00395922" w:rsidRPr="005B09A9">
        <w:rPr>
          <w:rStyle w:val="Accentuation"/>
          <w:rFonts w:ascii="Times New Roman" w:hAnsi="Times New Roman" w:cs="Times New Roman"/>
          <w:b w:val="0"/>
          <w:i w:val="0"/>
          <w:sz w:val="24"/>
          <w:szCs w:val="24"/>
        </w:rPr>
        <w:t xml:space="preserve"> </w:t>
      </w:r>
      <w:r w:rsidR="005C46A2" w:rsidRPr="005B09A9">
        <w:rPr>
          <w:rStyle w:val="Accentuation"/>
          <w:rFonts w:ascii="Times New Roman" w:hAnsi="Times New Roman" w:cs="Times New Roman"/>
          <w:b w:val="0"/>
          <w:i w:val="0"/>
          <w:sz w:val="24"/>
          <w:szCs w:val="24"/>
        </w:rPr>
        <w:t xml:space="preserve">3 months </w:t>
      </w:r>
      <w:r w:rsidRPr="005B09A9">
        <w:rPr>
          <w:rStyle w:val="Accentuation"/>
          <w:rFonts w:ascii="Times New Roman" w:hAnsi="Times New Roman" w:cs="Times New Roman"/>
          <w:b w:val="0"/>
          <w:i w:val="0"/>
          <w:sz w:val="24"/>
          <w:szCs w:val="24"/>
        </w:rPr>
        <w:t xml:space="preserve">after </w:t>
      </w:r>
      <w:r w:rsidR="007B59AE" w:rsidRPr="005B09A9">
        <w:rPr>
          <w:rStyle w:val="Accentuation"/>
          <w:rFonts w:ascii="Times New Roman" w:hAnsi="Times New Roman" w:cs="Times New Roman"/>
          <w:b w:val="0"/>
          <w:i w:val="0"/>
          <w:sz w:val="24"/>
          <w:szCs w:val="24"/>
        </w:rPr>
        <w:t>DRF</w:t>
      </w:r>
      <w:r w:rsidR="005C46A2" w:rsidRPr="005B09A9">
        <w:rPr>
          <w:rStyle w:val="Accentuation"/>
          <w:rFonts w:ascii="Times New Roman" w:hAnsi="Times New Roman" w:cs="Times New Roman"/>
          <w:b w:val="0"/>
          <w:i w:val="0"/>
          <w:sz w:val="24"/>
          <w:szCs w:val="24"/>
        </w:rPr>
        <w:t xml:space="preserve"> </w:t>
      </w:r>
      <w:r w:rsidR="00395922" w:rsidRPr="005B09A9">
        <w:rPr>
          <w:rStyle w:val="Accentuation"/>
          <w:rFonts w:ascii="Times New Roman" w:hAnsi="Times New Roman" w:cs="Times New Roman"/>
          <w:b w:val="0"/>
          <w:i w:val="0"/>
          <w:sz w:val="24"/>
          <w:szCs w:val="24"/>
        </w:rPr>
        <w:t xml:space="preserve">were </w:t>
      </w:r>
      <w:r w:rsidR="007E453D" w:rsidRPr="005B09A9">
        <w:rPr>
          <w:rStyle w:val="Accentuation"/>
          <w:rFonts w:ascii="Times New Roman" w:hAnsi="Times New Roman" w:cs="Times New Roman"/>
          <w:b w:val="0"/>
          <w:i w:val="0"/>
          <w:sz w:val="24"/>
          <w:szCs w:val="24"/>
        </w:rPr>
        <w:t>associated</w:t>
      </w:r>
      <w:r w:rsidR="005C46A2" w:rsidRPr="005B09A9">
        <w:rPr>
          <w:rStyle w:val="Accentuation"/>
          <w:rFonts w:ascii="Times New Roman" w:hAnsi="Times New Roman" w:cs="Times New Roman"/>
          <w:b w:val="0"/>
          <w:i w:val="0"/>
          <w:sz w:val="24"/>
          <w:szCs w:val="24"/>
        </w:rPr>
        <w:t xml:space="preserve"> with </w:t>
      </w:r>
      <w:r w:rsidR="009706DD" w:rsidRPr="005B09A9">
        <w:rPr>
          <w:rStyle w:val="Accentuation"/>
          <w:rFonts w:ascii="Times New Roman" w:hAnsi="Times New Roman" w:cs="Times New Roman"/>
          <w:b w:val="0"/>
          <w:i w:val="0"/>
          <w:sz w:val="24"/>
          <w:szCs w:val="24"/>
        </w:rPr>
        <w:t>still meeting Budapest research criteria</w:t>
      </w:r>
      <w:r w:rsidR="005C46A2"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 w:val="0"/>
          <w:sz w:val="24"/>
          <w:szCs w:val="24"/>
        </w:rPr>
        <w:t xml:space="preserve">after </w:t>
      </w:r>
      <w:r w:rsidR="00BA6A57" w:rsidRPr="005B09A9">
        <w:rPr>
          <w:rStyle w:val="Accentuation"/>
          <w:rFonts w:ascii="Times New Roman" w:hAnsi="Times New Roman" w:cs="Times New Roman"/>
          <w:b w:val="0"/>
          <w:i w:val="0"/>
          <w:sz w:val="24"/>
          <w:szCs w:val="24"/>
        </w:rPr>
        <w:t>12 months</w:t>
      </w:r>
      <w:r w:rsidR="005C46A2" w:rsidRPr="005B09A9">
        <w:rPr>
          <w:rStyle w:val="Accentuation"/>
          <w:rFonts w:ascii="Times New Roman" w:hAnsi="Times New Roman" w:cs="Times New Roman"/>
          <w:b w:val="0"/>
          <w:i w:val="0"/>
          <w:sz w:val="24"/>
          <w:szCs w:val="24"/>
        </w:rPr>
        <w:t xml:space="preserve">. </w:t>
      </w:r>
      <w:r w:rsidR="007F5DEA" w:rsidRPr="005B09A9">
        <w:rPr>
          <w:rStyle w:val="Accentuation"/>
          <w:rFonts w:ascii="Times New Roman" w:hAnsi="Times New Roman" w:cs="Times New Roman"/>
          <w:b w:val="0"/>
          <w:i w:val="0"/>
          <w:sz w:val="24"/>
          <w:szCs w:val="24"/>
        </w:rPr>
        <w:t xml:space="preserve">Almost half of the </w:t>
      </w:r>
      <w:r w:rsidR="00BE75B6" w:rsidRPr="005B09A9">
        <w:rPr>
          <w:rStyle w:val="Accentuation"/>
          <w:rFonts w:ascii="Times New Roman" w:hAnsi="Times New Roman" w:cs="Times New Roman"/>
          <w:b w:val="0"/>
          <w:i w:val="0"/>
          <w:sz w:val="24"/>
          <w:szCs w:val="24"/>
        </w:rPr>
        <w:t>cohort</w:t>
      </w:r>
      <w:r w:rsidR="007F5DEA"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(48</w:t>
      </w:r>
      <w:r w:rsidR="001226CD" w:rsidRPr="005B09A9">
        <w:rPr>
          <w:rStyle w:val="Accentuation"/>
          <w:rFonts w:ascii="Times New Roman" w:hAnsi="Times New Roman" w:cs="Times New Roman"/>
          <w:b w:val="0"/>
          <w:i w:val="0"/>
          <w:sz w:val="24"/>
          <w:szCs w:val="24"/>
        </w:rPr>
        <w:t xml:space="preserve">%) </w:t>
      </w:r>
      <w:r w:rsidR="007F5DEA" w:rsidRPr="005B09A9">
        <w:rPr>
          <w:rStyle w:val="Accentuation"/>
          <w:rFonts w:ascii="Times New Roman" w:hAnsi="Times New Roman" w:cs="Times New Roman"/>
          <w:b w:val="0"/>
          <w:i w:val="0"/>
          <w:sz w:val="24"/>
          <w:szCs w:val="24"/>
        </w:rPr>
        <w:t>still met Budapest research criteria at 12 months (n = 58).</w:t>
      </w:r>
    </w:p>
    <w:p w14:paraId="243912A3" w14:textId="3E9F175B" w:rsidR="00836351" w:rsidRPr="005B09A9" w:rsidRDefault="001F113A"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lang w:val="fr-BE"/>
        </w:rPr>
        <w:t xml:space="preserve">Bean et </w:t>
      </w:r>
      <w:r w:rsidRPr="005B09A9">
        <w:rPr>
          <w:rStyle w:val="Accentuation"/>
          <w:rFonts w:ascii="Times New Roman" w:hAnsi="Times New Roman" w:cs="Times New Roman"/>
          <w:b w:val="0"/>
          <w:iCs w:val="0"/>
          <w:sz w:val="24"/>
          <w:szCs w:val="24"/>
          <w:lang w:val="fr-BE"/>
        </w:rPr>
        <w:t>al</w:t>
      </w:r>
      <w:r w:rsidRPr="005B09A9">
        <w:rPr>
          <w:rStyle w:val="Accentuation"/>
          <w:rFonts w:ascii="Times New Roman" w:hAnsi="Times New Roman" w:cs="Times New Roman"/>
          <w:b w:val="0"/>
          <w:i w:val="0"/>
          <w:sz w:val="24"/>
          <w:szCs w:val="24"/>
          <w:lang w:val="fr-BE"/>
        </w:rPr>
        <w:t>.</w:t>
      </w:r>
      <w:r w:rsidR="007B3BE2" w:rsidRPr="005B09A9">
        <w:rPr>
          <w:rStyle w:val="Accentuation"/>
          <w:rFonts w:ascii="Times New Roman" w:hAnsi="Times New Roman" w:cs="Times New Roman"/>
          <w:b w:val="0"/>
          <w:i w:val="0"/>
          <w:sz w:val="24"/>
          <w:szCs w:val="24"/>
          <w:lang w:val="fr-BE"/>
        </w:rPr>
        <w:t xml:space="preserve"> </w:t>
      </w:r>
      <w:r w:rsidR="00496DB3" w:rsidRPr="005B09A9">
        <w:rPr>
          <w:rStyle w:val="Accentuation"/>
          <w:rFonts w:ascii="Times New Roman" w:hAnsi="Times New Roman" w:cs="Times New Roman"/>
          <w:b w:val="0"/>
          <w:i w:val="0"/>
          <w:sz w:val="24"/>
          <w:szCs w:val="24"/>
          <w:lang w:val="fr-BE"/>
        </w:rPr>
        <w:t>focused on psychological factors</w:t>
      </w:r>
      <w:r w:rsidR="005D1EF9" w:rsidRPr="005B09A9">
        <w:rPr>
          <w:rStyle w:val="Accentuation"/>
          <w:rFonts w:ascii="Times New Roman" w:hAnsi="Times New Roman" w:cs="Times New Roman"/>
          <w:b w:val="0"/>
          <w:i w:val="0"/>
          <w:sz w:val="24"/>
          <w:szCs w:val="24"/>
          <w:lang w:val="fr-BE"/>
        </w:rPr>
        <w:t xml:space="preserve"> </w:t>
      </w:r>
      <w:r w:rsidR="005D1EF9" w:rsidRPr="005B09A9">
        <w:rPr>
          <w:rStyle w:val="Accentuation"/>
          <w:rFonts w:ascii="Times New Roman" w:hAnsi="Times New Roman" w:cs="Times New Roman"/>
          <w:b w:val="0"/>
          <w:i w:val="0"/>
          <w:sz w:val="24"/>
          <w:szCs w:val="24"/>
        </w:rPr>
        <w:fldChar w:fldCharType="begin"/>
      </w:r>
      <w:r w:rsidR="005D1EF9" w:rsidRPr="005B09A9">
        <w:rPr>
          <w:rStyle w:val="Accentuation"/>
          <w:rFonts w:ascii="Times New Roman" w:hAnsi="Times New Roman" w:cs="Times New Roman"/>
          <w:b w:val="0"/>
          <w:i w:val="0"/>
          <w:sz w:val="24"/>
          <w:szCs w:val="24"/>
          <w:lang w:val="fr-BE"/>
        </w:rPr>
        <w:instrText xml:space="preserve"> ADDIN ZOTERO_ITEM CSL_CITATION {"citationID":"N5D47FeV","properties":{"formattedCitation":"(Bean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005D1EF9" w:rsidRPr="005B09A9">
        <w:rPr>
          <w:rStyle w:val="Accentuation"/>
          <w:rFonts w:ascii="Times New Roman" w:hAnsi="Times New Roman" w:cs="Times New Roman"/>
          <w:b w:val="0"/>
          <w:i w:val="0"/>
          <w:sz w:val="24"/>
          <w:szCs w:val="24"/>
        </w:rPr>
        <w:fldChar w:fldCharType="separate"/>
      </w:r>
      <w:r w:rsidR="005D1EF9" w:rsidRPr="005B09A9">
        <w:rPr>
          <w:rFonts w:ascii="Times New Roman" w:hAnsi="Times New Roman" w:cs="Times New Roman"/>
          <w:sz w:val="24"/>
          <w:lang w:val="fr-BE"/>
        </w:rPr>
        <w:t>(Bean et al., 2015)</w:t>
      </w:r>
      <w:r w:rsidR="005D1EF9" w:rsidRPr="005B09A9">
        <w:rPr>
          <w:rStyle w:val="Accentuation"/>
          <w:rFonts w:ascii="Times New Roman" w:hAnsi="Times New Roman" w:cs="Times New Roman"/>
          <w:b w:val="0"/>
          <w:i w:val="0"/>
          <w:sz w:val="24"/>
          <w:szCs w:val="24"/>
        </w:rPr>
        <w:fldChar w:fldCharType="end"/>
      </w:r>
      <w:r w:rsidR="00496DB3" w:rsidRPr="005B09A9">
        <w:rPr>
          <w:rStyle w:val="Accentuation"/>
          <w:rFonts w:ascii="Times New Roman" w:hAnsi="Times New Roman" w:cs="Times New Roman"/>
          <w:b w:val="0"/>
          <w:i w:val="0"/>
          <w:sz w:val="24"/>
          <w:szCs w:val="24"/>
          <w:lang w:val="fr-BE"/>
        </w:rPr>
        <w:t xml:space="preserve">. </w:t>
      </w:r>
      <w:r w:rsidR="00496DB3" w:rsidRPr="005B09A9">
        <w:rPr>
          <w:rStyle w:val="Accentuation"/>
          <w:rFonts w:ascii="Times New Roman" w:hAnsi="Times New Roman" w:cs="Times New Roman"/>
          <w:b w:val="0"/>
          <w:i w:val="0"/>
          <w:sz w:val="24"/>
          <w:szCs w:val="24"/>
        </w:rPr>
        <w:t>The following variables</w:t>
      </w:r>
      <w:r w:rsidR="00E30786" w:rsidRPr="005B09A9">
        <w:rPr>
          <w:rStyle w:val="Accentuation"/>
          <w:rFonts w:ascii="Times New Roman" w:hAnsi="Times New Roman" w:cs="Times New Roman"/>
          <w:b w:val="0"/>
          <w:i w:val="0"/>
          <w:sz w:val="24"/>
          <w:szCs w:val="24"/>
        </w:rPr>
        <w:t xml:space="preserve"> at </w:t>
      </w:r>
      <w:r w:rsidR="00185154" w:rsidRPr="005B09A9">
        <w:rPr>
          <w:rStyle w:val="Accentuation"/>
          <w:rFonts w:ascii="Times New Roman" w:hAnsi="Times New Roman" w:cs="Times New Roman"/>
          <w:b w:val="0"/>
          <w:i w:val="0"/>
          <w:sz w:val="24"/>
          <w:szCs w:val="24"/>
        </w:rPr>
        <w:t>the first assessment (</w:t>
      </w:r>
      <w:r w:rsidRPr="005B09A9">
        <w:rPr>
          <w:rStyle w:val="Accentuation"/>
          <w:rFonts w:ascii="Times New Roman" w:hAnsi="Times New Roman" w:cs="Times New Roman"/>
          <w:b w:val="0"/>
          <w:i w:val="0"/>
          <w:sz w:val="24"/>
          <w:szCs w:val="24"/>
        </w:rPr>
        <w:t>±</w:t>
      </w:r>
      <w:r w:rsidR="00185154" w:rsidRPr="005B09A9">
        <w:rPr>
          <w:rStyle w:val="Accentuation"/>
          <w:rFonts w:ascii="Times New Roman" w:hAnsi="Times New Roman" w:cs="Times New Roman"/>
          <w:b w:val="0"/>
          <w:i w:val="0"/>
          <w:sz w:val="24"/>
          <w:szCs w:val="24"/>
        </w:rPr>
        <w:t>61 days)</w:t>
      </w:r>
      <w:r w:rsidR="00496DB3" w:rsidRPr="005B09A9">
        <w:rPr>
          <w:rStyle w:val="Accentuation"/>
          <w:rFonts w:ascii="Times New Roman" w:hAnsi="Times New Roman" w:cs="Times New Roman"/>
          <w:b w:val="0"/>
          <w:i w:val="0"/>
          <w:sz w:val="24"/>
          <w:szCs w:val="24"/>
        </w:rPr>
        <w:t xml:space="preserve"> were correlated with </w:t>
      </w:r>
      <w:r w:rsidR="00E30786" w:rsidRPr="005B09A9">
        <w:rPr>
          <w:rStyle w:val="Accentuation"/>
          <w:rFonts w:ascii="Times New Roman" w:hAnsi="Times New Roman" w:cs="Times New Roman"/>
          <w:b w:val="0"/>
          <w:i w:val="0"/>
          <w:sz w:val="24"/>
          <w:szCs w:val="24"/>
        </w:rPr>
        <w:t xml:space="preserve">a higher </w:t>
      </w:r>
      <w:r w:rsidR="00971C56" w:rsidRPr="005B09A9">
        <w:rPr>
          <w:rStyle w:val="Accentuation"/>
          <w:rFonts w:ascii="Times New Roman" w:hAnsi="Times New Roman" w:cs="Times New Roman"/>
          <w:b w:val="0"/>
          <w:i w:val="0"/>
          <w:sz w:val="24"/>
          <w:szCs w:val="24"/>
        </w:rPr>
        <w:t>CSS</w:t>
      </w:r>
      <w:r w:rsidR="00BA6A57" w:rsidRPr="005B09A9">
        <w:rPr>
          <w:rStyle w:val="Accentuation"/>
          <w:rFonts w:ascii="Times New Roman" w:hAnsi="Times New Roman" w:cs="Times New Roman"/>
          <w:b w:val="0"/>
          <w:i w:val="0"/>
          <w:sz w:val="24"/>
          <w:szCs w:val="24"/>
        </w:rPr>
        <w:t xml:space="preserve"> over the following 12 months</w:t>
      </w:r>
      <w:r w:rsidR="00E30786" w:rsidRPr="005B09A9">
        <w:rPr>
          <w:rStyle w:val="Accentuation"/>
          <w:rFonts w:ascii="Times New Roman" w:hAnsi="Times New Roman" w:cs="Times New Roman"/>
          <w:b w:val="0"/>
          <w:i w:val="0"/>
          <w:sz w:val="24"/>
          <w:szCs w:val="24"/>
        </w:rPr>
        <w:t xml:space="preserve">: </w:t>
      </w:r>
      <w:r w:rsidR="00E30786" w:rsidRPr="005B09A9">
        <w:rPr>
          <w:rStyle w:val="Accentuation"/>
          <w:rFonts w:ascii="Times New Roman" w:hAnsi="Times New Roman" w:cs="Times New Roman"/>
          <w:b w:val="0"/>
          <w:iCs w:val="0"/>
          <w:sz w:val="24"/>
          <w:szCs w:val="24"/>
        </w:rPr>
        <w:t>disability</w:t>
      </w:r>
      <w:r w:rsidR="00E30786" w:rsidRPr="005B09A9">
        <w:rPr>
          <w:rStyle w:val="Accentuation"/>
          <w:rFonts w:ascii="Times New Roman" w:hAnsi="Times New Roman" w:cs="Times New Roman"/>
          <w:b w:val="0"/>
          <w:i w:val="0"/>
          <w:sz w:val="24"/>
          <w:szCs w:val="24"/>
        </w:rPr>
        <w:t xml:space="preserve">, </w:t>
      </w:r>
      <w:r w:rsidR="00E30786" w:rsidRPr="005B09A9">
        <w:rPr>
          <w:rStyle w:val="Accentuation"/>
          <w:rFonts w:ascii="Times New Roman" w:hAnsi="Times New Roman" w:cs="Times New Roman"/>
          <w:b w:val="0"/>
          <w:iCs w:val="0"/>
          <w:sz w:val="24"/>
          <w:szCs w:val="24"/>
        </w:rPr>
        <w:t>depression</w:t>
      </w:r>
      <w:r w:rsidR="00E30786" w:rsidRPr="005B09A9">
        <w:rPr>
          <w:rStyle w:val="Accentuation"/>
          <w:rFonts w:ascii="Times New Roman" w:hAnsi="Times New Roman" w:cs="Times New Roman"/>
          <w:b w:val="0"/>
          <w:i w:val="0"/>
          <w:sz w:val="24"/>
          <w:szCs w:val="24"/>
        </w:rPr>
        <w:t xml:space="preserve">, </w:t>
      </w:r>
      <w:r w:rsidR="00E30786" w:rsidRPr="005B09A9">
        <w:rPr>
          <w:rStyle w:val="Accentuation"/>
          <w:rFonts w:ascii="Times New Roman" w:hAnsi="Times New Roman" w:cs="Times New Roman"/>
          <w:b w:val="0"/>
          <w:iCs w:val="0"/>
          <w:sz w:val="24"/>
          <w:szCs w:val="24"/>
        </w:rPr>
        <w:t>anxiety</w:t>
      </w:r>
      <w:r w:rsidR="00E30786" w:rsidRPr="005B09A9">
        <w:rPr>
          <w:rStyle w:val="Accentuation"/>
          <w:rFonts w:ascii="Times New Roman" w:hAnsi="Times New Roman" w:cs="Times New Roman"/>
          <w:b w:val="0"/>
          <w:i w:val="0"/>
          <w:sz w:val="24"/>
          <w:szCs w:val="24"/>
        </w:rPr>
        <w:t xml:space="preserve">, </w:t>
      </w:r>
      <w:r w:rsidR="00E30786" w:rsidRPr="005B09A9">
        <w:rPr>
          <w:rStyle w:val="Accentuation"/>
          <w:rFonts w:ascii="Times New Roman" w:hAnsi="Times New Roman" w:cs="Times New Roman"/>
          <w:b w:val="0"/>
          <w:iCs w:val="0"/>
          <w:sz w:val="24"/>
          <w:szCs w:val="24"/>
        </w:rPr>
        <w:t>stress</w:t>
      </w:r>
      <w:r w:rsidR="00E30786" w:rsidRPr="005B09A9">
        <w:rPr>
          <w:rStyle w:val="Accentuation"/>
          <w:rFonts w:ascii="Times New Roman" w:hAnsi="Times New Roman" w:cs="Times New Roman"/>
          <w:b w:val="0"/>
          <w:i w:val="0"/>
          <w:sz w:val="24"/>
          <w:szCs w:val="24"/>
        </w:rPr>
        <w:t xml:space="preserve">, </w:t>
      </w:r>
      <w:r w:rsidR="00E30786" w:rsidRPr="005B09A9">
        <w:rPr>
          <w:rStyle w:val="Accentuation"/>
          <w:rFonts w:ascii="Times New Roman" w:hAnsi="Times New Roman" w:cs="Times New Roman"/>
          <w:b w:val="0"/>
          <w:iCs w:val="0"/>
          <w:sz w:val="24"/>
          <w:szCs w:val="24"/>
        </w:rPr>
        <w:t>body perception disturbance</w:t>
      </w:r>
      <w:r w:rsidR="00E30786"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 w:val="0"/>
          <w:sz w:val="24"/>
          <w:szCs w:val="24"/>
        </w:rPr>
        <w:t xml:space="preserve">and </w:t>
      </w:r>
      <w:r w:rsidR="00E30786" w:rsidRPr="005B09A9">
        <w:rPr>
          <w:rStyle w:val="Accentuation"/>
          <w:rFonts w:ascii="Times New Roman" w:hAnsi="Times New Roman" w:cs="Times New Roman"/>
          <w:b w:val="0"/>
          <w:iCs w:val="0"/>
          <w:sz w:val="24"/>
          <w:szCs w:val="24"/>
        </w:rPr>
        <w:t>lower perceived ownership of the</w:t>
      </w:r>
      <w:r w:rsidR="00B400DB" w:rsidRPr="005B09A9">
        <w:rPr>
          <w:rStyle w:val="Accentuation"/>
          <w:rFonts w:ascii="Times New Roman" w:hAnsi="Times New Roman" w:cs="Times New Roman"/>
          <w:b w:val="0"/>
          <w:iCs w:val="0"/>
          <w:sz w:val="24"/>
          <w:szCs w:val="24"/>
        </w:rPr>
        <w:t xml:space="preserve"> affected</w:t>
      </w:r>
      <w:r w:rsidR="00E30786" w:rsidRPr="005B09A9">
        <w:rPr>
          <w:rStyle w:val="Accentuation"/>
          <w:rFonts w:ascii="Times New Roman" w:hAnsi="Times New Roman" w:cs="Times New Roman"/>
          <w:b w:val="0"/>
          <w:iCs w:val="0"/>
          <w:sz w:val="24"/>
          <w:szCs w:val="24"/>
        </w:rPr>
        <w:t xml:space="preserve"> limb</w:t>
      </w:r>
      <w:r w:rsidR="00E30786" w:rsidRPr="005B09A9">
        <w:rPr>
          <w:rStyle w:val="Accentuation"/>
          <w:rFonts w:ascii="Times New Roman" w:hAnsi="Times New Roman" w:cs="Times New Roman"/>
          <w:b w:val="0"/>
          <w:i w:val="0"/>
          <w:sz w:val="24"/>
          <w:szCs w:val="24"/>
        </w:rPr>
        <w:t xml:space="preserve">. </w:t>
      </w:r>
      <w:r w:rsidR="00653C88" w:rsidRPr="005B09A9">
        <w:rPr>
          <w:rStyle w:val="Accentuation"/>
          <w:rFonts w:ascii="Times New Roman" w:hAnsi="Times New Roman" w:cs="Times New Roman"/>
          <w:b w:val="0"/>
          <w:i w:val="0"/>
          <w:sz w:val="24"/>
          <w:szCs w:val="24"/>
        </w:rPr>
        <w:t>In multivariable analysis</w:t>
      </w:r>
      <w:r w:rsidR="00E30786" w:rsidRPr="005B09A9">
        <w:rPr>
          <w:rStyle w:val="Accentuation"/>
          <w:rFonts w:ascii="Times New Roman" w:hAnsi="Times New Roman" w:cs="Times New Roman"/>
          <w:b w:val="0"/>
          <w:i w:val="0"/>
          <w:sz w:val="24"/>
          <w:szCs w:val="24"/>
        </w:rPr>
        <w:t xml:space="preserve">, </w:t>
      </w:r>
      <w:r w:rsidR="00500CC8" w:rsidRPr="005B09A9">
        <w:rPr>
          <w:rStyle w:val="Accentuation"/>
          <w:rFonts w:ascii="Times New Roman" w:hAnsi="Times New Roman" w:cs="Times New Roman"/>
          <w:b w:val="0"/>
          <w:i w:val="0"/>
          <w:sz w:val="24"/>
          <w:szCs w:val="24"/>
        </w:rPr>
        <w:t>two</w:t>
      </w:r>
      <w:r w:rsidR="00E30786" w:rsidRPr="005B09A9">
        <w:rPr>
          <w:rStyle w:val="Accentuation"/>
          <w:rFonts w:ascii="Times New Roman" w:hAnsi="Times New Roman" w:cs="Times New Roman"/>
          <w:b w:val="0"/>
          <w:i w:val="0"/>
          <w:sz w:val="24"/>
          <w:szCs w:val="24"/>
        </w:rPr>
        <w:t xml:space="preserve"> </w:t>
      </w:r>
      <w:r w:rsidR="00B120FB" w:rsidRPr="005B09A9">
        <w:rPr>
          <w:rStyle w:val="Accentuation"/>
          <w:rFonts w:ascii="Times New Roman" w:hAnsi="Times New Roman" w:cs="Times New Roman"/>
          <w:b w:val="0"/>
          <w:i w:val="0"/>
          <w:sz w:val="24"/>
          <w:szCs w:val="24"/>
        </w:rPr>
        <w:t>factors</w:t>
      </w:r>
      <w:r w:rsidR="00185154" w:rsidRPr="005B09A9">
        <w:rPr>
          <w:rStyle w:val="Accentuation"/>
          <w:rFonts w:ascii="Times New Roman" w:hAnsi="Times New Roman" w:cs="Times New Roman"/>
          <w:b w:val="0"/>
          <w:i w:val="0"/>
          <w:sz w:val="24"/>
          <w:szCs w:val="24"/>
        </w:rPr>
        <w:t xml:space="preserve"> still </w:t>
      </w:r>
      <w:r w:rsidR="00B12914" w:rsidRPr="005B09A9">
        <w:rPr>
          <w:rStyle w:val="Accentuation"/>
          <w:rFonts w:ascii="Times New Roman" w:hAnsi="Times New Roman" w:cs="Times New Roman"/>
          <w:b w:val="0"/>
          <w:i w:val="0"/>
          <w:sz w:val="24"/>
          <w:szCs w:val="24"/>
        </w:rPr>
        <w:t xml:space="preserve">significantly </w:t>
      </w:r>
      <w:r w:rsidR="00185154" w:rsidRPr="005B09A9">
        <w:rPr>
          <w:rStyle w:val="Accentuation"/>
          <w:rFonts w:ascii="Times New Roman" w:hAnsi="Times New Roman" w:cs="Times New Roman"/>
          <w:b w:val="0"/>
          <w:i w:val="0"/>
          <w:sz w:val="24"/>
          <w:szCs w:val="24"/>
        </w:rPr>
        <w:t>impacted</w:t>
      </w:r>
      <w:r w:rsidR="003B637D" w:rsidRPr="005B09A9">
        <w:rPr>
          <w:rStyle w:val="Accentuation"/>
          <w:rFonts w:ascii="Times New Roman" w:hAnsi="Times New Roman" w:cs="Times New Roman"/>
          <w:b w:val="0"/>
          <w:i w:val="0"/>
          <w:sz w:val="24"/>
          <w:szCs w:val="24"/>
        </w:rPr>
        <w:t xml:space="preserve"> this outcome</w:t>
      </w:r>
      <w:r w:rsidR="00185154" w:rsidRPr="005B09A9">
        <w:rPr>
          <w:rStyle w:val="Accentuation"/>
          <w:rFonts w:ascii="Times New Roman" w:hAnsi="Times New Roman" w:cs="Times New Roman"/>
          <w:b w:val="0"/>
          <w:i w:val="0"/>
          <w:sz w:val="24"/>
          <w:szCs w:val="24"/>
        </w:rPr>
        <w:t xml:space="preserve">: </w:t>
      </w:r>
      <w:r w:rsidR="00185154" w:rsidRPr="005B09A9">
        <w:rPr>
          <w:rStyle w:val="Accentuation"/>
          <w:rFonts w:ascii="Times New Roman" w:hAnsi="Times New Roman" w:cs="Times New Roman"/>
          <w:b w:val="0"/>
          <w:iCs w:val="0"/>
          <w:sz w:val="24"/>
          <w:szCs w:val="24"/>
        </w:rPr>
        <w:t>pain intensity</w:t>
      </w:r>
      <w:r w:rsidR="00185154" w:rsidRPr="005B09A9">
        <w:rPr>
          <w:rStyle w:val="Accentuation"/>
          <w:rFonts w:ascii="Times New Roman" w:hAnsi="Times New Roman" w:cs="Times New Roman"/>
          <w:b w:val="0"/>
          <w:i w:val="0"/>
          <w:sz w:val="24"/>
          <w:szCs w:val="24"/>
        </w:rPr>
        <w:t xml:space="preserve"> and </w:t>
      </w:r>
      <w:r w:rsidR="00185154" w:rsidRPr="005B09A9">
        <w:rPr>
          <w:rStyle w:val="Accentuation"/>
          <w:rFonts w:ascii="Times New Roman" w:hAnsi="Times New Roman" w:cs="Times New Roman"/>
          <w:b w:val="0"/>
          <w:iCs w:val="0"/>
          <w:sz w:val="24"/>
          <w:szCs w:val="24"/>
        </w:rPr>
        <w:t>self-reported disability score</w:t>
      </w:r>
      <w:r w:rsidR="00185154" w:rsidRPr="005B09A9">
        <w:rPr>
          <w:rStyle w:val="Accentuation"/>
          <w:rFonts w:ascii="Times New Roman" w:hAnsi="Times New Roman" w:cs="Times New Roman"/>
          <w:b w:val="0"/>
          <w:i w:val="0"/>
          <w:sz w:val="24"/>
          <w:szCs w:val="24"/>
        </w:rPr>
        <w:t xml:space="preserve">. Conversely, </w:t>
      </w:r>
      <w:r w:rsidR="00185154" w:rsidRPr="005B09A9">
        <w:rPr>
          <w:rStyle w:val="Accentuation"/>
          <w:rFonts w:ascii="Times New Roman" w:hAnsi="Times New Roman" w:cs="Times New Roman"/>
          <w:b w:val="0"/>
          <w:iCs w:val="0"/>
          <w:sz w:val="24"/>
          <w:szCs w:val="24"/>
        </w:rPr>
        <w:t>being a male</w:t>
      </w:r>
      <w:r w:rsidR="00185154" w:rsidRPr="005B09A9">
        <w:rPr>
          <w:rStyle w:val="Accentuation"/>
          <w:rFonts w:ascii="Times New Roman" w:hAnsi="Times New Roman" w:cs="Times New Roman"/>
          <w:b w:val="0"/>
          <w:i w:val="0"/>
          <w:sz w:val="24"/>
          <w:szCs w:val="24"/>
        </w:rPr>
        <w:t xml:space="preserve"> improved the outcome</w:t>
      </w:r>
      <w:r w:rsidR="007B59AE" w:rsidRPr="005B09A9">
        <w:rPr>
          <w:rStyle w:val="Accentuation"/>
          <w:rFonts w:ascii="Times New Roman" w:hAnsi="Times New Roman" w:cs="Times New Roman"/>
          <w:b w:val="0"/>
          <w:i w:val="0"/>
          <w:sz w:val="24"/>
          <w:szCs w:val="24"/>
        </w:rPr>
        <w:t>,</w:t>
      </w:r>
      <w:r w:rsidR="003C0A73" w:rsidRPr="005B09A9">
        <w:rPr>
          <w:rStyle w:val="Accentuation"/>
          <w:rFonts w:ascii="Times New Roman" w:hAnsi="Times New Roman" w:cs="Times New Roman"/>
          <w:b w:val="0"/>
          <w:i w:val="0"/>
          <w:sz w:val="24"/>
          <w:szCs w:val="24"/>
        </w:rPr>
        <w:t xml:space="preserve"> and </w:t>
      </w:r>
      <w:r w:rsidR="00B65F7F" w:rsidRPr="005B09A9">
        <w:rPr>
          <w:rStyle w:val="Accentuation"/>
          <w:rFonts w:ascii="Times New Roman" w:hAnsi="Times New Roman" w:cs="Times New Roman"/>
          <w:b w:val="0"/>
          <w:i w:val="0"/>
          <w:sz w:val="24"/>
          <w:szCs w:val="24"/>
        </w:rPr>
        <w:t xml:space="preserve">the </w:t>
      </w:r>
      <w:r w:rsidR="003C0A73" w:rsidRPr="005B09A9">
        <w:rPr>
          <w:rStyle w:val="Accentuation"/>
          <w:rFonts w:ascii="Times New Roman" w:hAnsi="Times New Roman" w:cs="Times New Roman"/>
          <w:b w:val="0"/>
          <w:i w:val="0"/>
          <w:sz w:val="24"/>
          <w:szCs w:val="24"/>
        </w:rPr>
        <w:t xml:space="preserve">CSS also </w:t>
      </w:r>
      <w:r w:rsidR="00C578BE" w:rsidRPr="005B09A9">
        <w:rPr>
          <w:rStyle w:val="Accentuation"/>
          <w:rFonts w:ascii="Times New Roman" w:hAnsi="Times New Roman" w:cs="Times New Roman"/>
          <w:b w:val="0"/>
          <w:i w:val="0"/>
          <w:sz w:val="24"/>
          <w:szCs w:val="24"/>
        </w:rPr>
        <w:t xml:space="preserve">decreased </w:t>
      </w:r>
      <w:r w:rsidR="00D45D4D" w:rsidRPr="005B09A9">
        <w:rPr>
          <w:rStyle w:val="Accentuation"/>
          <w:rFonts w:ascii="Times New Roman" w:hAnsi="Times New Roman" w:cs="Times New Roman"/>
          <w:b w:val="0"/>
          <w:i w:val="0"/>
          <w:sz w:val="24"/>
          <w:szCs w:val="24"/>
        </w:rPr>
        <w:t>by an average of 2.74 points</w:t>
      </w:r>
      <w:r w:rsidRPr="005B09A9">
        <w:rPr>
          <w:rStyle w:val="Accentuation"/>
          <w:rFonts w:ascii="Times New Roman" w:hAnsi="Times New Roman" w:cs="Times New Roman"/>
          <w:b w:val="0"/>
          <w:i w:val="0"/>
          <w:sz w:val="24"/>
          <w:szCs w:val="24"/>
        </w:rPr>
        <w:t xml:space="preserve"> in the whole cohort</w:t>
      </w:r>
      <w:r w:rsidR="00D45D4D" w:rsidRPr="005B09A9">
        <w:rPr>
          <w:rStyle w:val="Accentuation"/>
          <w:rFonts w:ascii="Times New Roman" w:hAnsi="Times New Roman" w:cs="Times New Roman"/>
          <w:b w:val="0"/>
          <w:i w:val="0"/>
          <w:sz w:val="24"/>
          <w:szCs w:val="24"/>
        </w:rPr>
        <w:t xml:space="preserve"> </w:t>
      </w:r>
      <w:r w:rsidR="003C0A73" w:rsidRPr="005B09A9">
        <w:rPr>
          <w:rStyle w:val="Accentuation"/>
          <w:rFonts w:ascii="Times New Roman" w:hAnsi="Times New Roman" w:cs="Times New Roman"/>
          <w:b w:val="0"/>
          <w:i w:val="0"/>
          <w:sz w:val="24"/>
          <w:szCs w:val="24"/>
        </w:rPr>
        <w:t>at each follow-up</w:t>
      </w:r>
      <w:r w:rsidR="00D45D4D" w:rsidRPr="005B09A9">
        <w:rPr>
          <w:rStyle w:val="Accentuation"/>
          <w:rFonts w:ascii="Times New Roman" w:hAnsi="Times New Roman" w:cs="Times New Roman"/>
          <w:b w:val="0"/>
          <w:i w:val="0"/>
          <w:sz w:val="24"/>
          <w:szCs w:val="24"/>
        </w:rPr>
        <w:t xml:space="preserve"> visit</w:t>
      </w:r>
      <w:r w:rsidR="003C0A73" w:rsidRPr="005B09A9">
        <w:rPr>
          <w:rStyle w:val="Accentuation"/>
          <w:rFonts w:ascii="Times New Roman" w:hAnsi="Times New Roman" w:cs="Times New Roman"/>
          <w:b w:val="0"/>
          <w:i w:val="0"/>
          <w:sz w:val="24"/>
          <w:szCs w:val="24"/>
        </w:rPr>
        <w:t>.</w:t>
      </w:r>
    </w:p>
    <w:p w14:paraId="5FB8F531" w14:textId="6EF3DF45" w:rsidR="00836351" w:rsidRPr="005B09A9" w:rsidRDefault="00201800" w:rsidP="006F05A7">
      <w:pPr>
        <w:pStyle w:val="Paragraphedeliste"/>
        <w:numPr>
          <w:ilvl w:val="2"/>
          <w:numId w:val="18"/>
        </w:numPr>
        <w:spacing w:line="480" w:lineRule="auto"/>
        <w:rPr>
          <w:rStyle w:val="Accentuation"/>
          <w:rFonts w:ascii="Times New Roman" w:hAnsi="Times New Roman" w:cs="Times New Roman"/>
          <w:b w:val="0"/>
          <w:sz w:val="24"/>
          <w:szCs w:val="24"/>
          <w:lang w:val="en-GB"/>
        </w:rPr>
      </w:pPr>
      <w:r w:rsidRPr="005B09A9">
        <w:rPr>
          <w:rStyle w:val="Accentuation"/>
          <w:rFonts w:ascii="Times New Roman" w:hAnsi="Times New Roman" w:cs="Times New Roman"/>
          <w:b w:val="0"/>
          <w:sz w:val="24"/>
          <w:szCs w:val="24"/>
          <w:lang w:val="en-GB"/>
        </w:rPr>
        <w:t xml:space="preserve">Measures related to </w:t>
      </w:r>
      <w:r w:rsidR="003B7B2C" w:rsidRPr="005B09A9">
        <w:rPr>
          <w:rStyle w:val="Accentuation"/>
          <w:rFonts w:ascii="Times New Roman" w:hAnsi="Times New Roman" w:cs="Times New Roman"/>
          <w:b w:val="0"/>
          <w:sz w:val="24"/>
          <w:szCs w:val="24"/>
          <w:lang w:val="en-GB"/>
        </w:rPr>
        <w:t>D</w:t>
      </w:r>
      <w:r w:rsidRPr="005B09A9">
        <w:rPr>
          <w:rStyle w:val="Accentuation"/>
          <w:rFonts w:ascii="Times New Roman" w:hAnsi="Times New Roman" w:cs="Times New Roman"/>
          <w:b w:val="0"/>
          <w:sz w:val="24"/>
          <w:szCs w:val="24"/>
          <w:lang w:val="en-GB"/>
        </w:rPr>
        <w:t>isability (N = 2</w:t>
      </w:r>
      <w:r w:rsidR="009706DD" w:rsidRPr="005B09A9">
        <w:rPr>
          <w:rStyle w:val="Accentuation"/>
          <w:rFonts w:ascii="Times New Roman" w:hAnsi="Times New Roman" w:cs="Times New Roman"/>
          <w:b w:val="0"/>
          <w:sz w:val="24"/>
          <w:szCs w:val="24"/>
          <w:lang w:val="en-GB"/>
        </w:rPr>
        <w:t>, n = 66</w:t>
      </w:r>
      <w:r w:rsidR="005206FF" w:rsidRPr="005B09A9">
        <w:rPr>
          <w:rStyle w:val="Accentuation"/>
          <w:rFonts w:ascii="Times New Roman" w:hAnsi="Times New Roman" w:cs="Times New Roman"/>
          <w:b w:val="0"/>
          <w:sz w:val="24"/>
          <w:szCs w:val="24"/>
          <w:lang w:val="en-GB"/>
        </w:rPr>
        <w:t>, Activities in ICF classification</w:t>
      </w:r>
      <w:r w:rsidRPr="005B09A9">
        <w:rPr>
          <w:rStyle w:val="Accentuation"/>
          <w:rFonts w:ascii="Times New Roman" w:hAnsi="Times New Roman" w:cs="Times New Roman"/>
          <w:b w:val="0"/>
          <w:sz w:val="24"/>
          <w:szCs w:val="24"/>
          <w:lang w:val="en-GB"/>
        </w:rPr>
        <w:t>)</w:t>
      </w:r>
    </w:p>
    <w:p w14:paraId="4E87A542" w14:textId="44C5CD56" w:rsidR="002B68BB" w:rsidRPr="005B09A9" w:rsidRDefault="00201800"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 xml:space="preserve">Only </w:t>
      </w:r>
      <w:r w:rsidR="001F113A" w:rsidRPr="005B09A9">
        <w:rPr>
          <w:rStyle w:val="Accentuation"/>
          <w:rFonts w:ascii="Times New Roman" w:hAnsi="Times New Roman" w:cs="Times New Roman"/>
          <w:b w:val="0"/>
          <w:i w:val="0"/>
          <w:sz w:val="24"/>
          <w:szCs w:val="24"/>
        </w:rPr>
        <w:t xml:space="preserve">the </w:t>
      </w:r>
      <w:r w:rsidR="00D775A0" w:rsidRPr="005B09A9">
        <w:rPr>
          <w:rStyle w:val="Accentuation"/>
          <w:rFonts w:ascii="Times New Roman" w:hAnsi="Times New Roman" w:cs="Times New Roman"/>
          <w:b w:val="0"/>
          <w:i w:val="0"/>
          <w:sz w:val="24"/>
          <w:szCs w:val="24"/>
        </w:rPr>
        <w:t>single</w:t>
      </w:r>
      <w:r w:rsidRPr="005B09A9">
        <w:rPr>
          <w:rStyle w:val="Accentuation"/>
          <w:rFonts w:ascii="Times New Roman" w:hAnsi="Times New Roman" w:cs="Times New Roman"/>
          <w:b w:val="0"/>
          <w:i w:val="0"/>
          <w:sz w:val="24"/>
          <w:szCs w:val="24"/>
        </w:rPr>
        <w:t xml:space="preserve"> cohort</w:t>
      </w:r>
      <w:r w:rsidR="001F113A" w:rsidRPr="005B09A9">
        <w:rPr>
          <w:rStyle w:val="Accentuation"/>
          <w:rFonts w:ascii="Times New Roman" w:hAnsi="Times New Roman" w:cs="Times New Roman"/>
          <w:b w:val="0"/>
          <w:i w:val="0"/>
          <w:sz w:val="24"/>
          <w:szCs w:val="24"/>
        </w:rPr>
        <w:t xml:space="preserve"> of Bean et </w:t>
      </w:r>
      <w:r w:rsidR="001F113A" w:rsidRPr="005B09A9">
        <w:rPr>
          <w:rStyle w:val="Accentuation"/>
          <w:rFonts w:ascii="Times New Roman" w:hAnsi="Times New Roman" w:cs="Times New Roman"/>
          <w:b w:val="0"/>
          <w:iCs w:val="0"/>
          <w:sz w:val="24"/>
          <w:szCs w:val="24"/>
        </w:rPr>
        <w:t>al</w:t>
      </w:r>
      <w:r w:rsidR="001F113A" w:rsidRPr="005B09A9">
        <w:rPr>
          <w:rStyle w:val="Accentuation"/>
          <w:rFonts w:ascii="Times New Roman" w:hAnsi="Times New Roman" w:cs="Times New Roman"/>
          <w:b w:val="0"/>
          <w:i w:val="0"/>
          <w:sz w:val="24"/>
          <w:szCs w:val="24"/>
        </w:rPr>
        <w:t>.</w:t>
      </w:r>
      <w:r w:rsidR="003B637D"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 w:val="0"/>
          <w:sz w:val="24"/>
          <w:szCs w:val="24"/>
        </w:rPr>
        <w:t>invest</w:t>
      </w:r>
      <w:r w:rsidR="003B637D" w:rsidRPr="005B09A9">
        <w:rPr>
          <w:rStyle w:val="Accentuation"/>
          <w:rFonts w:ascii="Times New Roman" w:hAnsi="Times New Roman" w:cs="Times New Roman"/>
          <w:b w:val="0"/>
          <w:i w:val="0"/>
          <w:sz w:val="24"/>
          <w:szCs w:val="24"/>
        </w:rPr>
        <w:t>igated this outcome</w:t>
      </w:r>
      <w:r w:rsidR="00717661" w:rsidRPr="005B09A9">
        <w:rPr>
          <w:rStyle w:val="Accentuation"/>
          <w:rFonts w:ascii="Times New Roman" w:hAnsi="Times New Roman" w:cs="Times New Roman"/>
          <w:b w:val="0"/>
          <w:i w:val="0"/>
          <w:sz w:val="24"/>
          <w:szCs w:val="24"/>
        </w:rPr>
        <w:t xml:space="preserve"> in </w:t>
      </w:r>
      <w:r w:rsidR="00846CC1" w:rsidRPr="005B09A9">
        <w:rPr>
          <w:rStyle w:val="Accentuation"/>
          <w:rFonts w:ascii="Times New Roman" w:hAnsi="Times New Roman" w:cs="Times New Roman"/>
          <w:b w:val="0"/>
          <w:i w:val="0"/>
          <w:sz w:val="24"/>
          <w:szCs w:val="24"/>
        </w:rPr>
        <w:t>two</w:t>
      </w:r>
      <w:r w:rsidR="001F113A" w:rsidRPr="005B09A9">
        <w:rPr>
          <w:rStyle w:val="Accentuation"/>
          <w:rFonts w:ascii="Times New Roman" w:hAnsi="Times New Roman" w:cs="Times New Roman"/>
          <w:b w:val="0"/>
          <w:i w:val="0"/>
          <w:sz w:val="24"/>
          <w:szCs w:val="24"/>
        </w:rPr>
        <w:t xml:space="preserve"> </w:t>
      </w:r>
      <w:r w:rsidR="00717661" w:rsidRPr="005B09A9">
        <w:rPr>
          <w:rStyle w:val="Accentuation"/>
          <w:rFonts w:ascii="Times New Roman" w:hAnsi="Times New Roman" w:cs="Times New Roman"/>
          <w:b w:val="0"/>
          <w:i w:val="0"/>
          <w:sz w:val="24"/>
          <w:szCs w:val="24"/>
        </w:rPr>
        <w:t>articles</w:t>
      </w:r>
      <w:r w:rsidR="00F815EF" w:rsidRPr="005B09A9">
        <w:rPr>
          <w:rStyle w:val="Accentuation"/>
          <w:rFonts w:ascii="Times New Roman" w:hAnsi="Times New Roman" w:cs="Times New Roman"/>
          <w:b w:val="0"/>
          <w:i w:val="0"/>
          <w:sz w:val="24"/>
          <w:szCs w:val="24"/>
        </w:rPr>
        <w:t xml:space="preserve">: a </w:t>
      </w:r>
      <w:r w:rsidRPr="005B09A9">
        <w:rPr>
          <w:rStyle w:val="Accentuation"/>
          <w:rFonts w:ascii="Times New Roman" w:hAnsi="Times New Roman" w:cs="Times New Roman"/>
          <w:b w:val="0"/>
          <w:i w:val="0"/>
          <w:sz w:val="24"/>
          <w:szCs w:val="24"/>
        </w:rPr>
        <w:t xml:space="preserve">cross-sectional </w:t>
      </w:r>
      <w:r w:rsidR="00B120FB" w:rsidRPr="005B09A9">
        <w:rPr>
          <w:rStyle w:val="Accentuation"/>
          <w:rFonts w:ascii="Times New Roman" w:hAnsi="Times New Roman" w:cs="Times New Roman"/>
          <w:b w:val="0"/>
          <w:i w:val="0"/>
          <w:sz w:val="24"/>
          <w:szCs w:val="24"/>
        </w:rPr>
        <w:t>analysis</w:t>
      </w:r>
      <w:r w:rsidRPr="005B09A9">
        <w:rPr>
          <w:rStyle w:val="Accentuation"/>
          <w:rFonts w:ascii="Times New Roman" w:hAnsi="Times New Roman" w:cs="Times New Roman"/>
          <w:b w:val="0"/>
          <w:i w:val="0"/>
          <w:sz w:val="24"/>
          <w:szCs w:val="24"/>
        </w:rPr>
        <w:t xml:space="preserve"> at </w:t>
      </w:r>
      <w:r w:rsidR="002B68BB" w:rsidRPr="005B09A9">
        <w:rPr>
          <w:rStyle w:val="Accentuation"/>
          <w:rFonts w:ascii="Times New Roman" w:hAnsi="Times New Roman" w:cs="Times New Roman"/>
          <w:b w:val="0"/>
          <w:i w:val="0"/>
          <w:sz w:val="24"/>
          <w:szCs w:val="24"/>
        </w:rPr>
        <w:t>inclusion (</w:t>
      </w:r>
      <w:r w:rsidR="001F113A" w:rsidRPr="005B09A9">
        <w:rPr>
          <w:rStyle w:val="Accentuation"/>
          <w:rFonts w:ascii="Times New Roman" w:hAnsi="Times New Roman" w:cs="Times New Roman"/>
          <w:b w:val="0"/>
          <w:i w:val="0"/>
          <w:sz w:val="24"/>
          <w:szCs w:val="24"/>
        </w:rPr>
        <w:t>±</w:t>
      </w:r>
      <w:r w:rsidRPr="005B09A9">
        <w:rPr>
          <w:rStyle w:val="Accentuation"/>
          <w:rFonts w:ascii="Times New Roman" w:hAnsi="Times New Roman" w:cs="Times New Roman"/>
          <w:b w:val="0"/>
          <w:i w:val="0"/>
          <w:sz w:val="24"/>
          <w:szCs w:val="24"/>
        </w:rPr>
        <w:t>2 months</w:t>
      </w:r>
      <w:r w:rsidR="007B3BE2" w:rsidRPr="005B09A9">
        <w:rPr>
          <w:rStyle w:val="Accentuation"/>
          <w:rFonts w:ascii="Times New Roman" w:hAnsi="Times New Roman" w:cs="Times New Roman"/>
          <w:b w:val="0"/>
          <w:i w:val="0"/>
          <w:sz w:val="24"/>
          <w:szCs w:val="24"/>
        </w:rPr>
        <w:t xml:space="preserve"> </w:t>
      </w:r>
      <w:r w:rsidR="00B120FB"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{"citationID":"LnUn4Mre","properties":{"formattedCitation":"(Bean et al., 2016b)","plainCitation":"(Bean et al., 2016b)","noteIndex":0},"citationItems":[{"id":146,"uris":["http://zotero.org/users/8777725/items/R94ZA7RL"],"itemData":{"id":146,"type":"article-journal","abstract":"OBJECTIVE: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B120FB"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(Bean et al., 2016b)</w:t>
      </w:r>
      <w:r w:rsidR="00B120FB"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w:t>
      </w:r>
      <w:r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 xml:space="preserve">and </w:t>
      </w:r>
      <w:r w:rsidR="001F113A" w:rsidRPr="005B09A9">
        <w:rPr>
          <w:rStyle w:val="Accentuation"/>
          <w:rFonts w:ascii="Times New Roman" w:hAnsi="Times New Roman" w:cs="Times New Roman"/>
          <w:b w:val="0"/>
          <w:i w:val="0"/>
          <w:sz w:val="24"/>
          <w:szCs w:val="24"/>
        </w:rPr>
        <w:t xml:space="preserve">a </w:t>
      </w:r>
      <w:r w:rsidR="007C2C19" w:rsidRPr="005B09A9">
        <w:rPr>
          <w:rStyle w:val="Accentuation"/>
          <w:rFonts w:ascii="Times New Roman" w:hAnsi="Times New Roman" w:cs="Times New Roman"/>
          <w:b w:val="0"/>
          <w:i w:val="0"/>
          <w:sz w:val="24"/>
          <w:szCs w:val="24"/>
        </w:rPr>
        <w:t xml:space="preserve">mixed-effects model for repeated measures after </w:t>
      </w:r>
      <w:r w:rsidR="009270A4" w:rsidRPr="005B09A9">
        <w:rPr>
          <w:rStyle w:val="Accentuation"/>
          <w:rFonts w:ascii="Times New Roman" w:hAnsi="Times New Roman" w:cs="Times New Roman"/>
          <w:b w:val="0"/>
          <w:i w:val="0"/>
          <w:sz w:val="24"/>
          <w:szCs w:val="24"/>
        </w:rPr>
        <w:t xml:space="preserve">the </w:t>
      </w:r>
      <w:r w:rsidR="00B120FB" w:rsidRPr="005B09A9">
        <w:rPr>
          <w:rStyle w:val="Accentuation"/>
          <w:rFonts w:ascii="Times New Roman" w:hAnsi="Times New Roman" w:cs="Times New Roman"/>
          <w:b w:val="0"/>
          <w:i w:val="0"/>
          <w:sz w:val="24"/>
          <w:szCs w:val="24"/>
        </w:rPr>
        <w:t>12</w:t>
      </w:r>
      <w:r w:rsidR="009270A4" w:rsidRPr="005B09A9">
        <w:rPr>
          <w:rStyle w:val="Accentuation"/>
          <w:rFonts w:ascii="Times New Roman" w:hAnsi="Times New Roman" w:cs="Times New Roman"/>
          <w:b w:val="0"/>
          <w:i w:val="0"/>
          <w:sz w:val="24"/>
          <w:szCs w:val="24"/>
        </w:rPr>
        <w:t>-</w:t>
      </w:r>
      <w:r w:rsidR="00B120FB" w:rsidRPr="005B09A9">
        <w:rPr>
          <w:rStyle w:val="Accentuation"/>
          <w:rFonts w:ascii="Times New Roman" w:hAnsi="Times New Roman" w:cs="Times New Roman"/>
          <w:b w:val="0"/>
          <w:i w:val="0"/>
          <w:sz w:val="24"/>
          <w:szCs w:val="24"/>
        </w:rPr>
        <w:t>month follow-up</w:t>
      </w:r>
      <w:r w:rsidR="007B3BE2" w:rsidRPr="005B09A9">
        <w:rPr>
          <w:rStyle w:val="Accentuation"/>
          <w:rFonts w:ascii="Times New Roman" w:hAnsi="Times New Roman" w:cs="Times New Roman"/>
          <w:b w:val="0"/>
          <w:i w:val="0"/>
          <w:sz w:val="24"/>
          <w:szCs w:val="24"/>
        </w:rPr>
        <w:t xml:space="preserve"> </w:t>
      </w:r>
      <w:r w:rsidR="00B120FB"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{"citationID":"At8E4A49","properties":{"formattedCitation":"(Bean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00B120FB"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(Bean et al., 2015)</w:t>
      </w:r>
      <w:r w:rsidR="00B120FB" w:rsidRPr="005B09A9">
        <w:rPr>
          <w:rStyle w:val="Accentuation"/>
          <w:rFonts w:ascii="Times New Roman" w:hAnsi="Times New Roman" w:cs="Times New Roman"/>
          <w:b w:val="0"/>
          <w:i w:val="0"/>
          <w:sz w:val="24"/>
          <w:szCs w:val="24"/>
        </w:rPr>
        <w:fldChar w:fldCharType="end"/>
      </w:r>
      <w:r w:rsidR="007B3BE2" w:rsidRPr="005B09A9">
        <w:rPr>
          <w:rStyle w:val="Accentuation"/>
          <w:rFonts w:ascii="Times New Roman" w:hAnsi="Times New Roman" w:cs="Times New Roman"/>
          <w:b w:val="0"/>
          <w:i w:val="0"/>
          <w:sz w:val="24"/>
          <w:szCs w:val="24"/>
        </w:rPr>
        <w:t>.</w:t>
      </w:r>
      <w:r w:rsidR="002B68BB" w:rsidRPr="005B09A9">
        <w:rPr>
          <w:rStyle w:val="Accentuation"/>
          <w:rFonts w:ascii="Times New Roman" w:hAnsi="Times New Roman" w:cs="Times New Roman"/>
          <w:b w:val="0"/>
          <w:i w:val="0"/>
          <w:sz w:val="24"/>
          <w:szCs w:val="24"/>
        </w:rPr>
        <w:t xml:space="preserve"> </w:t>
      </w:r>
    </w:p>
    <w:p w14:paraId="360F3889" w14:textId="3F555E5B" w:rsidR="002B68BB" w:rsidRPr="005B09A9" w:rsidRDefault="002B68BB"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 xml:space="preserve">At inclusion, the following parameters were </w:t>
      </w:r>
      <w:r w:rsidR="007E453D" w:rsidRPr="005B09A9">
        <w:rPr>
          <w:rStyle w:val="Accentuation"/>
          <w:rFonts w:ascii="Times New Roman" w:hAnsi="Times New Roman" w:cs="Times New Roman"/>
          <w:b w:val="0"/>
          <w:i w:val="0"/>
          <w:sz w:val="24"/>
          <w:szCs w:val="24"/>
        </w:rPr>
        <w:t>associated</w:t>
      </w:r>
      <w:r w:rsidRPr="005B09A9">
        <w:rPr>
          <w:rStyle w:val="Accentuation"/>
          <w:rFonts w:ascii="Times New Roman" w:hAnsi="Times New Roman" w:cs="Times New Roman"/>
          <w:b w:val="0"/>
          <w:i w:val="0"/>
          <w:sz w:val="24"/>
          <w:szCs w:val="24"/>
        </w:rPr>
        <w:t xml:space="preserve"> with greater disability</w:t>
      </w:r>
      <w:r w:rsidR="000F0F65" w:rsidRPr="005B09A9">
        <w:rPr>
          <w:rStyle w:val="Accentuation"/>
          <w:rFonts w:ascii="Times New Roman" w:hAnsi="Times New Roman" w:cs="Times New Roman"/>
          <w:b w:val="0"/>
          <w:i w:val="0"/>
          <w:sz w:val="24"/>
          <w:szCs w:val="24"/>
        </w:rPr>
        <w:t xml:space="preserve"> scores</w:t>
      </w:r>
      <w:r w:rsidRPr="005B09A9">
        <w:rPr>
          <w:rStyle w:val="Accentuation"/>
          <w:rFonts w:ascii="Times New Roman" w:hAnsi="Times New Roman" w:cs="Times New Roman"/>
          <w:b w:val="0"/>
          <w:i w:val="0"/>
          <w:sz w:val="24"/>
          <w:szCs w:val="24"/>
        </w:rPr>
        <w:t xml:space="preserve">: </w:t>
      </w:r>
      <w:r w:rsidR="00F3068E" w:rsidRPr="005B09A9">
        <w:rPr>
          <w:rStyle w:val="Accentuation"/>
          <w:rFonts w:ascii="Times New Roman" w:hAnsi="Times New Roman" w:cs="Times New Roman"/>
          <w:b w:val="0"/>
          <w:iCs w:val="0"/>
          <w:sz w:val="24"/>
          <w:szCs w:val="24"/>
        </w:rPr>
        <w:t>CSS</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pain intensity</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pain catastrophizing</w:t>
      </w:r>
      <w:r w:rsidRPr="005B09A9">
        <w:rPr>
          <w:rStyle w:val="Accentuation"/>
          <w:rFonts w:ascii="Times New Roman" w:hAnsi="Times New Roman" w:cs="Times New Roman"/>
          <w:b w:val="0"/>
          <w:i w:val="0"/>
          <w:sz w:val="24"/>
          <w:szCs w:val="24"/>
        </w:rPr>
        <w:t xml:space="preserve">, </w:t>
      </w:r>
      <w:r w:rsidR="0078214A" w:rsidRPr="005B09A9">
        <w:rPr>
          <w:rStyle w:val="Accentuation"/>
          <w:rFonts w:ascii="Times New Roman" w:hAnsi="Times New Roman" w:cs="Times New Roman"/>
          <w:b w:val="0"/>
          <w:iCs w:val="0"/>
          <w:sz w:val="24"/>
          <w:szCs w:val="24"/>
        </w:rPr>
        <w:t>pain-</w:t>
      </w:r>
      <w:r w:rsidRPr="005B09A9">
        <w:rPr>
          <w:rStyle w:val="Accentuation"/>
          <w:rFonts w:ascii="Times New Roman" w:hAnsi="Times New Roman" w:cs="Times New Roman"/>
          <w:b w:val="0"/>
          <w:iCs w:val="0"/>
          <w:sz w:val="24"/>
          <w:szCs w:val="24"/>
        </w:rPr>
        <w:t>related</w:t>
      </w:r>
      <w:r w:rsidR="0078214A" w:rsidRPr="005B09A9">
        <w:rPr>
          <w:rStyle w:val="Accentuation"/>
          <w:rFonts w:ascii="Times New Roman" w:hAnsi="Times New Roman" w:cs="Times New Roman"/>
          <w:b w:val="0"/>
          <w:iCs w:val="0"/>
          <w:sz w:val="24"/>
          <w:szCs w:val="24"/>
        </w:rPr>
        <w:t xml:space="preserve"> </w:t>
      </w:r>
      <w:r w:rsidRPr="005B09A9">
        <w:rPr>
          <w:rStyle w:val="Accentuation"/>
          <w:rFonts w:ascii="Times New Roman" w:hAnsi="Times New Roman" w:cs="Times New Roman"/>
          <w:b w:val="0"/>
          <w:iCs w:val="0"/>
          <w:sz w:val="24"/>
          <w:szCs w:val="24"/>
        </w:rPr>
        <w:t>fear</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depression</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anxiety</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stress</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 xml:space="preserve">sweating </w:t>
      </w:r>
      <w:r w:rsidRPr="005B09A9">
        <w:rPr>
          <w:rStyle w:val="Accentuation"/>
          <w:rFonts w:ascii="Times New Roman" w:hAnsi="Times New Roman" w:cs="Times New Roman"/>
          <w:b w:val="0"/>
          <w:iCs w:val="0"/>
          <w:sz w:val="24"/>
          <w:szCs w:val="24"/>
        </w:rPr>
        <w:lastRenderedPageBreak/>
        <w:t>symptom</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allodynia symptom</w:t>
      </w:r>
      <w:r w:rsidRPr="005B09A9">
        <w:rPr>
          <w:rStyle w:val="Accentuation"/>
          <w:rFonts w:ascii="Times New Roman" w:hAnsi="Times New Roman" w:cs="Times New Roman"/>
          <w:b w:val="0"/>
          <w:i w:val="0"/>
          <w:sz w:val="24"/>
          <w:szCs w:val="24"/>
        </w:rPr>
        <w:t xml:space="preserve">, </w:t>
      </w:r>
      <w:r w:rsidR="00A07A5B" w:rsidRPr="005B09A9">
        <w:rPr>
          <w:rStyle w:val="Accentuation"/>
          <w:rFonts w:ascii="Times New Roman" w:hAnsi="Times New Roman" w:cs="Times New Roman"/>
          <w:b w:val="0"/>
          <w:iCs w:val="0"/>
          <w:sz w:val="24"/>
          <w:szCs w:val="24"/>
        </w:rPr>
        <w:t>ankle</w:t>
      </w:r>
      <w:r w:rsidRPr="005B09A9">
        <w:rPr>
          <w:rStyle w:val="Accentuation"/>
          <w:rFonts w:ascii="Times New Roman" w:hAnsi="Times New Roman" w:cs="Times New Roman"/>
          <w:b w:val="0"/>
          <w:iCs w:val="0"/>
          <w:sz w:val="24"/>
          <w:szCs w:val="24"/>
        </w:rPr>
        <w:t>/wrist flexion and extension</w:t>
      </w:r>
      <w:r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Cs w:val="0"/>
          <w:sz w:val="24"/>
          <w:szCs w:val="24"/>
        </w:rPr>
        <w:t>motor sign</w:t>
      </w:r>
      <w:r w:rsidR="00A07A5B"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In multivariable</w:t>
      </w:r>
      <w:r w:rsidR="00653C88" w:rsidRPr="005B09A9">
        <w:rPr>
          <w:rStyle w:val="Accentuation"/>
          <w:rFonts w:ascii="Times New Roman" w:hAnsi="Times New Roman" w:cs="Times New Roman"/>
          <w:b w:val="0"/>
          <w:i w:val="0"/>
          <w:sz w:val="24"/>
          <w:szCs w:val="24"/>
        </w:rPr>
        <w:t xml:space="preserve"> analysis</w:t>
      </w:r>
      <w:r w:rsidR="00A07A5B" w:rsidRPr="005B09A9">
        <w:rPr>
          <w:rStyle w:val="Accentuation"/>
          <w:rFonts w:ascii="Times New Roman" w:hAnsi="Times New Roman" w:cs="Times New Roman"/>
          <w:b w:val="0"/>
          <w:i w:val="0"/>
          <w:sz w:val="24"/>
          <w:szCs w:val="24"/>
        </w:rPr>
        <w:t xml:space="preserve">, </w:t>
      </w:r>
      <w:r w:rsidR="00C12ED2" w:rsidRPr="005B09A9">
        <w:rPr>
          <w:rStyle w:val="Accentuation"/>
          <w:rFonts w:ascii="Times New Roman" w:hAnsi="Times New Roman" w:cs="Times New Roman"/>
          <w:b w:val="0"/>
          <w:i w:val="0"/>
          <w:sz w:val="24"/>
          <w:szCs w:val="24"/>
        </w:rPr>
        <w:t>the independent predictors of disability were</w:t>
      </w:r>
      <w:r w:rsidR="00821530" w:rsidRPr="005B09A9">
        <w:rPr>
          <w:rStyle w:val="Accentuation"/>
          <w:rFonts w:ascii="Times New Roman" w:hAnsi="Times New Roman" w:cs="Times New Roman"/>
          <w:b w:val="0"/>
          <w:i w:val="0"/>
          <w:sz w:val="24"/>
          <w:szCs w:val="24"/>
        </w:rPr>
        <w:t>:</w:t>
      </w:r>
      <w:r w:rsidR="00C12ED2" w:rsidRPr="005B09A9">
        <w:rPr>
          <w:rStyle w:val="Accentuation"/>
          <w:rFonts w:ascii="Times New Roman" w:hAnsi="Times New Roman" w:cs="Times New Roman"/>
          <w:b w:val="0"/>
          <w:i w:val="0"/>
          <w:sz w:val="24"/>
          <w:szCs w:val="24"/>
        </w:rPr>
        <w:t xml:space="preserve"> </w:t>
      </w:r>
      <w:r w:rsidR="00C12ED2" w:rsidRPr="005B09A9">
        <w:rPr>
          <w:rStyle w:val="Accentuation"/>
          <w:rFonts w:ascii="Times New Roman" w:hAnsi="Times New Roman" w:cs="Times New Roman"/>
          <w:b w:val="0"/>
          <w:iCs w:val="0"/>
          <w:sz w:val="24"/>
          <w:szCs w:val="24"/>
        </w:rPr>
        <w:t>pain intensity</w:t>
      </w:r>
      <w:r w:rsidR="00C12ED2" w:rsidRPr="005B09A9">
        <w:rPr>
          <w:rStyle w:val="Accentuation"/>
          <w:rFonts w:ascii="Times New Roman" w:hAnsi="Times New Roman" w:cs="Times New Roman"/>
          <w:b w:val="0"/>
          <w:i w:val="0"/>
          <w:sz w:val="24"/>
          <w:szCs w:val="24"/>
        </w:rPr>
        <w:t xml:space="preserve">, </w:t>
      </w:r>
      <w:r w:rsidR="0066341C" w:rsidRPr="005B09A9">
        <w:rPr>
          <w:rStyle w:val="Accentuation"/>
          <w:rFonts w:ascii="Times New Roman" w:hAnsi="Times New Roman" w:cs="Times New Roman"/>
          <w:b w:val="0"/>
          <w:iCs w:val="0"/>
          <w:sz w:val="24"/>
          <w:szCs w:val="24"/>
        </w:rPr>
        <w:t>lower</w:t>
      </w:r>
      <w:r w:rsidR="0066341C" w:rsidRPr="005B09A9">
        <w:rPr>
          <w:rStyle w:val="Accentuation"/>
          <w:rFonts w:ascii="Times New Roman" w:hAnsi="Times New Roman" w:cs="Times New Roman"/>
          <w:b w:val="0"/>
          <w:i w:val="0"/>
          <w:sz w:val="24"/>
          <w:szCs w:val="24"/>
        </w:rPr>
        <w:t xml:space="preserve"> </w:t>
      </w:r>
      <w:r w:rsidR="00C12ED2" w:rsidRPr="005B09A9">
        <w:rPr>
          <w:rStyle w:val="Accentuation"/>
          <w:rFonts w:ascii="Times New Roman" w:hAnsi="Times New Roman" w:cs="Times New Roman"/>
          <w:b w:val="0"/>
          <w:iCs w:val="0"/>
          <w:sz w:val="24"/>
          <w:szCs w:val="24"/>
        </w:rPr>
        <w:t>ankle/wrist extension</w:t>
      </w:r>
      <w:r w:rsidR="007B59AE" w:rsidRPr="005B09A9">
        <w:rPr>
          <w:rStyle w:val="Accentuation"/>
          <w:rFonts w:ascii="Times New Roman" w:hAnsi="Times New Roman" w:cs="Times New Roman"/>
          <w:b w:val="0"/>
          <w:iCs w:val="0"/>
          <w:sz w:val="24"/>
          <w:szCs w:val="24"/>
        </w:rPr>
        <w:t>,</w:t>
      </w:r>
      <w:r w:rsidR="00C12ED2" w:rsidRPr="005B09A9">
        <w:rPr>
          <w:rStyle w:val="Accentuation"/>
          <w:rFonts w:ascii="Times New Roman" w:hAnsi="Times New Roman" w:cs="Times New Roman"/>
          <w:b w:val="0"/>
          <w:i w:val="0"/>
          <w:sz w:val="24"/>
          <w:szCs w:val="24"/>
        </w:rPr>
        <w:t xml:space="preserve"> and </w:t>
      </w:r>
      <w:r w:rsidR="0066341C" w:rsidRPr="005B09A9">
        <w:rPr>
          <w:rStyle w:val="Accentuation"/>
          <w:rFonts w:ascii="Times New Roman" w:hAnsi="Times New Roman" w:cs="Times New Roman"/>
          <w:b w:val="0"/>
          <w:iCs w:val="0"/>
          <w:sz w:val="24"/>
          <w:szCs w:val="24"/>
        </w:rPr>
        <w:t>higher depressive score</w:t>
      </w:r>
      <w:r w:rsidR="00C12ED2" w:rsidRPr="005B09A9">
        <w:rPr>
          <w:rStyle w:val="Accentuation"/>
          <w:rFonts w:ascii="Times New Roman" w:hAnsi="Times New Roman" w:cs="Times New Roman"/>
          <w:b w:val="0"/>
          <w:i w:val="0"/>
          <w:sz w:val="24"/>
          <w:szCs w:val="24"/>
        </w:rPr>
        <w:t>.</w:t>
      </w:r>
      <w:r w:rsidR="00A07A5B" w:rsidRPr="005B09A9">
        <w:rPr>
          <w:rStyle w:val="Accentuation"/>
          <w:rFonts w:ascii="Times New Roman" w:hAnsi="Times New Roman" w:cs="Times New Roman"/>
          <w:b w:val="0"/>
          <w:i w:val="0"/>
          <w:sz w:val="24"/>
          <w:szCs w:val="24"/>
        </w:rPr>
        <w:t xml:space="preserve"> </w:t>
      </w:r>
    </w:p>
    <w:p w14:paraId="791FA0D7" w14:textId="44181205" w:rsidR="00836351" w:rsidRPr="005B09A9" w:rsidRDefault="001F113A"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 xml:space="preserve">In the longitudinal study, several baseline </w:t>
      </w:r>
      <w:r w:rsidR="00201800" w:rsidRPr="005B09A9">
        <w:rPr>
          <w:rStyle w:val="Accentuation"/>
          <w:rFonts w:ascii="Times New Roman" w:hAnsi="Times New Roman" w:cs="Times New Roman"/>
          <w:b w:val="0"/>
          <w:i w:val="0"/>
          <w:sz w:val="24"/>
          <w:szCs w:val="24"/>
        </w:rPr>
        <w:t xml:space="preserve">variables were associated with greater disability </w:t>
      </w:r>
      <w:r w:rsidR="001D2245" w:rsidRPr="005B09A9">
        <w:rPr>
          <w:rStyle w:val="Accentuation"/>
          <w:rFonts w:ascii="Times New Roman" w:hAnsi="Times New Roman" w:cs="Times New Roman"/>
          <w:b w:val="0"/>
          <w:i w:val="0"/>
          <w:sz w:val="24"/>
          <w:szCs w:val="24"/>
        </w:rPr>
        <w:t xml:space="preserve">over the following </w:t>
      </w:r>
      <w:r w:rsidR="00201800" w:rsidRPr="005B09A9">
        <w:rPr>
          <w:rStyle w:val="Accentuation"/>
          <w:rFonts w:ascii="Times New Roman" w:hAnsi="Times New Roman" w:cs="Times New Roman"/>
          <w:b w:val="0"/>
          <w:i w:val="0"/>
          <w:sz w:val="24"/>
          <w:szCs w:val="24"/>
        </w:rPr>
        <w:t xml:space="preserve">12 months: </w:t>
      </w:r>
      <w:r w:rsidR="00F815EF" w:rsidRPr="005B09A9">
        <w:rPr>
          <w:rStyle w:val="Accentuation"/>
          <w:rFonts w:ascii="Times New Roman" w:hAnsi="Times New Roman" w:cs="Times New Roman"/>
          <w:b w:val="0"/>
          <w:iCs w:val="0"/>
          <w:sz w:val="24"/>
          <w:szCs w:val="24"/>
        </w:rPr>
        <w:t>depression</w:t>
      </w:r>
      <w:r w:rsidR="00504531" w:rsidRPr="005B09A9">
        <w:rPr>
          <w:rStyle w:val="Accentuation"/>
          <w:rFonts w:ascii="Times New Roman" w:hAnsi="Times New Roman" w:cs="Times New Roman"/>
          <w:b w:val="0"/>
          <w:i w:val="0"/>
          <w:sz w:val="24"/>
          <w:szCs w:val="24"/>
        </w:rPr>
        <w:t xml:space="preserve">, </w:t>
      </w:r>
      <w:r w:rsidR="00504531" w:rsidRPr="005B09A9">
        <w:rPr>
          <w:rStyle w:val="Accentuation"/>
          <w:rFonts w:ascii="Times New Roman" w:hAnsi="Times New Roman" w:cs="Times New Roman"/>
          <w:b w:val="0"/>
          <w:iCs w:val="0"/>
          <w:sz w:val="24"/>
          <w:szCs w:val="24"/>
        </w:rPr>
        <w:t>anxiety</w:t>
      </w:r>
      <w:r w:rsidR="00504531" w:rsidRPr="005B09A9">
        <w:rPr>
          <w:rStyle w:val="Accentuation"/>
          <w:rFonts w:ascii="Times New Roman" w:hAnsi="Times New Roman" w:cs="Times New Roman"/>
          <w:b w:val="0"/>
          <w:i w:val="0"/>
          <w:sz w:val="24"/>
          <w:szCs w:val="24"/>
        </w:rPr>
        <w:t>,</w:t>
      </w:r>
      <w:r w:rsidR="00201800" w:rsidRPr="005B09A9">
        <w:rPr>
          <w:rStyle w:val="Accentuation"/>
          <w:rFonts w:ascii="Times New Roman" w:hAnsi="Times New Roman" w:cs="Times New Roman"/>
          <w:b w:val="0"/>
          <w:i w:val="0"/>
          <w:sz w:val="24"/>
          <w:szCs w:val="24"/>
        </w:rPr>
        <w:t xml:space="preserve"> </w:t>
      </w:r>
      <w:r w:rsidR="00201800" w:rsidRPr="005B09A9">
        <w:rPr>
          <w:rStyle w:val="Accentuation"/>
          <w:rFonts w:ascii="Times New Roman" w:hAnsi="Times New Roman" w:cs="Times New Roman"/>
          <w:b w:val="0"/>
          <w:iCs w:val="0"/>
          <w:sz w:val="24"/>
          <w:szCs w:val="24"/>
        </w:rPr>
        <w:t>stress</w:t>
      </w:r>
      <w:r w:rsidR="00201800" w:rsidRPr="005B09A9">
        <w:rPr>
          <w:rStyle w:val="Accentuation"/>
          <w:rFonts w:ascii="Times New Roman" w:hAnsi="Times New Roman" w:cs="Times New Roman"/>
          <w:b w:val="0"/>
          <w:i w:val="0"/>
          <w:sz w:val="24"/>
          <w:szCs w:val="24"/>
        </w:rPr>
        <w:t xml:space="preserve">, </w:t>
      </w:r>
      <w:r w:rsidR="00201800" w:rsidRPr="005B09A9">
        <w:rPr>
          <w:rStyle w:val="Accentuation"/>
          <w:rFonts w:ascii="Times New Roman" w:hAnsi="Times New Roman" w:cs="Times New Roman"/>
          <w:b w:val="0"/>
          <w:iCs w:val="0"/>
          <w:sz w:val="24"/>
          <w:szCs w:val="24"/>
        </w:rPr>
        <w:t>catastrophizing</w:t>
      </w:r>
      <w:r w:rsidR="00201800" w:rsidRPr="005B09A9">
        <w:rPr>
          <w:rStyle w:val="Accentuation"/>
          <w:rFonts w:ascii="Times New Roman" w:hAnsi="Times New Roman" w:cs="Times New Roman"/>
          <w:b w:val="0"/>
          <w:i w:val="0"/>
          <w:sz w:val="24"/>
          <w:szCs w:val="24"/>
        </w:rPr>
        <w:t xml:space="preserve">, </w:t>
      </w:r>
      <w:r w:rsidR="00201800" w:rsidRPr="005B09A9">
        <w:rPr>
          <w:rStyle w:val="Accentuation"/>
          <w:rFonts w:ascii="Times New Roman" w:hAnsi="Times New Roman" w:cs="Times New Roman"/>
          <w:b w:val="0"/>
          <w:iCs w:val="0"/>
          <w:sz w:val="24"/>
          <w:szCs w:val="24"/>
        </w:rPr>
        <w:t>pain-related fear</w:t>
      </w:r>
      <w:r w:rsidR="00201800" w:rsidRPr="005B09A9">
        <w:rPr>
          <w:rStyle w:val="Accentuation"/>
          <w:rFonts w:ascii="Times New Roman" w:hAnsi="Times New Roman" w:cs="Times New Roman"/>
          <w:b w:val="0"/>
          <w:i w:val="0"/>
          <w:sz w:val="24"/>
          <w:szCs w:val="24"/>
        </w:rPr>
        <w:t xml:space="preserve">, </w:t>
      </w:r>
      <w:r w:rsidR="00201800" w:rsidRPr="005B09A9">
        <w:rPr>
          <w:rStyle w:val="Accentuation"/>
          <w:rFonts w:ascii="Times New Roman" w:hAnsi="Times New Roman" w:cs="Times New Roman"/>
          <w:b w:val="0"/>
          <w:iCs w:val="0"/>
          <w:sz w:val="24"/>
          <w:szCs w:val="24"/>
        </w:rPr>
        <w:t>body perception disturbance</w:t>
      </w:r>
      <w:r w:rsidR="007B59AE" w:rsidRPr="005B09A9">
        <w:rPr>
          <w:rStyle w:val="Accentuation"/>
          <w:rFonts w:ascii="Times New Roman" w:hAnsi="Times New Roman" w:cs="Times New Roman"/>
          <w:b w:val="0"/>
          <w:iCs w:val="0"/>
          <w:sz w:val="24"/>
          <w:szCs w:val="24"/>
        </w:rPr>
        <w:t>,</w:t>
      </w:r>
      <w:r w:rsidR="00201800" w:rsidRPr="005B09A9">
        <w:rPr>
          <w:rStyle w:val="Accentuation"/>
          <w:rFonts w:ascii="Times New Roman" w:hAnsi="Times New Roman" w:cs="Times New Roman"/>
          <w:b w:val="0"/>
          <w:i w:val="0"/>
          <w:sz w:val="24"/>
          <w:szCs w:val="24"/>
        </w:rPr>
        <w:t xml:space="preserve"> and </w:t>
      </w:r>
      <w:r w:rsidR="00201800" w:rsidRPr="005B09A9">
        <w:rPr>
          <w:rStyle w:val="Accentuation"/>
          <w:rFonts w:ascii="Times New Roman" w:hAnsi="Times New Roman" w:cs="Times New Roman"/>
          <w:b w:val="0"/>
          <w:iCs w:val="0"/>
          <w:sz w:val="24"/>
          <w:szCs w:val="24"/>
        </w:rPr>
        <w:t>perceived ownership of the</w:t>
      </w:r>
      <w:r w:rsidR="00B400DB" w:rsidRPr="005B09A9">
        <w:rPr>
          <w:rStyle w:val="Accentuation"/>
          <w:rFonts w:ascii="Times New Roman" w:hAnsi="Times New Roman" w:cs="Times New Roman"/>
          <w:b w:val="0"/>
          <w:iCs w:val="0"/>
          <w:sz w:val="24"/>
          <w:szCs w:val="24"/>
        </w:rPr>
        <w:t xml:space="preserve"> affected</w:t>
      </w:r>
      <w:r w:rsidR="00201800" w:rsidRPr="005B09A9">
        <w:rPr>
          <w:rStyle w:val="Accentuation"/>
          <w:rFonts w:ascii="Times New Roman" w:hAnsi="Times New Roman" w:cs="Times New Roman"/>
          <w:b w:val="0"/>
          <w:iCs w:val="0"/>
          <w:sz w:val="24"/>
          <w:szCs w:val="24"/>
        </w:rPr>
        <w:t xml:space="preserve"> limb</w:t>
      </w:r>
      <w:r w:rsidR="00201800" w:rsidRPr="005B09A9">
        <w:rPr>
          <w:rStyle w:val="Accentuation"/>
          <w:rFonts w:ascii="Times New Roman" w:hAnsi="Times New Roman" w:cs="Times New Roman"/>
          <w:b w:val="0"/>
          <w:i w:val="0"/>
          <w:sz w:val="24"/>
          <w:szCs w:val="24"/>
        </w:rPr>
        <w:t xml:space="preserve">. Once adjusted, </w:t>
      </w:r>
      <w:r w:rsidR="00500CC8" w:rsidRPr="005B09A9">
        <w:rPr>
          <w:rStyle w:val="Accentuation"/>
          <w:rFonts w:ascii="Times New Roman" w:hAnsi="Times New Roman" w:cs="Times New Roman"/>
          <w:b w:val="0"/>
          <w:i w:val="0"/>
          <w:sz w:val="24"/>
          <w:szCs w:val="24"/>
        </w:rPr>
        <w:t>two</w:t>
      </w:r>
      <w:r w:rsidR="00D45D4D" w:rsidRPr="005B09A9">
        <w:rPr>
          <w:rStyle w:val="Accentuation"/>
          <w:rFonts w:ascii="Times New Roman" w:hAnsi="Times New Roman" w:cs="Times New Roman"/>
          <w:b w:val="0"/>
          <w:i w:val="0"/>
          <w:sz w:val="24"/>
          <w:szCs w:val="24"/>
        </w:rPr>
        <w:t xml:space="preserve"> </w:t>
      </w:r>
      <w:r w:rsidRPr="005B09A9">
        <w:rPr>
          <w:rStyle w:val="Accentuation"/>
          <w:rFonts w:ascii="Times New Roman" w:hAnsi="Times New Roman" w:cs="Times New Roman"/>
          <w:b w:val="0"/>
          <w:i w:val="0"/>
          <w:sz w:val="24"/>
          <w:szCs w:val="24"/>
        </w:rPr>
        <w:t xml:space="preserve">factors </w:t>
      </w:r>
      <w:r w:rsidR="00D45D4D" w:rsidRPr="005B09A9">
        <w:rPr>
          <w:rStyle w:val="Accentuation"/>
          <w:rFonts w:ascii="Times New Roman" w:hAnsi="Times New Roman" w:cs="Times New Roman"/>
          <w:b w:val="0"/>
          <w:i w:val="0"/>
          <w:sz w:val="24"/>
          <w:szCs w:val="24"/>
        </w:rPr>
        <w:t xml:space="preserve">had </w:t>
      </w:r>
      <w:r w:rsidR="002A7F0C" w:rsidRPr="005B09A9">
        <w:rPr>
          <w:rStyle w:val="Accentuation"/>
          <w:rFonts w:ascii="Times New Roman" w:hAnsi="Times New Roman" w:cs="Times New Roman"/>
          <w:b w:val="0"/>
          <w:i w:val="0"/>
          <w:sz w:val="24"/>
          <w:szCs w:val="24"/>
        </w:rPr>
        <w:t xml:space="preserve">a </w:t>
      </w:r>
      <w:r w:rsidR="00D45D4D" w:rsidRPr="005B09A9">
        <w:rPr>
          <w:rStyle w:val="Accentuation"/>
          <w:rFonts w:ascii="Times New Roman" w:hAnsi="Times New Roman" w:cs="Times New Roman"/>
          <w:b w:val="0"/>
          <w:i w:val="0"/>
          <w:sz w:val="24"/>
          <w:szCs w:val="24"/>
        </w:rPr>
        <w:t>significant effect on</w:t>
      </w:r>
      <w:r w:rsidR="00201800" w:rsidRPr="005B09A9">
        <w:rPr>
          <w:rStyle w:val="Accentuation"/>
          <w:rFonts w:ascii="Times New Roman" w:hAnsi="Times New Roman" w:cs="Times New Roman"/>
          <w:b w:val="0"/>
          <w:i w:val="0"/>
          <w:sz w:val="24"/>
          <w:szCs w:val="24"/>
        </w:rPr>
        <w:t xml:space="preserve"> </w:t>
      </w:r>
      <w:r w:rsidR="00B120FB" w:rsidRPr="005B09A9">
        <w:rPr>
          <w:rStyle w:val="Accentuation"/>
          <w:rFonts w:ascii="Times New Roman" w:hAnsi="Times New Roman" w:cs="Times New Roman"/>
          <w:b w:val="0"/>
          <w:i w:val="0"/>
          <w:sz w:val="24"/>
          <w:szCs w:val="24"/>
        </w:rPr>
        <w:t xml:space="preserve">self-reported </w:t>
      </w:r>
      <w:r w:rsidR="00201800" w:rsidRPr="005B09A9">
        <w:rPr>
          <w:rStyle w:val="Accentuation"/>
          <w:rFonts w:ascii="Times New Roman" w:hAnsi="Times New Roman" w:cs="Times New Roman"/>
          <w:b w:val="0"/>
          <w:i w:val="0"/>
          <w:sz w:val="24"/>
          <w:szCs w:val="24"/>
        </w:rPr>
        <w:t xml:space="preserve">disability: </w:t>
      </w:r>
      <w:r w:rsidR="00201800" w:rsidRPr="005B09A9">
        <w:rPr>
          <w:rStyle w:val="Accentuation"/>
          <w:rFonts w:ascii="Times New Roman" w:hAnsi="Times New Roman" w:cs="Times New Roman"/>
          <w:b w:val="0"/>
          <w:iCs w:val="0"/>
          <w:sz w:val="24"/>
          <w:szCs w:val="24"/>
        </w:rPr>
        <w:t>pain</w:t>
      </w:r>
      <w:r w:rsidR="00504531" w:rsidRPr="005B09A9">
        <w:rPr>
          <w:rStyle w:val="Accentuation"/>
          <w:rFonts w:ascii="Times New Roman" w:hAnsi="Times New Roman" w:cs="Times New Roman"/>
          <w:b w:val="0"/>
          <w:iCs w:val="0"/>
          <w:sz w:val="24"/>
          <w:szCs w:val="24"/>
        </w:rPr>
        <w:t xml:space="preserve"> intensity</w:t>
      </w:r>
      <w:r w:rsidR="00201800" w:rsidRPr="005B09A9">
        <w:rPr>
          <w:rStyle w:val="Accentuation"/>
          <w:rFonts w:ascii="Times New Roman" w:hAnsi="Times New Roman" w:cs="Times New Roman"/>
          <w:b w:val="0"/>
          <w:i w:val="0"/>
          <w:sz w:val="24"/>
          <w:szCs w:val="24"/>
        </w:rPr>
        <w:t xml:space="preserve"> and </w:t>
      </w:r>
      <w:r w:rsidR="00201800" w:rsidRPr="005B09A9">
        <w:rPr>
          <w:rStyle w:val="Accentuation"/>
          <w:rFonts w:ascii="Times New Roman" w:hAnsi="Times New Roman" w:cs="Times New Roman"/>
          <w:b w:val="0"/>
          <w:iCs w:val="0"/>
          <w:sz w:val="24"/>
          <w:szCs w:val="24"/>
        </w:rPr>
        <w:t>pain-related fear</w:t>
      </w:r>
      <w:r w:rsidR="00A34F1D" w:rsidRPr="005B09A9">
        <w:rPr>
          <w:rStyle w:val="Accentuation"/>
          <w:rFonts w:ascii="Times New Roman" w:hAnsi="Times New Roman" w:cs="Times New Roman"/>
          <w:b w:val="0"/>
          <w:iCs w:val="0"/>
          <w:sz w:val="24"/>
          <w:szCs w:val="24"/>
        </w:rPr>
        <w:t>,</w:t>
      </w:r>
      <w:r w:rsidR="00201800" w:rsidRPr="005B09A9">
        <w:rPr>
          <w:rStyle w:val="Accentuation"/>
          <w:rFonts w:ascii="Times New Roman" w:hAnsi="Times New Roman" w:cs="Times New Roman"/>
          <w:b w:val="0"/>
          <w:iCs w:val="0"/>
          <w:sz w:val="24"/>
          <w:szCs w:val="24"/>
        </w:rPr>
        <w:t xml:space="preserve"> </w:t>
      </w:r>
      <w:r w:rsidR="00D45D4D" w:rsidRPr="005B09A9">
        <w:rPr>
          <w:rStyle w:val="Accentuation"/>
          <w:rFonts w:ascii="Times New Roman" w:hAnsi="Times New Roman" w:cs="Times New Roman"/>
          <w:b w:val="0"/>
          <w:i w:val="0"/>
          <w:sz w:val="24"/>
          <w:szCs w:val="24"/>
        </w:rPr>
        <w:t>whereas</w:t>
      </w:r>
      <w:r w:rsidR="00846CC1" w:rsidRPr="005B09A9">
        <w:rPr>
          <w:rStyle w:val="Accentuation"/>
          <w:rFonts w:ascii="Times New Roman" w:hAnsi="Times New Roman" w:cs="Times New Roman"/>
          <w:b w:val="0"/>
          <w:i w:val="0"/>
          <w:sz w:val="24"/>
          <w:szCs w:val="24"/>
        </w:rPr>
        <w:t xml:space="preserve"> disability scores were reduced by a mean of 11.29 points</w:t>
      </w:r>
      <w:r w:rsidR="00D45D4D" w:rsidRPr="005B09A9">
        <w:rPr>
          <w:rStyle w:val="Accentuation"/>
          <w:rFonts w:ascii="Times New Roman" w:hAnsi="Times New Roman" w:cs="Times New Roman"/>
          <w:b w:val="0"/>
          <w:i w:val="0"/>
          <w:sz w:val="24"/>
          <w:szCs w:val="24"/>
        </w:rPr>
        <w:t xml:space="preserve"> at each follow-up</w:t>
      </w:r>
      <w:r w:rsidR="000F0F65" w:rsidRPr="005B09A9">
        <w:rPr>
          <w:rStyle w:val="Accentuation"/>
          <w:rFonts w:ascii="Times New Roman" w:hAnsi="Times New Roman" w:cs="Times New Roman"/>
          <w:b w:val="0"/>
          <w:i w:val="0"/>
          <w:sz w:val="24"/>
          <w:szCs w:val="24"/>
        </w:rPr>
        <w:t>.</w:t>
      </w:r>
    </w:p>
    <w:p w14:paraId="09A00FE2" w14:textId="4E228CAE" w:rsidR="00836351" w:rsidRPr="005B09A9" w:rsidRDefault="003B7B2C" w:rsidP="006F05A7">
      <w:pPr>
        <w:pStyle w:val="Paragraphedeliste"/>
        <w:numPr>
          <w:ilvl w:val="2"/>
          <w:numId w:val="18"/>
        </w:numPr>
        <w:spacing w:line="480" w:lineRule="auto"/>
        <w:rPr>
          <w:rStyle w:val="Accentuation"/>
          <w:rFonts w:ascii="Times New Roman" w:hAnsi="Times New Roman" w:cs="Times New Roman"/>
          <w:b w:val="0"/>
          <w:sz w:val="24"/>
          <w:szCs w:val="24"/>
          <w:lang w:val="en-GB"/>
        </w:rPr>
      </w:pPr>
      <w:r w:rsidRPr="005B09A9">
        <w:rPr>
          <w:rStyle w:val="Accentuation"/>
          <w:rFonts w:ascii="Times New Roman" w:hAnsi="Times New Roman" w:cs="Times New Roman"/>
          <w:b w:val="0"/>
          <w:sz w:val="24"/>
          <w:szCs w:val="24"/>
          <w:lang w:val="en-GB"/>
        </w:rPr>
        <w:t>Measures related to P</w:t>
      </w:r>
      <w:r w:rsidR="00552E63" w:rsidRPr="005B09A9">
        <w:rPr>
          <w:rStyle w:val="Accentuation"/>
          <w:rFonts w:ascii="Times New Roman" w:hAnsi="Times New Roman" w:cs="Times New Roman"/>
          <w:b w:val="0"/>
          <w:sz w:val="24"/>
          <w:szCs w:val="24"/>
          <w:lang w:val="en-GB"/>
        </w:rPr>
        <w:t xml:space="preserve">ain </w:t>
      </w:r>
      <w:r w:rsidR="00A133E9" w:rsidRPr="005B09A9">
        <w:rPr>
          <w:rStyle w:val="Accentuation"/>
          <w:rFonts w:ascii="Times New Roman" w:hAnsi="Times New Roman" w:cs="Times New Roman"/>
          <w:b w:val="0"/>
          <w:sz w:val="24"/>
          <w:szCs w:val="24"/>
          <w:lang w:val="en-GB"/>
        </w:rPr>
        <w:t>(N = 1</w:t>
      </w:r>
      <w:r w:rsidR="009706DD" w:rsidRPr="005B09A9">
        <w:rPr>
          <w:rStyle w:val="Accentuation"/>
          <w:rFonts w:ascii="Times New Roman" w:hAnsi="Times New Roman" w:cs="Times New Roman"/>
          <w:b w:val="0"/>
          <w:sz w:val="24"/>
          <w:szCs w:val="24"/>
          <w:lang w:val="en-GB"/>
        </w:rPr>
        <w:t>, n = 66</w:t>
      </w:r>
      <w:r w:rsidR="005206FF" w:rsidRPr="005B09A9">
        <w:rPr>
          <w:rStyle w:val="Accentuation"/>
          <w:rFonts w:ascii="Times New Roman" w:hAnsi="Times New Roman" w:cs="Times New Roman"/>
          <w:b w:val="0"/>
          <w:sz w:val="24"/>
          <w:szCs w:val="24"/>
          <w:lang w:val="en-GB"/>
        </w:rPr>
        <w:t>, Body structure and Function in ICF classification</w:t>
      </w:r>
      <w:r w:rsidR="00A133E9" w:rsidRPr="005B09A9">
        <w:rPr>
          <w:rStyle w:val="Accentuation"/>
          <w:rFonts w:ascii="Times New Roman" w:hAnsi="Times New Roman" w:cs="Times New Roman"/>
          <w:b w:val="0"/>
          <w:sz w:val="24"/>
          <w:szCs w:val="24"/>
          <w:lang w:val="en-GB"/>
        </w:rPr>
        <w:t>)</w:t>
      </w:r>
    </w:p>
    <w:p w14:paraId="04BFCB23" w14:textId="63F7A9C8" w:rsidR="00201936" w:rsidRPr="005B09A9" w:rsidRDefault="007B59AE" w:rsidP="003B7B2C">
      <w:pPr>
        <w:spacing w:line="480" w:lineRule="auto"/>
        <w:jc w:val="left"/>
        <w:rPr>
          <w:rStyle w:val="Accentuation"/>
          <w:rFonts w:ascii="Times New Roman" w:hAnsi="Times New Roman" w:cs="Times New Roman"/>
          <w:b w:val="0"/>
          <w:i w:val="0"/>
          <w:sz w:val="24"/>
          <w:szCs w:val="24"/>
        </w:rPr>
      </w:pPr>
      <w:r w:rsidRPr="005B09A9">
        <w:rPr>
          <w:rStyle w:val="Accentuation"/>
          <w:rFonts w:ascii="Times New Roman" w:hAnsi="Times New Roman" w:cs="Times New Roman"/>
          <w:b w:val="0"/>
          <w:i w:val="0"/>
          <w:sz w:val="24"/>
          <w:szCs w:val="24"/>
        </w:rPr>
        <w:t>Similarly</w:t>
      </w:r>
      <w:r w:rsidR="00201800" w:rsidRPr="005B09A9">
        <w:rPr>
          <w:rStyle w:val="Accentuation"/>
          <w:rFonts w:ascii="Times New Roman" w:hAnsi="Times New Roman" w:cs="Times New Roman"/>
          <w:b w:val="0"/>
          <w:i w:val="0"/>
          <w:sz w:val="24"/>
          <w:szCs w:val="24"/>
        </w:rPr>
        <w:t>, the aforementioned prospective study</w:t>
      </w:r>
      <w:r w:rsidR="007B3BE2" w:rsidRPr="005B09A9">
        <w:rPr>
          <w:rStyle w:val="Accentuation"/>
          <w:rFonts w:ascii="Times New Roman" w:hAnsi="Times New Roman" w:cs="Times New Roman"/>
          <w:b w:val="0"/>
          <w:i w:val="0"/>
          <w:sz w:val="24"/>
          <w:szCs w:val="24"/>
        </w:rPr>
        <w:t xml:space="preserve"> </w:t>
      </w:r>
      <w:r w:rsidR="00AA687F" w:rsidRPr="005B09A9">
        <w:rPr>
          <w:rStyle w:val="Accentuation"/>
          <w:rFonts w:ascii="Times New Roman" w:hAnsi="Times New Roman" w:cs="Times New Roman"/>
          <w:b w:val="0"/>
          <w:i w:val="0"/>
          <w:sz w:val="24"/>
          <w:szCs w:val="24"/>
        </w:rPr>
        <w:fldChar w:fldCharType="begin"/>
      </w:r>
      <w:r w:rsidR="00C00CEA" w:rsidRPr="005B09A9">
        <w:rPr>
          <w:rStyle w:val="Accentuation"/>
          <w:rFonts w:ascii="Times New Roman" w:hAnsi="Times New Roman" w:cs="Times New Roman"/>
          <w:b w:val="0"/>
          <w:i w:val="0"/>
          <w:sz w:val="24"/>
          <w:szCs w:val="24"/>
        </w:rPr>
        <w:instrText xml:space="preserve"> ADDIN ZOTERO_ITEM CSL_CITATION {"citationID":"Gz7fDqSo","properties":{"formattedCitation":"(Bean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00AA687F" w:rsidRPr="005B09A9">
        <w:rPr>
          <w:rStyle w:val="Accentuation"/>
          <w:rFonts w:ascii="Times New Roman" w:hAnsi="Times New Roman" w:cs="Times New Roman"/>
          <w:b w:val="0"/>
          <w:i w:val="0"/>
          <w:sz w:val="24"/>
          <w:szCs w:val="24"/>
        </w:rPr>
        <w:fldChar w:fldCharType="separate"/>
      </w:r>
      <w:r w:rsidR="00C00CEA" w:rsidRPr="005B09A9">
        <w:rPr>
          <w:rFonts w:ascii="Times New Roman" w:hAnsi="Times New Roman" w:cs="Times New Roman"/>
          <w:sz w:val="24"/>
        </w:rPr>
        <w:t>(Bean et al., 2015)</w:t>
      </w:r>
      <w:r w:rsidR="00AA687F" w:rsidRPr="005B09A9">
        <w:rPr>
          <w:rStyle w:val="Accentuation"/>
          <w:rFonts w:ascii="Times New Roman" w:hAnsi="Times New Roman" w:cs="Times New Roman"/>
          <w:b w:val="0"/>
          <w:i w:val="0"/>
          <w:sz w:val="24"/>
          <w:szCs w:val="24"/>
        </w:rPr>
        <w:fldChar w:fldCharType="end"/>
      </w:r>
      <w:r w:rsidR="00201800" w:rsidRPr="005B09A9">
        <w:rPr>
          <w:rStyle w:val="Accentuation"/>
          <w:rFonts w:ascii="Times New Roman" w:hAnsi="Times New Roman" w:cs="Times New Roman"/>
          <w:b w:val="0"/>
          <w:i w:val="0"/>
          <w:sz w:val="24"/>
          <w:szCs w:val="24"/>
        </w:rPr>
        <w:t xml:space="preserve"> </w:t>
      </w:r>
      <w:r w:rsidR="00C713DA" w:rsidRPr="005B09A9">
        <w:rPr>
          <w:rStyle w:val="Accentuation"/>
          <w:rFonts w:ascii="Times New Roman" w:hAnsi="Times New Roman" w:cs="Times New Roman"/>
          <w:b w:val="0"/>
          <w:i w:val="0"/>
          <w:sz w:val="24"/>
          <w:szCs w:val="24"/>
        </w:rPr>
        <w:t xml:space="preserve">also </w:t>
      </w:r>
      <w:r w:rsidR="005603EC" w:rsidRPr="005B09A9">
        <w:rPr>
          <w:rStyle w:val="Accentuation"/>
          <w:rFonts w:ascii="Times New Roman" w:hAnsi="Times New Roman" w:cs="Times New Roman"/>
          <w:b w:val="0"/>
          <w:i w:val="0"/>
          <w:sz w:val="24"/>
          <w:szCs w:val="24"/>
        </w:rPr>
        <w:t>assessed</w:t>
      </w:r>
      <w:r w:rsidR="00201800" w:rsidRPr="005B09A9">
        <w:rPr>
          <w:rStyle w:val="Accentuation"/>
          <w:rFonts w:ascii="Times New Roman" w:hAnsi="Times New Roman" w:cs="Times New Roman"/>
          <w:b w:val="0"/>
          <w:i w:val="0"/>
          <w:sz w:val="24"/>
          <w:szCs w:val="24"/>
        </w:rPr>
        <w:t xml:space="preserve"> </w:t>
      </w:r>
      <w:r w:rsidR="00C12ED2" w:rsidRPr="005B09A9">
        <w:rPr>
          <w:rStyle w:val="Accentuation"/>
          <w:rFonts w:ascii="Times New Roman" w:hAnsi="Times New Roman" w:cs="Times New Roman"/>
          <w:b w:val="0"/>
          <w:i w:val="0"/>
          <w:sz w:val="24"/>
          <w:szCs w:val="24"/>
        </w:rPr>
        <w:t xml:space="preserve">early </w:t>
      </w:r>
      <w:r w:rsidR="00201800" w:rsidRPr="005B09A9">
        <w:rPr>
          <w:rStyle w:val="Accentuation"/>
          <w:rFonts w:ascii="Times New Roman" w:hAnsi="Times New Roman" w:cs="Times New Roman"/>
          <w:b w:val="0"/>
          <w:i w:val="0"/>
          <w:sz w:val="24"/>
          <w:szCs w:val="24"/>
        </w:rPr>
        <w:t xml:space="preserve">predictive </w:t>
      </w:r>
      <w:r w:rsidR="006512F5" w:rsidRPr="005B09A9">
        <w:rPr>
          <w:rStyle w:val="Accentuation"/>
          <w:rFonts w:ascii="Times New Roman" w:hAnsi="Times New Roman" w:cs="Times New Roman"/>
          <w:b w:val="0"/>
          <w:i w:val="0"/>
          <w:sz w:val="24"/>
          <w:szCs w:val="24"/>
        </w:rPr>
        <w:t>factors</w:t>
      </w:r>
      <w:r w:rsidR="00201800" w:rsidRPr="005B09A9">
        <w:rPr>
          <w:rStyle w:val="Accentuation"/>
          <w:rFonts w:ascii="Times New Roman" w:hAnsi="Times New Roman" w:cs="Times New Roman"/>
          <w:b w:val="0"/>
          <w:i w:val="0"/>
          <w:sz w:val="24"/>
          <w:szCs w:val="24"/>
        </w:rPr>
        <w:t xml:space="preserve"> for pain</w:t>
      </w:r>
      <w:r w:rsidR="00B120FB" w:rsidRPr="005B09A9">
        <w:rPr>
          <w:rStyle w:val="Accentuation"/>
          <w:rFonts w:ascii="Times New Roman" w:hAnsi="Times New Roman" w:cs="Times New Roman"/>
          <w:b w:val="0"/>
          <w:i w:val="0"/>
          <w:sz w:val="24"/>
          <w:szCs w:val="24"/>
        </w:rPr>
        <w:t xml:space="preserve"> intensity</w:t>
      </w:r>
      <w:r w:rsidR="00201800"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 xml:space="preserve">over the following </w:t>
      </w:r>
      <w:r w:rsidR="00254005" w:rsidRPr="005B09A9">
        <w:rPr>
          <w:rStyle w:val="Accentuation"/>
          <w:rFonts w:ascii="Times New Roman" w:hAnsi="Times New Roman" w:cs="Times New Roman"/>
          <w:b w:val="0"/>
          <w:i w:val="0"/>
          <w:sz w:val="24"/>
          <w:szCs w:val="24"/>
        </w:rPr>
        <w:t>12 months</w:t>
      </w:r>
      <w:r w:rsidR="00201800" w:rsidRPr="005B09A9">
        <w:rPr>
          <w:rStyle w:val="Accentuation"/>
          <w:rFonts w:ascii="Times New Roman" w:hAnsi="Times New Roman" w:cs="Times New Roman"/>
          <w:b w:val="0"/>
          <w:i w:val="0"/>
          <w:sz w:val="24"/>
          <w:szCs w:val="24"/>
        </w:rPr>
        <w:t xml:space="preserve">. </w:t>
      </w:r>
      <w:r w:rsidR="00F815EF" w:rsidRPr="005B09A9">
        <w:rPr>
          <w:rStyle w:val="Accentuation"/>
          <w:rFonts w:ascii="Times New Roman" w:hAnsi="Times New Roman" w:cs="Times New Roman"/>
          <w:b w:val="0"/>
          <w:i w:val="0"/>
          <w:sz w:val="24"/>
          <w:szCs w:val="24"/>
        </w:rPr>
        <w:t>P</w:t>
      </w:r>
      <w:r w:rsidR="006512F5" w:rsidRPr="005B09A9">
        <w:rPr>
          <w:rStyle w:val="Accentuation"/>
          <w:rFonts w:ascii="Times New Roman" w:hAnsi="Times New Roman" w:cs="Times New Roman"/>
          <w:b w:val="0"/>
          <w:i w:val="0"/>
          <w:sz w:val="24"/>
          <w:szCs w:val="24"/>
        </w:rPr>
        <w:t>arameters</w:t>
      </w:r>
      <w:r w:rsidR="00254005" w:rsidRPr="005B09A9">
        <w:rPr>
          <w:rStyle w:val="Accentuation"/>
          <w:rFonts w:ascii="Times New Roman" w:hAnsi="Times New Roman" w:cs="Times New Roman"/>
          <w:b w:val="0"/>
          <w:i w:val="0"/>
          <w:sz w:val="24"/>
          <w:szCs w:val="24"/>
        </w:rPr>
        <w:t xml:space="preserve"> at baseline</w:t>
      </w:r>
      <w:r w:rsidR="00F815EF" w:rsidRPr="005B09A9">
        <w:rPr>
          <w:rStyle w:val="Accentuation"/>
          <w:rFonts w:ascii="Times New Roman" w:hAnsi="Times New Roman" w:cs="Times New Roman"/>
          <w:b w:val="0"/>
          <w:i w:val="0"/>
          <w:sz w:val="24"/>
          <w:szCs w:val="24"/>
        </w:rPr>
        <w:t xml:space="preserve"> that</w:t>
      </w:r>
      <w:r w:rsidR="00254005" w:rsidRPr="005B09A9">
        <w:rPr>
          <w:rStyle w:val="Accentuation"/>
          <w:rFonts w:ascii="Times New Roman" w:hAnsi="Times New Roman" w:cs="Times New Roman"/>
          <w:b w:val="0"/>
          <w:i w:val="0"/>
          <w:sz w:val="24"/>
          <w:szCs w:val="24"/>
        </w:rPr>
        <w:t xml:space="preserve"> were associated with greater pain</w:t>
      </w:r>
      <w:r w:rsidR="000F0F65" w:rsidRPr="005B09A9">
        <w:rPr>
          <w:rStyle w:val="Accentuation"/>
          <w:rFonts w:ascii="Times New Roman" w:hAnsi="Times New Roman" w:cs="Times New Roman"/>
          <w:b w:val="0"/>
          <w:i w:val="0"/>
          <w:sz w:val="24"/>
          <w:szCs w:val="24"/>
        </w:rPr>
        <w:t xml:space="preserve"> scores</w:t>
      </w:r>
      <w:r w:rsidR="00F815EF" w:rsidRPr="005B09A9">
        <w:rPr>
          <w:rStyle w:val="Accentuation"/>
          <w:rFonts w:ascii="Times New Roman" w:hAnsi="Times New Roman" w:cs="Times New Roman"/>
          <w:b w:val="0"/>
          <w:i w:val="0"/>
          <w:sz w:val="24"/>
          <w:szCs w:val="24"/>
        </w:rPr>
        <w:t xml:space="preserve"> were</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allodynia</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disability</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depression</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anxiety</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stress</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catastrophizing</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pain-related fear</w:t>
      </w:r>
      <w:r w:rsidR="00254005"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body perception disturbance</w:t>
      </w:r>
      <w:r w:rsidR="00F265E5" w:rsidRPr="005B09A9">
        <w:rPr>
          <w:rStyle w:val="Accentuation"/>
          <w:rFonts w:ascii="Times New Roman" w:hAnsi="Times New Roman" w:cs="Times New Roman"/>
          <w:b w:val="0"/>
          <w:i w:val="0"/>
          <w:sz w:val="24"/>
          <w:szCs w:val="24"/>
        </w:rPr>
        <w:t xml:space="preserve"> and</w:t>
      </w:r>
      <w:r w:rsidR="00D3754B" w:rsidRPr="005B09A9">
        <w:rPr>
          <w:rStyle w:val="Accentuation"/>
          <w:rFonts w:ascii="Times New Roman" w:hAnsi="Times New Roman" w:cs="Times New Roman"/>
          <w:b w:val="0"/>
          <w:i w:val="0"/>
          <w:sz w:val="24"/>
          <w:szCs w:val="24"/>
        </w:rPr>
        <w:t xml:space="preserve"> </w:t>
      </w:r>
      <w:r w:rsidR="00254005" w:rsidRPr="005B09A9">
        <w:rPr>
          <w:rStyle w:val="Accentuation"/>
          <w:rFonts w:ascii="Times New Roman" w:hAnsi="Times New Roman" w:cs="Times New Roman"/>
          <w:b w:val="0"/>
          <w:iCs w:val="0"/>
          <w:sz w:val="24"/>
          <w:szCs w:val="24"/>
        </w:rPr>
        <w:t>perceived ownership of the affected limb</w:t>
      </w:r>
      <w:r w:rsidR="00254005" w:rsidRPr="005B09A9">
        <w:rPr>
          <w:rStyle w:val="Accentuation"/>
          <w:rFonts w:ascii="Times New Roman" w:hAnsi="Times New Roman" w:cs="Times New Roman"/>
          <w:b w:val="0"/>
          <w:i w:val="0"/>
          <w:sz w:val="24"/>
          <w:szCs w:val="24"/>
        </w:rPr>
        <w:t xml:space="preserve">. </w:t>
      </w:r>
      <w:r w:rsidR="00653C88" w:rsidRPr="005B09A9">
        <w:rPr>
          <w:rStyle w:val="Accentuation"/>
          <w:rFonts w:ascii="Times New Roman" w:hAnsi="Times New Roman" w:cs="Times New Roman"/>
          <w:b w:val="0"/>
          <w:i w:val="0"/>
          <w:sz w:val="24"/>
          <w:szCs w:val="24"/>
        </w:rPr>
        <w:t>In multivariable analysis</w:t>
      </w:r>
      <w:r w:rsidR="00C12ED2" w:rsidRPr="005B09A9">
        <w:rPr>
          <w:rStyle w:val="Accentuation"/>
          <w:rFonts w:ascii="Times New Roman" w:hAnsi="Times New Roman" w:cs="Times New Roman"/>
          <w:b w:val="0"/>
          <w:i w:val="0"/>
          <w:sz w:val="24"/>
          <w:szCs w:val="24"/>
        </w:rPr>
        <w:t xml:space="preserve">, </w:t>
      </w:r>
      <w:r w:rsidR="00500CC8" w:rsidRPr="005B09A9">
        <w:rPr>
          <w:rStyle w:val="Accentuation"/>
          <w:rFonts w:ascii="Times New Roman" w:hAnsi="Times New Roman" w:cs="Times New Roman"/>
          <w:b w:val="0"/>
          <w:i w:val="0"/>
          <w:sz w:val="24"/>
          <w:szCs w:val="24"/>
        </w:rPr>
        <w:t>two</w:t>
      </w:r>
      <w:r w:rsidR="00CF718E" w:rsidRPr="005B09A9">
        <w:rPr>
          <w:rStyle w:val="Accentuation"/>
          <w:rFonts w:ascii="Times New Roman" w:hAnsi="Times New Roman" w:cs="Times New Roman"/>
          <w:b w:val="0"/>
          <w:i w:val="0"/>
          <w:sz w:val="24"/>
          <w:szCs w:val="24"/>
        </w:rPr>
        <w:t xml:space="preserve"> parameters</w:t>
      </w:r>
      <w:r w:rsidR="00254005" w:rsidRPr="005B09A9">
        <w:rPr>
          <w:rStyle w:val="Accentuation"/>
          <w:rFonts w:ascii="Times New Roman" w:hAnsi="Times New Roman" w:cs="Times New Roman"/>
          <w:b w:val="0"/>
          <w:i w:val="0"/>
          <w:sz w:val="24"/>
          <w:szCs w:val="24"/>
        </w:rPr>
        <w:t xml:space="preserve"> still </w:t>
      </w:r>
      <w:r w:rsidR="00821530" w:rsidRPr="005B09A9">
        <w:rPr>
          <w:rStyle w:val="Accentuation"/>
          <w:rFonts w:ascii="Times New Roman" w:hAnsi="Times New Roman" w:cs="Times New Roman"/>
          <w:b w:val="0"/>
          <w:i w:val="0"/>
          <w:sz w:val="24"/>
          <w:szCs w:val="24"/>
        </w:rPr>
        <w:t>impacted</w:t>
      </w:r>
      <w:r w:rsidR="00254005" w:rsidRPr="005B09A9">
        <w:rPr>
          <w:rStyle w:val="Accentuation"/>
          <w:rFonts w:ascii="Times New Roman" w:hAnsi="Times New Roman" w:cs="Times New Roman"/>
          <w:b w:val="0"/>
          <w:i w:val="0"/>
          <w:sz w:val="24"/>
          <w:szCs w:val="24"/>
        </w:rPr>
        <w:t xml:space="preserve"> the outcome</w:t>
      </w:r>
      <w:r w:rsidR="00821530" w:rsidRPr="005B09A9">
        <w:rPr>
          <w:rStyle w:val="Accentuation"/>
          <w:rFonts w:ascii="Times New Roman" w:hAnsi="Times New Roman" w:cs="Times New Roman"/>
          <w:b w:val="0"/>
          <w:i w:val="0"/>
          <w:sz w:val="24"/>
          <w:szCs w:val="24"/>
        </w:rPr>
        <w:t xml:space="preserve"> over the following 12 months</w:t>
      </w:r>
      <w:r w:rsidR="00254005" w:rsidRPr="005B09A9">
        <w:rPr>
          <w:rStyle w:val="Accentuation"/>
          <w:rFonts w:ascii="Times New Roman" w:hAnsi="Times New Roman" w:cs="Times New Roman"/>
          <w:b w:val="0"/>
          <w:i w:val="0"/>
          <w:sz w:val="24"/>
          <w:szCs w:val="24"/>
        </w:rPr>
        <w:t xml:space="preserve">: </w:t>
      </w:r>
      <w:r w:rsidR="00504531" w:rsidRPr="005B09A9">
        <w:rPr>
          <w:rStyle w:val="Accentuation"/>
          <w:rFonts w:ascii="Times New Roman" w:hAnsi="Times New Roman" w:cs="Times New Roman"/>
          <w:b w:val="0"/>
          <w:iCs w:val="0"/>
          <w:sz w:val="24"/>
          <w:szCs w:val="24"/>
        </w:rPr>
        <w:t xml:space="preserve">self-reported </w:t>
      </w:r>
      <w:r w:rsidR="00254005" w:rsidRPr="005B09A9">
        <w:rPr>
          <w:rStyle w:val="Accentuation"/>
          <w:rFonts w:ascii="Times New Roman" w:hAnsi="Times New Roman" w:cs="Times New Roman"/>
          <w:b w:val="0"/>
          <w:iCs w:val="0"/>
          <w:sz w:val="24"/>
          <w:szCs w:val="24"/>
        </w:rPr>
        <w:t>disability</w:t>
      </w:r>
      <w:r w:rsidR="00254005" w:rsidRPr="005B09A9">
        <w:rPr>
          <w:rStyle w:val="Accentuation"/>
          <w:rFonts w:ascii="Times New Roman" w:hAnsi="Times New Roman" w:cs="Times New Roman"/>
          <w:b w:val="0"/>
          <w:i w:val="0"/>
          <w:sz w:val="24"/>
          <w:szCs w:val="24"/>
        </w:rPr>
        <w:t xml:space="preserve"> and </w:t>
      </w:r>
      <w:r w:rsidR="00254005" w:rsidRPr="005B09A9">
        <w:rPr>
          <w:rStyle w:val="Accentuation"/>
          <w:rFonts w:ascii="Times New Roman" w:hAnsi="Times New Roman" w:cs="Times New Roman"/>
          <w:b w:val="0"/>
          <w:iCs w:val="0"/>
          <w:sz w:val="24"/>
          <w:szCs w:val="24"/>
        </w:rPr>
        <w:t>anxiety</w:t>
      </w:r>
      <w:r w:rsidR="00504531" w:rsidRPr="005B09A9">
        <w:rPr>
          <w:rStyle w:val="Accentuation"/>
          <w:rFonts w:ascii="Times New Roman" w:hAnsi="Times New Roman" w:cs="Times New Roman"/>
          <w:b w:val="0"/>
          <w:iCs w:val="0"/>
          <w:sz w:val="24"/>
          <w:szCs w:val="24"/>
        </w:rPr>
        <w:t xml:space="preserve"> score</w:t>
      </w:r>
      <w:r w:rsidR="00FD50D4" w:rsidRPr="005B09A9">
        <w:rPr>
          <w:rStyle w:val="Accentuation"/>
          <w:rFonts w:ascii="Times New Roman" w:hAnsi="Times New Roman" w:cs="Times New Roman"/>
          <w:b w:val="0"/>
          <w:iCs w:val="0"/>
          <w:sz w:val="24"/>
          <w:szCs w:val="24"/>
        </w:rPr>
        <w:t>s</w:t>
      </w:r>
      <w:r w:rsidR="000F0F65" w:rsidRPr="005B09A9">
        <w:rPr>
          <w:rStyle w:val="Accentuation"/>
          <w:rFonts w:ascii="Times New Roman" w:hAnsi="Times New Roman" w:cs="Times New Roman"/>
          <w:b w:val="0"/>
          <w:i w:val="0"/>
          <w:sz w:val="24"/>
          <w:szCs w:val="24"/>
        </w:rPr>
        <w:t xml:space="preserve">. At each follow-up visit, </w:t>
      </w:r>
      <w:r w:rsidR="00846CC1" w:rsidRPr="005B09A9">
        <w:rPr>
          <w:rStyle w:val="Accentuation"/>
          <w:rFonts w:ascii="Times New Roman" w:hAnsi="Times New Roman" w:cs="Times New Roman"/>
          <w:b w:val="0"/>
          <w:i w:val="0"/>
          <w:sz w:val="24"/>
          <w:szCs w:val="24"/>
        </w:rPr>
        <w:t>pain scores were reduced by a mean of 1.22 points</w:t>
      </w:r>
      <w:r w:rsidR="007E6DE7" w:rsidRPr="005B09A9">
        <w:rPr>
          <w:rStyle w:val="Accentuation"/>
          <w:rFonts w:ascii="Times New Roman" w:hAnsi="Times New Roman" w:cs="Times New Roman"/>
          <w:b w:val="0"/>
          <w:i w:val="0"/>
          <w:sz w:val="24"/>
          <w:szCs w:val="24"/>
        </w:rPr>
        <w:t>.</w:t>
      </w:r>
    </w:p>
    <w:p w14:paraId="102793BC" w14:textId="5BC2D486" w:rsidR="004C765C" w:rsidRPr="005B09A9" w:rsidRDefault="006F05A7" w:rsidP="003B7B2C">
      <w:pPr>
        <w:pStyle w:val="Paragraphedeliste"/>
        <w:numPr>
          <w:ilvl w:val="1"/>
          <w:numId w:val="18"/>
        </w:numPr>
        <w:spacing w:line="480" w:lineRule="auto"/>
        <w:rPr>
          <w:rFonts w:ascii="Times New Roman" w:hAnsi="Times New Roman" w:cs="Times New Roman"/>
          <w:i/>
          <w:iCs/>
          <w:sz w:val="24"/>
          <w:szCs w:val="24"/>
          <w:u w:val="single"/>
          <w:lang w:val="en-GB"/>
        </w:rPr>
      </w:pPr>
      <w:r w:rsidRPr="005B09A9">
        <w:rPr>
          <w:rStyle w:val="Accentuationlgre"/>
          <w:rFonts w:ascii="Times New Roman" w:hAnsi="Times New Roman" w:cs="Times New Roman"/>
          <w:b w:val="0"/>
          <w:sz w:val="24"/>
          <w:szCs w:val="24"/>
          <w:lang w:val="en-GB"/>
        </w:rPr>
        <w:t xml:space="preserve">Certainty of </w:t>
      </w:r>
      <w:r w:rsidR="009822EC" w:rsidRPr="005B09A9">
        <w:rPr>
          <w:rStyle w:val="Accentuationlgre"/>
          <w:rFonts w:ascii="Times New Roman" w:hAnsi="Times New Roman" w:cs="Times New Roman"/>
          <w:b w:val="0"/>
          <w:sz w:val="24"/>
          <w:szCs w:val="24"/>
          <w:lang w:val="en-GB"/>
        </w:rPr>
        <w:t>E</w:t>
      </w:r>
      <w:r w:rsidRPr="005B09A9">
        <w:rPr>
          <w:rStyle w:val="Accentuationlgre"/>
          <w:rFonts w:ascii="Times New Roman" w:hAnsi="Times New Roman" w:cs="Times New Roman"/>
          <w:b w:val="0"/>
          <w:sz w:val="24"/>
          <w:szCs w:val="24"/>
          <w:lang w:val="en-GB"/>
        </w:rPr>
        <w:t>vidence</w:t>
      </w:r>
      <w:r w:rsidR="004C765C" w:rsidRPr="005B09A9">
        <w:rPr>
          <w:rStyle w:val="Accentuationlgre"/>
          <w:rFonts w:ascii="Times New Roman" w:hAnsi="Times New Roman" w:cs="Times New Roman"/>
          <w:b w:val="0"/>
          <w:sz w:val="24"/>
          <w:szCs w:val="24"/>
          <w:lang w:val="en-GB"/>
        </w:rPr>
        <w:t xml:space="preserve"> </w:t>
      </w:r>
      <w:r w:rsidR="009822EC" w:rsidRPr="005B09A9">
        <w:rPr>
          <w:rStyle w:val="Accentuationlgre"/>
          <w:rFonts w:ascii="Times New Roman" w:hAnsi="Times New Roman" w:cs="Times New Roman"/>
          <w:b w:val="0"/>
          <w:sz w:val="24"/>
          <w:szCs w:val="24"/>
          <w:lang w:val="en-GB"/>
        </w:rPr>
        <w:t>(Q</w:t>
      </w:r>
      <w:r w:rsidR="004C765C" w:rsidRPr="005B09A9">
        <w:rPr>
          <w:rStyle w:val="Accentuationlgre"/>
          <w:rFonts w:ascii="Times New Roman" w:hAnsi="Times New Roman" w:cs="Times New Roman"/>
          <w:b w:val="0"/>
          <w:sz w:val="24"/>
          <w:szCs w:val="24"/>
          <w:lang w:val="en-GB"/>
        </w:rPr>
        <w:t xml:space="preserve">ualitative </w:t>
      </w:r>
      <w:r w:rsidR="009822EC" w:rsidRPr="005B09A9">
        <w:rPr>
          <w:rStyle w:val="Accentuationlgre"/>
          <w:rFonts w:ascii="Times New Roman" w:hAnsi="Times New Roman" w:cs="Times New Roman"/>
          <w:b w:val="0"/>
          <w:sz w:val="24"/>
          <w:szCs w:val="24"/>
          <w:lang w:val="en-GB"/>
        </w:rPr>
        <w:t>M</w:t>
      </w:r>
      <w:r w:rsidR="004C765C" w:rsidRPr="005B09A9">
        <w:rPr>
          <w:rStyle w:val="Accentuationlgre"/>
          <w:rFonts w:ascii="Times New Roman" w:hAnsi="Times New Roman" w:cs="Times New Roman"/>
          <w:b w:val="0"/>
          <w:sz w:val="24"/>
          <w:szCs w:val="24"/>
          <w:lang w:val="en-GB"/>
        </w:rPr>
        <w:t>eta-synthesis</w:t>
      </w:r>
      <w:r w:rsidR="009822EC" w:rsidRPr="005B09A9">
        <w:rPr>
          <w:rStyle w:val="Accentuationlgre"/>
          <w:rFonts w:ascii="Times New Roman" w:hAnsi="Times New Roman" w:cs="Times New Roman"/>
          <w:b w:val="0"/>
          <w:sz w:val="24"/>
          <w:szCs w:val="24"/>
          <w:lang w:val="en-GB"/>
        </w:rPr>
        <w:t>)</w:t>
      </w:r>
    </w:p>
    <w:p w14:paraId="71076CD5" w14:textId="3FFAD7E3" w:rsidR="00CD4CFE" w:rsidRPr="005B09A9" w:rsidRDefault="00CD4CFE" w:rsidP="00CD4CFE">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The certainty of evidence for each factor is summarized in Table 4. We chose </w:t>
      </w:r>
      <w:r w:rsidR="00412558" w:rsidRPr="005B09A9">
        <w:rPr>
          <w:rFonts w:ascii="Times New Roman" w:hAnsi="Times New Roman" w:cs="Times New Roman"/>
          <w:iCs/>
          <w:sz w:val="24"/>
          <w:szCs w:val="24"/>
        </w:rPr>
        <w:t>to consider symptoms/signs as “M</w:t>
      </w:r>
      <w:r w:rsidRPr="005B09A9">
        <w:rPr>
          <w:rFonts w:ascii="Times New Roman" w:hAnsi="Times New Roman" w:cs="Times New Roman"/>
          <w:iCs/>
          <w:sz w:val="24"/>
          <w:szCs w:val="24"/>
        </w:rPr>
        <w:t>odifiable factors”.</w:t>
      </w:r>
    </w:p>
    <w:p w14:paraId="0931F51E" w14:textId="0B4945E0" w:rsidR="002A5709" w:rsidRPr="005B09A9" w:rsidRDefault="002A5709" w:rsidP="00CD4CFE">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Because it was a cross-sectional study, we graded the variables that were only found in Bean et al., (2016b) as “Limited Evidence” (instead of “Moderate Evidence”). Similarly, the crude variables that were only described in the papers of Bean et al. (2015, 2016b) were considered as “Limited Evidence” because these results are related to a single cohort. </w:t>
      </w:r>
    </w:p>
    <w:p w14:paraId="7222D9AB" w14:textId="0B27A189" w:rsidR="00CD4CFE" w:rsidRPr="005B09A9" w:rsidRDefault="00CD4CFE" w:rsidP="00846CC1">
      <w:pPr>
        <w:spacing w:line="480" w:lineRule="auto"/>
        <w:jc w:val="center"/>
        <w:rPr>
          <w:rFonts w:ascii="Times New Roman" w:hAnsi="Times New Roman" w:cs="Times New Roman"/>
          <w:iCs/>
          <w:sz w:val="24"/>
          <w:szCs w:val="24"/>
        </w:rPr>
      </w:pPr>
      <w:r w:rsidRPr="005B09A9">
        <w:rPr>
          <w:rFonts w:ascii="Times New Roman" w:hAnsi="Times New Roman" w:cs="Times New Roman"/>
          <w:iCs/>
          <w:sz w:val="24"/>
          <w:szCs w:val="24"/>
        </w:rPr>
        <w:lastRenderedPageBreak/>
        <w:t>[Insert Table 4]</w:t>
      </w:r>
    </w:p>
    <w:p w14:paraId="3E05612B" w14:textId="7ECC441A" w:rsidR="00CD4CFE" w:rsidRPr="005B09A9" w:rsidRDefault="00CD4CFE" w:rsidP="00CD4CFE">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We found moderate evidence for several early prognostic factors, associated with poorer outcomes: </w:t>
      </w:r>
      <w:r w:rsidRPr="005B09A9">
        <w:rPr>
          <w:rFonts w:ascii="Times New Roman" w:hAnsi="Times New Roman" w:cs="Times New Roman"/>
          <w:i/>
          <w:iCs/>
          <w:sz w:val="24"/>
          <w:szCs w:val="24"/>
        </w:rPr>
        <w:t>being a female, higher self-rated disability</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pain intensity, anxiety</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pain-related fear</w:t>
      </w:r>
      <w:r w:rsidRPr="005B09A9">
        <w:rPr>
          <w:rFonts w:ascii="Times New Roman" w:hAnsi="Times New Roman" w:cs="Times New Roman"/>
          <w:iCs/>
          <w:sz w:val="24"/>
          <w:szCs w:val="24"/>
        </w:rPr>
        <w:t xml:space="preserve">, and </w:t>
      </w:r>
      <w:r w:rsidRPr="005B09A9">
        <w:rPr>
          <w:rFonts w:ascii="Times New Roman" w:hAnsi="Times New Roman" w:cs="Times New Roman"/>
          <w:i/>
          <w:iCs/>
          <w:sz w:val="24"/>
          <w:szCs w:val="24"/>
        </w:rPr>
        <w:t xml:space="preserve">high-energy trauma. </w:t>
      </w:r>
      <w:r w:rsidRPr="005B09A9">
        <w:rPr>
          <w:rFonts w:ascii="Times New Roman" w:hAnsi="Times New Roman" w:cs="Times New Roman"/>
          <w:iCs/>
          <w:sz w:val="24"/>
          <w:szCs w:val="24"/>
        </w:rPr>
        <w:t>It should be noted that the last factor</w:t>
      </w:r>
      <w:r w:rsidR="002A5709" w:rsidRPr="005B09A9">
        <w:rPr>
          <w:rFonts w:ascii="Times New Roman" w:hAnsi="Times New Roman" w:cs="Times New Roman"/>
          <w:iCs/>
          <w:sz w:val="24"/>
          <w:szCs w:val="24"/>
        </w:rPr>
        <w:t xml:space="preserve"> was considered significant in two</w:t>
      </w:r>
      <w:r w:rsidRPr="005B09A9">
        <w:rPr>
          <w:rFonts w:ascii="Times New Roman" w:hAnsi="Times New Roman" w:cs="Times New Roman"/>
          <w:iCs/>
          <w:sz w:val="24"/>
          <w:szCs w:val="24"/>
        </w:rPr>
        <w:t xml:space="preserve"> high R</w:t>
      </w:r>
      <w:r w:rsidR="002A5709" w:rsidRPr="005B09A9">
        <w:rPr>
          <w:rFonts w:ascii="Times New Roman" w:hAnsi="Times New Roman" w:cs="Times New Roman"/>
          <w:iCs/>
          <w:sz w:val="24"/>
          <w:szCs w:val="24"/>
        </w:rPr>
        <w:t>oB longitudinal studies and in one</w:t>
      </w:r>
      <w:r w:rsidRPr="005B09A9">
        <w:rPr>
          <w:rFonts w:ascii="Times New Roman" w:hAnsi="Times New Roman" w:cs="Times New Roman"/>
          <w:iCs/>
          <w:sz w:val="24"/>
          <w:szCs w:val="24"/>
        </w:rPr>
        <w:t xml:space="preserve"> low RoB cross-sectional study but was not significant in the low RoB longitudinal study. </w:t>
      </w:r>
    </w:p>
    <w:p w14:paraId="6F6D85C3" w14:textId="1E83CFA1" w:rsidR="00CD4CFE" w:rsidRPr="005B09A9" w:rsidRDefault="00CD4CFE" w:rsidP="00CD4CFE">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We found limited evidence of effect for </w:t>
      </w:r>
      <w:r w:rsidRPr="005B09A9">
        <w:rPr>
          <w:rFonts w:ascii="Times New Roman" w:hAnsi="Times New Roman" w:cs="Times New Roman"/>
          <w:i/>
          <w:iCs/>
          <w:sz w:val="24"/>
          <w:szCs w:val="24"/>
        </w:rPr>
        <w:t xml:space="preserve">distal joint localization, lower limb involvement </w:t>
      </w:r>
      <w:r w:rsidR="002A5709" w:rsidRPr="005B09A9">
        <w:rPr>
          <w:rFonts w:ascii="Times New Roman" w:hAnsi="Times New Roman" w:cs="Times New Roman"/>
          <w:iCs/>
          <w:sz w:val="24"/>
          <w:szCs w:val="24"/>
        </w:rPr>
        <w:t>(reported in one</w:t>
      </w:r>
      <w:r w:rsidRPr="005B09A9">
        <w:rPr>
          <w:rFonts w:ascii="Times New Roman" w:hAnsi="Times New Roman" w:cs="Times New Roman"/>
          <w:iCs/>
          <w:sz w:val="24"/>
          <w:szCs w:val="24"/>
        </w:rPr>
        <w:t xml:space="preserve"> high RoB cross-sectional study, not significant in others)</w:t>
      </w:r>
      <w:r w:rsidRPr="005B09A9">
        <w:rPr>
          <w:rFonts w:ascii="Times New Roman" w:hAnsi="Times New Roman" w:cs="Times New Roman"/>
          <w:i/>
          <w:iCs/>
          <w:sz w:val="24"/>
          <w:szCs w:val="24"/>
        </w:rPr>
        <w:t xml:space="preserve">, work injury </w:t>
      </w:r>
      <w:r w:rsidRPr="005B09A9">
        <w:rPr>
          <w:rFonts w:ascii="Times New Roman" w:hAnsi="Times New Roman" w:cs="Times New Roman"/>
          <w:iCs/>
          <w:sz w:val="24"/>
          <w:szCs w:val="24"/>
        </w:rPr>
        <w:t>(significant in one high RoB study, not significant in low RoB studies)</w:t>
      </w:r>
      <w:r w:rsidRPr="005B09A9">
        <w:rPr>
          <w:rFonts w:ascii="Times New Roman" w:hAnsi="Times New Roman" w:cs="Times New Roman"/>
          <w:i/>
          <w:iCs/>
          <w:sz w:val="24"/>
          <w:szCs w:val="24"/>
        </w:rPr>
        <w:t>, more physically demanding works, lower PPT, higher</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PSQ score</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sweating symptom</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restricted ankle/wrist extension, allodynia symptom</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motor sign</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higher depression score</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higher body perception disturbance</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lower perceived ownership of the limb</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higher catastrophizing score</w:t>
      </w:r>
      <w:r w:rsidRPr="005B09A9">
        <w:rPr>
          <w:rFonts w:ascii="Times New Roman" w:hAnsi="Times New Roman" w:cs="Times New Roman"/>
          <w:iCs/>
          <w:sz w:val="24"/>
          <w:szCs w:val="24"/>
        </w:rPr>
        <w:t xml:space="preserve">. </w:t>
      </w:r>
    </w:p>
    <w:p w14:paraId="57B16D32" w14:textId="54C3DC05" w:rsidR="00CD4CFE" w:rsidRPr="005B09A9" w:rsidRDefault="00CD4CFE" w:rsidP="00CD4CFE">
      <w:pPr>
        <w:spacing w:line="480" w:lineRule="auto"/>
        <w:jc w:val="left"/>
        <w:rPr>
          <w:rFonts w:ascii="Times New Roman" w:hAnsi="Times New Roman" w:cs="Times New Roman"/>
          <w:iCs/>
          <w:sz w:val="24"/>
          <w:szCs w:val="24"/>
        </w:rPr>
      </w:pPr>
      <w:r w:rsidRPr="005B09A9">
        <w:rPr>
          <w:rFonts w:ascii="Times New Roman" w:hAnsi="Times New Roman" w:cs="Times New Roman"/>
          <w:iCs/>
          <w:sz w:val="24"/>
          <w:szCs w:val="24"/>
        </w:rPr>
        <w:t xml:space="preserve">No evidence was found </w:t>
      </w:r>
      <w:r w:rsidR="002A5709" w:rsidRPr="005B09A9">
        <w:rPr>
          <w:rFonts w:ascii="Times New Roman" w:hAnsi="Times New Roman" w:cs="Times New Roman"/>
          <w:iCs/>
          <w:sz w:val="24"/>
          <w:szCs w:val="24"/>
        </w:rPr>
        <w:t>supporting an influence of</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age</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BMI, smoking habits</w:t>
      </w:r>
      <w:r w:rsidRPr="005B09A9">
        <w:rPr>
          <w:rFonts w:ascii="Times New Roman" w:hAnsi="Times New Roman" w:cs="Times New Roman"/>
          <w:iCs/>
          <w:sz w:val="24"/>
          <w:szCs w:val="24"/>
        </w:rPr>
        <w:t xml:space="preserve">, </w:t>
      </w:r>
      <w:r w:rsidRPr="005B09A9">
        <w:rPr>
          <w:rFonts w:ascii="Times New Roman" w:hAnsi="Times New Roman" w:cs="Times New Roman"/>
          <w:i/>
          <w:sz w:val="24"/>
          <w:szCs w:val="24"/>
        </w:rPr>
        <w:t>treatments,</w:t>
      </w:r>
      <w:r w:rsidRPr="005B09A9">
        <w:rPr>
          <w:rFonts w:ascii="Times New Roman" w:hAnsi="Times New Roman" w:cs="Times New Roman"/>
          <w:iCs/>
          <w:sz w:val="24"/>
          <w:szCs w:val="24"/>
        </w:rPr>
        <w:t xml:space="preserve"> or </w:t>
      </w:r>
      <w:r w:rsidRPr="005B09A9">
        <w:rPr>
          <w:rFonts w:ascii="Times New Roman" w:hAnsi="Times New Roman" w:cs="Times New Roman"/>
          <w:i/>
          <w:iCs/>
          <w:sz w:val="24"/>
          <w:szCs w:val="24"/>
        </w:rPr>
        <w:t>limb</w:t>
      </w:r>
      <w:r w:rsidRPr="005B09A9">
        <w:rPr>
          <w:rFonts w:ascii="Times New Roman" w:hAnsi="Times New Roman" w:cs="Times New Roman"/>
          <w:iCs/>
          <w:sz w:val="24"/>
          <w:szCs w:val="24"/>
        </w:rPr>
        <w:t xml:space="preserve"> </w:t>
      </w:r>
      <w:r w:rsidRPr="005B09A9">
        <w:rPr>
          <w:rFonts w:ascii="Times New Roman" w:hAnsi="Times New Roman" w:cs="Times New Roman"/>
          <w:i/>
          <w:iCs/>
          <w:sz w:val="24"/>
          <w:szCs w:val="24"/>
        </w:rPr>
        <w:t>dominance</w:t>
      </w:r>
      <w:r w:rsidR="002A5709" w:rsidRPr="005B09A9">
        <w:rPr>
          <w:rFonts w:ascii="Times New Roman" w:hAnsi="Times New Roman" w:cs="Times New Roman"/>
          <w:i/>
          <w:iCs/>
          <w:sz w:val="24"/>
          <w:szCs w:val="24"/>
        </w:rPr>
        <w:t xml:space="preserve"> </w:t>
      </w:r>
      <w:r w:rsidR="002A5709" w:rsidRPr="005B09A9">
        <w:rPr>
          <w:rFonts w:ascii="Times New Roman" w:hAnsi="Times New Roman" w:cs="Times New Roman"/>
          <w:iCs/>
          <w:sz w:val="24"/>
          <w:szCs w:val="24"/>
        </w:rPr>
        <w:t>on prognosis</w:t>
      </w:r>
      <w:r w:rsidRPr="005B09A9">
        <w:rPr>
          <w:rFonts w:ascii="Times New Roman" w:hAnsi="Times New Roman" w:cs="Times New Roman"/>
          <w:iCs/>
          <w:sz w:val="24"/>
          <w:szCs w:val="24"/>
        </w:rPr>
        <w:t xml:space="preserve">. </w:t>
      </w:r>
    </w:p>
    <w:p w14:paraId="447C3130" w14:textId="169CEB5E" w:rsidR="0070398E" w:rsidRPr="005B09A9" w:rsidRDefault="00CD4CFE" w:rsidP="002A5709">
      <w:pPr>
        <w:spacing w:line="480" w:lineRule="auto"/>
        <w:jc w:val="left"/>
        <w:rPr>
          <w:rFonts w:ascii="Times New Roman" w:hAnsi="Times New Roman" w:cs="Times New Roman"/>
          <w:iCs/>
          <w:sz w:val="24"/>
          <w:szCs w:val="24"/>
          <w:lang w:val="en-US"/>
        </w:rPr>
      </w:pPr>
      <w:r w:rsidRPr="005B09A9">
        <w:rPr>
          <w:rFonts w:ascii="Times New Roman" w:hAnsi="Times New Roman" w:cs="Times New Roman"/>
          <w:iCs/>
          <w:sz w:val="24"/>
          <w:szCs w:val="24"/>
          <w:lang w:val="en-US"/>
        </w:rPr>
        <w:t xml:space="preserve">It should be noted that the </w:t>
      </w:r>
      <w:r w:rsidR="002A5709" w:rsidRPr="005B09A9">
        <w:rPr>
          <w:rFonts w:ascii="Times New Roman" w:hAnsi="Times New Roman" w:cs="Times New Roman"/>
          <w:iCs/>
          <w:sz w:val="24"/>
          <w:szCs w:val="24"/>
          <w:lang w:val="en-US"/>
        </w:rPr>
        <w:t xml:space="preserve">level of evidence within the </w:t>
      </w:r>
      <w:r w:rsidRPr="005B09A9">
        <w:rPr>
          <w:rFonts w:ascii="Times New Roman" w:hAnsi="Times New Roman" w:cs="Times New Roman"/>
          <w:iCs/>
          <w:sz w:val="24"/>
          <w:szCs w:val="24"/>
          <w:lang w:val="en-US"/>
        </w:rPr>
        <w:t xml:space="preserve">“Limited Evidence” </w:t>
      </w:r>
      <w:r w:rsidR="002A5709" w:rsidRPr="005B09A9">
        <w:rPr>
          <w:rFonts w:ascii="Times New Roman" w:hAnsi="Times New Roman" w:cs="Times New Roman"/>
          <w:iCs/>
          <w:sz w:val="24"/>
          <w:szCs w:val="24"/>
          <w:lang w:val="en-US"/>
        </w:rPr>
        <w:t xml:space="preserve">category </w:t>
      </w:r>
      <w:r w:rsidRPr="005B09A9">
        <w:rPr>
          <w:rFonts w:ascii="Times New Roman" w:hAnsi="Times New Roman" w:cs="Times New Roman"/>
          <w:iCs/>
          <w:sz w:val="24"/>
          <w:szCs w:val="24"/>
          <w:lang w:val="en-US"/>
        </w:rPr>
        <w:t xml:space="preserve">is </w:t>
      </w:r>
      <w:r w:rsidR="002A5709" w:rsidRPr="005B09A9">
        <w:rPr>
          <w:rFonts w:ascii="Times New Roman" w:hAnsi="Times New Roman" w:cs="Times New Roman"/>
          <w:iCs/>
          <w:sz w:val="24"/>
          <w:szCs w:val="24"/>
          <w:lang w:val="en-US"/>
        </w:rPr>
        <w:t xml:space="preserve">variable. </w:t>
      </w:r>
      <w:r w:rsidRPr="005B09A9">
        <w:rPr>
          <w:rFonts w:ascii="Times New Roman" w:hAnsi="Times New Roman" w:cs="Times New Roman"/>
          <w:iCs/>
          <w:sz w:val="24"/>
          <w:szCs w:val="24"/>
          <w:lang w:val="en-US"/>
        </w:rPr>
        <w:t xml:space="preserve">For </w:t>
      </w:r>
      <w:r w:rsidR="00317E67" w:rsidRPr="005B09A9">
        <w:rPr>
          <w:rFonts w:ascii="Times New Roman" w:hAnsi="Times New Roman" w:cs="Times New Roman"/>
          <w:iCs/>
          <w:sz w:val="24"/>
          <w:szCs w:val="24"/>
          <w:lang w:val="en-US"/>
        </w:rPr>
        <w:t>instance</w:t>
      </w:r>
      <w:r w:rsidRPr="005B09A9">
        <w:rPr>
          <w:rFonts w:ascii="Times New Roman" w:hAnsi="Times New Roman" w:cs="Times New Roman"/>
          <w:iCs/>
          <w:sz w:val="24"/>
          <w:szCs w:val="24"/>
          <w:lang w:val="en-US"/>
        </w:rPr>
        <w:t xml:space="preserve">, most of the factors were </w:t>
      </w:r>
      <w:r w:rsidR="00330021" w:rsidRPr="005B09A9">
        <w:rPr>
          <w:rFonts w:ascii="Times New Roman" w:hAnsi="Times New Roman" w:cs="Times New Roman"/>
          <w:iCs/>
          <w:sz w:val="24"/>
          <w:szCs w:val="24"/>
          <w:lang w:val="en-US"/>
        </w:rPr>
        <w:t>derived from univariable</w:t>
      </w:r>
      <w:r w:rsidRPr="005B09A9">
        <w:rPr>
          <w:rFonts w:ascii="Times New Roman" w:hAnsi="Times New Roman" w:cs="Times New Roman"/>
          <w:iCs/>
          <w:sz w:val="24"/>
          <w:szCs w:val="24"/>
          <w:lang w:val="en-US"/>
        </w:rPr>
        <w:t xml:space="preserve"> analyses or were identified in poor quality studies.</w:t>
      </w:r>
      <w:r w:rsidR="002A5709" w:rsidRPr="005B09A9">
        <w:rPr>
          <w:rFonts w:ascii="Times New Roman" w:hAnsi="Times New Roman" w:cs="Times New Roman"/>
          <w:iCs/>
          <w:sz w:val="24"/>
          <w:szCs w:val="24"/>
          <w:lang w:val="en-US"/>
        </w:rPr>
        <w:t xml:space="preserve"> The prognostic value of these factors should be interpreted with caution.</w:t>
      </w:r>
    </w:p>
    <w:p w14:paraId="66DD99AD" w14:textId="77777777" w:rsidR="002A5709" w:rsidRPr="005B09A9" w:rsidRDefault="002A5709">
      <w:pPr>
        <w:spacing w:line="259" w:lineRule="auto"/>
        <w:jc w:val="left"/>
        <w:rPr>
          <w:rFonts w:ascii="Times New Roman" w:eastAsiaTheme="minorEastAsia" w:hAnsi="Times New Roman" w:cs="Times New Roman"/>
          <w:spacing w:val="15"/>
          <w:sz w:val="24"/>
          <w:szCs w:val="24"/>
          <w:u w:val="single"/>
        </w:rPr>
      </w:pPr>
      <w:r w:rsidRPr="005B09A9">
        <w:rPr>
          <w:rFonts w:ascii="Times New Roman" w:hAnsi="Times New Roman" w:cs="Times New Roman"/>
          <w:b/>
          <w:szCs w:val="24"/>
        </w:rPr>
        <w:br w:type="page"/>
      </w:r>
    </w:p>
    <w:p w14:paraId="63A34B79" w14:textId="46B69E24" w:rsidR="00836351" w:rsidRPr="005B09A9" w:rsidRDefault="004B7385" w:rsidP="006F05A7">
      <w:pPr>
        <w:pStyle w:val="Sous-titre"/>
        <w:numPr>
          <w:ilvl w:val="0"/>
          <w:numId w:val="18"/>
        </w:numPr>
        <w:spacing w:line="480" w:lineRule="auto"/>
        <w:jc w:val="left"/>
        <w:rPr>
          <w:rFonts w:ascii="Times New Roman" w:hAnsi="Times New Roman" w:cs="Times New Roman"/>
          <w:b w:val="0"/>
          <w:szCs w:val="24"/>
        </w:rPr>
      </w:pPr>
      <w:r w:rsidRPr="005B09A9">
        <w:rPr>
          <w:rFonts w:ascii="Times New Roman" w:hAnsi="Times New Roman" w:cs="Times New Roman"/>
          <w:b w:val="0"/>
          <w:szCs w:val="24"/>
        </w:rPr>
        <w:lastRenderedPageBreak/>
        <w:t>Discussion</w:t>
      </w:r>
    </w:p>
    <w:p w14:paraId="47C49FD4" w14:textId="347DBB80" w:rsidR="00C53694" w:rsidRPr="005B09A9" w:rsidRDefault="009822EC" w:rsidP="004F2F42">
      <w:pPr>
        <w:pStyle w:val="Paragraphedeliste"/>
        <w:numPr>
          <w:ilvl w:val="1"/>
          <w:numId w:val="18"/>
        </w:numPr>
        <w:spacing w:line="480" w:lineRule="auto"/>
        <w:rPr>
          <w:rStyle w:val="Accentuationlgre"/>
          <w:rFonts w:ascii="Times New Roman" w:hAnsi="Times New Roman"/>
          <w:b w:val="0"/>
          <w:sz w:val="24"/>
          <w:lang w:val="en-GB"/>
        </w:rPr>
      </w:pPr>
      <w:r w:rsidRPr="005B09A9">
        <w:rPr>
          <w:rStyle w:val="Accentuationlgre"/>
          <w:rFonts w:ascii="Times New Roman" w:hAnsi="Times New Roman"/>
          <w:b w:val="0"/>
          <w:sz w:val="24"/>
          <w:lang w:val="en-GB"/>
        </w:rPr>
        <w:t>Summary of the R</w:t>
      </w:r>
      <w:r w:rsidR="00C53694" w:rsidRPr="005B09A9">
        <w:rPr>
          <w:rStyle w:val="Accentuationlgre"/>
          <w:rFonts w:ascii="Times New Roman" w:hAnsi="Times New Roman"/>
          <w:b w:val="0"/>
          <w:sz w:val="24"/>
          <w:lang w:val="en-GB"/>
        </w:rPr>
        <w:t>esults</w:t>
      </w:r>
    </w:p>
    <w:p w14:paraId="37AE3AAE" w14:textId="07EFBA1C" w:rsidR="00E37778" w:rsidRPr="005B09A9" w:rsidRDefault="007928A2" w:rsidP="003B7B2C">
      <w:pPr>
        <w:spacing w:line="480" w:lineRule="auto"/>
        <w:jc w:val="left"/>
        <w:rPr>
          <w:rFonts w:ascii="Times New Roman" w:hAnsi="Times New Roman" w:cs="Times New Roman"/>
          <w:sz w:val="24"/>
          <w:szCs w:val="24"/>
        </w:rPr>
      </w:pPr>
      <w:r w:rsidRPr="005B09A9">
        <w:rPr>
          <w:rFonts w:ascii="Times New Roman" w:hAnsi="Times New Roman" w:cs="Times New Roman"/>
          <w:iCs/>
          <w:sz w:val="24"/>
          <w:szCs w:val="24"/>
        </w:rPr>
        <w:t xml:space="preserve">This systematic review aimed to identify and summarize the current state of knowledge of early prognostic factors that determine the CRPS trajectory. </w:t>
      </w:r>
      <w:r w:rsidRPr="005B09A9">
        <w:rPr>
          <w:rFonts w:ascii="Times New Roman" w:hAnsi="Times New Roman" w:cs="Times New Roman"/>
          <w:sz w:val="24"/>
          <w:szCs w:val="24"/>
        </w:rPr>
        <w:t>We</w:t>
      </w:r>
      <w:r w:rsidR="00E37778" w:rsidRPr="005B09A9">
        <w:rPr>
          <w:rFonts w:ascii="Times New Roman" w:hAnsi="Times New Roman" w:cs="Times New Roman"/>
          <w:sz w:val="24"/>
          <w:szCs w:val="24"/>
        </w:rPr>
        <w:t xml:space="preserve"> identified </w:t>
      </w:r>
      <w:r w:rsidR="0073403C" w:rsidRPr="005B09A9">
        <w:rPr>
          <w:rFonts w:ascii="Times New Roman" w:hAnsi="Times New Roman" w:cs="Times New Roman"/>
          <w:sz w:val="24"/>
          <w:szCs w:val="24"/>
        </w:rPr>
        <w:t>six</w:t>
      </w:r>
      <w:r w:rsidR="00E37778" w:rsidRPr="005B09A9">
        <w:rPr>
          <w:rFonts w:ascii="Times New Roman" w:hAnsi="Times New Roman" w:cs="Times New Roman"/>
          <w:sz w:val="24"/>
          <w:szCs w:val="24"/>
        </w:rPr>
        <w:t xml:space="preserve"> longitudinal </w:t>
      </w:r>
      <w:r w:rsidR="00D922A7" w:rsidRPr="005B09A9">
        <w:rPr>
          <w:rFonts w:ascii="Times New Roman" w:hAnsi="Times New Roman" w:cs="Times New Roman"/>
          <w:sz w:val="24"/>
          <w:szCs w:val="24"/>
        </w:rPr>
        <w:t>or</w:t>
      </w:r>
      <w:r w:rsidR="00E37778" w:rsidRPr="005B09A9">
        <w:rPr>
          <w:rFonts w:ascii="Times New Roman" w:hAnsi="Times New Roman" w:cs="Times New Roman"/>
          <w:sz w:val="24"/>
          <w:szCs w:val="24"/>
        </w:rPr>
        <w:t xml:space="preserve"> cross-sectional studies </w:t>
      </w:r>
      <w:r w:rsidR="00801C97" w:rsidRPr="005B09A9">
        <w:rPr>
          <w:rFonts w:ascii="Times New Roman" w:hAnsi="Times New Roman" w:cs="Times New Roman"/>
          <w:sz w:val="24"/>
          <w:szCs w:val="24"/>
        </w:rPr>
        <w:t>investigating</w:t>
      </w:r>
      <w:r w:rsidR="00C11700" w:rsidRPr="005B09A9">
        <w:rPr>
          <w:rFonts w:ascii="Times New Roman" w:hAnsi="Times New Roman" w:cs="Times New Roman"/>
          <w:sz w:val="24"/>
          <w:szCs w:val="24"/>
        </w:rPr>
        <w:t xml:space="preserve"> prognostic factors </w:t>
      </w:r>
      <w:r w:rsidR="00801C97" w:rsidRPr="005B09A9">
        <w:rPr>
          <w:rFonts w:ascii="Times New Roman" w:hAnsi="Times New Roman" w:cs="Times New Roman"/>
          <w:sz w:val="24"/>
          <w:szCs w:val="24"/>
        </w:rPr>
        <w:t xml:space="preserve">in </w:t>
      </w:r>
      <w:r w:rsidR="00424223" w:rsidRPr="005B09A9">
        <w:rPr>
          <w:rFonts w:ascii="Times New Roman" w:hAnsi="Times New Roman" w:cs="Times New Roman"/>
          <w:sz w:val="24"/>
          <w:szCs w:val="24"/>
        </w:rPr>
        <w:t xml:space="preserve">adult </w:t>
      </w:r>
      <w:r w:rsidR="005E0BEB" w:rsidRPr="005B09A9">
        <w:rPr>
          <w:rFonts w:ascii="Times New Roman" w:hAnsi="Times New Roman" w:cs="Times New Roman"/>
          <w:sz w:val="24"/>
          <w:szCs w:val="24"/>
        </w:rPr>
        <w:t>individuals</w:t>
      </w:r>
      <w:r w:rsidR="00424223" w:rsidRPr="005B09A9">
        <w:rPr>
          <w:rFonts w:ascii="Times New Roman" w:hAnsi="Times New Roman" w:cs="Times New Roman"/>
          <w:sz w:val="24"/>
          <w:szCs w:val="24"/>
        </w:rPr>
        <w:t xml:space="preserve"> with </w:t>
      </w:r>
      <w:r w:rsidR="00646CCE" w:rsidRPr="005B09A9">
        <w:rPr>
          <w:rFonts w:ascii="Times New Roman" w:hAnsi="Times New Roman" w:cs="Times New Roman"/>
          <w:sz w:val="24"/>
          <w:szCs w:val="24"/>
        </w:rPr>
        <w:t xml:space="preserve">early </w:t>
      </w:r>
      <w:r w:rsidR="00801C97" w:rsidRPr="005B09A9">
        <w:rPr>
          <w:rFonts w:ascii="Times New Roman" w:hAnsi="Times New Roman" w:cs="Times New Roman"/>
          <w:sz w:val="24"/>
          <w:szCs w:val="24"/>
        </w:rPr>
        <w:t xml:space="preserve">CRPS. </w:t>
      </w:r>
      <w:r w:rsidR="00B10FC5" w:rsidRPr="005B09A9">
        <w:rPr>
          <w:rFonts w:ascii="Times New Roman" w:hAnsi="Times New Roman" w:cs="Times New Roman"/>
          <w:sz w:val="24"/>
          <w:szCs w:val="24"/>
        </w:rPr>
        <w:t>Two</w:t>
      </w:r>
      <w:r w:rsidR="00D428FA" w:rsidRPr="005B09A9">
        <w:rPr>
          <w:rFonts w:ascii="Times New Roman" w:hAnsi="Times New Roman" w:cs="Times New Roman"/>
          <w:sz w:val="24"/>
          <w:szCs w:val="24"/>
        </w:rPr>
        <w:t xml:space="preserve"> </w:t>
      </w:r>
      <w:r w:rsidR="00B9310E" w:rsidRPr="005B09A9">
        <w:rPr>
          <w:rFonts w:ascii="Times New Roman" w:hAnsi="Times New Roman" w:cs="Times New Roman"/>
          <w:sz w:val="24"/>
          <w:szCs w:val="24"/>
        </w:rPr>
        <w:t>articles</w:t>
      </w:r>
      <w:r w:rsidR="007B3BE2" w:rsidRPr="005B09A9">
        <w:rPr>
          <w:rFonts w:ascii="Times New Roman" w:hAnsi="Times New Roman" w:cs="Times New Roman"/>
          <w:sz w:val="24"/>
          <w:szCs w:val="24"/>
        </w:rPr>
        <w:t xml:space="preserve"> </w:t>
      </w:r>
      <w:r w:rsidR="00B9310E"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{"citationID":"yB4jNtaV","properties":{"formattedCitation":"(Bean et al., 2015, 2016b)","plainCitation":"(Bean et al., 2015, 2016b)","noteIndex":0},"citationItems":[{"id":108,"uris":["http://zotero.org/users/8777725/items/5R5L23ZJ"],"itemData":{"id":108,"type":"article-journal","abstract":"Previous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R."}],"issued":{"date-parts":[["2016",2]]}}}],"schema":"https://github.com/citation-style-language/schema/raw/master/csl-citation.json"} </w:instrText>
      </w:r>
      <w:r w:rsidR="00B9310E"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(Bean et al., 2015, 2016b)</w:t>
      </w:r>
      <w:r w:rsidR="00B9310E" w:rsidRPr="005B09A9">
        <w:rPr>
          <w:rFonts w:ascii="Times New Roman" w:hAnsi="Times New Roman" w:cs="Times New Roman"/>
          <w:sz w:val="24"/>
          <w:szCs w:val="24"/>
        </w:rPr>
        <w:fldChar w:fldCharType="end"/>
      </w:r>
      <w:r w:rsidR="00D428FA" w:rsidRPr="005B09A9">
        <w:rPr>
          <w:rFonts w:ascii="Times New Roman" w:hAnsi="Times New Roman" w:cs="Times New Roman"/>
          <w:sz w:val="24"/>
          <w:szCs w:val="24"/>
        </w:rPr>
        <w:t xml:space="preserve"> </w:t>
      </w:r>
      <w:r w:rsidR="00846CC1" w:rsidRPr="005B09A9">
        <w:rPr>
          <w:rFonts w:ascii="Times New Roman" w:hAnsi="Times New Roman" w:cs="Times New Roman"/>
          <w:sz w:val="24"/>
          <w:szCs w:val="24"/>
        </w:rPr>
        <w:t>studying the same cohort could be considered as having an overall low RoB</w:t>
      </w:r>
      <w:r w:rsidR="00C713DA" w:rsidRPr="005B09A9">
        <w:rPr>
          <w:rFonts w:ascii="Times New Roman" w:hAnsi="Times New Roman" w:cs="Times New Roman"/>
          <w:sz w:val="24"/>
          <w:szCs w:val="24"/>
        </w:rPr>
        <w:t>,</w:t>
      </w:r>
      <w:r w:rsidR="00D428FA" w:rsidRPr="005B09A9">
        <w:rPr>
          <w:rFonts w:ascii="Times New Roman" w:hAnsi="Times New Roman" w:cs="Times New Roman"/>
          <w:sz w:val="24"/>
          <w:szCs w:val="24"/>
        </w:rPr>
        <w:t xml:space="preserve"> whereas the others</w:t>
      </w:r>
      <w:r w:rsidR="007B3BE2" w:rsidRPr="005B09A9">
        <w:rPr>
          <w:rFonts w:ascii="Times New Roman" w:hAnsi="Times New Roman" w:cs="Times New Roman"/>
          <w:sz w:val="24"/>
          <w:szCs w:val="24"/>
        </w:rPr>
        <w:t xml:space="preserve"> </w:t>
      </w:r>
      <w:r w:rsidR="00B9310E" w:rsidRPr="005B09A9">
        <w:rPr>
          <w:rFonts w:ascii="Times New Roman" w:hAnsi="Times New Roman" w:cs="Times New Roman"/>
          <w:sz w:val="24"/>
          <w:szCs w:val="24"/>
        </w:rPr>
        <w:fldChar w:fldCharType="begin"/>
      </w:r>
      <w:r w:rsidR="00C00CEA" w:rsidRPr="005B09A9">
        <w:rPr>
          <w:rFonts w:ascii="Times New Roman" w:hAnsi="Times New Roman" w:cs="Times New Roman"/>
          <w:sz w:val="24"/>
          <w:szCs w:val="24"/>
        </w:rPr>
        <w:instrText xml:space="preserve"> ADDIN ZOTERO_ITEM CSL_CITATION {"citationID":"zA0cdytA","properties":{"formattedCitation":"(Dauty et al., 2001; Dumas et al., 2011; Laulan et al., 1997; Roh et al., 2019)","plainCitation":"(Dauty et al., 2001; Dumas et al., 2011; Laulan et al., 1997; Roh et al., 2019)","noteIndex":0},"citationItems":[{"id":123,"uris":["http://zotero.org/users/8777725/items/R8NLVG5J"],"itemData":{"id":123,"type":"article-journal","abstract":"OBJECTIVE: To evaluate the influence of pain sensitization in the early recovery of distal radius fractures (DRFs) on the occurrence and prognosis of complex regional pain syndrome (CRPS) type I.\nMETHODS: We enrolled 58 patients who were diagnosed with CRPS I based on Budapest criteria within six months after sustaining DRF; they were age- and gender-matched with 58 patients with DRF who did not have CRPS I. We commonly measured patients' pressure pain thresholds (PPTs) in the forearm and administered a Pain Sensitivity Questionnaire (PSQ) when patients complained of pain with numeric rating scale ≥4 at three-month follow-up. Participants were followed up three, six, and 12 months after injury, and the symptoms and sign of CRPS were evaluated at each follow-up.\nRESULTS: Patients with CRPS I were more likely to have sustained high-energy injuries, had severe fractures, and had significantly higher PSQ scores and lower PPTs than the age- and gender-matched controls. At 12 months after injury, CRPS symptoms improved in 52% (30/58) of patients who had been diagnosed with CRPS I at three months after injury. The initial degree of pain sensitization and high-energy injury were associated with persistence of CRPS symptoms up to 12 months after initial injury.\nCONCLUSIONS: Patients with CRPS I after DRF exhibited significantly higher pain sensitization in the early post-trauma period, and the degree of initial pain sensitization and high-energy injuries were associated with prolonged CRPS I signs and symptoms up to one year after initial injury.","container-title":"Pain Medicine (Malden, Mass.)","DOI":"10.1093/pm/pny184","ISSN":"1526-4637","issue":"6","journalAbbreviation":"Pain Med","language":"eng","note":"PMID: 30412230","page":"1066-1071","source":"PubMed","title":"Prognostic Value of Pain Sensitization During Early Recovery After Distal Radius Fracture in Complex Regional Pain Syndrome","volume":"20","author":[{"family":"Roh","given":"Young Hak"},{"family":"Gong","given":"Hyun Sik"},{"family":"Baek","given":"Goo Hyun"}],"issued":{"date-parts":[["2019",6,1]]}}},{"id":441,"uris":["http://zotero.org/users/8777725/items/EQG2M7E9"],"itemData":{"id":441,"type":"article-journal","abstract":"A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B9310E" w:rsidRPr="005B09A9">
        <w:rPr>
          <w:rFonts w:ascii="Times New Roman" w:hAnsi="Times New Roman" w:cs="Times New Roman"/>
          <w:sz w:val="24"/>
          <w:szCs w:val="24"/>
        </w:rPr>
        <w:fldChar w:fldCharType="separate"/>
      </w:r>
      <w:r w:rsidR="00C00CEA" w:rsidRPr="005B09A9">
        <w:rPr>
          <w:rFonts w:ascii="Times New Roman" w:hAnsi="Times New Roman" w:cs="Times New Roman"/>
          <w:sz w:val="24"/>
        </w:rPr>
        <w:t>(Dauty et al., 2001; Dumas et al., 2011; Laulan et al., 1997; Roh et al., 2019)</w:t>
      </w:r>
      <w:r w:rsidR="00B9310E" w:rsidRPr="005B09A9">
        <w:rPr>
          <w:rFonts w:ascii="Times New Roman" w:hAnsi="Times New Roman" w:cs="Times New Roman"/>
          <w:sz w:val="24"/>
          <w:szCs w:val="24"/>
        </w:rPr>
        <w:fldChar w:fldCharType="end"/>
      </w:r>
      <w:r w:rsidR="00D428FA" w:rsidRPr="005B09A9">
        <w:rPr>
          <w:rFonts w:ascii="Times New Roman" w:hAnsi="Times New Roman" w:cs="Times New Roman"/>
          <w:sz w:val="24"/>
          <w:szCs w:val="24"/>
        </w:rPr>
        <w:t xml:space="preserve"> suffer</w:t>
      </w:r>
      <w:r w:rsidR="00B9310E" w:rsidRPr="005B09A9">
        <w:rPr>
          <w:rFonts w:ascii="Times New Roman" w:hAnsi="Times New Roman" w:cs="Times New Roman"/>
          <w:sz w:val="24"/>
          <w:szCs w:val="24"/>
        </w:rPr>
        <w:t>ed</w:t>
      </w:r>
      <w:r w:rsidR="00D428FA" w:rsidRPr="005B09A9">
        <w:rPr>
          <w:rFonts w:ascii="Times New Roman" w:hAnsi="Times New Roman" w:cs="Times New Roman"/>
          <w:sz w:val="24"/>
          <w:szCs w:val="24"/>
        </w:rPr>
        <w:t xml:space="preserve"> from </w:t>
      </w:r>
      <w:r w:rsidR="00E96FDA" w:rsidRPr="005B09A9">
        <w:rPr>
          <w:rFonts w:ascii="Times New Roman" w:hAnsi="Times New Roman" w:cs="Times New Roman"/>
          <w:sz w:val="24"/>
          <w:szCs w:val="24"/>
        </w:rPr>
        <w:t xml:space="preserve">moderate to high RoB in </w:t>
      </w:r>
      <w:r w:rsidR="00B10FC5" w:rsidRPr="005B09A9">
        <w:rPr>
          <w:rFonts w:ascii="Times New Roman" w:hAnsi="Times New Roman" w:cs="Times New Roman"/>
          <w:sz w:val="24"/>
          <w:szCs w:val="24"/>
        </w:rPr>
        <w:t>most domains</w:t>
      </w:r>
      <w:r w:rsidR="00D428FA" w:rsidRPr="005B09A9">
        <w:rPr>
          <w:rFonts w:ascii="Times New Roman" w:hAnsi="Times New Roman" w:cs="Times New Roman"/>
          <w:sz w:val="24"/>
          <w:szCs w:val="24"/>
        </w:rPr>
        <w:t>.</w:t>
      </w:r>
      <w:r w:rsidR="0074370B" w:rsidRPr="005B09A9">
        <w:rPr>
          <w:rFonts w:ascii="Times New Roman" w:hAnsi="Times New Roman" w:cs="Times New Roman"/>
          <w:sz w:val="24"/>
          <w:szCs w:val="24"/>
        </w:rPr>
        <w:t xml:space="preserve"> All </w:t>
      </w:r>
      <w:r w:rsidR="00E8309D" w:rsidRPr="005B09A9">
        <w:rPr>
          <w:rFonts w:ascii="Times New Roman" w:hAnsi="Times New Roman" w:cs="Times New Roman"/>
          <w:sz w:val="24"/>
          <w:szCs w:val="24"/>
        </w:rPr>
        <w:t xml:space="preserve">studied </w:t>
      </w:r>
      <w:r w:rsidR="0074370B" w:rsidRPr="005B09A9">
        <w:rPr>
          <w:rFonts w:ascii="Times New Roman" w:hAnsi="Times New Roman" w:cs="Times New Roman"/>
          <w:sz w:val="24"/>
          <w:szCs w:val="24"/>
        </w:rPr>
        <w:t>cohorts were small (n = 16 to 66).</w:t>
      </w:r>
      <w:r w:rsidR="00E8309D" w:rsidRPr="005B09A9">
        <w:rPr>
          <w:rFonts w:ascii="Times New Roman" w:hAnsi="Times New Roman" w:cs="Times New Roman"/>
          <w:sz w:val="24"/>
          <w:szCs w:val="24"/>
        </w:rPr>
        <w:t xml:space="preserve"> In terms of demographic characteristics, the samples </w:t>
      </w:r>
      <w:r w:rsidR="00DB4949" w:rsidRPr="005B09A9">
        <w:rPr>
          <w:rFonts w:ascii="Times New Roman" w:hAnsi="Times New Roman" w:cs="Times New Roman"/>
          <w:sz w:val="24"/>
          <w:szCs w:val="24"/>
        </w:rPr>
        <w:t>were</w:t>
      </w:r>
      <w:r w:rsidR="00E8309D" w:rsidRPr="005B09A9">
        <w:rPr>
          <w:rFonts w:ascii="Times New Roman" w:hAnsi="Times New Roman" w:cs="Times New Roman"/>
          <w:sz w:val="24"/>
          <w:szCs w:val="24"/>
        </w:rPr>
        <w:t xml:space="preserve"> similar</w:t>
      </w:r>
      <w:r w:rsidR="00450E76" w:rsidRPr="005B09A9">
        <w:rPr>
          <w:rFonts w:ascii="Times New Roman" w:hAnsi="Times New Roman" w:cs="Times New Roman"/>
          <w:sz w:val="24"/>
          <w:szCs w:val="24"/>
        </w:rPr>
        <w:t xml:space="preserve"> overall</w:t>
      </w:r>
      <w:r w:rsidR="00E8309D" w:rsidRPr="005B09A9">
        <w:rPr>
          <w:rFonts w:ascii="Times New Roman" w:hAnsi="Times New Roman" w:cs="Times New Roman"/>
          <w:sz w:val="24"/>
          <w:szCs w:val="24"/>
        </w:rPr>
        <w:t xml:space="preserve">. </w:t>
      </w:r>
      <w:r w:rsidR="00DB4949" w:rsidRPr="005B09A9">
        <w:rPr>
          <w:rFonts w:ascii="Times New Roman" w:hAnsi="Times New Roman" w:cs="Times New Roman"/>
          <w:sz w:val="24"/>
          <w:szCs w:val="24"/>
        </w:rPr>
        <w:t>Conversely, the</w:t>
      </w:r>
      <w:r w:rsidR="00E8309D" w:rsidRPr="005B09A9">
        <w:rPr>
          <w:rFonts w:ascii="Times New Roman" w:hAnsi="Times New Roman" w:cs="Times New Roman"/>
          <w:sz w:val="24"/>
          <w:szCs w:val="24"/>
        </w:rPr>
        <w:t xml:space="preserve"> studied prognostic factors and outcomes var</w:t>
      </w:r>
      <w:r w:rsidR="00D922A7" w:rsidRPr="005B09A9">
        <w:rPr>
          <w:rFonts w:ascii="Times New Roman" w:hAnsi="Times New Roman" w:cs="Times New Roman"/>
          <w:sz w:val="24"/>
          <w:szCs w:val="24"/>
        </w:rPr>
        <w:t>ied</w:t>
      </w:r>
      <w:r w:rsidR="00C713DA" w:rsidRPr="005B09A9">
        <w:rPr>
          <w:rFonts w:ascii="Times New Roman" w:hAnsi="Times New Roman" w:cs="Times New Roman"/>
          <w:sz w:val="24"/>
          <w:szCs w:val="24"/>
        </w:rPr>
        <w:t xml:space="preserve"> widely</w:t>
      </w:r>
      <w:r w:rsidR="00E8309D" w:rsidRPr="005B09A9">
        <w:rPr>
          <w:rFonts w:ascii="Times New Roman" w:hAnsi="Times New Roman" w:cs="Times New Roman"/>
          <w:sz w:val="24"/>
          <w:szCs w:val="24"/>
        </w:rPr>
        <w:t>.</w:t>
      </w:r>
      <w:r w:rsidR="00E96FDA" w:rsidRPr="005B09A9">
        <w:rPr>
          <w:rFonts w:ascii="Times New Roman" w:hAnsi="Times New Roman" w:cs="Times New Roman"/>
          <w:sz w:val="24"/>
          <w:szCs w:val="24"/>
        </w:rPr>
        <w:t xml:space="preserve"> </w:t>
      </w:r>
    </w:p>
    <w:p w14:paraId="01766518" w14:textId="25970B06" w:rsidR="00CD4CFE" w:rsidRPr="005B09A9" w:rsidRDefault="00CD4CFE" w:rsidP="00CD4CFE">
      <w:pPr>
        <w:spacing w:line="480" w:lineRule="auto"/>
        <w:jc w:val="left"/>
        <w:rPr>
          <w:rFonts w:ascii="Times New Roman" w:hAnsi="Times New Roman" w:cs="Times New Roman"/>
          <w:sz w:val="24"/>
          <w:szCs w:val="24"/>
        </w:rPr>
      </w:pPr>
      <w:r w:rsidRPr="005B09A9">
        <w:rPr>
          <w:rFonts w:ascii="Times New Roman" w:hAnsi="Times New Roman" w:cs="Times New Roman"/>
          <w:iCs/>
          <w:sz w:val="24"/>
          <w:szCs w:val="24"/>
        </w:rPr>
        <w:t>We found moderate evidence to support six early factors leading to poorer prognosis. The</w:t>
      </w:r>
      <w:r w:rsidRPr="005B09A9">
        <w:rPr>
          <w:rFonts w:ascii="Times New Roman" w:hAnsi="Times New Roman" w:cs="Times New Roman"/>
          <w:i/>
          <w:sz w:val="24"/>
          <w:szCs w:val="24"/>
        </w:rPr>
        <w:t xml:space="preserve"> severity of the triggering event </w:t>
      </w:r>
      <w:r w:rsidRPr="005B09A9">
        <w:rPr>
          <w:rFonts w:ascii="Times New Roman" w:hAnsi="Times New Roman" w:cs="Times New Roman"/>
          <w:sz w:val="24"/>
          <w:szCs w:val="24"/>
        </w:rPr>
        <w:t xml:space="preserve">was identified in </w:t>
      </w:r>
      <w:r w:rsidR="004D2677" w:rsidRPr="005B09A9">
        <w:rPr>
          <w:rFonts w:ascii="Times New Roman" w:hAnsi="Times New Roman" w:cs="Times New Roman"/>
          <w:sz w:val="24"/>
          <w:szCs w:val="24"/>
        </w:rPr>
        <w:t>three studies</w:t>
      </w:r>
      <w:r w:rsidRPr="005B09A9">
        <w:rPr>
          <w:rFonts w:ascii="Times New Roman" w:hAnsi="Times New Roman" w:cs="Times New Roman"/>
          <w:sz w:val="24"/>
          <w:szCs w:val="24"/>
        </w:rPr>
        <w:t xml:space="preserve">. </w:t>
      </w:r>
      <w:r w:rsidR="004D2677" w:rsidRPr="005B09A9">
        <w:rPr>
          <w:rFonts w:ascii="Times New Roman" w:hAnsi="Times New Roman" w:cs="Times New Roman"/>
          <w:i/>
          <w:sz w:val="24"/>
          <w:szCs w:val="24"/>
        </w:rPr>
        <w:t>B</w:t>
      </w:r>
      <w:r w:rsidRPr="005B09A9">
        <w:rPr>
          <w:rFonts w:ascii="Times New Roman" w:hAnsi="Times New Roman" w:cs="Times New Roman"/>
          <w:i/>
          <w:sz w:val="24"/>
          <w:szCs w:val="24"/>
        </w:rPr>
        <w:t>eing a female</w:t>
      </w:r>
      <w:r w:rsidRPr="005B09A9">
        <w:rPr>
          <w:rFonts w:ascii="Times New Roman" w:hAnsi="Times New Roman" w:cs="Times New Roman"/>
          <w:sz w:val="24"/>
          <w:szCs w:val="24"/>
        </w:rPr>
        <w:t xml:space="preserve">, </w:t>
      </w:r>
      <w:r w:rsidRPr="005B09A9">
        <w:rPr>
          <w:rFonts w:ascii="Times New Roman" w:hAnsi="Times New Roman" w:cs="Times New Roman"/>
          <w:i/>
          <w:sz w:val="24"/>
          <w:szCs w:val="24"/>
        </w:rPr>
        <w:t>higher pain intensity, self-reported disability</w:t>
      </w:r>
      <w:r w:rsidRPr="005B09A9">
        <w:rPr>
          <w:rFonts w:ascii="Times New Roman" w:hAnsi="Times New Roman" w:cs="Times New Roman"/>
          <w:sz w:val="24"/>
          <w:szCs w:val="24"/>
        </w:rPr>
        <w:t xml:space="preserve"> and psychological factors such as </w:t>
      </w:r>
      <w:r w:rsidRPr="005B09A9">
        <w:rPr>
          <w:rFonts w:ascii="Times New Roman" w:hAnsi="Times New Roman" w:cs="Times New Roman"/>
          <w:i/>
          <w:sz w:val="24"/>
          <w:szCs w:val="24"/>
        </w:rPr>
        <w:t>higher pain-related fear</w:t>
      </w:r>
      <w:r w:rsidRPr="005B09A9">
        <w:rPr>
          <w:rFonts w:ascii="Times New Roman" w:hAnsi="Times New Roman" w:cs="Times New Roman"/>
          <w:sz w:val="24"/>
          <w:szCs w:val="24"/>
        </w:rPr>
        <w:t xml:space="preserve"> and </w:t>
      </w:r>
      <w:r w:rsidRPr="005B09A9">
        <w:rPr>
          <w:rFonts w:ascii="Times New Roman" w:hAnsi="Times New Roman" w:cs="Times New Roman"/>
          <w:i/>
          <w:sz w:val="24"/>
          <w:szCs w:val="24"/>
        </w:rPr>
        <w:t>anxiety</w:t>
      </w:r>
      <w:r w:rsidR="004D2677" w:rsidRPr="005B09A9">
        <w:rPr>
          <w:rFonts w:ascii="Times New Roman" w:hAnsi="Times New Roman" w:cs="Times New Roman"/>
          <w:sz w:val="24"/>
          <w:szCs w:val="24"/>
        </w:rPr>
        <w:t xml:space="preserve"> were described in two articles from a single cohort</w:t>
      </w:r>
      <w:r w:rsidRPr="005B09A9">
        <w:rPr>
          <w:rFonts w:ascii="Times New Roman" w:hAnsi="Times New Roman" w:cs="Times New Roman"/>
          <w:sz w:val="24"/>
          <w:szCs w:val="24"/>
        </w:rPr>
        <w:t xml:space="preserve">. Regarding the factors with limited evidence of effect, we identified 15 factors but only some early sensory characteristics (e.g. </w:t>
      </w:r>
      <w:r w:rsidRPr="005B09A9">
        <w:rPr>
          <w:rFonts w:ascii="Times New Roman" w:hAnsi="Times New Roman" w:cs="Times New Roman"/>
          <w:i/>
          <w:sz w:val="24"/>
          <w:szCs w:val="24"/>
        </w:rPr>
        <w:t>lower PPT</w:t>
      </w:r>
      <w:r w:rsidRPr="005B09A9">
        <w:rPr>
          <w:rFonts w:ascii="Times New Roman" w:hAnsi="Times New Roman" w:cs="Times New Roman"/>
          <w:sz w:val="24"/>
          <w:szCs w:val="24"/>
        </w:rPr>
        <w:t xml:space="preserve">) seemed reliable enough to be considered. The poor quality of the evidence and the multiplicity of </w:t>
      </w:r>
      <w:r w:rsidR="004D2677" w:rsidRPr="005B09A9">
        <w:rPr>
          <w:rFonts w:ascii="Times New Roman" w:hAnsi="Times New Roman" w:cs="Times New Roman"/>
          <w:sz w:val="24"/>
          <w:szCs w:val="24"/>
        </w:rPr>
        <w:t xml:space="preserve">other </w:t>
      </w:r>
      <w:r w:rsidRPr="005B09A9">
        <w:rPr>
          <w:rFonts w:ascii="Times New Roman" w:hAnsi="Times New Roman" w:cs="Times New Roman"/>
          <w:sz w:val="24"/>
          <w:szCs w:val="24"/>
        </w:rPr>
        <w:t>reported prognostic factors d</w:t>
      </w:r>
      <w:r w:rsidR="004D2677" w:rsidRPr="005B09A9">
        <w:rPr>
          <w:rFonts w:ascii="Times New Roman" w:hAnsi="Times New Roman" w:cs="Times New Roman"/>
          <w:sz w:val="24"/>
          <w:szCs w:val="24"/>
        </w:rPr>
        <w:t xml:space="preserve">id not allow further </w:t>
      </w:r>
      <w:r w:rsidRPr="005B09A9">
        <w:rPr>
          <w:rFonts w:ascii="Times New Roman" w:hAnsi="Times New Roman" w:cs="Times New Roman"/>
          <w:sz w:val="24"/>
          <w:szCs w:val="24"/>
        </w:rPr>
        <w:t>conclusions.</w:t>
      </w:r>
    </w:p>
    <w:p w14:paraId="78CBA09C" w14:textId="0736976E" w:rsidR="00D236E8" w:rsidRPr="005B09A9" w:rsidRDefault="00C974B6" w:rsidP="00C974B6">
      <w:pPr>
        <w:pStyle w:val="Paragraphedeliste"/>
        <w:numPr>
          <w:ilvl w:val="1"/>
          <w:numId w:val="18"/>
        </w:numPr>
        <w:spacing w:line="480" w:lineRule="auto"/>
        <w:rPr>
          <w:rStyle w:val="Accentuationlgre"/>
          <w:rFonts w:ascii="Times New Roman" w:hAnsi="Times New Roman"/>
          <w:b w:val="0"/>
          <w:sz w:val="24"/>
        </w:rPr>
      </w:pPr>
      <w:r w:rsidRPr="005B09A9">
        <w:rPr>
          <w:rStyle w:val="Accentuationlgre"/>
          <w:rFonts w:ascii="Times New Roman" w:hAnsi="Times New Roman"/>
          <w:b w:val="0"/>
          <w:sz w:val="24"/>
          <w:lang w:val="en-GB"/>
        </w:rPr>
        <w:t>I</w:t>
      </w:r>
      <w:r w:rsidR="00D236E8" w:rsidRPr="005B09A9">
        <w:rPr>
          <w:rStyle w:val="Accentuationlgre"/>
          <w:rFonts w:ascii="Times New Roman" w:hAnsi="Times New Roman"/>
          <w:b w:val="0"/>
          <w:sz w:val="24"/>
          <w:lang w:val="en-GB"/>
        </w:rPr>
        <w:t>nterpretation</w:t>
      </w:r>
    </w:p>
    <w:p w14:paraId="06EAA4EA" w14:textId="0C633325" w:rsidR="00BB0F57" w:rsidRPr="005B09A9" w:rsidRDefault="00D236E8" w:rsidP="00BB0F57">
      <w:pPr>
        <w:pStyle w:val="Paragraphedeliste"/>
        <w:numPr>
          <w:ilvl w:val="2"/>
          <w:numId w:val="18"/>
        </w:numPr>
        <w:spacing w:line="480" w:lineRule="auto"/>
        <w:rPr>
          <w:rStyle w:val="Accentuationlgre"/>
          <w:rFonts w:ascii="Times New Roman" w:hAnsi="Times New Roman"/>
          <w:b w:val="0"/>
          <w:sz w:val="24"/>
          <w:lang w:val="en-GB"/>
        </w:rPr>
      </w:pPr>
      <w:r w:rsidRPr="005B09A9">
        <w:rPr>
          <w:rStyle w:val="Accentuationlgre"/>
          <w:rFonts w:ascii="Times New Roman" w:hAnsi="Times New Roman"/>
          <w:b w:val="0"/>
          <w:sz w:val="24"/>
          <w:lang w:val="en-GB"/>
        </w:rPr>
        <w:t>Non-modifiable Factors</w:t>
      </w:r>
    </w:p>
    <w:p w14:paraId="0CA918B3" w14:textId="77777777" w:rsidR="00CD4CFE" w:rsidRPr="005B09A9" w:rsidRDefault="00CD4CFE" w:rsidP="00CD4CFE">
      <w:pPr>
        <w:spacing w:line="480" w:lineRule="auto"/>
        <w:jc w:val="left"/>
        <w:rPr>
          <w:rFonts w:ascii="Times New Roman" w:hAnsi="Times New Roman" w:cs="Times New Roman"/>
          <w:sz w:val="24"/>
          <w:szCs w:val="24"/>
          <w:lang w:val="en-US"/>
        </w:rPr>
      </w:pPr>
      <w:r w:rsidRPr="005B09A9">
        <w:rPr>
          <w:rFonts w:ascii="Times New Roman" w:hAnsi="Times New Roman" w:cs="Times New Roman"/>
          <w:bCs/>
          <w:sz w:val="24"/>
          <w:szCs w:val="24"/>
        </w:rPr>
        <w:t xml:space="preserve">In the literature, </w:t>
      </w:r>
      <w:r w:rsidRPr="005B09A9">
        <w:rPr>
          <w:rFonts w:ascii="Times New Roman" w:hAnsi="Times New Roman" w:cs="Times New Roman"/>
          <w:bCs/>
          <w:i/>
          <w:iCs/>
          <w:sz w:val="24"/>
          <w:szCs w:val="24"/>
        </w:rPr>
        <w:t xml:space="preserve">the severity of the </w:t>
      </w:r>
      <w:r w:rsidRPr="005B09A9">
        <w:rPr>
          <w:rFonts w:ascii="Times New Roman" w:hAnsi="Times New Roman" w:cs="Times New Roman"/>
          <w:i/>
          <w:iCs/>
          <w:sz w:val="24"/>
          <w:szCs w:val="24"/>
        </w:rPr>
        <w:t>triggering</w:t>
      </w:r>
      <w:r w:rsidRPr="005B09A9">
        <w:rPr>
          <w:rFonts w:ascii="Times New Roman" w:hAnsi="Times New Roman" w:cs="Times New Roman"/>
          <w:bCs/>
          <w:i/>
          <w:iCs/>
          <w:sz w:val="24"/>
          <w:szCs w:val="24"/>
        </w:rPr>
        <w:t xml:space="preserve"> event </w:t>
      </w:r>
      <w:r w:rsidRPr="005B09A9">
        <w:rPr>
          <w:rFonts w:ascii="Times New Roman" w:hAnsi="Times New Roman" w:cs="Times New Roman"/>
          <w:bCs/>
          <w:sz w:val="24"/>
          <w:szCs w:val="24"/>
        </w:rPr>
        <w:t xml:space="preserve">(e.g., dislocation, intra-articular fracture or high energy trauma) was also associated with the onset of CRPS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{"citationID":"PcbJckEW","properties":{"formattedCitation":"(Beerthuizen et al., 2012; Pons et al., 2015; Roh et al., 2014)","plainCitation":"(Beerthuizen et al., 2012; Pons et al., 2015; Roh et al., 2014)","noteIndex":0},"citationItems":[{"id":244,"uris":["http://zotero.org/users/8777725/items/QZCXCE4X"],"itemData":{"id":244,"type":"article-journal","abstract":"Anaesthetists in the acute and chronic pain teams are often involved in treating Complex Regional Pain Syndromes. Current literature about the risk factors for the onset of Complex Regional Pain Syndrome Type 1 (CRPS 1) remains sparse. This syndrome has a low prevalence, a highly variable presentation, and no gold standard for diagnosis. In the research setting, the pathogenesis of the syndrome continues to be elusive. There is a growing body of literature that addresses efficacy of a wide range of interventions as well as the likely mechanisms that contribute to the onset of CRPS 1. The objective for this systematic search of the literature focuses on determining the potential risk factors for the onset of CRPS 1. Eligible articles were analysed, dated 1996 to April 2014, and potential risk factors for the onset of CRPS 1 were identified from 10 prospective and 6 retrospective studies. Potential risk factors for the onset of CRPS 1 were found to include being female, particularly postmenopausal female, ankle dislocation or intra-articular fracture, immobilisation, and a report of higher than usual levels of pain in the early phases of trauma. It is not possible to draw definite conclusions as this evidence is heterogeneous and of mixed quality, relevance, and weighting strength against bias and has not been confirmed across multiple trials or in homogenous studies.","container-title":"Anesthesiology Research and Practice","DOI":"10.1155/2015/956539","ISSN":"1687-6962","journalAbbreviation":"Anesthesiol Res Pract","note":"PMID: 25688265\nPMCID: PMC4321092","page":"956539","source":"PubMed Central","title":"Potential Risk Factors for the Onset of Complex Regional Pain Syndrome Type 1: A Systematic Literature Review","title-short":"Potential Risk Factors for the Onset of Complex Regional Pain Syndrome Type 1","volume":"2015","author":[{"family":"Pons","given":"Tracey"},{"family":"Shipton","given":"Edward A."},{"family":"Williman","given":"Jonathan"},{"family":"Mulder","given":"Roger T."}],"issued":{"date-parts":[["2015"]]}},"label":"page"},{"id":1183,"uris":["http://zotero.org/users/8777725/items/SPY4PS9V"],"itemData":{"id":1183,"type":"article-journal","abstract":"Wrist fracture is considered a typical initiating trauma for complex regional pain syndrome type I (CRPS I). However, few studies have comprehensively evaluated factors associated with the occurrence of CRPS I after the surgical treatment of a distal radius fracture (DRF). This study evaluates the factors influencing the occurrence of CRPS I after the surgical treatment of a DRF.","container-title":"Archives of Orthopaedic and Trauma Surgery","DOI":"10.1007/s00402-014-2094-5","ISSN":"1434-3916","issue":"12","journalAbbreviation":"Arch Orthop Trauma Surg","language":"en","page":"1775-1781","source":"Springer Link","title":"Factors associated with complex regional pain syndrome type I in patients with surgically treated distal radius fracture","volume":"134","author":[{"family":"Roh","given":"Young Hak"},{"family":"Lee","given":"Beom Koo"},{"family":"Noh","given":"Jung Ho"},{"family":"Baek","given":"Jong Ryoon"},{"family":"Oh","given":"Joo Han"},{"family":"Gong","given":"Hyun Sik"},{"family":"Baek","given":"Goo Hyun"}],"issued":{"date-parts":[["2014",12,1]]}},"label":"page"},{"id":185,"uris":["http://zotero.org/users/8777725/items/V3KRMRJH"],"itemData":{"id":185,"type":"article-journal","abstract":"Limited data are available on the incidence of complex regional pain syndrome type 1 (CRPS1) and on demographic and medical risk factors for the development of CRPS1. The objective of this study was to investigate the incidence of CRPS1 in patients with a fracture using 3 sets of diagnostic criteria and to evaluate the association between demographic/medical factors and the development of CRPS1 diagnosed with the Harden and Bruehl criteria. A prospective multicenter cohort study of 596 patients (ages 18 years and older) with a single fracture of the wrist, scaphoid, ankle, or metatarsal V, recruited patients from the emergency rooms of 3 Dutch hospitals. Of the 596 participants, 42 (7.0%) were diagnosed with CRPS1 according to the Harden and Bruehl criteria, 289 (48.5%) according to the International Association for the Study of Pain criteria, and 127 (21.3%) according to the criteria of Veldman. An analysis of the medical and demographic differences revealed that patients in whom CRPS1 later developed more often had intra-articular fractures, fracture dislocations, rheumatoid arthritis, or musculoskeletal comorbidities. An ankle fracture, dislocation, and an in</w:instrText>
      </w:r>
      <w:r w:rsidRPr="005B09A9">
        <w:rPr>
          <w:rFonts w:ascii="Times New Roman" w:hAnsi="Times New Roman" w:cs="Times New Roman"/>
          <w:sz w:val="24"/>
          <w:szCs w:val="24"/>
          <w:lang w:val="en-US"/>
        </w:rPr>
        <w:instrText xml:space="preserve">tra-articular fracture contributed significantly to the prediction of the development of CRPS1. No CRPS1 patients were symptom free at 12 months (T3). At baseline, patients with CRPS1 had significantly more pain than patients without CRPS1 (P&lt;.001). The incidence of the diagnosis of CRPS1 after a single fracture depends to a large extent on the diagnostic criteria used. After a fracture, 7% of the patients developed CRPS1 and none of the patients were free of symptoms at 1-year follow-up.","container-title":"Pain","DOI":"10.1016/j.pain.2012.01.026","ISSN":"1872-6623","issue":"6","journalAbbreviation":"Pain","language":"eng","note":"PMID: 22386473","page":"1187-1192","source":"PubMed","title":"Demographic and medical parameters in the development of complex regional pain syndrome type 1 (CRPS1): prospective study on 596 patients with a fracture","title-short":"Demographic and medical parameters in the development of complex regional pain syndrome type 1 (CRPS1)","volume":"153","author":[{"family":"Beerthuizen","given":"Annemerle"},{"family":"Stronks","given":"Dirk L."},{"family":"Van't Spijker","given":"Adriaan"},{"family":"Yaksh","given":"Ameeta"},{"family":"Hanraets","given":"Barbara M."},{"family":"Klein","given":"Jan"},{"family":"Huygen","given":"Frank J. P. M."}],"issued":{"date-parts":[["2012",6]]}},"label":"page"}],"schema":"https://github.com/citation-style-language/schema/raw/master/csl-citation.json"}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lang w:val="en-US"/>
        </w:rPr>
        <w:t>(Beerthuizen et al., 2012; Pons et al., 2015; Roh et al., 2014)</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en-US"/>
        </w:rPr>
        <w:t>. Although it is not a modifiable factor, the presence of high-energy trauma should prompt more careful follow-up by the clinician.</w:t>
      </w:r>
    </w:p>
    <w:p w14:paraId="4E254C5D" w14:textId="13DC6631" w:rsidR="00CD4CFE" w:rsidRPr="005B09A9" w:rsidRDefault="004D2677" w:rsidP="00CD4CFE">
      <w:pPr>
        <w:spacing w:line="480" w:lineRule="auto"/>
        <w:jc w:val="left"/>
        <w:rPr>
          <w:rFonts w:ascii="Times New Roman" w:hAnsi="Times New Roman" w:cs="Times New Roman"/>
          <w:sz w:val="24"/>
          <w:szCs w:val="24"/>
          <w:lang w:val="fr-BE"/>
        </w:rPr>
      </w:pPr>
      <w:r w:rsidRPr="005B09A9">
        <w:rPr>
          <w:rFonts w:ascii="Times New Roman" w:hAnsi="Times New Roman" w:cs="Times New Roman"/>
          <w:bCs/>
          <w:sz w:val="24"/>
          <w:szCs w:val="24"/>
        </w:rPr>
        <w:lastRenderedPageBreak/>
        <w:t xml:space="preserve">In our review, we found that </w:t>
      </w:r>
      <w:r w:rsidRPr="005B09A9">
        <w:rPr>
          <w:rFonts w:ascii="Times New Roman" w:hAnsi="Times New Roman" w:cs="Times New Roman"/>
          <w:bCs/>
          <w:i/>
          <w:sz w:val="24"/>
          <w:szCs w:val="24"/>
        </w:rPr>
        <w:t>being a female</w:t>
      </w:r>
      <w:r w:rsidRPr="005B09A9">
        <w:rPr>
          <w:rFonts w:ascii="Times New Roman" w:hAnsi="Times New Roman" w:cs="Times New Roman"/>
          <w:bCs/>
          <w:sz w:val="24"/>
          <w:szCs w:val="24"/>
        </w:rPr>
        <w:t xml:space="preserve"> had a significant impact on having a higher CSS at one year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{"citationID":"xfywVZF0","properties":{"formattedCitation":"(Bean et al., 2015)","plainCitation":"(Bean et al., 2015)","noteIndex":0},"citationItems":[{"id":108,"uris":["http://zotero.org/users/8777725/items/5R5L23ZJ"],"itemData":{"id":108,"type":"article-journal","abstract":"Previous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(Bean et al., 2015)</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 xml:space="preserve">. However, it was not significant for other outcomes (disability, pain) nor in other studies. In the literature, the influence of </w:t>
      </w:r>
      <w:r w:rsidRPr="005B09A9">
        <w:rPr>
          <w:rFonts w:ascii="Times New Roman" w:hAnsi="Times New Roman" w:cs="Times New Roman"/>
          <w:bCs/>
          <w:i/>
          <w:sz w:val="24"/>
          <w:szCs w:val="24"/>
        </w:rPr>
        <w:t>gender</w:t>
      </w:r>
      <w:r w:rsidRPr="005B09A9">
        <w:rPr>
          <w:rFonts w:ascii="Times New Roman" w:hAnsi="Times New Roman" w:cs="Times New Roman"/>
          <w:bCs/>
          <w:sz w:val="24"/>
          <w:szCs w:val="24"/>
        </w:rPr>
        <w:t xml:space="preserve"> on prognosis is contradictory</w:t>
      </w:r>
      <w:r w:rsidR="002E39B6" w:rsidRPr="005B09A9">
        <w:rPr>
          <w:rFonts w:ascii="Times New Roman" w:hAnsi="Times New Roman" w:cs="Times New Roman"/>
          <w:bCs/>
          <w:sz w:val="24"/>
          <w:szCs w:val="24"/>
        </w:rPr>
        <w:t xml:space="preserve"> </w:t>
      </w:r>
      <w:r w:rsidR="002E39B6" w:rsidRPr="005B09A9">
        <w:rPr>
          <w:rFonts w:ascii="Times New Roman" w:hAnsi="Times New Roman" w:cs="Times New Roman"/>
          <w:bCs/>
          <w:sz w:val="24"/>
          <w:szCs w:val="24"/>
        </w:rPr>
        <w:fldChar w:fldCharType="begin"/>
      </w:r>
      <w:r w:rsidR="002E39B6" w:rsidRPr="005B09A9">
        <w:rPr>
          <w:rFonts w:ascii="Times New Roman" w:hAnsi="Times New Roman" w:cs="Times New Roman"/>
          <w:bCs/>
          <w:sz w:val="24"/>
          <w:szCs w:val="24"/>
        </w:rPr>
        <w:instrText xml:space="preserve"> ADDIN ZOTERO_ITEM CSL_CITATION {"citationID":"pxQQBWxu","properties":{"formattedCitation":"(Farzad et al., 2021; van Velzen et al., 2019; Wertli et al., 2013)","plainCitation":"(Farzad et al., 2021; van Velzen et al., 2019; Wertli et al., 2013)","noteIndex":0},"citationItems":[{"id":1273,"uris":["http://zotero.org/users/8777725/items/F3IUNHS3"],"itemData":{"id":1273,"type":"article-journal","abstract":"Purpose To examine the associations between psychological factors (pain catastrophizing, pain-related anxiety, and fear of pain) and level of pain and disability in patients with complex regional pain syndrome (CRPS).Methods One hundred and two patients with CRPS were recruited from tertiary care centers with the different upper limb injuries were evaluated for pain, disability, and psychological factors. Patients completed the Disabilities of the Arm, Shoulder, and Hand (DASH) Questionnaire, Patient Rated Wrist Evaluation (PRWE), Pain Catastrophizing Scale (PCS), Tampa Scale of Kinesiophobia (TSK-11), and Depression, Anxiety, and Stress Scale (DASS). The associations of pain and disability with presence of these behavioral and mental health factors were examined using bivariate and multivariable analyses. These models were adjusted for age, sex, injured dominant hand, and previous surgery.Results A higher pain catastrophizing score (β = 0.55, p = 0.00) was associated with greater disability. A higher pain catastrophizing score (β = 0.35, p = 0.001) and female gender (β = 0.24, p = 0.01) were associated with greater pain at rest (PAR). A higher pain catastrophizing score and having a surgical history were associated with greater pain with movement (β = 0.25, p = 0.02). Scores of ≥18.5 in PCS, ≥57.5 on TSK, and ≥15.5 on DASS were associated with higher risk of experiencing pain and disability.Conclusions Pain catastrophizing, female sex, and surgical intervention are associated with poor outcomes. Physiologic, psychological factors, and treatment factors interact to influence outcomes. The results of this study further validate the associations of chronic pain and disability with pain catastrophizing in patients with CRPS. The novel finding of this study is introducing cut-off scores for TSK, PCS, and DASS as a screening tool to predict pain, functional limitations.Implication for rehabilitationPain catastrophizing has a vital role in the magnitude of disability and pain in patients with CRPS.The novel finding of this paper was the cut-off scores on the psychological evaluations that can enable using them as screening tool for bad outcomes in patients with CRPS.Cut off scores from different psychological evaluations can be used as a yellow flag for clinician’s for detecting patients with increased risk of pain and disability.The identification of a cut-off can also have implications for implementing change in clinical practice by identifying the need for early and intensive interventions.","container-title":"Disability and Rehabilitation","DOI":"10.1080/09638288.2021.2009045","ISSN":"0963-8288","issue":"0","note":"publisher: Taylor &amp; Francis\n_eprint: https://doi.org/10.1080/09638288.2021.2009045\nPMID: 33683933","page":"1-9","source":"Taylor and Francis+NEJM","title":"Factors associated with disability and pain intensity in patients with complex regional pain syndrome","volume":"0","author":[{"family":"Farzad","given":"Maryam"},{"family":"MacDermid","given":"Joy C."},{"family":"Packham","given":"Tara"},{"family":"Khodabandeh","given":"Behzad"},{"family":"Vahedi","given":"Mohsen"},{"family":"Shafiee","given":"Erfan"}],"issued":{"date-parts":[["2021",12,6]]}}},{"id":1200,"uris":["http://zotero.org/users/8777725/items/3PJG4WCY"],"itemData":{"id":1200,"type":"article-journal","abstract":"Background Complex regional pain syndrome (CRPS) is much more prevalent in women than men but potential differences in clinical phenotype have not been thoroughly explored to date. Differences in the clinical presentation between sexes may point at new avenues for a more tailored management approach of CRPS. We therefore explored if in CRPS, the patient's sex is associated with differences in clinical and psychological characteristics. Methods In this cross-sectional study of 698 CRPS patients (599 females) fulfilling the Budapest clinical or research criteria, CRPS signs and symptoms, CRPS severity, pain (average pain intensity in the previous week and McGill pain rating index), pain coping (Pain Coping Inventory), physical limitations (Radboud Skills Questionnaire (upper limb), Walking and Rising questionnaire (lower limb)), anxiety and depression (Hospital Anxiety and Depression scale) and kinesiophobia (Tampa scale for kinesiophobia) were evaluated. Results Male CRPS patients used more often extreme words to describe the affective qualities of pain, used more passive pain coping strategies, and were more likely to suffer from depression and kinesiophobia. Conclusion Sex-related differences are present in CRPS, but the effect is generally small and mainly concerns psychological functioning. A greater awareness of sex-specific factors in the management of CRPS may contribute to achieving better outcomes. Significance What is known? Nonsex-specific clinical data of CRPS patients. What is new? Male CRPS patients used more often extreme words to describe the affective qualities of pain, used more passive pain coping strategies, and were more likely to suffer from depression and kinesiophobia.","container-title":"European Journal of Pain","DOI":"10.1002/ejp.1375","ISSN":"1532-2149","issue":"6","language":"en","note":"_eprint: https://onlinelibrary.wiley.com/doi/pdf/10.1002/ejp.1375","page":"1108-1116","source":"Wiley Online Library","title":"Sex matters in complex regional pain syndrome","volume":"23","author":[{"family":"Velzen","given":"Gijsbrecht A. J.","non-dropping-particle":"van"},{"family":"Huygen","given":"Frank J. P. M."},{"family":"Kleef","given":"Maarten","non-dropping-particle":"van"},{"family":"Eijs","given":"Frank V.","non-dropping-particle":"van"},{"family":"Marinus","given":"Johan"},{"family":"Hilten","given":"Jacobus J.","non-dropping-particle":"van"}],"issued":{"date-parts":[["2019"]]}}},{"id":215,"uris":["http://zotero.org/users/8777725/items/3U3BU2GE"],"itemData":{"id":215,"type":"article-journal","abstract":"OBJECTIVE: The aim of this systematic review was to merge and summarize the current evidence about prognostic factors relevant to the course of complex regional pain syndrome 1.\nMETHODS: MEDLINE, Embase, PsychINFO, CENTRAL and screened reference lists of included studies were searched for studies of parameters associated with the prognosis of the condition. Studi</w:instrText>
      </w:r>
      <w:r w:rsidR="002E39B6" w:rsidRPr="005B09A9">
        <w:rPr>
          <w:rFonts w:ascii="Times New Roman" w:hAnsi="Times New Roman" w:cs="Times New Roman"/>
          <w:bCs/>
          <w:sz w:val="24"/>
          <w:szCs w:val="24"/>
          <w:lang w:val="fr-BE"/>
        </w:rPr>
        <w:instrText xml:space="preserve">es investigating stroke-related complex regional pain syndrome were excluded.\nRESULTS: Searches retrieved 2,577 references, of which 12 articles were included in the study. The preferred diagnostic criteria were the Veldman and the International Association for the Study of Pain criteria. The mean level of study quality was insufficient. A total of 28 prognostic factors was identified. Sensory disturbances and cold skin temperature appear to represent parameters associated with poor prognosis in complex regional pain syndrome 1. For many parameters the evidence is contradictory.\nCONCLUSION: Evidence about prognostic factors for complex regional pain syndrome 1 is scarce, which prevents firm conclusions being drawn. Further high-quality aetiological and clinical research is needed.","container-title":"Journal of Rehabilitation Medicine","DOI":"10.2340/16501977-1103","ISSN":"1651-2081","issue":"3","journalAbbreviation":"J Rehabil Med","language":"eng","note":"PMID: 23389624","page":"225-231","source":"PubMed","title":"Prognostic factors in complex regional pain syndrome 1: a systematic review","title-short":"Prognostic factors in complex regional pain syndrome 1","volume":"45","author":[{"family":"Wertli","given":"Maria"},{"family":"Bachmann","given":"Lucas M."},{"family":"Weiner","given":"Shira Schecter"},{"family":"Brunner","given":"Florian"}],"issued":{"date-parts":[["2013",3]]}}}],"schema":"https://github.com/citation-style-language/schema/raw/master/csl-citation.json"} </w:instrText>
      </w:r>
      <w:r w:rsidR="002E39B6" w:rsidRPr="005B09A9">
        <w:rPr>
          <w:rFonts w:ascii="Times New Roman" w:hAnsi="Times New Roman" w:cs="Times New Roman"/>
          <w:bCs/>
          <w:sz w:val="24"/>
          <w:szCs w:val="24"/>
        </w:rPr>
        <w:fldChar w:fldCharType="separate"/>
      </w:r>
      <w:r w:rsidR="002E39B6" w:rsidRPr="005B09A9">
        <w:rPr>
          <w:rFonts w:ascii="Times New Roman" w:hAnsi="Times New Roman" w:cs="Times New Roman"/>
          <w:sz w:val="24"/>
          <w:lang w:val="fr-BE"/>
        </w:rPr>
        <w:t>(Farzad et al., 2021; van Velzen et al., 2019; Wertli et al., 2013)</w:t>
      </w:r>
      <w:r w:rsidR="002E39B6"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lang w:val="fr-BE"/>
        </w:rPr>
        <w:t xml:space="preserve">. </w:t>
      </w:r>
    </w:p>
    <w:p w14:paraId="371A14BB" w14:textId="77777777" w:rsidR="00BB0F57" w:rsidRPr="005B09A9" w:rsidRDefault="00BB0F57" w:rsidP="00BB0F57">
      <w:pPr>
        <w:pStyle w:val="Paragraphedeliste"/>
        <w:numPr>
          <w:ilvl w:val="2"/>
          <w:numId w:val="18"/>
        </w:numPr>
        <w:spacing w:line="480" w:lineRule="auto"/>
        <w:rPr>
          <w:rStyle w:val="Accentuationlgre"/>
          <w:rFonts w:ascii="Times New Roman" w:hAnsi="Times New Roman"/>
          <w:b w:val="0"/>
          <w:sz w:val="24"/>
          <w:lang w:val="en-GB"/>
        </w:rPr>
      </w:pPr>
      <w:r w:rsidRPr="005B09A9">
        <w:rPr>
          <w:rStyle w:val="Accentuationlgre"/>
          <w:rFonts w:ascii="Times New Roman" w:hAnsi="Times New Roman"/>
          <w:b w:val="0"/>
          <w:sz w:val="24"/>
          <w:lang w:val="en-GB"/>
        </w:rPr>
        <w:t>Modifiable Factors</w:t>
      </w:r>
    </w:p>
    <w:p w14:paraId="0A6AC677" w14:textId="10025188" w:rsidR="00BB0F57" w:rsidRPr="005B09A9" w:rsidRDefault="00BB0F57" w:rsidP="00BB0F57">
      <w:pPr>
        <w:tabs>
          <w:tab w:val="left" w:pos="720"/>
          <w:tab w:val="right" w:leader="dot" w:pos="9062"/>
        </w:tabs>
        <w:spacing w:line="480" w:lineRule="auto"/>
        <w:jc w:val="left"/>
        <w:rPr>
          <w:rFonts w:ascii="Times New Roman" w:hAnsi="Times New Roman" w:cs="Times New Roman"/>
          <w:bCs/>
          <w:sz w:val="24"/>
          <w:szCs w:val="24"/>
        </w:rPr>
      </w:pPr>
      <w:r w:rsidRPr="005B09A9">
        <w:rPr>
          <w:rFonts w:ascii="Times New Roman" w:hAnsi="Times New Roman" w:cs="Times New Roman"/>
          <w:bCs/>
          <w:i/>
          <w:iCs/>
          <w:sz w:val="24"/>
          <w:szCs w:val="24"/>
        </w:rPr>
        <w:t>Higher pain intensity</w:t>
      </w:r>
      <w:r w:rsidRPr="005B09A9">
        <w:rPr>
          <w:rFonts w:ascii="Times New Roman" w:hAnsi="Times New Roman" w:cs="Times New Roman"/>
          <w:bCs/>
          <w:sz w:val="24"/>
          <w:szCs w:val="24"/>
        </w:rPr>
        <w:t xml:space="preserve"> seemed to be associated with poorer outcomes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{"citationID":"Xh3WN9qp","properties":{"formattedCitation":"(Bean et al., 2015; Bruehl et al., 2016; Vaneker et al., 2006)","plainCitation":"(Bean et al., 2015; Bruehl et al., 2016; Vaneker et al., 2006)","noteIndex":0},"citationItems":[{"id":108,"uris":["http://zotero.org/users/8777725/items/5R5L23ZJ"],"itemData":{"id":108,"type":"article-journal","abstract":"Previous studies have shown that the outcomes of complex regional pain syndrome (CRPS) vary significantly between patients, but few studies have identified prognostic indicators. The aim of this study was to determine whether psychological factors are associated with recovery from recently onset CRPS amongst patients followed prospectively for 1 year. Sixty-six patients with CRPS (type 1) were recruited within 12 weeks of symptom onset and assessed immediately and at 6 and 12 months, during which time they received treatment as usual. At each assessment, the following were measured: signs and symptoms of CRPS, pain, disability, depression, anxiety, stress, pain-related fear, pain catastrophising, laterality task performance, body perception disturbance, and perceived ownership of the limb. Mixed-effects models for repeated measures were conducted to identify baseline variables associated with CRPS severity, pain, and disability over the 12 months. Results showed that scores for all 3 outcome variables improved over the study period. Males and those with lower levels of baseline pain and disability experienced the lowest CRPS severity scores over 12 months. Those with lower baseline anxiety and disability had the lowest pain intensity over the study period, and those with lower baseline pain and pain-related fear experienced the least disability over the 12 months. This suggests that anxiety, pain-related fear, and disability are associated with poorer outcomes in CRPS and could be considered as target variables for early treatment. The findings support the theory that CRPS represents an aberrant protective response to perceived threat of tissue injury.","container-title":"Pain","DOI":"10.1097/j.pain.0000000000000282","ISSN":"18726623","issue":"11","note":"publisher: Lippincott Williams and Wilkins\nPMID: 26133727","page":"2310-2318","title":"Do psychological factors influence recovery from complex regional pain syndrome type 1? A prospective study","volume":"156","author":[{"family":"Bean","given":"Debbie J."},{"family":"Johnson","given":"Malcolm H."},{"family":"Heiss-Dunlop","given":"Wolfgang"},{"family":"Lee","given":"Arier C."},{"family":"Kydd","given":"Robert R."}],"issued":{"date-parts":[["2015",11]]}}},{"id":776,"uris":["http://zotero.org/users/8777725/items/THRET52N"],"itemData":{"id":776,"type":"article-journal","abstract":"Limited research suggests that there may be Warm complex regional pain syndrome (CRPS) and Cold CRPS subtypes, with inflammatory mechanisms contributing most strongly to the former. This study for the first time used an unbiased statistical pattern recognition technique to evaluate whether distinct Warm vs Cold CRPS subtypes can be discerned in the clinical population. An international, multisite study was conducted using standardized procedures to evaluate signs and symptoms in 152 patients with clinical CRPS at baseline, with 3-month follow-up evaluations in 112 of these patients. Two-step cluster analysis using automated cluster selection identified a 2-cluster solution as optimal. Results revealed a Warm CRPS patient cluster characterized by a warm, red, edematous, and sweaty extremity and a Cold CRPS patient cluster characterized by a cold, blue, and less edematous extremity. Median pain duration was significantly (P &lt; 0.001) shorter in the Warm CRPS (4.7 months) than in the Cold CRPS subtype (20 months), with pain intensity comparable. A derived total inflammatory score was significantly (P &lt; 0.001) elevated in the Warm CRPS group (compared with Cold CRPS) at baseline but diminished significantly (P &lt; 0.001) over the follow-up period, whereas this score did not diminish in the Cold CRPS group (time × subtype interaction: P &lt; 0.001). Results support the existence of a Warm CRPS subtype common in patients with acute (&lt;6 months) CRPS and a relatively distinct Cold CRPS subtype most common in chronic CRPS. The pattern of clinical features suggests that inflammatory mechanisms contribute most prominently to the Warm CRPS subtype but that these mechanisms diminish substantially during the first year postinjury.","container-title":"PAIN","DOI":"10.1097/j.pain.0000000000000569","ISSN":"0304-3959","issue":"8","language":"en-US","page":"1674–1681","source":"journals.lww.com","title":"Complex regional pain syndrome: evidence for warm and cold subtypes in a large prospective clinical sample","title-short":"Complex regional pain syndrome","volume":"157","author":[{"family":"Bruehl","given":"Stephen"},{"family":"Maihöfner","given":"Christian"},{"family":"Stanton-Hicks","given":"Michael"},{"family":"Perez","given":"Roberto S. G. M."},{"family":"Vatine","given":"Jean-Jacques"},{"family":"Brunner","given":"Florian"},{"family":"Birklein","given":"Frank"},{"family":"Schlereth","given":"Tanja"},{"family":"Mackey","given":"Sean"},{"family":"Mailis-Gagnon","given":"Angela"},{"family":"Livshitz","given":"Anatoly"},{"family":"Harden","given":"R. Norman"}],"issued":{"date-parts":[["2016",8]]}}},{"id":1192,"uris":["http://zotero.org/users/8777725/items/JZ4IWU44"],"itemData":{"id":1192,"type":"article-journal","abstract":"BACKGROUND: Complex Regional Pain Syndrome type 1 (CRPS 1) is a potentially incapacitating complication in which pain seems to be the most disabling factor. We performed a late follow up study of a well-defined CRPS 1 population more than eight years after diagnosis. The relationships between early and late impairments were studied with a view to outcome prediction and to investigate possible differences in long-term impairments according to initial CRPS 1 subdiagnosis (i.e. \"warm\" or \"cold\", diagnosed according to skin temperature measured via infrared thermometer).\nMETHODS: We again measured patients using the Impairment Level SumScore (ISS) (T8). These data were compared with earlier ISS measurements at CRPS diagnosis (T0) and after one year's treatment (T1). Correlations were determined between these measures.\nRESULTS: Forty-five patients participated in the present study. Total median ISS improved by 55% (statistically/clinically significant) after one year's treatment (T1), and worsened (non-significantly) by 14% from T1 to T8 - without differences according to original subdiagnosis. ISS correlations were stronger for T1 vs. T8 than for T0 vs. T1 or T0 vs. T8, being strongest for the ISS factors related to pain.\nCONCLUSIONS: Considerable impairments, as measured by ISS, are still present over eight years after first CRPS 1 diagnosis. These do not greatly change between one and eight years post-diagnosis. ISS outcomes are similar for \"cold\" and \"warm\" CRPS 1 diagnostic subgroups. Component ISS scores associated with pain appear to possess greatest predictive power.","container-title":"European Journal of Pain (London, England)","DOI":"10.1016/j.ejpain.2005.10.003","ISSN":"1090-3801","issue":"7","journalAbbreviation":"Eur J Pain","language":"eng","note":"PMID: 16300975","page":"639-644","source":"PubMed","title":"Impairments as measured by ISS do not greatly change between one and eight years after CRPS 1 diagnosis","volume":"10","author":[{"family":"Vaneker","given":"Michiel"},{"family":"Wilder-Smith","given":"Oliver H. G."},{"family":"Schrombges","given":"Patrick"},{"family":"Oerlemans","given":"H. Margreet"}],"issued":{"date-parts":[["2006",10]]}}}],"schema":"https://github.com/citation-style-language/schema/raw/master/csl-citation.json"}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(Bean et al., 2015; Bruehl et al., 2016; Vaneker et al., 2006)</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 xml:space="preserve">, except for one study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{"citationID":"a3nciZZy","properties":{"formattedCitation":"(Lee et al., 2019)","plainCitation":"(Lee et al., 2019)","noteIndex":0},"citationItems":[{"id":524,"uris":["http://zotero.org/users/8777725/items/AUZT428J"],"itemData":{"id":524,"type":"article-journal","abstract":"Background\nThe aim of this study was to investigate the clinical characteristics of complex regional pain syndrome (CRPS) in young male patients in South Korea, especially focusing on the association with military service.\n\nMethods\nFrom January 2007 to May 2017, we investigated the electronic medical records of 430 consecutive patients, aged 18 to 30 years, who visited Seoul National University Hospital Pain Center, with a suspected diagnosis of CRPS at the initial visit. The following patient details were available for analysis: demographic and disease-related variables, relevance to military service, medications, and the treatment modalities received.\n\nResults\nOut of 430 patients, 245 (57.0%) were diagnosed with CRPS, of which, 200 were male patients and 45 were female patients. Of the male patients, 95 (47.5%) developed CRPS during military service. CRPS during military service was more likely to result from sprain/strain, and the incidence of CRPS was significantly higher in the lower extremities in patients from the military service group than in those from the non-military service group. During the follow-up period, 37.9% of male CRPS patients (n = 61/161) were treated successfully. Patients with moderate to severe initial pain intensity, and diagnosed during their military service, showed better outcomes.\n\nConclusions\nOur results demonstrated that manifestation of CRPS in the young Korean population was more common in male and among those male CRPS patients, about half the cases developed during the military service period.","container-title":"The Korean Journal of Pain","DOI":"10.3344/kjp.2019.32.4.292","ISSN":"2005-9159","issue":"4","journalAbbreviation":"Korean J Pain","note":"PMID: 31569922\nPMCID: PMC6813901","page":"292-300","source":"PubMed Central","title":"Complex regional pain syndrome in the young male population: a retrospective study of 200 Korean young male patients","title-short":"Complex regional pain syndrome in the young male population","volume":"32","author":[{"family":"Lee","given":"Ho-Jin"},{"family":"Lee","given":"Chang-Soon"},{"family":"Yoo","given":"Yongjae"},{"family":"Noh","given":"Jae Mun"},{"family":"Yu","given":"Je Hyuk"},{"family":"Kim","given":"Yong-Chul"},{"family":"Moon","given":"Jee Youn"}],"issued":{"date-parts":[["2019",10]]}}}],"schema":"https://github.com/citation-style-language/schema/raw/master/csl-citation.json"}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(Lee et al., 2019)</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 xml:space="preserve">. Higher </w:t>
      </w:r>
      <w:r w:rsidR="00CD4CFE" w:rsidRPr="005B09A9">
        <w:rPr>
          <w:rFonts w:ascii="Times New Roman" w:hAnsi="Times New Roman" w:cs="Times New Roman"/>
          <w:bCs/>
          <w:sz w:val="24"/>
          <w:szCs w:val="24"/>
        </w:rPr>
        <w:t xml:space="preserve">early </w:t>
      </w:r>
      <w:r w:rsidRPr="005B09A9">
        <w:rPr>
          <w:rFonts w:ascii="Times New Roman" w:hAnsi="Times New Roman" w:cs="Times New Roman"/>
          <w:bCs/>
          <w:sz w:val="24"/>
          <w:szCs w:val="24"/>
        </w:rPr>
        <w:t xml:space="preserve">pain intensity has also been reported as a risk factor for the onset of the condition </w:t>
      </w:r>
      <w:r w:rsidRPr="005B09A9">
        <w:rPr>
          <w:rFonts w:ascii="Times New Roman" w:hAnsi="Times New Roman" w:cs="Times New Roman"/>
          <w:bCs/>
          <w:sz w:val="24"/>
          <w:szCs w:val="24"/>
        </w:rPr>
        <w:fldChar w:fldCharType="begin"/>
      </w:r>
      <w:r w:rsidR="00CD4CFE" w:rsidRPr="005B09A9">
        <w:rPr>
          <w:rFonts w:ascii="Times New Roman" w:hAnsi="Times New Roman" w:cs="Times New Roman"/>
          <w:bCs/>
          <w:sz w:val="24"/>
          <w:szCs w:val="24"/>
        </w:rPr>
        <w:instrText xml:space="preserve"> ADDIN ZOTERO_ITEM CSL_CITATION {"citationID":"ECqNE2fp","properties":{"formattedCitation":"(Dietz et al., 2019; Farzad et al., 2018; Moseley et al., 2014; Pons et al., 2015; Sava\\uc0\\u351{} et al., 2018)","plainCitation":"(Dietz et al., 2019; Farzad et al., 2018; Moseley et al., 2014; Pons et al., 2015; Savaş et al., 2018)","noteIndex":0},"citationItems":[{"id":1217,"uris":["http://zotero.org/users/8777725/items/KSC5368M"],"itemData":{"id":1217,"type":"article-journal","abstract":"Complex regional pain syndrome (CRPS) typically develops after fracture or trauma. Many of the studies so far have analyzed clinical and molecular markers of CRPS in comparison with healthy or pain controls. This approach, however, neglects mechanisms occurring during physiological trauma recovery. Therefore, we compared the clinical phenotype, sensory profiles, patient-reported outcomes, and exosomal immunobarrier microRNAs (miRs) regulating barrier function and immune response between CRPS and fracture controls (FCs) not fulfilling the CRPS diagnostic criteria. We included upper-extremity FCs, acute CRPS I patients within 1 year after trauma, a second disease control group (painful diabetic polyneuropathy), and healthy controls. Fracture controls were not symptoms-free, but reported some pain, disability, anxiety, and cold pain hyperalgesia in quantitative sensory testing. Patients with CRPS had higher scores for pain, disability, and all patient-reported outcomes. In quantitative sensory testing, ipsilateral and contralateral sides differed significantly. However, on the affected side, patients with CRPS were more sensitive in only 3 parameters (pinprick pain and blunt pressure) when compared to FCs. Two principal components were identified in the cohort: pain and psychological parameters distinguishing FC and CPRS. Furthermore, the immunobarrier-protective hsa-miR-223-5p was increased in plasma exosomes in FCs with normal healing, but not in CRPS and healthy controls. Low hsa-miR-223-5p was particularly observed in subjects with edema pointing towards barrier breakdown. In summary, normal trauma healing includes some CRPS signs and symptoms. It is the combination of different factors that distinguish CRPS and FC. Fracture control as a control group can assist to discover resolution factors after trauma.","container-title":"PAIN","DOI":"10.1097/j.pain.0000000000001617","ISSN":"0304-3959","issue":"10","language":"en-US","page":"2278–2289","source":"journals.lww.com","title":"What is normal trauma healing and what is complex regional pain syndrome I? An analysis of clinical and experimental biomarkers","title-short":"What is normal trauma healing and what is complex regional pain syndrome I?","volume":"160","author":[{"family":"Dietz","given":"Christopher"},{"family":"Müller","given":"Maike"},{"family":"Reinhold","given":"Ann-Kristin"},{"family":"Karch","given":"Lisa"},{"family":"Schwab","given":"Bernhard"},{"family":"Forer","given":"Lukas"},{"family":"Vlckova","given":"Eva"},{"family":"Brede","given":"Elmar-Marc"},{"family":"Jakubietz","given":"Rafael"},{"family":"Üçeyler","given":"Nurcan"},{"family":"Meffert","given":"Rainer"},{"family":"Bednarik","given":"Josef"},{"family":"Kress","given":"Michaela"},{"family":"Sommer","given":"Claudia"},{"family":"Dimova","given":"Violeta"},{"family":"Birklein","given":"Frank"},{"family":"Rittner","given":"Heike L."}],"issued":{"date-parts":[["2019",10]]}}},{"id":163,"uris":["http://zotero.org/users/8777725/items/R3SFGE8B"],"itemData":{"id":163,"type":"article-journal","abstract":"BACKGROUND: To investigate the role of psychological factors (anxiety and depression) and pain measured on a visual analogue scale (VAS) in the development of complex regional pain syndrome type I (CRPS I) following the distal radius fracture (DRF).\nMETHODS: A consecutive sample of patients (N=60) with a distal radius fracture was measured for signs of CRPS by Budapest criteria weekly till 8 weeks and then another follow-up one year after injury to determine the incidence and predictors of developing CRPS I in a prospective cohort study and also to discover whether there is difference between pain, depression, and anxiety level in the patients with and without CRPS I. The most of the patients were treated by Pin stabilization. The Beck depression inventoryshort form (BDI), State-Trait Anxiety Inventory, and Numerical pain rating scale were used to determine the patients' psychological features and pain intensity at the base line and 8 weeks after the fracture.\nRESULTS: CRPS I developed in 15 (25%) patients after eight weeks and just last in 10 (16.67%) patients after one year. No difference was found between the two groups (CRPS and non-CRPS group) in terms of state (STAI-I) and trait (STAI-II) anxiety, and BDI score. Pain at the base line was the most important risk factor in developing CRPS (odds ratio [OR] =1.52; 95% CI).\nCONCLUSIONS: After fracturing the distal radius, patients who have high pain intensity have a higher risk of developing CRPS I. To following these patients closely for the development of CRPS I may be advantageous for early preventative and therapeutic interventions.","container-title":"The Journal of Hand Surgery Asian-Pacific Volume","DOI":"10.1142/S2424835518500571","ISSN":"2424-8363","issue":"4","journalAbbreviation":"J Hand Surg Asian Pac Vol","language":"eng","note":"PMID: 30428789","page":"554-561","source":"PubMed","title":"Investigate the Effect of Psychological Factors in Development of Complex Regional Pain Syndrome Type I in Patients with Fracture of the Distal Radius: A Prospective Study","title-short":"Investigate the Effect of Psychological Factors in Development of Complex Regional Pain Syndrome Type I in Patients with Fracture of the Distal Radius","volume":"23","author":[{"family":"Farzad","given":"Maryam"},{"family":"Layeghi","given":"Fereydoun"},{"family":"Hosseini","given":"Ali"},{"family":"Dianat","given":"Al"},{"family":"Ahrari","given":"Nadiyeh"},{"family":"Rassafiani","given":"Mehdi"},{"family":"Mirzaei","given":"Hooshang"}],"issued":{"date-parts":[["2018",12]]}}},{"id":1223,"uris":["http://zotero.org/users/8777725/items/8D2JWKFV"],"itemData":{"id":1223,"type":"article-journal","abstract":"Complex regional pain syndrome (CRPS) is a distressing and difficult-to-treat complication of wrist fracture. Estimates of the incidence of CRPS after wrist fracture vary greatly. It is not currently possible to identify who will go on to develop CRPS after wrist fracture. In this prospective cohort study, a nearly consecutive sample of 1,549 patients presenting with wrist fracture to 1 of 3 hospital-based fracture clinics and managed nonsurgically was assessed within 1 week of fracture and followed up 4 months later. Established criteria were used to diagnose CRPS. The incidence of CRPS in the 4 months after wrist fracture was 3.8% (95% confidence interval = 2.9-4.8%). A prediction model based on 4 clinical assessments (pain, reaction time, dysynchiria, and swelling) discriminated well between patients who would and would not subsequently develop CRPS (c index .99). A simple assessment of pain intensity (0-10 numerical rating scale) provided nearly the same level of discrimination (c index .98). One in 26 patients develops CRPS within 4 months of nonsurgically managed wrist fracture. A pain score of ≥5 in the first week after fracture should be considered a \"red flag\" for CRPS.\nPERSPECTIVE: This study shows that excessive baseline pain in the week after wrist fracture greatly elevates the risk of developing CRPS. Clinicians can consider a rating of greater than 5/10 to the question \"What is your average pain over the last 2 days?\" to be a \"red flag\" for CRPS.","container-title":"The Journal of Pain","DOI":"10.1016/j.jpain.2013.08.009","ISSN":"1528-8447","issue":"1","journalAbbreviation":"J Pain","language":"eng","note":"PMID: 24268113","page":"16-23","source":"PubMed","title":"Intense pain soon after wrist fracture strongly predicts who will develop complex regional pain syndrome: prospective cohort study","title-short":"Intense pain soon after wrist fracture strongly predicts who will develop complex regional pain syndrome","volume":"15","author":[{"family":"Moseley","given":"G. Lorimer"},{"family":"Herbert","given":"Robert D."},{"family":"Parsons","given":"Timothy"},{"family":"Lucas","given":"Samantha"},{"family":"Van Hilten","given":"Jacobus J."},{"family":"Marinus","given":"Johan"}],"issued":{"date-parts":[["2014",1]]}}},{"id":244,"uris":["http://zotero.org/users/8777725/items/QZCXCE4X"],"itemData":{"id":244,"type":"article-journal","abstract":"Anaesthetists in the acute and chronic pain teams are often involved in treating Complex Regional Pain Syndromes. Current literature about the risk factors for the onset of Complex Regional Pain Syndrome Type 1 (CRPS 1) remains sparse. This syndrome has a low prevalence, a highly variable presentation, and no gold standard for diagnosis. In the research setting, the pathogenesis of the syndrome continues to be elusive. There is a growing body of literature that addresses efficacy of a wide range of interventions as well as the likely mechanisms that contribute to the onset of CRPS 1. The objective for this systematic search of the literature focuses on determining the potential risk factors for the onset of CRPS 1. Eligible articles were analysed, dated 1996 to April 2014, and potential risk factors for the onset of CRPS 1 were identified from 10 prospective and 6 retrospective studies. Potential risk factors for the onset of CRPS 1 were found to include being female, particularly postmenopausal female, ankle dislocation or intra-articular fracture, immobilisation, and a report of higher than usual levels of pain in the early phases of trauma. It is not possible to draw definite conclusions as this evidence is heterogeneous and of mixed quality, relevance, and weighting strength against bias and has not been confirmed across multiple trials or in homogenous studies.","container-title":"Anesthesiology Research and Practice","DOI":"10.1155/2015/956539","ISSN":"1687-6962","journalAbbreviation":"Anesthesiol Res Pract","note":"PMID: 25688265\nPMCID: PMC4321092","page":"956539","source":"PubMed Central","title":"Potential Risk Factors for the Onset of Complex Regional Pain Syndrome Type 1: A Systematic Literature Review","title-short":"Potential Risk Factors for the Onset of Complex Regional Pain Syndrome Type 1","volume":"2015","author":[{"family":"Pons","given":"Tracey"},{"family":"Shipton","given":"Edward A."},{"family":"Williman","given":"Jonathan"},{"family":"Mulder","given":"Roger T."}],"issued":{"date-parts":[["2015"]]}}},{"id":127,"uris":["http://zotero.org/users/8777725/items/HD8FZIHW"],"itemData":{"id":127,"type":"article-journal","abstract":"STUDY DESIGN: Prospective cohort study.\nINTRODUCTION: Identification of risk factors for CRPS development in patients with surgically treated traumatic injuries attending hand therapy allows to watch at-risk patients more closely for early diagnosis and to take precautionary measures as required.\nPURPOSE OF THE STUDY: The aim of this study was to evaluate the risk factors for the development of complex regional pain syndrome (CRPS) after surgical treatment of traumatic hand injuries.\nMETHODS: In this prospective cohort, 291 patients with traumatic hand injuries were evaluated 3 days after surgery and monitored for 3 months for the development of CRPS. The factors assessed for the development of CRPS were age, sex, manual work, postoperative pain within 3 days measured on a Pain Numerical Rating Scale (0-10), and injury type (crush injury, blunt trauma, and cut laceration injury).\nRESULTS: CRPS was diagnosed in 68 patients (26.2 %) with a durati</w:instrText>
      </w:r>
      <w:r w:rsidR="00CD4CFE" w:rsidRPr="005B09A9">
        <w:rPr>
          <w:rFonts w:ascii="Times New Roman" w:hAnsi="Times New Roman" w:cs="Times New Roman"/>
          <w:bCs/>
          <w:sz w:val="24"/>
          <w:szCs w:val="24"/>
          <w:lang w:val="fr-BE"/>
        </w:rPr>
        <w:instrText xml:space="preserve">on of 40.10 ± 17.01 days between the surgery and CRPS diagnosis. The mean postoperative pain score was greater in patients with CRPS than in those without CRPS (P &lt; .001). Patients with pain scores ≥ 5 had a high risk of developing CRPS compared with patients with pain scores &lt;5 (odds ratio: 3.61, confidence interval = 1.94-6.70). Patients with crush injuries were more likely to develop CRPS (odds ratio: 4.74, confidence interval = 2.29-9.80).\nCONCLUSIONS: The patients with a pain score of ≥5 in the first 3 days after surgery and the patients with crush injury were at high risk for CRPS development after surgical treatment of traumatic hand injuries.\nLEVEL OF EVIDENCE: II b.","container-title":"Journal of Hand Therapy: Official Journal of the American Society of Hand Therapists","DOI":"10.1016/j.jht.2017.03.007","ISSN":"1545-004X","issue":"2","journalAbbreviation":"J Hand Ther","language":"eng","note":"PMID: 28501479","page":"250-254","source":"PubMed","title":"Risk factors for complex regional pain syndrome in patients with surgically treated traumatic injuries attending hand therapy","volume":"31","author":[{"family":"Savaş","given":"Serpil"},{"family":"İnal","given":"Esra Erkol"},{"family":"Yavuz","given":"Dudu Dilek"},{"family":"Uslusoy","given":"Fuat"},{"family":"Altuntaş","given":"Selman Hakkı"},{"family":"Aydın","given":"Mustafa Asım"}],"issued":{"date-parts":[["2018",6]]}}}],"schema":"https://github.com/citation-style-language/schema/raw/master/csl-citation.json"} </w:instrText>
      </w:r>
      <w:r w:rsidRPr="005B09A9">
        <w:rPr>
          <w:rFonts w:ascii="Times New Roman" w:hAnsi="Times New Roman" w:cs="Times New Roman"/>
          <w:bCs/>
          <w:sz w:val="24"/>
          <w:szCs w:val="24"/>
        </w:rPr>
        <w:fldChar w:fldCharType="separate"/>
      </w:r>
      <w:r w:rsidR="00CD4CFE" w:rsidRPr="005B09A9">
        <w:rPr>
          <w:rFonts w:ascii="Times New Roman" w:hAnsi="Times New Roman" w:cs="Times New Roman"/>
          <w:sz w:val="24"/>
          <w:szCs w:val="24"/>
          <w:lang w:val="fr-BE"/>
        </w:rPr>
        <w:t>(Dietz et al., 2019; Farzad et al., 2018; Moseley et al., 2014; Pons et al., 2015; Savaş et al., 2018)</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lang w:val="fr-BE"/>
        </w:rPr>
        <w:t xml:space="preserve">. </w:t>
      </w:r>
      <w:r w:rsidRPr="005B09A9">
        <w:rPr>
          <w:rFonts w:ascii="Times New Roman" w:hAnsi="Times New Roman" w:cs="Times New Roman"/>
          <w:bCs/>
          <w:sz w:val="24"/>
          <w:szCs w:val="24"/>
        </w:rPr>
        <w:t xml:space="preserve">In a recent longitudinal study with total knee arthroplasty patients (n = 110)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{"citationID":"dCkszMcW","properties":{"formattedCitation":"(Bruehl et al., 2022)","plainCitation":"(Bruehl et al., 2022)","noteIndex":0},"citationItems":[{"id":1266,"uris":["http://zotero.org/users/8777725/items/5IPGZ39Q"],"itemData":{"id":1266,"type":"article-journal","container-title":"The Journal of Pain","DOI":"10.1016/j.jpain.2022.04.005","ISSN":"1526-5900, 1528-8447","issue":"0","journalAbbreviation":"The Journal of Pain","language":"English","note":"publisher: Elsevier\nPMID: 35470089","source":"www.jpain.org","title":"Preoperative Predictors of Complex Regional Pain Syndrome Outcomes in the 6 Months Following Total Knee Arthroplasty","URL":"https://www.jpain.org/article/S1526-5900(22)00303-0/fulltext","volume":"0","author":[{"family":"Bruehl","given":"Stephen"},{"family":"Iv","given":"Frederic T. Billings"},{"family":"Anderson","given":"Sara"},{"family":"Polkowski","given":"Gregory"},{"family":"Shinar","given":"Andrew"},{"family":"Schildcrout","given":"Jonathan"},{"family":"Shi","given":"Yaping"},{"family":"Milne","given":"Ginger"},{"family":"Dematteo","given":"Anthony"},{"family":"Mishra","given":"Puneet"},{"family":"Harden","given":"R. Norman"}],"accessed":{"date-parts":[["2022",5,2]]},"issued":{"date-parts":[["2022",4,22]]}}}],"schema":"https://github.com/citation-style-language/schema/raw/master/csl-citation.json"}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(Bruehl et al., 2022)</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 xml:space="preserve">, </w:t>
      </w:r>
      <w:r w:rsidRPr="005B09A9">
        <w:rPr>
          <w:rFonts w:ascii="Times New Roman" w:hAnsi="Times New Roman" w:cs="Times New Roman"/>
          <w:bCs/>
          <w:i/>
          <w:sz w:val="24"/>
          <w:szCs w:val="24"/>
        </w:rPr>
        <w:t>greater preoperative pain intensity</w:t>
      </w:r>
      <w:r w:rsidRPr="005B09A9">
        <w:rPr>
          <w:rFonts w:ascii="Times New Roman" w:hAnsi="Times New Roman" w:cs="Times New Roman"/>
          <w:bCs/>
          <w:sz w:val="24"/>
          <w:szCs w:val="24"/>
        </w:rPr>
        <w:t xml:space="preserve"> was predictive of higher CSS at 6-week and 6-month follow-up. It also predicted dichotomous CRPS diagnosis at 6-month follow-up. </w:t>
      </w:r>
    </w:p>
    <w:p w14:paraId="15DCB6C7" w14:textId="3445630B" w:rsidR="00BB0F57" w:rsidRPr="005B09A9" w:rsidRDefault="00BB0F57" w:rsidP="00BB0F57">
      <w:pPr>
        <w:tabs>
          <w:tab w:val="left" w:pos="720"/>
          <w:tab w:val="right" w:leader="dot" w:pos="9062"/>
        </w:tabs>
        <w:spacing w:line="480" w:lineRule="auto"/>
        <w:jc w:val="left"/>
        <w:rPr>
          <w:rFonts w:ascii="Times New Roman" w:hAnsi="Times New Roman" w:cs="Times New Roman"/>
          <w:sz w:val="24"/>
          <w:szCs w:val="24"/>
          <w:lang w:val="en-US"/>
        </w:rPr>
      </w:pPr>
      <w:r w:rsidRPr="005B09A9">
        <w:rPr>
          <w:rFonts w:ascii="Times New Roman" w:hAnsi="Times New Roman" w:cs="Times New Roman"/>
          <w:sz w:val="24"/>
          <w:szCs w:val="24"/>
        </w:rPr>
        <w:t xml:space="preserve">Concerning </w:t>
      </w:r>
      <w:r w:rsidRPr="005B09A9">
        <w:rPr>
          <w:rFonts w:ascii="Times New Roman" w:hAnsi="Times New Roman" w:cs="Times New Roman"/>
          <w:i/>
          <w:sz w:val="24"/>
          <w:szCs w:val="24"/>
        </w:rPr>
        <w:t>early</w:t>
      </w:r>
      <w:r w:rsidRPr="005B09A9">
        <w:rPr>
          <w:rFonts w:ascii="Times New Roman" w:hAnsi="Times New Roman" w:cs="Times New Roman"/>
          <w:sz w:val="24"/>
          <w:szCs w:val="24"/>
        </w:rPr>
        <w:t xml:space="preserve"> </w:t>
      </w:r>
      <w:r w:rsidRPr="005B09A9">
        <w:rPr>
          <w:rFonts w:ascii="Times New Roman" w:hAnsi="Times New Roman" w:cs="Times New Roman"/>
          <w:i/>
          <w:sz w:val="24"/>
          <w:szCs w:val="24"/>
        </w:rPr>
        <w:t>sensory symptoms</w:t>
      </w:r>
      <w:r w:rsidRPr="005B09A9">
        <w:rPr>
          <w:rFonts w:ascii="Times New Roman" w:hAnsi="Times New Roman" w:cs="Times New Roman"/>
          <w:sz w:val="24"/>
          <w:szCs w:val="24"/>
        </w:rPr>
        <w:t xml:space="preserve">, </w:t>
      </w:r>
      <w:r w:rsidR="00F67975" w:rsidRPr="005B09A9">
        <w:rPr>
          <w:rFonts w:ascii="Times New Roman" w:hAnsi="Times New Roman" w:cs="Times New Roman"/>
          <w:i/>
          <w:sz w:val="24"/>
          <w:szCs w:val="24"/>
          <w:lang w:val="en-US"/>
        </w:rPr>
        <w:t xml:space="preserve">lower PPT </w:t>
      </w:r>
      <w:r w:rsidR="00F67975" w:rsidRPr="005B09A9">
        <w:rPr>
          <w:rFonts w:ascii="Times New Roman" w:hAnsi="Times New Roman" w:cs="Times New Roman"/>
          <w:sz w:val="24"/>
          <w:szCs w:val="24"/>
          <w:lang w:val="en-US"/>
        </w:rPr>
        <w:t xml:space="preserve">and </w:t>
      </w:r>
      <w:r w:rsidR="00F67975" w:rsidRPr="005B09A9">
        <w:rPr>
          <w:rFonts w:ascii="Times New Roman" w:hAnsi="Times New Roman" w:cs="Times New Roman"/>
          <w:i/>
          <w:sz w:val="24"/>
          <w:szCs w:val="24"/>
          <w:lang w:val="en-US"/>
        </w:rPr>
        <w:t xml:space="preserve">allodynia </w:t>
      </w:r>
      <w:r w:rsidR="00F67975" w:rsidRPr="005B09A9">
        <w:rPr>
          <w:rFonts w:ascii="Times New Roman" w:hAnsi="Times New Roman" w:cs="Times New Roman"/>
          <w:sz w:val="24"/>
          <w:szCs w:val="24"/>
          <w:lang w:val="en-US"/>
        </w:rPr>
        <w:t>appear to be associated with poorer outcomes</w:t>
      </w:r>
      <w:r w:rsidR="00F67975" w:rsidRPr="005B09A9">
        <w:rPr>
          <w:rFonts w:ascii="Times New Roman" w:hAnsi="Times New Roman" w:cs="Times New Roman"/>
          <w:bCs/>
          <w:sz w:val="24"/>
          <w:szCs w:val="24"/>
        </w:rPr>
        <w:t xml:space="preserve"> in the literature </w:t>
      </w:r>
      <w:r w:rsidR="00F67975" w:rsidRPr="005B09A9">
        <w:rPr>
          <w:rFonts w:ascii="Times New Roman" w:hAnsi="Times New Roman" w:cs="Times New Roman"/>
          <w:sz w:val="24"/>
          <w:szCs w:val="24"/>
        </w:rPr>
        <w:fldChar w:fldCharType="begin"/>
      </w:r>
      <w:r w:rsidR="00F67975" w:rsidRPr="005B09A9">
        <w:rPr>
          <w:rFonts w:ascii="Times New Roman" w:hAnsi="Times New Roman" w:cs="Times New Roman"/>
          <w:sz w:val="24"/>
          <w:szCs w:val="24"/>
        </w:rPr>
        <w:instrText xml:space="preserve"> ADDIN ZOTERO_ITEM CSL_CITATION {"citationID":"xsNGeWYi","properties":{"formattedCitation":"(Bruehl et al., 2016; Dietz et al., 2019; Enax-Krumova EK et al., 2017; Huge et al., 2011; Meyer-Frie\\uc0\\u223{}em et al., 2020; Sandroni et al., 2003; Vaneker et al., 2005)","plainCitation":"(Bruehl et al., 2016; Dietz et al., 2019; Enax-Krumova EK et al., 2017; Huge et al., 2011; Meyer-Frießem et al., 2020; Sandroni et al., 2003; Vaneker et al., 2005)","noteIndex":0},"citationItems":[{"id":776,"uris":["http://zotero.org/users/8777725/items/THRET52N"],"itemData":{"id":776,"type":"article-journal","abstract":"Limited research suggests that there may be Warm complex regional pain syndrome (CRPS) and Cold CRPS subtypes, with inflammatory mechanisms contributing most strongly to the former. This study for the first time used an unbiased statistical pattern recognition technique to evaluate whether distinct Warm vs Cold CRPS subtypes can be discerned in the clinical population. An international, multisite study was conducted using standardized procedures to evaluate signs and symptoms in 152 patients with clinical CRPS at baseline, with 3-month follow-up evaluations in 112 of these patients. Two-step cluster analysis using automated cluster selection identified a 2-cluster solution as optimal. Results revealed a Warm CRPS patient cluster characterized by a warm, red, edematous, and sweaty extremity and a Cold CRPS patient cluster characterized by a cold, blue, and less edematous extremity. Median pain duration was significantly (P &lt; 0.001) shorter in the Warm CRPS (4.7 months) than in the Cold CRPS subtype (20 months), with pain intensity comparable. A derived total inflammatory score was significantly (P &lt; 0.001) elevated in the Warm CRPS group (compared with Cold CRPS) at baseline but diminished significantly (P &lt; 0.001) over the follow-up period, whereas this score did not diminish in the Cold CRPS group (time × subtype interaction: P &lt; 0.001). Results support the existence of a Warm CRPS subtype common in patients with acute (&lt;6 months) CRPS and a relatively distinct Cold CRPS subtype most common in chronic CRPS. The pattern of clinical features suggests that inflammatory mechanisms contribute most prominently to the Warm CRPS subtype but that these mechanisms diminish substantially during the first year postinjury.","container-title":"PAIN","DOI":"10.1097/j.pain.0000000000000569","ISSN":"0304-3959","issue":"8","language":"en-US","page":"1674–1681","source":"journals.lww.com","title":"Complex regional pain syndrome: evidence for warm and cold subtypes in a large prospective clinical sample","title-short":"Complex regional pain syndrome","volume":"157","author":[{"family":"Bruehl","given":"Stephen"},{"family":"Maihöfner","given":"Christian"},{"family":"Stanton-Hicks","given":"Michael"},{"family":"Perez","given":"Roberto S. G. M."},{"family":"Vatine","given":"Jean-Jacques"},{"family":"Brunner","given":"Florian"},{"family":"Birklein","given":"Frank"},{"family":"Schlereth","given":"Tanja"},{"family":"Mackey","given":"Sean"},{"family":"Mailis-Gagnon","given":"Angela"},{"family":"Livshitz","given":"Anatoly"},{"family":"Harden","given":"R. Norman"}],"issued":{"date-parts":[["2016",8]]}}},{"id":1217,"uris":["http://zotero.org/users/8777725/items/KSC5368M"],"itemData":{"id":1217,"type":"article-journal","abstract":"Complex regional pain syndrome (CRPS) typically develops after fracture or trauma. Many of the studies so far have analyzed clinical and molecular markers of CRPS in comparison with healthy or pain controls. This approach, however, neglects mechanisms occurring during physiological trauma recovery. Therefore, we compared the clinical phenotype, sensory profiles, patient-reported outcomes, and exosomal immunobarrier microRNAs (miRs) regulating barrier function and immune response between CRPS and fracture controls (FCs) not fulfilling the CRPS diagnostic criteria. We included upper-extremity FCs, acute CRPS I patients within 1 year after trauma, a second disease control group (painful diabetic polyneuropathy), and healthy controls. Fracture controls were not symptoms-free, but reported some pain, disability, anxiety, and cold pain hyperalgesia in quantitative sensory testing. Patients with CRPS had higher scores for pain, disability, and all patient-reported outcomes. In quantitative sensory testing, ipsilateral and contralateral sides differed significantly. However, on the affected side, patients with CRPS were more sensitive in only 3 parameters (pinprick pain and blunt pressure) when compared to FCs. Two principal components were identified in the cohort: pain and psychological parameters distinguishing FC and CPRS. Furthermore, the immunobarrier-protective hsa-miR-223-5p was increased in plasma exosomes in FCs with normal healing, but not in CRPS and healthy controls. Low hsa-miR-223-5p was particularly observed in subjects with edema pointing towards barrier breakdown. In summary, normal trauma healing includes some CRPS signs and symptoms. It is the combination of different factors that distinguish CRPS and FC. Fracture control as a control group can assist to discover resolution factors after trauma.","container-title":"PAIN","DOI":"10.1097/j.pain.0000000000001617","ISSN":"0304-3959","issue":"10","language":"en-US","page":"2278–2289","source":"journals.lww.com","title":"What is normal trauma healing and what is complex regional pain syndrome I? An analysis of clinical and experimental biomarkers","title-short":"What is normal trauma healing and what is complex regional pain syndrome I?","volume":"160","author":[{"family":"Dietz","given":"Christopher"},{"family":"Müller","given":"Maike"},{"family":"Reinhold","given":"Ann-Kristin"},{"family":"Karch","given":"Lisa"},{"family":"Schwab","given":"Bernhard"},{"family":"Forer","given":"Lukas"},{"family":"Vlckova","given":"Eva"},{"family":"Brede","given":"Elmar-Marc"},{"family":"Jakubietz","given":"Rafael"},{"family":"Üçeyler","given":"Nurcan"},{"family":"Meffert","given":"Rainer"},{"family":"Bednarik","given":"Josef"},{"family":"Kress","given":"Michaela"},{"family":"Sommer","given":"Claudia"},{"family":"Dimova","given":"Violeta"},{"family":"Birklein","given":"Frank"},{"family":"Rittner","given":"Heike L."}],"issued":{"date-parts":[["2019",10]]}}},{"id":698,"uris":["http://zotero.org/users/8777725/items/8UCDU4VT"],"itemData":{"id":698,"type":"article-journal","abstract":"OBJECTIVE: The most prominent sensory sign of the complex regional pain syndrome (CRPS) is blunt hyperalgesia, but longitudinal studies on its relation to the outcome of long-term multimodal treatment are lacking. METHODS: We examined 24 patients with CRPS type I using standardized Quantitative Sensory Testing on the affected hand and the contralateral hand at baseline and 6 months following treatment. Somatosensory evoked potentials after single and paired-pulse stimulation of the median nerve were performed to assess the paired-pulse suppression (n = 19). Treatment response at follow-up was defined as pain relief &gt; 30% and improved hand function. Statistics: Wilcoxon test, Pearson correlation. RESULTS: At baseline, similar to previous studies, the pressure pain threshold (PPT) was significantly decreased and the pain response to repeated pinprick stimuli was significantly increased, while all detection thresholds were within the normal range without any difference between the later treatment responders and non-responders. After 6 months of treatment, the PPT increased significantly in the whole study group. However, the pressure hyperalgesia improved only in treatment responders (n = 17, P  &lt; 0.05), whereas there was no improvement in non-responders (n = 7). The rest of the sensory profile remained nearly unchanged. There was a correlation between the paired-pulse suppression and the PPT only at follow-up (r = 0.49, P  &lt; 0.05), but not at baseline, where low pressure pain threshold was associated with impaired paired-pulse suppression. CONCLUSION: Thus, the persistence of blunt hyperalgesia seems to be associated with impaired paired-pulse suppression, both representing maladaptive central nervous changes in CRPS, which may account for the treatment non-response in this subgroup.","archive_location":"rayyan-231266859","container-title":"Pain medicine (Malden, Mass.)","ISSN":"1526-4637 (Electronic)","issue":"1","journalAbbreviation":"Pain Med","language":"eng","note":"publisher-place: England","page":"95-106","title":"Changes of the Sensory Abnormalities and Cortical Excitability in Patients with Complex Regional Pain Syndrome of the Upper Extremity After 6 Months of Multimodal Treatment.","volume":"18","author":[{"literal":"Enax-Krumova EK"},{"literal":"Lenz M"},{"literal":"Frettlöh J"},{"literal":"Höffken O"},{"literal":"Reinersmann A"},{"literal":"Schwarzer A"},{"literal":"Westermann A"},{"literal":"Tegenthoff M"},{"literal":"Maier C"}],"issued":{"date-parts":[["2017"]]}}},{"id":503,"uris":["http://zotero.org/users/8777725/items/T6W6ADRY"],"itemData":{"id":503,"type":"article-journal","abstract":"Spontaneous pain, hyperalgesia as well as sensory abnormalities, autonomic, trophic, and motor disturbances are key features of Complex Regional Pain Syndrome (CRPS). This study was conceived to comprehensively characterize the interaction of these symptoms in 118 patients with chronic upper limb CRPS (duration of disease: 43±23 months). Disease-related stress, depression, and the degree of accompanying motor disability were likewise assessed. Stress and depression were measured by Posttraumatic Stress Symptoms Score and Center for Epidemiological Studies Depression Test. Motor disability of the affected hand was determined by Sequential Occupational Dexterity Assessment and Michigan Hand Questionnaire. Sensory changes were assessed by Quantitative Sensory Testing according to the standards of the German Research Network on Neuropathic Pain. Almost two-thirds of all patients exhibited spontaneous pain at rest. Hand force as well as hand motor function were found to be substantially impaired. Results of Quantitative Sensory Testing revealed a distinct pattern of generalized bilateral sensory loss and hyperalgesia, most prominently to blunt pressure. Patients reported substantial motor complaints confirmed by the objective motor disability testings. Interestingly, patients displayed clinically relevant levels of stress and depression. We conclude that chronic CRPS is characterized by a combination of ongoing pain, pain-related disability, stress and depression, potentially triggered by peripheral nerve/tissue damage and ensuing sensory loss. In order to consolidate the different dimensions of disturbances in chronic CRPS, we developed a model based on interaction analysis suggesting a complex hierarchical interaction of peripheral (injury/sensory loss) and central factors (pain/disability/stress/depression) predicting motor dysfunction and hyperalgesia.","container-title":"PLoS ONE","DOI":"10.1371/journal.pone.0018775","ISSN":"1932-6203","issue":"4","journalAbbreviation":"PLoS One","note":"PMID: 21559525\nPMCID: PMC3084711","page":"e18775","source":"PubMed Central","title":"Complex Interaction of Sensory and Motor Signs and Symptoms in Chronic CRPS","volume":"6","author":[{"family":"Huge","given":"Volker"},{"family":"Lauchart","given":"Meike"},{"family":"Magerl","given":"Walter"},{"family":"Beyer","given":"Antje"},{"family":"Moehnle","given":"Patrick"},{"family":"Kaufhold","given":"Wibke"},{"family":"Schelling","given":"Gustav"},{"family":"Azad","given":"Shahnaz Christina"}],"issued":{"date-parts":[["2011",4,29]]}}},{"id":1203,"uris":["http://zotero.org/users/8777725/items/2UULJKMP"],"itemData":{"id":1203,"type":"article-journal","abstract":"Background and Aims Healthy women have generally been found to have increased experimental pain perception and chronic pain has a higher prevalence in female as compared to male patients. However, no study has investigated whether pain intensity and pain perception thresholds are distinct or similar between sexes within various chronic pain entities. We investigated whether average pain intensities and pain thresholds assessed using quantitative sensory testing (QST) differed between women and men suffering from three distinct chronic pain conditions: Complex Regional Pain Syndrome (CRPS type I), peripheral nerve injury (PNI) or polyneuropathy (PNP), as compared to paired healthy volunteers. Methods QST data of 1,252 patients (669 female, 583 male) with PNI (n = 342), PNP (n = 571) or CRPS (n = 339), and average pain intensity reports from previously published studies were included. Absolute and z-values (adjusted for age and body region) of cold, heat, pressure (PPT) and pinprick pain thresholds were compared in generalized linear models with aetiology, duration of underlying pain disease and average pain intensity as fixed effects. Results Average pain intensity during the past four weeks did not differ between women and men, in both mean and range. In women absolute pain thresholds for cold, heat and pinprick were lower than in males across all diagnoses (p &lt; .05). However, after z-transformation these differences disappeared except for PPT in CRPS (p = .001). Discussion Pain thresholds in patients show only minor sex differences. However, these differences mimic those observed in healthy subjects and do not seem to be linked to specific pathophysiological processes. Significance Female healthy participants and female patients with neuropathic pain conditions or CRPS I report lower pain thresholds compared to males, but pain intensity is similar and there is no sex difference in the extent to which the thresholds are altered in neuropathic pain or CRPS. Thus, the sex differences observed in various chronic pain conditions mimic those obtained in healthy participants, indicating that these differences are not linked to specific pathophysiological processes and are of minor clinical relevance.","container-title":"European Journal of Pain","DOI":"10.1002/ejp.1550","ISSN":"1532-2149","issue":"6","language":"en","note":"_eprint: https://onlinelibrary.wiley.com/doi/pdf/10.1002/ejp.1550","page":"1058-1071","source":"Wiley Online Library","title":"Pain thresholds and intensities of CRPS type I and neuropathic pain in respect to sex","volume":"24","author":[{"family":"Meyer-Frießem","given":"Christine H."},{"family":"Attal","given":"Nadine"},{"family":"Baron","given":"Ralf"},{"family":"Bouhassira","given":"Didier"},{"family":"Finnerup","given":"Nanna B."},{"family":"Freynhagen","given":"Rainer"},{"family":"Gierthmühlen","given":"Janne"},{"family":"Haanpää","given":"Maija"},{"family":"Hansson","given":"Per"},{"family":"Jensen","given":"Troels S."},{"family":"Kemp","given":"Harriet"},{"family":"Kennedy","given":"Donna"},{"family":"Leffler","given":"Anne-Sofie"},{"family":"Rice","given":"Andrew S. C."},{"family":"Segerdahl","given":"Märta"},{"family":"Serra","given":"Jordi"},{"family":"Sindrup","given":"Soeren"},{"family":"Solà","given":"Roma"},{"family":"Tölle","given":"Thomas"},{"family":"Schuh-Hofer","given":"Sigrid"},{"family":"Treede","given":"Rolf-Detlef"},{"family":"Pogatzki-Zahn","given":"Esther"},{"family":"Maier","given":"Christoph"},{"family":"Vollert","given":"Jan"}],"issued":{"date-parts":[["2020"]]}}},{"id":206,"uris":["http://zotero.org/users/8777725/items/CYSBIRAQ"],"itemData":{"id":206,"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A."}],"issued":{"date-parts":[["2003",5]]}}},{"id":1193,"uris":["http://zotero.org/users/8777725/items/X8RH9YIC"],"itemData":{"id":1193,"type":"article-journal","abstract":"We used quantitative sensory testing (QST) to gain further insight into mechanisms underlying pain in CRPS 1. Specific goals were: (1) to identify altered patterns of sensory processing some 8 years after diagnosis, (2) to document differences in sensory processing between 'warm' and 'cold' diagnostic subgroups, (3) to determine relationships between changed sensory processing and disease progression regarding pain. The study was performed on a cohort of patients (n=47) clinically diagnosed with CRPS 1 of one upper extremity approximately 8 years previously. Pain was quantified by VAS and MacGill Pain Questionnaire (MPQ), and all subjects underwent electrical and mechanical QST. Cold patients (n=13) had poorer MPQ scores than warm ones (n=34), and more pain on electrical stimulation. Their evoked pain increased with disease progression and correlated with clinical pain measures. For both diagnostic subgroups, thresholds to pressure pain were lower on the affected</w:instrText>
      </w:r>
      <w:r w:rsidR="00F67975" w:rsidRPr="005B09A9">
        <w:rPr>
          <w:rFonts w:ascii="Times New Roman" w:hAnsi="Times New Roman" w:cs="Times New Roman"/>
          <w:sz w:val="24"/>
          <w:szCs w:val="24"/>
          <w:lang w:val="fr-BE"/>
        </w:rPr>
        <w:instrText xml:space="preserve"> extremity and with disease progression. Eight years after original diagnosis, cold CRPS 1 patients have poorer clinical pain outcomes and show persistent signs of central sensitisation correlating with disease progression. The latter is not the case for warm CRPS 1 patients. Both diagnostic subgroups show greater pressure hyperalgesia on the affected limb and with disease progression. QST may prove useful in the subdiagnosis of CRPS 1 and in quantifying its progression, with both applications warranting further investigation for clinical and research use.","container-title":"Pain","DOI":"10.1016/j.pain.2005.02.031","ISSN":"0304-3959","issue":"1-2","journalAbbreviation":"Pain","language":"eng","note":"PMID: 15836983","page":"204-211","source":"PubMed","title":"Patients initially diagnosed as 'warm' or 'cold' CRPS 1 show differences in central sensory processing some eight years after diagnosis: a quantitative sensory testing study","title-short":"Patients initially diagnosed as 'warm' or 'cold' CRPS 1 show differences in central sensory processing some eight years after diagnosis","volume":"115","author":[{"family":"Vaneker","given":"Michiel"},{"family":"Wilder-Smith","given":"Oliver H. G."},{"family":"Schrombges","given":"Patrick"},{"family":"Man-Hermsen","given":"Irene","non-dropping-particle":"de"},{"family":"Oerlemans","given":"H. Magreet"}],"issued":{"date-parts":[["2005",5]]}}}],"schema":"https://github.com/citation-style-language/schema/raw/master/csl-citation.json"} </w:instrText>
      </w:r>
      <w:r w:rsidR="00F67975" w:rsidRPr="005B09A9">
        <w:rPr>
          <w:rFonts w:ascii="Times New Roman" w:hAnsi="Times New Roman" w:cs="Times New Roman"/>
          <w:sz w:val="24"/>
          <w:szCs w:val="24"/>
        </w:rPr>
        <w:fldChar w:fldCharType="separate"/>
      </w:r>
      <w:r w:rsidR="00F67975" w:rsidRPr="005B09A9">
        <w:rPr>
          <w:rFonts w:ascii="Times New Roman" w:hAnsi="Times New Roman" w:cs="Times New Roman"/>
          <w:sz w:val="24"/>
          <w:szCs w:val="24"/>
          <w:lang w:val="fr-BE"/>
        </w:rPr>
        <w:t>(Bruehl et al., 2016; Dietz et al., 2019; Enax-Krumova EK et al., 2017; Huge et al., 2011; Meyer-Frießem et al., 2020; Sandroni et al., 2003; Vaneker et al., 2005)</w:t>
      </w:r>
      <w:r w:rsidR="00F67975"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fr-BE"/>
        </w:rPr>
        <w:t xml:space="preserve">. </w:t>
      </w:r>
      <w:r w:rsidR="00F67975" w:rsidRPr="005B09A9">
        <w:rPr>
          <w:rFonts w:ascii="Times New Roman" w:hAnsi="Times New Roman" w:cs="Times New Roman"/>
          <w:bCs/>
          <w:sz w:val="24"/>
          <w:szCs w:val="24"/>
        </w:rPr>
        <w:t>Similarly, o</w:t>
      </w:r>
      <w:r w:rsidRPr="005B09A9">
        <w:rPr>
          <w:rFonts w:ascii="Times New Roman" w:hAnsi="Times New Roman" w:cs="Times New Roman"/>
          <w:sz w:val="24"/>
          <w:szCs w:val="24"/>
          <w:lang w:val="en-US"/>
        </w:rPr>
        <w:t xml:space="preserve">ne longitudinal study </w:t>
      </w:r>
      <w:r w:rsidRPr="005B09A9">
        <w:rPr>
          <w:rFonts w:ascii="Times New Roman" w:hAnsi="Times New Roman" w:cs="Times New Roman"/>
          <w:bCs/>
          <w:sz w:val="24"/>
          <w:szCs w:val="24"/>
          <w:lang w:val="en-US"/>
        </w:rPr>
        <w:t xml:space="preserve">correlated </w:t>
      </w:r>
      <w:r w:rsidRPr="005B09A9">
        <w:rPr>
          <w:rFonts w:ascii="Times New Roman" w:hAnsi="Times New Roman" w:cs="Times New Roman"/>
          <w:bCs/>
          <w:i/>
          <w:sz w:val="24"/>
          <w:szCs w:val="24"/>
          <w:lang w:val="en-US"/>
        </w:rPr>
        <w:t>widespread preoperative pain</w:t>
      </w:r>
      <w:r w:rsidRPr="005B09A9">
        <w:rPr>
          <w:rFonts w:ascii="Times New Roman" w:hAnsi="Times New Roman" w:cs="Times New Roman"/>
          <w:bCs/>
          <w:sz w:val="24"/>
          <w:szCs w:val="24"/>
          <w:lang w:val="en-US"/>
        </w:rPr>
        <w:t xml:space="preserve"> and </w:t>
      </w:r>
      <w:r w:rsidRPr="005B09A9">
        <w:rPr>
          <w:rFonts w:ascii="Times New Roman" w:hAnsi="Times New Roman" w:cs="Times New Roman"/>
          <w:bCs/>
          <w:i/>
          <w:sz w:val="24"/>
          <w:szCs w:val="24"/>
          <w:lang w:val="en-US"/>
        </w:rPr>
        <w:t>higher temporal summation of pain</w:t>
      </w:r>
      <w:r w:rsidRPr="005B09A9">
        <w:rPr>
          <w:rFonts w:ascii="Times New Roman" w:hAnsi="Times New Roman" w:cs="Times New Roman"/>
          <w:bCs/>
          <w:sz w:val="24"/>
          <w:szCs w:val="24"/>
          <w:lang w:val="en-US"/>
        </w:rPr>
        <w:t xml:space="preserve"> to CSS at 6-month post-total knee arthroplasty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lang w:val="en-US"/>
        </w:rPr>
        <w:instrText xml:space="preserve"> ADDIN ZOTERO_ITEM CSL_CITATION {"citationID":"faW4xMaj","properties":{"formattedCitation":"(Bruehl et al., 2022)","plainCitation":"(Bruehl et al., 2022)","noteIndex":0},"citationItems":[{"id":1266,"uris":["http://zotero.org/users/8777725/items/5IPGZ39Q"],"itemData":{"id":1266,"type":"article-journal","container-title":"The Journal of Pain","DOI":"10.1016/j.jpain.2022.04.005","ISSN":"1526-5900, 1528-8447","issue":"0","journalAbbreviation":"The Journal of Pain","language":"English","note":"publisher: Elsevier\nPMID: 35470089","source":"www.jpain.org","title":"Preoperative Predictors of Complex Regional Pain Syndrome Outcomes in the 6 Months Following Total Knee Arthroplasty","URL":"https://www.jpain.org/article/S1526-5900(22)00303-0/fulltext","volume":"0","author":[{"family":"Bruehl","given":"Stephen"},{"family":"Iv","given":"Frederic T. Billings"},{"family":"Anderson","given":"Sara"},{"family":"Polkowski","given":"Gregory"},{"family":"Shinar","given":"Andrew"},{"family":"Schildcrout","given":"Jonathan"},{"family":"Shi","given":"Yaping"},{"family":"Milne","given":"Ginger"},{"family":"Dematteo","given":"Anthony"},{"family":"Mishra","given":"Puneet"},{"family":"Harden","given":"R. Norman"}],"accessed":{"date-parts":[["2022",5,2]]},"issued":{"date-parts":[["2022",4,22]]}}}],"schema":"https://github.com/citation-style-language/schema/raw/master/csl-citation.json"}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lang w:val="en-US"/>
        </w:rPr>
        <w:t>(Bruehl et al., 2022)</w:t>
      </w:r>
      <w:r w:rsidRPr="005B09A9">
        <w:rPr>
          <w:rFonts w:ascii="Times New Roman" w:hAnsi="Times New Roman" w:cs="Times New Roman"/>
          <w:sz w:val="24"/>
          <w:szCs w:val="24"/>
        </w:rPr>
        <w:fldChar w:fldCharType="end"/>
      </w:r>
      <w:r w:rsidRPr="005B09A9">
        <w:rPr>
          <w:rFonts w:ascii="Times New Roman" w:hAnsi="Times New Roman" w:cs="Times New Roman"/>
          <w:bCs/>
          <w:sz w:val="24"/>
          <w:szCs w:val="24"/>
          <w:lang w:val="en-US"/>
        </w:rPr>
        <w:t>.</w:t>
      </w:r>
      <w:r w:rsidR="00F67975" w:rsidRPr="005B09A9">
        <w:rPr>
          <w:rFonts w:ascii="Times New Roman" w:hAnsi="Times New Roman" w:cs="Times New Roman"/>
          <w:sz w:val="24"/>
          <w:szCs w:val="24"/>
          <w:lang w:val="en-US"/>
        </w:rPr>
        <w:t xml:space="preserve"> </w:t>
      </w:r>
    </w:p>
    <w:p w14:paraId="1032D6BA" w14:textId="12C3806B" w:rsidR="003E6719" w:rsidRPr="005B09A9" w:rsidRDefault="00BB0F57" w:rsidP="00BB0F57">
      <w:pPr>
        <w:spacing w:line="480" w:lineRule="auto"/>
        <w:jc w:val="left"/>
        <w:rPr>
          <w:rFonts w:ascii="Times New Roman" w:hAnsi="Times New Roman" w:cs="Times New Roman"/>
          <w:bCs/>
          <w:strike/>
          <w:sz w:val="24"/>
          <w:szCs w:val="24"/>
        </w:rPr>
      </w:pPr>
      <w:r w:rsidRPr="005B09A9">
        <w:rPr>
          <w:rFonts w:ascii="Times New Roman" w:hAnsi="Times New Roman" w:cs="Times New Roman"/>
          <w:sz w:val="24"/>
          <w:szCs w:val="24"/>
        </w:rPr>
        <w:t xml:space="preserve">Some </w:t>
      </w:r>
      <w:r w:rsidRPr="005B09A9">
        <w:rPr>
          <w:rFonts w:ascii="Times New Roman" w:hAnsi="Times New Roman" w:cs="Times New Roman"/>
          <w:i/>
          <w:sz w:val="24"/>
          <w:szCs w:val="24"/>
        </w:rPr>
        <w:t>psychological factors</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yellow flags</w:t>
      </w:r>
      <w:r w:rsidRPr="005B09A9">
        <w:rPr>
          <w:rFonts w:ascii="Times New Roman" w:hAnsi="Times New Roman" w:cs="Times New Roman"/>
          <w:sz w:val="24"/>
          <w:szCs w:val="24"/>
        </w:rPr>
        <w:t xml:space="preserve">’) are related to long-term disability in musculoskeletal pain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{"citationID":"MxerukiS","properties":{"unsorted":true,"formattedCitation":"(Linton, 2000; Nicholas et al., 2011)","plainCitation":"(Linton, 2000; Nicholas et al., 2011)","noteIndex":0},"citationItems":[{"id":648,"uris":["http://zotero.org/users/8777725/items/E88APKG9"],"itemData":{"id":648,"type":"article-journal","abstract":"STUDY DESIGN: The literature on psychological factors in neck and back pain was systematically searched and reviewed.\nOBJECTIVES: To summarize current knowledge concerning the role of psychological variables in the etiology and development of neck and back pain.\nSUMMARY OF BACKGROUND DATA: Recent conceptions of spinal pain, especially chronic back pain, have highlighted the role of psychological factors. Numerous studies subsequently have examined the effects of various psychological factors in neck and back pain. There is a need to review this material to ascertain what conclusions may be drawn.\nMETHODS: Medical and psychological databases and cross-referencing were used to locate 913 potentially relevant articles. A table of 37 studies was constructed, consisting only of studies with prospective designs to ensure quality. Each study was reviewed for the population studied, the psychological predictor variables, and the outcome.\nRESULTS: The available literature indicated a clear link between psychological variables and neck and back pain. The prospective studies indicated that psychological variables were related to the onset of pain, and to acute, subacute, and chronic pain. Stress, distress, or anxiety as well as mood and emotions, cognitive functioning, and pain behavior all were found to be significant factors. Personality factors produced mixed results. Although the level of evidence was low, abuse also was found to be a potentially significant factor.\nCONCLUSIONS: Psychological factors play a significant role not only in chronic pain, but also in the etiology of acute pain, particularly in the transition to chronic problems. Specific types of psychological variables emerge and may be important in distinct developmental time frames, also implying that assessment and intervention need to reflect these variables. Still, psychological factors account for only a portion of the variance, thereby highlighting the multidimensional view. Because the methodologic quality of the studies varied considerably, future research should focus on improving quality and addressing new questions such as the mechanism, the developmental time factor, and the relevance that these risk factors have for intervention.","container-title":"Spine","DOI":"10.1097/00007632-200005010-00017","ISSN":"0362-2436","issue":"9","journalAbbreviation":"Spine (Phila Pa 1976)","language":"eng","note":"PMID: 10788861","page":"1148-1156","source":"PubMed","title":"A review of psychological risk factors in back and neck pain","volume":"25","author":[{"family":"Linton","given":"S. J."}],"issued":{"date-parts":[["2000",5,1]]}}},{"id":1181,"uris":["http://zotero.org/users/8777725/items/JQABIHQL"],"itemData":{"id":1181,"type":"article-journal","abstract":"Originally the term “yellow flags” was used to describe psychosocial prognostic factors for the development of disability following the onset of musculoskeletal pain. The identification of yellow flags through early screening was expected to prompt the application of intervention guidelines to achieve secondary prevention. In recent conceptualizations of yellow flags, it has been suggested that their range of applicability should be confined primarily to psychological risk factors to differentiate them from other risk factors, such as social and environmental variables. This article addresses 2 specific questions that arise from this development: (1) Can yellow flags influence outcomes in people with acute or subacute low back pain? and (2) Can yellow flags be targeted in interventions to produce better outcomes? Consistent evidence has been found to support the role of various psychological factors in prognosis, although questions remain about which factors are the most important, both individually and in combination, and how they affect outcomes. Published early interventions have reported mixed results, but, overa</w:instrText>
      </w:r>
      <w:r w:rsidRPr="005B09A9">
        <w:rPr>
          <w:rFonts w:ascii="Times New Roman" w:hAnsi="Times New Roman" w:cs="Times New Roman"/>
          <w:sz w:val="24"/>
          <w:szCs w:val="24"/>
          <w:lang w:val="fr-BE"/>
        </w:rPr>
        <w:instrText xml:space="preserve">ll, the evidence suggests that targeting yellow flags, particularly when they are at high levels, does seem to lead to more consistently positive results than either ignoring them or providing omnibus interventions to people regardless of psychological risk factors. Psychological risk factors for poor prognosis can be identified clinically and addressed within interventions, but questions remain in relation to issues such as timing, necessary skills, content of treatments, and context. In addition, there is still a need to elucidate mechanisms of change and better integrate this understanding into the broader context of secondary prevention of chronic pain and disability.","container-title":"Physical Therapy","DOI":"10.2522/ptj.20100224","ISSN":"0031-9023","issue":"5","journalAbbreviation":"Physical Therapy","page":"737-753","source":"Silverchair","title":"Early Identification and Management of Psychological Risk Factors (“Yellow Flags”) in Patients With Low Back Pain: A Reappraisal","title-short":"Early Identification and Management of Psychological Risk Factors (“Yellow Flags”) in Patients With Low Back Pain","volume":"91","author":[{"family":"Nicholas","given":"Michael K."},{"family":"Linton","given":"Steven J."},{"family":"Watson","given":"Paul J."},{"family":"Main","given":"Chris J."},{"literal":"the “Decade of the Flags” Working Group"}],"issued":{"date-parts":[["2011",5,1]]}}}],"schema":"https://github.com/citation-style-language/schema/raw/master/csl-citation.json"}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lang w:val="fr-BE"/>
        </w:rPr>
        <w:t>(Linton, 2000; Nicholas et al., 2011)</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fr-BE"/>
        </w:rPr>
        <w:t>.</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lang w:val="fr-BE"/>
        </w:rPr>
        <w:instrText xml:space="preserve"> ADDIN ZOTERO_ITEM CSL_CITATION {"citationID":"BquEjEuB","properties":{"unsorted":true,"formattedCitation":"\\super 70,71\\nosupersub{}","plainCitation":"70,71","dontUpdate":true,"noteIndex":0},"citationItems":[{"id":648,"uris":["http://zotero.org/users/8777725/items/E88APKG9"],"itemData":{"id":648,"type":"article-journal","abstract":"STUDY DESIGN: The literature on psychological factors in neck and back pain was systematically searched and reviewed.\nOBJECTIVES: To summarize current knowledge concerning the role of psychological variables in the etiology and development of neck and back pain.\nSUMMARY OF BACKGROUND DATA: Recent conceptions of spinal pain, especially chronic back pain, have highlighted the role of psychological factors. Numerous studies subsequently have examined the effects of various psychological factors in neck and back pain. There is a need to review this material to ascertain what conclusions may be drawn.\nMETHODS: Medical and psychological databases and cross-referencing were used to locate 913 potentially relevant articles. A table of 37 studies was constructed, consisting only of studies with prospective designs to ensure quality. Each study was reviewed for the population studied, the psychological predictor variables, and the outcome.\nRESULTS: The available literature indicated a clear link between psychological variables and neck and back pain. The prospective studies indicated that psychological variables were related to the onset of pain, and to acute, subacute, and chronic pain. Stress, distress, or anxiety as well as mood and emotions, cognitive functioning, and pain behavior all were found to be significant factors. Personality factors produced mixed results. Although the level of evidence was low, abuse also was found to be a potentially significant factor.\nCONCLUSIONS: Psychological factors play a significant role not only in chronic pain, but also in the etiology of acute pain, particularly in the transition to chronic problems. Specific types of psychological variables emerge and may be important in distinct developmental time frames, also implying that assessment and intervention need to reflect these variables. Still, psychological factors account for only a portion of the variance, thereby highlighting the multidimensional view. Because the methodologic quality of the studies varied considerably, future research should focus on improving quality and addressing new questions such as the mechanism, the developmental time factor, and the relevance that these risk factors have for intervention.","container-title":"Spine","DOI":"10.1097/00007632-200005010-00017","ISSN":"0362-2436","issue":"9","journalAbbreviation":"Spine (Phila Pa 1976)","language":"eng","note":"PMID: 10788861","page":"1148-1156","source":"PubMed","title":"A review of psychological risk factors in back and neck pain","volume":"25","author":[{"family":"Linton","given":"S. J."}],"issued":{"date-parts":[["2000",5,1]]}}},{"id":1181,"uris":["http://zotero.org/users/8777725/items/JQABIHQL"],"itemData":{"id":1181,"type":"article-journal","abstract":"Originally the term “yellow flags” was used to describe psychosocial prognostic factors for the development of disability following the onset of musculoskeletal pain. The identification of yellow flags through early screening was expected to prompt the application of intervention guidelines to achieve secondary prevention. In recent conceptualizations of yellow flags, it has been suggested that their range of applicability should be confined primarily to psychological risk factors to differentiate them from other risk factors, such as social and environmental variables. This article addresses 2 specific questions that arise from this development: (1) Can yellow flags influence outcomes in people with acute or subacute low back pain? and (2) Can yellow flags be targeted in interventions to produce better outcomes? Consistent evidence has been found to support the role of various psychological factors in prognosis, although questions remain about which factors are the most important, both individually and in combination, and how they affect outcomes. Published early interventions have reported mixed results, but, overa</w:instrText>
      </w:r>
      <w:r w:rsidRPr="005B09A9">
        <w:rPr>
          <w:rFonts w:ascii="Times New Roman" w:hAnsi="Times New Roman" w:cs="Times New Roman"/>
          <w:sz w:val="24"/>
          <w:szCs w:val="24"/>
          <w:lang w:val="fr-FR"/>
        </w:rPr>
        <w:instrText xml:space="preserve">ll, the evidence suggests that targeting yellow flags, particularly when they are at high levels, does seem to lead to more consistently positive results than either ignoring them or providing omnibus interventions to people regardless of psychological risk factors. Psychological risk factors for poor prognosis can be identified clinically and addressed within interventions, but questions remain in relation to issues such as timing, necessary skills, content of treatments, and context. In addition, there is still a need to elucidate mechanisms of change and better integrate this understanding into the broader context of secondary prevention of chronic pain and disability.","container-title":"Physical Therapy","DOI":"10.2522/ptj.20100224","ISSN":"0031-9023","issue":"5","journalAbbreviation":"Physical Therapy","page":"737-753","source":"Silverchair","title":"Early Identification and Management of Psychological Risk Factors (“Yellow Flags”) in Patients With Low Back Pain: A Reappraisal","title-short":"Early Identification and Management of Psychological Risk Factors (“Yellow Flags”) in Patients With Low Back Pain","volume":"91","author":[{"family":"Nicholas","given":"Michael K."},{"family":"Linton","given":"Steven J."},{"family":"Watson","given":"Paul J."},{"family":"Main","given":"Chris J."},{"literal":"the “Decade of the Flags” Working Group"}],"issued":{"date-parts":[["2011",5,1]]}}}],"schema":"https://github.com/citation-style-language/schema/raw/master/csl-citation.json"} </w:instrText>
      </w:r>
      <w:r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fr-FR"/>
        </w:rPr>
        <w:t xml:space="preserve"> Several tools, such as STarT back tool and the Orebro Musculoskeletal Pain Questionnaire,</w:t>
      </w:r>
      <w:r w:rsidRPr="005B09A9">
        <w:rPr>
          <w:rFonts w:ascii="Times New Roman" w:hAnsi="Times New Roman" w:cs="Times New Roman"/>
          <w:lang w:val="fr-FR"/>
        </w:rPr>
        <w:t xml:space="preserve"> </w:t>
      </w:r>
      <w:r w:rsidRPr="005B09A9">
        <w:rPr>
          <w:rFonts w:ascii="Times New Roman" w:hAnsi="Times New Roman" w:cs="Times New Roman"/>
          <w:sz w:val="24"/>
          <w:szCs w:val="24"/>
          <w:lang w:val="fr-FR"/>
        </w:rPr>
        <w:t xml:space="preserve">facilitate their identification during consultation. </w:t>
      </w:r>
      <w:r w:rsidRPr="005B09A9">
        <w:rPr>
          <w:rFonts w:ascii="Times New Roman" w:hAnsi="Times New Roman" w:cs="Times New Roman"/>
          <w:sz w:val="24"/>
          <w:szCs w:val="24"/>
          <w:lang w:eastAsia="fr-BE"/>
        </w:rPr>
        <w:t>Initially validated in neck and low back pain, some of these</w:t>
      </w:r>
      <w:r w:rsidRPr="005B09A9">
        <w:rPr>
          <w:rFonts w:ascii="Times New Roman" w:hAnsi="Times New Roman" w:cs="Times New Roman"/>
          <w:sz w:val="24"/>
          <w:szCs w:val="24"/>
        </w:rPr>
        <w:t xml:space="preserve"> tools have now been also validated for musculoskeletal pain </w:t>
      </w:r>
      <w:r w:rsidRPr="005B09A9">
        <w:rPr>
          <w:rFonts w:ascii="Times New Roman" w:hAnsi="Times New Roman" w:cs="Times New Roman"/>
          <w:sz w:val="24"/>
          <w:szCs w:val="24"/>
        </w:rPr>
        <w:fldChar w:fldCharType="begin"/>
      </w:r>
      <w:r w:rsidR="0041365F" w:rsidRPr="005B09A9">
        <w:rPr>
          <w:rFonts w:ascii="Times New Roman" w:hAnsi="Times New Roman" w:cs="Times New Roman"/>
          <w:sz w:val="24"/>
          <w:szCs w:val="24"/>
        </w:rPr>
        <w:instrText xml:space="preserve"> ADDIN ZOTERO_ITEM CSL_CITATION {"citationID":"VTIB5Hox","properties":{"formattedCitation":"(Dunn et al., 2021; Korogod et al., 2022; Veirman et al., 2019)","plainCitation":"(Dunn et al., 2021; Korogod et al., 2022; Veirman et al., 2019)","noteIndex":0},"citationItems":[{"id":1527,"uris":["http://zotero.org/users/8777725/items/LEMXIPPL"],"itemData":{"id":1527,"type":"article-journal","abstract":"BACKGROUND: Patients with musculoskeletal pain in different body sites share common prognostic factors. Using prognosis to stratify and treatment match can be clinically and cost-effective. We aimed to refine and validate the Keele STarT MSK Tool for prognostic stratification of musculoskeletal pain patients.\nMETHODS: Tool refinement and validity was tested in a prospective cohort study, and external validity examined in a pilot cluster randomized controlled trial (RCT). Study population comprised 2,414 adults visiting U.K. primary care with back, neck, knee, shoulder or multisite pain returning postal questionnaires (cohort: 1,890 [40% response]; trial: 524). Cohort baseline questionnaires included a draft tool plus refinement items. Trial baseline questionnaires included the Keele STarT MSK Tool. Physical health (SF-36 Physical Component Score [PCS]) and pain intensity were assessed at 2- and 6-month cohort follow-up; pain intensity was measured at 6-month trial follow-up.\nRESULTS: The tool was refined by replacing (3), adding (3) and removing (2) items, resulting in a 10-item tool. Model fit (R2 ) was 0.422 and 0.430 and discrimination (c statistic) 0.839 and 0.822 for predicting 6-month cohort PCS and pain (respectively). The tool classified 24.9% of cohort participants at low, 41.7% medium and 33.4% high risk, clearly discriminating between subgroups. The tool demonstrated model fit of 0.224 and discrimination 0.73 in trial participants. Multiple imputation confirmed robustness of findings.\nCONCLUSIONS: The Keele STarT MSK Tool demonstrates good validity and acceptable predictive performance and clearly identifies groups of musculoskeletal pain patients with different characteristics and prognosis. Using prognostic information for stratification and treatment matching may be clinically/cost-effective.\nSIGNIFICANCE: The paper presents the first musculoskeletal pain prognostic stratification tool specifically for use among all primary care patients with the five most common musculoskeletal pain presentations (back, neck, knee, shoulder or multisite pain). The Keele STarT MSK Tool identifies groups of musculoskeletal pain patients with clearly different characteristics and prognosis. Using this tool for stratification and treatment matching may be clinically and cost-effective.","container-title":"European Journal of Pain (London, England)","DOI":"10.1002/ejp.1821","ISSN":"1532-2149","issue":"10","journalAbbreviation":"Eur J Pain","language":"eng","note":"PMID: 34101299","page":"2081-2093","source":"PubMed","title":"Refinement and validation of a tool for stratifying patients with musculoskeletal pain","volume":"25","author":[{"family":"Dunn","given":"Kate M."},{"family":"Campbell","given":"Paul"},{"family":"Lewis","given":"Martyn"},{"family":"Hill","given":"Jonathan C."},{"family":"Windt","given":"Danielle A.","non-dropping-particle":"van der"},{"family":"Afolabi","given":"Ebenezer"},{"family":"Protheroe","given":"Joanne"},{"family":"Wathall","given":"Simon"},{"family":"Jowett","given":"Sue"},{"family":"Oppong","given":"Raymond"},{"family":"Mallen","given":"Christian D."},{"family":"Hay","given":"Elaine M."},{"family":"Foster","given":"Nadine E."}],"issued":{"date-parts":[["2021",11]]}}},{"id":1248,"uris":["http://zotero.org/users/8777725/items/C6PVRZZ9"],"itemData":{"id":1248,"type":"article-journal","abstract":"BACKGROUND: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id":223,"uris":["http://zotero.org/users/8777725/items/52SNSTY4"],"itemData":{"id":223,"type":"article-journal","abstract":"Screening tools allowing to predict poor pain outcomes are widely used. Often these screening tools contain psychosocial risk factors. This review (1) identifies multidimensional screening tools that include psychosocial risk factors for the development or maintenance of pain, pain-related distress, and pain-related disability across pain problems in adults, (2) evaluates the quality of the validation studies using Prediction model Risk Of Bias ASsessment Tool (PROBAST), and (3) synthesizes methodological concerns. We identified 32 articles, across 42 study samples, validating 7 screening tools. All tools were developed in the context of musculoskeletal pain, most often back pain, and aimed to predict the maintenance of pain or pain-related disability, not pain-related distress. Although more recent studies design, conduct, analyze, and report according to best practices in prognosis research, risk of bias was most often moderate. Common methodological concerns were identified, related to participant selection (eg, mixed populations), predictors (eg, predictors were administered differently to predictors in the development study), outcomes (eg, overlap between predictors and outcomes), sample size and participant flow (eg, unknown or inappropriate handling of missing data), and analysis (eg, wide variety of performance measures). Recommendations for future research are provided.","container-title":"Pain Reports","DOI":"10.1097/PR9.0000000000000775","ISSN":"2471-2531","issue":"5","journalAbbreviation":"Pain Rep","note":"PMID: 31875182\nPMCID: PMC6882575","page":"e775","source":"PubMed Central","title":"Multidimensional screening for predicting pain problems in adults: a systematic review of screening tools and validation studies","title-short":"Multidimensional screening for predicting pain problems in adults","volume":"4","author":[{"family":"Veirman","given":"Elke"},{"family":"Van Ryckeghem","given":"Dimitri M. L."},{"family":"De Paepe","given":"Annick"},{"family":"Kirtley","given":"Olivia J."},{"family":"Crombez","given":"Geert"}],"issued":{"date-parts":[["2019",9,11]]}}}],"schema":"https://github.com/citation-style-language/schema/raw/master/csl-citation.json"} </w:instrText>
      </w:r>
      <w:r w:rsidRPr="005B09A9">
        <w:rPr>
          <w:rFonts w:ascii="Times New Roman" w:hAnsi="Times New Roman" w:cs="Times New Roman"/>
          <w:sz w:val="24"/>
          <w:szCs w:val="24"/>
        </w:rPr>
        <w:fldChar w:fldCharType="separate"/>
      </w:r>
      <w:r w:rsidR="0041365F" w:rsidRPr="005B09A9">
        <w:rPr>
          <w:rFonts w:ascii="Times New Roman" w:hAnsi="Times New Roman" w:cs="Times New Roman"/>
          <w:sz w:val="24"/>
        </w:rPr>
        <w:t>(Dunn et al., 2021; Korogod et al., 2022; Veirman et al., 2019)</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None of these have been tested with CRPS subjects, although it can be </w:t>
      </w:r>
      <w:r w:rsidRPr="005B09A9">
        <w:rPr>
          <w:rFonts w:ascii="Times New Roman" w:hAnsi="Times New Roman" w:cs="Times New Roman"/>
          <w:sz w:val="24"/>
          <w:szCs w:val="24"/>
        </w:rPr>
        <w:lastRenderedPageBreak/>
        <w:t xml:space="preserve">hypothesized that psychological prognostic factors of CRPS are similar to those of other chronic pain syndromes </w:t>
      </w:r>
      <w:r w:rsidRPr="005B09A9">
        <w:rPr>
          <w:rFonts w:ascii="Times New Roman" w:hAnsi="Times New Roman" w:cs="Times New Roman"/>
          <w:sz w:val="24"/>
          <w:szCs w:val="24"/>
        </w:rPr>
        <w:fldChar w:fldCharType="begin"/>
      </w:r>
      <w:r w:rsidR="002E39B6" w:rsidRPr="005B09A9">
        <w:rPr>
          <w:rFonts w:ascii="Times New Roman" w:hAnsi="Times New Roman" w:cs="Times New Roman"/>
          <w:sz w:val="24"/>
          <w:szCs w:val="24"/>
        </w:rPr>
        <w:instrText xml:space="preserve"> ADDIN ZOTERO_ITEM CSL_CITATION {"citationID":"SYDvW9l4","properties":{"formattedCitation":"(Bean et al., 2014b; Korogod et al., 2022; Park et al., 2020)","plainCitation":"(Bean et al., 2014b; Korogod et al., 2022; Park et al., 2020)","noteIndex":0},"citationItems":[{"id":119,"uris":["http://zotero.org/users/8777725/items/R9JXS2CS"],"itemData":{"id":119,"type":"article-journal","abstract":"OBJECTIVE: Cognitive and emotional factors are known to influence peoples' pain experiences in many conditions, including low back pain. However, in complex regional pain syndrome (CRPS), their role is unclear. This study aimed to assess the relationships between psychological factors, pain, and disability in CRPS, compared with low back pain. This could help to identify target variables for psychological treatment.\nMATERIALS AND METHODS: A total of 88 CRPS patients and 88 low back pain patients completed measures of pain, disability, depression, anxiety, and fear of movement and reinjury (kinesiophobia). Mean scores between the 2 groups were compared, and correlations between psychological factors, pain, and disability were compared between the 2 groups. Predictors of pain and disability were assessed using multiple regression analyses.\nRESULTS: The 2 groups had remarkably similar scores on measures of pain, disability, depression, anxiety, and kinesiophobia. In both groups, those who were more depressed, anxious, and kinesiophobic were more disabled. For the CRPS group (but not the low back pain group), pain intensity significantly correlated with distress. Multivariate analyses showed that the unique predictors of disability for the 2 groups were pain and depression, and that depression had a stronger relationship with disability for the CRPS group. For both groups, pain intensity was predicted by kinesiophobia, and anxiety was a unique predictor in the CRPS group only.\nDISCUSSION: In CRPS, disability and pain severity were more strongly associated with psychological factors than they were in low back pain. Cause and effect relationships could not be established by this cross-sectional study.","container-title":"The Clinical Journal of Pain","DOI":"10.1097/AJP.0000000000000007","ISSN":"1536-5409","issue":"8","journalAbbreviation":"Clin J Pain","language":"eng","note":"PMID: 24135903","page":"647-653","source":"PubMed","title":"Relationships between psychological factors, pain, and disability in complex regional pain syndrome and low back pain","volume":"30","author":[{"family":"Bean","given":"Debbie J."},{"family":"Johnson","given":"Malcolm H."},{"family":"Kydd","given":"Robert R."}],"issued":{"date-parts":[["2014",8]]}}},{"id":1248,"uris":["http://zotero.org/users/8777725/items/C6PVRZZ9"],"itemData":{"id":1248,"type":"article-journal","abstract":"BACKGROUND: Prevention of chronic pain relies on accurate detection of at-risk patients. Screening tools have been validated mainly in (sub) acute spinal pain and the need of more generic tools is high. We assessed the validity of the French version of the short Örebro Musculoskeletal Pain Screening Questionnaire (ÖMPSQ) in patients with a large range of pain duration and localization.\nMETHODS: First, we re-analyzed data from a 6-month longitudinal study of 73 patients with (sub) acute spinal pain consulting in secondary line settings. Secondly, we performed a new 12-month longitudinal study of 542 primary care patients with (sub) acute and chronic pain in different localizations (spinal, limbs, \"non-musculoskeletal\"). The area under the receiver operating characteristic curve and cutoff scores were computed and compared for different subpopulations and ÖMPSQ subscores.\nRESULTS: Data from patients suffering from (sub) acute and chronic spinal pain consulting in both primary and secondary care settings confirmed the validity of the short French ÖMPSQ version and its subsets. In the primary care cohort, the performance of the questionnaire and its psychosocial subscore was variable but at least \"fair\" in most populations ((sub) acute and chronic, spinal and limb pain). Cutoff scores showed quite large variability depending on the outcome and the subpopulation considered.\nCONCLUSIONS: These results confirm the usefulness of the short French ÖMPSQ for prediction of the evolution of (sub) acute and chronic patients with spinal and limb pain, whatever its duration. However, increasing population heterogeneity results in slightly worse predictive performance and largely variable cutoff scores. Consequently, it might be difficult to choose universal cutoff scores and other criteria, such as patients' values and the available resources for patient management, should be taken into account.","container-title":"BMC musculoskeletal disorders","DOI":"10.1186/s12891-021-04944-9","ISSN":"1471-2474","issue":"1","journalAbbreviation":"BMC Musculoskelet Disord","language":"eng","note":"PMID: 35365109\nPMCID: PMC8976369","page":"311","source":"PubMed","title":"Can the French version of the short Örebro Musculoskeletal Pain Screening Questionnaire or its subsets predict the evolution of patients with acute, (sub) acute and chronic pain?","volume":"23","author":[{"family":"Korogod","given":"Natalya"},{"family":"Steyaert","given":"Arnaud"},{"family":"Nonclercq","given":"Olivier"},{"family":"Opsommer","given":"Emmanuelle"},{"family":"Berquin","given":"Anne"}],"issued":{"date-parts":[["2022",4,1]]}}},{"id":1225,"uris":["http://zotero.org/users/8777725/items/R67IMF9G"],"itemData":{"id":1225,"type":"article-journal","abstract":"Objective\nThis study investigated psychological characteristics of patients with chronic complex regional pain syndrome (CRPS) and examined relationships between psychosocial factors and pain severity.\n\nMethods\nIn total, 76 patients with CRPS, 95 patients with other types of chronic pain, 171 healthy controls, and 66 patients with major depressive disorder (MDD) were included. Minnesota Multiphasic Personality Inventory (MMPI-2) profiles and scores on the Beck Depression Inventory and State–Trait Anxiety Inventory were calculated. Pain intensity was measured using a visual analog scale (VAS).\n\nResults\nPatients with CRPS scored higher on the Hypochondriasis (Hs), Depression (D), Hysteria (Hy), Paranoia (Pa), and Psychasthenia (Pt) scales of the MMPI-2 compared to healthy controls. The CRPS group scored lower on the D, Psychopathic deviate (Pd), Pa, Pt, Schizophrenia (Sc), and Social introversion (Si) scales compared to the MDD group. Although CRPS patients reported higher levels of pain than patients with other types of pain, the MMPI profiles of th</w:instrText>
      </w:r>
      <w:r w:rsidR="002E39B6" w:rsidRPr="005B09A9">
        <w:rPr>
          <w:rFonts w:ascii="Times New Roman" w:hAnsi="Times New Roman" w:cs="Times New Roman"/>
          <w:sz w:val="24"/>
          <w:szCs w:val="24"/>
          <w:lang w:val="fr-BE"/>
        </w:rPr>
        <w:instrText xml:space="preserve">e two pain groups did not differ significantly. Linear regression analyses revealed that pain severity was significantly associated with depression and scores on the Masculinity–Femininity (Mf) scale.\n\nConclusion\nThis is the first comparative study of the psychological characteristics of chronic CRPS patients, healthy controls, and patients with MDD. The neurotic profiles of CRPS patients were more psychologically adaptable than were those of patients with MDD; however, this profile was shared by both pain groups. The present findings further showed that, although pain severity was not a major contributor to depression, patients with CRPS should be evaluated for depressive symptoms.","container-title":"Journal of Pain Research","DOI":"10.2147/JPR.S230394","ISSN":"1178-7090","journalAbbreviation":"J Pain Res","note":"PMID: 32104060\nPMCID: PMC7026116","page":"389-398","source":"PubMed Central","title":"Psychological Characteristics in Patients with Chronic Complex Regional Pain Syndrome: Comparisons with Patients with Major Depressive Disorder and Other Types of Chronic Pain","title-short":"Psychological Characteristics in Patients with Chronic Complex Regional Pain Syndrome","volume":"13","author":[{"family":"Park","given":"Hye Youn"},{"family":"Jang","given":"Ye Eun"},{"family":"Oh","given":"Sunghee"},{"family":"Lee","given":"Pyung Bok"}],"issued":{"date-parts":[["2020",2,13]]}}}],"schema":"https://github.com/citation-style-language/schema/raw/master/csl-citation.json"} </w:instrText>
      </w:r>
      <w:r w:rsidRPr="005B09A9">
        <w:rPr>
          <w:rFonts w:ascii="Times New Roman" w:hAnsi="Times New Roman" w:cs="Times New Roman"/>
          <w:sz w:val="24"/>
          <w:szCs w:val="24"/>
        </w:rPr>
        <w:fldChar w:fldCharType="separate"/>
      </w:r>
      <w:r w:rsidR="002E39B6" w:rsidRPr="005B09A9">
        <w:rPr>
          <w:rFonts w:ascii="Times New Roman" w:hAnsi="Times New Roman" w:cs="Times New Roman"/>
          <w:sz w:val="24"/>
          <w:lang w:val="fr-BE"/>
        </w:rPr>
        <w:t>(Bean et al., 2014b; Korogod et al., 2022; Park et al., 2020)</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fr-BE"/>
        </w:rPr>
        <w:t xml:space="preserve">. </w:t>
      </w:r>
      <w:r w:rsidRPr="005B09A9">
        <w:rPr>
          <w:rFonts w:ascii="Times New Roman" w:hAnsi="Times New Roman" w:cs="Times New Roman"/>
          <w:sz w:val="24"/>
          <w:szCs w:val="24"/>
        </w:rPr>
        <w:t>In support of this statement, some studies have suggested a link between psychological factors and CRPS outcomes. For example,</w:t>
      </w:r>
      <w:r w:rsidR="00E83DE9"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depressive scores</w:t>
      </w:r>
      <w:r w:rsidRPr="005B09A9">
        <w:rPr>
          <w:rFonts w:ascii="Times New Roman" w:hAnsi="Times New Roman" w:cs="Times New Roman"/>
          <w:sz w:val="24"/>
          <w:szCs w:val="24"/>
        </w:rPr>
        <w:t xml:space="preserve"> </w:t>
      </w:r>
      <w:r w:rsidR="00E83DE9" w:rsidRPr="005B09A9">
        <w:rPr>
          <w:rFonts w:ascii="Times New Roman" w:hAnsi="Times New Roman" w:cs="Times New Roman"/>
          <w:sz w:val="24"/>
          <w:szCs w:val="24"/>
        </w:rPr>
        <w:t>were associated to</w:t>
      </w:r>
      <w:r w:rsidRPr="005B09A9">
        <w:rPr>
          <w:rFonts w:ascii="Times New Roman" w:hAnsi="Times New Roman" w:cs="Times New Roman"/>
          <w:sz w:val="24"/>
          <w:szCs w:val="24"/>
        </w:rPr>
        <w:t xml:space="preserve"> pain intensity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{"citationID":"nNxtU78N","properties":{"formattedCitation":"(Kindl et al., 2022; Park et al., 2020)","plainCitation":"(Kindl et al., 2022; Park et al., 2020)","noteIndex":0},"citationItems":[{"id":1209,"uris":["http://zotero.org/users/8777725/items/5B3VDRFA"],"itemData":{"id":1209,"type":"article-journal","abstract":"Background Complex regional pain syndrome (CRPS) is an orphan disease occurring as a complication after trauma. Due to its acute onset and the typical clinical presentation of the inflammatory and autonomous signs, it is an eye-catching chronic pain disease affecting also young and working people. In social media and the internet, high pain severity and the unfavourable prognosis are often empathized. Methods Here, we compared epidemiological, pain and lifestyle factors of 223 CPRS patients from the “ncRNAPain” cohort with 255 patients with chronic musculoskeletal pain (MSK). MSK patients were recruited at the beginning of a multimodal pain therapy programme. We searched for factors predicting pain intensity. Results Both chronic pain diseases affected women in middle age. Patients with MSK were more obese, drank more alcohol, and were less educated (Pearson chi-square Test or Mann–Whitney/U-Test). Both groups smoked more than healthy people in the OECD (Organization for Economic Cooperation and Development). Mann–Whitney/U-Test confirmed that CRPS patients did not have more severe pain and did not suffer more from pain-related disability than patients with MSK. CRPS patients also had less psychiatric comorbidities. Multiple linear regression analysis revealed that group assignment, depressive characteristics, body mass index, average alcohol consumption and smoking predicted higher pain ratings, while disease duration, anxiety symptoms or gender had no influence on pain intensity. Conclusion In summary, our study supports a more optimistic view on pain in CRPS patients in comparison to MSK and identifies lifestyle factors that might contribute to the pathophysiology like smoking and drinking. Important next steps are the identification of CRPS patients at risk for chronification or—vice versa—with protective factors for pain resolution. Significance This study compares complex regional pain syndrome (CRPS) and chronic musculoskeletal pain and questions previously reported pain, disability and lifestyle factors associated with CRPS.","container-title":"European Journal of Pain","DOI":"10.1002/ejp.1900","ISSN":"1532-2149","issue":"3","language":"en","note":"_eprint: https://onlinelibrary.wiley.com/doi/pdf/10.1002/ejp.1900","page":"719-728","source":"Wiley Online Library","title":"Pain, disability, and lifestyle: Patients with complex regional pain syndrome compared to chronic musculoskeletal pain—A retrospective analysis","title-short":"Pain, disability, and lifestyle","volume":"26","author":[{"family":"Kindl","given":"Gudrun"},{"family":"Teichmüller","given":"Karolin"},{"family":"Escolano-Lozano","given":"Fabiola"},{"family":"Birklein","given":"Frank"},{"family":"Rittner","given":"Heike L."}],"issued":{"date-parts":[["2022"]]}}},{"id":1225,"uris":["http://zotero.org/users/8777725/items/R67IMF9G"],"itemData":{"id":1225,"type":"article-journal","abstract":"Objective\nThis study investigated psychological characteristics of patients with chronic complex regional pain syndrome (CRPS) and examined relationships between psychosocial factors and pain severity.\n\nMethods\nIn total, 76 patients with CRPS, 95 patients with other types of chronic pain, 171 healthy controls, and 66 patients with major depressive disorder (MDD) were included. Minnesota Multiphasic Personality Inventory (MMPI-2) profiles and scores on the Beck Depression Inventory and State–Trait Anxiety Inventory were calculated. Pain intensity was measured using a visual analog scale (VAS).\n\nResults\nPatients with CRPS scored higher on the Hypochondriasis (Hs), Depression (D), Hysteria (Hy), Paranoia (Pa), and Psychasthenia (Pt) scales of the MMPI-2 compared to healthy controls. The CRPS group scored lower on the D, Psychopathic deviate (Pd), Pa, Pt, Schizophrenia (Sc), and Social introversion (Si) scales compared to the MDD group. Although CRPS patients reported higher levels of pain than patients with other types of pain, the MMPI profiles of the two pain groups did not differ significantly. Linear regression analyses revealed that pain severity was significantly associated with depression and scores on the Masculinity–Femininity (Mf) scale.\n\nConclusion\nThis is the first comparative study of the psychological characteristics of chronic CRPS patients, healthy controls, and patients with MDD. The neurotic profiles of CRPS patients were more psychologically adaptable than were those of patients with MDD; however, this profile was shared by both pain groups. The present findings further showed that, although pain severity was not a major contributor to depression, patients with CRPS should be evaluated for depressive symptoms.","container-title":"Journal of Pain Research","DOI":"10.2147/JPR.S230394","ISSN":"1178-7090","journalAbbreviation":"J Pain Res","note":"PMID: 32104060\nPMCID: PMC7026116","page":"389-398","source":"PubMed Central","title":"Psychological Characteristics in Patients with Chronic Complex Regional Pain Syndrome: Comparisons with Patients with Major Depressive Disorder and Other Types of Chronic Pain","title-short":"Psychological Characteristics in Patients with Chronic Complex Regional Pain Syndrome","volume":"13","author":[{"family":"Park","given":"Hye Youn"},{"family":"Jang","given":"Ye Eun"},{"family":"Oh","given":"Sunghee"},{"family":"Lee","given":"Pyung Bok"}],"issued":{"date-parts":[["2020",2,13]]}}}],"schema":"https://github.com/citation-style-language/schema/raw/master/csl-citation.json"}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(Kindl et al., 2022; Park et al., 2020)</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w:t>
      </w:r>
      <w:r w:rsidR="00E83DE9" w:rsidRPr="005B09A9">
        <w:rPr>
          <w:rFonts w:ascii="Times New Roman" w:hAnsi="Times New Roman" w:cs="Times New Roman"/>
          <w:i/>
          <w:sz w:val="24"/>
          <w:szCs w:val="24"/>
        </w:rPr>
        <w:t>P</w:t>
      </w:r>
      <w:r w:rsidRPr="005B09A9">
        <w:rPr>
          <w:rFonts w:ascii="Times New Roman" w:hAnsi="Times New Roman" w:cs="Times New Roman"/>
          <w:i/>
          <w:sz w:val="24"/>
          <w:szCs w:val="24"/>
        </w:rPr>
        <w:t>ain catastrophizing score</w:t>
      </w:r>
      <w:r w:rsidRPr="005B09A9">
        <w:rPr>
          <w:rFonts w:ascii="Times New Roman" w:hAnsi="Times New Roman" w:cs="Times New Roman"/>
          <w:sz w:val="24"/>
          <w:szCs w:val="24"/>
        </w:rPr>
        <w:t xml:space="preserve"> </w:t>
      </w:r>
      <w:r w:rsidR="00E83DE9" w:rsidRPr="005B09A9">
        <w:rPr>
          <w:rFonts w:ascii="Times New Roman" w:hAnsi="Times New Roman" w:cs="Times New Roman"/>
          <w:sz w:val="24"/>
          <w:szCs w:val="24"/>
        </w:rPr>
        <w:t xml:space="preserve">was correlated </w:t>
      </w:r>
      <w:r w:rsidRPr="005B09A9">
        <w:rPr>
          <w:rFonts w:ascii="Times New Roman" w:hAnsi="Times New Roman" w:cs="Times New Roman"/>
          <w:sz w:val="24"/>
          <w:szCs w:val="24"/>
        </w:rPr>
        <w:t>with disability, pain at rest</w:t>
      </w:r>
      <w:r w:rsidR="00846CC1" w:rsidRPr="005B09A9">
        <w:rPr>
          <w:rFonts w:ascii="Times New Roman" w:hAnsi="Times New Roman" w:cs="Times New Roman"/>
          <w:sz w:val="24"/>
          <w:szCs w:val="24"/>
        </w:rPr>
        <w:t>,</w:t>
      </w:r>
      <w:r w:rsidRPr="005B09A9">
        <w:rPr>
          <w:rFonts w:ascii="Times New Roman" w:hAnsi="Times New Roman" w:cs="Times New Roman"/>
          <w:sz w:val="24"/>
          <w:szCs w:val="24"/>
        </w:rPr>
        <w:t xml:space="preserve"> and pain with movement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{"citationID":"CJ3gYrpa","properties":{"formattedCitation":"(Farzad et al., 2021)","plainCitation":"(Farzad et al., 2021)","noteIndex":0},"citationItems":[{"id":1273,"uris":["http://zotero.org/users/8777725/items/F3IUNHS3"],"itemData":{"id":1273,"type":"article-journal","abstract":"Purpose To examine the associations between psychological factors (pain catastrophizing, pain-related anxiety, and fear of pain) and level of pain and disability in patients with complex regional pain syndrome (CRPS).Methods One hundred and two patients with CRPS were recruited from tertiary care centers with the different upper limb injuries were evaluated for pain, disability, and psychological factors. Patients completed the Disabilities of the Arm, Shoulder, and Hand (DASH) Questionnaire, Patient Rated Wrist Evaluation (PRWE), Pain Catastrophizing Scale (PCS), Tampa Scale of Kinesiophobia (TSK-11), and Depression, Anxiety, and Stress Scale (DASS). The associations of pain and disability with presence of these behavioral and mental health factors were examined using bivariate and multivariable analyses. These models were adjusted for age, sex, injured dominant hand, and previous surgery.Results A higher pain catastrophizing score (β = 0.55, p = 0.00) was associated with greater disability. A higher pain catastrophizing score (β = 0.35, p = 0.001) and female gender (β = 0.24, p = 0.01) were associated with greater pain at rest (PAR). A higher pain catastrophizing score and having a surgical history were associated with greater pain with movement (β = 0.25, p = 0.02). Scores of ≥18.5 in PCS, ≥57.5 on TSK, and ≥15.5 on DASS were associated with higher risk of experiencing pain and disability.Conclusions Pain catastrophizing, female sex, and surgical intervention are associated with poor outcomes. Physiologic, psychological factors, and treatment factors interact to influence outcomes. The results of this study further validate the associations of chronic pain and disability with pain catastrophizing in patients with CRPS. The novel finding of this study is introducing cut-off scores for TSK, PCS, and DASS as a screening tool to predict pain, functional limitations.Implication for rehabilitationPain catastrophizing has a vital role in the magnitude of disability and pain in patients with CRPS.The novel finding of this paper was the cut-off scores on the psychological evaluations that can enable using them as screening tool for bad outcomes in patients with CRPS.Cut off scores from different psychological evaluations can be used as a yellow flag for clinician’s for detecting patients with increased risk of pain and disability.The identification of a cut-off can also have implications for implementing change in clinical practice by identifying the need for early and intensive interventions.","container-title":"Disability and Rehabilitation","DOI":"10.1080/09638288.2021.2009045","ISSN":"0963-8288","issue":"0","note":"publisher: Taylor &amp; Francis\n_eprint: https://doi.org/10.1080/09638288.2021.2009045\nPMID: 33683933","page":"1-9","source":"Taylor and Francis+NEJM","title":"Factors associated with disability and pain intensity in patients with complex regional pain syndrome","volume":"0","author":[{"family":"Farzad","given":"Maryam"},{"family":"MacDermid","given":"Joy C."},{"family":"Packham","given":"Tara"},{"family":"Khodabandeh","given":"Behzad"},{"family":"Vahedi","given":"Mohsen"},{"family":"Shafiee","given":"Erfan"}],"issued":{"date-parts":[["2021",12,6]]}}}],"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(Farzad et al., 2021)</w:t>
      </w:r>
      <w:r w:rsidRPr="005B09A9">
        <w:rPr>
          <w:rFonts w:ascii="Times New Roman" w:hAnsi="Times New Roman" w:cs="Times New Roman"/>
          <w:sz w:val="24"/>
          <w:szCs w:val="24"/>
        </w:rPr>
        <w:fldChar w:fldCharType="end"/>
      </w:r>
      <w:r w:rsidR="00E83DE9" w:rsidRPr="005B09A9">
        <w:rPr>
          <w:rFonts w:ascii="Times New Roman" w:hAnsi="Times New Roman" w:cs="Times New Roman"/>
          <w:sz w:val="24"/>
          <w:szCs w:val="24"/>
        </w:rPr>
        <w:t xml:space="preserve">. In contrast, in a </w:t>
      </w:r>
      <w:r w:rsidRPr="005B09A9">
        <w:rPr>
          <w:rFonts w:ascii="Times New Roman" w:hAnsi="Times New Roman" w:cs="Times New Roman"/>
          <w:sz w:val="24"/>
          <w:szCs w:val="24"/>
        </w:rPr>
        <w:t xml:space="preserve">two-round Delphi-survey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{"citationID":"FXjh2Hem","properties":{"formattedCitation":"(Brunner et al., 2011)","plainCitation":"(Brunner et al., 2011)","noteIndex":0},"citationItems":[{"id":1459,"uris":["http://zotero.org/users/8777725/items/9NH3WFLW"],"itemData":{"id":1459,"type":"article-journal","abstract":"OBJECTIVE: A major challenge in the management of patients with complex regional pain syndrome 1 is identifying those individuals who are at risk of developing severe problems. Data from large follow-up studies providing empirical evidence are largely lacking. The goal of this study was to obtain an expert-agreed priority list of parameters that are correlated with a poor prognosis.\nMETHODS: In a two-round Delphi survey, experts were asked to list those parameters that they considered to be strongly associated with a poor prognosis (first round) and to weight parameters that they believed to be most relevant for poor prognosis (second round). Median ratings and interquartile ranges were calculated. Rates &gt; 7 and interquartile ranges &lt; 3 depicted important and expert-agreed parameters.\nRESULTS: Thirty-nine experts compiled a list of 254 items. Twenty-eight experts reached a consensus on 49 important items associated with poor prognosis. They primarily agreed on clinical manifestations of complex regional pain syndrome 1. Psychosocial factors were considered less important.\nCONCLUSION: The findings of this study indicate that poor prognosis for complex regional pain syndrome 1 is primarily dependent on clinical manifestations. While evidence suggests that psychosocial factors may play a role in the development of the condition, their role in poor prognosis appears to be less important.","container-title":"Journal of Rehabilitation Medicine","DOI":"10.2340/16501977-0856","ISSN":"1651-2081","issue":"9","journalAbbreviation":"J Rehabil Med","language":"eng","note":"PMID: 21874213","page":"783-786","source":"PubMed","title":"Poor prognostic factors in complex regional pain syndrome 1: a Delphi survey","title-short":"Poor prognostic factors in complex regional pain syndrome 1","volume":"43","author":[{"family":"Brunner","given":"Florian"},{"family":"Nauer","given":"Mara"},{"family":"Bachmann","given":"Lucas M."}],"issued":{"date-parts":[["2011",9]]}}}],"schema":"https://github.com/citation-style-language/schema/raw/master/csl-citation.json"}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(Brunner et al., 2011)</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39 experts associated a worse prognosis in CRPS with some clinical manifestations (</w:t>
      </w:r>
      <w:r w:rsidRPr="005B09A9">
        <w:rPr>
          <w:rFonts w:ascii="Times New Roman" w:hAnsi="Times New Roman" w:cs="Times New Roman"/>
          <w:i/>
          <w:iCs/>
          <w:sz w:val="24"/>
          <w:szCs w:val="24"/>
        </w:rPr>
        <w:t xml:space="preserve">pain intensity&gt;5 on </w:t>
      </w:r>
      <w:r w:rsidRPr="005B09A9">
        <w:rPr>
          <w:rFonts w:ascii="Times New Roman" w:hAnsi="Times New Roman" w:cs="Times New Roman"/>
          <w:i/>
          <w:sz w:val="24"/>
          <w:szCs w:val="24"/>
        </w:rPr>
        <w:t>visual analog scale [</w:t>
      </w:r>
      <w:r w:rsidRPr="005B09A9">
        <w:rPr>
          <w:rFonts w:ascii="Times New Roman" w:hAnsi="Times New Roman" w:cs="Times New Roman"/>
          <w:i/>
          <w:iCs/>
          <w:sz w:val="24"/>
          <w:szCs w:val="24"/>
        </w:rPr>
        <w:t>VAS]</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allodynia</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hypoesthesia</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joint contracture</w:t>
      </w:r>
      <w:r w:rsidRPr="005B09A9">
        <w:rPr>
          <w:rFonts w:ascii="Times New Roman" w:hAnsi="Times New Roman" w:cs="Times New Roman"/>
          <w:sz w:val="24"/>
          <w:szCs w:val="24"/>
        </w:rPr>
        <w:t xml:space="preserve">, …). </w:t>
      </w:r>
      <w:r w:rsidRPr="005B09A9">
        <w:rPr>
          <w:rFonts w:ascii="Times New Roman" w:hAnsi="Times New Roman" w:cs="Times New Roman"/>
          <w:i/>
          <w:sz w:val="24"/>
          <w:szCs w:val="24"/>
        </w:rPr>
        <w:t>Psychological factors</w:t>
      </w:r>
      <w:r w:rsidRPr="005B09A9">
        <w:rPr>
          <w:rFonts w:ascii="Times New Roman" w:hAnsi="Times New Roman" w:cs="Times New Roman"/>
          <w:sz w:val="24"/>
          <w:szCs w:val="24"/>
        </w:rPr>
        <w:t xml:space="preserve"> were considered less important. </w:t>
      </w:r>
    </w:p>
    <w:p w14:paraId="7D220B18" w14:textId="77777777" w:rsidR="00552749" w:rsidRPr="005B09A9" w:rsidRDefault="00552749" w:rsidP="00635726">
      <w:pPr>
        <w:pStyle w:val="Paragraphedeliste"/>
        <w:numPr>
          <w:ilvl w:val="2"/>
          <w:numId w:val="18"/>
        </w:numPr>
        <w:spacing w:line="480" w:lineRule="auto"/>
        <w:rPr>
          <w:rStyle w:val="Accentuationlgre"/>
          <w:rFonts w:ascii="Times New Roman" w:hAnsi="Times New Roman"/>
          <w:b w:val="0"/>
          <w:sz w:val="24"/>
          <w:lang w:val="en-GB"/>
        </w:rPr>
      </w:pPr>
      <w:r w:rsidRPr="005B09A9">
        <w:rPr>
          <w:rStyle w:val="Accentuationlgre"/>
          <w:rFonts w:ascii="Times New Roman" w:hAnsi="Times New Roman"/>
          <w:b w:val="0"/>
          <w:sz w:val="24"/>
          <w:lang w:val="en-GB"/>
        </w:rPr>
        <w:t>Other Potential Prognostic Factors</w:t>
      </w:r>
    </w:p>
    <w:p w14:paraId="1E109527" w14:textId="77777777" w:rsidR="00552749" w:rsidRPr="005B09A9" w:rsidRDefault="00552749" w:rsidP="00552749">
      <w:pPr>
        <w:tabs>
          <w:tab w:val="left" w:pos="720"/>
          <w:tab w:val="right" w:leader="dot" w:pos="9062"/>
        </w:tabs>
        <w:spacing w:line="480" w:lineRule="auto"/>
        <w:jc w:val="left"/>
        <w:rPr>
          <w:rFonts w:ascii="Times New Roman" w:hAnsi="Times New Roman" w:cs="Times New Roman"/>
          <w:sz w:val="24"/>
          <w:szCs w:val="24"/>
        </w:rPr>
      </w:pPr>
      <w:r w:rsidRPr="005B09A9">
        <w:rPr>
          <w:rFonts w:ascii="Times New Roman" w:hAnsi="Times New Roman" w:cs="Times New Roman"/>
          <w:sz w:val="24"/>
          <w:szCs w:val="24"/>
          <w:lang w:val="en-US"/>
        </w:rPr>
        <w:t xml:space="preserve">A previous systematic review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lang w:val="en-US"/>
        </w:rPr>
        <w:instrText xml:space="preserve"> ADDIN ZOTERO_ITEM CSL_CITATION {"citationID":"PDszv68j","properties":{"formattedCitation":"(Wertli et al., 2013)","plainCitation":"(Wertli et al., 2013)","noteIndex":0},"citationItems":[{"id":215,"uris":["http://zotero.org/users/8777725/items/3U3BU2GE"],"itemData":{"id":215,"type":"article-journal","abstract":"OBJECTIVE: The aim of this systematic review was to merge and summarize the current evidence about prognostic factors relevant to the course of complex regional pain syndrome 1.\nMETHODS: MEDLINE, Embase, PsychINFO, CENTRAL and screened reference lists of included studies were searched for studies of parameters associated with the prognosis of the condition. Studies investigating stroke-related complex regional pain syndrome were excluded.\nRESULTS: Searches retrieved 2,577 references, of which 12 articles were included in the study. The preferred diagnostic criteria were the Veldman and the International Association for the Study of Pain criteria. The mean level of study quality was insufficient. A total of 28 prognostic factors was identified. Sensory disturbances and cold skin temperature appear to represent parameters associated with poor prognosis in complex regional pain syndrome 1. For many parameters the evidence is contradictory.\nCONCLUSION: Evidence about prognostic factors for complex regional pain syndrome 1 is scarce, which prevents firm conclusions being drawn. Further high-quality aetiological and clinical research is needed.","container-title":"Journal of Rehabilitation Medicine","DOI":"10.2340/16501977-1103","ISSN":"1651-2081","issue":"3","journalAbbreviation":"J Rehabil Med","language":"eng","note":"PMID: 23389624","page":"225-231","source":"PubMed","title":"Prognostic factors in complex regional pain syndrome 1: a systematic review","title-short":"Prognostic factors in complex regional pain syndrome 1","volume":"45","author":[{"family":"Wertli","given":"Maria"},{"family":"Bachmann","given":"Lucas M."},{"family":"Weiner","given":"Shira Schecter"},{"family":"Brunner","given":"Florian"}],"issued":{"date-parts":[["2013",3]]}}}],"schema":"https://github.com/citation-style-language/schema/raw/master/csl-citation.json"}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(Wertli et al., 2013)</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on the topic analysed longitudinal studies published between 1990 and 2011 that assessed prognostic factors in type I CRPS, regardless of condition duration. </w:t>
      </w:r>
      <w:r w:rsidRPr="005B09A9">
        <w:rPr>
          <w:rFonts w:ascii="Times New Roman" w:hAnsi="Times New Roman" w:cs="Times New Roman"/>
          <w:i/>
          <w:iCs/>
          <w:sz w:val="24"/>
          <w:szCs w:val="24"/>
        </w:rPr>
        <w:t>Cold skin temperature</w:t>
      </w:r>
      <w:r w:rsidRPr="005B09A9">
        <w:rPr>
          <w:rFonts w:ascii="Times New Roman" w:hAnsi="Times New Roman" w:cs="Times New Roman"/>
          <w:sz w:val="24"/>
          <w:szCs w:val="24"/>
        </w:rPr>
        <w:t xml:space="preserve"> and </w:t>
      </w:r>
      <w:r w:rsidRPr="005B09A9">
        <w:rPr>
          <w:rFonts w:ascii="Times New Roman" w:hAnsi="Times New Roman" w:cs="Times New Roman"/>
          <w:i/>
          <w:iCs/>
          <w:sz w:val="24"/>
          <w:szCs w:val="24"/>
        </w:rPr>
        <w:t>sensory disturbance</w:t>
      </w:r>
      <w:r w:rsidRPr="005B09A9">
        <w:rPr>
          <w:rFonts w:ascii="Times New Roman" w:hAnsi="Times New Roman" w:cs="Times New Roman"/>
          <w:sz w:val="24"/>
          <w:szCs w:val="24"/>
        </w:rPr>
        <w:t xml:space="preserve"> were reported </w:t>
      </w:r>
      <w:r w:rsidRPr="005B09A9">
        <w:rPr>
          <w:rFonts w:ascii="Times New Roman" w:hAnsi="Times New Roman" w:cs="Times New Roman"/>
          <w:bCs/>
          <w:sz w:val="24"/>
          <w:szCs w:val="24"/>
        </w:rPr>
        <w:t>as negative prognostic factors</w:t>
      </w:r>
      <w:r w:rsidRPr="005B09A9">
        <w:rPr>
          <w:rFonts w:ascii="Times New Roman" w:hAnsi="Times New Roman" w:cs="Times New Roman"/>
          <w:sz w:val="24"/>
          <w:szCs w:val="24"/>
        </w:rPr>
        <w:t xml:space="preserve">. Only two of their 12 articles met our inclusion criteria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{"citationID":"MRL1G2iY","properties":{"formattedCitation":"(Dauty et al., 2001; Laulan et al., 1997)","plainCitation":"(Dauty et al., 2001; Laulan et al., 1997)","noteIndex":0},"citationItems":[{"id":441,"uris":["http://zotero.org/users/8777725/items/EQG2M7E9"],"itemData":{"id":441,"type":"article-journal","abstract":"A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(Dauty et al., 2001; Laulan et al., 1997)</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Specifically, we included cross-sectional studies and restricted our search to early prognostic factors.</w:t>
      </w:r>
    </w:p>
    <w:p w14:paraId="545C1B4B" w14:textId="007E7BEE" w:rsidR="00D236E8" w:rsidRPr="005B09A9" w:rsidRDefault="00552749" w:rsidP="00422F8B">
      <w:pPr>
        <w:spacing w:line="480" w:lineRule="auto"/>
        <w:jc w:val="left"/>
        <w:rPr>
          <w:rFonts w:ascii="Times New Roman" w:hAnsi="Times New Roman" w:cs="Times New Roman"/>
          <w:sz w:val="24"/>
          <w:szCs w:val="24"/>
        </w:rPr>
      </w:pPr>
      <w:r w:rsidRPr="005B09A9">
        <w:rPr>
          <w:rFonts w:ascii="Times New Roman" w:eastAsia="Calibri" w:hAnsi="Times New Roman" w:cs="Times New Roman"/>
          <w:sz w:val="24"/>
          <w:szCs w:val="24"/>
        </w:rPr>
        <w:t xml:space="preserve">Some studies that did not meet our criteria could give useful complementary information for the clinician.  </w:t>
      </w:r>
      <w:r w:rsidR="00635726" w:rsidRPr="005B09A9">
        <w:rPr>
          <w:rFonts w:ascii="Times New Roman" w:eastAsia="Calibri" w:hAnsi="Times New Roman" w:cs="Times New Roman"/>
          <w:sz w:val="24"/>
          <w:szCs w:val="24"/>
        </w:rPr>
        <w:t xml:space="preserve">One longitudinal study </w:t>
      </w:r>
      <w:r w:rsidRPr="005B09A9">
        <w:rPr>
          <w:rFonts w:ascii="Times New Roman" w:hAnsi="Times New Roman" w:cs="Times New Roman"/>
          <w:sz w:val="24"/>
          <w:szCs w:val="24"/>
          <w:lang w:val="en-US"/>
        </w:rPr>
        <w:t xml:space="preserve">followed 152 CRPS participants with different durations </w:t>
      </w:r>
      <w:r w:rsidRPr="005B09A9">
        <w:rPr>
          <w:rFonts w:ascii="Times New Roman" w:hAnsi="Times New Roman" w:cs="Times New Roman"/>
          <w:sz w:val="24"/>
          <w:szCs w:val="24"/>
          <w:lang w:val="fr-FR"/>
        </w:rPr>
        <w:fldChar w:fldCharType="begin"/>
      </w:r>
      <w:r w:rsidR="00635726" w:rsidRPr="005B09A9">
        <w:rPr>
          <w:rFonts w:ascii="Times New Roman" w:hAnsi="Times New Roman" w:cs="Times New Roman"/>
          <w:sz w:val="24"/>
          <w:szCs w:val="24"/>
          <w:lang w:val="en-US"/>
        </w:rPr>
        <w:instrText xml:space="preserve"> ADDIN ZOTERO_ITEM CSL_CITATION {"citationID":"olgRwCri","properties":{"formattedCitation":"(Bruehl et al., 2016)","plainCitation":"(Bruehl et al., 2016)","noteIndex":0},"citationItems":[{"id":776,"uris":["http://zotero.org/users/8777725/items/THRET52N"],"itemData":{"id":776,"type":"article-journal","abstract":"Limited research suggests that there may be Warm complex regional pain syndrome (CRPS) and Cold CRPS subtypes, with inflammatory mechanisms contributing most strongly to the former. This study for the first time used an unbiased statistical pattern recognition technique to evaluate whether distinct Warm vs Cold CRPS subtypes can be discerned in the clinical population. An international, multisite study was conducted using standardized procedures to evaluate signs and symptoms in 152 patients with clinical CRPS at baseline, with 3-month follow-up evaluations in 112 of these patients. Two-step cluster analysis using automated cluster selection identified a 2-cluster solution as optimal. Results revealed a Warm CRPS patient cluster characterized by a warm, red, edematous, and sweaty extremity and a Cold CRPS patient cluster characterized by a cold, blue, and less edematous extremity. Median pain duration was significantly (P &lt; 0.001) shorter in the Warm CRPS (4.7 months) than in the Cold CRPS subtype (20 months), with pain intensity comparable. A derived total inflammatory score was significantly (P &lt; 0.001) elevated in the Warm CRPS group (compared with Cold CRPS) at baseline but diminished significantly (P &lt; 0.001) over the follow-up period, whereas this score did not diminish in the Cold CRPS group (time × subtype interaction: P &lt; 0.001). Results support the existence of a Warm CRPS subtype common in patients with acute (&lt;6 months) CRPS and a relatively distinct Cold CRPS subtype most common in chronic CRPS. The pattern of clinical features suggests that inflammatory mechanisms contribute most prominently to the Warm CRPS subtype but that these mechanisms diminish substantially during the first year postinjury.","container-title":"PAIN","DOI":"10.1097/j.pain.0000000000000569","ISSN":"0304-3959","issue":"8","language":"en-US","page":"1674–1681","source":"journals.lww.com","title":"Complex regional pain syndrome: evidence for warm and cold subtypes in a large prospective clinical sample","title-short":"Complex regional pain syndrome","volume":"157","author":[{"family":"Bruehl","given":"Stephen"},{"family":"Maihöfner","given":"Christian"},{"family":"Stanton-Hicks","given":"Michael"},{"family":"Perez","given":"Roberto S. G. M."},{"family":"Vatine","given":"Jean-Jacques"},{"family":"Brunner","given":"Florian"},{"family":"Birklein","given":"Frank"},{"family":"Schlereth","given":"Tanja"},{"family":"Mackey","given":"Sean"},{"family":"Mailis-Gagnon","given":"Angela"},{"family":"Livshitz","given":"Anatoly"},{"family":"Harden","given":"R. Norman"}],"issued":{"date-parts":[["2016",8]]}},"label":"page"}],"schema":"https://github.com/citation-style-language/schema/raw/master/csl-citation.json"} </w:instrText>
      </w:r>
      <w:r w:rsidRPr="005B09A9">
        <w:rPr>
          <w:rFonts w:ascii="Times New Roman" w:hAnsi="Times New Roman" w:cs="Times New Roman"/>
          <w:sz w:val="24"/>
          <w:szCs w:val="24"/>
          <w:lang w:val="fr-FR"/>
        </w:rPr>
        <w:fldChar w:fldCharType="separate"/>
      </w:r>
      <w:r w:rsidR="00635726" w:rsidRPr="005B09A9">
        <w:rPr>
          <w:rFonts w:ascii="Times New Roman" w:hAnsi="Times New Roman" w:cs="Times New Roman"/>
          <w:sz w:val="24"/>
        </w:rPr>
        <w:t>(Bruehl et al., 2016)</w:t>
      </w:r>
      <w:r w:rsidRPr="005B09A9">
        <w:rPr>
          <w:rFonts w:ascii="Times New Roman" w:hAnsi="Times New Roman" w:cs="Times New Roman"/>
          <w:sz w:val="24"/>
          <w:szCs w:val="24"/>
          <w:lang w:val="fr-FR"/>
        </w:rPr>
        <w:fldChar w:fldCharType="end"/>
      </w:r>
      <w:r w:rsidRPr="005B09A9">
        <w:rPr>
          <w:rFonts w:ascii="Times New Roman" w:hAnsi="Times New Roman" w:cs="Times New Roman"/>
          <w:sz w:val="24"/>
          <w:szCs w:val="24"/>
          <w:lang w:val="en-US"/>
        </w:rPr>
        <w:t xml:space="preserve">. </w:t>
      </w:r>
      <w:r w:rsidRPr="005B09A9">
        <w:rPr>
          <w:rFonts w:ascii="Times New Roman" w:hAnsi="Times New Roman" w:cs="Times New Roman"/>
          <w:sz w:val="24"/>
          <w:szCs w:val="24"/>
        </w:rPr>
        <w:t>They identified three baseline clinical predictors</w:t>
      </w:r>
      <w:r w:rsidR="002E39B6" w:rsidRPr="005B09A9">
        <w:rPr>
          <w:rFonts w:ascii="Times New Roman" w:hAnsi="Times New Roman" w:cs="Times New Roman"/>
          <w:sz w:val="24"/>
          <w:szCs w:val="24"/>
        </w:rPr>
        <w:t xml:space="preserve"> associated</w:t>
      </w:r>
      <w:r w:rsidRPr="005B09A9">
        <w:rPr>
          <w:rFonts w:ascii="Times New Roman" w:hAnsi="Times New Roman" w:cs="Times New Roman"/>
          <w:sz w:val="24"/>
          <w:szCs w:val="24"/>
        </w:rPr>
        <w:t xml:space="preserve"> </w:t>
      </w:r>
      <w:r w:rsidR="002E39B6" w:rsidRPr="005B09A9">
        <w:rPr>
          <w:rFonts w:ascii="Times New Roman" w:hAnsi="Times New Roman" w:cs="Times New Roman"/>
          <w:sz w:val="24"/>
          <w:szCs w:val="24"/>
        </w:rPr>
        <w:t xml:space="preserve">with </w:t>
      </w:r>
      <w:r w:rsidRPr="005B09A9">
        <w:rPr>
          <w:rFonts w:ascii="Times New Roman" w:hAnsi="Times New Roman" w:cs="Times New Roman"/>
          <w:sz w:val="24"/>
          <w:szCs w:val="24"/>
        </w:rPr>
        <w:t>patients</w:t>
      </w:r>
      <w:r w:rsidR="003E6719" w:rsidRPr="005B09A9">
        <w:rPr>
          <w:rFonts w:ascii="Times New Roman" w:hAnsi="Times New Roman" w:cs="Times New Roman"/>
          <w:sz w:val="24"/>
          <w:szCs w:val="24"/>
        </w:rPr>
        <w:t xml:space="preserve"> </w:t>
      </w:r>
      <w:r w:rsidRPr="005B09A9">
        <w:rPr>
          <w:rFonts w:ascii="Times New Roman" w:hAnsi="Times New Roman" w:cs="Times New Roman"/>
          <w:sz w:val="24"/>
          <w:szCs w:val="24"/>
        </w:rPr>
        <w:t>no longer</w:t>
      </w:r>
      <w:r w:rsidR="00BF068A" w:rsidRPr="005B09A9">
        <w:rPr>
          <w:rFonts w:ascii="Times New Roman" w:hAnsi="Times New Roman" w:cs="Times New Roman"/>
          <w:sz w:val="24"/>
          <w:szCs w:val="24"/>
        </w:rPr>
        <w:t xml:space="preserve"> </w:t>
      </w:r>
      <w:r w:rsidR="002E39B6" w:rsidRPr="005B09A9">
        <w:rPr>
          <w:rFonts w:ascii="Times New Roman" w:hAnsi="Times New Roman" w:cs="Times New Roman"/>
          <w:sz w:val="24"/>
          <w:szCs w:val="24"/>
        </w:rPr>
        <w:t>meeting</w:t>
      </w:r>
      <w:r w:rsidRPr="005B09A9">
        <w:rPr>
          <w:rFonts w:ascii="Times New Roman" w:hAnsi="Times New Roman" w:cs="Times New Roman"/>
          <w:sz w:val="24"/>
          <w:szCs w:val="24"/>
        </w:rPr>
        <w:t xml:space="preserve"> Budapest criteria at 3-month follow-up: </w:t>
      </w:r>
      <w:r w:rsidRPr="005B09A9">
        <w:rPr>
          <w:rFonts w:ascii="Times New Roman" w:hAnsi="Times New Roman" w:cs="Times New Roman"/>
          <w:i/>
          <w:iCs/>
          <w:sz w:val="24"/>
          <w:szCs w:val="24"/>
        </w:rPr>
        <w:t>lower baseline pain intensity</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warmer skin on the affected side</w:t>
      </w:r>
      <w:r w:rsidRPr="005B09A9">
        <w:rPr>
          <w:rFonts w:ascii="Times New Roman" w:hAnsi="Times New Roman" w:cs="Times New Roman"/>
          <w:sz w:val="24"/>
          <w:szCs w:val="24"/>
        </w:rPr>
        <w:t xml:space="preserve">, and </w:t>
      </w:r>
      <w:r w:rsidRPr="005B09A9">
        <w:rPr>
          <w:rFonts w:ascii="Times New Roman" w:hAnsi="Times New Roman" w:cs="Times New Roman"/>
          <w:i/>
          <w:iCs/>
          <w:sz w:val="24"/>
          <w:szCs w:val="24"/>
        </w:rPr>
        <w:t>absence of allodynia</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 xml:space="preserve">Shorter condition duration </w:t>
      </w:r>
      <w:r w:rsidR="00BF068A" w:rsidRPr="005B09A9">
        <w:rPr>
          <w:rFonts w:ascii="Times New Roman" w:hAnsi="Times New Roman" w:cs="Times New Roman"/>
          <w:iCs/>
          <w:sz w:val="24"/>
          <w:szCs w:val="24"/>
        </w:rPr>
        <w:t>at inclusion</w:t>
      </w:r>
      <w:r w:rsidRPr="005B09A9">
        <w:rPr>
          <w:rFonts w:ascii="Times New Roman" w:hAnsi="Times New Roman" w:cs="Times New Roman"/>
          <w:sz w:val="24"/>
          <w:szCs w:val="24"/>
        </w:rPr>
        <w:t xml:space="preserve"> was also a positive prognostic factor. </w:t>
      </w:r>
      <w:r w:rsidR="00E83DE9" w:rsidRPr="005B09A9">
        <w:rPr>
          <w:rFonts w:ascii="Times New Roman" w:hAnsi="Times New Roman" w:cs="Times New Roman"/>
          <w:i/>
          <w:sz w:val="24"/>
          <w:szCs w:val="24"/>
        </w:rPr>
        <w:t>F</w:t>
      </w:r>
      <w:r w:rsidRPr="005B09A9">
        <w:rPr>
          <w:rFonts w:ascii="Times New Roman" w:hAnsi="Times New Roman" w:cs="Times New Roman"/>
          <w:i/>
          <w:iCs/>
          <w:sz w:val="24"/>
          <w:szCs w:val="24"/>
        </w:rPr>
        <w:t>racture</w:t>
      </w:r>
      <w:r w:rsidRPr="005B09A9">
        <w:rPr>
          <w:rFonts w:ascii="Times New Roman" w:hAnsi="Times New Roman" w:cs="Times New Roman"/>
          <w:sz w:val="24"/>
          <w:szCs w:val="24"/>
        </w:rPr>
        <w:t xml:space="preserve">, </w:t>
      </w:r>
      <w:r w:rsidRPr="005B09A9">
        <w:rPr>
          <w:rFonts w:ascii="Times New Roman" w:hAnsi="Times New Roman" w:cs="Times New Roman"/>
          <w:i/>
          <w:iCs/>
          <w:sz w:val="24"/>
          <w:szCs w:val="24"/>
        </w:rPr>
        <w:t>absence of sensory symptoms</w:t>
      </w:r>
      <w:r w:rsidRPr="005B09A9">
        <w:rPr>
          <w:rFonts w:ascii="Times New Roman" w:hAnsi="Times New Roman" w:cs="Times New Roman"/>
          <w:sz w:val="24"/>
          <w:szCs w:val="24"/>
        </w:rPr>
        <w:t xml:space="preserve">, and </w:t>
      </w:r>
      <w:r w:rsidRPr="005B09A9">
        <w:rPr>
          <w:rFonts w:ascii="Times New Roman" w:hAnsi="Times New Roman" w:cs="Times New Roman"/>
          <w:i/>
          <w:iCs/>
          <w:sz w:val="24"/>
          <w:szCs w:val="24"/>
        </w:rPr>
        <w:t>presence of objective swelling</w:t>
      </w:r>
      <w:r w:rsidRPr="005B09A9">
        <w:rPr>
          <w:rFonts w:ascii="Times New Roman" w:hAnsi="Times New Roman" w:cs="Times New Roman"/>
          <w:sz w:val="24"/>
          <w:szCs w:val="24"/>
        </w:rPr>
        <w:t xml:space="preserve"> </w:t>
      </w:r>
      <w:r w:rsidR="00E83DE9" w:rsidRPr="005B09A9">
        <w:rPr>
          <w:rFonts w:ascii="Times New Roman" w:hAnsi="Times New Roman" w:cs="Times New Roman"/>
          <w:sz w:val="24"/>
          <w:szCs w:val="24"/>
        </w:rPr>
        <w:t>were reported as</w:t>
      </w:r>
      <w:r w:rsidRPr="005B09A9">
        <w:rPr>
          <w:rFonts w:ascii="Times New Roman" w:hAnsi="Times New Roman" w:cs="Times New Roman"/>
          <w:sz w:val="24"/>
          <w:szCs w:val="24"/>
        </w:rPr>
        <w:t xml:space="preserve"> positive</w:t>
      </w:r>
      <w:r w:rsidR="00635726" w:rsidRPr="005B09A9">
        <w:rPr>
          <w:rFonts w:ascii="Times New Roman" w:hAnsi="Times New Roman" w:cs="Times New Roman"/>
          <w:sz w:val="24"/>
          <w:szCs w:val="24"/>
        </w:rPr>
        <w:t xml:space="preserve"> predictive factors </w:t>
      </w:r>
      <w:r w:rsidR="00635726" w:rsidRPr="005B09A9">
        <w:rPr>
          <w:rFonts w:ascii="Times New Roman" w:hAnsi="Times New Roman" w:cs="Times New Roman"/>
          <w:sz w:val="24"/>
          <w:szCs w:val="24"/>
        </w:rPr>
        <w:fldChar w:fldCharType="begin"/>
      </w:r>
      <w:r w:rsidR="00635726" w:rsidRPr="005B09A9">
        <w:rPr>
          <w:rFonts w:ascii="Times New Roman" w:hAnsi="Times New Roman" w:cs="Times New Roman"/>
          <w:sz w:val="24"/>
          <w:szCs w:val="24"/>
        </w:rPr>
        <w:instrText xml:space="preserve"> ADDIN ZOTERO_ITEM CSL_CITATION {"citationID":"nk4DmdIC","properties":{"formattedCitation":"(Sandroni et al., 2003)","plainCitation":"(Sandroni et al., 2003)","noteIndex":0},"citationItems":[{"id":206,"uris":["http://zotero.org/users/8777725/items/CYSBIRAQ"],"itemData":{"id":206,"type":"article-journal","abstract":"The objective of this study is to undertake a population based study on the incidence, prevalence, natural history, and response to treatment of complex regional pain syndrome (CRPS). All Mayo Clinic and Olmsted Medical Group medical records with codes for reflex sympathetic dystrophy (RSD), CRPS, and compatible diagnoses in the period 1989-1999 were reviewed as part of the Rochester Epidemiology Project. We used IASP criteria for CRPS. The study population was in the Olmsted County, Minnesota (1990 population, 106,470). The main outcome measures were CRPS I incidence, prevalence, and outcome. Seventy-four cases of CRPS I were identified, resulting in an incidence rate of 5.46 per 100,000 person years at risk, and a period prevalence of 20.57 per 100,000. Female:male ratio was 4:1, with a median age of 46 years at onset. Upper limb was affected twice as commonly as lower limb. All cases reported an antecedent event and fracture was the most common trigger (46%). Excellent concordance was found between symptoms and signs and vasomotor symptoms were the most commonly present. Three phase bone scan and autonomic testing diagnosed the condition in &gt;80% of cases. Seventy-four percent of patients underwent resolution, often spontaneously. CRPS I is of low prevalence, more commonly affects women than men, the upper more than the lower extremity, and three out of four cases undergo resolution. These results suggest that invasive treatment of CRPS may not be warranted in the majority of cases.","container-title":"Pain","DOI":"10.1016/s0304-3959(03)00065-4","ISSN":"0304-3959","issue":"1-2","journalAbbreviation":"Pain","language":"eng","note":"PMID: 12749974","page":"199-207","source":"PubMed","title":"Complex regional pain syndrome type I: incidence and prevalence in Olmsted county, a population-based study","title-short":"Complex regional pain syndrome type I","volume":"103","author":[{"family":"Sandroni","given":"Paola"},{"family":"Benrud-Larson","given":"Lisa M."},{"family":"McClelland","given":"Robyn L."},{"family":"Low","given":"Phillip A."}],"issued":{"date-parts":[["2003",5]]}}}],"schema":"https://github.com/citation-style-language/schema/raw/master/csl-citation.json"} </w:instrText>
      </w:r>
      <w:r w:rsidR="00635726" w:rsidRPr="005B09A9">
        <w:rPr>
          <w:rFonts w:ascii="Times New Roman" w:hAnsi="Times New Roman" w:cs="Times New Roman"/>
          <w:sz w:val="24"/>
          <w:szCs w:val="24"/>
        </w:rPr>
        <w:fldChar w:fldCharType="separate"/>
      </w:r>
      <w:r w:rsidR="00635726" w:rsidRPr="005B09A9">
        <w:rPr>
          <w:rFonts w:ascii="Times New Roman" w:hAnsi="Times New Roman" w:cs="Times New Roman"/>
          <w:sz w:val="24"/>
        </w:rPr>
        <w:t>(Sandroni et al., 2003)</w:t>
      </w:r>
      <w:r w:rsidR="00635726" w:rsidRPr="005B09A9">
        <w:rPr>
          <w:rFonts w:ascii="Times New Roman" w:hAnsi="Times New Roman" w:cs="Times New Roman"/>
          <w:sz w:val="24"/>
          <w:szCs w:val="24"/>
        </w:rPr>
        <w:fldChar w:fldCharType="end"/>
      </w:r>
      <w:r w:rsidR="005F33C7" w:rsidRPr="005B09A9">
        <w:rPr>
          <w:rFonts w:ascii="Times New Roman" w:hAnsi="Times New Roman" w:cs="Times New Roman"/>
          <w:sz w:val="24"/>
          <w:szCs w:val="24"/>
        </w:rPr>
        <w:t xml:space="preserve">. Another </w:t>
      </w:r>
      <w:r w:rsidR="00635726" w:rsidRPr="005B09A9">
        <w:rPr>
          <w:rFonts w:ascii="Times New Roman" w:hAnsi="Times New Roman" w:cs="Times New Roman"/>
          <w:sz w:val="24"/>
          <w:szCs w:val="24"/>
        </w:rPr>
        <w:t xml:space="preserve">study associated </w:t>
      </w:r>
      <w:r w:rsidR="00635726" w:rsidRPr="005B09A9">
        <w:rPr>
          <w:rFonts w:ascii="Times New Roman" w:hAnsi="Times New Roman" w:cs="Times New Roman"/>
          <w:i/>
          <w:sz w:val="24"/>
          <w:szCs w:val="24"/>
        </w:rPr>
        <w:t>upper extremity</w:t>
      </w:r>
      <w:r w:rsidR="00BF068A" w:rsidRPr="005B09A9">
        <w:rPr>
          <w:rFonts w:ascii="Times New Roman" w:hAnsi="Times New Roman" w:cs="Times New Roman"/>
          <w:i/>
          <w:sz w:val="24"/>
          <w:szCs w:val="24"/>
        </w:rPr>
        <w:t xml:space="preserve"> involvement</w:t>
      </w:r>
      <w:r w:rsidR="00635726" w:rsidRPr="005B09A9">
        <w:rPr>
          <w:rFonts w:ascii="Times New Roman" w:hAnsi="Times New Roman" w:cs="Times New Roman"/>
          <w:sz w:val="24"/>
          <w:szCs w:val="24"/>
        </w:rPr>
        <w:t xml:space="preserve">, </w:t>
      </w:r>
      <w:r w:rsidR="00635726" w:rsidRPr="005B09A9">
        <w:rPr>
          <w:rFonts w:ascii="Times New Roman" w:hAnsi="Times New Roman" w:cs="Times New Roman"/>
          <w:i/>
          <w:sz w:val="24"/>
          <w:szCs w:val="24"/>
        </w:rPr>
        <w:t>initiating events other than fracture</w:t>
      </w:r>
      <w:r w:rsidR="00635726" w:rsidRPr="005B09A9">
        <w:rPr>
          <w:rFonts w:ascii="Times New Roman" w:hAnsi="Times New Roman" w:cs="Times New Roman"/>
          <w:sz w:val="24"/>
          <w:szCs w:val="24"/>
        </w:rPr>
        <w:t xml:space="preserve"> and </w:t>
      </w:r>
      <w:r w:rsidR="00635726" w:rsidRPr="005B09A9">
        <w:rPr>
          <w:rFonts w:ascii="Times New Roman" w:hAnsi="Times New Roman" w:cs="Times New Roman"/>
          <w:i/>
          <w:sz w:val="24"/>
          <w:szCs w:val="24"/>
        </w:rPr>
        <w:t xml:space="preserve">cold CRPS </w:t>
      </w:r>
      <w:r w:rsidR="00635726" w:rsidRPr="005B09A9">
        <w:rPr>
          <w:rFonts w:ascii="Times New Roman" w:hAnsi="Times New Roman" w:cs="Times New Roman"/>
          <w:sz w:val="24"/>
          <w:szCs w:val="24"/>
        </w:rPr>
        <w:t xml:space="preserve">with poorer outcomes (based on self-reported recovery and work </w:t>
      </w:r>
      <w:r w:rsidR="00635726" w:rsidRPr="005B09A9">
        <w:rPr>
          <w:rFonts w:ascii="Times New Roman" w:hAnsi="Times New Roman" w:cs="Times New Roman"/>
          <w:sz w:val="24"/>
          <w:szCs w:val="24"/>
        </w:rPr>
        <w:lastRenderedPageBreak/>
        <w:t xml:space="preserve">status) </w:t>
      </w:r>
      <w:r w:rsidR="00635726" w:rsidRPr="005B09A9">
        <w:rPr>
          <w:rFonts w:ascii="Times New Roman" w:hAnsi="Times New Roman" w:cs="Times New Roman"/>
          <w:sz w:val="24"/>
          <w:szCs w:val="24"/>
        </w:rPr>
        <w:fldChar w:fldCharType="begin"/>
      </w:r>
      <w:r w:rsidR="00635726" w:rsidRPr="005B09A9">
        <w:rPr>
          <w:rFonts w:ascii="Times New Roman" w:hAnsi="Times New Roman" w:cs="Times New Roman"/>
          <w:sz w:val="24"/>
          <w:szCs w:val="24"/>
        </w:rPr>
        <w:instrText xml:space="preserve"> ADDIN ZOTERO_ITEM CSL_CITATION {"citationID":"Hh0MLhbZ","properties":{"formattedCitation":"(de Mos M et al., 2009)","plainCitation":"(de Mos M et al., 2009)","noteIndex":0},"citationItems":[{"id":686,"uris":["http://zotero.org/users/8777725/items/XPMECFQN"],"itemData":{"id":686,"type":"article-journal","abstract":"OBJECTIVES: The outcome of complex regional pain syndrome (CRPS) is relatively unknown. High disease resolution rates have been reported, but also long-lasting impairments in many patients. This study aims to assess CRPS outcome in a population-based cohort of CRPS patients. METHODS: CRPS patients were retrospectively identified (1996 to 2005) in a Dutch general practitioners database, the integrated primary care information project, and included if at onset (ie, in the past) they had complied with the International Association for the Study of Pain (IASP) diagnostic criteria. The disease status at minimum of 2 years since onset was assessed during visits using questionnaires, interviews, and physical examination. Symptoms and signs were compared with reference patients with an identical past injury but without CRPS. Actual fulfillment of the IASP criteria, treatment status, self-reported recovery, and working status were recorded. Moreover, to identify the potential prognostic factors, baseline patient characteristics were compared across subgroups according to the CRPS outcome. These subgroups were derived by cluster analysis on actual symptoms and signs. RESULTS: One hundred and two CRPS patients were assessed at on average 5.8 years (range: 2.1 to 10.8) since onset. CRPS patients displayed higher symptom and sign prevalences in all categories (sensory, vasomotor, sudomotor, and motor/trophic) than controls. Sixteen percent (95% CI: 9-22) reported the CRPS as still progressive, whereas 31% (95% CI: 19-43) were incapable of working. Patients in the poorest outcome cluster more often had their upper extremity affected, event other than a fracture, and cold CRPS. DISCUSSION: Severe CRPS outcome is rare, but a majority of patients has persistent impairments at 2 or more years since onset.","archive_location":"rayyan-231266750","container-title":"The Clinical journal of pain","ISSN":"1536-5409 (Electronic)","issue":"7","journalAbbreviation":"Clin J Pain","language":"eng","note":"publisher-place: United States","page":"590-7","title":"Outcome of the complex regional pain syndrome.","volume":"25","author":[{"literal":"de Mos M"},{"literal":"Huygen FJ"},{"literal":"van der Hoeven-Borgman M"},{"literal":"Dieleman JP"},{"literal":"Ch Stricker BH"},{"literal":"Sturkenboom MC"}],"issued":{"date-parts":[["2009"]]}}}],"schema":"https://github.com/citation-style-language/schema/raw/master/csl-citation.json"} </w:instrText>
      </w:r>
      <w:r w:rsidR="00635726" w:rsidRPr="005B09A9">
        <w:rPr>
          <w:rFonts w:ascii="Times New Roman" w:hAnsi="Times New Roman" w:cs="Times New Roman"/>
          <w:sz w:val="24"/>
          <w:szCs w:val="24"/>
        </w:rPr>
        <w:fldChar w:fldCharType="separate"/>
      </w:r>
      <w:r w:rsidR="00635726" w:rsidRPr="005B09A9">
        <w:rPr>
          <w:rFonts w:ascii="Times New Roman" w:hAnsi="Times New Roman" w:cs="Times New Roman"/>
          <w:sz w:val="24"/>
        </w:rPr>
        <w:t>(de Mos M et al., 2009)</w:t>
      </w:r>
      <w:r w:rsidR="00635726" w:rsidRPr="005B09A9">
        <w:rPr>
          <w:rFonts w:ascii="Times New Roman" w:hAnsi="Times New Roman" w:cs="Times New Roman"/>
          <w:sz w:val="24"/>
          <w:szCs w:val="24"/>
        </w:rPr>
        <w:fldChar w:fldCharType="end"/>
      </w:r>
      <w:r w:rsidR="00635726" w:rsidRPr="005B09A9">
        <w:rPr>
          <w:rFonts w:ascii="Times New Roman" w:hAnsi="Times New Roman" w:cs="Times New Roman"/>
          <w:sz w:val="24"/>
          <w:szCs w:val="24"/>
        </w:rPr>
        <w:t xml:space="preserve">. Vaneker et </w:t>
      </w:r>
      <w:r w:rsidR="00635726" w:rsidRPr="005B09A9">
        <w:rPr>
          <w:rFonts w:ascii="Times New Roman" w:hAnsi="Times New Roman" w:cs="Times New Roman"/>
          <w:i/>
          <w:iCs/>
          <w:sz w:val="24"/>
          <w:szCs w:val="24"/>
        </w:rPr>
        <w:t>al</w:t>
      </w:r>
      <w:r w:rsidR="00635726" w:rsidRPr="005B09A9">
        <w:rPr>
          <w:rFonts w:ascii="Times New Roman" w:hAnsi="Times New Roman" w:cs="Times New Roman"/>
          <w:sz w:val="24"/>
          <w:szCs w:val="24"/>
        </w:rPr>
        <w:t xml:space="preserve">. identified that </w:t>
      </w:r>
      <w:r w:rsidR="00635726" w:rsidRPr="005B09A9">
        <w:rPr>
          <w:rFonts w:ascii="Times New Roman" w:hAnsi="Times New Roman" w:cs="Times New Roman"/>
          <w:i/>
          <w:iCs/>
          <w:sz w:val="24"/>
          <w:szCs w:val="24"/>
        </w:rPr>
        <w:t>cold skin temperature</w:t>
      </w:r>
      <w:r w:rsidR="00635726" w:rsidRPr="005B09A9">
        <w:rPr>
          <w:rFonts w:ascii="Times New Roman" w:hAnsi="Times New Roman" w:cs="Times New Roman"/>
          <w:sz w:val="24"/>
          <w:szCs w:val="24"/>
        </w:rPr>
        <w:t xml:space="preserve"> at an early stage was associated with higher clinical pain intensity about 8 years after the diagnosis, while </w:t>
      </w:r>
      <w:r w:rsidR="00635726" w:rsidRPr="005B09A9">
        <w:rPr>
          <w:rFonts w:ascii="Times New Roman" w:hAnsi="Times New Roman" w:cs="Times New Roman"/>
          <w:i/>
          <w:iCs/>
          <w:sz w:val="24"/>
          <w:szCs w:val="24"/>
        </w:rPr>
        <w:t>higher pain intensity</w:t>
      </w:r>
      <w:r w:rsidR="00635726" w:rsidRPr="005B09A9">
        <w:rPr>
          <w:rFonts w:ascii="Times New Roman" w:hAnsi="Times New Roman" w:cs="Times New Roman"/>
          <w:sz w:val="24"/>
          <w:szCs w:val="24"/>
        </w:rPr>
        <w:t xml:space="preserve"> measured by VAS predicted higher Impairment Level SumScore at one and eight years </w:t>
      </w:r>
      <w:r w:rsidR="00635726" w:rsidRPr="005B09A9">
        <w:rPr>
          <w:rFonts w:ascii="Times New Roman" w:hAnsi="Times New Roman" w:cs="Times New Roman"/>
          <w:sz w:val="24"/>
          <w:szCs w:val="24"/>
        </w:rPr>
        <w:fldChar w:fldCharType="begin"/>
      </w:r>
      <w:r w:rsidR="00635726" w:rsidRPr="005B09A9">
        <w:rPr>
          <w:rFonts w:ascii="Times New Roman" w:hAnsi="Times New Roman" w:cs="Times New Roman"/>
          <w:sz w:val="24"/>
          <w:szCs w:val="24"/>
        </w:rPr>
        <w:instrText xml:space="preserve"> ADDIN ZOTERO_ITEM CSL_CITATION {"citationID":"UUYy9KhF","properties":{"formattedCitation":"(Vaneker et al., 2005, 2006)","plainCitation":"(Vaneker et al., 2005, 2006)","noteIndex":0},"citationItems":[{"id":1193,"uris":["http://zotero.org/users/8777725/items/X8RH9YIC"],"itemData":{"id":1193,"type":"article-journal","abstract":"We used quantitative sensory testing (QST) to gain further insight into mechanisms underlying pain in CRPS 1. Specific goals were: (1) to identify altered patterns of sensory processing some 8 years after diagnosis, (2) to document differences in sensory processing between 'warm' and 'cold' diagnostic subgroups, (3) to determine relationships between changed sensory processing and disease progression regarding pain. The study was performed on a cohort of patients (n=47) clinically diagnosed with CRPS 1 of one upper extremity approximately 8 years previously. Pain was quantified by VAS and MacGill Pain Questionnaire (MPQ), and all subjects underwent electrical and mechanical QST. Cold patients (n=13) had poorer MPQ scores than warm ones (n=34), and more pain on electrical stimulation. Their evoked pain increased with disease progression and correlated with clinical pain measures. For both diagnostic subgroups, thresholds to pressure pain were lower on the affected extremity and with disease progression. Eight years after original diagnosis, cold CRPS 1 patients have poorer clinical pain outcomes and show persistent signs of central sensitisation correlating with disease progression. The latter is not the case for warm CRPS 1 patients. Both diagnostic subgroups show greater pressure hyperalgesia on the affected limb and with disease progression. QST may prove useful in the subdiagnosis of CRPS 1 and in quantifying its progression, with both applications warranting further investigation for clinical and research use.","container-title":"Pain","DOI":"10.1016/j.pain.2005.02.031","ISSN":"0304-3959","issue":"1-2","journalAbbreviation":"Pain","language":"eng","note":"PMID: 15836983","page":"204-211","source":"PubMed","title":"Patients initially diagnosed as 'warm' or 'cold' CRPS 1 show differences in central sensory processing some eight years after diagnosis: a quantitative sensory testing study","title-short":"Patients initially diagnosed as 'warm' or 'cold' CRPS 1 show differences in central sensory processing some eight years after diagnosis","volume":"115","author":[{"family":"Vaneker","given":"Michiel"},{"family":"Wilder-Smith","given":"Oliver H. G."},{"family":"Schrombges","given":"Patrick"},{"family":"Man-Hermsen","given":"Irene","non-dropping-particle":"de"},{"family":"Oerlemans","given":"H. Magreet"}],"issued":{"date-parts":[["2005",5]]}}},{"id":1192,"uris":["http://zotero.org/users/8777725/items/JZ4IWU44"],"itemData":{"id":1192,"type":"article-journal","abstract":"BACKGROUND: Complex Regional Pain Syndrome type 1 (CRPS 1) is a potentially incapacitating complication in which pain seems to be the most disabling factor. We performed a late follow up study of a well-defined CRPS 1 population more than eight years after diagnosis. The relationships between early and late impairments were studied with a view to outcome prediction and to investigate possible differences in long-term impairments according to initial CRPS 1 subdiagnosis (i.e. \"warm\" or \"cold\", diagnosed according to skin temperature measured via infrared thermometer).\nMETHODS: We again measured patients using the Impairment Level SumScore (ISS) (T8). These data were compared with earlier ISS measurements at CRPS diagnosis (T0) and after one year's treatment (T1). Correlations were determined between these measures.\nRESULTS: Forty-five patients participated in the present study. Total median ISS improved by 55% (statistically/clinically significant) after one year's treatment (T1), and worsened (non-significantly) by 14% from T1 to T8 - without differences according to original subdiagnosis. ISS correlations were stronger for T1 vs. T8 than for T0 vs. T1 or T0 vs. T8, being strongest for the ISS factors related to pain.\nCONCLUSIONS: Considerable impairments, as measured by ISS, are still present over eight years after first CRPS 1 diagnosis. These do not greatly change between one and eight years post-diagnosis. ISS outcomes are similar for \"cold\" and \"warm\" CRPS 1 diagnostic subgroups. Component ISS scores associated with pain appear to possess greatest predictive power.","container-title":"European Journal of Pain (London, England)","DOI":"10.1016/j.ejpain.2005.10.003","ISSN":"1090-3801","issue":"7","journalAbbreviation":"Eur J Pain","language":"eng","note":"PMID: 16300975","page":"639-644","source":"PubMed","title":"Impairments as measured by ISS do not greatly change between one and eight years after CRPS 1 diagnosis","volume":"10","author":[{"family":"Vaneker","given":"Michiel"},{"family":"Wilder-Smith","given":"Oliver H. G."},{"family":"Schrombges","given":"Patrick"},{"family":"Oerlemans","given":"H. Margreet"}],"issued":{"date-parts":[["2006",10]]}}}],"schema":"https://github.com/citation-style-language/schema/raw/master/csl-citation.json"} </w:instrText>
      </w:r>
      <w:r w:rsidR="00635726" w:rsidRPr="005B09A9">
        <w:rPr>
          <w:rFonts w:ascii="Times New Roman" w:hAnsi="Times New Roman" w:cs="Times New Roman"/>
          <w:sz w:val="24"/>
          <w:szCs w:val="24"/>
        </w:rPr>
        <w:fldChar w:fldCharType="separate"/>
      </w:r>
      <w:r w:rsidR="00635726" w:rsidRPr="005B09A9">
        <w:rPr>
          <w:rFonts w:ascii="Times New Roman" w:hAnsi="Times New Roman" w:cs="Times New Roman"/>
          <w:sz w:val="24"/>
        </w:rPr>
        <w:t>(Vaneker et al., 2005, 2006)</w:t>
      </w:r>
      <w:r w:rsidR="00635726" w:rsidRPr="005B09A9">
        <w:rPr>
          <w:rFonts w:ascii="Times New Roman" w:hAnsi="Times New Roman" w:cs="Times New Roman"/>
          <w:sz w:val="24"/>
          <w:szCs w:val="24"/>
        </w:rPr>
        <w:fldChar w:fldCharType="end"/>
      </w:r>
      <w:r w:rsidR="00635726" w:rsidRPr="005B09A9">
        <w:rPr>
          <w:rFonts w:ascii="Times New Roman" w:hAnsi="Times New Roman" w:cs="Times New Roman"/>
          <w:sz w:val="24"/>
          <w:szCs w:val="24"/>
        </w:rPr>
        <w:t>.</w:t>
      </w:r>
      <w:r w:rsidR="00BF068A" w:rsidRPr="005B09A9">
        <w:rPr>
          <w:rFonts w:ascii="Times New Roman" w:eastAsia="Calibri" w:hAnsi="Times New Roman" w:cs="Times New Roman"/>
          <w:sz w:val="24"/>
          <w:szCs w:val="24"/>
        </w:rPr>
        <w:t xml:space="preserve"> U</w:t>
      </w:r>
      <w:r w:rsidR="00BF068A" w:rsidRPr="005B09A9">
        <w:rPr>
          <w:rFonts w:ascii="Times New Roman" w:hAnsi="Times New Roman" w:cs="Times New Roman"/>
          <w:sz w:val="24"/>
          <w:szCs w:val="24"/>
        </w:rPr>
        <w:t xml:space="preserve">npublished data from Bean’s cohort </w:t>
      </w:r>
      <w:r w:rsidR="00BF068A" w:rsidRPr="005B09A9">
        <w:rPr>
          <w:rFonts w:ascii="Times New Roman" w:hAnsi="Times New Roman" w:cs="Times New Roman"/>
          <w:sz w:val="24"/>
          <w:szCs w:val="24"/>
        </w:rPr>
        <w:fldChar w:fldCharType="begin"/>
      </w:r>
      <w:r w:rsidR="00BF068A" w:rsidRPr="005B09A9">
        <w:rPr>
          <w:rFonts w:ascii="Times New Roman" w:hAnsi="Times New Roman" w:cs="Times New Roman"/>
          <w:sz w:val="24"/>
          <w:szCs w:val="24"/>
        </w:rPr>
        <w:instrText xml:space="preserve"> ADDIN ZOTERO_ITEM CSL_CITATION {"citationID":"idX8cNST","properties":{"formattedCitation":"(Bean et al., 2016a)","plainCitation":"(Bean et al., 2016a)","noteIndex":0},"citationItems":[{"id":89,"uris":["http://zotero.org/users/8777725/items/IVFPSY5Y"],"itemData":{"id":89,"type":"article-journal","abstract":"Background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R."}],"issued":{"date-parts":[["2016",7]]}}}],"schema":"https://github.com/citation-style-language/schema/raw/master/csl-citation.json"} </w:instrText>
      </w:r>
      <w:r w:rsidR="00BF068A" w:rsidRPr="005B09A9">
        <w:rPr>
          <w:rFonts w:ascii="Times New Roman" w:hAnsi="Times New Roman" w:cs="Times New Roman"/>
          <w:sz w:val="24"/>
          <w:szCs w:val="24"/>
        </w:rPr>
        <w:fldChar w:fldCharType="separate"/>
      </w:r>
      <w:r w:rsidR="00BF068A" w:rsidRPr="005B09A9">
        <w:rPr>
          <w:rFonts w:ascii="Times New Roman" w:hAnsi="Times New Roman" w:cs="Times New Roman"/>
          <w:sz w:val="24"/>
        </w:rPr>
        <w:t>(Bean et al., 2016a)</w:t>
      </w:r>
      <w:r w:rsidR="00BF068A" w:rsidRPr="005B09A9">
        <w:rPr>
          <w:rFonts w:ascii="Times New Roman" w:hAnsi="Times New Roman" w:cs="Times New Roman"/>
          <w:sz w:val="24"/>
          <w:szCs w:val="24"/>
        </w:rPr>
        <w:fldChar w:fldCharType="end"/>
      </w:r>
      <w:r w:rsidR="00BF068A" w:rsidRPr="005B09A9">
        <w:rPr>
          <w:rFonts w:ascii="Times New Roman" w:hAnsi="Times New Roman" w:cs="Times New Roman"/>
          <w:sz w:val="24"/>
          <w:szCs w:val="24"/>
        </w:rPr>
        <w:t xml:space="preserve"> suggested that baseline </w:t>
      </w:r>
      <w:r w:rsidR="00BF068A" w:rsidRPr="005B09A9">
        <w:rPr>
          <w:rFonts w:ascii="Times New Roman" w:hAnsi="Times New Roman" w:cs="Times New Roman"/>
          <w:i/>
          <w:iCs/>
          <w:sz w:val="24"/>
          <w:szCs w:val="24"/>
        </w:rPr>
        <w:t>self-reported disability</w:t>
      </w:r>
      <w:r w:rsidR="00BF068A" w:rsidRPr="005B09A9">
        <w:rPr>
          <w:rFonts w:ascii="Times New Roman" w:hAnsi="Times New Roman" w:cs="Times New Roman"/>
          <w:sz w:val="24"/>
          <w:szCs w:val="24"/>
        </w:rPr>
        <w:t xml:space="preserve"> also predicted CRPS individuals’ work status at 12 months (personal communication). </w:t>
      </w:r>
      <w:r w:rsidR="00BF068A" w:rsidRPr="005B09A9">
        <w:rPr>
          <w:rFonts w:ascii="Times New Roman" w:eastAsia="Calibri" w:hAnsi="Times New Roman" w:cs="Times New Roman"/>
          <w:sz w:val="24"/>
          <w:szCs w:val="24"/>
        </w:rPr>
        <w:t xml:space="preserve">In contrast to the previous results, Lee HJ et </w:t>
      </w:r>
      <w:r w:rsidR="00BF068A" w:rsidRPr="005B09A9">
        <w:rPr>
          <w:rFonts w:ascii="Times New Roman" w:eastAsia="Calibri" w:hAnsi="Times New Roman" w:cs="Times New Roman"/>
          <w:i/>
          <w:iCs/>
          <w:sz w:val="24"/>
          <w:szCs w:val="24"/>
        </w:rPr>
        <w:t>al</w:t>
      </w:r>
      <w:r w:rsidR="00BF068A" w:rsidRPr="005B09A9">
        <w:rPr>
          <w:rFonts w:ascii="Times New Roman" w:eastAsia="Calibri" w:hAnsi="Times New Roman" w:cs="Times New Roman"/>
          <w:sz w:val="24"/>
          <w:szCs w:val="24"/>
        </w:rPr>
        <w:t xml:space="preserve">. performed multivariable analysis and identified that </w:t>
      </w:r>
      <w:r w:rsidR="00BF068A" w:rsidRPr="005B09A9">
        <w:rPr>
          <w:rFonts w:ascii="Times New Roman" w:eastAsia="Calibri" w:hAnsi="Times New Roman" w:cs="Times New Roman"/>
          <w:i/>
          <w:iCs/>
          <w:sz w:val="24"/>
          <w:szCs w:val="24"/>
        </w:rPr>
        <w:t>higher pain intensity at baseline</w:t>
      </w:r>
      <w:r w:rsidR="00BF068A" w:rsidRPr="005B09A9">
        <w:rPr>
          <w:rFonts w:ascii="Times New Roman" w:eastAsia="Calibri" w:hAnsi="Times New Roman" w:cs="Times New Roman"/>
          <w:sz w:val="24"/>
          <w:szCs w:val="24"/>
        </w:rPr>
        <w:t xml:space="preserve"> (</w:t>
      </w:r>
      <w:r w:rsidR="00BF068A" w:rsidRPr="005B09A9">
        <w:rPr>
          <w:rFonts w:ascii="Times New Roman" w:hAnsi="Times New Roman" w:cs="Times New Roman"/>
          <w:sz w:val="24"/>
          <w:szCs w:val="24"/>
        </w:rPr>
        <w:t xml:space="preserve">moderate to severe) was associated with better pain reduction at follow-up </w:t>
      </w:r>
      <w:r w:rsidR="00BF068A" w:rsidRPr="005B09A9">
        <w:rPr>
          <w:rFonts w:ascii="Times New Roman" w:hAnsi="Times New Roman" w:cs="Times New Roman"/>
          <w:sz w:val="24"/>
          <w:szCs w:val="24"/>
        </w:rPr>
        <w:fldChar w:fldCharType="begin"/>
      </w:r>
      <w:r w:rsidR="00BF068A" w:rsidRPr="005B09A9">
        <w:rPr>
          <w:rFonts w:ascii="Times New Roman" w:hAnsi="Times New Roman" w:cs="Times New Roman"/>
          <w:sz w:val="24"/>
          <w:szCs w:val="24"/>
        </w:rPr>
        <w:instrText xml:space="preserve"> ADDIN ZOTERO_ITEM CSL_CITATION {"citationID":"BnrAHM3f","properties":{"formattedCitation":"(Lee et al., 2019)","plainCitation":"(Lee et al., 2019)","noteIndex":0},"citationItems":[{"id":524,"uris":["http://zotero.org/users/8777725/items/AUZT428J"],"itemData":{"id":524,"type":"article-journal","abstract":"Background\nThe aim of this study was to investigate the clinical characteristics of complex regional pain syndrome (CRPS) in young male patients in South Korea, especially focusing on the association with military service.\n\nMethods\nFrom January 2007 to May 2017, we investigated the electronic medical records of 430 consecutive patients, aged 18 to 30 years, who visited Seoul National University Hospital Pain Center, with a suspected diagnosis of CRPS at the initial visit. The following patient details were available for analysis: demographic and disease-related variables, relevance to military service, medications, and the treatment modalities received.\n\nResults\nOut of 430 patients, 245 (57.0%) were diagnosed with CRPS, of which, 200 were male patients and 45 were female patients. Of the male patients, 95 (47.5%) developed CRPS during military service. CRPS during military service was more likely to result from sprain/strain, and the incidence of CRPS was significantly higher in the lower extremities in patients from the military service group than in those from the non-military service group. During the follow-up period, 37.9% of male CRPS patients (n = 61/161) were treated successfully. Patients with moderate to severe initial pain intensity, and diagnosed during their military service, showed better outcomes.\n\nConclusions\nOur results demonstrated that manifestation of CRPS in the young Korean population was more common in male and among those male CRPS patients, about half the cases developed during the military service period.","container-title":"The Korean Journal of Pain","DOI":"10.3344/kjp.2019.32.4.292","ISSN":"2005-9159","issue":"4","journalAbbreviation":"Korean J Pain","note":"PMID: 31569922\nPMCID: PMC6813901","page":"292-300","source":"PubMed Central","title":"Complex regional pain syndrome in the young male population: a retrospective study of 200 Korean young male patients","title-short":"Complex regional pain syndrome in the young male population","volume":"32","author":[{"family":"Lee","given":"Ho-Jin"},{"family":"Lee","given":"Chang-Soon"},{"family":"Yoo","given":"Yongjae"},{"family":"Noh","given":"Jae Mun"},{"family":"Yu","given":"Je Hyuk"},{"family":"Kim","given":"Yong-Chul"},{"family":"Moon","given":"Jee Youn"}],"issued":{"date-parts":[["2019",10]]}}}],"schema":"https://github.com/citation-style-language/schema/raw/master/csl-citation.json"} </w:instrText>
      </w:r>
      <w:r w:rsidR="00BF068A" w:rsidRPr="005B09A9">
        <w:rPr>
          <w:rFonts w:ascii="Times New Roman" w:hAnsi="Times New Roman" w:cs="Times New Roman"/>
          <w:sz w:val="24"/>
          <w:szCs w:val="24"/>
        </w:rPr>
        <w:fldChar w:fldCharType="separate"/>
      </w:r>
      <w:r w:rsidR="00BF068A" w:rsidRPr="005B09A9">
        <w:rPr>
          <w:rFonts w:ascii="Times New Roman" w:hAnsi="Times New Roman" w:cs="Times New Roman"/>
          <w:sz w:val="24"/>
        </w:rPr>
        <w:t>(Lee et al., 2019)</w:t>
      </w:r>
      <w:r w:rsidR="00BF068A" w:rsidRPr="005B09A9">
        <w:rPr>
          <w:rFonts w:ascii="Times New Roman" w:hAnsi="Times New Roman" w:cs="Times New Roman"/>
          <w:sz w:val="24"/>
          <w:szCs w:val="24"/>
        </w:rPr>
        <w:fldChar w:fldCharType="end"/>
      </w:r>
      <w:r w:rsidR="00BF068A" w:rsidRPr="005B09A9">
        <w:rPr>
          <w:rFonts w:ascii="Times New Roman" w:hAnsi="Times New Roman" w:cs="Times New Roman"/>
          <w:sz w:val="24"/>
          <w:szCs w:val="24"/>
        </w:rPr>
        <w:t>.</w:t>
      </w:r>
      <w:r w:rsidR="00635726" w:rsidRPr="005B09A9">
        <w:rPr>
          <w:rFonts w:ascii="Times New Roman" w:hAnsi="Times New Roman" w:cs="Times New Roman"/>
          <w:sz w:val="24"/>
          <w:szCs w:val="24"/>
        </w:rPr>
        <w:t xml:space="preserve"> </w:t>
      </w:r>
      <w:r w:rsidR="00422F8B" w:rsidRPr="005B09A9">
        <w:rPr>
          <w:rFonts w:ascii="Times New Roman" w:hAnsi="Times New Roman" w:cs="Times New Roman"/>
          <w:sz w:val="24"/>
          <w:szCs w:val="24"/>
        </w:rPr>
        <w:t>Regarding cognitive bias</w:t>
      </w:r>
      <w:r w:rsidR="00BF068A" w:rsidRPr="005B09A9">
        <w:rPr>
          <w:rFonts w:ascii="Times New Roman" w:hAnsi="Times New Roman" w:cs="Times New Roman"/>
          <w:sz w:val="24"/>
          <w:szCs w:val="24"/>
        </w:rPr>
        <w:t>es</w:t>
      </w:r>
      <w:r w:rsidR="00422F8B" w:rsidRPr="005B09A9">
        <w:rPr>
          <w:rFonts w:ascii="Times New Roman" w:hAnsi="Times New Roman" w:cs="Times New Roman"/>
          <w:sz w:val="24"/>
          <w:szCs w:val="24"/>
        </w:rPr>
        <w:t xml:space="preserve"> in CRPS,</w:t>
      </w:r>
      <w:r w:rsidR="005B18FC" w:rsidRPr="005B09A9">
        <w:rPr>
          <w:rFonts w:ascii="Times New Roman" w:hAnsi="Times New Roman" w:cs="Times New Roman"/>
          <w:sz w:val="24"/>
          <w:szCs w:val="24"/>
        </w:rPr>
        <w:t xml:space="preserve"> a study</w:t>
      </w:r>
      <w:r w:rsidR="00422F8B" w:rsidRPr="005B09A9">
        <w:rPr>
          <w:rFonts w:ascii="Times New Roman" w:hAnsi="Times New Roman" w:cs="Times New Roman"/>
          <w:sz w:val="24"/>
          <w:szCs w:val="24"/>
        </w:rPr>
        <w:t xml:space="preserve"> </w:t>
      </w:r>
      <w:r w:rsidR="005B18FC" w:rsidRPr="005B09A9">
        <w:rPr>
          <w:rFonts w:ascii="Times New Roman" w:hAnsi="Times New Roman" w:cs="Times New Roman"/>
          <w:sz w:val="24"/>
          <w:szCs w:val="24"/>
        </w:rPr>
        <w:t>reported</w:t>
      </w:r>
      <w:r w:rsidR="005F33C7" w:rsidRPr="005B09A9">
        <w:rPr>
          <w:rFonts w:ascii="Times New Roman" w:hAnsi="Times New Roman" w:cs="Times New Roman"/>
          <w:sz w:val="24"/>
          <w:szCs w:val="24"/>
        </w:rPr>
        <w:t xml:space="preserve"> </w:t>
      </w:r>
      <w:r w:rsidR="005B18FC" w:rsidRPr="005B09A9">
        <w:rPr>
          <w:rFonts w:ascii="Times New Roman" w:hAnsi="Times New Roman" w:cs="Times New Roman"/>
          <w:sz w:val="24"/>
          <w:szCs w:val="24"/>
        </w:rPr>
        <w:t xml:space="preserve">that having </w:t>
      </w:r>
      <w:r w:rsidR="005F33C7" w:rsidRPr="005B09A9">
        <w:rPr>
          <w:rFonts w:ascii="Times New Roman" w:hAnsi="Times New Roman" w:cs="Times New Roman"/>
          <w:sz w:val="24"/>
          <w:szCs w:val="24"/>
        </w:rPr>
        <w:t>more</w:t>
      </w:r>
      <w:r w:rsidR="00422F8B" w:rsidRPr="005B09A9">
        <w:rPr>
          <w:rFonts w:ascii="Times New Roman" w:hAnsi="Times New Roman" w:cs="Times New Roman"/>
          <w:sz w:val="24"/>
          <w:szCs w:val="24"/>
        </w:rPr>
        <w:t xml:space="preserve"> </w:t>
      </w:r>
      <w:r w:rsidR="00422F8B" w:rsidRPr="005B09A9">
        <w:rPr>
          <w:rFonts w:ascii="Times New Roman" w:hAnsi="Times New Roman" w:cs="Times New Roman"/>
          <w:i/>
          <w:sz w:val="24"/>
          <w:szCs w:val="24"/>
        </w:rPr>
        <w:t>cognitive symptoms</w:t>
      </w:r>
      <w:r w:rsidR="00422F8B" w:rsidRPr="005B09A9">
        <w:rPr>
          <w:rFonts w:ascii="Times New Roman" w:hAnsi="Times New Roman" w:cs="Times New Roman"/>
          <w:sz w:val="24"/>
          <w:szCs w:val="24"/>
        </w:rPr>
        <w:t xml:space="preserve"> </w:t>
      </w:r>
      <w:r w:rsidR="005B18FC" w:rsidRPr="005B09A9">
        <w:rPr>
          <w:rFonts w:ascii="Times New Roman" w:hAnsi="Times New Roman" w:cs="Times New Roman"/>
          <w:sz w:val="24"/>
          <w:szCs w:val="24"/>
        </w:rPr>
        <w:t>was</w:t>
      </w:r>
      <w:r w:rsidR="00422F8B" w:rsidRPr="005B09A9">
        <w:rPr>
          <w:rFonts w:ascii="Times New Roman" w:hAnsi="Times New Roman" w:cs="Times New Roman"/>
          <w:sz w:val="24"/>
          <w:szCs w:val="24"/>
        </w:rPr>
        <w:t xml:space="preserve"> associated with higher pain intensity </w:t>
      </w:r>
      <w:r w:rsidR="00635726" w:rsidRPr="005B09A9">
        <w:rPr>
          <w:rFonts w:ascii="Times New Roman" w:hAnsi="Times New Roman" w:cs="Times New Roman"/>
          <w:sz w:val="24"/>
          <w:szCs w:val="24"/>
        </w:rPr>
        <w:t xml:space="preserve">at 6-month follow-up in long-standing CRPS individuals </w:t>
      </w:r>
      <w:r w:rsidR="00635726" w:rsidRPr="005B09A9">
        <w:rPr>
          <w:rFonts w:ascii="Times New Roman" w:hAnsi="Times New Roman" w:cs="Times New Roman"/>
          <w:sz w:val="24"/>
          <w:szCs w:val="24"/>
        </w:rPr>
        <w:fldChar w:fldCharType="begin"/>
      </w:r>
      <w:r w:rsidR="00635726" w:rsidRPr="005B09A9">
        <w:rPr>
          <w:rFonts w:ascii="Times New Roman" w:hAnsi="Times New Roman" w:cs="Times New Roman"/>
          <w:sz w:val="24"/>
          <w:szCs w:val="24"/>
        </w:rPr>
        <w:instrText xml:space="preserve"> ADDIN ZOTERO_ITEM CSL_CITATION {"citationID":"ZZBGJUQo","properties":{"formattedCitation":"(Wittayer et al., 2018)","plainCitation":"(Wittayer et al., 2018)","noteIndex":0},"citationItems":[{"id":455,"uris":["http://zotero.org/users/8777725/items/9JYBC9FS"],"itemData":{"id":455,"type":"article-journal","abstract":"Neglect-like symptoms (NLS) are frequently observed in complex regional pain syndrome (CRPS). The clinical meaning of NLS, however, is largely unknown. Therefore, this study sets out to assess the importance of NLS for patient outcome and to explore their clinical correlates. We assessed NLS in a group of 53 patients with CRPS and compared the results to 28 healthy volunteers. To define the origin of the NLS reports, we tested the subjective visual midline, performed a limb-laterality recognition test, and quantitative sensory testing. In addition, psychological and pain assessment scales were completed. Tests were analyzed with univariate and multivariate approaches. After 6 months, patients were reassessed and the influence of NLS on pain outcome was determined. Most patients reported NLS in the questionnaire, whereas subjective visual midline and limb-laterality recognition test in contrast to previous studies did not reveal perceptual disturbances. Neglect-like symptom scores were associated with pain and pain catastrophizing in acute CRPS and anxiety and thermal sensory loss in chronic CRPS. Furthermore, high NLS scores had a negative impact on pain outcome after 6 months. Our results indicate that NLS have a different meaning in acute and chronic CRPS and might be of prognostic value. Possibly, treatment should focus on reducing NLS.","container-title":"Pain","issue":"5","note":"publisher-place: [\"Department of Neurology, University Medical Center of the Johannes Gutenberg-University Mainz, Mainz, Germany\", \"Department of Neurology, University Medical Center Mannheim, University of Heidelberg, Mannheim, Germany\", \"Department of Neurology, DKD Helios Clinic Wiesbaden, Wiesbaden, Germany\"]","page":"978-986","title":"Correlates and importance of neglect-like symptoms in complex regional pain syndrome","volume":"159","author":[{"family":"Wittayer","given":"M."},{"family":"Dimova","given":"V."},{"family":"Birklein","given":"F."},{"family":"Schlereth","given":"T."}],"issued":{"date-parts":[["2018"]]}}}],"schema":"https://github.com/citation-style-language/schema/raw/master/csl-citation.json"} </w:instrText>
      </w:r>
      <w:r w:rsidR="00635726" w:rsidRPr="005B09A9">
        <w:rPr>
          <w:rFonts w:ascii="Times New Roman" w:hAnsi="Times New Roman" w:cs="Times New Roman"/>
          <w:sz w:val="24"/>
          <w:szCs w:val="24"/>
        </w:rPr>
        <w:fldChar w:fldCharType="separate"/>
      </w:r>
      <w:r w:rsidR="00635726" w:rsidRPr="005B09A9">
        <w:rPr>
          <w:rFonts w:ascii="Times New Roman" w:hAnsi="Times New Roman" w:cs="Times New Roman"/>
          <w:sz w:val="24"/>
        </w:rPr>
        <w:t>(Wittayer et al., 2018)</w:t>
      </w:r>
      <w:r w:rsidR="00635726" w:rsidRPr="005B09A9">
        <w:rPr>
          <w:rFonts w:ascii="Times New Roman" w:hAnsi="Times New Roman" w:cs="Times New Roman"/>
          <w:sz w:val="24"/>
          <w:szCs w:val="24"/>
        </w:rPr>
        <w:fldChar w:fldCharType="end"/>
      </w:r>
      <w:r w:rsidR="00635726" w:rsidRPr="005B09A9">
        <w:rPr>
          <w:rFonts w:ascii="Times New Roman" w:hAnsi="Times New Roman" w:cs="Times New Roman"/>
          <w:sz w:val="24"/>
          <w:szCs w:val="24"/>
        </w:rPr>
        <w:t xml:space="preserve">. However, </w:t>
      </w:r>
      <w:r w:rsidR="00BF068A" w:rsidRPr="005B09A9">
        <w:rPr>
          <w:rFonts w:ascii="Times New Roman" w:hAnsi="Times New Roman" w:cs="Times New Roman"/>
          <w:sz w:val="24"/>
          <w:szCs w:val="24"/>
        </w:rPr>
        <w:t>this result was not significant in early CRPS and</w:t>
      </w:r>
      <w:r w:rsidR="00635726" w:rsidRPr="005B09A9">
        <w:rPr>
          <w:rFonts w:ascii="Times New Roman" w:hAnsi="Times New Roman" w:cs="Times New Roman"/>
          <w:sz w:val="24"/>
          <w:szCs w:val="24"/>
        </w:rPr>
        <w:t xml:space="preserve"> was</w:t>
      </w:r>
      <w:r w:rsidR="00BF068A" w:rsidRPr="005B09A9">
        <w:rPr>
          <w:rFonts w:ascii="Times New Roman" w:hAnsi="Times New Roman" w:cs="Times New Roman"/>
          <w:sz w:val="24"/>
          <w:szCs w:val="24"/>
        </w:rPr>
        <w:t xml:space="preserve"> only</w:t>
      </w:r>
      <w:r w:rsidR="00635726" w:rsidRPr="005B09A9">
        <w:rPr>
          <w:rFonts w:ascii="Times New Roman" w:hAnsi="Times New Roman" w:cs="Times New Roman"/>
          <w:sz w:val="24"/>
          <w:szCs w:val="24"/>
        </w:rPr>
        <w:t xml:space="preserve"> true for self-reported </w:t>
      </w:r>
      <w:r w:rsidR="00BF068A" w:rsidRPr="005B09A9">
        <w:rPr>
          <w:rFonts w:ascii="Times New Roman" w:hAnsi="Times New Roman" w:cs="Times New Roman"/>
          <w:sz w:val="24"/>
          <w:szCs w:val="24"/>
        </w:rPr>
        <w:t>cognitive symptoms</w:t>
      </w:r>
      <w:r w:rsidR="00635726" w:rsidRPr="005B09A9">
        <w:rPr>
          <w:rFonts w:ascii="Times New Roman" w:hAnsi="Times New Roman" w:cs="Times New Roman"/>
          <w:sz w:val="24"/>
          <w:szCs w:val="24"/>
        </w:rPr>
        <w:t xml:space="preserve">, but not when directly measured by neuropsychological tests. </w:t>
      </w:r>
      <w:r w:rsidR="00422F8B" w:rsidRPr="005B09A9">
        <w:rPr>
          <w:rFonts w:ascii="Times New Roman" w:hAnsi="Times New Roman" w:cs="Times New Roman"/>
          <w:i/>
          <w:sz w:val="24"/>
          <w:szCs w:val="24"/>
        </w:rPr>
        <w:t>H</w:t>
      </w:r>
      <w:r w:rsidR="00635726" w:rsidRPr="005B09A9">
        <w:rPr>
          <w:rFonts w:ascii="Times New Roman" w:hAnsi="Times New Roman" w:cs="Times New Roman"/>
          <w:i/>
          <w:iCs/>
          <w:sz w:val="24"/>
          <w:szCs w:val="24"/>
        </w:rPr>
        <w:t>igher revised-Bath-CRPS-Body Perception Disturbance Scale score</w:t>
      </w:r>
      <w:r w:rsidR="00635726" w:rsidRPr="005B09A9">
        <w:rPr>
          <w:rFonts w:ascii="Times New Roman" w:hAnsi="Times New Roman" w:cs="Times New Roman"/>
          <w:sz w:val="24"/>
          <w:szCs w:val="24"/>
        </w:rPr>
        <w:t xml:space="preserve"> was positively associated with pain intensity and pain-related fear in participants with persistent CRPS </w:t>
      </w:r>
      <w:r w:rsidR="00635726" w:rsidRPr="005B09A9">
        <w:rPr>
          <w:rFonts w:ascii="Times New Roman" w:hAnsi="Times New Roman" w:cs="Times New Roman"/>
          <w:sz w:val="24"/>
          <w:szCs w:val="24"/>
        </w:rPr>
        <w:fldChar w:fldCharType="begin"/>
      </w:r>
      <w:r w:rsidR="00635726" w:rsidRPr="005B09A9">
        <w:rPr>
          <w:rFonts w:ascii="Times New Roman" w:hAnsi="Times New Roman" w:cs="Times New Roman"/>
          <w:sz w:val="24"/>
          <w:szCs w:val="24"/>
        </w:rPr>
        <w:instrText xml:space="preserve"> ADDIN ZOTERO_ITEM CSL_CITATION {"citationID":"6nEBZko1","properties":{"formattedCitation":"(Ten Brink et al., 2021)","plainCitation":"(Ten Brink et al., 2021)","noteIndex":0},"citationItems":[{"id":553,"uris":["http://zotero.org/users/8777725/items/DXA324BL"],"itemData":{"id":553,"type":"article-journal","abstract":"The Bath Complex Regional Pain Syndrome Body Perception Disturbance Scale (\"B-CRPS-BPDS\") measures alterations in body perception. We assessed its internal consistency, known group validity, construct validity, and associations with demographic and clinical characteristics. We also evaluated changes in, and baseline predictors of B-CRPS-BPDS scores at follow-up. We included people with CRPS (N = 114) and pain-free controls (N = 69). People with CRPS obtained higher scores than pain-free controls on all B-CRPS-BPDS items, except the item on attention. Because this item also had an insufficient corrected item-total correlation, we propose a revised B-CRPS-BPDS (r-B-CRPS-BPDS) excluding this item. The internal consistency of the r-B-CRPS-BPDS was good. The r-B-CRPS-BPDS showed a large positive relationship with \"motor neglect-like symptoms\", indicating good construct validity. The r-B-CRPS-BPDS showed positive relationships with pain intensity, fear of movement, depression, and upper limb disability. There were no independent relationships with handedness, affected side, affected limb, disease duration, CRPS severity score, tension, anger, fatigue, confusion, and vigour. Finally, r-B-CRPS-BPDS scores did not consistently change over time. Our results demonstrate the utility of the r-B-CRPS-BPDS for measuring body perception disturbances in CRPS. PERSPECTIVE: This article evaluates the validity of the Bath Complex Regional Pain Syndrome Body Perception Disturbance Scale (\"B-CRPS-BPDS\") in CRPS, and assesses relationships with demographic and clinical variables. The proposed revised B-CRPS-BPDS appears to be a valid measure of body perception disturbances in CRPS.","container-title":"The Journal of Pain","DOI":"10.1016/j.jpain.2021.04.007","ISSN":"1528-8447","issue":"11","journalAbbreviation":"J Pain","language":"eng","note":"PMID: 33964412","page":"1371-1384","source":"PubMed","title":"Validation of the Bath CRPS Body Perception Disturbance Scale","volume":"22","author":[{"family":"Ten Brink","given":"Antonia F."},{"family":"Halicka","given":"Monika"},{"family":"Vittersø","given":"Axel D."},{"family":"Jones","given":"Hannah G."},{"family":"Stanton","given":"Tasha R."},{"family":"Bultitude","given":"Janet H."}],"issued":{"date-parts":[["2021",11]]}}}],"schema":"https://github.com/citation-style-language/schema/raw/master/csl-citation.json"} </w:instrText>
      </w:r>
      <w:r w:rsidR="00635726" w:rsidRPr="005B09A9">
        <w:rPr>
          <w:rFonts w:ascii="Times New Roman" w:hAnsi="Times New Roman" w:cs="Times New Roman"/>
          <w:sz w:val="24"/>
          <w:szCs w:val="24"/>
        </w:rPr>
        <w:fldChar w:fldCharType="separate"/>
      </w:r>
      <w:r w:rsidR="00635726" w:rsidRPr="005B09A9">
        <w:rPr>
          <w:rFonts w:ascii="Times New Roman" w:hAnsi="Times New Roman" w:cs="Times New Roman"/>
          <w:sz w:val="24"/>
        </w:rPr>
        <w:t>(Ten Brink et al., 2021)</w:t>
      </w:r>
      <w:r w:rsidR="00635726" w:rsidRPr="005B09A9">
        <w:rPr>
          <w:rFonts w:ascii="Times New Roman" w:hAnsi="Times New Roman" w:cs="Times New Roman"/>
          <w:sz w:val="24"/>
          <w:szCs w:val="24"/>
        </w:rPr>
        <w:fldChar w:fldCharType="end"/>
      </w:r>
      <w:r w:rsidR="00635726" w:rsidRPr="005B09A9">
        <w:rPr>
          <w:rFonts w:ascii="Times New Roman" w:hAnsi="Times New Roman" w:cs="Times New Roman"/>
          <w:sz w:val="24"/>
          <w:szCs w:val="24"/>
        </w:rPr>
        <w:t xml:space="preserve">. </w:t>
      </w:r>
      <w:r w:rsidR="00635726" w:rsidRPr="005B09A9">
        <w:rPr>
          <w:rFonts w:ascii="Times New Roman" w:eastAsia="Calibri" w:hAnsi="Times New Roman" w:cs="Times New Roman"/>
          <w:sz w:val="24"/>
          <w:szCs w:val="24"/>
        </w:rPr>
        <w:t xml:space="preserve">In a small sample (n = 17) with long-standing CRPS, </w:t>
      </w:r>
      <w:r w:rsidR="00422F8B" w:rsidRPr="005B09A9">
        <w:rPr>
          <w:rFonts w:ascii="Times New Roman" w:eastAsia="Calibri" w:hAnsi="Times New Roman" w:cs="Times New Roman"/>
          <w:sz w:val="24"/>
          <w:szCs w:val="24"/>
        </w:rPr>
        <w:t>the same authors</w:t>
      </w:r>
      <w:r w:rsidR="00635726" w:rsidRPr="005B09A9">
        <w:rPr>
          <w:rFonts w:ascii="Times New Roman" w:eastAsia="Calibri" w:hAnsi="Times New Roman" w:cs="Times New Roman"/>
          <w:sz w:val="24"/>
          <w:szCs w:val="24"/>
        </w:rPr>
        <w:t xml:space="preserve"> </w:t>
      </w:r>
      <w:r w:rsidR="00422F8B" w:rsidRPr="005B09A9">
        <w:rPr>
          <w:rFonts w:ascii="Times New Roman" w:eastAsia="Calibri" w:hAnsi="Times New Roman" w:cs="Times New Roman"/>
          <w:sz w:val="24"/>
          <w:szCs w:val="24"/>
        </w:rPr>
        <w:t xml:space="preserve">also </w:t>
      </w:r>
      <w:r w:rsidR="00635726" w:rsidRPr="005B09A9">
        <w:rPr>
          <w:rFonts w:ascii="Times New Roman" w:eastAsia="Calibri" w:hAnsi="Times New Roman" w:cs="Times New Roman"/>
          <w:sz w:val="24"/>
          <w:szCs w:val="24"/>
        </w:rPr>
        <w:t xml:space="preserve">observed a very strong positive relationship between the </w:t>
      </w:r>
      <w:r w:rsidR="00635726" w:rsidRPr="005B09A9">
        <w:rPr>
          <w:rFonts w:ascii="Times New Roman" w:eastAsia="Calibri" w:hAnsi="Times New Roman" w:cs="Times New Roman"/>
          <w:i/>
          <w:sz w:val="24"/>
          <w:szCs w:val="24"/>
        </w:rPr>
        <w:t>body perception disturbance score</w:t>
      </w:r>
      <w:r w:rsidR="00635726" w:rsidRPr="005B09A9">
        <w:rPr>
          <w:rFonts w:ascii="Times New Roman" w:eastAsia="Calibri" w:hAnsi="Times New Roman" w:cs="Times New Roman"/>
          <w:sz w:val="24"/>
          <w:szCs w:val="24"/>
        </w:rPr>
        <w:t xml:space="preserve"> and the upper limb function (assessed by Quick DASH). </w:t>
      </w:r>
    </w:p>
    <w:p w14:paraId="0493870F" w14:textId="77777777" w:rsidR="00D236E8" w:rsidRPr="005B09A9" w:rsidRDefault="00D236E8" w:rsidP="00DD79D8">
      <w:pPr>
        <w:pStyle w:val="Paragraphedeliste"/>
        <w:numPr>
          <w:ilvl w:val="1"/>
          <w:numId w:val="18"/>
        </w:numPr>
        <w:spacing w:line="480" w:lineRule="auto"/>
        <w:rPr>
          <w:rStyle w:val="Accentuationlgre"/>
          <w:rFonts w:ascii="Times New Roman" w:hAnsi="Times New Roman"/>
          <w:b w:val="0"/>
          <w:sz w:val="24"/>
          <w:lang w:val="en-GB"/>
        </w:rPr>
      </w:pPr>
      <w:r w:rsidRPr="005B09A9">
        <w:rPr>
          <w:rStyle w:val="Accentuationlgre"/>
          <w:rFonts w:ascii="Times New Roman" w:hAnsi="Times New Roman"/>
          <w:b w:val="0"/>
          <w:sz w:val="24"/>
          <w:lang w:val="en-GB"/>
        </w:rPr>
        <w:t>I</w:t>
      </w:r>
      <w:r w:rsidR="00C974B6" w:rsidRPr="005B09A9">
        <w:rPr>
          <w:rStyle w:val="Accentuationlgre"/>
          <w:rFonts w:ascii="Times New Roman" w:hAnsi="Times New Roman"/>
          <w:b w:val="0"/>
          <w:sz w:val="24"/>
          <w:lang w:val="en-GB"/>
        </w:rPr>
        <w:t>mplications</w:t>
      </w:r>
    </w:p>
    <w:p w14:paraId="731F158F" w14:textId="03AA0334" w:rsidR="00C974B6" w:rsidRPr="005B09A9" w:rsidRDefault="00D236E8" w:rsidP="00D236E8">
      <w:pPr>
        <w:spacing w:line="480" w:lineRule="auto"/>
        <w:rPr>
          <w:rFonts w:ascii="Times New Roman" w:hAnsi="Times New Roman" w:cs="Times New Roman"/>
          <w:sz w:val="24"/>
          <w:szCs w:val="24"/>
          <w:lang w:val="en-US"/>
        </w:rPr>
      </w:pPr>
      <w:r w:rsidRPr="005B09A9">
        <w:rPr>
          <w:rFonts w:ascii="Times New Roman" w:hAnsi="Times New Roman" w:cs="Times New Roman"/>
          <w:sz w:val="24"/>
          <w:szCs w:val="24"/>
          <w:lang w:val="en-US"/>
        </w:rPr>
        <w:t xml:space="preserve">Of </w:t>
      </w:r>
      <w:r w:rsidR="005F33C7" w:rsidRPr="005B09A9">
        <w:rPr>
          <w:rFonts w:ascii="Times New Roman" w:hAnsi="Times New Roman" w:cs="Times New Roman"/>
          <w:sz w:val="24"/>
          <w:szCs w:val="24"/>
          <w:lang w:val="en-US"/>
        </w:rPr>
        <w:t>the identified</w:t>
      </w:r>
      <w:r w:rsidRPr="005B09A9">
        <w:rPr>
          <w:rFonts w:ascii="Times New Roman" w:hAnsi="Times New Roman" w:cs="Times New Roman"/>
          <w:sz w:val="24"/>
          <w:szCs w:val="24"/>
          <w:lang w:val="en-US"/>
        </w:rPr>
        <w:t xml:space="preserve"> factors, several are considered modifiable and are therefore more relevant to the clinician. We could hypothesize that minimizing </w:t>
      </w:r>
      <w:r w:rsidRPr="005B09A9">
        <w:rPr>
          <w:rFonts w:ascii="Times New Roman" w:hAnsi="Times New Roman" w:cs="Times New Roman"/>
          <w:i/>
          <w:sz w:val="24"/>
          <w:szCs w:val="24"/>
          <w:lang w:val="en-US"/>
        </w:rPr>
        <w:t>disability</w:t>
      </w:r>
      <w:r w:rsidRPr="005B09A9">
        <w:rPr>
          <w:rFonts w:ascii="Times New Roman" w:hAnsi="Times New Roman" w:cs="Times New Roman"/>
          <w:sz w:val="24"/>
          <w:szCs w:val="24"/>
          <w:lang w:val="en-US"/>
        </w:rPr>
        <w:t xml:space="preserve">, </w:t>
      </w:r>
      <w:r w:rsidRPr="005B09A9">
        <w:rPr>
          <w:rFonts w:ascii="Times New Roman" w:hAnsi="Times New Roman" w:cs="Times New Roman"/>
          <w:i/>
          <w:iCs/>
          <w:sz w:val="24"/>
          <w:szCs w:val="24"/>
          <w:lang w:val="en-US"/>
        </w:rPr>
        <w:t>pain intensity</w:t>
      </w:r>
      <w:r w:rsidRPr="005B09A9">
        <w:rPr>
          <w:rFonts w:ascii="Times New Roman" w:hAnsi="Times New Roman" w:cs="Times New Roman"/>
          <w:sz w:val="24"/>
          <w:szCs w:val="24"/>
          <w:lang w:val="en-US"/>
        </w:rPr>
        <w:t xml:space="preserve">, </w:t>
      </w:r>
      <w:r w:rsidRPr="005B09A9">
        <w:rPr>
          <w:rFonts w:ascii="Times New Roman" w:hAnsi="Times New Roman" w:cs="Times New Roman"/>
          <w:i/>
          <w:iCs/>
          <w:sz w:val="24"/>
          <w:szCs w:val="24"/>
          <w:lang w:val="en-US"/>
        </w:rPr>
        <w:t>pain-related fear</w:t>
      </w:r>
      <w:r w:rsidRPr="005B09A9">
        <w:rPr>
          <w:rFonts w:ascii="Times New Roman" w:hAnsi="Times New Roman" w:cs="Times New Roman"/>
          <w:sz w:val="24"/>
          <w:szCs w:val="24"/>
          <w:lang w:val="en-US"/>
        </w:rPr>
        <w:t xml:space="preserve">, and </w:t>
      </w:r>
      <w:r w:rsidRPr="005B09A9">
        <w:rPr>
          <w:rFonts w:ascii="Times New Roman" w:hAnsi="Times New Roman" w:cs="Times New Roman"/>
          <w:i/>
          <w:iCs/>
          <w:sz w:val="24"/>
          <w:szCs w:val="24"/>
          <w:lang w:val="en-US"/>
        </w:rPr>
        <w:t>anxiety</w:t>
      </w:r>
      <w:r w:rsidRPr="005B09A9">
        <w:rPr>
          <w:rFonts w:ascii="Times New Roman" w:hAnsi="Times New Roman" w:cs="Times New Roman"/>
          <w:sz w:val="24"/>
          <w:szCs w:val="24"/>
          <w:lang w:val="en-US"/>
        </w:rPr>
        <w:t xml:space="preserve"> at an early stage could reduce the risk of chronification. This approach, that focuses on factors associated with poorer prognosis, has been successful in musculoskeletal pain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lang w:val="en-US"/>
        </w:rPr>
        <w:instrText xml:space="preserve"> ADDIN ZOTERO_ITEM CSL_CITATION {"citationID":"M9SGeG6n","properties":{"formattedCitation":"(Hill et al., 2011; Meyer et al., 2018)","plainCitation":"(Hill et al., 2011; Meyer et al., 2018)","noteIndex":0},"citationItems":[{"id":1466,"uris":["http://zotero.org/users/8777725/items/QEDBV3EF"],"itemData":{"id":1466,"type":"article-journal","abstract":"BACKGROUND: Back pain remains a challenge for primary care internationally. One model that has not been tested is stratification of the management according to the patient's prognosis (low, medium, or high risk). We compared the clinical effectiveness and cost-effectiveness of stratified primary care (intervention) with non-stratified current best practice (control).\nMETHODS: 1573 adults (aged ≥18 years) with back pain (with or without radiculopathy) consultations at ten general practices in England responded to invitations to attend an assessment clinic. Eligible participants were randomly assigned by use of computer-generated stratified blocks with a 2:1 ratio to intervention or control group. Primary outcome was the effect of treatment on the Roland Morris Disability Questionnaire (RMDQ) score at 12 months. In the economic evaluation, we focused on estimating incremental quality-adjusted life years (QALYs) and health-care costs related to back pain. Analysis was by intention to treat. This study is registered, number ISRCTN37113406.\nFINDINGS: 851 patients were assigned to the intervention (n=568) and control groups (n=283). Overall, adjusted mean changes in RMDQ scores were significantly higher in the intervention group than in the control group at 4 months (4·7 [SD 5·9] vs 3·0 [5·9], between-group difference 1·81 [95% CI 1·06-2·57]) and at 12 months (4·3 [6·4] vs 3·3 [6·2], 1·06 [0·25-1·86]), equating to effect sizes of 0·32 (0·19-0·45) and 0·19 (0·04-0·33), respectively. At 12 months, stratified care was associated with a mean increase in generic health benefit (0·039 additional QALYs) and cost savings (£240·01 vs £274·40) compared with the control group.\nINTERPRETATION: The results show that a stratified approach, by use of prognostic screening with matched pathways, will have important implications for the future management of back pain in primary care.\nFUNDING: Arthritis Research UK.","container-title":"Lancet (London, England)","DOI":"10.1016/S0140-6736(11)60937-9","ISSN":"1474-547X","issue":"9802","journalAbbreviation":"Lancet","language":"eng","note":"PMID: 21963002\nPMCID: PMC3208163","page":"1560-1571","source":"PubMed","title":"Comparison of stratified primary care management for low back pain with current best pract</w:instrText>
      </w:r>
      <w:r w:rsidRPr="005B09A9">
        <w:rPr>
          <w:rFonts w:ascii="Times New Roman" w:hAnsi="Times New Roman" w:cs="Times New Roman"/>
          <w:sz w:val="24"/>
          <w:szCs w:val="24"/>
        </w:rPr>
        <w:instrText>ice (STarT Back): a randomised controlled trial","title-short":"Comparison of stratified primary care management for low back pain with current best practice (STarT Back)","volume":"378","author":[{"family":"Hill","given":"Jonathan C."},{"family":"Whitehurst","given":"David G. T."},{"family":"Lewis","given":"Martyn"},{"family":"Bryan","given":"Stirling"},{"family":"Dunn","given":"Kate M."},{"family":"Foster","given":"Nadine E."},{"family":"Konstantinou","given":"Kika"},{"family":"Main","given":"Chris J."},{"family":"Mason","given":"Elizabeth"},{"family":"Somerville","given":"Simon"},{"family":"Sowden","given":"Gail"},{"family":"Vohora","given":"Kanchan"},{"family":"Hay","given":"Elaine M."}],"issued":{"date-parts":[["2011",10,29]]}}},{"id":1246,"uris":["http://zotero.org/users/8777725/items/NJIG9CL6"],"itemData":{"id":1246,"type":"article-journal","abstract":"BACKGROUND: Chronic musculoskeletal pain disorders are highly prevalent and have high personal and societal cost. Hence, early detection and care of patients at risk of developing chronic pain is important. Risk factors are well known and screening tools exist, but much less is known about the care of at-risk patients. The aim of this study was to investigate the effectiveness of secondary prevention strategies for musculoskeletal pain.\nMETHODS: We performed a systematic review of clinical trials in which treatments were adjusted to the risk of chronicity in adults with acute or subacute musculoskeletal pain. Clinical trials, systematic reviews and meta-analyses published after January 1, 2000 were searched in PubMed and PEDro databases and in the reference list of relevant papers. The risk of bias was assessed by the PEDro score.\nRESULTS: We identified 4807 potentially eligible articles; 13, corresponding to 9 studies, met the inclusion criteria. Most studies investigated low back pain. The overall risk of bias was moderate, mainly because of the difficulty of blinding in physiotherapy studies. As compared with a \"one-size-fits-all\" treatment, stratified programmes showed signif</w:instrText>
      </w:r>
      <w:r w:rsidRPr="005B09A9">
        <w:rPr>
          <w:rFonts w:ascii="Times New Roman" w:hAnsi="Times New Roman" w:cs="Times New Roman"/>
          <w:sz w:val="24"/>
          <w:szCs w:val="24"/>
          <w:lang w:val="en-US"/>
        </w:rPr>
        <w:instrText xml:space="preserve">icant improvements in several domains of the International Classification of Functioning, Disability and Health: body structures and functions (pain, mood), activities (functional capacity), participation (return to work, quality of life), as well as environmental factors (healthcare consumption). Effect sizes were moderate. Overall, simple educational messages seemed sufficient for low-risk patients. Medium- and high-risk patients benefited from a physical reactivation programme combined with education. In high-risk patients, an additional cognitive-behavioural intervention further improved the outcome.\nCONCLUSIONS: A stratified approach seems effective in reducing long-term disability in patients with musculoskeletal pain. However, more research is necessary to confirm these results.","container-title":"Annals of Physical and Rehabilitation Medicine","DOI":"10.1016/j.rehab.2018.03.002","ISSN":"1877-0665","issue":"5","journalAbbreviation":"Ann Phys Rehabil Med","language":"eng","note":"PMID: 29578102","page":"323-338","source":"PubMed","title":"Secondary prevention of chronic musculoskeletal pain: A systematic review of clinical trials","title-short":"Secondary prevention of chronic musculoskeletal pain","volume":"61","author":[{"family":"Meyer","given":"Caroline"},{"family":"Denis","given":"Camille M."},{"family":"Berquin","given":"Anne D."}],"issued":{"date-parts":[["2018",9]]}}}],"schema":"https://github.com/citation-style-language/schema/raw/master/csl-citation.json"}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lang w:val="en-US"/>
        </w:rPr>
        <w:t>(Hill et al., 2011; Meyer et al., 2018)</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lang w:val="en-US"/>
        </w:rPr>
        <w:t>. However, to our knowledge, there is no similar study in the area of CRPS.</w:t>
      </w:r>
    </w:p>
    <w:p w14:paraId="6CCD85E1" w14:textId="687C6339" w:rsidR="00483217" w:rsidRPr="005B09A9" w:rsidRDefault="00483217" w:rsidP="00D236E8">
      <w:pPr>
        <w:spacing w:line="480" w:lineRule="auto"/>
        <w:rPr>
          <w:rFonts w:ascii="Times New Roman" w:hAnsi="Times New Roman" w:cs="Times New Roman"/>
          <w:sz w:val="24"/>
          <w:szCs w:val="24"/>
          <w:lang w:val="en-US"/>
        </w:rPr>
      </w:pPr>
      <w:r w:rsidRPr="005B09A9">
        <w:rPr>
          <w:rFonts w:ascii="Times New Roman" w:hAnsi="Times New Roman" w:cs="Times New Roman"/>
          <w:sz w:val="24"/>
          <w:szCs w:val="24"/>
          <w:lang w:val="en-US"/>
        </w:rPr>
        <w:lastRenderedPageBreak/>
        <w:t xml:space="preserve">Given </w:t>
      </w:r>
      <w:r w:rsidR="0070398E" w:rsidRPr="005B09A9">
        <w:rPr>
          <w:rFonts w:ascii="Times New Roman" w:hAnsi="Times New Roman" w:cs="Times New Roman"/>
          <w:sz w:val="24"/>
          <w:szCs w:val="24"/>
          <w:lang w:val="en-US"/>
        </w:rPr>
        <w:t>our results</w:t>
      </w:r>
      <w:r w:rsidRPr="005B09A9">
        <w:rPr>
          <w:rFonts w:ascii="Times New Roman" w:hAnsi="Times New Roman" w:cs="Times New Roman"/>
          <w:sz w:val="24"/>
          <w:szCs w:val="24"/>
          <w:lang w:val="en-US"/>
        </w:rPr>
        <w:t xml:space="preserve"> and after a thorough reading of the literature, certain early sensory characteristics (i.e., </w:t>
      </w:r>
      <w:r w:rsidRPr="005B09A9">
        <w:rPr>
          <w:rFonts w:ascii="Times New Roman" w:hAnsi="Times New Roman" w:cs="Times New Roman"/>
          <w:i/>
          <w:sz w:val="24"/>
          <w:szCs w:val="24"/>
          <w:lang w:val="en-US"/>
        </w:rPr>
        <w:t>lower PPT</w:t>
      </w:r>
      <w:r w:rsidRPr="005B09A9">
        <w:rPr>
          <w:rFonts w:ascii="Times New Roman" w:hAnsi="Times New Roman" w:cs="Times New Roman"/>
          <w:sz w:val="24"/>
          <w:szCs w:val="24"/>
          <w:lang w:val="en-US"/>
        </w:rPr>
        <w:t xml:space="preserve"> and </w:t>
      </w:r>
      <w:r w:rsidRPr="005B09A9">
        <w:rPr>
          <w:rFonts w:ascii="Times New Roman" w:hAnsi="Times New Roman" w:cs="Times New Roman"/>
          <w:i/>
          <w:sz w:val="24"/>
          <w:szCs w:val="24"/>
          <w:lang w:val="en-US"/>
        </w:rPr>
        <w:t>allodynia</w:t>
      </w:r>
      <w:r w:rsidRPr="005B09A9">
        <w:rPr>
          <w:rFonts w:ascii="Times New Roman" w:hAnsi="Times New Roman" w:cs="Times New Roman"/>
          <w:sz w:val="24"/>
          <w:szCs w:val="24"/>
          <w:lang w:val="en-US"/>
        </w:rPr>
        <w:t xml:space="preserve">) seemed to be associated with poorer outcomes. These </w:t>
      </w:r>
      <w:r w:rsidR="0084547A" w:rsidRPr="005B09A9">
        <w:rPr>
          <w:rFonts w:ascii="Times New Roman" w:hAnsi="Times New Roman" w:cs="Times New Roman"/>
          <w:sz w:val="24"/>
          <w:szCs w:val="24"/>
          <w:lang w:val="en-US"/>
        </w:rPr>
        <w:t xml:space="preserve">variables could be important </w:t>
      </w:r>
      <w:r w:rsidRPr="005B09A9">
        <w:rPr>
          <w:rFonts w:ascii="Times New Roman" w:hAnsi="Times New Roman" w:cs="Times New Roman"/>
          <w:sz w:val="24"/>
          <w:szCs w:val="24"/>
          <w:lang w:val="en-US"/>
        </w:rPr>
        <w:t>markers of poorer prognosis in this condition.</w:t>
      </w:r>
      <w:r w:rsidR="0070398E" w:rsidRPr="005B09A9">
        <w:rPr>
          <w:rFonts w:ascii="Times New Roman" w:hAnsi="Times New Roman" w:cs="Times New Roman"/>
          <w:sz w:val="24"/>
          <w:szCs w:val="24"/>
          <w:lang w:val="en-US"/>
        </w:rPr>
        <w:t xml:space="preserve"> </w:t>
      </w:r>
    </w:p>
    <w:p w14:paraId="03D37981" w14:textId="66E5B9B2" w:rsidR="0084547A" w:rsidRPr="005B09A9" w:rsidRDefault="00677D81" w:rsidP="003B7B2C">
      <w:pPr>
        <w:pStyle w:val="Paragraphedeliste"/>
        <w:numPr>
          <w:ilvl w:val="1"/>
          <w:numId w:val="18"/>
        </w:numPr>
        <w:spacing w:line="480" w:lineRule="auto"/>
        <w:rPr>
          <w:rFonts w:ascii="Times New Roman" w:hAnsi="Times New Roman" w:cs="Times New Roman"/>
          <w:i/>
          <w:iCs/>
          <w:sz w:val="24"/>
          <w:szCs w:val="24"/>
          <w:u w:val="single"/>
          <w:lang w:val="en-GB"/>
        </w:rPr>
      </w:pPr>
      <w:r w:rsidRPr="005B09A9">
        <w:rPr>
          <w:rStyle w:val="Accentuationlgre"/>
          <w:rFonts w:ascii="Times New Roman" w:hAnsi="Times New Roman" w:cs="Times New Roman"/>
          <w:b w:val="0"/>
          <w:sz w:val="24"/>
          <w:szCs w:val="24"/>
          <w:lang w:val="en-GB"/>
        </w:rPr>
        <w:t xml:space="preserve">Study </w:t>
      </w:r>
      <w:r w:rsidRPr="005B09A9">
        <w:rPr>
          <w:rStyle w:val="Accentuationlgre"/>
          <w:rFonts w:ascii="Times New Roman" w:hAnsi="Times New Roman"/>
          <w:b w:val="0"/>
          <w:sz w:val="24"/>
          <w:lang w:val="en-GB"/>
        </w:rPr>
        <w:t>Limitations</w:t>
      </w:r>
    </w:p>
    <w:p w14:paraId="2FE4CA00" w14:textId="05680D50" w:rsidR="00061D95" w:rsidRPr="005B09A9" w:rsidRDefault="00276E11" w:rsidP="003B7B2C">
      <w:pPr>
        <w:spacing w:line="480" w:lineRule="auto"/>
        <w:jc w:val="left"/>
        <w:rPr>
          <w:rFonts w:ascii="Times New Roman" w:hAnsi="Times New Roman" w:cs="Times New Roman"/>
          <w:bCs/>
          <w:sz w:val="24"/>
          <w:szCs w:val="24"/>
        </w:rPr>
      </w:pPr>
      <w:r w:rsidRPr="005B09A9">
        <w:rPr>
          <w:rFonts w:ascii="Times New Roman" w:hAnsi="Times New Roman" w:cs="Times New Roman"/>
          <w:bCs/>
          <w:sz w:val="24"/>
          <w:szCs w:val="24"/>
        </w:rPr>
        <w:t xml:space="preserve">Our systematic review suffers from limitations related to </w:t>
      </w:r>
      <w:r w:rsidR="00402ADF" w:rsidRPr="005B09A9">
        <w:rPr>
          <w:rFonts w:ascii="Times New Roman" w:hAnsi="Times New Roman" w:cs="Times New Roman"/>
          <w:bCs/>
          <w:sz w:val="24"/>
          <w:szCs w:val="24"/>
        </w:rPr>
        <w:t xml:space="preserve">both </w:t>
      </w:r>
      <w:r w:rsidRPr="005B09A9">
        <w:rPr>
          <w:rFonts w:ascii="Times New Roman" w:hAnsi="Times New Roman" w:cs="Times New Roman"/>
          <w:bCs/>
          <w:sz w:val="24"/>
          <w:szCs w:val="24"/>
        </w:rPr>
        <w:t>the evidence in</w:t>
      </w:r>
      <w:r w:rsidR="00061D95" w:rsidRPr="005B09A9">
        <w:rPr>
          <w:rFonts w:ascii="Times New Roman" w:hAnsi="Times New Roman" w:cs="Times New Roman"/>
          <w:bCs/>
          <w:sz w:val="24"/>
          <w:szCs w:val="24"/>
        </w:rPr>
        <w:t xml:space="preserve">cluded and the review process.  </w:t>
      </w:r>
    </w:p>
    <w:p w14:paraId="6F73D4EA" w14:textId="410DB6EA" w:rsidR="00B14D33" w:rsidRPr="005B09A9" w:rsidRDefault="00B14D33" w:rsidP="00B14D33">
      <w:pPr>
        <w:spacing w:line="480" w:lineRule="auto"/>
        <w:jc w:val="left"/>
        <w:rPr>
          <w:rFonts w:ascii="Times New Roman" w:hAnsi="Times New Roman" w:cs="Times New Roman"/>
          <w:sz w:val="24"/>
          <w:szCs w:val="24"/>
        </w:rPr>
      </w:pPr>
      <w:bookmarkStart w:id="1" w:name="_Hlk117672629"/>
      <w:r w:rsidRPr="005B09A9">
        <w:rPr>
          <w:rFonts w:ascii="Times New Roman" w:hAnsi="Times New Roman" w:cs="Times New Roman"/>
          <w:bCs/>
          <w:sz w:val="24"/>
          <w:szCs w:val="24"/>
        </w:rPr>
        <w:t xml:space="preserve">Concerning the evidence, some issues need to be discussed. First, </w:t>
      </w:r>
      <w:r w:rsidR="0084547A" w:rsidRPr="005B09A9">
        <w:rPr>
          <w:rFonts w:ascii="Times New Roman" w:hAnsi="Times New Roman" w:cs="Times New Roman"/>
          <w:bCs/>
          <w:sz w:val="24"/>
          <w:szCs w:val="24"/>
        </w:rPr>
        <w:t xml:space="preserve">the reliability of certain reported prognostic factors is uncertain. Apart from </w:t>
      </w:r>
      <w:r w:rsidR="00846CC1" w:rsidRPr="005B09A9">
        <w:rPr>
          <w:rFonts w:ascii="Times New Roman" w:hAnsi="Times New Roman" w:cs="Times New Roman"/>
          <w:bCs/>
          <w:sz w:val="24"/>
          <w:szCs w:val="24"/>
        </w:rPr>
        <w:t>the cohort of Bean et al.</w:t>
      </w:r>
      <w:r w:rsidR="0084547A" w:rsidRPr="005B09A9">
        <w:rPr>
          <w:rFonts w:ascii="Times New Roman" w:hAnsi="Times New Roman" w:cs="Times New Roman"/>
          <w:bCs/>
          <w:sz w:val="24"/>
          <w:szCs w:val="24"/>
        </w:rPr>
        <w:t>, the included studies suffered from several biases, and their quality was globally poor. As recently stated</w:t>
      </w:r>
      <w:r w:rsidR="0084547A" w:rsidRPr="005B09A9">
        <w:rPr>
          <w:rFonts w:ascii="Times New Roman" w:hAnsi="Times New Roman" w:cs="Times New Roman"/>
          <w:bCs/>
          <w:i/>
          <w:sz w:val="24"/>
          <w:szCs w:val="24"/>
        </w:rPr>
        <w:t>.</w:t>
      </w:r>
      <w:r w:rsidR="0084547A" w:rsidRPr="005B09A9">
        <w:rPr>
          <w:rFonts w:ascii="Times New Roman" w:hAnsi="Times New Roman" w:cs="Times New Roman"/>
          <w:bCs/>
          <w:sz w:val="24"/>
          <w:szCs w:val="24"/>
        </w:rPr>
        <w:t xml:space="preserve">, the small number of participants in several studies significantly decreases the confidence in their results </w:t>
      </w:r>
      <w:r w:rsidR="0084547A" w:rsidRPr="005B09A9">
        <w:rPr>
          <w:rFonts w:ascii="Times New Roman" w:hAnsi="Times New Roman" w:cs="Times New Roman"/>
          <w:bCs/>
          <w:sz w:val="24"/>
          <w:szCs w:val="24"/>
        </w:rPr>
        <w:fldChar w:fldCharType="begin"/>
      </w:r>
      <w:r w:rsidR="0084547A" w:rsidRPr="005B09A9">
        <w:rPr>
          <w:rFonts w:ascii="Times New Roman" w:hAnsi="Times New Roman" w:cs="Times New Roman"/>
          <w:bCs/>
          <w:sz w:val="24"/>
          <w:szCs w:val="24"/>
        </w:rPr>
        <w:instrText xml:space="preserve"> ADDIN ZOTERO_ITEM CSL_CITATION {"citationID":"XXTNUqYY","properties":{"formattedCitation":"(Moore et al., 2022)","plainCitation":"(Moore et al., 2022)","noteIndex":0},"citationItems":[{"id":1471,"uris":["http://zotero.org/users/8777725/items/HTFKSNJX"],"itemData":{"id":1471,"type":"article-journal","abstract":"The low quality of included trials, insufficient rigour in review methodology, ignorance of key pain issues, small size, and over-optimistic judgements about the direction and magnitude of treatment effects all devalue systematic reviews, supposedly the ‘gold standard’ of evidence. Available evidence indicates that almost all systematic reviews in the published literature contain fatal flaws likely to make their conclusions incorrect and misleading. Only 3 in every 100 systematic reviews are deemed to have adequate methods and be clinically useful. Examples of research waste and questionable ethical standards abound: most trials have little hope of providing useful results, and systematic review of hopeless trials inspires no confidence. We argue that results of most systematic reviews should be dismissed. Forensically critical systematic reviews are essential tools to improve the quality of trials and should be encouraged and protected.","container-title":"European Journal of Pain","DOI":"10.1002/ejp.1905","ISSN":"1532-2149","issue":"3","language":"en","note":"_eprint: https://onlinelibrary.wiley.com/doi/pdf/10.1002/ejp.1905","page":"557-566","source":"Wiley Online Library","title":"Systematic reviews do not (yet) represent the ‘gold standard’ of evidence: A position paper","title-short":"Systematic reviews do not (yet) represent the ‘gold standard’ of evidence","volume":"26","author":[{"family":"Moore","given":"Robert Andrew"},{"family":"Fisher","given":"Emma"},{"family":"Eccleston","given":"Christopher"}],"issued":{"date-parts":[["2022"]]}}}],"schema":"https://github.com/citation-style-language/schema/raw/master/csl-citation.json"} </w:instrText>
      </w:r>
      <w:r w:rsidR="0084547A" w:rsidRPr="005B09A9">
        <w:rPr>
          <w:rFonts w:ascii="Times New Roman" w:hAnsi="Times New Roman" w:cs="Times New Roman"/>
          <w:bCs/>
          <w:sz w:val="24"/>
          <w:szCs w:val="24"/>
        </w:rPr>
        <w:fldChar w:fldCharType="separate"/>
      </w:r>
      <w:r w:rsidR="0084547A" w:rsidRPr="005B09A9">
        <w:rPr>
          <w:rFonts w:ascii="Times New Roman" w:hAnsi="Times New Roman" w:cs="Times New Roman"/>
          <w:sz w:val="24"/>
        </w:rPr>
        <w:t>(Moore et al., 2022)</w:t>
      </w:r>
      <w:r w:rsidR="0084547A" w:rsidRPr="005B09A9">
        <w:rPr>
          <w:rFonts w:ascii="Times New Roman" w:hAnsi="Times New Roman" w:cs="Times New Roman"/>
          <w:bCs/>
          <w:sz w:val="24"/>
          <w:szCs w:val="24"/>
        </w:rPr>
        <w:fldChar w:fldCharType="end"/>
      </w:r>
      <w:r w:rsidR="0084547A" w:rsidRPr="005B09A9">
        <w:rPr>
          <w:rFonts w:ascii="Times New Roman" w:hAnsi="Times New Roman" w:cs="Times New Roman"/>
          <w:sz w:val="24"/>
          <w:szCs w:val="24"/>
        </w:rPr>
        <w:t xml:space="preserve">. Furthermore, </w:t>
      </w:r>
      <w:r w:rsidR="0084547A" w:rsidRPr="005B09A9">
        <w:rPr>
          <w:rFonts w:ascii="Times New Roman" w:eastAsia="Times New Roman" w:hAnsi="Times New Roman" w:cs="Times New Roman"/>
          <w:sz w:val="24"/>
          <w:szCs w:val="24"/>
          <w:lang w:eastAsia="fr-BE"/>
        </w:rPr>
        <w:t xml:space="preserve">the results from cross-sectional studies </w:t>
      </w:r>
      <w:r w:rsidR="0084547A" w:rsidRPr="005B09A9">
        <w:rPr>
          <w:rFonts w:ascii="Times New Roman" w:eastAsia="Times New Roman" w:hAnsi="Times New Roman" w:cs="Times New Roman"/>
          <w:sz w:val="24"/>
          <w:szCs w:val="24"/>
          <w:lang w:eastAsia="fr-BE"/>
        </w:rPr>
        <w:fldChar w:fldCharType="begin"/>
      </w:r>
      <w:r w:rsidR="0084547A" w:rsidRPr="005B09A9">
        <w:rPr>
          <w:rFonts w:ascii="Times New Roman" w:eastAsia="Times New Roman" w:hAnsi="Times New Roman" w:cs="Times New Roman"/>
          <w:sz w:val="24"/>
          <w:szCs w:val="24"/>
          <w:lang w:eastAsia="fr-BE"/>
        </w:rPr>
        <w:instrText xml:space="preserve"> ADDIN ZOTERO_ITEM CSL_CITATION {"citationID":"B7Jt58rp","properties":{"formattedCitation":"(Bean et al., 2016b; Dumas et al., 2011)","plainCitation":"(Bean et al., 2016b; Dumas et al., 2011)","noteIndex":0},"citationItems":[{"id":146,"uris":["http://zotero.org/users/8777725/items/R94ZA7RL"],"itemData":{"id":146,"type":"article-journal","abstract":"OBJECTIVE: Factors influencing disability and work absence in complex regional pain syndrome type-1 (CRPS)-1 have not been thoroughly described in the literature. We sought to determine whether demographic variables, work-related factors, CRPS clinical severity ratings, pain scores, or psychological variables were associated with disability and sick leave in early CRPS-1.\nMETHODS: A total of 66 CRPS-1 patients were recruited within 12 weeks of CRPS onset. Patients completed measures of pain, depression, anxiety, stress, pain catastrophizing, and pain-related fear. A physical examination was conducted to assess signs and symptoms of CRPS and to calculate a CRPS severity score. Demographic details, clinical details, treatments, work type, and work status were recorded.\nRESULTS: In multivariate analyses, the following factors were associated with greater disability: higher pain scores, more restricted ankle or wrist extension, and higher levels of depression. Among the 49 who were either working or studying before developing CRPS, 28 had stopped work or study at the time of assessment. Multivariate analyses showed that sick leave was more likely among those whose CRPS was triggered by more severe injuries, whose work was more physically demanding, among those with higher disability scores, and there was also a significant effect of depression on sick leave, which was mediated by disability.\nDISCUSSION: Although the study was cross-sectional and so cannot differentiate cause from effect, results suggest that even in the early stages of CRPS, a cycle of pain, disability, depression, and work absence can emerge. Treatments aimed to prevent this cycle may help prevent adverse long-term outcomes.","container-title":"The Clinical Journal of Pain","DOI":"10.1097/AJP.0000000000000234","ISSN":"1536-5409","issue":"2","journalAbbreviation":"Clin J Pain","language":"eng","note":"PMID: 25803756","page":"130-138","source":"PubMed","title":"Factors Associated With Disability and Sick Leave in Early Complex Regional Pain Syndrome Type-1","volume":"32","author":[{"family":"Bean","given":"Debbie J."},{"family":"Johnson","given":"Malcolm H."},{"family":"Heiss-Dunlop","given":"Wolfgang"},{"family":"Kydd","given":"Robert R."}],"issued":{"date-parts":[["2016",2]]}}},{"id":154,"uris":["http://zotero.org/users/8777725/items/HHQWL3BX"],"itemData":{"id":154,"type":"article-journal","container-title":"Journal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schema":"https://github.com/citation-style-language/schema/raw/master/csl-citation.json"} </w:instrText>
      </w:r>
      <w:r w:rsidR="0084547A" w:rsidRPr="005B09A9">
        <w:rPr>
          <w:rFonts w:ascii="Times New Roman" w:eastAsia="Times New Roman" w:hAnsi="Times New Roman" w:cs="Times New Roman"/>
          <w:sz w:val="24"/>
          <w:szCs w:val="24"/>
          <w:lang w:eastAsia="fr-BE"/>
        </w:rPr>
        <w:fldChar w:fldCharType="separate"/>
      </w:r>
      <w:r w:rsidR="0084547A" w:rsidRPr="005B09A9">
        <w:rPr>
          <w:rFonts w:ascii="Times New Roman" w:hAnsi="Times New Roman" w:cs="Times New Roman"/>
          <w:sz w:val="24"/>
        </w:rPr>
        <w:t>(Bean et al., 2016b; Dumas et al., 2011)</w:t>
      </w:r>
      <w:r w:rsidR="0084547A" w:rsidRPr="005B09A9">
        <w:rPr>
          <w:rFonts w:ascii="Times New Roman" w:eastAsia="Times New Roman" w:hAnsi="Times New Roman" w:cs="Times New Roman"/>
          <w:sz w:val="24"/>
          <w:szCs w:val="24"/>
          <w:lang w:eastAsia="fr-BE"/>
        </w:rPr>
        <w:fldChar w:fldCharType="end"/>
      </w:r>
      <w:r w:rsidR="003E6719" w:rsidRPr="005B09A9">
        <w:rPr>
          <w:rFonts w:ascii="Times New Roman" w:eastAsia="Times New Roman" w:hAnsi="Times New Roman" w:cs="Times New Roman"/>
          <w:sz w:val="24"/>
          <w:szCs w:val="24"/>
          <w:lang w:eastAsia="fr-BE"/>
        </w:rPr>
        <w:t xml:space="preserve"> should be read with caution</w:t>
      </w:r>
      <w:r w:rsidR="0084547A" w:rsidRPr="005B09A9">
        <w:rPr>
          <w:rFonts w:ascii="Times New Roman" w:eastAsia="Times New Roman" w:hAnsi="Times New Roman" w:cs="Times New Roman"/>
          <w:sz w:val="24"/>
          <w:szCs w:val="24"/>
          <w:lang w:eastAsia="fr-BE"/>
        </w:rPr>
        <w:t>.</w:t>
      </w:r>
      <w:r w:rsidRPr="005B09A9">
        <w:rPr>
          <w:rFonts w:ascii="Times New Roman" w:eastAsia="Times New Roman" w:hAnsi="Times New Roman" w:cs="Times New Roman"/>
          <w:sz w:val="24"/>
          <w:szCs w:val="24"/>
          <w:lang w:eastAsia="fr-BE"/>
        </w:rPr>
        <w:t xml:space="preserve"> </w:t>
      </w:r>
      <w:r w:rsidRPr="005B09A9">
        <w:rPr>
          <w:rFonts w:ascii="Times New Roman" w:hAnsi="Times New Roman" w:cs="Times New Roman"/>
          <w:bCs/>
          <w:sz w:val="24"/>
          <w:szCs w:val="24"/>
        </w:rPr>
        <w:t xml:space="preserve">Second, our </w:t>
      </w:r>
      <w:r w:rsidR="002E39B6" w:rsidRPr="005B09A9">
        <w:rPr>
          <w:rFonts w:ascii="Times New Roman" w:hAnsi="Times New Roman" w:cs="Times New Roman"/>
          <w:bCs/>
          <w:sz w:val="24"/>
          <w:szCs w:val="24"/>
        </w:rPr>
        <w:t>findings</w:t>
      </w:r>
      <w:r w:rsidRPr="005B09A9">
        <w:rPr>
          <w:rFonts w:ascii="Times New Roman" w:hAnsi="Times New Roman" w:cs="Times New Roman"/>
          <w:bCs/>
          <w:sz w:val="24"/>
          <w:szCs w:val="24"/>
        </w:rPr>
        <w:t xml:space="preserve"> are almost exclusively related to upper limb CRPS (86% of the participants), and none of the studies included type II CRPS </w:t>
      </w:r>
      <w:r w:rsidR="002E39B6" w:rsidRPr="005B09A9">
        <w:rPr>
          <w:rFonts w:ascii="Times New Roman" w:hAnsi="Times New Roman" w:cs="Times New Roman"/>
          <w:bCs/>
          <w:sz w:val="24"/>
          <w:szCs w:val="24"/>
        </w:rPr>
        <w:t>although</w:t>
      </w:r>
      <w:r w:rsidRPr="005B09A9">
        <w:rPr>
          <w:rFonts w:ascii="Times New Roman" w:hAnsi="Times New Roman" w:cs="Times New Roman"/>
          <w:bCs/>
          <w:sz w:val="24"/>
          <w:szCs w:val="24"/>
        </w:rPr>
        <w:t xml:space="preserve"> the Valencia consensus emphasized the very low clinical relevance of subgrouping CRPS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{"citationID":"khvrqqhL","properties":{"formattedCitation":"(Goebel et al., 2021)","plainCitation":"(Goebel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(Goebel et al., 2021)</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w:t>
      </w:r>
      <w:r w:rsidRPr="005B09A9">
        <w:rPr>
          <w:rFonts w:ascii="Times New Roman" w:hAnsi="Times New Roman" w:cs="Times New Roman"/>
          <w:sz w:val="24"/>
          <w:szCs w:val="24"/>
        </w:rPr>
        <w:t xml:space="preserve"> Third, the severity of the triggering event was assessed using different criteria. A more</w:t>
      </w:r>
      <w:r w:rsidRPr="005B09A9">
        <w:rPr>
          <w:rFonts w:ascii="Times New Roman" w:hAnsi="Times New Roman" w:cs="Times New Roman"/>
          <w:bCs/>
          <w:sz w:val="24"/>
          <w:szCs w:val="24"/>
        </w:rPr>
        <w:t xml:space="preserve"> accurate categorization could be used in the future to assess this hypothesis </w:t>
      </w:r>
      <w:r w:rsidRPr="005B09A9">
        <w:rPr>
          <w:rFonts w:ascii="Times New Roman" w:hAnsi="Times New Roman" w:cs="Times New Roman"/>
          <w:bCs/>
          <w:sz w:val="24"/>
          <w:szCs w:val="24"/>
        </w:rPr>
        <w:fldChar w:fldCharType="begin"/>
      </w:r>
      <w:r w:rsidRPr="005B09A9">
        <w:rPr>
          <w:rFonts w:ascii="Times New Roman" w:hAnsi="Times New Roman" w:cs="Times New Roman"/>
          <w:bCs/>
          <w:sz w:val="24"/>
          <w:szCs w:val="24"/>
        </w:rPr>
        <w:instrText xml:space="preserve"> ADDIN ZOTERO_ITEM CSL_CITATION {"citationID":"esdi5BfF","properties":{"formattedCitation":"(Snoek et al., 2013)","plainCitation":"(Snoek et al., 2013)","noteIndex":0},"citationItems":[{"id":846,"uris":["http://zotero.org/users/8777725/items/FBI4NEQL"],"itemData":{"id":846,"type":"article-journal","abstract":"OBJECTIVE: Tertiary trauma survey is widely implemented in trauma care to identify all injuries in trauma patients. However, various studies consistently show that some trauma patients have missed injuries. In this study, we developed a clinical decision model to identify patients who are at risk for delayed diagnosed injuries.\nMETHODS: During a period of 18 months, we collected the medical records of all the adult patients who presented after a high-energy trauma at the emergency department of a Dutch trauma centre. The type of trauma, patient characteristics, the radiology studies performed, Glasgow Coma Scale, Revised Trauma Score, and Injury Severity Score (ISS) were registered. We thoroughly screened all medical records for delayed diagnosed injuries. Stepwise logistic regression analysis was used to identify the variables associated with the outcome delayed diagnosed injuries and to develop a clinical prediction model.\nRESULTS: We included 475 patients. Thirteen (2.7%) patients with delayed diagnosed injuries were identified. Stepwise logistic regression analysis revealed several models with the ISS, ICU admittance, and CT-head as predictive variables. The model we proposed with the ISS could identify patients who are at a risk for delayed diagnosed injuries with a sensitivity of 92.3% and a specificity of 86.4%.\nCONCLUSION: Our newly developed clinical decision model can identify patients who are at a risk for delayed diagnosed injuries and who should undergo an intensified search for potential unidentified injuries.","container-title":"European Journal of Emergency Medicine: Official Journal of the European Society for Emergency Medicine","DOI":"10.1097/MEJ.0b013e328353d926","ISSN":"1473-5695","issue":"3","journalAbbreviation":"Eur J Emerg Med","language":"eng","note":"PMID: 22510539","page":"167-172","source":"PubMed","title":"A clinical decision model identifies patients at risk for delayed diagnosed injuries after high-energy trauma","volume":"20","author":[{"family":"Snoek","given":"Anniek"},{"family":"Dekker","given":"Maaike"},{"family":"Lagrand","given":"Tjerk"},{"family":"Epema","given":"Anniek"},{"family":"Ploeg","given":"Tjeerd","non-dropping-particle":"van der"},{"family":"Brand","given":"J. G. H.","non-dropping-particle":"van den"}],"issued":{"date-parts":[["2013",6]]}}}],"schema":"https://github.com/citation-style-language/schema/raw/master/csl-citation.json"} </w:instrText>
      </w:r>
      <w:r w:rsidRPr="005B09A9">
        <w:rPr>
          <w:rFonts w:ascii="Times New Roman" w:hAnsi="Times New Roman" w:cs="Times New Roman"/>
          <w:bCs/>
          <w:sz w:val="24"/>
          <w:szCs w:val="24"/>
        </w:rPr>
        <w:fldChar w:fldCharType="separate"/>
      </w:r>
      <w:r w:rsidRPr="005B09A9">
        <w:rPr>
          <w:rFonts w:ascii="Times New Roman" w:hAnsi="Times New Roman" w:cs="Times New Roman"/>
          <w:sz w:val="24"/>
        </w:rPr>
        <w:t>(Snoek et al., 2013)</w:t>
      </w:r>
      <w:r w:rsidRPr="005B09A9">
        <w:rPr>
          <w:rFonts w:ascii="Times New Roman" w:hAnsi="Times New Roman" w:cs="Times New Roman"/>
          <w:bCs/>
          <w:sz w:val="24"/>
          <w:szCs w:val="24"/>
        </w:rPr>
        <w:fldChar w:fldCharType="end"/>
      </w:r>
      <w:r w:rsidRPr="005B09A9">
        <w:rPr>
          <w:rFonts w:ascii="Times New Roman" w:hAnsi="Times New Roman" w:cs="Times New Roman"/>
          <w:bCs/>
          <w:sz w:val="24"/>
          <w:szCs w:val="24"/>
        </w:rPr>
        <w:t xml:space="preserve">.  </w:t>
      </w:r>
    </w:p>
    <w:p w14:paraId="0905F325" w14:textId="1AA181D0" w:rsidR="008715A3" w:rsidRPr="005B09A9" w:rsidRDefault="00B14D33" w:rsidP="008715A3">
      <w:pPr>
        <w:spacing w:line="480" w:lineRule="auto"/>
        <w:jc w:val="left"/>
        <w:rPr>
          <w:rFonts w:ascii="Times New Roman" w:eastAsia="Times New Roman" w:hAnsi="Times New Roman" w:cs="Times New Roman"/>
          <w:sz w:val="24"/>
          <w:szCs w:val="24"/>
          <w:lang w:eastAsia="fr-BE"/>
        </w:rPr>
      </w:pPr>
      <w:r w:rsidRPr="005B09A9">
        <w:rPr>
          <w:rFonts w:ascii="Times New Roman" w:hAnsi="Times New Roman" w:cs="Times New Roman"/>
          <w:sz w:val="24"/>
          <w:szCs w:val="24"/>
        </w:rPr>
        <w:t xml:space="preserve">Regarding the study protocol, various limitations must also be reported. The first is </w:t>
      </w:r>
      <w:r w:rsidR="008715A3" w:rsidRPr="005B09A9">
        <w:rPr>
          <w:rFonts w:ascii="Times New Roman" w:hAnsi="Times New Roman" w:cs="Times New Roman"/>
          <w:sz w:val="24"/>
          <w:szCs w:val="24"/>
        </w:rPr>
        <w:t>our restriction to early CRPS (</w:t>
      </w:r>
      <w:r w:rsidR="0084547A" w:rsidRPr="005B09A9">
        <w:rPr>
          <w:rFonts w:ascii="Times New Roman" w:hAnsi="Times New Roman" w:cs="Times New Roman"/>
          <w:sz w:val="24"/>
          <w:szCs w:val="24"/>
        </w:rPr>
        <w:t xml:space="preserve">defined as </w:t>
      </w:r>
      <w:r w:rsidR="003E6719" w:rsidRPr="005B09A9">
        <w:rPr>
          <w:rFonts w:ascii="Times New Roman" w:hAnsi="Times New Roman" w:cs="Times New Roman"/>
          <w:sz w:val="24"/>
          <w:szCs w:val="24"/>
        </w:rPr>
        <w:t>&lt;12 weeks)</w:t>
      </w:r>
      <w:r w:rsidR="008715A3" w:rsidRPr="005B09A9">
        <w:rPr>
          <w:rFonts w:ascii="Times New Roman" w:hAnsi="Times New Roman" w:cs="Times New Roman"/>
          <w:sz w:val="24"/>
          <w:szCs w:val="24"/>
        </w:rPr>
        <w:t xml:space="preserve">. While the Valencia consensus tentatively defined the transition to a more prolonged and difficult to manage condition at 12-18 months after onset </w:t>
      </w:r>
      <w:r w:rsidR="008715A3" w:rsidRPr="005B09A9">
        <w:rPr>
          <w:rFonts w:ascii="Times New Roman" w:hAnsi="Times New Roman" w:cs="Times New Roman"/>
          <w:sz w:val="24"/>
          <w:szCs w:val="24"/>
        </w:rPr>
        <w:fldChar w:fldCharType="begin"/>
      </w:r>
      <w:r w:rsidR="008715A3" w:rsidRPr="005B09A9">
        <w:rPr>
          <w:rFonts w:ascii="Times New Roman" w:hAnsi="Times New Roman" w:cs="Times New Roman"/>
          <w:sz w:val="24"/>
          <w:szCs w:val="24"/>
        </w:rPr>
        <w:instrText xml:space="preserve"> ADDIN ZOTERO_ITEM CSL_CITATION {"citationID":"JgMI0odL","properties":{"formattedCitation":"(Goebel et al., 2021)","plainCitation":"(Goebel et al., 2021)","noteIndex":0},"citationItems":[{"id":600,"uris":["http://zotero.org/users/8777725/items/SX7YM7MV"],"itemData":{"id":600,"type":"article-journal","container-title":"Pain","DOI":"10.1097/j.pain.0000000000002245","ISSN":"1872-6623","issue":"9","journalAbbreviation":"Pain","language":"eng","note":"PMID: 33729210\nPMCID: PMC8374712","page":"2346-2348","source":"PubMed","title":"The Valencia consensus-based adaptation of the IASP complex regional pain syndrome diagnostic criteria","volume":"162","author":[{"family":"Goebel","given":"Andreas"},{"family":"Birklein","given":"Frank"},{"family":"Brunner","given":"Florian"},{"family":"Clark","given":"J. David"},{"family":"Gierthmühlen","given":"Janne"},{"family":"Harden","given":"Norman"},{"family":"Huygen","given":"Frank"},{"family":"Knudsen","given":"Lone"},{"family":"McCabe","given":"Candy"},{"family":"Lewis","given":"Jenny"},{"family":"Maihöfner","given":"Christian"},{"family":"Magerl","given":"Walter"},{"family":"Moseley","given":"G. Lorimer"},{"family":"Terkelsen","given":"Astrid"},{"family":"Thomassen","given":"Ilona"},{"family":"Bruehl","given":"Stephen"}],"issued":{"date-parts":[["2021",9,1]]}}}],"schema":"https://github.com/citation-style-language/schema/raw/master/csl-citation.json"} </w:instrText>
      </w:r>
      <w:r w:rsidR="008715A3" w:rsidRPr="005B09A9">
        <w:rPr>
          <w:rFonts w:ascii="Times New Roman" w:hAnsi="Times New Roman" w:cs="Times New Roman"/>
          <w:sz w:val="24"/>
          <w:szCs w:val="24"/>
        </w:rPr>
        <w:fldChar w:fldCharType="separate"/>
      </w:r>
      <w:r w:rsidR="008715A3" w:rsidRPr="005B09A9">
        <w:rPr>
          <w:rFonts w:ascii="Times New Roman" w:hAnsi="Times New Roman" w:cs="Times New Roman"/>
          <w:sz w:val="24"/>
        </w:rPr>
        <w:t>(Goebel et al., 2021)</w:t>
      </w:r>
      <w:r w:rsidR="008715A3" w:rsidRPr="005B09A9">
        <w:rPr>
          <w:rFonts w:ascii="Times New Roman" w:hAnsi="Times New Roman" w:cs="Times New Roman"/>
          <w:sz w:val="24"/>
          <w:szCs w:val="24"/>
        </w:rPr>
        <w:fldChar w:fldCharType="end"/>
      </w:r>
      <w:r w:rsidR="008715A3" w:rsidRPr="005B09A9">
        <w:rPr>
          <w:rFonts w:ascii="Times New Roman" w:hAnsi="Times New Roman" w:cs="Times New Roman"/>
          <w:sz w:val="24"/>
          <w:szCs w:val="24"/>
        </w:rPr>
        <w:t xml:space="preserve">, some studies pointed out that CRPS individuals either spontaneously recover in 3 - 6 months or become long-standing </w:t>
      </w:r>
      <w:r w:rsidR="008715A3" w:rsidRPr="005B09A9">
        <w:rPr>
          <w:rFonts w:ascii="Times New Roman" w:hAnsi="Times New Roman" w:cs="Times New Roman"/>
          <w:bCs/>
          <w:sz w:val="24"/>
          <w:szCs w:val="24"/>
        </w:rPr>
        <w:fldChar w:fldCharType="begin"/>
      </w:r>
      <w:r w:rsidR="008715A3" w:rsidRPr="005B09A9">
        <w:rPr>
          <w:rFonts w:ascii="Times New Roman" w:hAnsi="Times New Roman" w:cs="Times New Roman"/>
          <w:bCs/>
          <w:sz w:val="24"/>
          <w:szCs w:val="24"/>
        </w:rPr>
        <w:instrText xml:space="preserve"> ADDIN ZOTERO_ITEM CSL_CITATION {"citationID":"ZER7ewHV","properties":{"formattedCitation":"(Bean et al., 2016a; Brunner et al., 2017)","plainCitation":"(Bean et al., 2016a; Brunner et al., 2017)","noteIndex":0},"citationItems":[{"id":89,"uris":["http://zotero.org/users/8777725/items/IVFPSY5Y"],"itemData":{"id":89,"type":"article-journal","abstract":"Background The literature concerning the outcomes of complex regional pain syndrome (CRPS) is contradictory, with some studies suggesting high rates of symptom resolution, whilst others demonstrate that CRPS symptoms can persist and lead to significant disability. The aim of the present study was to carefully document the extent of recovery from each of the signs and symptoms of CRPS. Methods A sample of 59 patients with recently onset (&lt;12 weeks) CRPS-1 were followed prospectively for 1 year, during which time they received treatment-as-usual. At baseline, 6 and 12 months, the following were measured: CRPS severity scores (symptoms and signs of CRPS), pain, disability, work status and psychological functioning. Results Analyses showed that rates of almost all signs and symptoms of CRPS reduced significantly over 1 year. Reductions in symptom severity were clinically relevant and were greatest in the first 6 months and plateaued thereafter. However, at 1 year, nearly 2/3 of patients continued to meet the IASP-Orlando criteria for CRPS and 1/4 met the Budapest research criteria for CRPS. Only 5.4% of patients were symptom-free at 12 months. Conclusions Overall the results were less optimistic than several previously conducted prospective studies and suggest that few cases of CRPS resolve completely within 12 months of onset. Improvements were generally greater in the first 6 months, and suggest that it may be worth exploring early interventions to prevent long-term disability in CRPS.","container-title":"European Journal of Pain","DOI":"10.1002/EJP.813","ISSN":"1532-2149","issue":"6","note":"publisher: John Wiley &amp; Sons, Ltd","page":"884-894","title":"Extent of recovery in the first 12 months of complex regional pain syndrome type-1: A prospective study","volume":"20","author":[{"family":"Bean","given":"D. J."},{"family":"Johnson","given":"M. H."},{"family":"Heiss-Dunlop","given":"W."},{"family":"Kydd","given":"R. R."}],"issued":{"date-parts":[["2016",7]]}}},{"id":815,"uris":["http://zotero.org/users/8777725/items/8XJCHG9W"],"itemData":{"id":815,"type":"article-journal","abstract":"Background The timing of diagnosis of complex regional pain syndrome (CRPS) 1 remains a challenge due to the large heterogeneity of clinical presentations. We describe the distribution and differences in outcomes and clinical manifestations between time points and patient groups with and without CRPS 1 following an initiating event. Methods Prospective cohort study with a consecutive registration of patients presenting with painful swelling of the affected extremity after an initiating event and follow-up visits after 3, 6 and 12 months. Results Forty-two patients were enrolled (37 females, mean age 55.1 years). At baseline, 35 participants (83%, females n = 30) fulfilled the diagnostic criteria for CRPS 1. At 3 months, 19 out of the initial 35 CRPS 1 patients (54%) did not meet the diagnostic criteria anymore. Besides our inclusion criteria of a painful swelling, early manifestations indicating a CRPS 1 primarily include an impaired quality of life (SF-35, EQ</w:instrText>
      </w:r>
      <w:r w:rsidR="008715A3" w:rsidRPr="005B09A9">
        <w:rPr>
          <w:rFonts w:ascii="Times New Roman" w:hAnsi="Times New Roman" w:cs="Times New Roman"/>
          <w:bCs/>
          <w:sz w:val="24"/>
          <w:szCs w:val="24"/>
          <w:lang w:val="en-US"/>
        </w:rPr>
        <w:instrText xml:space="preserve">5-D), more pain (NRS, MPQ) and restricted range of motion. Conclusions CRPS 1 develops within 8 weeks following a noxious event. Although many CRPS 1 patients reach partial remission within the first 3 months, signs and symptoms do not improve significantly at 1 year. In order to identify prognostic risk factors large prospective cohort studies are needed. Significance This prospective cohort study follows patients with complaints most suspected for complex regional pain syndrome (CRPS) 1. CRPS 1 develops within 8 weeks following a noxious event. Although many CRPS 1 patients reach partial remission within the 3 months, symptoms do not improve significantly at 1 year.","container-title":"European Journal of Pain","DOI":"10.1002/ejp.1064","ISSN":"1532-2149","issue":"9","language":"en","note":"_eprint: https://onlinelibrary.wiley.com/doi/pdf/10.1002/ejp.1064","page":"1611-1617","source":"Wiley Online Library","title":"Painful swelling after a noxious event and the development of complex regional pain syndrome 1: A one-year prospective study","title-short":"Painful swelling after a noxious event and the development of complex regional pain syndrome 1","volume":"21","author":[{"family":"Brunner","given":"F."},{"family":"Bachmann","given":"L.m."},{"family":"Perez","given":"R.s.g.m."},{"family":"Marinus","given":"J."},{"family":"Wertli","given":"M.m."}],"issued":{"date-parts":[["2017"]]}}}],"schema":"https://github.com/citation-style-language/schema/raw/master/csl-citation.json"} </w:instrText>
      </w:r>
      <w:r w:rsidR="008715A3" w:rsidRPr="005B09A9">
        <w:rPr>
          <w:rFonts w:ascii="Times New Roman" w:hAnsi="Times New Roman" w:cs="Times New Roman"/>
          <w:bCs/>
          <w:sz w:val="24"/>
          <w:szCs w:val="24"/>
        </w:rPr>
        <w:fldChar w:fldCharType="separate"/>
      </w:r>
      <w:r w:rsidR="008715A3" w:rsidRPr="005B09A9">
        <w:rPr>
          <w:rFonts w:ascii="Times New Roman" w:hAnsi="Times New Roman" w:cs="Times New Roman"/>
          <w:sz w:val="24"/>
          <w:lang w:val="en-US"/>
        </w:rPr>
        <w:t>(Bean et al., 2016a; Brunner et al., 2017)</w:t>
      </w:r>
      <w:r w:rsidR="008715A3" w:rsidRPr="005B09A9">
        <w:rPr>
          <w:rFonts w:ascii="Times New Roman" w:hAnsi="Times New Roman" w:cs="Times New Roman"/>
          <w:bCs/>
          <w:sz w:val="24"/>
          <w:szCs w:val="24"/>
        </w:rPr>
        <w:fldChar w:fldCharType="end"/>
      </w:r>
      <w:r w:rsidR="008715A3" w:rsidRPr="005B09A9">
        <w:rPr>
          <w:rFonts w:ascii="Times New Roman" w:eastAsia="Times New Roman" w:hAnsi="Times New Roman" w:cs="Times New Roman"/>
          <w:sz w:val="24"/>
          <w:szCs w:val="24"/>
          <w:lang w:val="en-US" w:eastAsia="fr-BE"/>
        </w:rPr>
        <w:t>. W</w:t>
      </w:r>
      <w:r w:rsidR="008715A3" w:rsidRPr="005B09A9">
        <w:rPr>
          <w:rFonts w:ascii="Times New Roman" w:hAnsi="Times New Roman" w:cs="Times New Roman"/>
          <w:sz w:val="24"/>
          <w:szCs w:val="24"/>
          <w:lang w:val="en-US"/>
        </w:rPr>
        <w:t>e considered that a shorter timeframe allowed us to select a more defined population and thus to identify more reliable but fe</w:t>
      </w:r>
      <w:r w:rsidR="008715A3" w:rsidRPr="005B09A9">
        <w:rPr>
          <w:rFonts w:ascii="Times New Roman" w:hAnsi="Times New Roman" w:cs="Times New Roman"/>
          <w:sz w:val="24"/>
          <w:szCs w:val="24"/>
        </w:rPr>
        <w:t>wer prognostic factors. Moreover, o</w:t>
      </w:r>
      <w:r w:rsidR="008715A3" w:rsidRPr="005B09A9">
        <w:rPr>
          <w:rFonts w:ascii="Times New Roman" w:eastAsia="Times New Roman" w:hAnsi="Times New Roman" w:cs="Times New Roman"/>
          <w:sz w:val="24"/>
          <w:szCs w:val="24"/>
          <w:lang w:eastAsia="fr-BE"/>
        </w:rPr>
        <w:t xml:space="preserve">ur </w:t>
      </w:r>
      <w:r w:rsidR="008715A3" w:rsidRPr="005B09A9">
        <w:rPr>
          <w:rFonts w:ascii="Times New Roman" w:eastAsia="Times New Roman" w:hAnsi="Times New Roman" w:cs="Times New Roman"/>
          <w:sz w:val="24"/>
          <w:szCs w:val="24"/>
          <w:lang w:eastAsia="fr-BE"/>
        </w:rPr>
        <w:lastRenderedPageBreak/>
        <w:t>main goal was to identify prognostic factors that can be used for early management of at-risk individuals.</w:t>
      </w:r>
      <w:r w:rsidR="00552749" w:rsidRPr="005B09A9">
        <w:rPr>
          <w:rFonts w:ascii="Times New Roman" w:eastAsia="Times New Roman" w:hAnsi="Times New Roman" w:cs="Times New Roman"/>
          <w:sz w:val="24"/>
          <w:szCs w:val="24"/>
          <w:lang w:eastAsia="fr-BE"/>
        </w:rPr>
        <w:t xml:space="preserve"> </w:t>
      </w:r>
      <w:r w:rsidR="008715A3" w:rsidRPr="005B09A9">
        <w:rPr>
          <w:rFonts w:ascii="Times New Roman" w:hAnsi="Times New Roman" w:cs="Times New Roman"/>
          <w:sz w:val="24"/>
          <w:szCs w:val="24"/>
        </w:rPr>
        <w:t xml:space="preserve">The </w:t>
      </w:r>
      <w:r w:rsidRPr="005B09A9">
        <w:rPr>
          <w:rFonts w:ascii="Times New Roman" w:hAnsi="Times New Roman" w:cs="Times New Roman"/>
          <w:sz w:val="24"/>
          <w:szCs w:val="24"/>
        </w:rPr>
        <w:t>second</w:t>
      </w:r>
      <w:r w:rsidR="008715A3" w:rsidRPr="005B09A9">
        <w:rPr>
          <w:rFonts w:ascii="Times New Roman" w:hAnsi="Times New Roman" w:cs="Times New Roman"/>
          <w:sz w:val="24"/>
          <w:szCs w:val="24"/>
        </w:rPr>
        <w:t xml:space="preserve"> limitation is </w:t>
      </w:r>
      <w:r w:rsidRPr="005B09A9">
        <w:rPr>
          <w:rFonts w:ascii="Times New Roman" w:hAnsi="Times New Roman" w:cs="Times New Roman"/>
          <w:sz w:val="24"/>
          <w:szCs w:val="24"/>
        </w:rPr>
        <w:t xml:space="preserve">potential </w:t>
      </w:r>
      <w:r w:rsidR="008715A3" w:rsidRPr="005B09A9">
        <w:rPr>
          <w:rFonts w:ascii="Times New Roman" w:hAnsi="Times New Roman" w:cs="Times New Roman"/>
          <w:sz w:val="24"/>
          <w:szCs w:val="24"/>
        </w:rPr>
        <w:t>selection bias. We did not include any article that could not establish a link between a factor and an outcome. This issue stems from our absence of restriction on the type of prognostic factors. To the best of our knowledge, three artic</w:t>
      </w:r>
      <w:r w:rsidR="003E6719" w:rsidRPr="005B09A9">
        <w:rPr>
          <w:rFonts w:ascii="Times New Roman" w:hAnsi="Times New Roman" w:cs="Times New Roman"/>
          <w:sz w:val="24"/>
          <w:szCs w:val="24"/>
        </w:rPr>
        <w:t xml:space="preserve">les could have been considered. </w:t>
      </w:r>
      <w:r w:rsidR="00552749" w:rsidRPr="005B09A9">
        <w:rPr>
          <w:rFonts w:ascii="Times New Roman" w:hAnsi="Times New Roman" w:cs="Times New Roman"/>
          <w:sz w:val="24"/>
          <w:szCs w:val="24"/>
        </w:rPr>
        <w:t>T</w:t>
      </w:r>
      <w:r w:rsidR="008715A3" w:rsidRPr="005B09A9">
        <w:rPr>
          <w:rFonts w:ascii="Times New Roman" w:hAnsi="Times New Roman" w:cs="Times New Roman"/>
          <w:sz w:val="24"/>
          <w:szCs w:val="24"/>
        </w:rPr>
        <w:t xml:space="preserve">he average temperature differences between the affected and contralateral limb were similar among four </w:t>
      </w:r>
      <w:r w:rsidR="00552749" w:rsidRPr="005B09A9">
        <w:rPr>
          <w:rFonts w:ascii="Times New Roman" w:hAnsi="Times New Roman" w:cs="Times New Roman"/>
          <w:sz w:val="24"/>
          <w:szCs w:val="24"/>
        </w:rPr>
        <w:t xml:space="preserve">CRPS </w:t>
      </w:r>
      <w:r w:rsidR="008715A3" w:rsidRPr="005B09A9">
        <w:rPr>
          <w:rFonts w:ascii="Times New Roman" w:hAnsi="Times New Roman" w:cs="Times New Roman"/>
          <w:sz w:val="24"/>
          <w:szCs w:val="24"/>
        </w:rPr>
        <w:t xml:space="preserve">duration groups (0-3 months to&gt;12 months) </w:t>
      </w:r>
      <w:r w:rsidR="008715A3" w:rsidRPr="005B09A9">
        <w:rPr>
          <w:rFonts w:ascii="Times New Roman" w:hAnsi="Times New Roman" w:cs="Times New Roman"/>
          <w:sz w:val="24"/>
          <w:szCs w:val="24"/>
        </w:rPr>
        <w:fldChar w:fldCharType="begin"/>
      </w:r>
      <w:r w:rsidR="008715A3" w:rsidRPr="005B09A9">
        <w:rPr>
          <w:rFonts w:ascii="Times New Roman" w:hAnsi="Times New Roman" w:cs="Times New Roman"/>
          <w:sz w:val="24"/>
          <w:szCs w:val="24"/>
        </w:rPr>
        <w:instrText xml:space="preserve"> ADDIN ZOTERO_ITEM CSL_CITATION {"citationID":"0laycHEe","properties":{"formattedCitation":"(Cho CW et al., 2016)","plainCitation":"(Cho CW et al., 2016)","noteIndex":0},"citationItems":[{"id":709,"uris":["http://zotero.org/users/8777725/items/WBY5DWXN"],"itemData":{"id":709,"type":"article-journal","abstract":"According to the International Association for the Study of Pain (IASP) and American Medical Association (AMA), the diagnostic criteria for complex regional pain syndrome (CRPS) require the presence of skin temperature asymmetry. In CRPS, it is generally accepted that the temperature of skin of affected limbs changes from warm to cold; however, in our clinical practice, we have experienced many cases with different thermographic characteristics. Therefore, we conducted a retrospective multicenter study that examined the distribution of skin temperature in patients with CRPS and skin temperature asymmetry versus symptom duration.Patients diagnosed with type 1 or 2 CRPS were recruited. After confirming CRPS according to the IASP diagnostic criteria, infrared thermographic images were evaluated for skin temperature differences (ΔT) between the affected and unaffected limbs.A total of 296 patients with CRPS were included in this study. The median duration of symptoms was 6 months and the mean ± standard deviation of ΔT was -0.72 ± 1.65°C. A skin temperature difference between bilateral limbs (|ΔT|) of 1°C or less was seen in 131 patients (44.3%); thus, these 131 patients did not meet the IASP criteria for CRPS. Further, cool skin temperature was not observed in 88 patients (29.7%), meaning that these patients did not meet the AMA criteria for CRPS. There was no correlation between the symptom duration and ΔT (Spearman's rho = -0.075, P = 0.196) and there was no significant difference in the average ΔT among the 4 symptom duration groups (0-3 months, 4-6 months, 7-12 months, &gt;12 months, P = 0.08).In conclusion, a considerable proportion of the patients that participated in this study did not meet the thermal criteria set forth by the IASP and AMA. Further, there was no correlation between symptom duration and skin temperature difference.","archive_location":"rayyan-231267006","container-title":"Medicine","ISSN":"1536-5964 (Electronic)","issue":"52","journalAbbreviation":"Medicine (Baltimore)","language":"eng","page":"e5548","title":"Multicenter study on the asymmetry of skin temperature in complex regional pain syndrome: An examination of temperature distribution and symptom duration.","volume":"95","author":[{"literal":"Cho CW"},{"literal":"Nahm FS"},{"literal":"Choi E"},{"literal":"Lee PB"},{"literal":"Jang IK"},{"literal":"Lee CJ"},{"literal":"Kim YC"},{"literal":"Lee SC"}],"issued":{"date-parts":[["2016"]]}}}],"schema":"https://github.com/citation-style-language/schema/raw/master/csl-citation.json"} </w:instrText>
      </w:r>
      <w:r w:rsidR="008715A3" w:rsidRPr="005B09A9">
        <w:rPr>
          <w:rFonts w:ascii="Times New Roman" w:hAnsi="Times New Roman" w:cs="Times New Roman"/>
          <w:sz w:val="24"/>
          <w:szCs w:val="24"/>
        </w:rPr>
        <w:fldChar w:fldCharType="separate"/>
      </w:r>
      <w:r w:rsidR="008715A3" w:rsidRPr="005B09A9">
        <w:rPr>
          <w:rFonts w:ascii="Times New Roman" w:hAnsi="Times New Roman" w:cs="Times New Roman"/>
          <w:sz w:val="24"/>
        </w:rPr>
        <w:t>(Cho CW et al., 2016)</w:t>
      </w:r>
      <w:r w:rsidR="008715A3" w:rsidRPr="005B09A9">
        <w:rPr>
          <w:rFonts w:ascii="Times New Roman" w:hAnsi="Times New Roman" w:cs="Times New Roman"/>
          <w:sz w:val="24"/>
          <w:szCs w:val="24"/>
        </w:rPr>
        <w:fldChar w:fldCharType="end"/>
      </w:r>
      <w:r w:rsidR="008715A3" w:rsidRPr="005B09A9">
        <w:rPr>
          <w:rFonts w:ascii="Times New Roman" w:hAnsi="Times New Roman" w:cs="Times New Roman"/>
          <w:sz w:val="24"/>
          <w:szCs w:val="24"/>
        </w:rPr>
        <w:t xml:space="preserve">. As mentioned above, </w:t>
      </w:r>
      <w:r w:rsidR="008715A3" w:rsidRPr="005B09A9">
        <w:rPr>
          <w:rFonts w:ascii="Times New Roman" w:hAnsi="Times New Roman" w:cs="Times New Roman"/>
          <w:i/>
          <w:iCs/>
          <w:sz w:val="24"/>
          <w:szCs w:val="24"/>
        </w:rPr>
        <w:t>self-reported cognitive symptoms</w:t>
      </w:r>
      <w:r w:rsidR="008715A3" w:rsidRPr="005B09A9">
        <w:rPr>
          <w:rFonts w:ascii="Times New Roman" w:hAnsi="Times New Roman" w:cs="Times New Roman"/>
          <w:sz w:val="24"/>
          <w:szCs w:val="24"/>
        </w:rPr>
        <w:t xml:space="preserve"> had a non-significant impact on pain intensity at 6-month follow-up in early CRPS, in contrast with long-standing participants </w:t>
      </w:r>
      <w:r w:rsidR="008715A3" w:rsidRPr="005B09A9">
        <w:rPr>
          <w:rFonts w:ascii="Times New Roman" w:hAnsi="Times New Roman" w:cs="Times New Roman"/>
          <w:sz w:val="24"/>
          <w:szCs w:val="24"/>
        </w:rPr>
        <w:fldChar w:fldCharType="begin"/>
      </w:r>
      <w:r w:rsidR="008715A3" w:rsidRPr="005B09A9">
        <w:rPr>
          <w:rFonts w:ascii="Times New Roman" w:hAnsi="Times New Roman" w:cs="Times New Roman"/>
          <w:sz w:val="24"/>
          <w:szCs w:val="24"/>
        </w:rPr>
        <w:instrText xml:space="preserve"> ADDIN ZOTERO_ITEM CSL_CITATION {"citationID":"5H8GiarW","properties":{"formattedCitation":"(Wittayer et al., 2018)","plainCitation":"(Wittayer et al., 2018)","noteIndex":0},"citationItems":[{"id":455,"uris":["http://zotero.org/users/8777725/items/9JYBC9FS"],"itemData":{"id":455,"type":"article-journal","abstract":"Neglect-like symptoms (NLS) are frequently observed in complex regional pain syndrome (CRPS). The clinical meaning of NLS, however, is largely unknown. Therefore, this study sets out to assess the importance of NLS for patient outcome and to explore their clinical correlates. We assessed NLS in a group of 53 patients with CRPS and compared the results to 28 healthy volunteers. To define the origin of the NLS reports, we tested the subjective visual midline, performed a limb-laterality recognition test, and quantitative sensory testing. In addition, psychological and pain assessment scales were completed. Tests were analyzed with univariate and multivariate approaches. After 6 months, patients were reassessed and the influence of NLS on pain outcome was determined. Most patients reported NLS in the questionnaire, whereas subjective visual midline and limb-laterality recognition test in contrast to previous studies did not reveal perceptual disturbances. Neglect-like symptom scores were associated with pain and pain catastrophizing in acute CRPS and anxiety and thermal sensory loss in chronic CRPS. Furthermore, high NLS scores had a negative impact on pain outcome after 6 months. Our results indicate that NLS have a different meaning in acute and chronic CRPS and might be of prognostic value. Possibly, treatment should focus on reducing NLS.","container-title":"Pain","issue":"5","note":"publisher-place: [\"Department of Neurology, University Medical Center of the Johannes Gutenberg-University Mainz, Mainz, Germany\", \"Department of Neurology, University Medical Center Mannheim, University of Heidelberg, Mannheim, Germany\", \"Department of Neurology, DKD Helios Clinic Wiesbaden, Wiesbaden, Germany\"]","page":"978-986","title":"Correlates and importance of neglect-like symptoms in complex regional pain syndrome","volume":"159","author":[{"family":"Wittayer","given":"M."},{"family":"Dimova","given":"V."},{"family":"Birklein","given":"F."},{"family":"Schlereth","given":"T."}],"issued":{"date-parts":[["2018"]]}}}],"schema":"https://github.com/citation-style-language/schema/raw/master/csl-citation.json"} </w:instrText>
      </w:r>
      <w:r w:rsidR="008715A3" w:rsidRPr="005B09A9">
        <w:rPr>
          <w:rFonts w:ascii="Times New Roman" w:hAnsi="Times New Roman" w:cs="Times New Roman"/>
          <w:sz w:val="24"/>
          <w:szCs w:val="24"/>
        </w:rPr>
        <w:fldChar w:fldCharType="separate"/>
      </w:r>
      <w:r w:rsidR="008715A3" w:rsidRPr="005B09A9">
        <w:rPr>
          <w:rFonts w:ascii="Times New Roman" w:hAnsi="Times New Roman" w:cs="Times New Roman"/>
          <w:sz w:val="24"/>
        </w:rPr>
        <w:t>(Wittayer et al., 2018)</w:t>
      </w:r>
      <w:r w:rsidR="008715A3" w:rsidRPr="005B09A9">
        <w:rPr>
          <w:rFonts w:ascii="Times New Roman" w:hAnsi="Times New Roman" w:cs="Times New Roman"/>
          <w:sz w:val="24"/>
          <w:szCs w:val="24"/>
        </w:rPr>
        <w:fldChar w:fldCharType="end"/>
      </w:r>
      <w:r w:rsidR="008715A3" w:rsidRPr="005B09A9">
        <w:rPr>
          <w:rFonts w:ascii="Times New Roman" w:hAnsi="Times New Roman" w:cs="Times New Roman"/>
          <w:sz w:val="24"/>
          <w:szCs w:val="24"/>
        </w:rPr>
        <w:t xml:space="preserve">. No correlation was found between </w:t>
      </w:r>
      <w:r w:rsidR="008715A3" w:rsidRPr="005B09A9">
        <w:rPr>
          <w:rFonts w:ascii="Times New Roman" w:hAnsi="Times New Roman" w:cs="Times New Roman"/>
          <w:i/>
          <w:sz w:val="24"/>
          <w:szCs w:val="24"/>
        </w:rPr>
        <w:t>osteoprotegerin</w:t>
      </w:r>
      <w:r w:rsidR="008715A3" w:rsidRPr="005B09A9">
        <w:rPr>
          <w:rFonts w:ascii="Times New Roman" w:hAnsi="Times New Roman" w:cs="Times New Roman"/>
          <w:sz w:val="24"/>
          <w:szCs w:val="24"/>
        </w:rPr>
        <w:t xml:space="preserve"> concentration and CRPS symptoms or duration (&lt;12 vs. ≥12 weeks) </w:t>
      </w:r>
      <w:r w:rsidR="008715A3" w:rsidRPr="005B09A9">
        <w:rPr>
          <w:rFonts w:ascii="Times New Roman" w:hAnsi="Times New Roman" w:cs="Times New Roman"/>
          <w:sz w:val="24"/>
          <w:szCs w:val="24"/>
        </w:rPr>
        <w:fldChar w:fldCharType="begin"/>
      </w:r>
      <w:r w:rsidR="008715A3" w:rsidRPr="005B09A9">
        <w:rPr>
          <w:rFonts w:ascii="Times New Roman" w:hAnsi="Times New Roman" w:cs="Times New Roman"/>
          <w:sz w:val="24"/>
          <w:szCs w:val="24"/>
        </w:rPr>
        <w:instrText xml:space="preserve"> ADDIN ZOTERO_ITEM CSL_CITATION {"citationID":"SqdHkolc","properties":{"formattedCitation":"(Kr\\uc0\\u228{}mer et al., 2014)","plainCitation":"(Krämer et al., 2014)","noteIndex":0},"citationItems":[{"id":1235,"uris":["http://zotero.org/users/8777725/items/96QIF522"],"itemData":{"id":1235,"type":"article-journal","abstract":"Summary \n        We provide evidence that elevated serum osteoprotegerin reflects pathophysiological processes of complex regional pain syndrome.\n        Osteoprotegerin (OPG) is important for bone remodeling and may contribute to complex regional pain syndrome (CRPS) pathophysiology. We aimed to assess the value of OPG as a biomarker for CRPS and a possible correlation with radiotracer uptake in 3-phase bone scintigraphy (TPBS). OPG levels were analyzed in 23 CRPS patients (17 women; mean age 50 ± 9.0 years; disease duration: 12 weeks [IQR 8–24]), 10 controls (6 women; mean age 58 ± 9.6 years) and 21 patients after uncomplicated fractures (12 women; mean age: 43 ± 15 years; time after fracture: 15 weeks [IQR: 6–22]). The CRPS and control patients also underwent TPBS. OPG in CRPS patients was significantly increased by comparison with both control groups (P = 0.001; Kruskal-Wallis test; CRPS patients: 74.1 pg/mL [IQR: 47.1–100.7]; controls: 46.7 pg/mL [IQR: 35.5–55.0]; P = 0.004; fracture patients: 45.9 pg/mL [IQR: 37.5–56.7]; P = 0.001). As a diagnostic test for CRPS, OPG had a sensitivity of 0.74, specificity of 0.80, positive predictive value of 68% and negative predictive value of 84%. Receiver operating characteristic curve analysis showed an area under the curve of 0.80 (CI: 0.68–0.91). For the CRPS-affected hand, a significant correlation between OPG and TPBS region of interest analysis in phase III was detected (carpal bones; r = 0.391; P = 0.03). The persistent OPG increase in CRPS indicates enhanced osteoblastic activity shown by increased radiotracer uptake in TPBS phase III. A contribution of bone turnover to CRPS pathophysiology is likely. OPG might be useful as a biomarker for CRPS.","container-title":"PAIN","DOI":"10.1016/j.pain.2014.01.014","ISSN":"0304-3959","issue":"5","language":"en-US","page":"889–895","source":"journals.lww.com","title":"Osteoprotegerin: A new biomarker for impaired bone metabolism in complex regional pain syndrome?","title-short":"Osteoprotegerin","volume":"155","author":[{"family":"Krämer","given":"Heidrun H."},{"family":"Hofbauer","given":"Lorenz C."},{"family":"Szalay","given":"Gabor"},{"family":"Breimhorst","given":"Markus"},{"family":"Eberle","given":"Tatiana"},{"family":"Zieschang","given":"Katja"},{"family":"Rauner","given":"Martina"},{"family":"Schlereth","given":"Tanja"},{"family":"Schreckenberger","given":"Matthias"},{"family":"Birklein","given":"Frank"}],"issued":{"date-parts":[["2014",5]]}}}],"schema":"https://github.com/citation-style-language/schema/raw/master/csl-citation.json"} </w:instrText>
      </w:r>
      <w:r w:rsidR="008715A3" w:rsidRPr="005B09A9">
        <w:rPr>
          <w:rFonts w:ascii="Times New Roman" w:hAnsi="Times New Roman" w:cs="Times New Roman"/>
          <w:sz w:val="24"/>
          <w:szCs w:val="24"/>
        </w:rPr>
        <w:fldChar w:fldCharType="separate"/>
      </w:r>
      <w:r w:rsidR="008715A3" w:rsidRPr="005B09A9">
        <w:rPr>
          <w:rFonts w:ascii="Times New Roman" w:hAnsi="Times New Roman" w:cs="Times New Roman"/>
          <w:sz w:val="24"/>
          <w:szCs w:val="24"/>
        </w:rPr>
        <w:t>(Krämer et al., 2014)</w:t>
      </w:r>
      <w:r w:rsidR="008715A3" w:rsidRPr="005B09A9">
        <w:rPr>
          <w:rFonts w:ascii="Times New Roman" w:hAnsi="Times New Roman" w:cs="Times New Roman"/>
          <w:sz w:val="24"/>
          <w:szCs w:val="24"/>
        </w:rPr>
        <w:fldChar w:fldCharType="end"/>
      </w:r>
      <w:r w:rsidR="008715A3" w:rsidRPr="005B09A9">
        <w:rPr>
          <w:rFonts w:ascii="Times New Roman" w:hAnsi="Times New Roman" w:cs="Times New Roman"/>
          <w:sz w:val="24"/>
          <w:szCs w:val="24"/>
        </w:rPr>
        <w:t xml:space="preserve">. </w:t>
      </w:r>
      <w:r w:rsidRPr="005B09A9">
        <w:rPr>
          <w:rFonts w:ascii="Times New Roman" w:hAnsi="Times New Roman" w:cs="Times New Roman"/>
          <w:sz w:val="24"/>
          <w:szCs w:val="24"/>
        </w:rPr>
        <w:t xml:space="preserve">The third issue is condition duration, which depends of the chosen starting point (from the triggering event </w:t>
      </w:r>
      <w:r w:rsidRPr="005B09A9">
        <w:rPr>
          <w:rFonts w:ascii="Times New Roman" w:hAnsi="Times New Roman" w:cs="Times New Roman"/>
          <w:sz w:val="24"/>
          <w:szCs w:val="24"/>
        </w:rPr>
        <w:fldChar w:fldCharType="begin"/>
      </w:r>
      <w:r w:rsidRPr="005B09A9">
        <w:rPr>
          <w:rFonts w:ascii="Times New Roman" w:hAnsi="Times New Roman" w:cs="Times New Roman"/>
          <w:sz w:val="24"/>
          <w:szCs w:val="24"/>
        </w:rPr>
        <w:instrText xml:space="preserve"> ADDIN ZOTERO_ITEM CSL_CITATION {"citationID":"V3F1Gm7S","properties":{"formattedCitation":"(Dauty et al., 2001)","plainCitation":"(Dauty et al., 2001)","noteIndex":0},"citationItems":[{"id":156,"uris":["http://zotero.org/users/8777725/items/F9SAAVYI"],"itemData":{"id":156,"type":"article-journal","abstract":"OBJECTIVE: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schema":"https://github.com/citation-style-language/schema/raw/master/csl-citation.json"} </w:instrText>
      </w:r>
      <w:r w:rsidRPr="005B09A9">
        <w:rPr>
          <w:rFonts w:ascii="Times New Roman" w:hAnsi="Times New Roman" w:cs="Times New Roman"/>
          <w:sz w:val="24"/>
          <w:szCs w:val="24"/>
        </w:rPr>
        <w:fldChar w:fldCharType="separate"/>
      </w:r>
      <w:r w:rsidRPr="005B09A9">
        <w:rPr>
          <w:rFonts w:ascii="Times New Roman" w:hAnsi="Times New Roman" w:cs="Times New Roman"/>
          <w:sz w:val="24"/>
        </w:rPr>
        <w:t>(Dauty et al., 2001)</w:t>
      </w:r>
      <w:r w:rsidRPr="005B09A9">
        <w:rPr>
          <w:rFonts w:ascii="Times New Roman" w:hAnsi="Times New Roman" w:cs="Times New Roman"/>
          <w:sz w:val="24"/>
          <w:szCs w:val="24"/>
        </w:rPr>
        <w:fldChar w:fldCharType="end"/>
      </w:r>
      <w:r w:rsidRPr="005B09A9">
        <w:rPr>
          <w:rFonts w:ascii="Times New Roman" w:hAnsi="Times New Roman" w:cs="Times New Roman"/>
          <w:sz w:val="24"/>
          <w:szCs w:val="24"/>
        </w:rPr>
        <w:t xml:space="preserve"> vs. CRPS symptoms vs. CRPS diagnosis). </w:t>
      </w:r>
      <w:r w:rsidR="008715A3" w:rsidRPr="005B09A9">
        <w:rPr>
          <w:rFonts w:ascii="Times New Roman" w:hAnsi="Times New Roman" w:cs="Times New Roman"/>
          <w:sz w:val="24"/>
          <w:szCs w:val="24"/>
        </w:rPr>
        <w:t xml:space="preserve">The last limitation is the data extraction process. Only one reviewer extracted the data, which could be a source of error or bias. Nevertheless, the small number of included studies limits this RoB. Furthermore, </w:t>
      </w:r>
      <w:r w:rsidR="008715A3" w:rsidRPr="005B09A9">
        <w:rPr>
          <w:rFonts w:ascii="Times New Roman" w:hAnsi="Times New Roman" w:cs="Times New Roman"/>
          <w:bCs/>
          <w:sz w:val="24"/>
          <w:szCs w:val="24"/>
        </w:rPr>
        <w:t xml:space="preserve">we were unable to extract effect size for most prognostic factors. </w:t>
      </w:r>
    </w:p>
    <w:bookmarkEnd w:id="1"/>
    <w:p w14:paraId="3616E051" w14:textId="6AB9A41B" w:rsidR="0084547A" w:rsidRPr="005B09A9" w:rsidRDefault="00DA2F7C" w:rsidP="00DA2F7C">
      <w:pPr>
        <w:tabs>
          <w:tab w:val="left" w:pos="720"/>
          <w:tab w:val="right" w:leader="dot" w:pos="9062"/>
        </w:tabs>
        <w:spacing w:line="480" w:lineRule="auto"/>
        <w:jc w:val="left"/>
        <w:rPr>
          <w:rFonts w:ascii="Times New Roman" w:hAnsi="Times New Roman" w:cs="Times New Roman"/>
          <w:sz w:val="24"/>
          <w:szCs w:val="24"/>
          <w:lang w:val="fr-BE"/>
        </w:rPr>
      </w:pPr>
      <w:r w:rsidRPr="005B09A9">
        <w:rPr>
          <w:rFonts w:ascii="Times New Roman" w:hAnsi="Times New Roman" w:cs="Times New Roman"/>
          <w:sz w:val="24"/>
          <w:szCs w:val="24"/>
        </w:rPr>
        <w:t>It should also be noted that t</w:t>
      </w:r>
      <w:r w:rsidR="0084547A" w:rsidRPr="005B09A9">
        <w:rPr>
          <w:rFonts w:ascii="Times New Roman" w:hAnsi="Times New Roman" w:cs="Times New Roman"/>
          <w:sz w:val="24"/>
          <w:szCs w:val="24"/>
        </w:rPr>
        <w:t xml:space="preserve">he literature on early prognostic factors in adults CRPS individuals remains limited. </w:t>
      </w:r>
      <w:r w:rsidR="0084547A" w:rsidRPr="005B09A9">
        <w:rPr>
          <w:rFonts w:ascii="Times New Roman" w:eastAsia="Calibri" w:hAnsi="Times New Roman" w:cs="Times New Roman"/>
          <w:sz w:val="24"/>
          <w:szCs w:val="24"/>
        </w:rPr>
        <w:t xml:space="preserve">Most longitudinal studies have not </w:t>
      </w:r>
      <w:r w:rsidRPr="005B09A9">
        <w:rPr>
          <w:rFonts w:ascii="Times New Roman" w:eastAsia="Calibri" w:hAnsi="Times New Roman" w:cs="Times New Roman"/>
          <w:sz w:val="24"/>
          <w:szCs w:val="24"/>
        </w:rPr>
        <w:t>assessed</w:t>
      </w:r>
      <w:r w:rsidR="0084547A" w:rsidRPr="005B09A9">
        <w:rPr>
          <w:rFonts w:ascii="Times New Roman" w:eastAsia="Calibri" w:hAnsi="Times New Roman" w:cs="Times New Roman"/>
          <w:sz w:val="24"/>
          <w:szCs w:val="24"/>
        </w:rPr>
        <w:t xml:space="preserve"> prognostic factors </w:t>
      </w:r>
      <w:r w:rsidR="0084547A" w:rsidRPr="005B09A9">
        <w:rPr>
          <w:rFonts w:ascii="Times New Roman" w:eastAsia="Calibri" w:hAnsi="Times New Roman" w:cs="Times New Roman"/>
          <w:sz w:val="24"/>
          <w:szCs w:val="24"/>
        </w:rPr>
        <w:fldChar w:fldCharType="begin"/>
      </w:r>
      <w:r w:rsidR="0084547A" w:rsidRPr="005B09A9">
        <w:rPr>
          <w:rFonts w:ascii="Times New Roman" w:eastAsia="Calibri" w:hAnsi="Times New Roman" w:cs="Times New Roman"/>
          <w:sz w:val="24"/>
          <w:szCs w:val="24"/>
        </w:rPr>
        <w:instrText xml:space="preserve"> ADDIN ZOTERO_ITEM CSL_CITATION {"citationID":"pS2zafrb","properties":{"formattedCitation":"(Bean et al., 2014b; Beerthuizen et al., 2012; Bickerstaff DR and Kanis JA, 1994; Brunner et al., 2017; Pend\\uc0\\u243{}n et al., 2017)","plainCitation":"(Bean et al., 2014b; Beerthuizen et al., 2012; Bickerstaff DR and Kanis JA, 1994; Brunner et al., 2017; Pendón et al., 2017)","noteIndex":0},"citationItems":[{"id":185,"uris":["http://zotero.org/users/8777725/items/V3KRMRJH"],"itemData":{"id":185,"type":"article-journal","abstract":"Limited data are available on the incidence of complex regional pain syndrome type 1 (CRPS1) and on demographic and medical risk factors for the development of CRPS1. The objective of this study was to investigate the incidence of CRPS1 in patients with a fracture using 3 sets of diagnostic criteria and to evaluate the association between demographic/medical factors and the development of CRPS1 diagnosed with the Harden and Bruehl criteria. A prospective multicenter cohort study of 596 patients (ages 18 years and older) with a single fracture of the wrist, scaphoid, ankle, or metatarsal V, recruited patients from the emergency rooms of 3 Dutch hospitals. Of the 596 participants, 42 (7.0%) were diagnosed with CRPS1 according to the Harden and Bruehl criteria, 289 (48.5%) according to the International Association for the Study of Pain criteria, and 127 (21.3%) according to the criteria of Veldman. An analysis of the medical and demographic differences revealed that patients in whom CRPS1 later developed more often had intra-articular fractures, fracture dislocations, rheumatoid arthritis, or musculoskeletal comorbidities. An ankle fracture, dislocation, and an intra-articular fracture contributed significantly to the prediction of the development of CRPS1. No CRPS1 patients were symptom free at 12 months (T3). At baseline, patients with CRPS1 had significantly more pain than patients without CRPS1 (P&lt;.001). The incidence of the diagnosis of CRPS1 after a single fracture depends to a large extent on the diagnostic criteria used. After a fracture, 7% of the patients developed CRPS1 and none of the patients were free of symptoms at 1-year follow-up.","container-title":"Pain","DOI":"10.1016/j.pain.2012.01.026","ISSN":"1872-6623","issue":"6","journalAbbreviation":"Pain","language":"eng","note":"PMID: 22386473","page":"1187-1192","source":"PubMed","title":"Demographic and medical parameters in the development of complex regional pain syndrome type 1 (CRPS1): prospective study on 596 patients with a fracture","title-short":"Demographic and medical parameters in the development of complex regional pain syndrome type 1 (CRPS1)","volume":"153","author":[{"family":"Beerthuizen","given":"Annemerle"},{"family":"Stronks","given":"Dirk L."},{"family":"Van't Spijker","given":"Adriaan"},{"family":"Yaksh","given":"Ameeta"},{"family":"Hanraets","given":"Barbara M."},{"family":"Klein","given":"Jan"},{"family":"Huygen","given":"Frank J. P. M."}],"issued":{"date-parts":[["2012",6]]}}},{"id":708,"uris":["http://zotero.org/users/8777725/items/JJXWL9QG"],"itemData":{"id":708,"type":"article-journal","abstract":"Algodystrophy is a poorly recognized condition of uncertain aetiology which presents with pain and tenderness, vascular instability, swelling and stiffness of an affected limb. It is most commonly seen after trauma. In order to ascertain its incidence, natural history and the degree of morbidity induced we studied prospectively 274 patients with Colles' fracture. Algodystrophy, as judged by the presence of bone pain or tenderness, vasomotor symptoms, swelling and stiffness of the hand was noted in 28% of patients. There was a significant association between the presence of these features (P &lt; 0.0001). The degree of trauma sustained was identified as a predisposing factor. Actuarial analysis showed a gradual resolution of symptoms. Six months after injury, the proportion of patients complaining of pain and swelling had fallen to 20-30%, vascular instability and tenderness to 50% and stiffness to 80%. Failure to improve was associated with a significant loss of hand function (P &lt; 0.0001). By 1 yr, pain and tenderness, vascular instability and swelling had decreased still further but stiffness was still apparent in 50%. We believe that algodystrophy is a neglected disorder and is far more common than formerly appreciated. Although it often resolves spontaneously, it is associated with a significant increase in short-term morbidity in the majority of patients and persistent dysfunction in a minority.","archive_location":"rayyan-231267001","container-title":"British journal of rheumatology","ISSN":"0263-7103 (Print)","issue":"3","journalAbbreviation":"Br J Rheumatol","language":"eng","note":"publisher-place: England","page":"240-8","title":"Algodystrophy: an under-recognized complication of minor trauma.","volume":"33","author":[{"literal":"Bickerstaff DR"},{"literal":"Kanis JA"}],"issued":{"date-parts":[["1994"]]}}},{"id":815,"uris":["http://zotero.org/users/8777725/items/8XJCHG9W"],"itemData":{"id":815,"type":"article-journal","abstract":"Background The timing of diagnosis of complex regional pain syndrome (CRPS) 1 remains a challenge due to the large heterogeneity of clinical presentations. We describe the distribution and differences in outcomes and clinical manifestations between time points and patient groups with and without CRPS 1 following an initiating event. Methods Prospective cohort study with a consecutive registration of patients presenting with painful swelling of the affected extremity after an initiating event and follow-up visits after 3, 6 and 12 months. Results Forty-two patients were enrolled (37 females, mean age 55.1 years). At baseline, 35 participants (83%, females n = 30) fulfilled the diagnostic criteria for CRPS 1. At 3 months, 19 out of the initial 35 CRPS 1 patients (54%) did not meet the diagnostic criteria anymore. Besides our inclusion criteria of a painful swelling, early manifestations indicating a CRPS 1 primarily include an impaired quality of life (SF-35, EQ5-D), more pain (NRS, MPQ) and restricted range of motion. Conclusions CRPS 1 develops within 8 weeks following a noxious event. Although many CRPS 1 patients reach partial remission within the first 3 months, signs and symptoms do not improve significantly at 1 year. In order to identify prognostic risk factors large prospective cohort studies are needed. Significance This prospective cohort study follows patients with complaints most suspected for complex regional pain syndrome (CRPS) 1. CRPS 1 develops within 8 weeks following a noxious event. Although many CRPS 1 patients reach partial remission within the 3 months, symptoms do not improve significantly at 1 year.","container-title":"European Journal of Pain","DOI":"10.1002/ejp.1064","ISSN":"1532-2149","issue":"9","language":"en","note":"_eprint: https://onlinelibrary.wiley.com/doi/pdf/10.1002/ejp.1064","page":"1611-1617","source":"Wiley Online Library","title":"Painful swelling after a noxious event and the development of complex regional pain syndrome 1: A one-year prospective study","title-short":"Painful swelling after a noxious event and the development of complex regional pain syndrome 1","volume":"21","author":[{"family":"Brunner","given":"F."},{"family":"Bachmann","given":"L.m."},{"family":"Perez","given":"R.s.g.m."},{"family":"Marinus","given":"J."},{"family":"Wertli","given":"M.m."}],"issued":{"date-parts":[["2017"]]}}},{"id":119,"uris":["http://zotero.org/users/8777725/items/R9JXS2CS"],"itemData":{"id":119,"type":"article-journal","abstract":"OBJECTIVE: Cognitive and emotional factors are known to influence peoples' pain experiences in many conditions, including low back pain. However, in complex regional pain syndrome (CRPS), their role is unclear. This study aimed to assess the relationships between psychological factors, pain, and disability in CRPS, compared with low back pain. This could help to identify target variables for psychological treatment.\nMATERIALS AND METHODS: A total of 88 CRPS patients and 88 low back pain patients completed measures of pain, disability, depression, anxiety, and fear of movement and reinjury (kinesiophobia). Mean scores between the 2 groups were compared, and correlations between psychological factors, pain, and disability were compared between the 2 groups. Predictors of pain and disability were assessed using multiple regression analyses.\nRESULTS: The 2 groups had remarkably similar scores on measures of pain, disability, depression, anxiety, and kinesiophobia. In both groups, those who were more depressed, anxious, and kinesiophobic were more disabled. For the CRPS group (but not the low back pain group), pain intensity significantly correlated with distress. Multivariate analyses showed that the unique predictors of disability for the 2 groups were pain and depression, and that depression had a stronger relationship with disability for the CRPS group. For both groups, pain intensity was predicted by kinesiophobia, and anxiety was a unique predictor in the CRPS group only.\nDISCUSSION: In CRPS, disability and pain severity were more strongly associated with psychological factors than they were in low back pain. Cause and effect relationships could not be established by this cross-sectional study.","container-title":"The Clinical Journal of Pain","DOI":"10.1097/AJP.0000000000000007","ISSN":"1536-5409","issue":"8","journalAbbreviation":"Clin J Pain","language":"eng","note":"PMID: 24135903","page":"647-653","source":"PubMed","title":"Relationships between psychological factors, pain, and disability in complex regional pain syndrome and low back pain","volume":"30","author":[{"family":"Bean","given":"Debbie J."},{"family":"Johnson","given":"Malcolm H."},{"family":"Kydd","given":"Robert R."}],"issued":{"date-parts":[["2014",8]]}}},{"id":242,"uris":["http://zotero.org/users/8777725/items/2C4377JE"],"itemData":{"id":242,"type":"article-journal","abstract":"INTRODUCTION: Complex regional pain syndrome (CRPS) type 1 is characterized by the presence of pain, edema, functional impotence, impaired mobility, trophic changes, vasomotor instability and bone demineralization.\nMATERIAL AND METHODS: We carried out a retrospective and prospective, descriptive, observational study of 108 patients over 18 years of age with suspected CRPS who met Doury's criteria. We recorded demographic data, clinical characteristics, comorbidities, previous predisposing conditions and triggering factors, such as injury or fracture. We evaluated laboratory data, serial plain X-rays, 3-phase bone scintigraphy with technetium 99 and bone density scan, as well as drug treatment, rehabilitation and disease course.\nRESULTS: In all, 89% of the 108 patients were women with an average age of 54.8±12.4 years. The time between the onset of the symptoms and the first visit to a physician was 3.1 months. The most common triggering factor was injury (91.7%). The most frequent psychological factor was anxiety (42.6%). All the patients reported pain and 99.07% had impaired mobility. The most frequently affected part of the body was the hand (75%; 81/108 patients) followed by the shoulder, in the shoulder-hand syndrome. All the patients had serial X-rays and changes were observed in 93.5%. Three-phase bone scintigraphy revealed evidence of disease in all 32 of the patients who underwent this study. Bone density scanning was performed in 54 patients (50%). All the patients were treated with nonsteroidal anti-inflammatory drugs, mainly diclofenac (60%). Calcium therapy was initiated in 106 patients (98.2%) and vitamin D3 therapy in 97.2%. All the patients received bisphosphonates, primarily alendronate and ibandronate (67.6% and 27.8%, respectively). Thirty-six patients (33.3%) received corticosteroids. All of the evaluated patients underwent rehabilitation involving occupational therapy. The average time to recovery was 6.31 months (range, 4-24). The outcome was favorable in 88.9% of the patients.\nCONCLUSION: This paper describes the clinical characteristics, therapeutic features and outcome of CRPS type 1 in 108 patients. This syndrome is known to be heterogeneous, and does not always present with the well-known symptoms. We recommend establishing a differential diagnosis including other infectious and inflammatory conditions, and point out the importance of early referral, which enables early treatment.","container-title":"Reumatologia Clinica","DOI":"10.1016/j.reuma.2016.03.015","ISSN":"1885-1398","issue":"2","journalAbbreviation":"Reumatol Clin","language":"eng, spa","note":"PMID: 27132482","page":"73-77","source":"PubMed","title":"Complex regional pain syndrome type 1: Analysis of 108 patients","title-short":"Complex regional pain syndrome type 1","volume":"13","author":[{"family":"Pendón","given":"Gisela"},{"family":"Salas","given":"Adrian"},{"family":"García","given":"Mercedes"},{"family":"Pereira","given":"Dora"}],"issued":{"date-parts":[["2017",4]]}}}],"schema":"https://github.com/citation-style-language/schema/raw/master/csl-citation.json"} </w:instrText>
      </w:r>
      <w:r w:rsidR="0084547A" w:rsidRPr="005B09A9">
        <w:rPr>
          <w:rFonts w:ascii="Times New Roman" w:eastAsia="Calibri" w:hAnsi="Times New Roman" w:cs="Times New Roman"/>
          <w:sz w:val="24"/>
          <w:szCs w:val="24"/>
        </w:rPr>
        <w:fldChar w:fldCharType="separate"/>
      </w:r>
      <w:r w:rsidR="0084547A" w:rsidRPr="005B09A9">
        <w:rPr>
          <w:rFonts w:ascii="Times New Roman" w:hAnsi="Times New Roman" w:cs="Times New Roman"/>
          <w:sz w:val="24"/>
          <w:szCs w:val="24"/>
        </w:rPr>
        <w:t>(Bean et al., 2014b; Beerthuizen et al., 2012; Bickerstaff DR and Kanis JA, 1994; Brunner et al., 2017; Pendón et al., 2017)</w:t>
      </w:r>
      <w:r w:rsidR="0084547A" w:rsidRPr="005B09A9">
        <w:rPr>
          <w:rFonts w:ascii="Times New Roman" w:eastAsia="Calibri" w:hAnsi="Times New Roman" w:cs="Times New Roman"/>
          <w:sz w:val="24"/>
          <w:szCs w:val="24"/>
        </w:rPr>
        <w:fldChar w:fldCharType="end"/>
      </w:r>
      <w:r w:rsidR="0084547A" w:rsidRPr="005B09A9">
        <w:rPr>
          <w:rFonts w:ascii="Times New Roman" w:eastAsia="Calibri" w:hAnsi="Times New Roman" w:cs="Times New Roman"/>
          <w:sz w:val="24"/>
          <w:szCs w:val="24"/>
        </w:rPr>
        <w:t xml:space="preserve">, have used suboptimal diagnostic criteria </w:t>
      </w:r>
      <w:r w:rsidR="0084547A" w:rsidRPr="005B09A9">
        <w:rPr>
          <w:rFonts w:ascii="Times New Roman" w:eastAsia="Calibri" w:hAnsi="Times New Roman" w:cs="Times New Roman"/>
          <w:sz w:val="24"/>
          <w:szCs w:val="24"/>
        </w:rPr>
        <w:fldChar w:fldCharType="begin"/>
      </w:r>
      <w:r w:rsidR="0084547A" w:rsidRPr="005B09A9">
        <w:rPr>
          <w:rFonts w:ascii="Times New Roman" w:eastAsia="Calibri" w:hAnsi="Times New Roman" w:cs="Times New Roman"/>
          <w:sz w:val="24"/>
          <w:szCs w:val="24"/>
        </w:rPr>
        <w:instrText xml:space="preserve"> ADDIN ZOTERO_ITEM CSL_CITATION {"citationID":"a3qjyKfc","properties":{"formattedCitation":"(Bickerstaff DR and Kanis JA, 1994; Dauty et al., 2001; Dumas et al., 2011; Laulan et al., 1997; RJ et al., 1990; van der Laan L et al., 1998; Veldman et al., 1993; Zyluk, 1998)","plainCitation":"(Bickerstaff DR and Kanis JA, 1994; Dauty et al., 2001; Dumas et al., 2011; Laulan et al., 1997; RJ et al., 1990; van der Laan L et al., 1998; Veldman et al., 1993; Zyluk, 1998)","noteIndex":0},"citationItems":[{"id":191,"uris":["http://zotero.org/users/8777725/items/436TRXCL"],"itemData":{"id":191,"type":"article-journal","abstract":"The paper presents the results of a prospective trial to examine the natural history of early reflex sympathetic dystrophy (RSD). Thirty patients with post-traumatic RSD of the hand were observed without treatment. They were reassessed 1, 2 and 6 months after diagnosis with a final assessment at 10 to 18 months (average 13 months). Twenty-seven patients completed the study. Three were withdrawn during the study because of persistence of signs and symptoms of RSD and were given further treatment. Of the 27 patients who completed the study, only one showed sufficient features of the condition to warrant the diagnosis of mild RSD. In the remaining 26, most features of RSD had resolved spontaneously. Pain and swelling disappeared more quickly than other features of RSD. Although the signs and symptoms of RSD had largely gone at 13 months, the hands were still functionally impaired because of weaker grip strength.","container-title":"Journal of Hand Surgery (Edinburgh, Scotland)","DOI":"10.1016/s0266-7681(98)80211-8","ISSN":"0266-7681","issue":"1","journalAbbreviation":"J Hand Surg Br","language":"eng","note":"PMID: 9571473","page":"20-23","source":"PubMed","title":"The natural history of post-traumatic reflex sympathetic dystrophy","volume":"23","author":[{"family":"Zyluk","given":"A."}],"issued":{"date-parts":[["1998",2]]}}},{"id":589,"uris":["http://zotero.org/users/8777725/items/JSY8KUZ9"],"itemData":{"id":589,"type":"article-journal","abstract":"The pathogenesis of reflex sympathetic dystrophy--variously known as Sudeck's atrophy, causalgia, algodystrophy, and peripheral trophoneurosis--is not yet understood, and diagnosing and treating patients is difficult. We have prospectively studied 829 patients, paying particular attention to early signs and symptoms. In its early phase, reflex sympathetic dystrophy is characterised by regional inflammation, which increases after muscular exercise. Pain was present in 93% of patients, and hypoaesthesia and hyperpathy were present in 69% and 75% respectively. With time, tissue atrophy may occur as well as involuntary movements, muscle spasms, or pseudoparalysis. Tremor was found in 49% and muscular incoordination in 54% of patients. Sympathetic signs such as hyperhidrosis are infrequent and therefore have no diagnostic value. We found no evidence consistent with the presence of three consecutive phases of the disease. Early symptoms are those of an inflammatory reaction and not of a disturbance of the sympathetic nervous system. These data support the concept of an exaggerated regional inflammatory response to injury or operation in reflex sympathetic dystrophy.","container-title":"Lancet (London, England)","DOI":"10.1016/0140-6736(93)92877-v","ISSN":"0140-6736","issue":"8878","journalAbbreviation":"Lancet","language":"eng","note":"PMID: 8105263","page":"1012-1016","source":"PubMed","title":"Signs and symptoms of reflex sympathetic dystrophy: prospective study of 829 patients","title-short":"Signs and symptoms of reflex sympathetic dystrophy","volume":"342","author":[{"family":"Veldman","given":"P. H."},{"family":"Reynen","given":"H. M."},{"family":"Arntz","given":"I. E."},{"family":"Goris","given":"R. J."}],"issued":{"date-parts":[["1993",10,23]]}}},{"id":327,"uris":["http://zotero.org/users/8777725/items/WAHN4YK6"],"itemData":{"id":327,"type":"article-journal","abstract":"The clinical signs and symptoms in 441 patients with post-traumatic dystrophy were recorded. This form of dystrophy occurred three times as often in females as in males and twice as often in the arms as in the legs. In 5% of the patients the first symptom is a cold extremity; these patients run a greater risk of major sequelae. Exacerbation of the symptoms under influence of muscular exercise proved to be an important prognostic factor. A large proportion of the referred patients proved to have undergone a treatment aimed at elimination of the sympathetic nervous system, without success. Post-traumatic dystrophy can impede all structures and functions of the affected extremity and may result in major sequelae and disablement. The pseudoparalysis of the later phase may be mistaken for conversion.","container-title":"Nederlands tijdschrift voor geneeskunde","ISSN":"0028-2162 (Print)","issue":"44","language":"dut","note":"publisher-place: Netherlands\npublisher: Sint-Radboudziekenhuis, afd. Algemene Chirurgie, Nijmegen.","page":"2138-41","title":"[The clinical symptoms in post-traumatic dystrophy].","volume":"134","author":[{"family":"RJ","given":"Goris"},{"family":"JA","given":"Reynen"},{"family":"P","given":"Veldman"}],"issued":{"date-parts":[["1990",11]]}}},{"id":156,"uris":["http://zotero.org/users/8777725/items/F9SAAVYI"],"itemData":{"id":156,"type":"article-journal","abstract":"OBJECTIVE: In spite of physical medicine and rehabilitation care, post-traumatic reflex sympathetic dystrophy can be at the origin of articular deficiency, which decrease the capacity to return to work. The aim of this study is to know the professional future of patients who present post-traumatic reflex sympathetic dystrophy.\nMATERIAL AND METHOD: Eighteen months prospective study, carried out from patients in age to work, hospitalized in physical medicine and rehabilitation unit for ostéo-articular traumatism complicated by reflex sympathetic dystrophy. Description of the population and comorbidity factors preventing professional resumption. Determination of the duration of medical certificate and the modalities of professional resumption.\nRESULTS: From 16 patients in age to work, only 12 were able to resume a full time profession with an average period of 10.5 months +/- 5. The importance of the, the distale articular location of reflex sympathetic dystrophy (wrist - hand, ankle - foot), the association with a comorbidity such as chronic alcoholism represent pejorative factors of working resumption. Organizations of workstation are often necessary in six cases over eight, if the job is not sedentary. In the most complicated cases, inaptitudes in the work are pronounced with demand of professional reclassifying.\nCONCLUSION: Post-traumatic reflex sympathetic dystrophy represents a real challenge for the rehabilitation team, to minimize deficiencies and to help the patient to become again a worker.","container-title":"Annales De Readaptation Et De Medecine Physique: Revue Scientifique De La Societe Francaise De Reeducation Fonctionnelle De Readaptation Et De Medecine Physique","DOI":"10.1016/s0168-6054(00)00065-9","ISSN":"0168-6054","issue":"2","journalAbbreviation":"Ann Readapt Med Phys","language":"fre","note":"PMID: 11587657","page":"89-94","source":"PubMed","title":"[Professional outcome of reflex sympathetic dystrophy]","volume":"44","author":[{"family":"Dauty","given":"M."},{"family":"Renaud","given":"P."},{"family":"Deniaud","given":"C."},{"family":"Tortellier","given":"L."},{"family":"Dubois","given":"C."}],"issued":{"date-parts":[["2001",3]]}}},{"id":708,"uris":["http://zotero.org/users/8777725/items/JJXWL9QG"],"itemData":{"id":708,"type":"article-journal","abstract":"Algodystrophy is a poorly recognized condition of uncertain aetiology which presents with pain and tenderness, vascular instability, swelling and stiffness of an affected limb. It is most commonly seen after trauma. In order to ascertain its incidence, natural history and the degree of morbidity induced we studied prospectively 274 patients with Colles' fracture. Algodystrophy, as judged by the presence of bone pain or tenderness, vasomotor symptoms, swelling and stiffness of the hand was noted in 28% of patients. There was a significant association between the presence of these features (P &lt; 0.0001). The degree of trauma sustained was identified as a predisposing factor. Actuarial analysis showed a gradual resolution of symptoms. Six months after injury, the proportion of patients complaining of pain and swelling had fallen to 20-30%, vascular instability and tenderness to 50% and stiffness to 80%. Failure to improve was associated with a significant loss of hand function (P &lt; 0.0001). By 1 yr, pain and tenderness, vascular instability and swelling had decreased still further but stiffness was still apparent in 50%. We believe that algodystrophy is a neglected disorder and is far more common than formerly appreciated. Although it often resolves spontaneously, it is associated with a significant increase in short-term morbidity in the majority of patients and persistent dysfunction in a minority.","archive_location":"rayyan-231267001","container-title":"British journal of rheumatology","ISSN":"0263-7103 (Print)","issue":"3","journalAbbreviation":"Br J Rheumatol","language":"eng","note":"publisher-place: England","page":"240-8","title":"Algodystrophy: an under-recognized complication of minor trauma.","volume":"33","author":[{"literal":"Bickerstaff DR"},{"literal":"Kanis JA"}],"issued":{"date-parts":[["1994"]]}}},{"id":441,"uris":["http://zotero.org/users/8777725/items/EQG2M7E9"],"itemData":{"id":441,"type":"article-journal","abstract":"A prospective study of algodystrophy after fracture of the distal radius was carried out to search for early diagnostic and prognostic criteria. One hundred consecutive patients were assessed by a radiographic score and by a semi-quantitative clinical score at 1, 6 and 12 weeks and 1 year after fracture. The reactive disorders observed could be classified in four groups, each with a different course. There was a close link between patient satisfaction at 1 year and the group to which the patient belonged. Algodystrophy was diagnosed in 26% of cases. Of these, 58% were active and left sequelae at 1 year. A clinical score greater than 7 at 6 weeks predicted 96% of these cases of active algodystrophy. Active algodystrophy was more likely after a severe initial injury and if there was pain at the distal radioulnar joint.","container-title":"J. HAND SURG. (GBR)","ISSN":"0266-7681","issue":"4","language":"English","note":"publisher-place: J. Laulan, Service d'Orthopedie 1, Centre Hospitalier Univ. Trousseau, F-37044 Tours Cedex, France","page":"441-447","title":"The different types of algodystrophy after fracture of the distal radius. Predictive criteria of outcome after 1 year","volume":"22","author":[{"family":"Laulan","given":"J."},{"family":"Bismuth","given":"J.-P."},{"family":"Sicre","given":"G."},{"family":"Garaud","given":"P."}],"issued":{"date-parts":[["1997"]]}}},{"id":154,"uris":["http://zotero.org/users/8777725/items/HHQWL3BX"],"itemData":{"id":154,"type":"article-journal","container-title":"Journal of Occupational and Environmental Medicine","DOI":"10.1097/JOM.0b013e318239e0ef","ISSN":"1536-5948","issue":"12","journalAbbreviation":"J Occup Environ Med","language":"eng","note":"PMID: 22157642","page":"1354-1356","source":"PubMed","title":"Work prognosis of complex regional pain syndrome type I:  multicenter retrospective study on the determinants and time to return to work","title-short":"Work prognosis of complex regional pain syndrome type I","volume":"53","author":[{"family":"Dumas","given":"Sophie"},{"family":"Pichon","given":"Bertrand"},{"family":"Dapolito","given":"Anne-Claire"},{"family":"Bensefa-Colas","given":"Lynda"},{"family":"Andujar","given":"Pascal"},{"family":"Villa","given":"Antoine"},{"family":"Descatha","given":"Alexis"}],"issued":{"date-parts":[["2011",12]]}}},{"id":727,"uris":["http://zotero.org/users/8777725/items/7UK24YDF"],"itemData":{"id":727,"type":"article-journal","abstract":"OBJECTIVE: To determine the prevalence, type of complication, predisposing factors, and treatment for severe complications in a population of reflex sympathetic dystrophy (RSD) patients. DESIGN: Retrospective analysis of the data from RSD patients collected over a 12-year period, to investigate the involvement of predisposing factors in an RSD population without severe complications compared with an RSD population with severe complications. SETTING: Outpatient clinic of a department of surgery of a university hospital. PATIENTS: A total of 1,006 patients with the diagnosis of RSD established according to prospectively defined criteria. MAIN OUTCOME MEASURES: The signs and symptoms of every RSD patient who visited the department were prospectively documented in the medical history; these data were retrospectively analyzed with special regard to RSD with severe complications-infection, ulcers, chronic edema, dystonia, and/or myoclonus-for prevalence, type of complication, and treatment. RESULTS: Seventy-four RSD patients who were mostly young and female developed severe complications. More than one complication occurred in 91% of the affected extremities. Severe complications developed more frequently in the lower extremity (65%). In patients in whom the acute RSD started with a decreased skin temperature of the affected extremity, severe complications developed significantly more often than in acute RSD patients with a warm skin temperature of the extremity from the onset of the disease (p &lt; .001). CONCLUSIONS: It is important to recognize \"cold\" RSD immediately at the onset of the disease because this group of RSD patients has a higher risk of developing a severe complication, mostly followed by a severe disability that is resistant to therapy.","archive_location":"rayyan-231267516","container-title":"Archives of physical medicine and rehabilitation","ISSN":"0003-9993 (Print)","issue":"4","journalAbbreviation":"Arch Phys Med Rehabil","language":"eng","note":"publisher-place: United States","page":"424-9","title":"Severe complications of reflex sympathetic dystrophy: infection, ulcers, chronic edema, dystonia, and myoclonus.","volume":"79","author":[{"literal":"van der Laan L"},{"literal":"Veldman PH"},{"literal":"Goris RJ"}],"issued":{"date-parts":[["1998"]]}}}],"schema":"https://github.com/citation-style-language/schema/raw/master/csl-citation.json"} </w:instrText>
      </w:r>
      <w:r w:rsidR="0084547A" w:rsidRPr="005B09A9">
        <w:rPr>
          <w:rFonts w:ascii="Times New Roman" w:eastAsia="Calibri" w:hAnsi="Times New Roman" w:cs="Times New Roman"/>
          <w:sz w:val="24"/>
          <w:szCs w:val="24"/>
        </w:rPr>
        <w:fldChar w:fldCharType="separate"/>
      </w:r>
      <w:r w:rsidR="0084547A" w:rsidRPr="005B09A9">
        <w:rPr>
          <w:rFonts w:ascii="Times New Roman" w:hAnsi="Times New Roman" w:cs="Times New Roman"/>
          <w:sz w:val="24"/>
        </w:rPr>
        <w:t>(Bickerstaff DR and Kanis JA, 1994; Dauty et al., 2001; Dumas et al., 2011; Laulan et al., 1997; RJ et al., 1990; van der Laan L et al., 1998; Veldman et al., 1993; Zyluk, 1998)</w:t>
      </w:r>
      <w:r w:rsidR="0084547A" w:rsidRPr="005B09A9">
        <w:rPr>
          <w:rFonts w:ascii="Times New Roman" w:eastAsia="Calibri" w:hAnsi="Times New Roman" w:cs="Times New Roman"/>
          <w:sz w:val="24"/>
          <w:szCs w:val="24"/>
        </w:rPr>
        <w:fldChar w:fldCharType="end"/>
      </w:r>
      <w:r w:rsidR="0084547A" w:rsidRPr="005B09A9">
        <w:rPr>
          <w:rFonts w:ascii="Times New Roman" w:eastAsia="Calibri" w:hAnsi="Times New Roman" w:cs="Times New Roman"/>
          <w:sz w:val="24"/>
          <w:szCs w:val="24"/>
        </w:rPr>
        <w:t xml:space="preserve">, or have studied mixed populations (i.e., including paediatric participants, post-stroke CRPS or persistent CRPS) </w:t>
      </w:r>
      <w:r w:rsidR="0084547A" w:rsidRPr="005B09A9">
        <w:rPr>
          <w:rFonts w:ascii="Times New Roman" w:eastAsia="Calibri" w:hAnsi="Times New Roman" w:cs="Times New Roman"/>
          <w:sz w:val="24"/>
          <w:szCs w:val="24"/>
        </w:rPr>
        <w:fldChar w:fldCharType="begin"/>
      </w:r>
      <w:r w:rsidR="0084547A" w:rsidRPr="005B09A9">
        <w:rPr>
          <w:rFonts w:ascii="Times New Roman" w:eastAsia="Calibri" w:hAnsi="Times New Roman" w:cs="Times New Roman"/>
          <w:sz w:val="24"/>
          <w:szCs w:val="24"/>
        </w:rPr>
        <w:instrText xml:space="preserve"> ADDIN ZOTERO_ITEM CSL_CITATION {"citationID":"nTUZB7pj","properties":{"formattedCitation":"(Bruehl et al., 2016; Reimer et al., 2016; RJ et al., 1990; Schwartzman et al., 2009; van der Laan L et al., 1998; Veldman et al., 1993; Zyluk, 1998)","plainCitation":"(Bruehl et al., 2016; Reimer et al., 2016; RJ et al., 1990; Schwartzman et al., 2009; van der Laan L et al., 1998; Veldman et al., 1993; Zyluk, 1998)","noteIndex":0},"citationItems":[{"id":191,"uris":["http://zotero.org/users/8777725/items/436TRXCL"],"itemData":{"id":191,"type":"article-journal","abstract":"The paper presents the results of a prospective trial to examine the natural history of early reflex sympathetic dystrophy (RSD). Thirty patients with post-traumatic RSD of the hand were observed without treatment. They were reassessed 1, 2 and 6 months after diagnosis with a final assessment at 10 to 18 months (average 13 months). Twenty-seven patients completed the study. Three were withdrawn during the study because of persistence of signs and symptoms of RSD and were given further treatment. Of the 27 patients who completed the study, only one showed sufficient features of the condition to warrant the diagnosis of mild RSD. In the remaining 26, most features of RSD had resolved spontaneously. Pain and swelling disappeared more quickly than other features of RSD. Although the signs and symptoms of RSD had largely gone at 13 months, the hands were still functionally impaired because of weaker grip strength.","container-title":"Journal of Hand Surgery (Edinburgh, Scotland)","DOI":"10.1016/s0266-7681(98)80211-8","ISSN":"0266-7681","issue":"1","journalAbbreviation":"J Hand Surg Br","language":"eng","note":"PMID: 9571473","page":"20-23","source":"PubMed","title":"The natural history of post-traumatic reflex sympathetic dystrophy","volume":"23","author":[{"family":"Zyluk","given":"A."}],"issued":{"date-parts":[["1998",2]]}}},{"id":589,"uris":["http://zotero.org/users/8777725/items/JSY8KUZ9"],"itemData":{"id":589,"type":"article-journal","abstract":"The pathogenesis of reflex sympathetic dystrophy--variously known as Sudeck's atrophy, causalgia, algodystrophy, and peripheral trophoneurosis--is not yet understood, and diagnosing and treating patients is difficult. We have prospectively studied 829 patients, paying particular attention to early signs and symptoms. In its early phase, reflex sympathetic dystrophy is characterised by regional inflammation, which increases after muscular exercise. Pain was present in 93% of patients, and hypoaesthesia and hyperpathy were present in 69% and 75% respectively. With time, tissue atrophy may occur as well as involuntary movements, muscle spasms, or pseudoparalysis. Tremor was found in 49% and muscular incoordination in 54% of patients. Sympathetic signs such as hyperhidrosis are infrequent and therefore have no diagnostic value. We found no evidence consistent with the presence of three consecutive phases of the disease. Early symptoms are those of an inflammatory reaction and not of a disturbance of the sympathetic nervous system. These data support the concept of an exaggerated regional inflammatory response to injury or operation in reflex sympathetic dystrophy.","container-title":"Lancet (London, England)","DOI":"10.1016/0140-6736(93)92877-v","ISSN":"0140-6736","issue":"8878","journalAbbreviation":"Lancet","language":"eng","note":"PMID: 8105263","page":"1012-1016","source":"PubMed","title":"Signs and symptoms of reflex sympathetic dystrophy: prospective study of 829 patients","title-short":"Signs and symptoms of reflex sympathetic dystrophy","volume":"342","author":[{"family":"Veldman","given":"P. H."},{"family":"Reynen","given":"H. M."},{"family":"Arntz","given":"I. E."},{"family":"Goris","given":"R. J."}],"issued":{"date-parts":[["1993",10,23]]}}},{"id":327,"uris":["http://zotero.org/users/8777725/items/WAHN4YK6"],"itemData":{"id":327,"type":"article-journal","abstract":"The clinical signs and symptoms in 441 patients with post-traumatic dystrophy were recorded. This form of dystrophy occurred three times as often in females as in males and twice as often in the arms as in the legs. In 5% of the patients the first symptom is a cold extremity; these patients run a greater risk of major sequelae. Exacerbation of the symptoms under influence of muscular exercise proved to be an important prognostic factor. A large proportion of the referred patients proved to have undergone a treatment aimed at elimination of the sympathetic nervous system, without success. Post-traumatic dystrophy can impede all structures and functions of the affected extremity and may result in major sequelae and disablement. The pseudoparalysis of the later phase may be mistaken for conversion.","container-title":"Nederlands tijdschrift voor geneeskunde","ISSN":"0028-2162 (Print)","issue":"44","language":"dut","note":"publisher-place: Netherlands\npublisher: Sint-Radboudziekenhuis, afd. Algemene Chirurgie, Nijmegen.","page":"2138-41","title":"[The clinical symptoms in post-traumatic dystrophy].","volume":"134","author":[{"family":"RJ","given":"Goris"},{"family":"JA","given":"Reynen"},{"family":"P","given":"Veldman"}],"issued":{"date-parts":[["1990",11]]}}},{"id":727,"uris":["http://zotero.org/users/8777725/items/7UK24YDF"],"itemData":{"id":727,"type":"article-journal","abstract":"OBJECTIVE: To determine the prevalence, type of complication, predisposing factors, and treatment for severe complications in a population of reflex sympathetic dystrophy (RSD) patients. DESIGN: Retrospective analysis of the data from RSD patients collected over a 12-year period, to investigate the involvement of predisposing factors in an RSD population without severe complications compared with an RSD population with severe complications. SETTING: Outpatient clinic of a department of surgery of a university hospital. PATIENTS: A total of 1,006 patients with the diagnosis of RSD established according to prospectively defined criteria. MAIN OUTCOME MEASURES: The signs and symptoms of every RSD patient who visited the department were prospectively documented in the medical history; these data were retrospectively analyzed with special regard to RSD with severe complications-infection, ulcers, chronic edema, dystonia, and/or myoclonus-for prevalence, type of complication, and treatment. RESULTS: Seventy-four RSD patients who were mostly young and female developed severe complications. More than one complication occurred in 91% of the affected extremities. Severe complications developed more frequently in the lower extremity (65%). In patients in whom the acute RSD started with a decreased skin temperature of the affected extremity, severe complications developed significantly more often than in acute RSD patients with a warm skin temperature of the extremity from the onset of the disease (p &lt; .001). CONCLUSIONS: It is important to recognize \"cold\" RSD immediately at the onset of the disease because this group of RSD patients has a higher risk of developing a severe complication, mostly followed by a severe disability that is resistant to therapy.","archive_location":"rayyan-231267516","container-title":"Archives of physical medicine and rehabilitation","ISSN":"0003-9993 (Print)","issue":"4","journalAbbreviation":"Arch Phys Med Rehabil","language":"eng","note":"publisher-place: United States","page":"424-9","title":"Severe complications of reflex sympathetic dystrophy: infection, ulcers, chronic edema, dystonia, and myoclonus.","volume":"79","author":[{"literal":"van der Laan L"},{"literal":"Veldman PH"},{"literal":"Goris RJ"}],"issued":{"date-parts":[["1998"]]}}},{"id":776,"uris":["http://zotero.org/users/8777725/items/THRET52N"],"itemData":{"id":776,"type":"article-journal","abstract":"Limited research suggests that there may be Warm complex regional pain syndrome (CRPS) and Cold CRPS subtypes, with inflammatory mechanisms contributing most strongly to the former. This study for the first time used an unbiased statistical pattern recognition technique to evaluate whether distinct Warm vs Cold CRPS subtypes can be discerned in the clinical population. An international, multisite study was conducted using standardized procedures to evaluate signs and symptoms in 152 patients with clinical CRPS at baseline, with 3-month follow-up evaluations in 112 of these patients. Two-step cluster analysis using automated cluster selection identified a 2-cluster solution as optimal. Results revealed a Warm CRPS patient cluster characterized by a warm, red, edematous, and sweaty extremity and a Cold CRPS patient cluster characterized by a cold, blue, and less edematous extremity. Median pain duration was significantly (P &lt; 0.001) shorter in the Warm CRPS (4.7 months) than in the Cold CRPS subtype (20 months), with pain intensity comparable. A derived total inflammatory score was significantly (P &lt; 0.001) elevated in the Warm CRPS group (compared with Cold CRPS) at baseline but diminished significantly (P &lt; 0.001) over the follow-up period, whereas this score did not diminish in the Cold CRPS group (time × subtype interaction: P &lt; 0.001). Results support the existence of a Warm CRPS subtype common in patients with acute (&lt;6 months) CRPS and a relatively distinct Cold CRPS subtype most common in chronic CRPS. The pattern of clinical features suggests that inflammatory mechanisms contribute most prominently to the Warm CRPS subtype but that these mechanisms diminish substantially during the first year postinjury.","container-title":"PAIN","DOI":"10.1097/j.pain.0000000000000569","ISSN":"0304-3959","issue":"8","language":"en-US","page":"1674–1681","source":"journals.lww.com","title":"Complex regional pain syndrome: evidence for warm and cold subtypes in a large prospective clinical sample","title-short":"Complex regional pain syndrome","volume":"157","author":[{"family":"Bruehl","given":"Stephen"},{"family":"Maihöfner","given":"Christian"},{"family":"Stanton-Hicks","given":"Michael"},{"family":"Perez","given":"Roberto S. G. M."},{"family":"Vatine","given":"Jean-Jacques"},{"family":"Brunner","given":"Florian"},{"family":"Birklein","given":"Frank"},{"family":"Schlereth","given":"Tanja"},{"family":"Mackey","given":"Sean"},{"family":"Mailis-Gagnon","given":"Angela"},{"family":"Livshitz","given":"Anatoly"},{"family":"Harden","given":"R. Norman"}],"issued":{"date-parts":[["2016",8]]}}},{"id":1167,"uris":["http://zotero.org/users/8777725/items/653GVEG5"],"itemData":{"id":1167,"type":"article-journal","abstract":"BACKGROUND: Complex regional pain syndrome type I (CRPS-I) is characterized by sensory, motor and autonomic abnormalities without electrophysiological evidence of a nerve lesion.\nOBJECTIVE: Aims were to investigate how sensory, autonomic and motor function change in the course of the disease.\nMETHODS: 19 CRPS-I patients (17 with acute, 2 with chronic CRPS, mean duration of disease 5.7±8.3, range 1-33 months) were examined with questionnaires (LANSS, NPS, MPI, Quick DASH, multiple choice list of descriptors for sensory, motor, autonomic symptoms), motor and autonomic tests as well as quantitative sensory testing according to the German Research Network on Neuropathic Pain at two visits (baseline and 36±10.6, range 16-53 months later).\nRESULTS: CRPS-I patients had an improvement of sudomotor and vasomotor function, but still a great impairment of sensory and motor function upon follow-up. Although pain and mechanical detection improved upon follow-up, thermal and mechanical pain sensitivity increased, including the contralateral side. Increase in mechanical pain sensitivity and loss of mechanical detection were associated with presence of ongoing pain.\nCONCLUSIONS: The results demonstrate that patients with CRPS-I show a sensitization of the nociceptive system in the course of the disease, for which ongoing pain seems to be the most important trigger. They further suggest that measured loss of function in CRPS-I is due to pain-induced hypoesthesia rather than a minimal nerve lesion. In conclusion, this article gives evidence for a pronociceptive pain modulation profile developing in the course of CRPS and thus helps to assess underlying mechanisms of CRPS that contribute to the maintenance of patients' pain and disability.","container-title":"PloS One","DOI":"10.1371/journal.pone.0154553","ISSN":"1932-6203","issue":"5","journalAbbreviation":"PLoS One","language":"eng","note":"PMID: 27149519\nPMCID: PMC4858201","page":"e0154553","source":"PubMed","title":"Sensitization of the Nociceptive System in Complex Regional Pain Syndrome","volume":"11","author":[{"family":"Reimer","given":"Maren"},{"family":"Rempe","given":"Torge"},{"family":"Diedrichs","given":"Carolina"},{"family":"Baron","given":"Ralf"},{"family":"Gierthmühlen","given":"Janne"}],"issued":{"date-parts":[["2016"]]}}},{"id":1194,"uris":["http://zotero.org/users/8777725/items/QHYJ5R8I"],"itemData":{"id":1194,"type":"article-journal","abstract":"OBJECTIVE: Complex regional pain syndrome (CRPS) is a severe chronic pain condition characterized by sensory, autonomic, motor, and dystrophic signs and symptoms. This study was undertaken to expand our current knowledge of the evolution of CRPS signs and symptoms with duration of disease.\nMETHOD: This was a retrospective, cross-sectional analysis using data extracted from a patient questionnaire to evaluate the clinical characteristics of CRPS at different time points of disease progression. Data from the questionnaire included pain characteristics and associated symptoms. It also included autonomic, motor, and dystrophic symptoms and also initiating events, ameliorating and aggravating factors, quality of life, work s</w:instrText>
      </w:r>
      <w:r w:rsidR="0084547A" w:rsidRPr="005B09A9">
        <w:rPr>
          <w:rFonts w:ascii="Times New Roman" w:eastAsia="Calibri" w:hAnsi="Times New Roman" w:cs="Times New Roman"/>
          <w:sz w:val="24"/>
          <w:szCs w:val="24"/>
          <w:lang w:val="fr-BE"/>
        </w:rPr>
        <w:instrText xml:space="preserve">tatus, comorbid conditions, pattern of pain spread, family history, and demographics. Comparisons were made of different parameters as they varied with disease duration.\nRESULTS: A total of 656 patients with CRPS of at least 1-year duration were evaluated. The average age of all participants was 37.5 years, with disease duration varying from 1 to 46 years. The majority of participants were white (96%). A total of 80.3% were females. None of the patients in this study demonstrated spontaneous remission of their symptoms. The pain in these patients was refractory showing only modest improvement with most current therapies.\nDISCUSSION: This study shows that although CRPS is a progressive disease, after 1 year, the majority of the signs and symptoms were well developed and although many variables worsen over the course of the illness, the majority demonstrated only moderate increases with disease duration.","container-title":"The Clinical Journal of Pain","DOI":"10.1097/AJP.0b013e31818ecea5","ISSN":"1536-5409","issue":"4","journalAbbreviation":"Clin J Pain","language":"eng","note":"PMID: 19590474","page":"273-280","source":"PubMed","title":"The natural history of complex regional pain syndrome","volume":"25","author":[{"family":"Schwartzman","given":"Robert J."},{"family":"Erwin","given":"Kirsten L."},{"family":"Alexander","given":"Guillermo M."}],"issued":{"date-parts":[["2009",5]]}}}],"schema":"https://github.com/citation-style-language/schema/raw/master/csl-citation.json"} </w:instrText>
      </w:r>
      <w:r w:rsidR="0084547A" w:rsidRPr="005B09A9">
        <w:rPr>
          <w:rFonts w:ascii="Times New Roman" w:eastAsia="Calibri" w:hAnsi="Times New Roman" w:cs="Times New Roman"/>
          <w:sz w:val="24"/>
          <w:szCs w:val="24"/>
        </w:rPr>
        <w:fldChar w:fldCharType="separate"/>
      </w:r>
      <w:r w:rsidR="0084547A" w:rsidRPr="005B09A9">
        <w:rPr>
          <w:rFonts w:ascii="Times New Roman" w:hAnsi="Times New Roman" w:cs="Times New Roman"/>
          <w:sz w:val="24"/>
          <w:lang w:val="fr-BE"/>
        </w:rPr>
        <w:t>(Bruehl et al., 2016; Reimer et al., 2016; RJ et al., 1990; Schwartzman et al., 2009; van der Laan L et al., 1998; Veldman et al., 1993; Zyluk, 1998)</w:t>
      </w:r>
      <w:r w:rsidR="0084547A" w:rsidRPr="005B09A9">
        <w:rPr>
          <w:rFonts w:ascii="Times New Roman" w:eastAsia="Calibri" w:hAnsi="Times New Roman" w:cs="Times New Roman"/>
          <w:sz w:val="24"/>
          <w:szCs w:val="24"/>
        </w:rPr>
        <w:fldChar w:fldCharType="end"/>
      </w:r>
      <w:r w:rsidR="0084547A" w:rsidRPr="005B09A9">
        <w:rPr>
          <w:rFonts w:ascii="Times New Roman" w:eastAsia="Calibri" w:hAnsi="Times New Roman" w:cs="Times New Roman"/>
          <w:sz w:val="24"/>
          <w:szCs w:val="24"/>
          <w:lang w:val="fr-BE"/>
        </w:rPr>
        <w:t xml:space="preserve">. </w:t>
      </w:r>
    </w:p>
    <w:p w14:paraId="3DCB405C" w14:textId="658787F2" w:rsidR="00836351" w:rsidRPr="005B09A9" w:rsidRDefault="00BE77B6" w:rsidP="00DD79D8">
      <w:pPr>
        <w:pStyle w:val="Paragraphedeliste"/>
        <w:numPr>
          <w:ilvl w:val="1"/>
          <w:numId w:val="18"/>
        </w:numPr>
        <w:spacing w:line="480" w:lineRule="auto"/>
        <w:rPr>
          <w:rFonts w:ascii="Times New Roman" w:hAnsi="Times New Roman" w:cs="Times New Roman"/>
          <w:b/>
          <w:szCs w:val="24"/>
        </w:rPr>
      </w:pPr>
      <w:r w:rsidRPr="005B09A9">
        <w:rPr>
          <w:rStyle w:val="Accentuationlgre"/>
          <w:rFonts w:ascii="Times New Roman" w:hAnsi="Times New Roman"/>
          <w:b w:val="0"/>
          <w:sz w:val="24"/>
          <w:lang w:val="en-GB"/>
        </w:rPr>
        <w:lastRenderedPageBreak/>
        <w:t>Conclusion</w:t>
      </w:r>
      <w:r w:rsidR="006E7124" w:rsidRPr="005B09A9">
        <w:rPr>
          <w:rStyle w:val="Accentuationlgre"/>
          <w:rFonts w:ascii="Times New Roman" w:hAnsi="Times New Roman"/>
          <w:b w:val="0"/>
          <w:sz w:val="24"/>
          <w:lang w:val="en-GB"/>
        </w:rPr>
        <w:t>s</w:t>
      </w:r>
    </w:p>
    <w:p w14:paraId="6CD8A6B3" w14:textId="1C83E3F5" w:rsidR="00CD4CFE" w:rsidRPr="005B09A9" w:rsidRDefault="00CD4CFE" w:rsidP="00CD4CFE">
      <w:pPr>
        <w:spacing w:line="480" w:lineRule="auto"/>
        <w:rPr>
          <w:rFonts w:ascii="Times New Roman" w:hAnsi="Times New Roman" w:cs="Times New Roman"/>
          <w:sz w:val="24"/>
          <w:szCs w:val="24"/>
          <w:lang w:val="en-US"/>
        </w:rPr>
      </w:pPr>
      <w:r w:rsidRPr="005B09A9">
        <w:rPr>
          <w:rFonts w:ascii="Times New Roman" w:hAnsi="Times New Roman" w:cs="Times New Roman"/>
          <w:sz w:val="24"/>
          <w:szCs w:val="24"/>
          <w:lang w:val="en-US"/>
        </w:rPr>
        <w:t xml:space="preserve">We found </w:t>
      </w:r>
      <w:r w:rsidRPr="005B09A9">
        <w:rPr>
          <w:rFonts w:ascii="Times New Roman" w:hAnsi="Times New Roman" w:cs="Times New Roman"/>
          <w:iCs/>
          <w:sz w:val="24"/>
          <w:szCs w:val="24"/>
          <w:lang w:val="en-US"/>
        </w:rPr>
        <w:t xml:space="preserve">moderate evidence to support six early factors associated with poorer prognosis in type I CRPS. Higher </w:t>
      </w:r>
      <w:r w:rsidRPr="005B09A9">
        <w:rPr>
          <w:rFonts w:ascii="Times New Roman" w:hAnsi="Times New Roman" w:cs="Times New Roman"/>
          <w:i/>
          <w:iCs/>
          <w:sz w:val="24"/>
          <w:szCs w:val="24"/>
          <w:lang w:val="en-US"/>
        </w:rPr>
        <w:t>pain intensity</w:t>
      </w:r>
      <w:r w:rsidRPr="005B09A9">
        <w:rPr>
          <w:rFonts w:ascii="Times New Roman" w:hAnsi="Times New Roman" w:cs="Times New Roman"/>
          <w:iCs/>
          <w:sz w:val="24"/>
          <w:szCs w:val="24"/>
          <w:lang w:val="en-US"/>
        </w:rPr>
        <w:t xml:space="preserve">, </w:t>
      </w:r>
      <w:r w:rsidRPr="005B09A9">
        <w:rPr>
          <w:rFonts w:ascii="Times New Roman" w:hAnsi="Times New Roman" w:cs="Times New Roman"/>
          <w:i/>
          <w:iCs/>
          <w:sz w:val="24"/>
          <w:szCs w:val="24"/>
          <w:lang w:val="en-US"/>
        </w:rPr>
        <w:t>self-rated disability</w:t>
      </w:r>
      <w:r w:rsidRPr="005B09A9">
        <w:rPr>
          <w:rFonts w:ascii="Times New Roman" w:hAnsi="Times New Roman" w:cs="Times New Roman"/>
          <w:iCs/>
          <w:sz w:val="24"/>
          <w:szCs w:val="24"/>
          <w:lang w:val="en-US"/>
        </w:rPr>
        <w:t xml:space="preserve">, </w:t>
      </w:r>
      <w:r w:rsidRPr="005B09A9">
        <w:rPr>
          <w:rFonts w:ascii="Times New Roman" w:hAnsi="Times New Roman" w:cs="Times New Roman"/>
          <w:i/>
          <w:iCs/>
          <w:sz w:val="24"/>
          <w:szCs w:val="24"/>
          <w:lang w:val="en-US"/>
        </w:rPr>
        <w:t>anxiety</w:t>
      </w:r>
      <w:r w:rsidRPr="005B09A9">
        <w:rPr>
          <w:rFonts w:ascii="Times New Roman" w:hAnsi="Times New Roman" w:cs="Times New Roman"/>
          <w:iCs/>
          <w:sz w:val="24"/>
          <w:szCs w:val="24"/>
          <w:lang w:val="en-US"/>
        </w:rPr>
        <w:t xml:space="preserve">, </w:t>
      </w:r>
      <w:r w:rsidRPr="005B09A9">
        <w:rPr>
          <w:rFonts w:ascii="Times New Roman" w:hAnsi="Times New Roman" w:cs="Times New Roman"/>
          <w:i/>
          <w:iCs/>
          <w:sz w:val="24"/>
          <w:szCs w:val="24"/>
          <w:lang w:val="en-US"/>
        </w:rPr>
        <w:t>pain-related fear</w:t>
      </w:r>
      <w:r w:rsidRPr="005B09A9">
        <w:rPr>
          <w:rFonts w:ascii="Times New Roman" w:hAnsi="Times New Roman" w:cs="Times New Roman"/>
          <w:iCs/>
          <w:sz w:val="24"/>
          <w:szCs w:val="24"/>
          <w:lang w:val="en-US"/>
        </w:rPr>
        <w:t xml:space="preserve">, </w:t>
      </w:r>
      <w:r w:rsidRPr="005B09A9">
        <w:rPr>
          <w:rFonts w:ascii="Times New Roman" w:hAnsi="Times New Roman" w:cs="Times New Roman"/>
          <w:i/>
          <w:iCs/>
          <w:sz w:val="24"/>
          <w:szCs w:val="24"/>
          <w:lang w:val="en-US"/>
        </w:rPr>
        <w:t>being a female</w:t>
      </w:r>
      <w:r w:rsidRPr="005B09A9">
        <w:rPr>
          <w:rFonts w:ascii="Times New Roman" w:hAnsi="Times New Roman" w:cs="Times New Roman"/>
          <w:iCs/>
          <w:sz w:val="24"/>
          <w:szCs w:val="24"/>
          <w:lang w:val="en-US"/>
        </w:rPr>
        <w:t xml:space="preserve">, and </w:t>
      </w:r>
      <w:r w:rsidRPr="005B09A9">
        <w:rPr>
          <w:rFonts w:ascii="Times New Roman" w:hAnsi="Times New Roman" w:cs="Times New Roman"/>
          <w:i/>
          <w:iCs/>
          <w:sz w:val="24"/>
          <w:szCs w:val="24"/>
          <w:lang w:val="en-US"/>
        </w:rPr>
        <w:t>high-energy trauma</w:t>
      </w:r>
      <w:r w:rsidRPr="005B09A9">
        <w:rPr>
          <w:rFonts w:ascii="Times New Roman" w:hAnsi="Times New Roman" w:cs="Times New Roman"/>
          <w:iCs/>
          <w:sz w:val="24"/>
          <w:szCs w:val="24"/>
          <w:lang w:val="en-US"/>
        </w:rPr>
        <w:t xml:space="preserve"> negatively affected </w:t>
      </w:r>
      <w:r w:rsidRPr="005B09A9">
        <w:rPr>
          <w:rFonts w:ascii="Times New Roman" w:eastAsia="Times New Roman" w:hAnsi="Times New Roman" w:cs="Times New Roman"/>
          <w:sz w:val="24"/>
          <w:szCs w:val="24"/>
          <w:lang w:val="en-US" w:eastAsia="fr-BE"/>
        </w:rPr>
        <w:t xml:space="preserve">return to work (N = 3), CRPS status (N = 3), disability (N = 2) or pain (N = 1).  </w:t>
      </w:r>
    </w:p>
    <w:p w14:paraId="4E80159D" w14:textId="1CA1EAA9" w:rsidR="00CD4CFE" w:rsidRPr="005B09A9" w:rsidRDefault="00CD4CFE" w:rsidP="00CD4CFE">
      <w:pPr>
        <w:spacing w:line="480" w:lineRule="auto"/>
        <w:rPr>
          <w:rFonts w:ascii="Times New Roman" w:hAnsi="Times New Roman" w:cs="Times New Roman"/>
          <w:sz w:val="24"/>
          <w:szCs w:val="24"/>
          <w:lang w:val="en-US"/>
        </w:rPr>
      </w:pPr>
      <w:bookmarkStart w:id="2" w:name="_Hlk102373992"/>
      <w:r w:rsidRPr="005B09A9">
        <w:rPr>
          <w:rFonts w:ascii="Times New Roman" w:hAnsi="Times New Roman" w:cs="Times New Roman"/>
          <w:sz w:val="24"/>
          <w:szCs w:val="24"/>
          <w:lang w:val="en-US"/>
        </w:rPr>
        <w:t xml:space="preserve">The literature is </w:t>
      </w:r>
      <w:r w:rsidR="00DA2F7C" w:rsidRPr="005B09A9">
        <w:rPr>
          <w:rFonts w:ascii="Times New Roman" w:hAnsi="Times New Roman" w:cs="Times New Roman"/>
          <w:sz w:val="24"/>
          <w:szCs w:val="24"/>
          <w:lang w:val="en-US"/>
        </w:rPr>
        <w:t>sparse</w:t>
      </w:r>
      <w:r w:rsidRPr="005B09A9">
        <w:rPr>
          <w:rFonts w:ascii="Times New Roman" w:hAnsi="Times New Roman" w:cs="Times New Roman"/>
          <w:sz w:val="24"/>
          <w:szCs w:val="24"/>
          <w:lang w:val="en-US"/>
        </w:rPr>
        <w:t xml:space="preserve"> on early prognostic factors in CRPS. There is a crucial need for larger cohorts, with well-defined populations using validated measures.</w:t>
      </w:r>
    </w:p>
    <w:bookmarkEnd w:id="2"/>
    <w:p w14:paraId="22CA1A27" w14:textId="77777777" w:rsidR="00CD4CFE" w:rsidRPr="005B09A9" w:rsidRDefault="00CD4CFE" w:rsidP="00CD4CFE">
      <w:pPr>
        <w:spacing w:line="480" w:lineRule="auto"/>
        <w:rPr>
          <w:rFonts w:ascii="Times New Roman" w:hAnsi="Times New Roman" w:cs="Times New Roman"/>
          <w:sz w:val="24"/>
          <w:szCs w:val="24"/>
          <w:lang w:val="en-US"/>
        </w:rPr>
      </w:pPr>
      <w:r w:rsidRPr="005B09A9">
        <w:rPr>
          <w:rFonts w:ascii="Times New Roman" w:hAnsi="Times New Roman" w:cs="Times New Roman"/>
          <w:sz w:val="24"/>
          <w:szCs w:val="24"/>
          <w:lang w:val="en-US"/>
        </w:rPr>
        <w:t xml:space="preserve">Regarding clinical implications, </w:t>
      </w:r>
      <w:r w:rsidRPr="005B09A9">
        <w:rPr>
          <w:rFonts w:ascii="Times New Roman" w:hAnsi="Times New Roman" w:cs="Times New Roman"/>
          <w:i/>
          <w:sz w:val="24"/>
          <w:szCs w:val="24"/>
          <w:lang w:val="en-US"/>
        </w:rPr>
        <w:t>psychological factors</w:t>
      </w:r>
      <w:r w:rsidRPr="005B09A9">
        <w:rPr>
          <w:rFonts w:ascii="Times New Roman" w:hAnsi="Times New Roman" w:cs="Times New Roman"/>
          <w:sz w:val="24"/>
          <w:szCs w:val="24"/>
          <w:lang w:val="en-US"/>
        </w:rPr>
        <w:t xml:space="preserve"> are the most promising variables. They could be assessed at an early stage and, if necessary, an appropriate treatment could be provided to potentially modify the course of the condition.</w:t>
      </w:r>
    </w:p>
    <w:p w14:paraId="7FB71A19" w14:textId="77777777" w:rsidR="00B7381A" w:rsidRPr="005B09A9" w:rsidRDefault="00B7381A">
      <w:pPr>
        <w:spacing w:line="259" w:lineRule="auto"/>
        <w:jc w:val="left"/>
        <w:rPr>
          <w:rFonts w:ascii="Times New Roman" w:eastAsiaTheme="majorEastAsia" w:hAnsi="Times New Roman" w:cs="Times New Roman"/>
          <w:spacing w:val="-10"/>
          <w:kern w:val="28"/>
          <w:sz w:val="32"/>
          <w:szCs w:val="56"/>
          <w:u w:val="single"/>
        </w:rPr>
      </w:pPr>
      <w:r w:rsidRPr="005B09A9">
        <w:rPr>
          <w:rFonts w:eastAsiaTheme="majorEastAsia"/>
          <w:spacing w:val="-10"/>
          <w:kern w:val="28"/>
          <w:sz w:val="32"/>
          <w:szCs w:val="56"/>
          <w:u w:val="single"/>
        </w:rPr>
        <w:br w:type="page"/>
      </w:r>
    </w:p>
    <w:p w14:paraId="75C42FF8" w14:textId="0B2AB038" w:rsidR="003B7B2C" w:rsidRPr="005B09A9" w:rsidRDefault="003B7B2C" w:rsidP="003B7B2C">
      <w:pPr>
        <w:pStyle w:val="NormalWeb"/>
        <w:spacing w:line="480" w:lineRule="auto"/>
        <w:jc w:val="both"/>
        <w:rPr>
          <w:bCs/>
          <w:lang w:val="en-US"/>
        </w:rPr>
      </w:pPr>
      <w:r w:rsidRPr="005B09A9">
        <w:rPr>
          <w:rFonts w:eastAsiaTheme="majorEastAsia"/>
          <w:spacing w:val="-10"/>
          <w:kern w:val="28"/>
          <w:sz w:val="32"/>
          <w:szCs w:val="56"/>
          <w:u w:val="single"/>
          <w:lang w:val="en-GB" w:eastAsia="en-US"/>
        </w:rPr>
        <w:lastRenderedPageBreak/>
        <w:t>Acknowledgement</w:t>
      </w:r>
      <w:r w:rsidRPr="005B09A9">
        <w:rPr>
          <w:bCs/>
          <w:lang w:val="en-US"/>
        </w:rPr>
        <w:t xml:space="preserve"> </w:t>
      </w:r>
    </w:p>
    <w:p w14:paraId="1DF50BD5" w14:textId="3A19404A" w:rsidR="003B7B2C" w:rsidRPr="005B09A9" w:rsidRDefault="003B7B2C" w:rsidP="003B7B2C">
      <w:pPr>
        <w:pStyle w:val="NormalWeb"/>
        <w:spacing w:line="480" w:lineRule="auto"/>
        <w:jc w:val="both"/>
        <w:rPr>
          <w:bCs/>
          <w:lang w:val="en-US"/>
        </w:rPr>
      </w:pPr>
      <w:r w:rsidRPr="005B09A9">
        <w:rPr>
          <w:lang w:val="en-US"/>
        </w:rPr>
        <w:t>The authors thank Arnaud Steyaert (Cliniques Universitaires UCL Saint-Luc) for his critical review of the manuscript.</w:t>
      </w:r>
      <w:r w:rsidRPr="005B09A9">
        <w:rPr>
          <w:bCs/>
          <w:lang w:val="en-US"/>
        </w:rPr>
        <w:t xml:space="preserve"> </w:t>
      </w:r>
      <w:r w:rsidRPr="005B09A9">
        <w:rPr>
          <w:lang w:val="en-US"/>
        </w:rPr>
        <w:t>The authors thank Marie Longton (UCLouvain) for her methodological assistance.</w:t>
      </w:r>
    </w:p>
    <w:p w14:paraId="6CF68C30" w14:textId="77777777" w:rsidR="00053832" w:rsidRPr="005B09A9" w:rsidRDefault="00053832" w:rsidP="00053832">
      <w:pPr>
        <w:pStyle w:val="Titre"/>
        <w:spacing w:line="480" w:lineRule="auto"/>
        <w:jc w:val="left"/>
        <w:rPr>
          <w:rFonts w:ascii="Times New Roman" w:hAnsi="Times New Roman" w:cs="Times New Roman"/>
          <w:b w:val="0"/>
        </w:rPr>
      </w:pPr>
      <w:r w:rsidRPr="005B09A9">
        <w:rPr>
          <w:rFonts w:ascii="Times New Roman" w:hAnsi="Times New Roman" w:cs="Times New Roman"/>
          <w:b w:val="0"/>
        </w:rPr>
        <w:t>Author Contributions</w:t>
      </w:r>
    </w:p>
    <w:p w14:paraId="496D0D1D" w14:textId="77777777" w:rsidR="00053832" w:rsidRPr="005B09A9" w:rsidRDefault="00053832" w:rsidP="00053832">
      <w:pPr>
        <w:pStyle w:val="NormalWeb"/>
        <w:spacing w:line="480" w:lineRule="auto"/>
        <w:jc w:val="both"/>
        <w:rPr>
          <w:sz w:val="22"/>
          <w:szCs w:val="22"/>
          <w:lang w:val="en-US"/>
        </w:rPr>
      </w:pPr>
      <w:r w:rsidRPr="005B09A9">
        <w:rPr>
          <w:lang w:val="en-US"/>
        </w:rPr>
        <w:t>MHL, CM and AB participated in protocol design, data extraction, data analyses and manuscript preparation. VL participated in data analyses and manuscript preparation. All authors have read and approved the final manuscript.</w:t>
      </w:r>
    </w:p>
    <w:p w14:paraId="59DD39A2" w14:textId="77777777" w:rsidR="003B7B2C" w:rsidRPr="005B09A9" w:rsidRDefault="003B7B2C">
      <w:pPr>
        <w:spacing w:line="259" w:lineRule="auto"/>
        <w:jc w:val="left"/>
        <w:rPr>
          <w:rFonts w:ascii="Times New Roman" w:eastAsiaTheme="majorEastAsia" w:hAnsi="Times New Roman" w:cs="Times New Roman"/>
          <w:spacing w:val="-10"/>
          <w:kern w:val="28"/>
          <w:sz w:val="32"/>
          <w:szCs w:val="56"/>
          <w:u w:val="single"/>
          <w:lang w:val="en-US"/>
        </w:rPr>
      </w:pPr>
      <w:r w:rsidRPr="005B09A9">
        <w:rPr>
          <w:rFonts w:ascii="Times New Roman" w:hAnsi="Times New Roman" w:cs="Times New Roman"/>
          <w:lang w:val="en-US"/>
        </w:rPr>
        <w:br w:type="page"/>
      </w:r>
    </w:p>
    <w:p w14:paraId="6CC7AE9C" w14:textId="4046093D" w:rsidR="0042551A" w:rsidRPr="005B09A9" w:rsidRDefault="00097849" w:rsidP="003B7B2C">
      <w:pPr>
        <w:pStyle w:val="Titre"/>
        <w:spacing w:line="480" w:lineRule="auto"/>
        <w:jc w:val="both"/>
        <w:rPr>
          <w:rFonts w:ascii="Times New Roman" w:hAnsi="Times New Roman" w:cs="Times New Roman"/>
          <w:b w:val="0"/>
        </w:rPr>
      </w:pPr>
      <w:r w:rsidRPr="005B09A9">
        <w:rPr>
          <w:rFonts w:ascii="Times New Roman" w:hAnsi="Times New Roman" w:cs="Times New Roman"/>
          <w:b w:val="0"/>
        </w:rPr>
        <w:lastRenderedPageBreak/>
        <w:t>Reference</w:t>
      </w:r>
      <w:r w:rsidR="007E388A" w:rsidRPr="005B09A9">
        <w:rPr>
          <w:rFonts w:ascii="Times New Roman" w:hAnsi="Times New Roman" w:cs="Times New Roman"/>
          <w:b w:val="0"/>
        </w:rPr>
        <w:t>s</w:t>
      </w:r>
    </w:p>
    <w:p w14:paraId="794015CE" w14:textId="77777777" w:rsidR="0041365F" w:rsidRPr="005B09A9" w:rsidRDefault="00990A5E" w:rsidP="0041365F">
      <w:pPr>
        <w:pStyle w:val="Bibliographie"/>
      </w:pPr>
      <w:r w:rsidRPr="005B09A9">
        <w:fldChar w:fldCharType="begin"/>
      </w:r>
      <w:r w:rsidR="0041365F" w:rsidRPr="005B09A9">
        <w:instrText xml:space="preserve"> ADDIN ZOTERO_BIBL {"uncited":[],"omitted":[],"custom":[]} CSL_BIBLIOGRAPHY </w:instrText>
      </w:r>
      <w:r w:rsidRPr="005B09A9">
        <w:fldChar w:fldCharType="separate"/>
      </w:r>
      <w:r w:rsidR="0041365F" w:rsidRPr="005B09A9">
        <w:t xml:space="preserve">Altman, D.G. (2001). Systematic reviews of evaluations of prognostic variables. </w:t>
      </w:r>
      <w:r w:rsidR="0041365F" w:rsidRPr="005B09A9">
        <w:rPr>
          <w:i/>
          <w:iCs/>
        </w:rPr>
        <w:t>BMJ</w:t>
      </w:r>
      <w:r w:rsidR="0041365F" w:rsidRPr="005B09A9">
        <w:t xml:space="preserve"> 323, 224–228.</w:t>
      </w:r>
    </w:p>
    <w:p w14:paraId="2A91867C" w14:textId="77777777" w:rsidR="0041365F" w:rsidRPr="005B09A9" w:rsidRDefault="0041365F" w:rsidP="0041365F">
      <w:pPr>
        <w:pStyle w:val="Bibliographie"/>
      </w:pPr>
      <w:r w:rsidRPr="005B09A9">
        <w:t xml:space="preserve">Baronio, M., Sadia, H., Paolacci, S., Prestamburgo, D., Miotti, D., Guardamagna, V.A., Natalini, G., Sullivan, S.G.B., Bertelli, M. (2020). Molecular Aspects of Regional Pain Syndrome. </w:t>
      </w:r>
      <w:r w:rsidRPr="005B09A9">
        <w:rPr>
          <w:i/>
          <w:iCs/>
        </w:rPr>
        <w:t>Pain Res Manag</w:t>
      </w:r>
      <w:r w:rsidRPr="005B09A9">
        <w:t xml:space="preserve"> 2020, 7697214.</w:t>
      </w:r>
    </w:p>
    <w:p w14:paraId="2BE10642" w14:textId="77777777" w:rsidR="0041365F" w:rsidRPr="005B09A9" w:rsidRDefault="0041365F" w:rsidP="0041365F">
      <w:pPr>
        <w:pStyle w:val="Bibliographie"/>
      </w:pPr>
      <w:r w:rsidRPr="005B09A9">
        <w:t xml:space="preserve">Bean, D.J., Johnson, M.H., Heiss-Dunlop, W., Kydd, R.R. (2016a). Extent of recovery in the first 12 months of complex regional pain syndrome type-1: A prospective study. </w:t>
      </w:r>
      <w:r w:rsidRPr="005B09A9">
        <w:rPr>
          <w:i/>
          <w:iCs/>
        </w:rPr>
        <w:t>Eur J Pain</w:t>
      </w:r>
      <w:r w:rsidRPr="005B09A9">
        <w:t xml:space="preserve"> 20, 884–894.</w:t>
      </w:r>
    </w:p>
    <w:p w14:paraId="72B9E931" w14:textId="77777777" w:rsidR="0041365F" w:rsidRPr="005B09A9" w:rsidRDefault="0041365F" w:rsidP="0041365F">
      <w:pPr>
        <w:pStyle w:val="Bibliographie"/>
      </w:pPr>
      <w:r w:rsidRPr="005B09A9">
        <w:t xml:space="preserve">Bean, D.J., Johnson, M.H., Heiss-Dunlop, W., Kydd, R.R. (2016b). Factors Associated With Disability and Sick Leave in Early Complex Regional Pain Syndrome Type-1. </w:t>
      </w:r>
      <w:r w:rsidRPr="005B09A9">
        <w:rPr>
          <w:i/>
          <w:iCs/>
        </w:rPr>
        <w:t>Clin J Pain</w:t>
      </w:r>
      <w:r w:rsidRPr="005B09A9">
        <w:t xml:space="preserve"> 32, 130–138.</w:t>
      </w:r>
    </w:p>
    <w:p w14:paraId="6133E71F" w14:textId="77777777" w:rsidR="0041365F" w:rsidRPr="005B09A9" w:rsidRDefault="0041365F" w:rsidP="0041365F">
      <w:pPr>
        <w:pStyle w:val="Bibliographie"/>
      </w:pPr>
      <w:r w:rsidRPr="005B09A9">
        <w:t xml:space="preserve">Bean, D.J., Johnson, M.H., Heiss-Dunlop, W., Lee, A.C., Kydd, R.R. (2015). Do psychological factors influence recovery from complex regional pain syndrome type 1? A prospective study. </w:t>
      </w:r>
      <w:r w:rsidRPr="005B09A9">
        <w:rPr>
          <w:i/>
          <w:iCs/>
        </w:rPr>
        <w:t>Pain</w:t>
      </w:r>
      <w:r w:rsidRPr="005B09A9">
        <w:t xml:space="preserve"> 156, 2310–2318.</w:t>
      </w:r>
    </w:p>
    <w:p w14:paraId="1F3686E0" w14:textId="77777777" w:rsidR="0041365F" w:rsidRPr="005B09A9" w:rsidRDefault="0041365F" w:rsidP="0041365F">
      <w:pPr>
        <w:pStyle w:val="Bibliographie"/>
      </w:pPr>
      <w:r w:rsidRPr="005B09A9">
        <w:t xml:space="preserve">Bean, D.J., Johnson, M.H., Kydd, R.R. (2014a). The outcome of complex regional pain syndrome type 1: a systematic review. </w:t>
      </w:r>
      <w:r w:rsidRPr="005B09A9">
        <w:rPr>
          <w:i/>
          <w:iCs/>
        </w:rPr>
        <w:t>J Pain</w:t>
      </w:r>
      <w:r w:rsidRPr="005B09A9">
        <w:t xml:space="preserve"> 15, 677–690.</w:t>
      </w:r>
    </w:p>
    <w:p w14:paraId="09E10776" w14:textId="77777777" w:rsidR="0041365F" w:rsidRPr="005B09A9" w:rsidRDefault="0041365F" w:rsidP="0041365F">
      <w:pPr>
        <w:pStyle w:val="Bibliographie"/>
      </w:pPr>
      <w:r w:rsidRPr="005B09A9">
        <w:t xml:space="preserve">Bean, D.J., Johnson, M.H., Kydd, R.R. (2014b). Relationships between psychological factors, pain, and disability in complex regional pain syndrome and low back pain. </w:t>
      </w:r>
      <w:r w:rsidRPr="005B09A9">
        <w:rPr>
          <w:i/>
          <w:iCs/>
        </w:rPr>
        <w:t>Clin J Pain</w:t>
      </w:r>
      <w:r w:rsidRPr="005B09A9">
        <w:t xml:space="preserve"> 30, 647–653.</w:t>
      </w:r>
    </w:p>
    <w:p w14:paraId="18E7E34E" w14:textId="77777777" w:rsidR="0041365F" w:rsidRPr="005B09A9" w:rsidRDefault="0041365F" w:rsidP="0041365F">
      <w:pPr>
        <w:pStyle w:val="Bibliographie"/>
      </w:pPr>
      <w:r w:rsidRPr="005B09A9">
        <w:t xml:space="preserve">Beerthuizen, A., Stronks, D.L., Van’t Spijker, A., Yaksh, A., Hanraets, B.M., Klein, J., Huygen, F.J.P.M. (2012). Demographic and medical parameters in the development of complex regional pain syndrome type 1 (CRPS1): prospective study on 596 patients with a fracture. </w:t>
      </w:r>
      <w:r w:rsidRPr="005B09A9">
        <w:rPr>
          <w:i/>
          <w:iCs/>
        </w:rPr>
        <w:t>Pain</w:t>
      </w:r>
      <w:r w:rsidRPr="005B09A9">
        <w:t xml:space="preserve"> 153, 1187–1192.</w:t>
      </w:r>
    </w:p>
    <w:p w14:paraId="1307EBF9" w14:textId="77777777" w:rsidR="0041365F" w:rsidRPr="005B09A9" w:rsidRDefault="0041365F" w:rsidP="0041365F">
      <w:pPr>
        <w:pStyle w:val="Bibliographie"/>
      </w:pPr>
      <w:r w:rsidRPr="005B09A9">
        <w:t xml:space="preserve">Bickerstaff DR, Kanis JA (1994). Algodystrophy: an under-recognized complication of minor trauma. </w:t>
      </w:r>
      <w:r w:rsidRPr="005B09A9">
        <w:rPr>
          <w:i/>
          <w:iCs/>
        </w:rPr>
        <w:t>Br J Rheumatol</w:t>
      </w:r>
      <w:r w:rsidRPr="005B09A9">
        <w:t xml:space="preserve"> 33, 240–248.</w:t>
      </w:r>
    </w:p>
    <w:p w14:paraId="31F4719F" w14:textId="77777777" w:rsidR="0041365F" w:rsidRPr="005B09A9" w:rsidRDefault="0041365F" w:rsidP="0041365F">
      <w:pPr>
        <w:pStyle w:val="Bibliographie"/>
      </w:pPr>
      <w:r w:rsidRPr="005B09A9">
        <w:t xml:space="preserve">Birklein, F., Ajit, S.K., Goebel, A., Perez, R.S.G.M., Sommer, C. (2018). Complex regional pain syndrome — phenotypic characteristics and potential biomarkers. </w:t>
      </w:r>
      <w:r w:rsidRPr="005B09A9">
        <w:rPr>
          <w:i/>
          <w:iCs/>
        </w:rPr>
        <w:t>Nat Rev Neurol</w:t>
      </w:r>
      <w:r w:rsidRPr="005B09A9">
        <w:t xml:space="preserve"> 14, 272.</w:t>
      </w:r>
    </w:p>
    <w:p w14:paraId="09B7A327" w14:textId="77777777" w:rsidR="0041365F" w:rsidRPr="005B09A9" w:rsidRDefault="0041365F" w:rsidP="0041365F">
      <w:pPr>
        <w:pStyle w:val="Bibliographie"/>
      </w:pPr>
      <w:r w:rsidRPr="005B09A9">
        <w:t xml:space="preserve">Bruehl, S. (2015). Complex regional pain syndrome. </w:t>
      </w:r>
      <w:r w:rsidRPr="005B09A9">
        <w:rPr>
          <w:i/>
          <w:iCs/>
        </w:rPr>
        <w:t>BMJ</w:t>
      </w:r>
      <w:r w:rsidRPr="005B09A9">
        <w:t xml:space="preserve"> 351, h2730.</w:t>
      </w:r>
    </w:p>
    <w:p w14:paraId="64FAC018" w14:textId="77777777" w:rsidR="0041365F" w:rsidRPr="005B09A9" w:rsidRDefault="0041365F" w:rsidP="0041365F">
      <w:pPr>
        <w:pStyle w:val="Bibliographie"/>
      </w:pPr>
      <w:r w:rsidRPr="005B09A9">
        <w:t xml:space="preserve">Bruehl, S., Harden, R.N., Galer, B.S., Saltz, S., Bertram, M., Backonja, M., Gayles, R., Rudin, N., Bhugra, M.K., Stanton-Hicks, M. (1999). External validation of IASP diagnostic criteria for Complex Regional Pain Syndrome and proposed research diagnostic criteria. International Association for the Study of Pain. </w:t>
      </w:r>
      <w:r w:rsidRPr="005B09A9">
        <w:rPr>
          <w:i/>
          <w:iCs/>
        </w:rPr>
        <w:t>Pain</w:t>
      </w:r>
      <w:r w:rsidRPr="005B09A9">
        <w:t xml:space="preserve"> 81, 147–154.</w:t>
      </w:r>
    </w:p>
    <w:p w14:paraId="02A84A04" w14:textId="77777777" w:rsidR="0041365F" w:rsidRPr="005B09A9" w:rsidRDefault="0041365F" w:rsidP="0041365F">
      <w:pPr>
        <w:pStyle w:val="Bibliographie"/>
      </w:pPr>
      <w:r w:rsidRPr="005B09A9">
        <w:t xml:space="preserve">Bruehl, S., Iv, F.T.B., Anderson, S., Polkowski, G., Shinar, A., Schildcrout, J., Shi, Y., Milne, G., Dematteo, A., Mishra, P., Harden, R.N. (2022). Preoperative Predictors of Complex Regional Pain Syndrome Outcomes in the 6 Months Following Total Knee Arthroplasty. </w:t>
      </w:r>
      <w:r w:rsidRPr="005B09A9">
        <w:rPr>
          <w:i/>
          <w:iCs/>
        </w:rPr>
        <w:t>J Pain</w:t>
      </w:r>
      <w:r w:rsidRPr="005B09A9">
        <w:t xml:space="preserve"> 0.</w:t>
      </w:r>
    </w:p>
    <w:p w14:paraId="0D2C2125" w14:textId="77777777" w:rsidR="0041365F" w:rsidRPr="005B09A9" w:rsidRDefault="0041365F" w:rsidP="0041365F">
      <w:pPr>
        <w:pStyle w:val="Bibliographie"/>
      </w:pPr>
      <w:r w:rsidRPr="005B09A9">
        <w:t xml:space="preserve">Bruehl, S., Maihöfner, C., Stanton-Hicks, M., Perez, R.S.G.M., Vatine, J.-J., Brunner, F., Birklein, F., Schlereth, T., Mackey, S., Mailis-Gagnon, A., Livshitz, A., Harden, R.N. (2016). Complex regional pain syndrome: evidence for warm and cold subtypes in a large prospective clinical sample. </w:t>
      </w:r>
      <w:r w:rsidRPr="005B09A9">
        <w:rPr>
          <w:i/>
          <w:iCs/>
        </w:rPr>
        <w:t>PAIN</w:t>
      </w:r>
      <w:r w:rsidRPr="005B09A9">
        <w:t xml:space="preserve"> 157, 1674–1681.</w:t>
      </w:r>
    </w:p>
    <w:p w14:paraId="710049EE" w14:textId="77777777" w:rsidR="0041365F" w:rsidRPr="005B09A9" w:rsidRDefault="0041365F" w:rsidP="0041365F">
      <w:pPr>
        <w:pStyle w:val="Bibliographie"/>
      </w:pPr>
      <w:r w:rsidRPr="005B09A9">
        <w:lastRenderedPageBreak/>
        <w:t xml:space="preserve">Brunner, F., Bachmann, L. m., Perez, R. s. g. m., Marinus, J., Wertli, M. m. (2017). Painful swelling after a noxious event and the development of complex regional pain syndrome 1: A one-year prospective study. </w:t>
      </w:r>
      <w:r w:rsidRPr="005B09A9">
        <w:rPr>
          <w:i/>
          <w:iCs/>
        </w:rPr>
        <w:t>Eur J Pain</w:t>
      </w:r>
      <w:r w:rsidRPr="005B09A9">
        <w:t xml:space="preserve"> 21, 1611–1617.</w:t>
      </w:r>
    </w:p>
    <w:p w14:paraId="332116DB" w14:textId="77777777" w:rsidR="0041365F" w:rsidRPr="005B09A9" w:rsidRDefault="0041365F" w:rsidP="0041365F">
      <w:pPr>
        <w:pStyle w:val="Bibliographie"/>
      </w:pPr>
      <w:r w:rsidRPr="005B09A9">
        <w:t xml:space="preserve">Brunner, F., Nauer, M., Bachmann, L.M. (2011). Poor prognostic factors in complex regional pain syndrome 1: a Delphi survey. </w:t>
      </w:r>
      <w:r w:rsidRPr="005B09A9">
        <w:rPr>
          <w:i/>
          <w:iCs/>
        </w:rPr>
        <w:t>J Rehabil Med</w:t>
      </w:r>
      <w:r w:rsidRPr="005B09A9">
        <w:t xml:space="preserve"> 43, 783–786.</w:t>
      </w:r>
    </w:p>
    <w:p w14:paraId="17768D61" w14:textId="77777777" w:rsidR="0041365F" w:rsidRPr="005B09A9" w:rsidRDefault="0041365F" w:rsidP="0041365F">
      <w:pPr>
        <w:pStyle w:val="Bibliographie"/>
      </w:pPr>
      <w:r w:rsidRPr="005B09A9">
        <w:t xml:space="preserve">Cho CW, Nahm FS, Choi E, Lee PB, Jang IK, Lee CJ, Kim YC, Lee SC (2016). Multicenter study on the asymmetry of skin temperature in complex regional pain syndrome: An examination of temperature distribution and symptom duration. </w:t>
      </w:r>
      <w:r w:rsidRPr="005B09A9">
        <w:rPr>
          <w:i/>
          <w:iCs/>
        </w:rPr>
        <w:t>Medicine (Baltimore)</w:t>
      </w:r>
      <w:r w:rsidRPr="005B09A9">
        <w:t xml:space="preserve"> 95, e5548.</w:t>
      </w:r>
    </w:p>
    <w:p w14:paraId="3A1A7018" w14:textId="77777777" w:rsidR="0041365F" w:rsidRPr="005B09A9" w:rsidRDefault="0041365F" w:rsidP="0041365F">
      <w:pPr>
        <w:pStyle w:val="Bibliographie"/>
      </w:pPr>
      <w:r w:rsidRPr="005B09A9">
        <w:t xml:space="preserve">Dauty, M., Renaud, P., Deniaud, C., Tortellier, L., Dubois, C. (2001). [Professional outcome of reflex sympathetic dystrophy]. </w:t>
      </w:r>
      <w:r w:rsidRPr="005B09A9">
        <w:rPr>
          <w:i/>
          <w:iCs/>
        </w:rPr>
        <w:t>Ann Readaptation Med Phys Rev Sci Soc Francaise Reeducation Fonct Readaptation Med Phys</w:t>
      </w:r>
      <w:r w:rsidRPr="005B09A9">
        <w:t xml:space="preserve"> 44, 89–94.</w:t>
      </w:r>
    </w:p>
    <w:p w14:paraId="234B28DB" w14:textId="77777777" w:rsidR="0041365F" w:rsidRPr="005B09A9" w:rsidRDefault="0041365F" w:rsidP="0041365F">
      <w:pPr>
        <w:pStyle w:val="Bibliographie"/>
      </w:pPr>
      <w:r w:rsidRPr="005B09A9">
        <w:t xml:space="preserve">de Mos M, Huygen FJ, van der Hoeven-Borgman M, Dieleman JP, Ch Stricker BH, Sturkenboom MC (2009). Outcome of the complex regional pain syndrome. </w:t>
      </w:r>
      <w:r w:rsidRPr="005B09A9">
        <w:rPr>
          <w:i/>
          <w:iCs/>
        </w:rPr>
        <w:t>Clin J Pain</w:t>
      </w:r>
      <w:r w:rsidRPr="005B09A9">
        <w:t xml:space="preserve"> 25, 590–597.</w:t>
      </w:r>
    </w:p>
    <w:p w14:paraId="156B0EC3" w14:textId="77777777" w:rsidR="0041365F" w:rsidRPr="005B09A9" w:rsidRDefault="0041365F" w:rsidP="0041365F">
      <w:pPr>
        <w:pStyle w:val="Bibliographie"/>
      </w:pPr>
      <w:r w:rsidRPr="005B09A9">
        <w:t xml:space="preserve">Dietz, C., Müller, M., Reinhold, A.-K., Karch, L., Schwab, B., Forer, L., Vlckova, E., Brede, E.-M., Jakubietz, R., Üçeyler, N., Meffert, R., Bednarik, J., Kress, M., Sommer, C., Dimova, V., Birklein, F., Rittner, H.L. (2019). What is normal trauma healing and what is complex regional pain syndrome I? An analysis of clinical and experimental biomarkers. </w:t>
      </w:r>
      <w:r w:rsidRPr="005B09A9">
        <w:rPr>
          <w:i/>
          <w:iCs/>
        </w:rPr>
        <w:t>PAIN</w:t>
      </w:r>
      <w:r w:rsidRPr="005B09A9">
        <w:t xml:space="preserve"> 160, 2278–2289.</w:t>
      </w:r>
    </w:p>
    <w:p w14:paraId="472200F7" w14:textId="77777777" w:rsidR="0041365F" w:rsidRPr="005B09A9" w:rsidRDefault="0041365F" w:rsidP="0041365F">
      <w:pPr>
        <w:pStyle w:val="Bibliographie"/>
      </w:pPr>
      <w:r w:rsidRPr="005B09A9">
        <w:t xml:space="preserve">Dumas, S., Pichon, B., Dapolito, A.-C., Bensefa-Colas, L., Andujar, P., Villa, A., Descatha, A. (2011). Work prognosis of complex regional pain syndrome type I:  multicenter retrospective study on the determinants and time to return to work. </w:t>
      </w:r>
      <w:r w:rsidRPr="005B09A9">
        <w:rPr>
          <w:i/>
          <w:iCs/>
        </w:rPr>
        <w:t>J Occup Environ Med</w:t>
      </w:r>
      <w:r w:rsidRPr="005B09A9">
        <w:t xml:space="preserve"> 53, 1354–1356.</w:t>
      </w:r>
    </w:p>
    <w:p w14:paraId="7E8BF16C" w14:textId="77777777" w:rsidR="0041365F" w:rsidRPr="005B09A9" w:rsidRDefault="0041365F" w:rsidP="0041365F">
      <w:pPr>
        <w:pStyle w:val="Bibliographie"/>
      </w:pPr>
      <w:r w:rsidRPr="005B09A9">
        <w:t xml:space="preserve">Dunn, K.M., Campbell, P., Lewis, M., Hill, J.C., van der Windt, D.A., Afolabi, E., Protheroe, J., Wathall, S., Jowett, S., Oppong, R., Mallen, C.D., Hay, E.M., Foster, N.E. (2021). Refinement and validation of a tool for stratifying patients with musculoskeletal pain. </w:t>
      </w:r>
      <w:r w:rsidRPr="005B09A9">
        <w:rPr>
          <w:i/>
          <w:iCs/>
        </w:rPr>
        <w:t>Eur J Pain Lond Engl</w:t>
      </w:r>
      <w:r w:rsidRPr="005B09A9">
        <w:t xml:space="preserve"> 25, 2081–2093.</w:t>
      </w:r>
    </w:p>
    <w:p w14:paraId="59B9B970" w14:textId="77777777" w:rsidR="0041365F" w:rsidRPr="005B09A9" w:rsidRDefault="0041365F" w:rsidP="0041365F">
      <w:pPr>
        <w:pStyle w:val="Bibliographie"/>
      </w:pPr>
      <w:r w:rsidRPr="005B09A9">
        <w:t xml:space="preserve">Enax-Krumova EK, Lenz M, Frettlöh J, Höffken O, Reinersmann A, Schwarzer A, Westermann A, Tegenthoff M, Maier C (2017). Changes of the Sensory Abnormalities and Cortical Excitability in Patients with Complex Regional Pain Syndrome of the Upper Extremity After 6 Months of Multimodal Treatment. </w:t>
      </w:r>
      <w:r w:rsidRPr="005B09A9">
        <w:rPr>
          <w:i/>
          <w:iCs/>
        </w:rPr>
        <w:t>Pain Med Malden Mass</w:t>
      </w:r>
      <w:r w:rsidRPr="005B09A9">
        <w:t xml:space="preserve"> 18, 95–106.</w:t>
      </w:r>
    </w:p>
    <w:p w14:paraId="450BEB9B" w14:textId="77777777" w:rsidR="0041365F" w:rsidRPr="005B09A9" w:rsidRDefault="0041365F" w:rsidP="0041365F">
      <w:pPr>
        <w:pStyle w:val="Bibliographie"/>
      </w:pPr>
      <w:r w:rsidRPr="005B09A9">
        <w:t xml:space="preserve">Farzad, M., Layeghi, F., Hosseini, A., Dianat, A., Ahrari, N., Rassafiani, M., Mirzaei, H. (2018). Investigate the Effect of Psychological Factors in Development of Complex Regional Pain Syndrome Type I in Patients with Fracture of the Distal Radius: A Prospective Study. </w:t>
      </w:r>
      <w:r w:rsidRPr="005B09A9">
        <w:rPr>
          <w:i/>
          <w:iCs/>
        </w:rPr>
        <w:t>J Hand Surg Asian-Pac Vol</w:t>
      </w:r>
      <w:r w:rsidRPr="005B09A9">
        <w:t xml:space="preserve"> 23, 554–561.</w:t>
      </w:r>
    </w:p>
    <w:p w14:paraId="755A850D" w14:textId="77777777" w:rsidR="0041365F" w:rsidRPr="005B09A9" w:rsidRDefault="0041365F" w:rsidP="0041365F">
      <w:pPr>
        <w:pStyle w:val="Bibliographie"/>
      </w:pPr>
      <w:r w:rsidRPr="005B09A9">
        <w:t xml:space="preserve">Farzad, M., MacDermid, J.C., Packham, T., Khodabandeh, B., Vahedi, M., Shafiee, E. (2021). Factors associated with disability and pain intensity in patients with complex regional pain syndrome. </w:t>
      </w:r>
      <w:r w:rsidRPr="005B09A9">
        <w:rPr>
          <w:i/>
          <w:iCs/>
        </w:rPr>
        <w:t>Disabil Rehabil</w:t>
      </w:r>
      <w:r w:rsidRPr="005B09A9">
        <w:t xml:space="preserve"> 0, 1–9.</w:t>
      </w:r>
    </w:p>
    <w:p w14:paraId="2CAF4B92" w14:textId="77777777" w:rsidR="0041365F" w:rsidRPr="005B09A9" w:rsidRDefault="0041365F" w:rsidP="0041365F">
      <w:pPr>
        <w:pStyle w:val="Bibliographie"/>
      </w:pPr>
      <w:r w:rsidRPr="005B09A9">
        <w:t xml:space="preserve">Gierthmühlen, J., Maier, C., Baron, R., Tölle, T., Treede, R.-D., Birbaumer, N., Huge, V., Koroschetz, J., Krumova, E.K., Lauchart, M., Maihöfner, C., Richter, H., Westermann, A., German Research Network on Neuropathic Pain (DFNS) study group (2012). Sensory signs in complex regional pain syndrome and peripheral nerve injury. </w:t>
      </w:r>
      <w:r w:rsidRPr="005B09A9">
        <w:rPr>
          <w:i/>
          <w:iCs/>
        </w:rPr>
        <w:t>Pain</w:t>
      </w:r>
      <w:r w:rsidRPr="005B09A9">
        <w:t xml:space="preserve"> 153, 765–774.</w:t>
      </w:r>
    </w:p>
    <w:p w14:paraId="5BF2DFA7" w14:textId="77777777" w:rsidR="0041365F" w:rsidRPr="005B09A9" w:rsidRDefault="0041365F" w:rsidP="0041365F">
      <w:pPr>
        <w:pStyle w:val="Bibliographie"/>
      </w:pPr>
      <w:r w:rsidRPr="005B09A9">
        <w:t xml:space="preserve">Goebel, A., Birklein, F., Brunner, F., Clark, J.D., Gierthmühlen, J., Harden, N., Huygen, F., Knudsen, L., McCabe, C., Lewis, J., Maihöfner, C., Magerl, W., Moseley, G.L., Terkelsen, A., Thomassen, I., Bruehl, S. </w:t>
      </w:r>
      <w:r w:rsidRPr="005B09A9">
        <w:lastRenderedPageBreak/>
        <w:t xml:space="preserve">(2021). The Valencia consensus-based adaptation of the IASP complex regional pain syndrome diagnostic criteria. </w:t>
      </w:r>
      <w:r w:rsidRPr="005B09A9">
        <w:rPr>
          <w:i/>
          <w:iCs/>
        </w:rPr>
        <w:t>Pain</w:t>
      </w:r>
      <w:r w:rsidRPr="005B09A9">
        <w:t xml:space="preserve"> 162, 2346–2348.</w:t>
      </w:r>
    </w:p>
    <w:p w14:paraId="0F7AEBAD" w14:textId="77777777" w:rsidR="0041365F" w:rsidRPr="005B09A9" w:rsidRDefault="0041365F" w:rsidP="0041365F">
      <w:pPr>
        <w:pStyle w:val="Bibliographie"/>
      </w:pPr>
      <w:r w:rsidRPr="005B09A9">
        <w:t xml:space="preserve">Halicka, M., Vittersø, A.D., Proulx, M.J., Bultitude, J.H. (2020). Neuropsychological Changes in Complex Regional Pain Syndrome (CRPS). </w:t>
      </w:r>
      <w:r w:rsidRPr="005B09A9">
        <w:rPr>
          <w:i/>
          <w:iCs/>
        </w:rPr>
        <w:t>Behav Neurol</w:t>
      </w:r>
      <w:r w:rsidRPr="005B09A9">
        <w:t xml:space="preserve"> 2020, 4561831.</w:t>
      </w:r>
    </w:p>
    <w:p w14:paraId="79B015CC" w14:textId="77777777" w:rsidR="0041365F" w:rsidRPr="005B09A9" w:rsidRDefault="0041365F" w:rsidP="0041365F">
      <w:pPr>
        <w:pStyle w:val="Bibliographie"/>
      </w:pPr>
      <w:r w:rsidRPr="005B09A9">
        <w:t xml:space="preserve">Harden, N.R., Bruehl, S., Perez, R.S.G.M., Birklein, F., Marinus, J., Maihofner, C., Lubenow, T., Buvanendran, A., Mackey, S., Graciosa, J., Mogilevski, M., Ramsden, C., Chont, M., Vatine, J.-J. (2010a). Validation of proposed diagnostic criteria (the “Budapest Criteria”) for Complex Regional Pain Syndrome. </w:t>
      </w:r>
      <w:r w:rsidRPr="005B09A9">
        <w:rPr>
          <w:i/>
          <w:iCs/>
        </w:rPr>
        <w:t>Pain</w:t>
      </w:r>
      <w:r w:rsidRPr="005B09A9">
        <w:t xml:space="preserve"> 150, 268–274.</w:t>
      </w:r>
    </w:p>
    <w:p w14:paraId="73413E06" w14:textId="77777777" w:rsidR="0041365F" w:rsidRPr="005B09A9" w:rsidRDefault="0041365F" w:rsidP="0041365F">
      <w:pPr>
        <w:pStyle w:val="Bibliographie"/>
      </w:pPr>
      <w:r w:rsidRPr="005B09A9">
        <w:t xml:space="preserve">Harden, R.N., Bruehl, S., Perez, R.S.G.M., Birklein, F., Marinus, J., Maihofner, C., Lubenow, T., Buvanendran, A., MacKey, S., Graciosa, J., Mogilevski, M., Ramsden, C., Schlereth, T., Chont, M., Vatine, J.J. (2010b). Development of a severity score for CRPS. </w:t>
      </w:r>
      <w:r w:rsidRPr="005B09A9">
        <w:rPr>
          <w:i/>
          <w:iCs/>
        </w:rPr>
        <w:t>Pain</w:t>
      </w:r>
      <w:r w:rsidRPr="005B09A9">
        <w:t xml:space="preserve"> 151, 870–876.</w:t>
      </w:r>
    </w:p>
    <w:p w14:paraId="28F56364" w14:textId="77777777" w:rsidR="0041365F" w:rsidRPr="005B09A9" w:rsidRDefault="0041365F" w:rsidP="0041365F">
      <w:pPr>
        <w:pStyle w:val="Bibliographie"/>
      </w:pPr>
      <w:r w:rsidRPr="005B09A9">
        <w:t xml:space="preserve">Harden, R.N., Maihofner, C., Abousaad, E., Vatine, J.-J., Kirsling, A., Perez, R.S.G.M., Kuroda, M., Brunner, F., Stanton-Hicks, M., Marinus, J., van Hilten, J.J., Mackey, S., Birklein, F., Schlereth, T., Mailis-Gagnon, A., Graciosa, J., Connoly, S.B., Dayanim, D., Massey, M., Frank, H., Livshitz, A., Bruehl, S. (2017). A prospective, multisite, international validation of the Complex Regional Pain Syndrome Severity Score. </w:t>
      </w:r>
      <w:r w:rsidRPr="005B09A9">
        <w:rPr>
          <w:i/>
          <w:iCs/>
        </w:rPr>
        <w:t>Pain</w:t>
      </w:r>
      <w:r w:rsidRPr="005B09A9">
        <w:t xml:space="preserve"> 158, 1430–1436.</w:t>
      </w:r>
    </w:p>
    <w:p w14:paraId="68F2CCDE" w14:textId="77777777" w:rsidR="0041365F" w:rsidRPr="005B09A9" w:rsidRDefault="0041365F" w:rsidP="0041365F">
      <w:pPr>
        <w:pStyle w:val="Bibliographie"/>
      </w:pPr>
      <w:r w:rsidRPr="005B09A9">
        <w:t xml:space="preserve">Hayden, J.A., Tougas, M.E., Riley, R., Iles, R., Pincus, T. (2014). Individual recovery expectations and prognosis of outcomes in non‐specific low back pain: prognostic factor exemplar review. </w:t>
      </w:r>
      <w:r w:rsidRPr="005B09A9">
        <w:rPr>
          <w:i/>
          <w:iCs/>
        </w:rPr>
        <w:t>Cochrane Database Syst Rev</w:t>
      </w:r>
      <w:r w:rsidRPr="005B09A9">
        <w:t>.</w:t>
      </w:r>
    </w:p>
    <w:p w14:paraId="45AA3CCF" w14:textId="77777777" w:rsidR="0041365F" w:rsidRPr="005B09A9" w:rsidRDefault="0041365F" w:rsidP="0041365F">
      <w:pPr>
        <w:pStyle w:val="Bibliographie"/>
      </w:pPr>
      <w:r w:rsidRPr="005B09A9">
        <w:t xml:space="preserve">Hayden, J.A., van der Windt, D.A., Cartwright, J.L., Côté, P., Bombardier, C. (2013). Assessing bias in studies of prognostic factors. </w:t>
      </w:r>
      <w:r w:rsidRPr="005B09A9">
        <w:rPr>
          <w:i/>
          <w:iCs/>
        </w:rPr>
        <w:t>Ann Intern Med</w:t>
      </w:r>
      <w:r w:rsidRPr="005B09A9">
        <w:t xml:space="preserve"> 158, 280–286.</w:t>
      </w:r>
    </w:p>
    <w:p w14:paraId="2EEBBB13" w14:textId="77777777" w:rsidR="0041365F" w:rsidRPr="005B09A9" w:rsidRDefault="0041365F" w:rsidP="0041365F">
      <w:pPr>
        <w:pStyle w:val="Bibliographie"/>
      </w:pPr>
      <w:r w:rsidRPr="005B09A9">
        <w:t xml:space="preserve">Hill, J.C., Whitehurst, D.G.T., Lewis, M., Bryan, S., Dunn, K.M., Foster, N.E., Konstantinou, K., Main, C.J., Mason, E., Somerville, S., Sowden, G., Vohora, K., Hay, E.M. (2011). Comparison of stratified primary care management for low back pain with current best practice (STarT Back): a randomised controlled trial. </w:t>
      </w:r>
      <w:r w:rsidRPr="005B09A9">
        <w:rPr>
          <w:i/>
          <w:iCs/>
        </w:rPr>
        <w:t>Lancet Lond Engl</w:t>
      </w:r>
      <w:r w:rsidRPr="005B09A9">
        <w:t xml:space="preserve"> 378, 1560–1571.</w:t>
      </w:r>
    </w:p>
    <w:p w14:paraId="247494A2" w14:textId="77777777" w:rsidR="0041365F" w:rsidRPr="005B09A9" w:rsidRDefault="0041365F" w:rsidP="0041365F">
      <w:pPr>
        <w:pStyle w:val="Bibliographie"/>
      </w:pPr>
      <w:r w:rsidRPr="005B09A9">
        <w:t xml:space="preserve">Huge, V., Lauchart, M., Magerl, W., Beyer, A., Moehnle, P., Kaufhold, W., Schelling, G., Azad, S.C. (2011). Complex Interaction of Sensory and Motor Signs and Symptoms in Chronic CRPS. </w:t>
      </w:r>
      <w:r w:rsidRPr="005B09A9">
        <w:rPr>
          <w:i/>
          <w:iCs/>
        </w:rPr>
        <w:t>PLoS ONE</w:t>
      </w:r>
      <w:r w:rsidRPr="005B09A9">
        <w:t xml:space="preserve"> 6, e18775.</w:t>
      </w:r>
    </w:p>
    <w:p w14:paraId="2776BE54" w14:textId="77777777" w:rsidR="0041365F" w:rsidRPr="005B09A9" w:rsidRDefault="0041365F" w:rsidP="0041365F">
      <w:pPr>
        <w:pStyle w:val="Bibliographie"/>
      </w:pPr>
      <w:r w:rsidRPr="005B09A9">
        <w:t xml:space="preserve">Kim, H., Lee, C.-H., Kim, S.-H., Kim, Y.-D. (2018). Epidemiology of complex regional pain syndrome in Korea: An electronic population health data study. </w:t>
      </w:r>
      <w:r w:rsidRPr="005B09A9">
        <w:rPr>
          <w:i/>
          <w:iCs/>
        </w:rPr>
        <w:t>PloS One</w:t>
      </w:r>
      <w:r w:rsidRPr="005B09A9">
        <w:t xml:space="preserve"> 13, e0198147.</w:t>
      </w:r>
    </w:p>
    <w:p w14:paraId="11706E31" w14:textId="77777777" w:rsidR="0041365F" w:rsidRPr="005B09A9" w:rsidRDefault="0041365F" w:rsidP="0041365F">
      <w:pPr>
        <w:pStyle w:val="Bibliographie"/>
      </w:pPr>
      <w:r w:rsidRPr="005B09A9">
        <w:t xml:space="preserve">Kindl, G., Teichmüller, K., Escolano-Lozano, F., Birklein, F., Rittner, H.L. (2022). Pain, disability, and lifestyle: Patients with complex regional pain syndrome compared to chronic musculoskeletal pain—A retrospective analysis. </w:t>
      </w:r>
      <w:r w:rsidRPr="005B09A9">
        <w:rPr>
          <w:i/>
          <w:iCs/>
        </w:rPr>
        <w:t>Eur J Pain</w:t>
      </w:r>
      <w:r w:rsidRPr="005B09A9">
        <w:t xml:space="preserve"> 26, 719–728.</w:t>
      </w:r>
    </w:p>
    <w:p w14:paraId="214000D4" w14:textId="77777777" w:rsidR="0041365F" w:rsidRPr="005B09A9" w:rsidRDefault="0041365F" w:rsidP="0041365F">
      <w:pPr>
        <w:pStyle w:val="Bibliographie"/>
      </w:pPr>
      <w:r w:rsidRPr="005B09A9">
        <w:t xml:space="preserve">Korogod, N., Steyaert, A., Nonclercq, O., Opsommer, E., Berquin, A. (2022). Can the French version of the short Örebro Musculoskeletal Pain Screening Questionnaire or its subsets predict the evolution of patients with acute, (sub) acute and chronic pain? </w:t>
      </w:r>
      <w:r w:rsidRPr="005B09A9">
        <w:rPr>
          <w:i/>
          <w:iCs/>
        </w:rPr>
        <w:t>BMC Musculoskelet Disord</w:t>
      </w:r>
      <w:r w:rsidRPr="005B09A9">
        <w:t xml:space="preserve"> 23, 311.</w:t>
      </w:r>
    </w:p>
    <w:p w14:paraId="2F6C933E" w14:textId="77777777" w:rsidR="0041365F" w:rsidRPr="005B09A9" w:rsidRDefault="0041365F" w:rsidP="0041365F">
      <w:pPr>
        <w:pStyle w:val="Bibliographie"/>
      </w:pPr>
      <w:r w:rsidRPr="005B09A9">
        <w:t xml:space="preserve">Krämer, H.H., Hofbauer, L.C., Szalay, G., Breimhorst, M., Eberle, T., Zieschang, K., Rauner, M., Schlereth, T., Schreckenberger, M., Birklein, F. (2014). Osteoprotegerin: A new biomarker for impaired bone metabolism in complex regional pain syndrome? </w:t>
      </w:r>
      <w:r w:rsidRPr="005B09A9">
        <w:rPr>
          <w:i/>
          <w:iCs/>
        </w:rPr>
        <w:t>PAIN</w:t>
      </w:r>
      <w:r w:rsidRPr="005B09A9">
        <w:t xml:space="preserve"> 155, 889–895.</w:t>
      </w:r>
    </w:p>
    <w:p w14:paraId="73597D46" w14:textId="77777777" w:rsidR="0041365F" w:rsidRPr="005B09A9" w:rsidRDefault="0041365F" w:rsidP="0041365F">
      <w:pPr>
        <w:pStyle w:val="Bibliographie"/>
      </w:pPr>
      <w:r w:rsidRPr="005B09A9">
        <w:lastRenderedPageBreak/>
        <w:t xml:space="preserve">Laulan, J., Bismuth, J.-P., Sicre, G., Garaud, P. (1997). The different types of algodystrophy after fracture of the distal radius. Predictive criteria of outcome after 1 year. </w:t>
      </w:r>
      <w:r w:rsidRPr="005B09A9">
        <w:rPr>
          <w:i/>
          <w:iCs/>
        </w:rPr>
        <w:t>J HAND SURG GBR</w:t>
      </w:r>
      <w:r w:rsidRPr="005B09A9">
        <w:t xml:space="preserve"> 22, 441–447.</w:t>
      </w:r>
    </w:p>
    <w:p w14:paraId="4B27D8C5" w14:textId="77777777" w:rsidR="0041365F" w:rsidRPr="005B09A9" w:rsidRDefault="0041365F" w:rsidP="0041365F">
      <w:pPr>
        <w:pStyle w:val="Bibliographie"/>
      </w:pPr>
      <w:r w:rsidRPr="005B09A9">
        <w:t xml:space="preserve">Lee, H.-J., Lee, C.-S., Yoo, Y., Noh, J.M., Yu, J.H., Kim, Y.-C., Moon, J.Y. (2019). Complex regional pain syndrome in the young male population: a retrospective study of 200 Korean young male patients. </w:t>
      </w:r>
      <w:r w:rsidRPr="005B09A9">
        <w:rPr>
          <w:i/>
          <w:iCs/>
        </w:rPr>
        <w:t>Korean J Pain</w:t>
      </w:r>
      <w:r w:rsidRPr="005B09A9">
        <w:t xml:space="preserve"> 32, 292–300.</w:t>
      </w:r>
    </w:p>
    <w:p w14:paraId="52B3DE99" w14:textId="77777777" w:rsidR="0041365F" w:rsidRPr="005B09A9" w:rsidRDefault="0041365F" w:rsidP="0041365F">
      <w:pPr>
        <w:pStyle w:val="Bibliographie"/>
        <w:rPr>
          <w:lang w:val="fr-BE"/>
        </w:rPr>
      </w:pPr>
      <w:r w:rsidRPr="005B09A9">
        <w:t xml:space="preserve">Linton, S.J. (2000). A review of psychological risk factors in back and neck pain. </w:t>
      </w:r>
      <w:r w:rsidRPr="005B09A9">
        <w:rPr>
          <w:i/>
          <w:iCs/>
          <w:lang w:val="fr-BE"/>
        </w:rPr>
        <w:t>Spine</w:t>
      </w:r>
      <w:r w:rsidRPr="005B09A9">
        <w:rPr>
          <w:lang w:val="fr-BE"/>
        </w:rPr>
        <w:t xml:space="preserve"> 25, 1148–1156.</w:t>
      </w:r>
    </w:p>
    <w:p w14:paraId="596F7609" w14:textId="77777777" w:rsidR="0041365F" w:rsidRPr="005B09A9" w:rsidRDefault="0041365F" w:rsidP="0041365F">
      <w:pPr>
        <w:pStyle w:val="Bibliographie"/>
      </w:pPr>
      <w:r w:rsidRPr="005B09A9">
        <w:rPr>
          <w:lang w:val="fr-BE"/>
        </w:rPr>
        <w:t xml:space="preserve">Manderlier, A., de Fooz, M., Patris, S., Berquin, A. (2022). </w:t>
      </w:r>
      <w:r w:rsidRPr="005B09A9">
        <w:t xml:space="preserve">Modifiable lifestyle-related prognostic factors for the onset of chronic spinal pain: A systematic review of longitudinal studies. </w:t>
      </w:r>
      <w:r w:rsidRPr="005B09A9">
        <w:rPr>
          <w:i/>
          <w:iCs/>
        </w:rPr>
        <w:t>Ann Phys Rehabil Med</w:t>
      </w:r>
      <w:r w:rsidRPr="005B09A9">
        <w:t xml:space="preserve"> 65, 101660.</w:t>
      </w:r>
    </w:p>
    <w:p w14:paraId="24102B09" w14:textId="77777777" w:rsidR="0041365F" w:rsidRPr="005B09A9" w:rsidRDefault="0041365F" w:rsidP="0041365F">
      <w:pPr>
        <w:pStyle w:val="Bibliographie"/>
      </w:pPr>
      <w:r w:rsidRPr="005B09A9">
        <w:t xml:space="preserve">Merskey, H., Bogduk, N. (1994). </w:t>
      </w:r>
      <w:r w:rsidRPr="005B09A9">
        <w:rPr>
          <w:i/>
          <w:iCs/>
        </w:rPr>
        <w:t>Classification of Chronic Pain.</w:t>
      </w:r>
      <w:r w:rsidRPr="005B09A9">
        <w:t xml:space="preserve"> (Seattle: IASP Press).</w:t>
      </w:r>
    </w:p>
    <w:p w14:paraId="1B4FC419" w14:textId="77777777" w:rsidR="0041365F" w:rsidRPr="005B09A9" w:rsidRDefault="0041365F" w:rsidP="0041365F">
      <w:pPr>
        <w:pStyle w:val="Bibliographie"/>
      </w:pPr>
      <w:r w:rsidRPr="005B09A9">
        <w:t xml:space="preserve">Mesaroli, G., Hundert, A., Birnie, K.A., Campbell, F., Stinson, J. (2021). Screening and diagnostic tools for complex regional pain syndrome: a systematic review. </w:t>
      </w:r>
      <w:r w:rsidRPr="005B09A9">
        <w:rPr>
          <w:i/>
          <w:iCs/>
        </w:rPr>
        <w:t>Pain</w:t>
      </w:r>
      <w:r w:rsidRPr="005B09A9">
        <w:t xml:space="preserve"> 162, 1295–1304.</w:t>
      </w:r>
    </w:p>
    <w:p w14:paraId="5E22C607" w14:textId="77777777" w:rsidR="0041365F" w:rsidRPr="005B09A9" w:rsidRDefault="0041365F" w:rsidP="0041365F">
      <w:pPr>
        <w:pStyle w:val="Bibliographie"/>
      </w:pPr>
      <w:r w:rsidRPr="005B09A9">
        <w:t xml:space="preserve">Meyer, C., Denis, C.M., Berquin, A.D. (2018). Secondary prevention of chronic musculoskeletal pain: A systematic review of clinical trials. </w:t>
      </w:r>
      <w:r w:rsidRPr="005B09A9">
        <w:rPr>
          <w:i/>
          <w:iCs/>
        </w:rPr>
        <w:t>Ann Phys Rehabil Med</w:t>
      </w:r>
      <w:r w:rsidRPr="005B09A9">
        <w:t xml:space="preserve"> 61, 323–338.</w:t>
      </w:r>
    </w:p>
    <w:p w14:paraId="7713D74D" w14:textId="77777777" w:rsidR="0041365F" w:rsidRPr="005B09A9" w:rsidRDefault="0041365F" w:rsidP="0041365F">
      <w:pPr>
        <w:pStyle w:val="Bibliographie"/>
      </w:pPr>
      <w:r w:rsidRPr="005B09A9">
        <w:t xml:space="preserve">Meyer-Frießem, C.H., Attal, N., Baron, R., Bouhassira, D., Finnerup, N.B., Freynhagen, R., Gierthmühlen, J., Haanpää, M., Hansson, P., Jensen, T.S., Kemp, H., Kennedy, D., Leffler, A.-S., Rice, A.S.C., Segerdahl, M., Serra, J., Sindrup, S., Solà, R., Tölle, T., Schuh-Hofer, S., Treede, R.-D., Pogatzki-Zahn, E., Maier, C., Vollert, J. (2020). Pain thresholds and intensities of CRPS type I and neuropathic pain in respect to sex. </w:t>
      </w:r>
      <w:r w:rsidRPr="005B09A9">
        <w:rPr>
          <w:i/>
          <w:iCs/>
        </w:rPr>
        <w:t>Eur J Pain</w:t>
      </w:r>
      <w:r w:rsidRPr="005B09A9">
        <w:t xml:space="preserve"> 24, 1058–1071.</w:t>
      </w:r>
    </w:p>
    <w:p w14:paraId="4F37A03B" w14:textId="77777777" w:rsidR="0041365F" w:rsidRPr="005B09A9" w:rsidRDefault="0041365F" w:rsidP="0041365F">
      <w:pPr>
        <w:pStyle w:val="Bibliographie"/>
      </w:pPr>
      <w:r w:rsidRPr="005B09A9">
        <w:t xml:space="preserve">Moore, R.A., Fisher, E., Eccleston, C. (2022). Systematic reviews do not (yet) represent the ‘gold standard’ of evidence: A position paper. </w:t>
      </w:r>
      <w:r w:rsidRPr="005B09A9">
        <w:rPr>
          <w:i/>
          <w:iCs/>
        </w:rPr>
        <w:t>Eur J Pain</w:t>
      </w:r>
      <w:r w:rsidRPr="005B09A9">
        <w:t xml:space="preserve"> 26, 557–566.</w:t>
      </w:r>
    </w:p>
    <w:p w14:paraId="240AC9A2" w14:textId="77777777" w:rsidR="0041365F" w:rsidRPr="005B09A9" w:rsidRDefault="0041365F" w:rsidP="0041365F">
      <w:pPr>
        <w:pStyle w:val="Bibliographie"/>
      </w:pPr>
      <w:r w:rsidRPr="005B09A9">
        <w:t xml:space="preserve">de Mos, M., de Bruijn, A.G.J., Huygen, F.J.P.M., Dieleman, J.P., Stricker, B.H.C., Sturkenboom, M.C.J.M. (2007). The incidence of complex regional pain syndrome: a population-based study. </w:t>
      </w:r>
      <w:r w:rsidRPr="005B09A9">
        <w:rPr>
          <w:i/>
          <w:iCs/>
        </w:rPr>
        <w:t>Pain</w:t>
      </w:r>
      <w:r w:rsidRPr="005B09A9">
        <w:t xml:space="preserve"> 129, 12–20.</w:t>
      </w:r>
    </w:p>
    <w:p w14:paraId="4CE6094B" w14:textId="77777777" w:rsidR="0041365F" w:rsidRPr="005B09A9" w:rsidRDefault="0041365F" w:rsidP="0041365F">
      <w:pPr>
        <w:pStyle w:val="Bibliographie"/>
      </w:pPr>
      <w:r w:rsidRPr="005B09A9">
        <w:t xml:space="preserve">Moseley, G.L., Herbert, R.D., Parsons, T., Lucas, S., Van Hilten, J.J., Marinus, J. (2014). Intense pain soon after wrist fracture strongly predicts who will develop complex regional pain syndrome: prospective cohort study. </w:t>
      </w:r>
      <w:r w:rsidRPr="005B09A9">
        <w:rPr>
          <w:i/>
          <w:iCs/>
        </w:rPr>
        <w:t>J Pain</w:t>
      </w:r>
      <w:r w:rsidRPr="005B09A9">
        <w:t xml:space="preserve"> 15, 16–23.</w:t>
      </w:r>
    </w:p>
    <w:p w14:paraId="2FFF59FD" w14:textId="77777777" w:rsidR="0041365F" w:rsidRPr="005B09A9" w:rsidRDefault="0041365F" w:rsidP="0041365F">
      <w:pPr>
        <w:pStyle w:val="Bibliographie"/>
      </w:pPr>
      <w:r w:rsidRPr="005B09A9">
        <w:t xml:space="preserve">Nicholas, M.K., Linton, S.J., Watson, P.J., Main, C.J., the “Decade of the Flags” Working Group (2011). Early Identification and Management of Psychological Risk Factors (“Yellow Flags”) in Patients With Low Back Pain: A Reappraisal. </w:t>
      </w:r>
      <w:r w:rsidRPr="005B09A9">
        <w:rPr>
          <w:i/>
          <w:iCs/>
        </w:rPr>
        <w:t>Phys Ther</w:t>
      </w:r>
      <w:r w:rsidRPr="005B09A9">
        <w:t xml:space="preserve"> 91, 737–753.</w:t>
      </w:r>
    </w:p>
    <w:p w14:paraId="722C0D48" w14:textId="77777777" w:rsidR="0041365F" w:rsidRPr="005B09A9" w:rsidRDefault="0041365F" w:rsidP="0041365F">
      <w:pPr>
        <w:pStyle w:val="Bibliographie"/>
      </w:pPr>
      <w:r w:rsidRPr="005B09A9">
        <w:t xml:space="preserve">Ott, S., Maihöfner, C. (2018). Signs and Symptoms in 1,043 Patients with Complex Regional Pain Syndrome. </w:t>
      </w:r>
      <w:r w:rsidRPr="005B09A9">
        <w:rPr>
          <w:i/>
          <w:iCs/>
        </w:rPr>
        <w:t>J Pain</w:t>
      </w:r>
      <w:r w:rsidRPr="005B09A9">
        <w:t xml:space="preserve"> 19, 599–611.</w:t>
      </w:r>
    </w:p>
    <w:p w14:paraId="1F068336" w14:textId="77777777" w:rsidR="0041365F" w:rsidRPr="005B09A9" w:rsidRDefault="0041365F" w:rsidP="0041365F">
      <w:pPr>
        <w:pStyle w:val="Bibliographie"/>
      </w:pPr>
      <w:r w:rsidRPr="005B09A9">
        <w:t xml:space="preserve">Ouzzani, M., Hammady, H., Fedorowicz, Z., Elmagardmid, A. (2016). Rayyan — a web and mobile app for systematic reviews. </w:t>
      </w:r>
      <w:r w:rsidRPr="005B09A9">
        <w:rPr>
          <w:i/>
          <w:iCs/>
        </w:rPr>
        <w:t>Syst Rev</w:t>
      </w:r>
      <w:r w:rsidRPr="005B09A9">
        <w:t xml:space="preserve"> 5, 210.</w:t>
      </w:r>
    </w:p>
    <w:p w14:paraId="57E4726D" w14:textId="77777777" w:rsidR="0041365F" w:rsidRPr="005B09A9" w:rsidRDefault="0041365F" w:rsidP="0041365F">
      <w:pPr>
        <w:pStyle w:val="Bibliographie"/>
      </w:pPr>
      <w:r w:rsidRPr="005B09A9">
        <w:t xml:space="preserve">Page, M.J., Moher, D., Bossuyt, P.M., Boutron, I., Hoffmann, T.C., Mulrow, C.D., Shamseer, L., Tetzlaff, J.M., Akl, E.A., Brennan, S.E., Chou, R., Glanville, J., Grimshaw, J.M., Hróbjartsson, A., Lalu, M.M., Li, T., Loder, E.W., Mayo-Wilson, E., McDonald, S., McGuinness, L.A., Stewart, L.A., Thomas, J., Tricco, A.C., Welch, V.A., Whiting, P., McKenzie, J.E. (2021). PRISMA 2020 explanation and elaboration: updated guidance and exemplars for reporting systematic reviews. </w:t>
      </w:r>
      <w:r w:rsidRPr="005B09A9">
        <w:rPr>
          <w:i/>
          <w:iCs/>
        </w:rPr>
        <w:t>BMJ</w:t>
      </w:r>
      <w:r w:rsidRPr="005B09A9">
        <w:t xml:space="preserve"> 372, n160.</w:t>
      </w:r>
    </w:p>
    <w:p w14:paraId="7206A832" w14:textId="77777777" w:rsidR="0041365F" w:rsidRPr="005B09A9" w:rsidRDefault="0041365F" w:rsidP="0041365F">
      <w:pPr>
        <w:pStyle w:val="Bibliographie"/>
      </w:pPr>
      <w:r w:rsidRPr="005B09A9">
        <w:lastRenderedPageBreak/>
        <w:t xml:space="preserve">Park, H.Y., Jang, Y.E., Oh, S., Lee, P.B. (2020). Psychological Characteristics in Patients with Chronic Complex Regional Pain Syndrome: Comparisons with Patients with Major Depressive Disorder and Other Types of Chronic Pain. </w:t>
      </w:r>
      <w:r w:rsidRPr="005B09A9">
        <w:rPr>
          <w:i/>
          <w:iCs/>
        </w:rPr>
        <w:t>J Pain Res</w:t>
      </w:r>
      <w:r w:rsidRPr="005B09A9">
        <w:t xml:space="preserve"> 13, 389–398.</w:t>
      </w:r>
    </w:p>
    <w:p w14:paraId="046F75E3" w14:textId="77777777" w:rsidR="0041365F" w:rsidRPr="005B09A9" w:rsidRDefault="0041365F" w:rsidP="0041365F">
      <w:pPr>
        <w:pStyle w:val="Bibliographie"/>
      </w:pPr>
      <w:r w:rsidRPr="005B09A9">
        <w:t xml:space="preserve">Pendón, G., Salas, A., García, M., Pereira, D. (2017). Complex regional pain syndrome type 1: Analysis of 108 patients. </w:t>
      </w:r>
      <w:r w:rsidRPr="005B09A9">
        <w:rPr>
          <w:i/>
          <w:iCs/>
        </w:rPr>
        <w:t>Reumatol Clin</w:t>
      </w:r>
      <w:r w:rsidRPr="005B09A9">
        <w:t xml:space="preserve"> 13, 73–77.</w:t>
      </w:r>
    </w:p>
    <w:p w14:paraId="430A3259" w14:textId="77777777" w:rsidR="0041365F" w:rsidRPr="005B09A9" w:rsidRDefault="0041365F" w:rsidP="0041365F">
      <w:pPr>
        <w:pStyle w:val="Bibliographie"/>
      </w:pPr>
      <w:r w:rsidRPr="005B09A9">
        <w:t xml:space="preserve">Pons, T., Shipton, E.A., Williman, J., Mulder, R.T. (2015). Potential Risk Factors for the Onset of Complex Regional Pain Syndrome Type 1: A Systematic Literature Review. </w:t>
      </w:r>
      <w:r w:rsidRPr="005B09A9">
        <w:rPr>
          <w:i/>
          <w:iCs/>
        </w:rPr>
        <w:t>Anesthesiol Res Pract</w:t>
      </w:r>
      <w:r w:rsidRPr="005B09A9">
        <w:t xml:space="preserve"> 2015, 956539.</w:t>
      </w:r>
    </w:p>
    <w:p w14:paraId="793A529A" w14:textId="77777777" w:rsidR="0041365F" w:rsidRPr="005B09A9" w:rsidRDefault="0041365F" w:rsidP="0041365F">
      <w:pPr>
        <w:pStyle w:val="Bibliographie"/>
      </w:pPr>
      <w:r w:rsidRPr="005B09A9">
        <w:t xml:space="preserve">Reimer, M., Rempe, T., Diedrichs, C., Baron, R., Gierthmühlen, J. (2016). Sensitization of the Nociceptive System in Complex Regional Pain Syndrome. </w:t>
      </w:r>
      <w:r w:rsidRPr="005B09A9">
        <w:rPr>
          <w:i/>
          <w:iCs/>
        </w:rPr>
        <w:t>PloS One</w:t>
      </w:r>
      <w:r w:rsidRPr="005B09A9">
        <w:t xml:space="preserve"> 11, e0154553.</w:t>
      </w:r>
    </w:p>
    <w:p w14:paraId="4D7FC8B8" w14:textId="77777777" w:rsidR="0041365F" w:rsidRPr="005B09A9" w:rsidRDefault="0041365F" w:rsidP="0041365F">
      <w:pPr>
        <w:pStyle w:val="Bibliographie"/>
      </w:pPr>
      <w:r w:rsidRPr="005B09A9">
        <w:t xml:space="preserve">Riley, R.D., Moons, K.G.M., Snell, K.I.E., Ensor, J., Hooft, L., Altman, D.G., Hayden, J., Collins, G.S., Debray, T.P.A. (2019). A guide to systematic review and meta-analysis of prognostic factor studies. </w:t>
      </w:r>
      <w:r w:rsidRPr="005B09A9">
        <w:rPr>
          <w:i/>
          <w:iCs/>
        </w:rPr>
        <w:t>BMJ</w:t>
      </w:r>
      <w:r w:rsidRPr="005B09A9">
        <w:t xml:space="preserve"> 364, k4597.</w:t>
      </w:r>
    </w:p>
    <w:p w14:paraId="3A440E8A" w14:textId="77777777" w:rsidR="0041365F" w:rsidRPr="005B09A9" w:rsidRDefault="0041365F" w:rsidP="0041365F">
      <w:pPr>
        <w:pStyle w:val="Bibliographie"/>
      </w:pPr>
      <w:r w:rsidRPr="005B09A9">
        <w:t xml:space="preserve">RJ, G., JA, R., P, V. (1990). [The clinical symptoms in post-traumatic dystrophy]. </w:t>
      </w:r>
      <w:r w:rsidRPr="005B09A9">
        <w:rPr>
          <w:i/>
          <w:iCs/>
        </w:rPr>
        <w:t>Ned Tijdschr Geneeskd</w:t>
      </w:r>
      <w:r w:rsidRPr="005B09A9">
        <w:t xml:space="preserve"> 134, 2138–2141.</w:t>
      </w:r>
    </w:p>
    <w:p w14:paraId="5FEE99D9" w14:textId="77777777" w:rsidR="0041365F" w:rsidRPr="005B09A9" w:rsidRDefault="0041365F" w:rsidP="0041365F">
      <w:pPr>
        <w:pStyle w:val="Bibliographie"/>
      </w:pPr>
      <w:r w:rsidRPr="005B09A9">
        <w:t xml:space="preserve">Roh, Y.H., Gong, H.S., Baek, G.H. (2019). Prognostic Value of Pain Sensitization During Early Recovery After Distal Radius Fracture in Complex Regional Pain Syndrome. </w:t>
      </w:r>
      <w:r w:rsidRPr="005B09A9">
        <w:rPr>
          <w:i/>
          <w:iCs/>
        </w:rPr>
        <w:t>Pain Med Malden Mass</w:t>
      </w:r>
      <w:r w:rsidRPr="005B09A9">
        <w:t xml:space="preserve"> 20, 1066–1071.</w:t>
      </w:r>
    </w:p>
    <w:p w14:paraId="5F91123D" w14:textId="77777777" w:rsidR="0041365F" w:rsidRPr="005B09A9" w:rsidRDefault="0041365F" w:rsidP="0041365F">
      <w:pPr>
        <w:pStyle w:val="Bibliographie"/>
      </w:pPr>
      <w:r w:rsidRPr="005B09A9">
        <w:t xml:space="preserve">Roh, Y.H., Lee, B.K., Noh, J.H., Baek, J.R., Oh, J.H., Gong, H.S., Baek, G.H. (2014). Factors associated with complex regional pain syndrome type I in patients with surgically treated distal radius fracture. </w:t>
      </w:r>
      <w:r w:rsidRPr="005B09A9">
        <w:rPr>
          <w:i/>
          <w:iCs/>
        </w:rPr>
        <w:t>Arch Orthop Trauma Surg</w:t>
      </w:r>
      <w:r w:rsidRPr="005B09A9">
        <w:t xml:space="preserve"> 134, 1775–1781.</w:t>
      </w:r>
    </w:p>
    <w:p w14:paraId="5B75AA64" w14:textId="77777777" w:rsidR="0041365F" w:rsidRPr="005B09A9" w:rsidRDefault="0041365F" w:rsidP="0041365F">
      <w:pPr>
        <w:pStyle w:val="Bibliographie"/>
      </w:pPr>
      <w:r w:rsidRPr="005B09A9">
        <w:t xml:space="preserve">Sandroni, P., Benrud-Larson, L.M., McClelland, R.L., Low, P.A. (2003). Complex regional pain syndrome type I: incidence and prevalence in Olmsted county, a population-based study. </w:t>
      </w:r>
      <w:r w:rsidRPr="005B09A9">
        <w:rPr>
          <w:i/>
          <w:iCs/>
        </w:rPr>
        <w:t>Pain</w:t>
      </w:r>
      <w:r w:rsidRPr="005B09A9">
        <w:t xml:space="preserve"> 103, 199–207.</w:t>
      </w:r>
    </w:p>
    <w:p w14:paraId="4C169E50" w14:textId="77777777" w:rsidR="0041365F" w:rsidRPr="005B09A9" w:rsidRDefault="0041365F" w:rsidP="0041365F">
      <w:pPr>
        <w:pStyle w:val="Bibliographie"/>
      </w:pPr>
      <w:r w:rsidRPr="005B09A9">
        <w:t xml:space="preserve">Savaş, S., İnal, E.E., Yavuz, D.D., Uslusoy, F., Altuntaş, S.H., Aydın, M.A. (2018). Risk factors for complex regional pain syndrome in patients with surgically treated traumatic injuries attending hand therapy. </w:t>
      </w:r>
      <w:r w:rsidRPr="005B09A9">
        <w:rPr>
          <w:i/>
          <w:iCs/>
        </w:rPr>
        <w:t>J Hand Ther Off J Am Soc Hand Ther</w:t>
      </w:r>
      <w:r w:rsidRPr="005B09A9">
        <w:t xml:space="preserve"> 31, 250–254.</w:t>
      </w:r>
    </w:p>
    <w:p w14:paraId="1AC430B1" w14:textId="77777777" w:rsidR="0041365F" w:rsidRPr="005B09A9" w:rsidRDefault="0041365F" w:rsidP="0041365F">
      <w:pPr>
        <w:pStyle w:val="Bibliographie"/>
      </w:pPr>
      <w:r w:rsidRPr="005B09A9">
        <w:t xml:space="preserve">Scholz-Odermatt, S.M., Luthi, F., Wertli, M.M., Brunner, F. (2019). Direct Health Care Cost and Work Incapacity Related to Complex Regional Pain Syndrome in Switzerland: A Retrospective Analysis from 2008 to 2015. </w:t>
      </w:r>
      <w:r w:rsidRPr="005B09A9">
        <w:rPr>
          <w:i/>
          <w:iCs/>
        </w:rPr>
        <w:t>Pain Med Malden Mass</w:t>
      </w:r>
      <w:r w:rsidRPr="005B09A9">
        <w:t xml:space="preserve"> 20, 1559–1569.</w:t>
      </w:r>
    </w:p>
    <w:p w14:paraId="738CB0AB" w14:textId="77777777" w:rsidR="0041365F" w:rsidRPr="005B09A9" w:rsidRDefault="0041365F" w:rsidP="0041365F">
      <w:pPr>
        <w:pStyle w:val="Bibliographie"/>
      </w:pPr>
      <w:r w:rsidRPr="005B09A9">
        <w:t xml:space="preserve">Schwartzman, R.J., Erwin, K.L., Alexander, G.M. (2009). The natural history of complex regional pain syndrome. </w:t>
      </w:r>
      <w:r w:rsidRPr="005B09A9">
        <w:rPr>
          <w:i/>
          <w:iCs/>
        </w:rPr>
        <w:t>Clin J Pain</w:t>
      </w:r>
      <w:r w:rsidRPr="005B09A9">
        <w:t xml:space="preserve"> 25, 273–280.</w:t>
      </w:r>
    </w:p>
    <w:p w14:paraId="77627D10" w14:textId="77777777" w:rsidR="0041365F" w:rsidRPr="005B09A9" w:rsidRDefault="0041365F" w:rsidP="0041365F">
      <w:pPr>
        <w:pStyle w:val="Bibliographie"/>
      </w:pPr>
      <w:r w:rsidRPr="005B09A9">
        <w:t xml:space="preserve">Snoek, A., Dekker, M., Lagrand, T., Epema, A., van der Ploeg, T., van den Brand, J.G.H. (2013). A clinical decision model identifies patients at risk for delayed diagnosed injuries after high-energy trauma. </w:t>
      </w:r>
      <w:r w:rsidRPr="005B09A9">
        <w:rPr>
          <w:i/>
          <w:iCs/>
        </w:rPr>
        <w:t>Eur J Emerg Med Off J Eur Soc Emerg Med</w:t>
      </w:r>
      <w:r w:rsidRPr="005B09A9">
        <w:t xml:space="preserve"> 20, 167–172.</w:t>
      </w:r>
    </w:p>
    <w:p w14:paraId="1864D337" w14:textId="77777777" w:rsidR="0041365F" w:rsidRPr="005B09A9" w:rsidRDefault="0041365F" w:rsidP="0041365F">
      <w:pPr>
        <w:pStyle w:val="Bibliographie"/>
      </w:pPr>
      <w:r w:rsidRPr="005B09A9">
        <w:t xml:space="preserve">Ten Brink, A.F., Halicka, M., Vittersø, A.D., Jones, H.G., Stanton, T.R., Bultitude, J.H. (2021). Validation of the Bath CRPS Body Perception Disturbance Scale. </w:t>
      </w:r>
      <w:r w:rsidRPr="005B09A9">
        <w:rPr>
          <w:i/>
          <w:iCs/>
        </w:rPr>
        <w:t>J Pain</w:t>
      </w:r>
      <w:r w:rsidRPr="005B09A9">
        <w:t xml:space="preserve"> 22, 1371–1384.</w:t>
      </w:r>
    </w:p>
    <w:p w14:paraId="6F0796F5" w14:textId="77777777" w:rsidR="0041365F" w:rsidRPr="005B09A9" w:rsidRDefault="0041365F" w:rsidP="0041365F">
      <w:pPr>
        <w:pStyle w:val="Bibliographie"/>
      </w:pPr>
      <w:r w:rsidRPr="005B09A9">
        <w:t xml:space="preserve">van der Laan L, Veldman PH, Goris RJ (1998). Severe complications of reflex sympathetic dystrophy: infection, ulcers, chronic edema, dystonia, and myoclonus. </w:t>
      </w:r>
      <w:r w:rsidRPr="005B09A9">
        <w:rPr>
          <w:i/>
          <w:iCs/>
        </w:rPr>
        <w:t>Arch Phys Med Rehabil</w:t>
      </w:r>
      <w:r w:rsidRPr="005B09A9">
        <w:t xml:space="preserve"> 79, 424–429.</w:t>
      </w:r>
    </w:p>
    <w:p w14:paraId="113714C4" w14:textId="77777777" w:rsidR="0041365F" w:rsidRPr="005B09A9" w:rsidRDefault="0041365F" w:rsidP="0041365F">
      <w:pPr>
        <w:pStyle w:val="Bibliographie"/>
      </w:pPr>
      <w:r w:rsidRPr="005B09A9">
        <w:lastRenderedPageBreak/>
        <w:t xml:space="preserve">Vaneker, M., Wilder-Smith, O.H.G., Schrombges, P., de Man-Hermsen, I., Oerlemans, H.M. (2005). Patients initially diagnosed as “warm” or “cold” CRPS 1 show differences in central sensory processing some eight years after diagnosis: a quantitative sensory testing study. </w:t>
      </w:r>
      <w:r w:rsidRPr="005B09A9">
        <w:rPr>
          <w:i/>
          <w:iCs/>
        </w:rPr>
        <w:t>Pain</w:t>
      </w:r>
      <w:r w:rsidRPr="005B09A9">
        <w:t xml:space="preserve"> 115, 204–211.</w:t>
      </w:r>
    </w:p>
    <w:p w14:paraId="09245C14" w14:textId="77777777" w:rsidR="0041365F" w:rsidRPr="005B09A9" w:rsidRDefault="0041365F" w:rsidP="0041365F">
      <w:pPr>
        <w:pStyle w:val="Bibliographie"/>
      </w:pPr>
      <w:r w:rsidRPr="005B09A9">
        <w:t xml:space="preserve">Vaneker, M., Wilder-Smith, O.H.G., Schrombges, P., Oerlemans, H.M. (2006). Impairments as measured by ISS do not greatly change between one and eight years after CRPS 1 diagnosis. </w:t>
      </w:r>
      <w:r w:rsidRPr="005B09A9">
        <w:rPr>
          <w:i/>
          <w:iCs/>
        </w:rPr>
        <w:t>Eur J Pain Lond Engl</w:t>
      </w:r>
      <w:r w:rsidRPr="005B09A9">
        <w:t xml:space="preserve"> 10, 639–644.</w:t>
      </w:r>
    </w:p>
    <w:p w14:paraId="52ED1992" w14:textId="77777777" w:rsidR="0041365F" w:rsidRPr="005B09A9" w:rsidRDefault="0041365F" w:rsidP="0041365F">
      <w:pPr>
        <w:pStyle w:val="Bibliographie"/>
      </w:pPr>
      <w:r w:rsidRPr="005B09A9">
        <w:t xml:space="preserve">Veirman, E., Van Ryckeghem, D.M.L., De Paepe, A., Kirtley, O.J., Crombez, G. (2019). Multidimensional screening for predicting pain problems in adults: a systematic review of screening tools and validation studies. </w:t>
      </w:r>
      <w:r w:rsidRPr="005B09A9">
        <w:rPr>
          <w:i/>
          <w:iCs/>
        </w:rPr>
        <w:t>Pain Rep</w:t>
      </w:r>
      <w:r w:rsidRPr="005B09A9">
        <w:t xml:space="preserve"> 4, e775.</w:t>
      </w:r>
    </w:p>
    <w:p w14:paraId="6CFAD99E" w14:textId="77777777" w:rsidR="0041365F" w:rsidRPr="005B09A9" w:rsidRDefault="0041365F" w:rsidP="0041365F">
      <w:pPr>
        <w:pStyle w:val="Bibliographie"/>
      </w:pPr>
      <w:r w:rsidRPr="005B09A9">
        <w:t xml:space="preserve">Veldman, P.H., Reynen, H.M., Arntz, I.E., Goris, R.J. (1993). Signs and symptoms of reflex sympathetic dystrophy: prospective study of 829 patients. </w:t>
      </w:r>
      <w:r w:rsidRPr="005B09A9">
        <w:rPr>
          <w:i/>
          <w:iCs/>
        </w:rPr>
        <w:t>Lancet Lond Engl</w:t>
      </w:r>
      <w:r w:rsidRPr="005B09A9">
        <w:t xml:space="preserve"> 342, 1012–1016.</w:t>
      </w:r>
    </w:p>
    <w:p w14:paraId="6E7B6B98" w14:textId="77777777" w:rsidR="0041365F" w:rsidRPr="005B09A9" w:rsidRDefault="0041365F" w:rsidP="0041365F">
      <w:pPr>
        <w:pStyle w:val="Bibliographie"/>
      </w:pPr>
      <w:r w:rsidRPr="005B09A9">
        <w:t xml:space="preserve">van Velzen, G.A.J., Huygen, F.J.P.M., van Kleef, M., van Eijs, F.V., Marinus, J., van Hilten, J.J. (2019). Sex matters in complex regional pain syndrome. </w:t>
      </w:r>
      <w:r w:rsidRPr="005B09A9">
        <w:rPr>
          <w:i/>
          <w:iCs/>
        </w:rPr>
        <w:t>Eur J Pain</w:t>
      </w:r>
      <w:r w:rsidRPr="005B09A9">
        <w:t xml:space="preserve"> 23, 1108–1116.</w:t>
      </w:r>
    </w:p>
    <w:p w14:paraId="0FDBA753" w14:textId="77777777" w:rsidR="0041365F" w:rsidRPr="005B09A9" w:rsidRDefault="0041365F" w:rsidP="0041365F">
      <w:pPr>
        <w:pStyle w:val="Bibliographie"/>
      </w:pPr>
      <w:r w:rsidRPr="005B09A9">
        <w:t xml:space="preserve">Verwoerd, M., Wittink, H., Maissan, F., de Raaij, E., Smeets, R.J.E.M. (2019). Prognostic factors for persistent pain after a first episode of nonspecific idiopathic, non-traumatic neck pain: A systematic review. </w:t>
      </w:r>
      <w:r w:rsidRPr="005B09A9">
        <w:rPr>
          <w:i/>
          <w:iCs/>
        </w:rPr>
        <w:t>Musculoskelet Sci Pract</w:t>
      </w:r>
      <w:r w:rsidRPr="005B09A9">
        <w:t xml:space="preserve"> 42, 13–37.</w:t>
      </w:r>
    </w:p>
    <w:p w14:paraId="78AECD6D" w14:textId="77777777" w:rsidR="0041365F" w:rsidRPr="005B09A9" w:rsidRDefault="0041365F" w:rsidP="0041365F">
      <w:pPr>
        <w:pStyle w:val="Bibliographie"/>
      </w:pPr>
      <w:r w:rsidRPr="005B09A9">
        <w:t xml:space="preserve">Wertli, M., Bachmann, L.M., Weiner, S.S., Brunner, F. (2013). Prognostic factors in complex regional pain syndrome 1: a systematic review. </w:t>
      </w:r>
      <w:r w:rsidRPr="005B09A9">
        <w:rPr>
          <w:i/>
          <w:iCs/>
        </w:rPr>
        <w:t>J Rehabil Med</w:t>
      </w:r>
      <w:r w:rsidRPr="005B09A9">
        <w:t xml:space="preserve"> 45, 225–231.</w:t>
      </w:r>
    </w:p>
    <w:p w14:paraId="650BCA3A" w14:textId="77777777" w:rsidR="0041365F" w:rsidRPr="005B09A9" w:rsidRDefault="0041365F" w:rsidP="0041365F">
      <w:pPr>
        <w:pStyle w:val="Bibliographie"/>
      </w:pPr>
      <w:r w:rsidRPr="005B09A9">
        <w:t xml:space="preserve">Wittayer, M., Dimova, V., Birklein, F., Schlereth, T. (2018). Correlates and importance of neglect-like symptoms in complex regional pain syndrome. </w:t>
      </w:r>
      <w:r w:rsidRPr="005B09A9">
        <w:rPr>
          <w:i/>
          <w:iCs/>
        </w:rPr>
        <w:t>Pain</w:t>
      </w:r>
      <w:r w:rsidRPr="005B09A9">
        <w:t xml:space="preserve"> 159, 978–986.</w:t>
      </w:r>
    </w:p>
    <w:p w14:paraId="105A0830" w14:textId="77777777" w:rsidR="0041365F" w:rsidRPr="005B09A9" w:rsidRDefault="0041365F" w:rsidP="0041365F">
      <w:pPr>
        <w:pStyle w:val="Bibliographie"/>
      </w:pPr>
      <w:r w:rsidRPr="005B09A9">
        <w:t xml:space="preserve">Zyluk, A. (1998). The natural history of post-traumatic reflex sympathetic dystrophy. </w:t>
      </w:r>
      <w:r w:rsidRPr="005B09A9">
        <w:rPr>
          <w:i/>
          <w:iCs/>
        </w:rPr>
        <w:t>J Hand Surg Edinb Scotl</w:t>
      </w:r>
      <w:r w:rsidRPr="005B09A9">
        <w:t xml:space="preserve"> 23, 20–23.</w:t>
      </w:r>
    </w:p>
    <w:p w14:paraId="26D39F99" w14:textId="7AF8E426" w:rsidR="00753C1A" w:rsidRPr="005B09A9" w:rsidRDefault="00990A5E" w:rsidP="003B7B2C">
      <w:pPr>
        <w:pStyle w:val="Titre"/>
        <w:spacing w:line="480" w:lineRule="auto"/>
        <w:jc w:val="left"/>
        <w:rPr>
          <w:rFonts w:ascii="Times New Roman" w:hAnsi="Times New Roman" w:cs="Times New Roman"/>
          <w:b w:val="0"/>
          <w:sz w:val="24"/>
          <w:szCs w:val="24"/>
        </w:rPr>
      </w:pPr>
      <w:r w:rsidRPr="005B09A9">
        <w:rPr>
          <w:rFonts w:ascii="Times New Roman" w:hAnsi="Times New Roman" w:cs="Times New Roman"/>
          <w:b w:val="0"/>
          <w:sz w:val="24"/>
          <w:szCs w:val="24"/>
        </w:rPr>
        <w:fldChar w:fldCharType="end"/>
      </w:r>
    </w:p>
    <w:p w14:paraId="2008E4B8" w14:textId="77777777" w:rsidR="00753C1A" w:rsidRPr="005B09A9" w:rsidRDefault="00753C1A" w:rsidP="003B7B2C">
      <w:pPr>
        <w:spacing w:line="480" w:lineRule="auto"/>
        <w:jc w:val="left"/>
        <w:rPr>
          <w:rFonts w:ascii="Times New Roman" w:eastAsiaTheme="majorEastAsia" w:hAnsi="Times New Roman" w:cs="Times New Roman"/>
          <w:spacing w:val="-10"/>
          <w:kern w:val="28"/>
          <w:sz w:val="24"/>
          <w:szCs w:val="24"/>
          <w:u w:val="single"/>
        </w:rPr>
      </w:pPr>
      <w:r w:rsidRPr="005B09A9">
        <w:rPr>
          <w:rFonts w:ascii="Times New Roman" w:hAnsi="Times New Roman" w:cs="Times New Roman"/>
          <w:sz w:val="24"/>
          <w:szCs w:val="24"/>
        </w:rPr>
        <w:br w:type="page"/>
      </w:r>
    </w:p>
    <w:p w14:paraId="5205597F" w14:textId="66F058CF" w:rsidR="0075693F" w:rsidRPr="005B09A9" w:rsidRDefault="003B5BB4" w:rsidP="003B7B2C">
      <w:pPr>
        <w:pStyle w:val="Titre"/>
        <w:spacing w:line="480" w:lineRule="auto"/>
        <w:jc w:val="left"/>
        <w:rPr>
          <w:rFonts w:ascii="Times New Roman" w:hAnsi="Times New Roman" w:cs="Times New Roman"/>
          <w:b w:val="0"/>
        </w:rPr>
      </w:pPr>
      <w:r w:rsidRPr="005B09A9">
        <w:rPr>
          <w:rFonts w:ascii="Times New Roman" w:hAnsi="Times New Roman" w:cs="Times New Roman"/>
          <w:b w:val="0"/>
        </w:rPr>
        <w:lastRenderedPageBreak/>
        <w:t xml:space="preserve">Figures and Tables </w:t>
      </w:r>
    </w:p>
    <w:p w14:paraId="6BCE9B8F" w14:textId="77777777" w:rsidR="00EC4515" w:rsidRPr="005B09A9" w:rsidRDefault="00EC4515" w:rsidP="00552749">
      <w:pPr>
        <w:pStyle w:val="Paragraphedeliste"/>
        <w:numPr>
          <w:ilvl w:val="1"/>
          <w:numId w:val="27"/>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Figure 1</w:t>
      </w:r>
    </w:p>
    <w:p w14:paraId="57095C30" w14:textId="78592329" w:rsidR="000A5833" w:rsidRPr="005B09A9" w:rsidRDefault="000A5833" w:rsidP="000A5833">
      <w:pPr>
        <w:spacing w:line="480" w:lineRule="auto"/>
        <w:rPr>
          <w:rStyle w:val="Accentuationlgre"/>
          <w:rFonts w:ascii="Times New Roman" w:hAnsi="Times New Roman" w:cs="Times New Roman"/>
          <w:b w:val="0"/>
          <w:sz w:val="24"/>
          <w:u w:val="none"/>
          <w:lang w:val="en-US"/>
        </w:rPr>
      </w:pPr>
      <w:r w:rsidRPr="005B09A9">
        <w:rPr>
          <w:rStyle w:val="Accentuationlgre"/>
          <w:rFonts w:ascii="Times New Roman" w:hAnsi="Times New Roman" w:cs="Times New Roman"/>
          <w:b w:val="0"/>
          <w:sz w:val="24"/>
          <w:u w:val="none"/>
          <w:lang w:val="en-US"/>
        </w:rPr>
        <w:t>Figure 1: PRISMA flow d</w:t>
      </w:r>
      <w:r w:rsidR="00692636" w:rsidRPr="005B09A9">
        <w:rPr>
          <w:rStyle w:val="Accentuationlgre"/>
          <w:rFonts w:ascii="Times New Roman" w:hAnsi="Times New Roman" w:cs="Times New Roman"/>
          <w:b w:val="0"/>
          <w:sz w:val="24"/>
          <w:u w:val="none"/>
          <w:lang w:val="en-US"/>
        </w:rPr>
        <w:t xml:space="preserve">iagram of the systematic review </w:t>
      </w:r>
      <w:r w:rsidR="00692636" w:rsidRPr="005B09A9">
        <w:rPr>
          <w:rStyle w:val="Accentuationlgre"/>
          <w:rFonts w:ascii="Times New Roman" w:hAnsi="Times New Roman" w:cs="Times New Roman"/>
          <w:b w:val="0"/>
          <w:i w:val="0"/>
          <w:sz w:val="24"/>
          <w:u w:val="none"/>
          <w:lang w:val="en-US"/>
        </w:rPr>
        <w:fldChar w:fldCharType="begin"/>
      </w:r>
      <w:r w:rsidR="00692636" w:rsidRPr="005B09A9">
        <w:rPr>
          <w:rStyle w:val="Accentuationlgre"/>
          <w:rFonts w:ascii="Times New Roman" w:hAnsi="Times New Roman" w:cs="Times New Roman"/>
          <w:b w:val="0"/>
          <w:i w:val="0"/>
          <w:sz w:val="24"/>
          <w:u w:val="none"/>
          <w:lang w:val="en-US"/>
        </w:rPr>
        <w:instrText xml:space="preserve"> ADDIN ZOTERO_ITEM CSL_CITATION {"citationID":"cgllUmAq","properties":{"formattedCitation":"(Page et al., 2021)","plainCitation":"(Page et al., 2021)","noteIndex":0},"citationItems":[{"id":1174,"uris":["http://zotero.org/users/8777725/items/VY4BLJ3M"],"itemData":{"id":1174,"type":"article-journal","abstract":"&lt;p&gt;The methods and results of systematic reviews should be reported in sufficient detail to allow users to assess the trustworthiness and applicability of the review findings. The Preferred Reporting Items for Systematic reviews and Meta-Analyses (PRISMA) statement was developed to facilitate transparent and complete reporting of systematic reviews and has been updated (to PRISMA 2020) to reflect recent advances in systematic review methodology and terminology. Here, we present the explanation and elaboration paper for PRISMA 2020, where we explain why reporting of each item is recommended, present bullet points that detail the reporting recommendations, and present examples from published reviews. We hope that changes to the content and structure of PRISMA 2020 will facilitate uptake of the guideline and lead to more transparent, complete, and accurate reporting of systematic reviews.&lt;/p&gt;","container-title":"BMJ","DOI":"10.1136/bmj.n160","ISSN":"1756-1833","journalAbbreviation":"BMJ","language":"en","license":"©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33781993","page":"n160","source":"www.bmj.com","title":"PRISMA 2020 explanation and elaboration: updated guidance and exemplars for reporting systematic reviews","title-short":"PRISMA 2020 explanation and elaboration","volume":"372","author":[{"family":"Page","given":"Matthew J."},{"family":"Moher","given":"David"},{"family":"Bossuyt","given":"Patrick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A."},{"family":"Whiting","given":"Penny"},{"family":"McKenzie","given":"Joanne E."}],"issued":{"date-parts":[["2021",3,29]]}}}],"schema":"https://github.com/citation-style-language/schema/raw/master/csl-citation.json"} </w:instrText>
      </w:r>
      <w:r w:rsidR="00692636" w:rsidRPr="005B09A9">
        <w:rPr>
          <w:rStyle w:val="Accentuationlgre"/>
          <w:rFonts w:ascii="Times New Roman" w:hAnsi="Times New Roman" w:cs="Times New Roman"/>
          <w:b w:val="0"/>
          <w:i w:val="0"/>
          <w:sz w:val="24"/>
          <w:u w:val="none"/>
          <w:lang w:val="en-US"/>
        </w:rPr>
        <w:fldChar w:fldCharType="separate"/>
      </w:r>
      <w:r w:rsidR="00692636" w:rsidRPr="005B09A9">
        <w:rPr>
          <w:rFonts w:ascii="Times New Roman" w:hAnsi="Times New Roman" w:cs="Times New Roman"/>
          <w:i/>
          <w:sz w:val="24"/>
        </w:rPr>
        <w:t>(Page et al., 2021)</w:t>
      </w:r>
      <w:r w:rsidR="00692636" w:rsidRPr="005B09A9">
        <w:rPr>
          <w:rStyle w:val="Accentuationlgre"/>
          <w:rFonts w:ascii="Times New Roman" w:hAnsi="Times New Roman" w:cs="Times New Roman"/>
          <w:b w:val="0"/>
          <w:i w:val="0"/>
          <w:sz w:val="24"/>
          <w:u w:val="none"/>
          <w:lang w:val="en-US"/>
        </w:rPr>
        <w:fldChar w:fldCharType="end"/>
      </w:r>
      <w:r w:rsidR="00692636" w:rsidRPr="005B09A9">
        <w:rPr>
          <w:rStyle w:val="Accentuationlgre"/>
          <w:rFonts w:ascii="Times New Roman" w:hAnsi="Times New Roman" w:cs="Times New Roman"/>
          <w:b w:val="0"/>
          <w:i w:val="0"/>
          <w:sz w:val="24"/>
          <w:u w:val="none"/>
          <w:lang w:val="en-US"/>
        </w:rPr>
        <w:t>.</w:t>
      </w:r>
    </w:p>
    <w:p w14:paraId="504DD98D" w14:textId="4363643D" w:rsidR="00EC4515" w:rsidRPr="005B09A9" w:rsidRDefault="00201936" w:rsidP="003B7B2C">
      <w:pPr>
        <w:spacing w:line="480" w:lineRule="auto"/>
        <w:rPr>
          <w:rStyle w:val="Accentuationlgre"/>
          <w:rFonts w:ascii="Times New Roman" w:hAnsi="Times New Roman" w:cs="Times New Roman"/>
          <w:b w:val="0"/>
          <w:sz w:val="24"/>
          <w:szCs w:val="24"/>
          <w:u w:val="none"/>
        </w:rPr>
      </w:pPr>
      <w:r w:rsidRPr="005B09A9">
        <w:rPr>
          <w:rStyle w:val="Accentuationlgre"/>
          <w:rFonts w:ascii="Times New Roman" w:hAnsi="Times New Roman" w:cs="Times New Roman"/>
          <w:b w:val="0"/>
          <w:sz w:val="24"/>
          <w:szCs w:val="24"/>
          <w:u w:val="none"/>
        </w:rPr>
        <w:t>See</w:t>
      </w:r>
      <w:r w:rsidR="00EC4515" w:rsidRPr="005B09A9">
        <w:rPr>
          <w:rStyle w:val="Accentuationlgre"/>
          <w:rFonts w:ascii="Times New Roman" w:hAnsi="Times New Roman" w:cs="Times New Roman"/>
          <w:b w:val="0"/>
          <w:sz w:val="24"/>
          <w:szCs w:val="24"/>
          <w:u w:val="none"/>
        </w:rPr>
        <w:t xml:space="preserve"> 3. Figure 1 - PRISMA_2020_flow_diagram </w:t>
      </w:r>
    </w:p>
    <w:p w14:paraId="23AC8101" w14:textId="4E8F6973" w:rsidR="001E4E87" w:rsidRPr="005B09A9" w:rsidRDefault="001E4E87" w:rsidP="003B7B2C">
      <w:pPr>
        <w:spacing w:line="480" w:lineRule="auto"/>
        <w:jc w:val="left"/>
        <w:rPr>
          <w:rStyle w:val="Accentuationlgre"/>
          <w:rFonts w:ascii="Times New Roman" w:hAnsi="Times New Roman" w:cs="Times New Roman"/>
          <w:b w:val="0"/>
          <w:iCs w:val="0"/>
          <w:sz w:val="24"/>
          <w:szCs w:val="24"/>
          <w:u w:val="none"/>
        </w:rPr>
      </w:pPr>
      <w:r w:rsidRPr="005B09A9">
        <w:rPr>
          <w:rStyle w:val="Accentuationlgre"/>
          <w:rFonts w:ascii="Times New Roman" w:hAnsi="Times New Roman" w:cs="Times New Roman"/>
          <w:b w:val="0"/>
          <w:iCs w:val="0"/>
          <w:sz w:val="24"/>
          <w:szCs w:val="24"/>
          <w:u w:val="none"/>
        </w:rPr>
        <w:t>It is preferable that color be used for this figure in the print, but it is not required.</w:t>
      </w:r>
    </w:p>
    <w:p w14:paraId="5B77E1D4" w14:textId="1813F294" w:rsidR="00DA7FF8" w:rsidRPr="005B09A9" w:rsidRDefault="00DA7FF8" w:rsidP="00552749">
      <w:pPr>
        <w:pStyle w:val="Paragraphedeliste"/>
        <w:numPr>
          <w:ilvl w:val="1"/>
          <w:numId w:val="27"/>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Table 1</w:t>
      </w:r>
    </w:p>
    <w:p w14:paraId="1CEBD9EC" w14:textId="05861A92" w:rsidR="00C00CEA" w:rsidRPr="005B09A9" w:rsidRDefault="00C00CEA" w:rsidP="00C00CEA">
      <w:pPr>
        <w:spacing w:line="480" w:lineRule="auto"/>
        <w:rPr>
          <w:rStyle w:val="Accentuationlgre"/>
          <w:rFonts w:ascii="Times New Roman" w:hAnsi="Times New Roman" w:cs="Times New Roman"/>
          <w:b w:val="0"/>
          <w:bCs/>
          <w:sz w:val="24"/>
          <w:szCs w:val="24"/>
          <w:u w:val="none"/>
          <w:lang w:val="en-US"/>
        </w:rPr>
      </w:pPr>
      <w:r w:rsidRPr="005B09A9">
        <w:rPr>
          <w:rStyle w:val="Accentuationlgre"/>
          <w:rFonts w:ascii="Times New Roman" w:hAnsi="Times New Roman" w:cs="Times New Roman"/>
          <w:b w:val="0"/>
          <w:bCs/>
          <w:sz w:val="24"/>
          <w:szCs w:val="24"/>
          <w:u w:val="none"/>
          <w:lang w:val="en-US"/>
        </w:rPr>
        <w:t>Table 1: Study characteristics. DRF = distal radius fractures; LE = lower limb; UE = upper limb.</w:t>
      </w:r>
    </w:p>
    <w:p w14:paraId="211F5A35" w14:textId="7574CD10" w:rsidR="00DA7FF8" w:rsidRPr="005B09A9" w:rsidRDefault="00DA7FF8" w:rsidP="003B7B2C">
      <w:pPr>
        <w:spacing w:line="480" w:lineRule="auto"/>
        <w:rPr>
          <w:rStyle w:val="Accentuationlgre"/>
          <w:rFonts w:ascii="Times New Roman" w:hAnsi="Times New Roman" w:cs="Times New Roman"/>
          <w:b w:val="0"/>
          <w:i w:val="0"/>
          <w:sz w:val="24"/>
          <w:szCs w:val="24"/>
          <w:u w:val="none"/>
        </w:rPr>
      </w:pPr>
      <w:r w:rsidRPr="005B09A9">
        <w:rPr>
          <w:rStyle w:val="Accentuationlgre"/>
          <w:rFonts w:ascii="Times New Roman" w:hAnsi="Times New Roman" w:cs="Times New Roman"/>
          <w:b w:val="0"/>
          <w:i w:val="0"/>
          <w:sz w:val="24"/>
          <w:szCs w:val="24"/>
          <w:u w:val="none"/>
        </w:rPr>
        <w:t xml:space="preserve">See </w:t>
      </w:r>
      <w:r w:rsidRPr="005B09A9">
        <w:rPr>
          <w:rStyle w:val="Accentuationlgre"/>
          <w:rFonts w:ascii="Times New Roman" w:hAnsi="Times New Roman" w:cs="Times New Roman"/>
          <w:b w:val="0"/>
          <w:sz w:val="24"/>
          <w:szCs w:val="24"/>
          <w:u w:val="none"/>
        </w:rPr>
        <w:t>4</w:t>
      </w:r>
      <w:r w:rsidR="00266B4F" w:rsidRPr="005B09A9">
        <w:rPr>
          <w:rStyle w:val="Accentuationlgre"/>
          <w:rFonts w:ascii="Times New Roman" w:hAnsi="Times New Roman" w:cs="Times New Roman"/>
          <w:b w:val="0"/>
          <w:sz w:val="24"/>
          <w:szCs w:val="24"/>
          <w:u w:val="none"/>
        </w:rPr>
        <w:t>.</w:t>
      </w:r>
      <w:r w:rsidRPr="005B09A9">
        <w:rPr>
          <w:rStyle w:val="Accentuationlgre"/>
          <w:rFonts w:ascii="Times New Roman" w:hAnsi="Times New Roman" w:cs="Times New Roman"/>
          <w:b w:val="0"/>
          <w:sz w:val="24"/>
          <w:szCs w:val="24"/>
          <w:u w:val="none"/>
        </w:rPr>
        <w:t xml:space="preserve"> Table 1</w:t>
      </w:r>
      <w:r w:rsidRPr="005B09A9">
        <w:rPr>
          <w:rStyle w:val="Accentuationlgre"/>
          <w:rFonts w:ascii="Times New Roman" w:hAnsi="Times New Roman" w:cs="Times New Roman"/>
          <w:b w:val="0"/>
          <w:i w:val="0"/>
          <w:sz w:val="24"/>
          <w:szCs w:val="24"/>
          <w:u w:val="none"/>
        </w:rPr>
        <w:t xml:space="preserve"> (Excel).</w:t>
      </w:r>
    </w:p>
    <w:p w14:paraId="4AD47513" w14:textId="77777777" w:rsidR="00DA7FF8" w:rsidRPr="005B09A9" w:rsidRDefault="00DA7FF8" w:rsidP="00552749">
      <w:pPr>
        <w:pStyle w:val="Paragraphedeliste"/>
        <w:numPr>
          <w:ilvl w:val="1"/>
          <w:numId w:val="27"/>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Table 2</w:t>
      </w:r>
    </w:p>
    <w:p w14:paraId="38439C2A" w14:textId="3BBC03FB" w:rsidR="000A5833" w:rsidRPr="005B09A9" w:rsidRDefault="000A5833" w:rsidP="003B7B2C">
      <w:pPr>
        <w:spacing w:line="480" w:lineRule="auto"/>
        <w:rPr>
          <w:rStyle w:val="Accentuationlgre"/>
          <w:rFonts w:ascii="Times New Roman" w:hAnsi="Times New Roman" w:cs="Times New Roman"/>
          <w:b w:val="0"/>
          <w:bCs/>
          <w:sz w:val="24"/>
          <w:szCs w:val="24"/>
          <w:u w:val="none"/>
        </w:rPr>
      </w:pPr>
      <w:r w:rsidRPr="005B09A9">
        <w:rPr>
          <w:rStyle w:val="Accentuationlgre"/>
          <w:rFonts w:ascii="Times New Roman" w:hAnsi="Times New Roman" w:cs="Times New Roman"/>
          <w:b w:val="0"/>
          <w:bCs/>
          <w:sz w:val="24"/>
          <w:szCs w:val="24"/>
          <w:u w:val="none"/>
          <w:lang w:val="en-US"/>
        </w:rPr>
        <w:t xml:space="preserve">Table 2: RoB assessment using QUIPS tool. </w:t>
      </w:r>
      <w:r w:rsidRPr="005B09A9">
        <w:rPr>
          <w:rStyle w:val="Accentuationlgre"/>
          <w:rFonts w:ascii="Times New Roman" w:hAnsi="Times New Roman" w:cs="Times New Roman"/>
          <w:b w:val="0"/>
          <w:bCs/>
          <w:sz w:val="24"/>
          <w:szCs w:val="24"/>
          <w:u w:val="none"/>
        </w:rPr>
        <w:t>NA = Not Applicable.</w:t>
      </w:r>
    </w:p>
    <w:p w14:paraId="539C413A" w14:textId="625D81A6" w:rsidR="00DA7FF8" w:rsidRPr="005B09A9" w:rsidRDefault="00DA7FF8" w:rsidP="003B7B2C">
      <w:pPr>
        <w:spacing w:line="480" w:lineRule="auto"/>
        <w:rPr>
          <w:rStyle w:val="Accentuationlgre"/>
          <w:rFonts w:ascii="Times New Roman" w:hAnsi="Times New Roman" w:cs="Times New Roman"/>
          <w:b w:val="0"/>
          <w:i w:val="0"/>
          <w:sz w:val="24"/>
          <w:szCs w:val="24"/>
          <w:u w:val="none"/>
        </w:rPr>
      </w:pPr>
      <w:r w:rsidRPr="005B09A9">
        <w:rPr>
          <w:rStyle w:val="Accentuationlgre"/>
          <w:rFonts w:ascii="Times New Roman" w:hAnsi="Times New Roman" w:cs="Times New Roman"/>
          <w:b w:val="0"/>
          <w:i w:val="0"/>
          <w:sz w:val="24"/>
          <w:szCs w:val="24"/>
          <w:u w:val="none"/>
        </w:rPr>
        <w:t xml:space="preserve">See </w:t>
      </w:r>
      <w:r w:rsidRPr="005B09A9">
        <w:rPr>
          <w:rStyle w:val="Accentuationlgre"/>
          <w:rFonts w:ascii="Times New Roman" w:hAnsi="Times New Roman" w:cs="Times New Roman"/>
          <w:b w:val="0"/>
          <w:sz w:val="24"/>
          <w:szCs w:val="24"/>
          <w:u w:val="none"/>
        </w:rPr>
        <w:t>5</w:t>
      </w:r>
      <w:r w:rsidR="00266B4F" w:rsidRPr="005B09A9">
        <w:rPr>
          <w:rStyle w:val="Accentuationlgre"/>
          <w:rFonts w:ascii="Times New Roman" w:hAnsi="Times New Roman" w:cs="Times New Roman"/>
          <w:b w:val="0"/>
          <w:sz w:val="24"/>
          <w:szCs w:val="24"/>
          <w:u w:val="none"/>
        </w:rPr>
        <w:t>.</w:t>
      </w:r>
      <w:r w:rsidRPr="005B09A9">
        <w:rPr>
          <w:rStyle w:val="Accentuationlgre"/>
          <w:rFonts w:ascii="Times New Roman" w:hAnsi="Times New Roman" w:cs="Times New Roman"/>
          <w:b w:val="0"/>
          <w:sz w:val="24"/>
          <w:szCs w:val="24"/>
          <w:u w:val="none"/>
        </w:rPr>
        <w:t xml:space="preserve"> Table 2</w:t>
      </w:r>
      <w:r w:rsidRPr="005B09A9">
        <w:rPr>
          <w:rStyle w:val="Accentuationlgre"/>
          <w:rFonts w:ascii="Times New Roman" w:hAnsi="Times New Roman" w:cs="Times New Roman"/>
          <w:b w:val="0"/>
          <w:i w:val="0"/>
          <w:sz w:val="24"/>
          <w:szCs w:val="24"/>
          <w:u w:val="none"/>
        </w:rPr>
        <w:t xml:space="preserve"> (Excel).</w:t>
      </w:r>
    </w:p>
    <w:p w14:paraId="2C7F3A6B" w14:textId="77777777" w:rsidR="00DA7FF8" w:rsidRPr="005B09A9" w:rsidRDefault="00DA7FF8" w:rsidP="00552749">
      <w:pPr>
        <w:pStyle w:val="Paragraphedeliste"/>
        <w:numPr>
          <w:ilvl w:val="1"/>
          <w:numId w:val="27"/>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Table 3</w:t>
      </w:r>
    </w:p>
    <w:p w14:paraId="4850387D" w14:textId="527D714B" w:rsidR="000A5833" w:rsidRPr="005B09A9" w:rsidRDefault="000A5833" w:rsidP="000A5833">
      <w:pPr>
        <w:spacing w:line="480" w:lineRule="auto"/>
        <w:rPr>
          <w:rStyle w:val="Accentuationlgre"/>
          <w:rFonts w:ascii="Times New Roman" w:hAnsi="Times New Roman" w:cs="Times New Roman"/>
          <w:b w:val="0"/>
          <w:bCs/>
          <w:sz w:val="24"/>
          <w:szCs w:val="24"/>
          <w:u w:val="none"/>
        </w:rPr>
      </w:pPr>
      <w:r w:rsidRPr="005B09A9">
        <w:rPr>
          <w:rStyle w:val="Accentuationlgre"/>
          <w:rFonts w:ascii="Times New Roman" w:hAnsi="Times New Roman" w:cs="Times New Roman"/>
          <w:b w:val="0"/>
          <w:bCs/>
          <w:sz w:val="24"/>
          <w:szCs w:val="24"/>
          <w:u w:val="none"/>
        </w:rPr>
        <w:t>Table 3: Studies results. β = regression coefficient; CSS = CRPS Severity Score; MA = multivariable analysis; UA = univariable analysis; PSQ = Pain Sensitivity Questionnaire; PPT = Pressure Pain Threshold; OR = odds ratio.</w:t>
      </w:r>
    </w:p>
    <w:p w14:paraId="3170370B" w14:textId="31075A1E" w:rsidR="005E39B6" w:rsidRPr="005B09A9" w:rsidRDefault="005E39B6" w:rsidP="005E39B6">
      <w:pPr>
        <w:pStyle w:val="Paragraphedeliste"/>
        <w:numPr>
          <w:ilvl w:val="1"/>
          <w:numId w:val="27"/>
        </w:numPr>
        <w:spacing w:line="480" w:lineRule="auto"/>
        <w:rPr>
          <w:rStyle w:val="Accentuationlgre"/>
          <w:rFonts w:ascii="Times New Roman" w:hAnsi="Times New Roman" w:cs="Times New Roman"/>
          <w:b w:val="0"/>
          <w:bCs/>
          <w:sz w:val="24"/>
          <w:szCs w:val="24"/>
          <w:u w:val="none"/>
        </w:rPr>
      </w:pPr>
      <w:r w:rsidRPr="005B09A9">
        <w:rPr>
          <w:rStyle w:val="Accentuationlgre"/>
          <w:rFonts w:ascii="Times New Roman" w:hAnsi="Times New Roman" w:cs="Times New Roman"/>
          <w:b w:val="0"/>
          <w:bCs/>
          <w:sz w:val="24"/>
          <w:szCs w:val="24"/>
          <w:u w:val="none"/>
        </w:rPr>
        <w:t>Table 4</w:t>
      </w:r>
    </w:p>
    <w:p w14:paraId="2E194697" w14:textId="552A1C2D" w:rsidR="00753C1A" w:rsidRPr="005B09A9" w:rsidRDefault="00DA7FF8" w:rsidP="003B7B2C">
      <w:pPr>
        <w:spacing w:line="480" w:lineRule="auto"/>
        <w:rPr>
          <w:rStyle w:val="Accentuationlgre"/>
          <w:rFonts w:ascii="Times New Roman" w:hAnsi="Times New Roman" w:cs="Times New Roman"/>
          <w:b w:val="0"/>
          <w:i w:val="0"/>
          <w:sz w:val="24"/>
          <w:szCs w:val="24"/>
          <w:u w:val="none"/>
        </w:rPr>
      </w:pPr>
      <w:r w:rsidRPr="005B09A9">
        <w:rPr>
          <w:rStyle w:val="Accentuationlgre"/>
          <w:rFonts w:ascii="Times New Roman" w:hAnsi="Times New Roman" w:cs="Times New Roman"/>
          <w:b w:val="0"/>
          <w:i w:val="0"/>
          <w:sz w:val="24"/>
          <w:szCs w:val="24"/>
          <w:u w:val="none"/>
        </w:rPr>
        <w:t xml:space="preserve">See </w:t>
      </w:r>
      <w:r w:rsidRPr="005B09A9">
        <w:rPr>
          <w:rStyle w:val="Accentuationlgre"/>
          <w:rFonts w:ascii="Times New Roman" w:hAnsi="Times New Roman" w:cs="Times New Roman"/>
          <w:b w:val="0"/>
          <w:sz w:val="24"/>
          <w:szCs w:val="24"/>
          <w:u w:val="none"/>
        </w:rPr>
        <w:t>6</w:t>
      </w:r>
      <w:r w:rsidR="00266B4F" w:rsidRPr="005B09A9">
        <w:rPr>
          <w:rStyle w:val="Accentuationlgre"/>
          <w:rFonts w:ascii="Times New Roman" w:hAnsi="Times New Roman" w:cs="Times New Roman"/>
          <w:b w:val="0"/>
          <w:sz w:val="24"/>
          <w:szCs w:val="24"/>
          <w:u w:val="none"/>
        </w:rPr>
        <w:t>.</w:t>
      </w:r>
      <w:r w:rsidR="003E6719" w:rsidRPr="005B09A9">
        <w:rPr>
          <w:rStyle w:val="Accentuationlgre"/>
          <w:rFonts w:ascii="Times New Roman" w:hAnsi="Times New Roman" w:cs="Times New Roman"/>
          <w:b w:val="0"/>
          <w:sz w:val="24"/>
          <w:szCs w:val="24"/>
          <w:u w:val="none"/>
        </w:rPr>
        <w:t xml:space="preserve"> Table 4</w:t>
      </w:r>
      <w:r w:rsidRPr="005B09A9">
        <w:rPr>
          <w:rStyle w:val="Accentuationlgre"/>
          <w:rFonts w:ascii="Times New Roman" w:hAnsi="Times New Roman" w:cs="Times New Roman"/>
          <w:b w:val="0"/>
          <w:i w:val="0"/>
          <w:sz w:val="24"/>
          <w:szCs w:val="24"/>
          <w:u w:val="none"/>
        </w:rPr>
        <w:t xml:space="preserve"> (</w:t>
      </w:r>
      <w:r w:rsidR="003E6719" w:rsidRPr="005B09A9">
        <w:rPr>
          <w:rStyle w:val="Accentuationlgre"/>
          <w:rFonts w:ascii="Times New Roman" w:hAnsi="Times New Roman" w:cs="Times New Roman"/>
          <w:b w:val="0"/>
          <w:i w:val="0"/>
          <w:sz w:val="24"/>
          <w:szCs w:val="24"/>
          <w:u w:val="none"/>
        </w:rPr>
        <w:t>Word</w:t>
      </w:r>
      <w:r w:rsidRPr="005B09A9">
        <w:rPr>
          <w:rStyle w:val="Accentuationlgre"/>
          <w:rFonts w:ascii="Times New Roman" w:hAnsi="Times New Roman" w:cs="Times New Roman"/>
          <w:b w:val="0"/>
          <w:i w:val="0"/>
          <w:sz w:val="24"/>
          <w:szCs w:val="24"/>
          <w:u w:val="none"/>
        </w:rPr>
        <w:t>).</w:t>
      </w:r>
    </w:p>
    <w:p w14:paraId="0F89697D" w14:textId="67C524BC" w:rsidR="00340CF0" w:rsidRPr="005B09A9" w:rsidRDefault="00340CF0" w:rsidP="00340CF0">
      <w:pPr>
        <w:rPr>
          <w:rStyle w:val="Accentuationlgre"/>
          <w:rFonts w:ascii="Times New Roman" w:hAnsi="Times New Roman" w:cs="Times New Roman"/>
          <w:b w:val="0"/>
          <w:iCs w:val="0"/>
          <w:sz w:val="24"/>
          <w:szCs w:val="24"/>
          <w:u w:val="none"/>
          <w:lang w:val="en-US"/>
        </w:rPr>
      </w:pPr>
      <w:r w:rsidRPr="005B09A9">
        <w:rPr>
          <w:rStyle w:val="Accentuationlgre"/>
          <w:rFonts w:ascii="Times New Roman" w:hAnsi="Times New Roman" w:cs="Times New Roman"/>
          <w:b w:val="0"/>
          <w:sz w:val="24"/>
          <w:szCs w:val="24"/>
          <w:u w:val="none"/>
        </w:rPr>
        <w:t xml:space="preserve">Table 4: Quality of evidence assessment. </w:t>
      </w:r>
      <w:r w:rsidRPr="005B09A9">
        <w:rPr>
          <w:rFonts w:ascii="Times New Roman" w:hAnsi="Times New Roman" w:cs="Times New Roman"/>
          <w:sz w:val="24"/>
          <w:szCs w:val="24"/>
          <w:lang w:val="en-US"/>
        </w:rPr>
        <w:t xml:space="preserve">*Significant in multivariable analysis; °Significant only in univariable analysis; </w:t>
      </w:r>
      <w:r w:rsidRPr="005B09A9">
        <w:rPr>
          <w:rStyle w:val="Accentuationlgre"/>
          <w:rFonts w:ascii="Times New Roman" w:hAnsi="Times New Roman" w:cs="Times New Roman"/>
          <w:b w:val="0"/>
          <w:sz w:val="24"/>
          <w:szCs w:val="24"/>
          <w:u w:val="none"/>
        </w:rPr>
        <w:t xml:space="preserve">BMI = Body Mass Index; </w:t>
      </w:r>
      <w:r w:rsidRPr="005B09A9">
        <w:rPr>
          <w:rStyle w:val="Accentuationlgre"/>
          <w:rFonts w:ascii="Times New Roman" w:hAnsi="Times New Roman" w:cs="Times New Roman"/>
          <w:b w:val="0"/>
          <w:bCs/>
          <w:sz w:val="24"/>
          <w:szCs w:val="24"/>
          <w:u w:val="none"/>
        </w:rPr>
        <w:t>PSQ = Pain Sensitivity Questionnaire; PPT = Pressure Pain Threshold.</w:t>
      </w:r>
    </w:p>
    <w:p w14:paraId="62245A83" w14:textId="1D7D069B" w:rsidR="00340CF0" w:rsidRPr="005B09A9" w:rsidRDefault="00340CF0" w:rsidP="003B7B2C">
      <w:pPr>
        <w:spacing w:line="480" w:lineRule="auto"/>
        <w:rPr>
          <w:rStyle w:val="Accentuationlgre"/>
          <w:rFonts w:ascii="Times New Roman" w:hAnsi="Times New Roman" w:cs="Times New Roman"/>
          <w:b w:val="0"/>
          <w:i w:val="0"/>
          <w:sz w:val="24"/>
          <w:szCs w:val="24"/>
          <w:u w:val="none"/>
        </w:rPr>
      </w:pPr>
    </w:p>
    <w:p w14:paraId="5512AC78" w14:textId="77777777" w:rsidR="00340CF0" w:rsidRPr="005B09A9" w:rsidRDefault="00340CF0" w:rsidP="003B7B2C">
      <w:pPr>
        <w:spacing w:line="480" w:lineRule="auto"/>
        <w:rPr>
          <w:rStyle w:val="Accentuationlgre"/>
          <w:rFonts w:ascii="Times New Roman" w:hAnsi="Times New Roman" w:cs="Times New Roman"/>
          <w:b w:val="0"/>
          <w:i w:val="0"/>
          <w:sz w:val="24"/>
          <w:szCs w:val="24"/>
          <w:u w:val="none"/>
        </w:rPr>
      </w:pPr>
    </w:p>
    <w:p w14:paraId="0480EFBD" w14:textId="08E90698" w:rsidR="00753C1A" w:rsidRPr="005B09A9" w:rsidRDefault="00753C1A" w:rsidP="00552749">
      <w:pPr>
        <w:pStyle w:val="Paragraphedeliste"/>
        <w:numPr>
          <w:ilvl w:val="1"/>
          <w:numId w:val="27"/>
        </w:numPr>
        <w:spacing w:line="480" w:lineRule="auto"/>
        <w:rPr>
          <w:rStyle w:val="Accentuationlgre"/>
          <w:rFonts w:ascii="Times New Roman" w:hAnsi="Times New Roman" w:cs="Times New Roman"/>
          <w:b w:val="0"/>
          <w:sz w:val="24"/>
          <w:szCs w:val="24"/>
          <w:lang w:val="en-GB"/>
        </w:rPr>
      </w:pPr>
      <w:r w:rsidRPr="005B09A9">
        <w:rPr>
          <w:rStyle w:val="Accentuationlgre"/>
          <w:rFonts w:ascii="Times New Roman" w:hAnsi="Times New Roman" w:cs="Times New Roman"/>
          <w:b w:val="0"/>
          <w:sz w:val="24"/>
          <w:szCs w:val="24"/>
          <w:lang w:val="en-GB"/>
        </w:rPr>
        <w:t>Appendix</w:t>
      </w:r>
      <w:r w:rsidR="00201936" w:rsidRPr="005B09A9">
        <w:rPr>
          <w:rStyle w:val="Accentuationlgre"/>
          <w:rFonts w:ascii="Times New Roman" w:hAnsi="Times New Roman" w:cs="Times New Roman"/>
          <w:b w:val="0"/>
          <w:sz w:val="24"/>
          <w:szCs w:val="24"/>
          <w:lang w:val="en-GB"/>
        </w:rPr>
        <w:t xml:space="preserve"> - Supplemental online material</w:t>
      </w:r>
    </w:p>
    <w:p w14:paraId="43FBCA6A" w14:textId="77777777" w:rsidR="00446C36" w:rsidRPr="005B09A9" w:rsidRDefault="00446C36" w:rsidP="003B7B2C">
      <w:pPr>
        <w:spacing w:line="480" w:lineRule="auto"/>
        <w:rPr>
          <w:rStyle w:val="Accentuationlgre"/>
          <w:rFonts w:ascii="Times New Roman" w:hAnsi="Times New Roman" w:cs="Times New Roman"/>
          <w:b w:val="0"/>
          <w:i w:val="0"/>
          <w:sz w:val="24"/>
          <w:szCs w:val="24"/>
          <w:u w:val="none"/>
        </w:rPr>
      </w:pPr>
      <w:r w:rsidRPr="005B09A9">
        <w:rPr>
          <w:rStyle w:val="Accentuationlgre"/>
          <w:rFonts w:ascii="Times New Roman" w:hAnsi="Times New Roman" w:cs="Times New Roman"/>
          <w:b w:val="0"/>
          <w:i w:val="0"/>
          <w:sz w:val="24"/>
          <w:szCs w:val="24"/>
          <w:u w:val="none"/>
        </w:rPr>
        <w:t>Appendix 1. – Research equations</w:t>
      </w:r>
    </w:p>
    <w:p w14:paraId="253257D0" w14:textId="77777777" w:rsidR="00446C36" w:rsidRPr="005B09A9" w:rsidRDefault="00446C36" w:rsidP="003B7B2C">
      <w:pPr>
        <w:spacing w:line="480" w:lineRule="auto"/>
        <w:rPr>
          <w:rStyle w:val="Accentuationlgre"/>
          <w:rFonts w:ascii="Times New Roman" w:hAnsi="Times New Roman" w:cs="Times New Roman"/>
          <w:b w:val="0"/>
          <w:sz w:val="24"/>
          <w:szCs w:val="24"/>
          <w:u w:val="none"/>
        </w:rPr>
      </w:pPr>
      <w:r w:rsidRPr="005B09A9">
        <w:rPr>
          <w:rStyle w:val="Accentuationlgre"/>
          <w:rFonts w:ascii="Times New Roman" w:hAnsi="Times New Roman" w:cs="Times New Roman"/>
          <w:b w:val="0"/>
          <w:i w:val="0"/>
          <w:sz w:val="24"/>
          <w:szCs w:val="24"/>
          <w:u w:val="none"/>
        </w:rPr>
        <w:t xml:space="preserve">See </w:t>
      </w:r>
      <w:r w:rsidRPr="005B09A9">
        <w:rPr>
          <w:rStyle w:val="Accentuationlgre"/>
          <w:rFonts w:ascii="Times New Roman" w:hAnsi="Times New Roman" w:cs="Times New Roman"/>
          <w:b w:val="0"/>
          <w:sz w:val="24"/>
          <w:szCs w:val="24"/>
          <w:u w:val="none"/>
        </w:rPr>
        <w:t>9. methodsS1 Supplementary file Research equations.</w:t>
      </w:r>
    </w:p>
    <w:p w14:paraId="0B1DDCED" w14:textId="77777777" w:rsidR="00446C36" w:rsidRPr="005B09A9" w:rsidRDefault="00446C36" w:rsidP="003B7B2C">
      <w:pPr>
        <w:spacing w:line="480" w:lineRule="auto"/>
        <w:rPr>
          <w:rStyle w:val="Accentuationlgre"/>
          <w:rFonts w:ascii="Times New Roman" w:hAnsi="Times New Roman" w:cs="Times New Roman"/>
          <w:b w:val="0"/>
          <w:i w:val="0"/>
          <w:sz w:val="24"/>
          <w:szCs w:val="24"/>
          <w:u w:val="none"/>
        </w:rPr>
      </w:pPr>
      <w:r w:rsidRPr="005B09A9">
        <w:rPr>
          <w:rStyle w:val="Accentuationlgre"/>
          <w:rFonts w:ascii="Times New Roman" w:hAnsi="Times New Roman" w:cs="Times New Roman"/>
          <w:b w:val="0"/>
          <w:i w:val="0"/>
          <w:sz w:val="24"/>
          <w:szCs w:val="24"/>
          <w:u w:val="none"/>
        </w:rPr>
        <w:t>Appendix 2. – Justification for RoB</w:t>
      </w:r>
    </w:p>
    <w:p w14:paraId="1CBE37AA" w14:textId="22A68667" w:rsidR="00446C36" w:rsidRPr="005B09A9" w:rsidRDefault="000A5833" w:rsidP="00446C36">
      <w:pPr>
        <w:spacing w:line="480" w:lineRule="auto"/>
        <w:rPr>
          <w:rStyle w:val="Accentuationlgre"/>
          <w:rFonts w:ascii="Times New Roman" w:hAnsi="Times New Roman" w:cs="Times New Roman"/>
          <w:b w:val="0"/>
          <w:sz w:val="24"/>
          <w:szCs w:val="24"/>
          <w:u w:val="none"/>
        </w:rPr>
      </w:pPr>
      <w:r w:rsidRPr="005B09A9">
        <w:rPr>
          <w:rStyle w:val="Accentuationlgre"/>
          <w:rFonts w:ascii="Times New Roman" w:hAnsi="Times New Roman" w:cs="Times New Roman"/>
          <w:b w:val="0"/>
          <w:i w:val="0"/>
          <w:sz w:val="24"/>
          <w:szCs w:val="24"/>
          <w:u w:val="none"/>
        </w:rPr>
        <w:t xml:space="preserve">See </w:t>
      </w:r>
      <w:r w:rsidR="00446C36" w:rsidRPr="005B09A9">
        <w:rPr>
          <w:rStyle w:val="Accentuationlgre"/>
          <w:rFonts w:ascii="Times New Roman" w:hAnsi="Times New Roman" w:cs="Times New Roman"/>
          <w:b w:val="0"/>
          <w:sz w:val="24"/>
          <w:szCs w:val="24"/>
          <w:u w:val="none"/>
        </w:rPr>
        <w:t>8. tableS2 Supplementary file Justification for RoB (QUIPS tool).</w:t>
      </w:r>
    </w:p>
    <w:p w14:paraId="226A7B95" w14:textId="7688B70D" w:rsidR="006678BA" w:rsidRPr="005B09A9" w:rsidRDefault="00446C36" w:rsidP="003B7B2C">
      <w:pPr>
        <w:spacing w:line="480" w:lineRule="auto"/>
        <w:rPr>
          <w:rStyle w:val="Accentuationlgre"/>
          <w:rFonts w:ascii="Times New Roman" w:hAnsi="Times New Roman" w:cs="Times New Roman"/>
          <w:b w:val="0"/>
          <w:sz w:val="24"/>
          <w:szCs w:val="24"/>
          <w:u w:val="none"/>
        </w:rPr>
      </w:pPr>
      <w:r w:rsidRPr="005B09A9">
        <w:rPr>
          <w:rStyle w:val="Accentuationlgre"/>
          <w:rFonts w:ascii="Times New Roman" w:hAnsi="Times New Roman" w:cs="Times New Roman"/>
          <w:b w:val="0"/>
          <w:i w:val="0"/>
          <w:sz w:val="24"/>
          <w:szCs w:val="24"/>
          <w:u w:val="none"/>
        </w:rPr>
        <w:t xml:space="preserve">See </w:t>
      </w:r>
      <w:r w:rsidR="000A5833" w:rsidRPr="005B09A9">
        <w:rPr>
          <w:rStyle w:val="Accentuationlgre"/>
          <w:rFonts w:ascii="Times New Roman" w:hAnsi="Times New Roman" w:cs="Times New Roman"/>
          <w:b w:val="0"/>
          <w:i w:val="0"/>
          <w:sz w:val="24"/>
          <w:szCs w:val="24"/>
          <w:u w:val="none"/>
        </w:rPr>
        <w:t xml:space="preserve">7. </w:t>
      </w:r>
      <w:r w:rsidR="000A5833" w:rsidRPr="005B09A9">
        <w:rPr>
          <w:rStyle w:val="Accentuationlgre"/>
          <w:rFonts w:ascii="Times New Roman" w:hAnsi="Times New Roman" w:cs="Times New Roman"/>
          <w:b w:val="0"/>
          <w:sz w:val="24"/>
          <w:szCs w:val="24"/>
          <w:u w:val="none"/>
        </w:rPr>
        <w:t>tableS1 Supplementary file PRISMA checklist</w:t>
      </w:r>
      <w:r w:rsidR="000A5833" w:rsidRPr="005B09A9">
        <w:rPr>
          <w:rStyle w:val="Accentuationlgre"/>
          <w:rFonts w:ascii="Times New Roman" w:hAnsi="Times New Roman" w:cs="Times New Roman"/>
          <w:b w:val="0"/>
          <w:i w:val="0"/>
          <w:sz w:val="24"/>
          <w:szCs w:val="24"/>
          <w:u w:val="none"/>
        </w:rPr>
        <w:t>,</w:t>
      </w:r>
      <w:r w:rsidR="00753C1A" w:rsidRPr="005B09A9">
        <w:rPr>
          <w:rStyle w:val="Accentuationlgre"/>
          <w:rFonts w:ascii="Times New Roman" w:hAnsi="Times New Roman" w:cs="Times New Roman"/>
          <w:b w:val="0"/>
          <w:sz w:val="24"/>
          <w:szCs w:val="24"/>
          <w:u w:val="none"/>
        </w:rPr>
        <w:t xml:space="preserve"> </w:t>
      </w:r>
    </w:p>
    <w:p w14:paraId="0F9D18BA" w14:textId="5DAEF4D7" w:rsidR="00753C1A" w:rsidRPr="005B09A9" w:rsidRDefault="00753C1A" w:rsidP="003B7B2C">
      <w:pPr>
        <w:spacing w:line="480" w:lineRule="auto"/>
        <w:rPr>
          <w:rStyle w:val="Accentuationlgre"/>
          <w:rFonts w:ascii="Times New Roman" w:hAnsi="Times New Roman" w:cs="Times New Roman"/>
          <w:b w:val="0"/>
          <w:sz w:val="24"/>
          <w:szCs w:val="24"/>
          <w:u w:val="none"/>
          <w:lang w:val="en-US"/>
        </w:rPr>
      </w:pPr>
    </w:p>
    <w:sectPr w:rsidR="00753C1A" w:rsidRPr="005B09A9" w:rsidSect="00FD1F54">
      <w:headerReference w:type="default" r:id="rId9"/>
      <w:footerReference w:type="default" r:id="rId10"/>
      <w:pgSz w:w="11900" w:h="16840" w:code="9"/>
      <w:pgMar w:top="1417" w:right="1417" w:bottom="1417" w:left="1417" w:header="720"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211D" w14:textId="77777777" w:rsidR="00F20950" w:rsidRDefault="00F20950" w:rsidP="0048019A">
      <w:pPr>
        <w:spacing w:after="0"/>
      </w:pPr>
      <w:r>
        <w:separator/>
      </w:r>
    </w:p>
  </w:endnote>
  <w:endnote w:type="continuationSeparator" w:id="0">
    <w:p w14:paraId="2F6D659C" w14:textId="77777777" w:rsidR="00F20950" w:rsidRDefault="00F20950" w:rsidP="004801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fr-FR"/>
      </w:rPr>
      <w:id w:val="1403952398"/>
      <w:docPartObj>
        <w:docPartGallery w:val="Page Numbers (Bottom of Page)"/>
        <w:docPartUnique/>
      </w:docPartObj>
    </w:sdtPr>
    <w:sdtEndPr>
      <w:rPr>
        <w:lang w:val="en-GB"/>
      </w:rPr>
    </w:sdtEndPr>
    <w:sdtContent>
      <w:p w14:paraId="4333ECAA" w14:textId="128E5A2D" w:rsidR="004455A9" w:rsidRDefault="004455A9">
        <w:pPr>
          <w:pStyle w:val="Pieddepag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fr-FR"/>
          </w:rPr>
          <w:t xml:space="preserve">p. </w:t>
        </w:r>
        <w:r>
          <w:rPr>
            <w:rFonts w:eastAsiaTheme="minorEastAsia" w:cs="Times New Roman"/>
          </w:rPr>
          <w:fldChar w:fldCharType="begin"/>
        </w:r>
        <w:r>
          <w:instrText>PAGE    \* MERGEFORMAT</w:instrText>
        </w:r>
        <w:r>
          <w:rPr>
            <w:rFonts w:eastAsiaTheme="minorEastAsia" w:cs="Times New Roman"/>
          </w:rPr>
          <w:fldChar w:fldCharType="separate"/>
        </w:r>
        <w:r w:rsidR="001E0B56" w:rsidRPr="001E0B56">
          <w:rPr>
            <w:rFonts w:asciiTheme="majorHAnsi" w:eastAsiaTheme="majorEastAsia" w:hAnsiTheme="majorHAnsi" w:cstheme="majorBidi"/>
            <w:noProof/>
            <w:sz w:val="28"/>
            <w:szCs w:val="28"/>
            <w:lang w:val="fr-FR"/>
          </w:rPr>
          <w:t>33</w:t>
        </w:r>
        <w:r>
          <w:rPr>
            <w:rFonts w:asciiTheme="majorHAnsi" w:eastAsiaTheme="majorEastAsia" w:hAnsiTheme="majorHAnsi" w:cstheme="majorBidi"/>
            <w:sz w:val="28"/>
            <w:szCs w:val="28"/>
          </w:rPr>
          <w:fldChar w:fldCharType="end"/>
        </w:r>
      </w:p>
    </w:sdtContent>
  </w:sdt>
  <w:p w14:paraId="09A9061A" w14:textId="77777777" w:rsidR="004455A9" w:rsidRDefault="004455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0E94C" w14:textId="77777777" w:rsidR="00F20950" w:rsidRDefault="00F20950" w:rsidP="0048019A">
      <w:pPr>
        <w:spacing w:after="0"/>
      </w:pPr>
      <w:r>
        <w:separator/>
      </w:r>
    </w:p>
  </w:footnote>
  <w:footnote w:type="continuationSeparator" w:id="0">
    <w:p w14:paraId="70305B7A" w14:textId="77777777" w:rsidR="00F20950" w:rsidRDefault="00F20950" w:rsidP="004801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3865" w14:textId="5AE2E06D" w:rsidR="004455A9" w:rsidRPr="00836351" w:rsidRDefault="004455A9" w:rsidP="00836351">
    <w:pPr>
      <w:spacing w:before="100" w:beforeAutospacing="1" w:after="100" w:afterAutospacing="1"/>
      <w:rPr>
        <w:rFonts w:eastAsia="Times New Roman" w:cstheme="minorHAnsi"/>
        <w:szCs w:val="24"/>
        <w:lang w:eastAsia="fr-BE"/>
      </w:rPr>
    </w:pPr>
    <w:r>
      <w:rPr>
        <w:rFonts w:eastAsia="Times New Roman" w:cstheme="minorHAnsi"/>
        <w:szCs w:val="24"/>
        <w:lang w:eastAsia="fr-BE"/>
      </w:rPr>
      <w:t>Early prognostic factors in CRPS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080"/>
    <w:multiLevelType w:val="hybridMultilevel"/>
    <w:tmpl w:val="7AD47AE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74F2407"/>
    <w:multiLevelType w:val="hybridMultilevel"/>
    <w:tmpl w:val="982E933C"/>
    <w:lvl w:ilvl="0" w:tplc="3C6A3FD0">
      <w:start w:val="17"/>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B13D53"/>
    <w:multiLevelType w:val="multilevel"/>
    <w:tmpl w:val="C12AD9E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725C29"/>
    <w:multiLevelType w:val="multilevel"/>
    <w:tmpl w:val="BAD631E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ABC4775"/>
    <w:multiLevelType w:val="multilevel"/>
    <w:tmpl w:val="1876D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AE5D94"/>
    <w:multiLevelType w:val="multilevel"/>
    <w:tmpl w:val="7536196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1032AFA"/>
    <w:multiLevelType w:val="multilevel"/>
    <w:tmpl w:val="22709392"/>
    <w:lvl w:ilvl="0">
      <w:start w:val="1"/>
      <w:numFmt w:val="bullet"/>
      <w:lvlText w:val=""/>
      <w:lvlJc w:val="left"/>
      <w:pPr>
        <w:tabs>
          <w:tab w:val="num" w:pos="720"/>
        </w:tabs>
        <w:ind w:left="720" w:hanging="360"/>
      </w:pPr>
      <w:rPr>
        <w:rFonts w:ascii="Symbol" w:hAnsi="Symbol" w:hint="default"/>
        <w:sz w:val="20"/>
      </w:rPr>
    </w:lvl>
    <w:lvl w:ilvl="1">
      <w:start w:val="14"/>
      <w:numFmt w:val="bullet"/>
      <w:lvlText w:val="-"/>
      <w:lvlJc w:val="left"/>
      <w:pPr>
        <w:ind w:left="1069"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356140"/>
    <w:multiLevelType w:val="hybridMultilevel"/>
    <w:tmpl w:val="1E0ADA54"/>
    <w:lvl w:ilvl="0" w:tplc="3F7E293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C725465"/>
    <w:multiLevelType w:val="hybridMultilevel"/>
    <w:tmpl w:val="490A6D5E"/>
    <w:lvl w:ilvl="0" w:tplc="FF74C4C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E13575C"/>
    <w:multiLevelType w:val="hybridMultilevel"/>
    <w:tmpl w:val="67604E46"/>
    <w:lvl w:ilvl="0" w:tplc="FDF091FE">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15:restartNumberingAfterBreak="0">
    <w:nsid w:val="3030592E"/>
    <w:multiLevelType w:val="hybridMultilevel"/>
    <w:tmpl w:val="23085426"/>
    <w:lvl w:ilvl="0" w:tplc="35461C5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1956AD3"/>
    <w:multiLevelType w:val="hybridMultilevel"/>
    <w:tmpl w:val="E58CB388"/>
    <w:lvl w:ilvl="0" w:tplc="0AA8160A">
      <w:start w:val="27"/>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5F10D39"/>
    <w:multiLevelType w:val="multilevel"/>
    <w:tmpl w:val="7536196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46B7E44"/>
    <w:multiLevelType w:val="hybridMultilevel"/>
    <w:tmpl w:val="6094A724"/>
    <w:lvl w:ilvl="0" w:tplc="77707964">
      <w:start w:val="26"/>
      <w:numFmt w:val="bullet"/>
      <w:lvlText w:val=""/>
      <w:lvlJc w:val="left"/>
      <w:pPr>
        <w:ind w:left="720" w:hanging="360"/>
      </w:pPr>
      <w:rPr>
        <w:rFonts w:ascii="Symbol" w:eastAsia="Times New Roman" w:hAnsi="Symbol"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A282960"/>
    <w:multiLevelType w:val="hybridMultilevel"/>
    <w:tmpl w:val="2098CA10"/>
    <w:lvl w:ilvl="0" w:tplc="1D86E1BA">
      <w:start w:val="1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A445F69"/>
    <w:multiLevelType w:val="hybridMultilevel"/>
    <w:tmpl w:val="EE28356C"/>
    <w:lvl w:ilvl="0" w:tplc="C3D8B2C6">
      <w:numFmt w:val="bullet"/>
      <w:lvlText w:val=""/>
      <w:lvlJc w:val="left"/>
      <w:pPr>
        <w:ind w:left="1080" w:hanging="360"/>
      </w:pPr>
      <w:rPr>
        <w:rFonts w:ascii="Wingdings" w:eastAsiaTheme="minorHAnsi" w:hAnsi="Wingdings" w:cstheme="minorHAns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4C7A32F5"/>
    <w:multiLevelType w:val="hybridMultilevel"/>
    <w:tmpl w:val="73E2360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E99151F"/>
    <w:multiLevelType w:val="multilevel"/>
    <w:tmpl w:val="7536196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F930B3D"/>
    <w:multiLevelType w:val="hybridMultilevel"/>
    <w:tmpl w:val="4FA4C0C0"/>
    <w:lvl w:ilvl="0" w:tplc="9CDE9CD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9" w15:restartNumberingAfterBreak="0">
    <w:nsid w:val="524737EA"/>
    <w:multiLevelType w:val="hybridMultilevel"/>
    <w:tmpl w:val="FC6E8E1C"/>
    <w:lvl w:ilvl="0" w:tplc="B190799C">
      <w:start w:val="17"/>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3C2012"/>
    <w:multiLevelType w:val="multilevel"/>
    <w:tmpl w:val="7536196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4AD7E97"/>
    <w:multiLevelType w:val="hybridMultilevel"/>
    <w:tmpl w:val="94B2E602"/>
    <w:lvl w:ilvl="0" w:tplc="E468E79A">
      <w:start w:val="2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73E7ECC"/>
    <w:multiLevelType w:val="hybridMultilevel"/>
    <w:tmpl w:val="9D3A3E78"/>
    <w:lvl w:ilvl="0" w:tplc="23FCF766">
      <w:start w:val="3"/>
      <w:numFmt w:val="bullet"/>
      <w:lvlText w:val="-"/>
      <w:lvlJc w:val="left"/>
      <w:pPr>
        <w:ind w:left="720" w:hanging="360"/>
      </w:pPr>
      <w:rPr>
        <w:rFonts w:ascii="Calibri Light" w:eastAsiaTheme="minorHAnsi"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9DD2097"/>
    <w:multiLevelType w:val="hybridMultilevel"/>
    <w:tmpl w:val="3BC447EE"/>
    <w:lvl w:ilvl="0" w:tplc="A59E1E7E">
      <w:start w:val="17"/>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FE91915"/>
    <w:multiLevelType w:val="hybridMultilevel"/>
    <w:tmpl w:val="C680D2D8"/>
    <w:lvl w:ilvl="0" w:tplc="47B0807E">
      <w:start w:val="1"/>
      <w:numFmt w:val="bullet"/>
      <w:lvlText w:val="-"/>
      <w:lvlJc w:val="left"/>
      <w:pPr>
        <w:ind w:left="720" w:hanging="360"/>
      </w:pPr>
      <w:rPr>
        <w:rFonts w:ascii="Calibri" w:hAnsi="Calibri" w:hint="default"/>
      </w:rPr>
    </w:lvl>
    <w:lvl w:ilvl="1" w:tplc="EF30CD90">
      <w:start w:val="1"/>
      <w:numFmt w:val="bullet"/>
      <w:lvlText w:val="o"/>
      <w:lvlJc w:val="left"/>
      <w:pPr>
        <w:ind w:left="1440" w:hanging="360"/>
      </w:pPr>
      <w:rPr>
        <w:rFonts w:ascii="Courier New" w:hAnsi="Courier New" w:hint="default"/>
      </w:rPr>
    </w:lvl>
    <w:lvl w:ilvl="2" w:tplc="833AA818">
      <w:start w:val="1"/>
      <w:numFmt w:val="bullet"/>
      <w:lvlText w:val=""/>
      <w:lvlJc w:val="left"/>
      <w:pPr>
        <w:ind w:left="2160" w:hanging="360"/>
      </w:pPr>
      <w:rPr>
        <w:rFonts w:ascii="Wingdings" w:hAnsi="Wingdings" w:hint="default"/>
      </w:rPr>
    </w:lvl>
    <w:lvl w:ilvl="3" w:tplc="0F988504">
      <w:start w:val="1"/>
      <w:numFmt w:val="bullet"/>
      <w:lvlText w:val=""/>
      <w:lvlJc w:val="left"/>
      <w:pPr>
        <w:ind w:left="2880" w:hanging="360"/>
      </w:pPr>
      <w:rPr>
        <w:rFonts w:ascii="Symbol" w:hAnsi="Symbol" w:hint="default"/>
      </w:rPr>
    </w:lvl>
    <w:lvl w:ilvl="4" w:tplc="741E219C">
      <w:start w:val="1"/>
      <w:numFmt w:val="bullet"/>
      <w:lvlText w:val="o"/>
      <w:lvlJc w:val="left"/>
      <w:pPr>
        <w:ind w:left="3600" w:hanging="360"/>
      </w:pPr>
      <w:rPr>
        <w:rFonts w:ascii="Courier New" w:hAnsi="Courier New" w:hint="default"/>
      </w:rPr>
    </w:lvl>
    <w:lvl w:ilvl="5" w:tplc="A5B0CEB6">
      <w:start w:val="1"/>
      <w:numFmt w:val="bullet"/>
      <w:lvlText w:val=""/>
      <w:lvlJc w:val="left"/>
      <w:pPr>
        <w:ind w:left="4320" w:hanging="360"/>
      </w:pPr>
      <w:rPr>
        <w:rFonts w:ascii="Wingdings" w:hAnsi="Wingdings" w:hint="default"/>
      </w:rPr>
    </w:lvl>
    <w:lvl w:ilvl="6" w:tplc="C89A6878">
      <w:start w:val="1"/>
      <w:numFmt w:val="bullet"/>
      <w:lvlText w:val=""/>
      <w:lvlJc w:val="left"/>
      <w:pPr>
        <w:ind w:left="5040" w:hanging="360"/>
      </w:pPr>
      <w:rPr>
        <w:rFonts w:ascii="Symbol" w:hAnsi="Symbol" w:hint="default"/>
      </w:rPr>
    </w:lvl>
    <w:lvl w:ilvl="7" w:tplc="41F261DA">
      <w:start w:val="1"/>
      <w:numFmt w:val="bullet"/>
      <w:lvlText w:val="o"/>
      <w:lvlJc w:val="left"/>
      <w:pPr>
        <w:ind w:left="5760" w:hanging="360"/>
      </w:pPr>
      <w:rPr>
        <w:rFonts w:ascii="Courier New" w:hAnsi="Courier New" w:hint="default"/>
      </w:rPr>
    </w:lvl>
    <w:lvl w:ilvl="8" w:tplc="520E40A6">
      <w:start w:val="1"/>
      <w:numFmt w:val="bullet"/>
      <w:lvlText w:val=""/>
      <w:lvlJc w:val="left"/>
      <w:pPr>
        <w:ind w:left="6480" w:hanging="360"/>
      </w:pPr>
      <w:rPr>
        <w:rFonts w:ascii="Wingdings" w:hAnsi="Wingdings" w:hint="default"/>
      </w:rPr>
    </w:lvl>
  </w:abstractNum>
  <w:abstractNum w:abstractNumId="25" w15:restartNumberingAfterBreak="0">
    <w:nsid w:val="7AEA4874"/>
    <w:multiLevelType w:val="hybridMultilevel"/>
    <w:tmpl w:val="CE4E0CC4"/>
    <w:lvl w:ilvl="0" w:tplc="98C8C77E">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3E4E14"/>
    <w:multiLevelType w:val="hybridMultilevel"/>
    <w:tmpl w:val="DF5675FE"/>
    <w:lvl w:ilvl="0" w:tplc="42FADEAA">
      <w:numFmt w:val="bullet"/>
      <w:lvlText w:val=""/>
      <w:lvlJc w:val="left"/>
      <w:pPr>
        <w:ind w:left="720" w:hanging="360"/>
      </w:pPr>
      <w:rPr>
        <w:rFonts w:ascii="Wingdings" w:eastAsiaTheme="minorHAnsi"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CB450AF"/>
    <w:multiLevelType w:val="hybridMultilevel"/>
    <w:tmpl w:val="78D4F0D4"/>
    <w:lvl w:ilvl="0" w:tplc="7BCE2810">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132436255">
    <w:abstractNumId w:val="6"/>
  </w:num>
  <w:num w:numId="2" w16cid:durableId="1874272080">
    <w:abstractNumId w:val="4"/>
  </w:num>
  <w:num w:numId="3" w16cid:durableId="1052196802">
    <w:abstractNumId w:val="19"/>
  </w:num>
  <w:num w:numId="4" w16cid:durableId="1177382653">
    <w:abstractNumId w:val="1"/>
  </w:num>
  <w:num w:numId="5" w16cid:durableId="1017075029">
    <w:abstractNumId w:val="14"/>
  </w:num>
  <w:num w:numId="6" w16cid:durableId="597326987">
    <w:abstractNumId w:val="9"/>
  </w:num>
  <w:num w:numId="7" w16cid:durableId="1565291302">
    <w:abstractNumId w:val="23"/>
  </w:num>
  <w:num w:numId="8" w16cid:durableId="31654272">
    <w:abstractNumId w:val="15"/>
  </w:num>
  <w:num w:numId="9" w16cid:durableId="1092630548">
    <w:abstractNumId w:val="11"/>
  </w:num>
  <w:num w:numId="10" w16cid:durableId="939412957">
    <w:abstractNumId w:val="7"/>
  </w:num>
  <w:num w:numId="11" w16cid:durableId="1316421807">
    <w:abstractNumId w:val="22"/>
  </w:num>
  <w:num w:numId="12" w16cid:durableId="893077848">
    <w:abstractNumId w:val="24"/>
  </w:num>
  <w:num w:numId="13" w16cid:durableId="652947541">
    <w:abstractNumId w:val="8"/>
  </w:num>
  <w:num w:numId="14" w16cid:durableId="2110273328">
    <w:abstractNumId w:val="25"/>
  </w:num>
  <w:num w:numId="15" w16cid:durableId="1150512320">
    <w:abstractNumId w:val="16"/>
  </w:num>
  <w:num w:numId="16" w16cid:durableId="821240393">
    <w:abstractNumId w:val="0"/>
  </w:num>
  <w:num w:numId="17" w16cid:durableId="131336744">
    <w:abstractNumId w:val="18"/>
  </w:num>
  <w:num w:numId="18" w16cid:durableId="599534466">
    <w:abstractNumId w:val="3"/>
  </w:num>
  <w:num w:numId="19" w16cid:durableId="489711320">
    <w:abstractNumId w:val="21"/>
  </w:num>
  <w:num w:numId="20" w16cid:durableId="1416627530">
    <w:abstractNumId w:val="13"/>
  </w:num>
  <w:num w:numId="21" w16cid:durableId="1670211702">
    <w:abstractNumId w:val="27"/>
  </w:num>
  <w:num w:numId="22" w16cid:durableId="2019892333">
    <w:abstractNumId w:val="10"/>
  </w:num>
  <w:num w:numId="23" w16cid:durableId="937105339">
    <w:abstractNumId w:val="20"/>
  </w:num>
  <w:num w:numId="24" w16cid:durableId="1019116535">
    <w:abstractNumId w:val="2"/>
  </w:num>
  <w:num w:numId="25" w16cid:durableId="1577351157">
    <w:abstractNumId w:val="26"/>
  </w:num>
  <w:num w:numId="26" w16cid:durableId="324941923">
    <w:abstractNumId w:val="5"/>
  </w:num>
  <w:num w:numId="27" w16cid:durableId="2102097512">
    <w:abstractNumId w:val="12"/>
  </w:num>
  <w:num w:numId="28" w16cid:durableId="6525629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A3"/>
    <w:rsid w:val="00000B59"/>
    <w:rsid w:val="00002DB1"/>
    <w:rsid w:val="00003A8D"/>
    <w:rsid w:val="000052B9"/>
    <w:rsid w:val="00010258"/>
    <w:rsid w:val="00012BDD"/>
    <w:rsid w:val="00013401"/>
    <w:rsid w:val="00014BE6"/>
    <w:rsid w:val="000171A7"/>
    <w:rsid w:val="00020B4F"/>
    <w:rsid w:val="00020E45"/>
    <w:rsid w:val="00023E98"/>
    <w:rsid w:val="00024FB2"/>
    <w:rsid w:val="000253DF"/>
    <w:rsid w:val="0002627D"/>
    <w:rsid w:val="00026643"/>
    <w:rsid w:val="0003175F"/>
    <w:rsid w:val="00033429"/>
    <w:rsid w:val="00033CD0"/>
    <w:rsid w:val="00034273"/>
    <w:rsid w:val="0003473B"/>
    <w:rsid w:val="00035929"/>
    <w:rsid w:val="0003624D"/>
    <w:rsid w:val="00037AE6"/>
    <w:rsid w:val="000401E6"/>
    <w:rsid w:val="00040C02"/>
    <w:rsid w:val="0004751A"/>
    <w:rsid w:val="00047C5A"/>
    <w:rsid w:val="00050AD7"/>
    <w:rsid w:val="000517A9"/>
    <w:rsid w:val="0005316F"/>
    <w:rsid w:val="00053832"/>
    <w:rsid w:val="00054310"/>
    <w:rsid w:val="000556BC"/>
    <w:rsid w:val="00055ECC"/>
    <w:rsid w:val="00056E39"/>
    <w:rsid w:val="00056F37"/>
    <w:rsid w:val="000612A0"/>
    <w:rsid w:val="00061811"/>
    <w:rsid w:val="00061C8B"/>
    <w:rsid w:val="00061D95"/>
    <w:rsid w:val="00062C65"/>
    <w:rsid w:val="00064113"/>
    <w:rsid w:val="000659BF"/>
    <w:rsid w:val="000671F6"/>
    <w:rsid w:val="0006787E"/>
    <w:rsid w:val="00070668"/>
    <w:rsid w:val="00070E1E"/>
    <w:rsid w:val="00072B3B"/>
    <w:rsid w:val="000733FF"/>
    <w:rsid w:val="00073649"/>
    <w:rsid w:val="00073927"/>
    <w:rsid w:val="00080831"/>
    <w:rsid w:val="0008142E"/>
    <w:rsid w:val="00081E95"/>
    <w:rsid w:val="00083EFF"/>
    <w:rsid w:val="00086EF0"/>
    <w:rsid w:val="00087255"/>
    <w:rsid w:val="00087CE9"/>
    <w:rsid w:val="000915E9"/>
    <w:rsid w:val="00091812"/>
    <w:rsid w:val="00095B2F"/>
    <w:rsid w:val="00095B5F"/>
    <w:rsid w:val="00097849"/>
    <w:rsid w:val="00097A10"/>
    <w:rsid w:val="000A3671"/>
    <w:rsid w:val="000A5337"/>
    <w:rsid w:val="000A5833"/>
    <w:rsid w:val="000A756A"/>
    <w:rsid w:val="000B03B4"/>
    <w:rsid w:val="000B1760"/>
    <w:rsid w:val="000B3DA3"/>
    <w:rsid w:val="000B44F1"/>
    <w:rsid w:val="000B72A5"/>
    <w:rsid w:val="000B77F9"/>
    <w:rsid w:val="000C0086"/>
    <w:rsid w:val="000C068B"/>
    <w:rsid w:val="000C3F98"/>
    <w:rsid w:val="000C6BDC"/>
    <w:rsid w:val="000D1154"/>
    <w:rsid w:val="000D1890"/>
    <w:rsid w:val="000D18B5"/>
    <w:rsid w:val="000D1C94"/>
    <w:rsid w:val="000D1D5E"/>
    <w:rsid w:val="000D287F"/>
    <w:rsid w:val="000D3984"/>
    <w:rsid w:val="000D7393"/>
    <w:rsid w:val="000E0862"/>
    <w:rsid w:val="000E1B7E"/>
    <w:rsid w:val="000E2989"/>
    <w:rsid w:val="000E2D2F"/>
    <w:rsid w:val="000E5345"/>
    <w:rsid w:val="000E6F2C"/>
    <w:rsid w:val="000F0305"/>
    <w:rsid w:val="000F0F65"/>
    <w:rsid w:val="000F17C9"/>
    <w:rsid w:val="000F5F60"/>
    <w:rsid w:val="000F61F4"/>
    <w:rsid w:val="000F6EBA"/>
    <w:rsid w:val="00102CC1"/>
    <w:rsid w:val="00104A3C"/>
    <w:rsid w:val="00104DA0"/>
    <w:rsid w:val="00105B2C"/>
    <w:rsid w:val="00106364"/>
    <w:rsid w:val="00106615"/>
    <w:rsid w:val="001109C2"/>
    <w:rsid w:val="001124AE"/>
    <w:rsid w:val="00112862"/>
    <w:rsid w:val="0011337F"/>
    <w:rsid w:val="0011550E"/>
    <w:rsid w:val="00120382"/>
    <w:rsid w:val="001209E2"/>
    <w:rsid w:val="00121B85"/>
    <w:rsid w:val="00121F14"/>
    <w:rsid w:val="00122249"/>
    <w:rsid w:val="001226CD"/>
    <w:rsid w:val="001242A1"/>
    <w:rsid w:val="00136262"/>
    <w:rsid w:val="00137A8D"/>
    <w:rsid w:val="00141782"/>
    <w:rsid w:val="001434AC"/>
    <w:rsid w:val="00144B1D"/>
    <w:rsid w:val="00146CDF"/>
    <w:rsid w:val="0015154D"/>
    <w:rsid w:val="00152DCC"/>
    <w:rsid w:val="0015394F"/>
    <w:rsid w:val="00153B81"/>
    <w:rsid w:val="0015441D"/>
    <w:rsid w:val="00155077"/>
    <w:rsid w:val="00156E26"/>
    <w:rsid w:val="00161D74"/>
    <w:rsid w:val="00161DB9"/>
    <w:rsid w:val="00164B93"/>
    <w:rsid w:val="00166D0D"/>
    <w:rsid w:val="00170335"/>
    <w:rsid w:val="00170747"/>
    <w:rsid w:val="00170C88"/>
    <w:rsid w:val="0017412A"/>
    <w:rsid w:val="0017429B"/>
    <w:rsid w:val="001816E9"/>
    <w:rsid w:val="00181BAA"/>
    <w:rsid w:val="00181F5E"/>
    <w:rsid w:val="00182219"/>
    <w:rsid w:val="001825A2"/>
    <w:rsid w:val="001838AE"/>
    <w:rsid w:val="00184422"/>
    <w:rsid w:val="00185154"/>
    <w:rsid w:val="00192847"/>
    <w:rsid w:val="00192BED"/>
    <w:rsid w:val="00193F94"/>
    <w:rsid w:val="0019528F"/>
    <w:rsid w:val="001A1D2F"/>
    <w:rsid w:val="001A2AB8"/>
    <w:rsid w:val="001A68A2"/>
    <w:rsid w:val="001A7C63"/>
    <w:rsid w:val="001B0CE0"/>
    <w:rsid w:val="001B536E"/>
    <w:rsid w:val="001B5C1C"/>
    <w:rsid w:val="001C125A"/>
    <w:rsid w:val="001C1F03"/>
    <w:rsid w:val="001C2542"/>
    <w:rsid w:val="001C6650"/>
    <w:rsid w:val="001C746D"/>
    <w:rsid w:val="001D2245"/>
    <w:rsid w:val="001D2C0F"/>
    <w:rsid w:val="001D401A"/>
    <w:rsid w:val="001E0B56"/>
    <w:rsid w:val="001E0E90"/>
    <w:rsid w:val="001E0ECB"/>
    <w:rsid w:val="001E1A6D"/>
    <w:rsid w:val="001E2C4C"/>
    <w:rsid w:val="001E4E87"/>
    <w:rsid w:val="001E545F"/>
    <w:rsid w:val="001E5518"/>
    <w:rsid w:val="001E581F"/>
    <w:rsid w:val="001E7AB5"/>
    <w:rsid w:val="001E7AD3"/>
    <w:rsid w:val="001F0201"/>
    <w:rsid w:val="001F113A"/>
    <w:rsid w:val="001F2069"/>
    <w:rsid w:val="001F5479"/>
    <w:rsid w:val="001F5534"/>
    <w:rsid w:val="002008D6"/>
    <w:rsid w:val="00200F46"/>
    <w:rsid w:val="0020156C"/>
    <w:rsid w:val="00201800"/>
    <w:rsid w:val="00201823"/>
    <w:rsid w:val="00201936"/>
    <w:rsid w:val="002024D0"/>
    <w:rsid w:val="00203369"/>
    <w:rsid w:val="0020336C"/>
    <w:rsid w:val="002058AE"/>
    <w:rsid w:val="00205C0D"/>
    <w:rsid w:val="00205E5E"/>
    <w:rsid w:val="0020631F"/>
    <w:rsid w:val="00206ABD"/>
    <w:rsid w:val="00207C0B"/>
    <w:rsid w:val="00212153"/>
    <w:rsid w:val="00212F54"/>
    <w:rsid w:val="00213334"/>
    <w:rsid w:val="00213D42"/>
    <w:rsid w:val="00214521"/>
    <w:rsid w:val="00216FAE"/>
    <w:rsid w:val="00217725"/>
    <w:rsid w:val="00220ADA"/>
    <w:rsid w:val="00222C19"/>
    <w:rsid w:val="00223B20"/>
    <w:rsid w:val="0023057A"/>
    <w:rsid w:val="002314BE"/>
    <w:rsid w:val="002342F7"/>
    <w:rsid w:val="002344FF"/>
    <w:rsid w:val="00235C55"/>
    <w:rsid w:val="0024016C"/>
    <w:rsid w:val="00241403"/>
    <w:rsid w:val="00241524"/>
    <w:rsid w:val="00241EBF"/>
    <w:rsid w:val="00242B36"/>
    <w:rsid w:val="00243AB4"/>
    <w:rsid w:val="002452B0"/>
    <w:rsid w:val="00245B8D"/>
    <w:rsid w:val="00250592"/>
    <w:rsid w:val="00250673"/>
    <w:rsid w:val="00253434"/>
    <w:rsid w:val="00254005"/>
    <w:rsid w:val="002541D0"/>
    <w:rsid w:val="002561B9"/>
    <w:rsid w:val="00256CA8"/>
    <w:rsid w:val="002603C0"/>
    <w:rsid w:val="00260FDA"/>
    <w:rsid w:val="0026115B"/>
    <w:rsid w:val="002650D3"/>
    <w:rsid w:val="0026597D"/>
    <w:rsid w:val="00266B4F"/>
    <w:rsid w:val="0026786D"/>
    <w:rsid w:val="00272886"/>
    <w:rsid w:val="002739D7"/>
    <w:rsid w:val="00276A91"/>
    <w:rsid w:val="00276E11"/>
    <w:rsid w:val="0027723E"/>
    <w:rsid w:val="00280DAE"/>
    <w:rsid w:val="00281C58"/>
    <w:rsid w:val="00283E47"/>
    <w:rsid w:val="00291A15"/>
    <w:rsid w:val="00295B59"/>
    <w:rsid w:val="002A187E"/>
    <w:rsid w:val="002A2D49"/>
    <w:rsid w:val="002A5709"/>
    <w:rsid w:val="002A582D"/>
    <w:rsid w:val="002A6202"/>
    <w:rsid w:val="002A6840"/>
    <w:rsid w:val="002A6D69"/>
    <w:rsid w:val="002A7F0C"/>
    <w:rsid w:val="002B24F4"/>
    <w:rsid w:val="002B2B1E"/>
    <w:rsid w:val="002B3C45"/>
    <w:rsid w:val="002B420A"/>
    <w:rsid w:val="002B437D"/>
    <w:rsid w:val="002B4924"/>
    <w:rsid w:val="002B68BB"/>
    <w:rsid w:val="002B716D"/>
    <w:rsid w:val="002B7E6D"/>
    <w:rsid w:val="002C638E"/>
    <w:rsid w:val="002D0C68"/>
    <w:rsid w:val="002D385E"/>
    <w:rsid w:val="002D3FF7"/>
    <w:rsid w:val="002D7A5B"/>
    <w:rsid w:val="002D7F63"/>
    <w:rsid w:val="002E39B6"/>
    <w:rsid w:val="002E452A"/>
    <w:rsid w:val="002E7F20"/>
    <w:rsid w:val="002F1923"/>
    <w:rsid w:val="002F4AB4"/>
    <w:rsid w:val="002F67C9"/>
    <w:rsid w:val="002F7AFD"/>
    <w:rsid w:val="00303796"/>
    <w:rsid w:val="0031038B"/>
    <w:rsid w:val="003161E7"/>
    <w:rsid w:val="003179EF"/>
    <w:rsid w:val="00317E67"/>
    <w:rsid w:val="00320156"/>
    <w:rsid w:val="00320DDC"/>
    <w:rsid w:val="00320FA7"/>
    <w:rsid w:val="00322FE4"/>
    <w:rsid w:val="00330021"/>
    <w:rsid w:val="003333C9"/>
    <w:rsid w:val="00333F6F"/>
    <w:rsid w:val="003344F1"/>
    <w:rsid w:val="00334711"/>
    <w:rsid w:val="003349A9"/>
    <w:rsid w:val="00334EBB"/>
    <w:rsid w:val="0034088F"/>
    <w:rsid w:val="00340CF0"/>
    <w:rsid w:val="0034192F"/>
    <w:rsid w:val="00341E13"/>
    <w:rsid w:val="00342737"/>
    <w:rsid w:val="0034296E"/>
    <w:rsid w:val="00343557"/>
    <w:rsid w:val="00346137"/>
    <w:rsid w:val="00346D2C"/>
    <w:rsid w:val="00347DAA"/>
    <w:rsid w:val="00350A70"/>
    <w:rsid w:val="00350C47"/>
    <w:rsid w:val="0035463C"/>
    <w:rsid w:val="00354B6A"/>
    <w:rsid w:val="00356BC7"/>
    <w:rsid w:val="003603AD"/>
    <w:rsid w:val="0036159B"/>
    <w:rsid w:val="003629A4"/>
    <w:rsid w:val="00364AB7"/>
    <w:rsid w:val="003661F4"/>
    <w:rsid w:val="00366922"/>
    <w:rsid w:val="00370D76"/>
    <w:rsid w:val="00371F71"/>
    <w:rsid w:val="00376136"/>
    <w:rsid w:val="00385C1F"/>
    <w:rsid w:val="00386A24"/>
    <w:rsid w:val="00387172"/>
    <w:rsid w:val="00391BAC"/>
    <w:rsid w:val="0039283B"/>
    <w:rsid w:val="00395922"/>
    <w:rsid w:val="00395A25"/>
    <w:rsid w:val="00395F2A"/>
    <w:rsid w:val="003A2DBC"/>
    <w:rsid w:val="003A43B0"/>
    <w:rsid w:val="003A7B14"/>
    <w:rsid w:val="003B075F"/>
    <w:rsid w:val="003B2770"/>
    <w:rsid w:val="003B363E"/>
    <w:rsid w:val="003B4712"/>
    <w:rsid w:val="003B5BB4"/>
    <w:rsid w:val="003B5C63"/>
    <w:rsid w:val="003B637D"/>
    <w:rsid w:val="003B781A"/>
    <w:rsid w:val="003B7B2C"/>
    <w:rsid w:val="003C0A73"/>
    <w:rsid w:val="003C1B15"/>
    <w:rsid w:val="003C2064"/>
    <w:rsid w:val="003C3E29"/>
    <w:rsid w:val="003C48F4"/>
    <w:rsid w:val="003C6120"/>
    <w:rsid w:val="003C70AE"/>
    <w:rsid w:val="003C7166"/>
    <w:rsid w:val="003D029B"/>
    <w:rsid w:val="003D148A"/>
    <w:rsid w:val="003D1F1B"/>
    <w:rsid w:val="003D1FA4"/>
    <w:rsid w:val="003E2F52"/>
    <w:rsid w:val="003E337A"/>
    <w:rsid w:val="003E3E14"/>
    <w:rsid w:val="003E54DD"/>
    <w:rsid w:val="003E6719"/>
    <w:rsid w:val="003E6D55"/>
    <w:rsid w:val="003E7EEB"/>
    <w:rsid w:val="003F2E52"/>
    <w:rsid w:val="003F393D"/>
    <w:rsid w:val="003F4008"/>
    <w:rsid w:val="00401E95"/>
    <w:rsid w:val="00402ADF"/>
    <w:rsid w:val="004042D4"/>
    <w:rsid w:val="00405702"/>
    <w:rsid w:val="0040610C"/>
    <w:rsid w:val="00406191"/>
    <w:rsid w:val="004066E7"/>
    <w:rsid w:val="00407DA1"/>
    <w:rsid w:val="00412558"/>
    <w:rsid w:val="00413408"/>
    <w:rsid w:val="0041365F"/>
    <w:rsid w:val="00413924"/>
    <w:rsid w:val="0041681C"/>
    <w:rsid w:val="0041698B"/>
    <w:rsid w:val="00420DB0"/>
    <w:rsid w:val="004211E9"/>
    <w:rsid w:val="004217FB"/>
    <w:rsid w:val="00422F8B"/>
    <w:rsid w:val="0042357B"/>
    <w:rsid w:val="00424223"/>
    <w:rsid w:val="004253CF"/>
    <w:rsid w:val="0042551A"/>
    <w:rsid w:val="0042788A"/>
    <w:rsid w:val="004325BA"/>
    <w:rsid w:val="00432C5A"/>
    <w:rsid w:val="004369D0"/>
    <w:rsid w:val="00441978"/>
    <w:rsid w:val="004455A9"/>
    <w:rsid w:val="00446B24"/>
    <w:rsid w:val="00446C36"/>
    <w:rsid w:val="00450E76"/>
    <w:rsid w:val="00452949"/>
    <w:rsid w:val="004542E8"/>
    <w:rsid w:val="00454887"/>
    <w:rsid w:val="00454F58"/>
    <w:rsid w:val="004551C5"/>
    <w:rsid w:val="00456424"/>
    <w:rsid w:val="00457017"/>
    <w:rsid w:val="004570B2"/>
    <w:rsid w:val="0046616A"/>
    <w:rsid w:val="00466982"/>
    <w:rsid w:val="004701BD"/>
    <w:rsid w:val="00470629"/>
    <w:rsid w:val="00470B98"/>
    <w:rsid w:val="004737FA"/>
    <w:rsid w:val="00476873"/>
    <w:rsid w:val="0048019A"/>
    <w:rsid w:val="004806FF"/>
    <w:rsid w:val="0048187E"/>
    <w:rsid w:val="00483217"/>
    <w:rsid w:val="00486D7B"/>
    <w:rsid w:val="00486FF0"/>
    <w:rsid w:val="00487AEC"/>
    <w:rsid w:val="00487EBF"/>
    <w:rsid w:val="00491D75"/>
    <w:rsid w:val="00491F7F"/>
    <w:rsid w:val="00492B4C"/>
    <w:rsid w:val="00493536"/>
    <w:rsid w:val="00496D41"/>
    <w:rsid w:val="00496DB3"/>
    <w:rsid w:val="0049789D"/>
    <w:rsid w:val="004A2A66"/>
    <w:rsid w:val="004B25D0"/>
    <w:rsid w:val="004B315F"/>
    <w:rsid w:val="004B318E"/>
    <w:rsid w:val="004B4E4B"/>
    <w:rsid w:val="004B580C"/>
    <w:rsid w:val="004B7385"/>
    <w:rsid w:val="004C0BAF"/>
    <w:rsid w:val="004C46D8"/>
    <w:rsid w:val="004C765C"/>
    <w:rsid w:val="004D02CC"/>
    <w:rsid w:val="004D230F"/>
    <w:rsid w:val="004D2677"/>
    <w:rsid w:val="004D2B89"/>
    <w:rsid w:val="004D35A0"/>
    <w:rsid w:val="004D444D"/>
    <w:rsid w:val="004D4C8E"/>
    <w:rsid w:val="004E05EC"/>
    <w:rsid w:val="004E74EE"/>
    <w:rsid w:val="004F1C1D"/>
    <w:rsid w:val="004F1CA1"/>
    <w:rsid w:val="004F2460"/>
    <w:rsid w:val="004F2F42"/>
    <w:rsid w:val="004F45BE"/>
    <w:rsid w:val="004F4C91"/>
    <w:rsid w:val="004F61AD"/>
    <w:rsid w:val="004F6CBC"/>
    <w:rsid w:val="00500CC8"/>
    <w:rsid w:val="00504531"/>
    <w:rsid w:val="0050462D"/>
    <w:rsid w:val="00505017"/>
    <w:rsid w:val="005050FD"/>
    <w:rsid w:val="005110F1"/>
    <w:rsid w:val="00512D14"/>
    <w:rsid w:val="00513AB5"/>
    <w:rsid w:val="005206FF"/>
    <w:rsid w:val="00520A9B"/>
    <w:rsid w:val="00520AEB"/>
    <w:rsid w:val="00522812"/>
    <w:rsid w:val="0052444F"/>
    <w:rsid w:val="00527F56"/>
    <w:rsid w:val="005318A4"/>
    <w:rsid w:val="005321F9"/>
    <w:rsid w:val="005322D1"/>
    <w:rsid w:val="00532F13"/>
    <w:rsid w:val="005336FE"/>
    <w:rsid w:val="00534A0B"/>
    <w:rsid w:val="0053645A"/>
    <w:rsid w:val="00536D82"/>
    <w:rsid w:val="00541EC0"/>
    <w:rsid w:val="0054301B"/>
    <w:rsid w:val="00543254"/>
    <w:rsid w:val="005449E3"/>
    <w:rsid w:val="00545437"/>
    <w:rsid w:val="00552749"/>
    <w:rsid w:val="00552E63"/>
    <w:rsid w:val="0055627A"/>
    <w:rsid w:val="00557644"/>
    <w:rsid w:val="005601BB"/>
    <w:rsid w:val="005603EC"/>
    <w:rsid w:val="0056537C"/>
    <w:rsid w:val="00571306"/>
    <w:rsid w:val="00572EF8"/>
    <w:rsid w:val="005731A2"/>
    <w:rsid w:val="0057486C"/>
    <w:rsid w:val="00574CF0"/>
    <w:rsid w:val="00576237"/>
    <w:rsid w:val="00576CDA"/>
    <w:rsid w:val="0057744B"/>
    <w:rsid w:val="00581338"/>
    <w:rsid w:val="005813F1"/>
    <w:rsid w:val="00584E8A"/>
    <w:rsid w:val="0058592B"/>
    <w:rsid w:val="00587596"/>
    <w:rsid w:val="005931EF"/>
    <w:rsid w:val="005934EB"/>
    <w:rsid w:val="00594B6C"/>
    <w:rsid w:val="00594F4D"/>
    <w:rsid w:val="005A107C"/>
    <w:rsid w:val="005A2AAA"/>
    <w:rsid w:val="005A2D1A"/>
    <w:rsid w:val="005A556D"/>
    <w:rsid w:val="005B09A9"/>
    <w:rsid w:val="005B10A5"/>
    <w:rsid w:val="005B17CE"/>
    <w:rsid w:val="005B17DF"/>
    <w:rsid w:val="005B18FC"/>
    <w:rsid w:val="005B1CC5"/>
    <w:rsid w:val="005B43A1"/>
    <w:rsid w:val="005B4D03"/>
    <w:rsid w:val="005B658E"/>
    <w:rsid w:val="005B70D9"/>
    <w:rsid w:val="005B766B"/>
    <w:rsid w:val="005C0721"/>
    <w:rsid w:val="005C0750"/>
    <w:rsid w:val="005C3089"/>
    <w:rsid w:val="005C46A2"/>
    <w:rsid w:val="005C6D88"/>
    <w:rsid w:val="005C7839"/>
    <w:rsid w:val="005D1EF9"/>
    <w:rsid w:val="005D3C91"/>
    <w:rsid w:val="005D5D57"/>
    <w:rsid w:val="005D6B0D"/>
    <w:rsid w:val="005E02FB"/>
    <w:rsid w:val="005E0BEB"/>
    <w:rsid w:val="005E1C91"/>
    <w:rsid w:val="005E39B6"/>
    <w:rsid w:val="005E46B1"/>
    <w:rsid w:val="005E5A4A"/>
    <w:rsid w:val="005E7A7B"/>
    <w:rsid w:val="005F0787"/>
    <w:rsid w:val="005F2091"/>
    <w:rsid w:val="005F33C7"/>
    <w:rsid w:val="005F3F5D"/>
    <w:rsid w:val="005F434D"/>
    <w:rsid w:val="005F681B"/>
    <w:rsid w:val="005F6D69"/>
    <w:rsid w:val="00601BCD"/>
    <w:rsid w:val="00603588"/>
    <w:rsid w:val="00605C5A"/>
    <w:rsid w:val="006065A2"/>
    <w:rsid w:val="00606BD6"/>
    <w:rsid w:val="00611225"/>
    <w:rsid w:val="0061214C"/>
    <w:rsid w:val="00615A92"/>
    <w:rsid w:val="006209E4"/>
    <w:rsid w:val="00621305"/>
    <w:rsid w:val="00621818"/>
    <w:rsid w:val="00622065"/>
    <w:rsid w:val="00623A28"/>
    <w:rsid w:val="0062559E"/>
    <w:rsid w:val="00630608"/>
    <w:rsid w:val="006334B7"/>
    <w:rsid w:val="00633CBF"/>
    <w:rsid w:val="00634C9D"/>
    <w:rsid w:val="00635272"/>
    <w:rsid w:val="00635726"/>
    <w:rsid w:val="00637056"/>
    <w:rsid w:val="006408C0"/>
    <w:rsid w:val="00640D61"/>
    <w:rsid w:val="00641F00"/>
    <w:rsid w:val="006437B4"/>
    <w:rsid w:val="00643940"/>
    <w:rsid w:val="006442D7"/>
    <w:rsid w:val="0064669A"/>
    <w:rsid w:val="00646AC8"/>
    <w:rsid w:val="00646CCE"/>
    <w:rsid w:val="00647A31"/>
    <w:rsid w:val="00647FC0"/>
    <w:rsid w:val="006512F5"/>
    <w:rsid w:val="006524AA"/>
    <w:rsid w:val="006539F3"/>
    <w:rsid w:val="00653C88"/>
    <w:rsid w:val="00656002"/>
    <w:rsid w:val="0065606C"/>
    <w:rsid w:val="00656A0C"/>
    <w:rsid w:val="0066341C"/>
    <w:rsid w:val="006637BF"/>
    <w:rsid w:val="006642D3"/>
    <w:rsid w:val="00664895"/>
    <w:rsid w:val="006678BA"/>
    <w:rsid w:val="0067349B"/>
    <w:rsid w:val="0067466E"/>
    <w:rsid w:val="00675074"/>
    <w:rsid w:val="00677D81"/>
    <w:rsid w:val="006812D8"/>
    <w:rsid w:val="006816EE"/>
    <w:rsid w:val="006827CF"/>
    <w:rsid w:val="0068405C"/>
    <w:rsid w:val="006856D6"/>
    <w:rsid w:val="00685A67"/>
    <w:rsid w:val="0068655E"/>
    <w:rsid w:val="006906E0"/>
    <w:rsid w:val="006925B6"/>
    <w:rsid w:val="00692636"/>
    <w:rsid w:val="00696539"/>
    <w:rsid w:val="00697168"/>
    <w:rsid w:val="006973A4"/>
    <w:rsid w:val="006978B0"/>
    <w:rsid w:val="006A21DA"/>
    <w:rsid w:val="006A571F"/>
    <w:rsid w:val="006A6BEF"/>
    <w:rsid w:val="006A7658"/>
    <w:rsid w:val="006A7F52"/>
    <w:rsid w:val="006B17EB"/>
    <w:rsid w:val="006B44DD"/>
    <w:rsid w:val="006C0058"/>
    <w:rsid w:val="006C21B9"/>
    <w:rsid w:val="006C2752"/>
    <w:rsid w:val="006C2B2F"/>
    <w:rsid w:val="006C7519"/>
    <w:rsid w:val="006D0178"/>
    <w:rsid w:val="006D06EA"/>
    <w:rsid w:val="006D1016"/>
    <w:rsid w:val="006D180B"/>
    <w:rsid w:val="006D3764"/>
    <w:rsid w:val="006D4D6F"/>
    <w:rsid w:val="006D5110"/>
    <w:rsid w:val="006D5A62"/>
    <w:rsid w:val="006D5E33"/>
    <w:rsid w:val="006D6861"/>
    <w:rsid w:val="006E03F1"/>
    <w:rsid w:val="006E0ED3"/>
    <w:rsid w:val="006E3832"/>
    <w:rsid w:val="006E628B"/>
    <w:rsid w:val="006E7124"/>
    <w:rsid w:val="006F05A7"/>
    <w:rsid w:val="006F214C"/>
    <w:rsid w:val="006F2D06"/>
    <w:rsid w:val="006F3FC0"/>
    <w:rsid w:val="006F48C8"/>
    <w:rsid w:val="006F4C12"/>
    <w:rsid w:val="0070398E"/>
    <w:rsid w:val="00703A26"/>
    <w:rsid w:val="00703DEC"/>
    <w:rsid w:val="00703F3C"/>
    <w:rsid w:val="00703FCE"/>
    <w:rsid w:val="00704B61"/>
    <w:rsid w:val="00704E9D"/>
    <w:rsid w:val="00705530"/>
    <w:rsid w:val="00705543"/>
    <w:rsid w:val="0070663D"/>
    <w:rsid w:val="00707D08"/>
    <w:rsid w:val="00710D91"/>
    <w:rsid w:val="00711167"/>
    <w:rsid w:val="007131F3"/>
    <w:rsid w:val="007154D3"/>
    <w:rsid w:val="00716800"/>
    <w:rsid w:val="00717661"/>
    <w:rsid w:val="00720B10"/>
    <w:rsid w:val="0073168B"/>
    <w:rsid w:val="007318AB"/>
    <w:rsid w:val="00732127"/>
    <w:rsid w:val="007331D6"/>
    <w:rsid w:val="007333E0"/>
    <w:rsid w:val="00733C06"/>
    <w:rsid w:val="0073403C"/>
    <w:rsid w:val="00734089"/>
    <w:rsid w:val="0074059D"/>
    <w:rsid w:val="00740B0F"/>
    <w:rsid w:val="00742180"/>
    <w:rsid w:val="0074337B"/>
    <w:rsid w:val="0074370B"/>
    <w:rsid w:val="0074388A"/>
    <w:rsid w:val="007452FF"/>
    <w:rsid w:val="007472CB"/>
    <w:rsid w:val="00747935"/>
    <w:rsid w:val="00750C2F"/>
    <w:rsid w:val="00750FD4"/>
    <w:rsid w:val="00751D99"/>
    <w:rsid w:val="00752C94"/>
    <w:rsid w:val="00753C1A"/>
    <w:rsid w:val="00753D69"/>
    <w:rsid w:val="00754618"/>
    <w:rsid w:val="007559E6"/>
    <w:rsid w:val="00755C40"/>
    <w:rsid w:val="0075693F"/>
    <w:rsid w:val="00760920"/>
    <w:rsid w:val="00763BEA"/>
    <w:rsid w:val="00763FEF"/>
    <w:rsid w:val="00764199"/>
    <w:rsid w:val="00772192"/>
    <w:rsid w:val="00773AED"/>
    <w:rsid w:val="007743D7"/>
    <w:rsid w:val="00775677"/>
    <w:rsid w:val="00775C62"/>
    <w:rsid w:val="0077658D"/>
    <w:rsid w:val="00777A6D"/>
    <w:rsid w:val="00780F9E"/>
    <w:rsid w:val="0078214A"/>
    <w:rsid w:val="007829F9"/>
    <w:rsid w:val="00783373"/>
    <w:rsid w:val="00785416"/>
    <w:rsid w:val="007858D6"/>
    <w:rsid w:val="00786845"/>
    <w:rsid w:val="00786FD9"/>
    <w:rsid w:val="00787113"/>
    <w:rsid w:val="007910BD"/>
    <w:rsid w:val="007928A2"/>
    <w:rsid w:val="00792AF8"/>
    <w:rsid w:val="00795207"/>
    <w:rsid w:val="007A0295"/>
    <w:rsid w:val="007A1F7C"/>
    <w:rsid w:val="007A424B"/>
    <w:rsid w:val="007A5454"/>
    <w:rsid w:val="007A58D7"/>
    <w:rsid w:val="007A7643"/>
    <w:rsid w:val="007B1427"/>
    <w:rsid w:val="007B1A96"/>
    <w:rsid w:val="007B3338"/>
    <w:rsid w:val="007B385B"/>
    <w:rsid w:val="007B3BE2"/>
    <w:rsid w:val="007B59AE"/>
    <w:rsid w:val="007B704C"/>
    <w:rsid w:val="007C061A"/>
    <w:rsid w:val="007C2C19"/>
    <w:rsid w:val="007C2FCF"/>
    <w:rsid w:val="007C40E8"/>
    <w:rsid w:val="007C54E5"/>
    <w:rsid w:val="007C628B"/>
    <w:rsid w:val="007D19A4"/>
    <w:rsid w:val="007D536E"/>
    <w:rsid w:val="007D56F8"/>
    <w:rsid w:val="007D5787"/>
    <w:rsid w:val="007D5FE1"/>
    <w:rsid w:val="007D6C3F"/>
    <w:rsid w:val="007E2E87"/>
    <w:rsid w:val="007E388A"/>
    <w:rsid w:val="007E3B76"/>
    <w:rsid w:val="007E453D"/>
    <w:rsid w:val="007E471C"/>
    <w:rsid w:val="007E4760"/>
    <w:rsid w:val="007E4E16"/>
    <w:rsid w:val="007E59D3"/>
    <w:rsid w:val="007E5C3C"/>
    <w:rsid w:val="007E6DE7"/>
    <w:rsid w:val="007F1C61"/>
    <w:rsid w:val="007F3973"/>
    <w:rsid w:val="007F3A4D"/>
    <w:rsid w:val="007F3CD9"/>
    <w:rsid w:val="007F495B"/>
    <w:rsid w:val="007F5AE0"/>
    <w:rsid w:val="007F5DEA"/>
    <w:rsid w:val="00801C97"/>
    <w:rsid w:val="00802CF9"/>
    <w:rsid w:val="008054AE"/>
    <w:rsid w:val="0081229A"/>
    <w:rsid w:val="00812AAD"/>
    <w:rsid w:val="008165D6"/>
    <w:rsid w:val="008179FF"/>
    <w:rsid w:val="00820735"/>
    <w:rsid w:val="00821530"/>
    <w:rsid w:val="0082235E"/>
    <w:rsid w:val="00822CDD"/>
    <w:rsid w:val="0082524B"/>
    <w:rsid w:val="008252A0"/>
    <w:rsid w:val="00826100"/>
    <w:rsid w:val="0083006C"/>
    <w:rsid w:val="008331E8"/>
    <w:rsid w:val="00834298"/>
    <w:rsid w:val="0083584A"/>
    <w:rsid w:val="00836351"/>
    <w:rsid w:val="00837904"/>
    <w:rsid w:val="00840335"/>
    <w:rsid w:val="00844EA7"/>
    <w:rsid w:val="0084547A"/>
    <w:rsid w:val="00846CC1"/>
    <w:rsid w:val="008475C2"/>
    <w:rsid w:val="00861FEC"/>
    <w:rsid w:val="00864EB6"/>
    <w:rsid w:val="0087034F"/>
    <w:rsid w:val="008715A3"/>
    <w:rsid w:val="00871FF9"/>
    <w:rsid w:val="008757E8"/>
    <w:rsid w:val="00875AAE"/>
    <w:rsid w:val="008762B9"/>
    <w:rsid w:val="00877C09"/>
    <w:rsid w:val="008808AC"/>
    <w:rsid w:val="00881F3F"/>
    <w:rsid w:val="00883E71"/>
    <w:rsid w:val="00886B81"/>
    <w:rsid w:val="00890793"/>
    <w:rsid w:val="00890D4E"/>
    <w:rsid w:val="008944F1"/>
    <w:rsid w:val="00894DD7"/>
    <w:rsid w:val="008953CE"/>
    <w:rsid w:val="0089642F"/>
    <w:rsid w:val="008A0055"/>
    <w:rsid w:val="008A1C02"/>
    <w:rsid w:val="008A1EC6"/>
    <w:rsid w:val="008A305E"/>
    <w:rsid w:val="008A33D1"/>
    <w:rsid w:val="008A41E2"/>
    <w:rsid w:val="008A4876"/>
    <w:rsid w:val="008A68FE"/>
    <w:rsid w:val="008A7313"/>
    <w:rsid w:val="008B1D63"/>
    <w:rsid w:val="008B2A57"/>
    <w:rsid w:val="008B33B2"/>
    <w:rsid w:val="008B37E3"/>
    <w:rsid w:val="008B4115"/>
    <w:rsid w:val="008B58E5"/>
    <w:rsid w:val="008B6AA8"/>
    <w:rsid w:val="008B6E99"/>
    <w:rsid w:val="008C6692"/>
    <w:rsid w:val="008D00DC"/>
    <w:rsid w:val="008D1172"/>
    <w:rsid w:val="008D1BD8"/>
    <w:rsid w:val="008D2A17"/>
    <w:rsid w:val="008E0A0A"/>
    <w:rsid w:val="008E17A1"/>
    <w:rsid w:val="008E46A4"/>
    <w:rsid w:val="008E4E68"/>
    <w:rsid w:val="008E4F25"/>
    <w:rsid w:val="008E5A7D"/>
    <w:rsid w:val="008E5C36"/>
    <w:rsid w:val="008E7001"/>
    <w:rsid w:val="008E7ADC"/>
    <w:rsid w:val="008F0A0B"/>
    <w:rsid w:val="008F1764"/>
    <w:rsid w:val="008F1AC5"/>
    <w:rsid w:val="008F2FA5"/>
    <w:rsid w:val="008F41DE"/>
    <w:rsid w:val="008F480F"/>
    <w:rsid w:val="008F5647"/>
    <w:rsid w:val="008F60F7"/>
    <w:rsid w:val="00900CA4"/>
    <w:rsid w:val="00900CD6"/>
    <w:rsid w:val="00900DB7"/>
    <w:rsid w:val="00901F51"/>
    <w:rsid w:val="009025A8"/>
    <w:rsid w:val="0090325A"/>
    <w:rsid w:val="009039C0"/>
    <w:rsid w:val="009052EA"/>
    <w:rsid w:val="00905F04"/>
    <w:rsid w:val="00906478"/>
    <w:rsid w:val="00907A26"/>
    <w:rsid w:val="00907B45"/>
    <w:rsid w:val="009115AA"/>
    <w:rsid w:val="00912793"/>
    <w:rsid w:val="00915BC2"/>
    <w:rsid w:val="00915C37"/>
    <w:rsid w:val="0091683B"/>
    <w:rsid w:val="00916F01"/>
    <w:rsid w:val="00916F0C"/>
    <w:rsid w:val="00917279"/>
    <w:rsid w:val="00917521"/>
    <w:rsid w:val="0092214B"/>
    <w:rsid w:val="0092337D"/>
    <w:rsid w:val="009249F5"/>
    <w:rsid w:val="00924C94"/>
    <w:rsid w:val="00926E70"/>
    <w:rsid w:val="009270A4"/>
    <w:rsid w:val="00932FDB"/>
    <w:rsid w:val="00933D47"/>
    <w:rsid w:val="00936B5D"/>
    <w:rsid w:val="00937024"/>
    <w:rsid w:val="00944A2C"/>
    <w:rsid w:val="009465DA"/>
    <w:rsid w:val="009476CC"/>
    <w:rsid w:val="00952409"/>
    <w:rsid w:val="00953187"/>
    <w:rsid w:val="009612FF"/>
    <w:rsid w:val="00961E70"/>
    <w:rsid w:val="009636D3"/>
    <w:rsid w:val="00965A05"/>
    <w:rsid w:val="0096632A"/>
    <w:rsid w:val="00967C8F"/>
    <w:rsid w:val="009706DD"/>
    <w:rsid w:val="00971C56"/>
    <w:rsid w:val="00971D63"/>
    <w:rsid w:val="00975515"/>
    <w:rsid w:val="00975622"/>
    <w:rsid w:val="00980B31"/>
    <w:rsid w:val="009814D0"/>
    <w:rsid w:val="009822EC"/>
    <w:rsid w:val="009824E6"/>
    <w:rsid w:val="0098251E"/>
    <w:rsid w:val="0098667B"/>
    <w:rsid w:val="00987551"/>
    <w:rsid w:val="009903F4"/>
    <w:rsid w:val="00990A5E"/>
    <w:rsid w:val="00992D29"/>
    <w:rsid w:val="00993069"/>
    <w:rsid w:val="009930F4"/>
    <w:rsid w:val="0099339D"/>
    <w:rsid w:val="009948AA"/>
    <w:rsid w:val="0099599B"/>
    <w:rsid w:val="00996FC3"/>
    <w:rsid w:val="009A1AB7"/>
    <w:rsid w:val="009A29B9"/>
    <w:rsid w:val="009B03C7"/>
    <w:rsid w:val="009B0DB9"/>
    <w:rsid w:val="009B0FBF"/>
    <w:rsid w:val="009B1166"/>
    <w:rsid w:val="009B64FC"/>
    <w:rsid w:val="009B7BC5"/>
    <w:rsid w:val="009C30D7"/>
    <w:rsid w:val="009C6922"/>
    <w:rsid w:val="009D2042"/>
    <w:rsid w:val="009D3971"/>
    <w:rsid w:val="009D468F"/>
    <w:rsid w:val="009D5CCA"/>
    <w:rsid w:val="009D6960"/>
    <w:rsid w:val="009E1237"/>
    <w:rsid w:val="009E1F10"/>
    <w:rsid w:val="009E318A"/>
    <w:rsid w:val="009E4641"/>
    <w:rsid w:val="009E6B42"/>
    <w:rsid w:val="009F2BF1"/>
    <w:rsid w:val="009F2E0F"/>
    <w:rsid w:val="009F7E1C"/>
    <w:rsid w:val="00A0037F"/>
    <w:rsid w:val="00A0137C"/>
    <w:rsid w:val="00A0177F"/>
    <w:rsid w:val="00A03A72"/>
    <w:rsid w:val="00A043E3"/>
    <w:rsid w:val="00A04CB9"/>
    <w:rsid w:val="00A05F6C"/>
    <w:rsid w:val="00A06070"/>
    <w:rsid w:val="00A06854"/>
    <w:rsid w:val="00A075DC"/>
    <w:rsid w:val="00A07A5B"/>
    <w:rsid w:val="00A13102"/>
    <w:rsid w:val="00A132CC"/>
    <w:rsid w:val="00A133E9"/>
    <w:rsid w:val="00A14AE3"/>
    <w:rsid w:val="00A15E9F"/>
    <w:rsid w:val="00A17504"/>
    <w:rsid w:val="00A21DBC"/>
    <w:rsid w:val="00A2218E"/>
    <w:rsid w:val="00A2239D"/>
    <w:rsid w:val="00A23492"/>
    <w:rsid w:val="00A249EF"/>
    <w:rsid w:val="00A27DB1"/>
    <w:rsid w:val="00A30768"/>
    <w:rsid w:val="00A33153"/>
    <w:rsid w:val="00A33A39"/>
    <w:rsid w:val="00A34F1D"/>
    <w:rsid w:val="00A35556"/>
    <w:rsid w:val="00A4162B"/>
    <w:rsid w:val="00A42ABA"/>
    <w:rsid w:val="00A45E17"/>
    <w:rsid w:val="00A470BA"/>
    <w:rsid w:val="00A544EF"/>
    <w:rsid w:val="00A550AC"/>
    <w:rsid w:val="00A56814"/>
    <w:rsid w:val="00A56CE4"/>
    <w:rsid w:val="00A579CE"/>
    <w:rsid w:val="00A57C0F"/>
    <w:rsid w:val="00A6130D"/>
    <w:rsid w:val="00A621AA"/>
    <w:rsid w:val="00A6270E"/>
    <w:rsid w:val="00A62FA5"/>
    <w:rsid w:val="00A633B9"/>
    <w:rsid w:val="00A64F0B"/>
    <w:rsid w:val="00A70EBD"/>
    <w:rsid w:val="00A73DA2"/>
    <w:rsid w:val="00A80355"/>
    <w:rsid w:val="00A845C2"/>
    <w:rsid w:val="00A845F0"/>
    <w:rsid w:val="00A85A65"/>
    <w:rsid w:val="00A86B1C"/>
    <w:rsid w:val="00A876FC"/>
    <w:rsid w:val="00A90DAC"/>
    <w:rsid w:val="00A91A56"/>
    <w:rsid w:val="00A91BF1"/>
    <w:rsid w:val="00A965C5"/>
    <w:rsid w:val="00A965F5"/>
    <w:rsid w:val="00A969ED"/>
    <w:rsid w:val="00A970B2"/>
    <w:rsid w:val="00AA4611"/>
    <w:rsid w:val="00AA687F"/>
    <w:rsid w:val="00AB0555"/>
    <w:rsid w:val="00AB0AC7"/>
    <w:rsid w:val="00AB2CA7"/>
    <w:rsid w:val="00AB504A"/>
    <w:rsid w:val="00AB626D"/>
    <w:rsid w:val="00AB65AA"/>
    <w:rsid w:val="00AB6CCC"/>
    <w:rsid w:val="00AC043A"/>
    <w:rsid w:val="00AC362F"/>
    <w:rsid w:val="00AC5A15"/>
    <w:rsid w:val="00AC720F"/>
    <w:rsid w:val="00AC7BB8"/>
    <w:rsid w:val="00AD4534"/>
    <w:rsid w:val="00AD5DA0"/>
    <w:rsid w:val="00AD7A8D"/>
    <w:rsid w:val="00AD7C10"/>
    <w:rsid w:val="00AE1FB4"/>
    <w:rsid w:val="00AE226F"/>
    <w:rsid w:val="00AE4DCA"/>
    <w:rsid w:val="00AE64DC"/>
    <w:rsid w:val="00AE6A52"/>
    <w:rsid w:val="00AF0CFB"/>
    <w:rsid w:val="00AF1152"/>
    <w:rsid w:val="00AF2B86"/>
    <w:rsid w:val="00AF3855"/>
    <w:rsid w:val="00AF56E7"/>
    <w:rsid w:val="00AF680A"/>
    <w:rsid w:val="00AF6D8C"/>
    <w:rsid w:val="00B01619"/>
    <w:rsid w:val="00B03916"/>
    <w:rsid w:val="00B03C79"/>
    <w:rsid w:val="00B05430"/>
    <w:rsid w:val="00B0733B"/>
    <w:rsid w:val="00B075CA"/>
    <w:rsid w:val="00B07CB5"/>
    <w:rsid w:val="00B10FC5"/>
    <w:rsid w:val="00B120FB"/>
    <w:rsid w:val="00B12914"/>
    <w:rsid w:val="00B14D33"/>
    <w:rsid w:val="00B16B26"/>
    <w:rsid w:val="00B200B5"/>
    <w:rsid w:val="00B206CF"/>
    <w:rsid w:val="00B24F52"/>
    <w:rsid w:val="00B319CB"/>
    <w:rsid w:val="00B327DE"/>
    <w:rsid w:val="00B32D41"/>
    <w:rsid w:val="00B32E35"/>
    <w:rsid w:val="00B341E5"/>
    <w:rsid w:val="00B34A5C"/>
    <w:rsid w:val="00B34FE2"/>
    <w:rsid w:val="00B3574D"/>
    <w:rsid w:val="00B400DB"/>
    <w:rsid w:val="00B409E8"/>
    <w:rsid w:val="00B41A91"/>
    <w:rsid w:val="00B41ED6"/>
    <w:rsid w:val="00B47A6C"/>
    <w:rsid w:val="00B47E79"/>
    <w:rsid w:val="00B5000A"/>
    <w:rsid w:val="00B52FA3"/>
    <w:rsid w:val="00B5765D"/>
    <w:rsid w:val="00B57867"/>
    <w:rsid w:val="00B578DB"/>
    <w:rsid w:val="00B61460"/>
    <w:rsid w:val="00B64691"/>
    <w:rsid w:val="00B65F7F"/>
    <w:rsid w:val="00B6784E"/>
    <w:rsid w:val="00B730C9"/>
    <w:rsid w:val="00B7381A"/>
    <w:rsid w:val="00B7441A"/>
    <w:rsid w:val="00B7537C"/>
    <w:rsid w:val="00B76FA9"/>
    <w:rsid w:val="00B77937"/>
    <w:rsid w:val="00B77C16"/>
    <w:rsid w:val="00B80972"/>
    <w:rsid w:val="00B81797"/>
    <w:rsid w:val="00B81A7C"/>
    <w:rsid w:val="00B81D86"/>
    <w:rsid w:val="00B824AA"/>
    <w:rsid w:val="00B82DD3"/>
    <w:rsid w:val="00B83498"/>
    <w:rsid w:val="00B83ACB"/>
    <w:rsid w:val="00B8559C"/>
    <w:rsid w:val="00B92E96"/>
    <w:rsid w:val="00B9310E"/>
    <w:rsid w:val="00B96D42"/>
    <w:rsid w:val="00B97BC2"/>
    <w:rsid w:val="00BA1267"/>
    <w:rsid w:val="00BA2161"/>
    <w:rsid w:val="00BA5950"/>
    <w:rsid w:val="00BA5F94"/>
    <w:rsid w:val="00BA6A57"/>
    <w:rsid w:val="00BB0F57"/>
    <w:rsid w:val="00BB2DDE"/>
    <w:rsid w:val="00BB4550"/>
    <w:rsid w:val="00BB468A"/>
    <w:rsid w:val="00BB5B3E"/>
    <w:rsid w:val="00BB60F3"/>
    <w:rsid w:val="00BB707C"/>
    <w:rsid w:val="00BB74F7"/>
    <w:rsid w:val="00BC121D"/>
    <w:rsid w:val="00BC47DC"/>
    <w:rsid w:val="00BD044E"/>
    <w:rsid w:val="00BD0BD5"/>
    <w:rsid w:val="00BD190E"/>
    <w:rsid w:val="00BD2A52"/>
    <w:rsid w:val="00BD6B6A"/>
    <w:rsid w:val="00BD6DC5"/>
    <w:rsid w:val="00BE2D83"/>
    <w:rsid w:val="00BE3E87"/>
    <w:rsid w:val="00BE47DB"/>
    <w:rsid w:val="00BE6020"/>
    <w:rsid w:val="00BE663D"/>
    <w:rsid w:val="00BE7455"/>
    <w:rsid w:val="00BE75B6"/>
    <w:rsid w:val="00BE7661"/>
    <w:rsid w:val="00BE77B6"/>
    <w:rsid w:val="00BF01FE"/>
    <w:rsid w:val="00BF068A"/>
    <w:rsid w:val="00BF11DD"/>
    <w:rsid w:val="00BF314E"/>
    <w:rsid w:val="00BF3B02"/>
    <w:rsid w:val="00BF53E3"/>
    <w:rsid w:val="00BF76C0"/>
    <w:rsid w:val="00C00CEA"/>
    <w:rsid w:val="00C11700"/>
    <w:rsid w:val="00C12ED2"/>
    <w:rsid w:val="00C1639E"/>
    <w:rsid w:val="00C1658C"/>
    <w:rsid w:val="00C168F4"/>
    <w:rsid w:val="00C210D4"/>
    <w:rsid w:val="00C25B83"/>
    <w:rsid w:val="00C25D2A"/>
    <w:rsid w:val="00C2714B"/>
    <w:rsid w:val="00C309BE"/>
    <w:rsid w:val="00C31B25"/>
    <w:rsid w:val="00C31D48"/>
    <w:rsid w:val="00C33609"/>
    <w:rsid w:val="00C33EBE"/>
    <w:rsid w:val="00C355CB"/>
    <w:rsid w:val="00C4003A"/>
    <w:rsid w:val="00C4016B"/>
    <w:rsid w:val="00C40FE1"/>
    <w:rsid w:val="00C438FA"/>
    <w:rsid w:val="00C501D5"/>
    <w:rsid w:val="00C510C4"/>
    <w:rsid w:val="00C52AA5"/>
    <w:rsid w:val="00C53694"/>
    <w:rsid w:val="00C578BE"/>
    <w:rsid w:val="00C6032F"/>
    <w:rsid w:val="00C626BC"/>
    <w:rsid w:val="00C64391"/>
    <w:rsid w:val="00C665FC"/>
    <w:rsid w:val="00C677BD"/>
    <w:rsid w:val="00C705FD"/>
    <w:rsid w:val="00C710E9"/>
    <w:rsid w:val="00C7127C"/>
    <w:rsid w:val="00C713DA"/>
    <w:rsid w:val="00C739E2"/>
    <w:rsid w:val="00C84F49"/>
    <w:rsid w:val="00C85F32"/>
    <w:rsid w:val="00C87FD8"/>
    <w:rsid w:val="00C96059"/>
    <w:rsid w:val="00C97374"/>
    <w:rsid w:val="00C974B6"/>
    <w:rsid w:val="00C97D5D"/>
    <w:rsid w:val="00CA19B0"/>
    <w:rsid w:val="00CA3686"/>
    <w:rsid w:val="00CA3EFA"/>
    <w:rsid w:val="00CA6BC6"/>
    <w:rsid w:val="00CA7361"/>
    <w:rsid w:val="00CA7D69"/>
    <w:rsid w:val="00CB11D1"/>
    <w:rsid w:val="00CB230F"/>
    <w:rsid w:val="00CB2782"/>
    <w:rsid w:val="00CB39AF"/>
    <w:rsid w:val="00CB4CF7"/>
    <w:rsid w:val="00CB4D61"/>
    <w:rsid w:val="00CB6F78"/>
    <w:rsid w:val="00CB7877"/>
    <w:rsid w:val="00CC0EEA"/>
    <w:rsid w:val="00CC5730"/>
    <w:rsid w:val="00CD04FE"/>
    <w:rsid w:val="00CD121A"/>
    <w:rsid w:val="00CD2071"/>
    <w:rsid w:val="00CD24D9"/>
    <w:rsid w:val="00CD4CFE"/>
    <w:rsid w:val="00CD73FD"/>
    <w:rsid w:val="00CE1FD4"/>
    <w:rsid w:val="00CE2F5B"/>
    <w:rsid w:val="00CE3F98"/>
    <w:rsid w:val="00CE49A6"/>
    <w:rsid w:val="00CF28C4"/>
    <w:rsid w:val="00CF4F4F"/>
    <w:rsid w:val="00CF718E"/>
    <w:rsid w:val="00D01330"/>
    <w:rsid w:val="00D02B68"/>
    <w:rsid w:val="00D032F4"/>
    <w:rsid w:val="00D045D4"/>
    <w:rsid w:val="00D053C4"/>
    <w:rsid w:val="00D05BC9"/>
    <w:rsid w:val="00D05ED7"/>
    <w:rsid w:val="00D0624F"/>
    <w:rsid w:val="00D066DF"/>
    <w:rsid w:val="00D0742B"/>
    <w:rsid w:val="00D07898"/>
    <w:rsid w:val="00D10F03"/>
    <w:rsid w:val="00D124DC"/>
    <w:rsid w:val="00D12E82"/>
    <w:rsid w:val="00D1598D"/>
    <w:rsid w:val="00D16BEE"/>
    <w:rsid w:val="00D21443"/>
    <w:rsid w:val="00D216F3"/>
    <w:rsid w:val="00D22575"/>
    <w:rsid w:val="00D22A12"/>
    <w:rsid w:val="00D232EF"/>
    <w:rsid w:val="00D236E8"/>
    <w:rsid w:val="00D255B1"/>
    <w:rsid w:val="00D26367"/>
    <w:rsid w:val="00D265D6"/>
    <w:rsid w:val="00D27690"/>
    <w:rsid w:val="00D2782C"/>
    <w:rsid w:val="00D30973"/>
    <w:rsid w:val="00D30E55"/>
    <w:rsid w:val="00D3134D"/>
    <w:rsid w:val="00D31A24"/>
    <w:rsid w:val="00D358FA"/>
    <w:rsid w:val="00D373DF"/>
    <w:rsid w:val="00D3754B"/>
    <w:rsid w:val="00D409E0"/>
    <w:rsid w:val="00D40DBA"/>
    <w:rsid w:val="00D428FA"/>
    <w:rsid w:val="00D434A2"/>
    <w:rsid w:val="00D44983"/>
    <w:rsid w:val="00D45D4D"/>
    <w:rsid w:val="00D45F02"/>
    <w:rsid w:val="00D475DA"/>
    <w:rsid w:val="00D47F15"/>
    <w:rsid w:val="00D50798"/>
    <w:rsid w:val="00D50B97"/>
    <w:rsid w:val="00D51865"/>
    <w:rsid w:val="00D525C5"/>
    <w:rsid w:val="00D546AD"/>
    <w:rsid w:val="00D547C2"/>
    <w:rsid w:val="00D55DCA"/>
    <w:rsid w:val="00D5740C"/>
    <w:rsid w:val="00D57477"/>
    <w:rsid w:val="00D6106F"/>
    <w:rsid w:val="00D617DF"/>
    <w:rsid w:val="00D63A33"/>
    <w:rsid w:val="00D6733C"/>
    <w:rsid w:val="00D67436"/>
    <w:rsid w:val="00D67B04"/>
    <w:rsid w:val="00D731C2"/>
    <w:rsid w:val="00D73457"/>
    <w:rsid w:val="00D744A5"/>
    <w:rsid w:val="00D76658"/>
    <w:rsid w:val="00D7746A"/>
    <w:rsid w:val="00D775A0"/>
    <w:rsid w:val="00D77B49"/>
    <w:rsid w:val="00D80001"/>
    <w:rsid w:val="00D803F1"/>
    <w:rsid w:val="00D80565"/>
    <w:rsid w:val="00D82B05"/>
    <w:rsid w:val="00D865AA"/>
    <w:rsid w:val="00D871BB"/>
    <w:rsid w:val="00D919C3"/>
    <w:rsid w:val="00D922A7"/>
    <w:rsid w:val="00D93016"/>
    <w:rsid w:val="00D971F1"/>
    <w:rsid w:val="00DA07B6"/>
    <w:rsid w:val="00DA1DF5"/>
    <w:rsid w:val="00DA25A4"/>
    <w:rsid w:val="00DA2F7C"/>
    <w:rsid w:val="00DA3002"/>
    <w:rsid w:val="00DA3263"/>
    <w:rsid w:val="00DA3316"/>
    <w:rsid w:val="00DA4F34"/>
    <w:rsid w:val="00DA562B"/>
    <w:rsid w:val="00DA6EF2"/>
    <w:rsid w:val="00DA7FF8"/>
    <w:rsid w:val="00DB0382"/>
    <w:rsid w:val="00DB085D"/>
    <w:rsid w:val="00DB0F56"/>
    <w:rsid w:val="00DB2BE6"/>
    <w:rsid w:val="00DB47AE"/>
    <w:rsid w:val="00DB4949"/>
    <w:rsid w:val="00DB6FE6"/>
    <w:rsid w:val="00DB7452"/>
    <w:rsid w:val="00DC0591"/>
    <w:rsid w:val="00DC09C8"/>
    <w:rsid w:val="00DC2E54"/>
    <w:rsid w:val="00DC4762"/>
    <w:rsid w:val="00DC5813"/>
    <w:rsid w:val="00DC6029"/>
    <w:rsid w:val="00DC67D4"/>
    <w:rsid w:val="00DD004D"/>
    <w:rsid w:val="00DD14BD"/>
    <w:rsid w:val="00DD1AE5"/>
    <w:rsid w:val="00DD2FA7"/>
    <w:rsid w:val="00DD4999"/>
    <w:rsid w:val="00DD5CBC"/>
    <w:rsid w:val="00DD79D8"/>
    <w:rsid w:val="00DD7D95"/>
    <w:rsid w:val="00DE4C7C"/>
    <w:rsid w:val="00DE5B78"/>
    <w:rsid w:val="00DE7659"/>
    <w:rsid w:val="00DF2F51"/>
    <w:rsid w:val="00DF39EC"/>
    <w:rsid w:val="00DF3E75"/>
    <w:rsid w:val="00DF54DF"/>
    <w:rsid w:val="00DF5843"/>
    <w:rsid w:val="00DF6601"/>
    <w:rsid w:val="00DF6C62"/>
    <w:rsid w:val="00E0338A"/>
    <w:rsid w:val="00E1258E"/>
    <w:rsid w:val="00E15F7A"/>
    <w:rsid w:val="00E167D9"/>
    <w:rsid w:val="00E20B8D"/>
    <w:rsid w:val="00E22C7A"/>
    <w:rsid w:val="00E23A9E"/>
    <w:rsid w:val="00E23B53"/>
    <w:rsid w:val="00E24E4A"/>
    <w:rsid w:val="00E25CDA"/>
    <w:rsid w:val="00E273EC"/>
    <w:rsid w:val="00E276A0"/>
    <w:rsid w:val="00E2776C"/>
    <w:rsid w:val="00E30714"/>
    <w:rsid w:val="00E30786"/>
    <w:rsid w:val="00E322F9"/>
    <w:rsid w:val="00E32EA8"/>
    <w:rsid w:val="00E32FBE"/>
    <w:rsid w:val="00E33C5A"/>
    <w:rsid w:val="00E3670A"/>
    <w:rsid w:val="00E37641"/>
    <w:rsid w:val="00E37778"/>
    <w:rsid w:val="00E377E9"/>
    <w:rsid w:val="00E40024"/>
    <w:rsid w:val="00E41262"/>
    <w:rsid w:val="00E42418"/>
    <w:rsid w:val="00E44925"/>
    <w:rsid w:val="00E47B27"/>
    <w:rsid w:val="00E502F6"/>
    <w:rsid w:val="00E5165B"/>
    <w:rsid w:val="00E534BE"/>
    <w:rsid w:val="00E5447C"/>
    <w:rsid w:val="00E550AB"/>
    <w:rsid w:val="00E57938"/>
    <w:rsid w:val="00E608A5"/>
    <w:rsid w:val="00E61418"/>
    <w:rsid w:val="00E630A3"/>
    <w:rsid w:val="00E63E71"/>
    <w:rsid w:val="00E6587B"/>
    <w:rsid w:val="00E66B08"/>
    <w:rsid w:val="00E71C6E"/>
    <w:rsid w:val="00E72E5C"/>
    <w:rsid w:val="00E73949"/>
    <w:rsid w:val="00E74B59"/>
    <w:rsid w:val="00E80969"/>
    <w:rsid w:val="00E83001"/>
    <w:rsid w:val="00E8309D"/>
    <w:rsid w:val="00E83DE9"/>
    <w:rsid w:val="00E857DE"/>
    <w:rsid w:val="00E86FCB"/>
    <w:rsid w:val="00E902A3"/>
    <w:rsid w:val="00E95683"/>
    <w:rsid w:val="00E96FDA"/>
    <w:rsid w:val="00E96FFD"/>
    <w:rsid w:val="00E977E5"/>
    <w:rsid w:val="00E97AC4"/>
    <w:rsid w:val="00EA3E2C"/>
    <w:rsid w:val="00EA6525"/>
    <w:rsid w:val="00EA6B41"/>
    <w:rsid w:val="00EB0620"/>
    <w:rsid w:val="00EB3C62"/>
    <w:rsid w:val="00EB68DC"/>
    <w:rsid w:val="00EB6C8A"/>
    <w:rsid w:val="00EB776F"/>
    <w:rsid w:val="00EC07A5"/>
    <w:rsid w:val="00EC4515"/>
    <w:rsid w:val="00EC4E0A"/>
    <w:rsid w:val="00EC5391"/>
    <w:rsid w:val="00EC64DF"/>
    <w:rsid w:val="00EC705B"/>
    <w:rsid w:val="00ED0A3C"/>
    <w:rsid w:val="00ED0C13"/>
    <w:rsid w:val="00ED2AAC"/>
    <w:rsid w:val="00ED2EC3"/>
    <w:rsid w:val="00ED63DF"/>
    <w:rsid w:val="00EE00A1"/>
    <w:rsid w:val="00EE077E"/>
    <w:rsid w:val="00EE1B16"/>
    <w:rsid w:val="00EE3CF8"/>
    <w:rsid w:val="00EE496D"/>
    <w:rsid w:val="00EF00FA"/>
    <w:rsid w:val="00EF1476"/>
    <w:rsid w:val="00EF1D00"/>
    <w:rsid w:val="00EF71ED"/>
    <w:rsid w:val="00F00FF3"/>
    <w:rsid w:val="00F01312"/>
    <w:rsid w:val="00F02468"/>
    <w:rsid w:val="00F04A4B"/>
    <w:rsid w:val="00F07B9C"/>
    <w:rsid w:val="00F1000C"/>
    <w:rsid w:val="00F15B7C"/>
    <w:rsid w:val="00F17543"/>
    <w:rsid w:val="00F17977"/>
    <w:rsid w:val="00F20950"/>
    <w:rsid w:val="00F21BCE"/>
    <w:rsid w:val="00F222A9"/>
    <w:rsid w:val="00F265E5"/>
    <w:rsid w:val="00F26DEE"/>
    <w:rsid w:val="00F27587"/>
    <w:rsid w:val="00F3068E"/>
    <w:rsid w:val="00F31E1B"/>
    <w:rsid w:val="00F3219F"/>
    <w:rsid w:val="00F35158"/>
    <w:rsid w:val="00F439AF"/>
    <w:rsid w:val="00F43B44"/>
    <w:rsid w:val="00F44E1B"/>
    <w:rsid w:val="00F456E8"/>
    <w:rsid w:val="00F51FD2"/>
    <w:rsid w:val="00F52BA3"/>
    <w:rsid w:val="00F52FD1"/>
    <w:rsid w:val="00F5307B"/>
    <w:rsid w:val="00F5567E"/>
    <w:rsid w:val="00F5661C"/>
    <w:rsid w:val="00F56B55"/>
    <w:rsid w:val="00F572D4"/>
    <w:rsid w:val="00F6225F"/>
    <w:rsid w:val="00F626D3"/>
    <w:rsid w:val="00F63742"/>
    <w:rsid w:val="00F645D0"/>
    <w:rsid w:val="00F655F1"/>
    <w:rsid w:val="00F67975"/>
    <w:rsid w:val="00F71103"/>
    <w:rsid w:val="00F75BE4"/>
    <w:rsid w:val="00F77EF0"/>
    <w:rsid w:val="00F806DD"/>
    <w:rsid w:val="00F815EF"/>
    <w:rsid w:val="00F84B4E"/>
    <w:rsid w:val="00F93D75"/>
    <w:rsid w:val="00F93DF0"/>
    <w:rsid w:val="00F942B8"/>
    <w:rsid w:val="00F973DF"/>
    <w:rsid w:val="00FA12CE"/>
    <w:rsid w:val="00FA192B"/>
    <w:rsid w:val="00FA2200"/>
    <w:rsid w:val="00FA5C94"/>
    <w:rsid w:val="00FA78B8"/>
    <w:rsid w:val="00FA7F72"/>
    <w:rsid w:val="00FB1657"/>
    <w:rsid w:val="00FB2B0C"/>
    <w:rsid w:val="00FB35F7"/>
    <w:rsid w:val="00FB60EB"/>
    <w:rsid w:val="00FC534D"/>
    <w:rsid w:val="00FC782F"/>
    <w:rsid w:val="00FD1245"/>
    <w:rsid w:val="00FD1F54"/>
    <w:rsid w:val="00FD3717"/>
    <w:rsid w:val="00FD50D4"/>
    <w:rsid w:val="00FD7F90"/>
    <w:rsid w:val="00FD7FBC"/>
    <w:rsid w:val="00FE2FE4"/>
    <w:rsid w:val="00FE6C21"/>
    <w:rsid w:val="00FE7AC5"/>
    <w:rsid w:val="00FF0E3F"/>
    <w:rsid w:val="00FF4AE7"/>
    <w:rsid w:val="00FF5115"/>
    <w:rsid w:val="00FF6B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21D8"/>
  <w15:chartTrackingRefBased/>
  <w15:docId w15:val="{25B1B7A0-76C1-45DE-99C0-0F139C4E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E9"/>
    <w:pPr>
      <w:spacing w:line="240" w:lineRule="auto"/>
      <w:jc w:val="both"/>
    </w:pPr>
    <w:rPr>
      <w:sz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52BA3"/>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2D7A5B"/>
    <w:pPr>
      <w:spacing w:line="259" w:lineRule="auto"/>
      <w:ind w:left="720"/>
      <w:contextualSpacing/>
      <w:jc w:val="left"/>
    </w:pPr>
    <w:rPr>
      <w:lang w:val="fr-BE"/>
    </w:rPr>
  </w:style>
  <w:style w:type="character" w:styleId="Accentuation">
    <w:name w:val="Emphasis"/>
    <w:aliases w:val="sous-titre 3"/>
    <w:basedOn w:val="Policepardfaut"/>
    <w:uiPriority w:val="20"/>
    <w:qFormat/>
    <w:rsid w:val="00BB4550"/>
    <w:rPr>
      <w:rFonts w:asciiTheme="majorHAnsi" w:hAnsiTheme="majorHAnsi"/>
      <w:b/>
      <w:i/>
      <w:iCs/>
      <w:color w:val="auto"/>
      <w:sz w:val="22"/>
    </w:rPr>
  </w:style>
  <w:style w:type="character" w:customStyle="1" w:styleId="markedcontent">
    <w:name w:val="markedcontent"/>
    <w:basedOn w:val="Policepardfaut"/>
    <w:rsid w:val="001B536E"/>
  </w:style>
  <w:style w:type="paragraph" w:styleId="Notedebasdepage">
    <w:name w:val="footnote text"/>
    <w:basedOn w:val="Normal"/>
    <w:link w:val="NotedebasdepageCar"/>
    <w:uiPriority w:val="99"/>
    <w:semiHidden/>
    <w:unhideWhenUsed/>
    <w:rsid w:val="0048019A"/>
    <w:pPr>
      <w:spacing w:after="0"/>
    </w:pPr>
    <w:rPr>
      <w:szCs w:val="20"/>
    </w:rPr>
  </w:style>
  <w:style w:type="character" w:customStyle="1" w:styleId="NotedebasdepageCar">
    <w:name w:val="Note de bas de page Car"/>
    <w:basedOn w:val="Policepardfaut"/>
    <w:link w:val="Notedebasdepage"/>
    <w:uiPriority w:val="99"/>
    <w:semiHidden/>
    <w:rsid w:val="0048019A"/>
    <w:rPr>
      <w:sz w:val="20"/>
      <w:szCs w:val="20"/>
    </w:rPr>
  </w:style>
  <w:style w:type="character" w:styleId="Appelnotedebasdep">
    <w:name w:val="footnote reference"/>
    <w:basedOn w:val="Policepardfaut"/>
    <w:uiPriority w:val="99"/>
    <w:semiHidden/>
    <w:unhideWhenUsed/>
    <w:rsid w:val="0048019A"/>
    <w:rPr>
      <w:vertAlign w:val="superscript"/>
    </w:rPr>
  </w:style>
  <w:style w:type="paragraph" w:styleId="Bibliographie">
    <w:name w:val="Bibliography"/>
    <w:basedOn w:val="Normal"/>
    <w:next w:val="Normal"/>
    <w:uiPriority w:val="37"/>
    <w:unhideWhenUsed/>
    <w:rsid w:val="00F973DF"/>
    <w:pPr>
      <w:spacing w:after="240"/>
    </w:pPr>
  </w:style>
  <w:style w:type="paragraph" w:styleId="En-tte">
    <w:name w:val="header"/>
    <w:basedOn w:val="Normal"/>
    <w:link w:val="En-tteCar"/>
    <w:uiPriority w:val="99"/>
    <w:unhideWhenUsed/>
    <w:rsid w:val="008B58E5"/>
    <w:pPr>
      <w:tabs>
        <w:tab w:val="center" w:pos="4536"/>
        <w:tab w:val="right" w:pos="9072"/>
      </w:tabs>
      <w:spacing w:after="0"/>
    </w:pPr>
  </w:style>
  <w:style w:type="character" w:customStyle="1" w:styleId="En-tteCar">
    <w:name w:val="En-tête Car"/>
    <w:basedOn w:val="Policepardfaut"/>
    <w:link w:val="En-tte"/>
    <w:uiPriority w:val="99"/>
    <w:rsid w:val="008B58E5"/>
    <w:rPr>
      <w:sz w:val="24"/>
    </w:rPr>
  </w:style>
  <w:style w:type="paragraph" w:styleId="Pieddepage">
    <w:name w:val="footer"/>
    <w:basedOn w:val="Normal"/>
    <w:link w:val="PieddepageCar"/>
    <w:uiPriority w:val="99"/>
    <w:unhideWhenUsed/>
    <w:rsid w:val="008B58E5"/>
    <w:pPr>
      <w:tabs>
        <w:tab w:val="center" w:pos="4536"/>
        <w:tab w:val="right" w:pos="9072"/>
      </w:tabs>
      <w:spacing w:after="0"/>
    </w:pPr>
  </w:style>
  <w:style w:type="character" w:customStyle="1" w:styleId="PieddepageCar">
    <w:name w:val="Pied de page Car"/>
    <w:basedOn w:val="Policepardfaut"/>
    <w:link w:val="Pieddepage"/>
    <w:uiPriority w:val="99"/>
    <w:rsid w:val="008B58E5"/>
    <w:rPr>
      <w:sz w:val="24"/>
    </w:rPr>
  </w:style>
  <w:style w:type="paragraph" w:styleId="Textedebulles">
    <w:name w:val="Balloon Text"/>
    <w:basedOn w:val="Normal"/>
    <w:link w:val="TextedebullesCar"/>
    <w:uiPriority w:val="99"/>
    <w:semiHidden/>
    <w:unhideWhenUsed/>
    <w:rsid w:val="007D5787"/>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5787"/>
    <w:rPr>
      <w:rFonts w:ascii="Segoe UI" w:hAnsi="Segoe UI" w:cs="Segoe UI"/>
      <w:sz w:val="18"/>
      <w:szCs w:val="18"/>
    </w:rPr>
  </w:style>
  <w:style w:type="character" w:styleId="Appeldenotedefin">
    <w:name w:val="endnote reference"/>
    <w:basedOn w:val="Policepardfaut"/>
    <w:uiPriority w:val="99"/>
    <w:semiHidden/>
    <w:unhideWhenUsed/>
    <w:rsid w:val="005C6D88"/>
    <w:rPr>
      <w:vertAlign w:val="superscript"/>
    </w:rPr>
  </w:style>
  <w:style w:type="character" w:styleId="Lienhypertexte">
    <w:name w:val="Hyperlink"/>
    <w:basedOn w:val="Policepardfaut"/>
    <w:uiPriority w:val="99"/>
    <w:unhideWhenUsed/>
    <w:rsid w:val="00136262"/>
    <w:rPr>
      <w:color w:val="0563C1" w:themeColor="hyperlink"/>
      <w:u w:val="single"/>
    </w:rPr>
  </w:style>
  <w:style w:type="character" w:customStyle="1" w:styleId="Mentionnonrsolue1">
    <w:name w:val="Mention non résolue1"/>
    <w:basedOn w:val="Policepardfaut"/>
    <w:uiPriority w:val="99"/>
    <w:semiHidden/>
    <w:unhideWhenUsed/>
    <w:rsid w:val="00136262"/>
    <w:rPr>
      <w:color w:val="605E5C"/>
      <w:shd w:val="clear" w:color="auto" w:fill="E1DFDD"/>
    </w:rPr>
  </w:style>
  <w:style w:type="character" w:styleId="Lienhypertextesuivivisit">
    <w:name w:val="FollowedHyperlink"/>
    <w:basedOn w:val="Policepardfaut"/>
    <w:uiPriority w:val="99"/>
    <w:semiHidden/>
    <w:unhideWhenUsed/>
    <w:rsid w:val="004E05EC"/>
    <w:rPr>
      <w:color w:val="954F72" w:themeColor="followedHyperlink"/>
      <w:u w:val="single"/>
    </w:rPr>
  </w:style>
  <w:style w:type="paragraph" w:styleId="Titre">
    <w:name w:val="Title"/>
    <w:basedOn w:val="Normal"/>
    <w:next w:val="Normal"/>
    <w:link w:val="TitreCar"/>
    <w:uiPriority w:val="10"/>
    <w:qFormat/>
    <w:rsid w:val="00BB4550"/>
    <w:pPr>
      <w:spacing w:after="0"/>
      <w:contextualSpacing/>
      <w:jc w:val="center"/>
    </w:pPr>
    <w:rPr>
      <w:rFonts w:asciiTheme="majorHAnsi" w:eastAsiaTheme="majorEastAsia" w:hAnsiTheme="majorHAnsi" w:cstheme="majorBidi"/>
      <w:b/>
      <w:spacing w:val="-10"/>
      <w:kern w:val="28"/>
      <w:sz w:val="32"/>
      <w:szCs w:val="56"/>
      <w:u w:val="single"/>
    </w:rPr>
  </w:style>
  <w:style w:type="character" w:customStyle="1" w:styleId="TitreCar">
    <w:name w:val="Titre Car"/>
    <w:basedOn w:val="Policepardfaut"/>
    <w:link w:val="Titre"/>
    <w:uiPriority w:val="10"/>
    <w:rsid w:val="00BB4550"/>
    <w:rPr>
      <w:rFonts w:asciiTheme="majorHAnsi" w:eastAsiaTheme="majorEastAsia" w:hAnsiTheme="majorHAnsi" w:cstheme="majorBidi"/>
      <w:b/>
      <w:spacing w:val="-10"/>
      <w:kern w:val="28"/>
      <w:sz w:val="32"/>
      <w:szCs w:val="56"/>
      <w:u w:val="single"/>
    </w:rPr>
  </w:style>
  <w:style w:type="paragraph" w:styleId="Sous-titre">
    <w:name w:val="Subtitle"/>
    <w:basedOn w:val="Normal"/>
    <w:next w:val="Normal"/>
    <w:link w:val="Sous-titreCar"/>
    <w:uiPriority w:val="11"/>
    <w:qFormat/>
    <w:rsid w:val="00BB4550"/>
    <w:pPr>
      <w:numPr>
        <w:ilvl w:val="1"/>
      </w:numPr>
    </w:pPr>
    <w:rPr>
      <w:rFonts w:eastAsiaTheme="minorEastAsia"/>
      <w:b/>
      <w:spacing w:val="15"/>
      <w:sz w:val="24"/>
      <w:u w:val="single"/>
    </w:rPr>
  </w:style>
  <w:style w:type="character" w:customStyle="1" w:styleId="Sous-titreCar">
    <w:name w:val="Sous-titre Car"/>
    <w:basedOn w:val="Policepardfaut"/>
    <w:link w:val="Sous-titre"/>
    <w:uiPriority w:val="11"/>
    <w:rsid w:val="00BB4550"/>
    <w:rPr>
      <w:rFonts w:eastAsiaTheme="minorEastAsia"/>
      <w:b/>
      <w:spacing w:val="15"/>
      <w:sz w:val="24"/>
      <w:u w:val="single"/>
    </w:rPr>
  </w:style>
  <w:style w:type="character" w:styleId="Accentuationlgre">
    <w:name w:val="Subtle Emphasis"/>
    <w:aliases w:val="sous-titre 2"/>
    <w:basedOn w:val="Policepardfaut"/>
    <w:uiPriority w:val="19"/>
    <w:qFormat/>
    <w:rsid w:val="00BB4550"/>
    <w:rPr>
      <w:rFonts w:asciiTheme="majorHAnsi" w:hAnsiTheme="majorHAnsi"/>
      <w:b/>
      <w:i/>
      <w:iCs/>
      <w:color w:val="auto"/>
      <w:sz w:val="22"/>
      <w:u w:val="single"/>
    </w:rPr>
  </w:style>
  <w:style w:type="paragraph" w:styleId="NormalWeb">
    <w:name w:val="Normal (Web)"/>
    <w:basedOn w:val="Normal"/>
    <w:uiPriority w:val="99"/>
    <w:unhideWhenUsed/>
    <w:rsid w:val="00BF01FE"/>
    <w:pPr>
      <w:spacing w:before="100" w:beforeAutospacing="1" w:after="100" w:afterAutospacing="1"/>
      <w:jc w:val="left"/>
    </w:pPr>
    <w:rPr>
      <w:rFonts w:ascii="Times New Roman" w:eastAsia="Times New Roman" w:hAnsi="Times New Roman" w:cs="Times New Roman"/>
      <w:sz w:val="24"/>
      <w:szCs w:val="24"/>
      <w:lang w:val="fr-BE" w:eastAsia="fr-BE"/>
    </w:rPr>
  </w:style>
  <w:style w:type="table" w:styleId="Tableausimple5">
    <w:name w:val="Plain Table 5"/>
    <w:basedOn w:val="TableauNormal"/>
    <w:uiPriority w:val="45"/>
    <w:rsid w:val="00D278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3-Accentuation5">
    <w:name w:val="Grid Table 3 Accent 5"/>
    <w:basedOn w:val="TableauNormal"/>
    <w:uiPriority w:val="48"/>
    <w:rsid w:val="00D2782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7Couleur-Accentuation5">
    <w:name w:val="Grid Table 7 Colorful Accent 5"/>
    <w:basedOn w:val="TableauNormal"/>
    <w:uiPriority w:val="52"/>
    <w:rsid w:val="00D2782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lledutableau">
    <w:name w:val="Table Grid"/>
    <w:basedOn w:val="TableauNormal"/>
    <w:uiPriority w:val="39"/>
    <w:rsid w:val="000E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article-authors">
    <w:name w:val="result-article-authors"/>
    <w:basedOn w:val="Policepardfaut"/>
    <w:rsid w:val="00CB230F"/>
  </w:style>
  <w:style w:type="character" w:customStyle="1" w:styleId="abstract-content">
    <w:name w:val="abstract-content"/>
    <w:basedOn w:val="Policepardfaut"/>
    <w:rsid w:val="00CB230F"/>
  </w:style>
  <w:style w:type="paragraph" w:styleId="Rvision">
    <w:name w:val="Revision"/>
    <w:hidden/>
    <w:uiPriority w:val="99"/>
    <w:semiHidden/>
    <w:rsid w:val="00AB626D"/>
    <w:pPr>
      <w:spacing w:after="0" w:line="240" w:lineRule="auto"/>
    </w:pPr>
    <w:rPr>
      <w:sz w:val="22"/>
    </w:rPr>
  </w:style>
  <w:style w:type="character" w:styleId="Marquedecommentaire">
    <w:name w:val="annotation reference"/>
    <w:basedOn w:val="Policepardfaut"/>
    <w:uiPriority w:val="99"/>
    <w:semiHidden/>
    <w:unhideWhenUsed/>
    <w:rsid w:val="00AB626D"/>
    <w:rPr>
      <w:sz w:val="16"/>
      <w:szCs w:val="16"/>
    </w:rPr>
  </w:style>
  <w:style w:type="paragraph" w:styleId="Commentaire">
    <w:name w:val="annotation text"/>
    <w:basedOn w:val="Normal"/>
    <w:link w:val="CommentaireCar"/>
    <w:uiPriority w:val="99"/>
    <w:unhideWhenUsed/>
    <w:rsid w:val="00AB626D"/>
    <w:rPr>
      <w:sz w:val="20"/>
      <w:szCs w:val="20"/>
    </w:rPr>
  </w:style>
  <w:style w:type="character" w:customStyle="1" w:styleId="CommentaireCar">
    <w:name w:val="Commentaire Car"/>
    <w:basedOn w:val="Policepardfaut"/>
    <w:link w:val="Commentaire"/>
    <w:uiPriority w:val="99"/>
    <w:rsid w:val="00AB626D"/>
    <w:rPr>
      <w:szCs w:val="20"/>
    </w:rPr>
  </w:style>
  <w:style w:type="paragraph" w:styleId="Objetducommentaire">
    <w:name w:val="annotation subject"/>
    <w:basedOn w:val="Commentaire"/>
    <w:next w:val="Commentaire"/>
    <w:link w:val="ObjetducommentaireCar"/>
    <w:uiPriority w:val="99"/>
    <w:semiHidden/>
    <w:unhideWhenUsed/>
    <w:rsid w:val="00AB626D"/>
    <w:rPr>
      <w:b/>
      <w:bCs/>
    </w:rPr>
  </w:style>
  <w:style w:type="character" w:customStyle="1" w:styleId="ObjetducommentaireCar">
    <w:name w:val="Objet du commentaire Car"/>
    <w:basedOn w:val="CommentaireCar"/>
    <w:link w:val="Objetducommentaire"/>
    <w:uiPriority w:val="99"/>
    <w:semiHidden/>
    <w:rsid w:val="00AB626D"/>
    <w:rPr>
      <w:b/>
      <w:bCs/>
      <w:szCs w:val="20"/>
    </w:rPr>
  </w:style>
  <w:style w:type="paragraph" w:customStyle="1" w:styleId="promiscontainer1">
    <w:name w:val="promiscontainer1"/>
    <w:basedOn w:val="Normal"/>
    <w:rsid w:val="006A571F"/>
    <w:pPr>
      <w:spacing w:before="100" w:beforeAutospacing="1" w:after="100" w:afterAutospacing="1"/>
      <w:jc w:val="left"/>
    </w:pPr>
    <w:rPr>
      <w:rFonts w:ascii="Arial" w:eastAsia="Times New Roman" w:hAnsi="Arial" w:cs="Arial"/>
      <w:sz w:val="20"/>
      <w:szCs w:val="20"/>
      <w:lang w:val="en-US"/>
    </w:rPr>
  </w:style>
  <w:style w:type="paragraph" w:customStyle="1" w:styleId="p">
    <w:name w:val="p"/>
    <w:basedOn w:val="Normal"/>
    <w:rsid w:val="00141782"/>
    <w:pPr>
      <w:spacing w:before="100" w:beforeAutospacing="1" w:after="100" w:afterAutospacing="1"/>
      <w:jc w:val="left"/>
    </w:pPr>
    <w:rPr>
      <w:rFonts w:ascii="Times New Roman" w:eastAsia="Times New Roman" w:hAnsi="Times New Roman" w:cs="Times New Roman"/>
      <w:sz w:val="24"/>
      <w:szCs w:val="24"/>
      <w:lang w:val="fr-BE" w:eastAsia="fr-BE"/>
    </w:rPr>
  </w:style>
  <w:style w:type="character" w:styleId="Numrodeligne">
    <w:name w:val="line number"/>
    <w:basedOn w:val="Policepardfaut"/>
    <w:uiPriority w:val="99"/>
    <w:semiHidden/>
    <w:unhideWhenUsed/>
    <w:rsid w:val="00A579CE"/>
  </w:style>
  <w:style w:type="character" w:customStyle="1" w:styleId="Mentionnonrsolue2">
    <w:name w:val="Mention non résolue2"/>
    <w:basedOn w:val="Policepardfaut"/>
    <w:uiPriority w:val="99"/>
    <w:semiHidden/>
    <w:unhideWhenUsed/>
    <w:rsid w:val="00BA5F94"/>
    <w:rPr>
      <w:color w:val="605E5C"/>
      <w:shd w:val="clear" w:color="auto" w:fill="E1DFDD"/>
    </w:rPr>
  </w:style>
  <w:style w:type="table" w:styleId="TableauListe2">
    <w:name w:val="List Table 2"/>
    <w:basedOn w:val="TableauNormal"/>
    <w:uiPriority w:val="47"/>
    <w:rsid w:val="00E96F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371F71"/>
    <w:pPr>
      <w:spacing w:before="100" w:beforeAutospacing="1" w:after="100" w:afterAutospacing="1"/>
      <w:jc w:val="left"/>
    </w:pPr>
    <w:rPr>
      <w:rFonts w:ascii="Times New Roman" w:eastAsia="Times New Roman" w:hAnsi="Times New Roman" w:cs="Times New Roman"/>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750">
      <w:bodyDiv w:val="1"/>
      <w:marLeft w:val="0"/>
      <w:marRight w:val="0"/>
      <w:marTop w:val="0"/>
      <w:marBottom w:val="0"/>
      <w:divBdr>
        <w:top w:val="none" w:sz="0" w:space="0" w:color="auto"/>
        <w:left w:val="none" w:sz="0" w:space="0" w:color="auto"/>
        <w:bottom w:val="none" w:sz="0" w:space="0" w:color="auto"/>
        <w:right w:val="none" w:sz="0" w:space="0" w:color="auto"/>
      </w:divBdr>
    </w:div>
    <w:div w:id="97410947">
      <w:bodyDiv w:val="1"/>
      <w:marLeft w:val="0"/>
      <w:marRight w:val="0"/>
      <w:marTop w:val="0"/>
      <w:marBottom w:val="0"/>
      <w:divBdr>
        <w:top w:val="none" w:sz="0" w:space="0" w:color="auto"/>
        <w:left w:val="none" w:sz="0" w:space="0" w:color="auto"/>
        <w:bottom w:val="none" w:sz="0" w:space="0" w:color="auto"/>
        <w:right w:val="none" w:sz="0" w:space="0" w:color="auto"/>
      </w:divBdr>
    </w:div>
    <w:div w:id="115031527">
      <w:bodyDiv w:val="1"/>
      <w:marLeft w:val="0"/>
      <w:marRight w:val="0"/>
      <w:marTop w:val="0"/>
      <w:marBottom w:val="0"/>
      <w:divBdr>
        <w:top w:val="none" w:sz="0" w:space="0" w:color="auto"/>
        <w:left w:val="none" w:sz="0" w:space="0" w:color="auto"/>
        <w:bottom w:val="none" w:sz="0" w:space="0" w:color="auto"/>
        <w:right w:val="none" w:sz="0" w:space="0" w:color="auto"/>
      </w:divBdr>
    </w:div>
    <w:div w:id="220486506">
      <w:bodyDiv w:val="1"/>
      <w:marLeft w:val="0"/>
      <w:marRight w:val="0"/>
      <w:marTop w:val="0"/>
      <w:marBottom w:val="0"/>
      <w:divBdr>
        <w:top w:val="none" w:sz="0" w:space="0" w:color="auto"/>
        <w:left w:val="none" w:sz="0" w:space="0" w:color="auto"/>
        <w:bottom w:val="none" w:sz="0" w:space="0" w:color="auto"/>
        <w:right w:val="none" w:sz="0" w:space="0" w:color="auto"/>
      </w:divBdr>
    </w:div>
    <w:div w:id="273289134">
      <w:bodyDiv w:val="1"/>
      <w:marLeft w:val="0"/>
      <w:marRight w:val="0"/>
      <w:marTop w:val="0"/>
      <w:marBottom w:val="0"/>
      <w:divBdr>
        <w:top w:val="none" w:sz="0" w:space="0" w:color="auto"/>
        <w:left w:val="none" w:sz="0" w:space="0" w:color="auto"/>
        <w:bottom w:val="none" w:sz="0" w:space="0" w:color="auto"/>
        <w:right w:val="none" w:sz="0" w:space="0" w:color="auto"/>
      </w:divBdr>
    </w:div>
    <w:div w:id="325865809">
      <w:bodyDiv w:val="1"/>
      <w:marLeft w:val="0"/>
      <w:marRight w:val="0"/>
      <w:marTop w:val="0"/>
      <w:marBottom w:val="0"/>
      <w:divBdr>
        <w:top w:val="none" w:sz="0" w:space="0" w:color="auto"/>
        <w:left w:val="none" w:sz="0" w:space="0" w:color="auto"/>
        <w:bottom w:val="none" w:sz="0" w:space="0" w:color="auto"/>
        <w:right w:val="none" w:sz="0" w:space="0" w:color="auto"/>
      </w:divBdr>
    </w:div>
    <w:div w:id="337082992">
      <w:bodyDiv w:val="1"/>
      <w:marLeft w:val="0"/>
      <w:marRight w:val="0"/>
      <w:marTop w:val="0"/>
      <w:marBottom w:val="0"/>
      <w:divBdr>
        <w:top w:val="none" w:sz="0" w:space="0" w:color="auto"/>
        <w:left w:val="none" w:sz="0" w:space="0" w:color="auto"/>
        <w:bottom w:val="none" w:sz="0" w:space="0" w:color="auto"/>
        <w:right w:val="none" w:sz="0" w:space="0" w:color="auto"/>
      </w:divBdr>
    </w:div>
    <w:div w:id="641233712">
      <w:bodyDiv w:val="1"/>
      <w:marLeft w:val="0"/>
      <w:marRight w:val="0"/>
      <w:marTop w:val="0"/>
      <w:marBottom w:val="0"/>
      <w:divBdr>
        <w:top w:val="none" w:sz="0" w:space="0" w:color="auto"/>
        <w:left w:val="none" w:sz="0" w:space="0" w:color="auto"/>
        <w:bottom w:val="none" w:sz="0" w:space="0" w:color="auto"/>
        <w:right w:val="none" w:sz="0" w:space="0" w:color="auto"/>
      </w:divBdr>
      <w:divsChild>
        <w:div w:id="911892327">
          <w:marLeft w:val="0"/>
          <w:marRight w:val="0"/>
          <w:marTop w:val="0"/>
          <w:marBottom w:val="0"/>
          <w:divBdr>
            <w:top w:val="none" w:sz="0" w:space="0" w:color="auto"/>
            <w:left w:val="none" w:sz="0" w:space="0" w:color="auto"/>
            <w:bottom w:val="none" w:sz="0" w:space="0" w:color="auto"/>
            <w:right w:val="none" w:sz="0" w:space="0" w:color="auto"/>
          </w:divBdr>
        </w:div>
      </w:divsChild>
    </w:div>
    <w:div w:id="675614215">
      <w:bodyDiv w:val="1"/>
      <w:marLeft w:val="0"/>
      <w:marRight w:val="0"/>
      <w:marTop w:val="0"/>
      <w:marBottom w:val="0"/>
      <w:divBdr>
        <w:top w:val="none" w:sz="0" w:space="0" w:color="auto"/>
        <w:left w:val="none" w:sz="0" w:space="0" w:color="auto"/>
        <w:bottom w:val="none" w:sz="0" w:space="0" w:color="auto"/>
        <w:right w:val="none" w:sz="0" w:space="0" w:color="auto"/>
      </w:divBdr>
      <w:divsChild>
        <w:div w:id="1915432941">
          <w:marLeft w:val="0"/>
          <w:marRight w:val="0"/>
          <w:marTop w:val="0"/>
          <w:marBottom w:val="0"/>
          <w:divBdr>
            <w:top w:val="none" w:sz="0" w:space="0" w:color="auto"/>
            <w:left w:val="none" w:sz="0" w:space="0" w:color="auto"/>
            <w:bottom w:val="none" w:sz="0" w:space="0" w:color="auto"/>
            <w:right w:val="none" w:sz="0" w:space="0" w:color="auto"/>
          </w:divBdr>
        </w:div>
      </w:divsChild>
    </w:div>
    <w:div w:id="942302456">
      <w:bodyDiv w:val="1"/>
      <w:marLeft w:val="0"/>
      <w:marRight w:val="0"/>
      <w:marTop w:val="0"/>
      <w:marBottom w:val="0"/>
      <w:divBdr>
        <w:top w:val="none" w:sz="0" w:space="0" w:color="auto"/>
        <w:left w:val="none" w:sz="0" w:space="0" w:color="auto"/>
        <w:bottom w:val="none" w:sz="0" w:space="0" w:color="auto"/>
        <w:right w:val="none" w:sz="0" w:space="0" w:color="auto"/>
      </w:divBdr>
      <w:divsChild>
        <w:div w:id="1648361567">
          <w:marLeft w:val="0"/>
          <w:marRight w:val="0"/>
          <w:marTop w:val="0"/>
          <w:marBottom w:val="0"/>
          <w:divBdr>
            <w:top w:val="none" w:sz="0" w:space="0" w:color="auto"/>
            <w:left w:val="none" w:sz="0" w:space="0" w:color="auto"/>
            <w:bottom w:val="none" w:sz="0" w:space="0" w:color="auto"/>
            <w:right w:val="none" w:sz="0" w:space="0" w:color="auto"/>
          </w:divBdr>
        </w:div>
      </w:divsChild>
    </w:div>
    <w:div w:id="1011447965">
      <w:bodyDiv w:val="1"/>
      <w:marLeft w:val="0"/>
      <w:marRight w:val="0"/>
      <w:marTop w:val="0"/>
      <w:marBottom w:val="0"/>
      <w:divBdr>
        <w:top w:val="none" w:sz="0" w:space="0" w:color="auto"/>
        <w:left w:val="none" w:sz="0" w:space="0" w:color="auto"/>
        <w:bottom w:val="none" w:sz="0" w:space="0" w:color="auto"/>
        <w:right w:val="none" w:sz="0" w:space="0" w:color="auto"/>
      </w:divBdr>
      <w:divsChild>
        <w:div w:id="1058238070">
          <w:marLeft w:val="0"/>
          <w:marRight w:val="0"/>
          <w:marTop w:val="0"/>
          <w:marBottom w:val="0"/>
          <w:divBdr>
            <w:top w:val="none" w:sz="0" w:space="0" w:color="auto"/>
            <w:left w:val="none" w:sz="0" w:space="0" w:color="auto"/>
            <w:bottom w:val="none" w:sz="0" w:space="0" w:color="auto"/>
            <w:right w:val="none" w:sz="0" w:space="0" w:color="auto"/>
          </w:divBdr>
        </w:div>
      </w:divsChild>
    </w:div>
    <w:div w:id="1114060872">
      <w:bodyDiv w:val="1"/>
      <w:marLeft w:val="0"/>
      <w:marRight w:val="0"/>
      <w:marTop w:val="0"/>
      <w:marBottom w:val="0"/>
      <w:divBdr>
        <w:top w:val="none" w:sz="0" w:space="0" w:color="auto"/>
        <w:left w:val="none" w:sz="0" w:space="0" w:color="auto"/>
        <w:bottom w:val="none" w:sz="0" w:space="0" w:color="auto"/>
        <w:right w:val="none" w:sz="0" w:space="0" w:color="auto"/>
      </w:divBdr>
    </w:div>
    <w:div w:id="1139571811">
      <w:bodyDiv w:val="1"/>
      <w:marLeft w:val="0"/>
      <w:marRight w:val="0"/>
      <w:marTop w:val="0"/>
      <w:marBottom w:val="0"/>
      <w:divBdr>
        <w:top w:val="none" w:sz="0" w:space="0" w:color="auto"/>
        <w:left w:val="none" w:sz="0" w:space="0" w:color="auto"/>
        <w:bottom w:val="none" w:sz="0" w:space="0" w:color="auto"/>
        <w:right w:val="none" w:sz="0" w:space="0" w:color="auto"/>
      </w:divBdr>
    </w:div>
    <w:div w:id="1353993114">
      <w:bodyDiv w:val="1"/>
      <w:marLeft w:val="0"/>
      <w:marRight w:val="0"/>
      <w:marTop w:val="0"/>
      <w:marBottom w:val="0"/>
      <w:divBdr>
        <w:top w:val="none" w:sz="0" w:space="0" w:color="auto"/>
        <w:left w:val="none" w:sz="0" w:space="0" w:color="auto"/>
        <w:bottom w:val="none" w:sz="0" w:space="0" w:color="auto"/>
        <w:right w:val="none" w:sz="0" w:space="0" w:color="auto"/>
      </w:divBdr>
      <w:divsChild>
        <w:div w:id="971793010">
          <w:marLeft w:val="0"/>
          <w:marRight w:val="0"/>
          <w:marTop w:val="0"/>
          <w:marBottom w:val="0"/>
          <w:divBdr>
            <w:top w:val="none" w:sz="0" w:space="0" w:color="auto"/>
            <w:left w:val="none" w:sz="0" w:space="0" w:color="auto"/>
            <w:bottom w:val="none" w:sz="0" w:space="0" w:color="auto"/>
            <w:right w:val="none" w:sz="0" w:space="0" w:color="auto"/>
          </w:divBdr>
        </w:div>
        <w:div w:id="1502314413">
          <w:marLeft w:val="0"/>
          <w:marRight w:val="0"/>
          <w:marTop w:val="0"/>
          <w:marBottom w:val="0"/>
          <w:divBdr>
            <w:top w:val="none" w:sz="0" w:space="0" w:color="auto"/>
            <w:left w:val="none" w:sz="0" w:space="0" w:color="auto"/>
            <w:bottom w:val="none" w:sz="0" w:space="0" w:color="auto"/>
            <w:right w:val="none" w:sz="0" w:space="0" w:color="auto"/>
          </w:divBdr>
        </w:div>
      </w:divsChild>
    </w:div>
    <w:div w:id="1670792258">
      <w:bodyDiv w:val="1"/>
      <w:marLeft w:val="0"/>
      <w:marRight w:val="0"/>
      <w:marTop w:val="0"/>
      <w:marBottom w:val="0"/>
      <w:divBdr>
        <w:top w:val="none" w:sz="0" w:space="0" w:color="auto"/>
        <w:left w:val="none" w:sz="0" w:space="0" w:color="auto"/>
        <w:bottom w:val="none" w:sz="0" w:space="0" w:color="auto"/>
        <w:right w:val="none" w:sz="0" w:space="0" w:color="auto"/>
      </w:divBdr>
    </w:div>
    <w:div w:id="1679117029">
      <w:bodyDiv w:val="1"/>
      <w:marLeft w:val="0"/>
      <w:marRight w:val="0"/>
      <w:marTop w:val="0"/>
      <w:marBottom w:val="0"/>
      <w:divBdr>
        <w:top w:val="none" w:sz="0" w:space="0" w:color="auto"/>
        <w:left w:val="none" w:sz="0" w:space="0" w:color="auto"/>
        <w:bottom w:val="none" w:sz="0" w:space="0" w:color="auto"/>
        <w:right w:val="none" w:sz="0" w:space="0" w:color="auto"/>
      </w:divBdr>
    </w:div>
    <w:div w:id="1744831249">
      <w:bodyDiv w:val="1"/>
      <w:marLeft w:val="0"/>
      <w:marRight w:val="0"/>
      <w:marTop w:val="0"/>
      <w:marBottom w:val="0"/>
      <w:divBdr>
        <w:top w:val="none" w:sz="0" w:space="0" w:color="auto"/>
        <w:left w:val="none" w:sz="0" w:space="0" w:color="auto"/>
        <w:bottom w:val="none" w:sz="0" w:space="0" w:color="auto"/>
        <w:right w:val="none" w:sz="0" w:space="0" w:color="auto"/>
      </w:divBdr>
      <w:divsChild>
        <w:div w:id="1158881542">
          <w:marLeft w:val="0"/>
          <w:marRight w:val="0"/>
          <w:marTop w:val="0"/>
          <w:marBottom w:val="0"/>
          <w:divBdr>
            <w:top w:val="none" w:sz="0" w:space="0" w:color="auto"/>
            <w:left w:val="none" w:sz="0" w:space="0" w:color="auto"/>
            <w:bottom w:val="none" w:sz="0" w:space="0" w:color="auto"/>
            <w:right w:val="none" w:sz="0" w:space="0" w:color="auto"/>
          </w:divBdr>
        </w:div>
        <w:div w:id="1693414544">
          <w:marLeft w:val="0"/>
          <w:marRight w:val="0"/>
          <w:marTop w:val="0"/>
          <w:marBottom w:val="0"/>
          <w:divBdr>
            <w:top w:val="none" w:sz="0" w:space="0" w:color="auto"/>
            <w:left w:val="none" w:sz="0" w:space="0" w:color="auto"/>
            <w:bottom w:val="none" w:sz="0" w:space="0" w:color="auto"/>
            <w:right w:val="none" w:sz="0" w:space="0" w:color="auto"/>
          </w:divBdr>
        </w:div>
      </w:divsChild>
    </w:div>
    <w:div w:id="1746100524">
      <w:bodyDiv w:val="1"/>
      <w:marLeft w:val="0"/>
      <w:marRight w:val="0"/>
      <w:marTop w:val="0"/>
      <w:marBottom w:val="0"/>
      <w:divBdr>
        <w:top w:val="none" w:sz="0" w:space="0" w:color="auto"/>
        <w:left w:val="none" w:sz="0" w:space="0" w:color="auto"/>
        <w:bottom w:val="none" w:sz="0" w:space="0" w:color="auto"/>
        <w:right w:val="none" w:sz="0" w:space="0" w:color="auto"/>
      </w:divBdr>
    </w:div>
    <w:div w:id="1746953269">
      <w:bodyDiv w:val="1"/>
      <w:marLeft w:val="0"/>
      <w:marRight w:val="0"/>
      <w:marTop w:val="0"/>
      <w:marBottom w:val="0"/>
      <w:divBdr>
        <w:top w:val="none" w:sz="0" w:space="0" w:color="auto"/>
        <w:left w:val="none" w:sz="0" w:space="0" w:color="auto"/>
        <w:bottom w:val="none" w:sz="0" w:space="0" w:color="auto"/>
        <w:right w:val="none" w:sz="0" w:space="0" w:color="auto"/>
      </w:divBdr>
    </w:div>
    <w:div w:id="1854176589">
      <w:bodyDiv w:val="1"/>
      <w:marLeft w:val="0"/>
      <w:marRight w:val="0"/>
      <w:marTop w:val="0"/>
      <w:marBottom w:val="0"/>
      <w:divBdr>
        <w:top w:val="none" w:sz="0" w:space="0" w:color="auto"/>
        <w:left w:val="none" w:sz="0" w:space="0" w:color="auto"/>
        <w:bottom w:val="none" w:sz="0" w:space="0" w:color="auto"/>
        <w:right w:val="none" w:sz="0" w:space="0" w:color="auto"/>
      </w:divBdr>
    </w:div>
    <w:div w:id="1889563601">
      <w:bodyDiv w:val="1"/>
      <w:marLeft w:val="0"/>
      <w:marRight w:val="0"/>
      <w:marTop w:val="0"/>
      <w:marBottom w:val="0"/>
      <w:divBdr>
        <w:top w:val="none" w:sz="0" w:space="0" w:color="auto"/>
        <w:left w:val="none" w:sz="0" w:space="0" w:color="auto"/>
        <w:bottom w:val="none" w:sz="0" w:space="0" w:color="auto"/>
        <w:right w:val="none" w:sz="0" w:space="0" w:color="auto"/>
      </w:divBdr>
    </w:div>
    <w:div w:id="1945067867">
      <w:bodyDiv w:val="1"/>
      <w:marLeft w:val="0"/>
      <w:marRight w:val="0"/>
      <w:marTop w:val="0"/>
      <w:marBottom w:val="0"/>
      <w:divBdr>
        <w:top w:val="none" w:sz="0" w:space="0" w:color="auto"/>
        <w:left w:val="none" w:sz="0" w:space="0" w:color="auto"/>
        <w:bottom w:val="none" w:sz="0" w:space="0" w:color="auto"/>
        <w:right w:val="none" w:sz="0" w:space="0" w:color="auto"/>
      </w:divBdr>
    </w:div>
    <w:div w:id="1955596305">
      <w:bodyDiv w:val="1"/>
      <w:marLeft w:val="0"/>
      <w:marRight w:val="0"/>
      <w:marTop w:val="0"/>
      <w:marBottom w:val="0"/>
      <w:divBdr>
        <w:top w:val="none" w:sz="0" w:space="0" w:color="auto"/>
        <w:left w:val="none" w:sz="0" w:space="0" w:color="auto"/>
        <w:bottom w:val="none" w:sz="0" w:space="0" w:color="auto"/>
        <w:right w:val="none" w:sz="0" w:space="0" w:color="auto"/>
      </w:divBdr>
    </w:div>
    <w:div w:id="1984193284">
      <w:bodyDiv w:val="1"/>
      <w:marLeft w:val="0"/>
      <w:marRight w:val="0"/>
      <w:marTop w:val="0"/>
      <w:marBottom w:val="0"/>
      <w:divBdr>
        <w:top w:val="none" w:sz="0" w:space="0" w:color="auto"/>
        <w:left w:val="none" w:sz="0" w:space="0" w:color="auto"/>
        <w:bottom w:val="none" w:sz="0" w:space="0" w:color="auto"/>
        <w:right w:val="none" w:sz="0" w:space="0" w:color="auto"/>
      </w:divBdr>
    </w:div>
    <w:div w:id="2009211040">
      <w:bodyDiv w:val="1"/>
      <w:marLeft w:val="0"/>
      <w:marRight w:val="0"/>
      <w:marTop w:val="0"/>
      <w:marBottom w:val="0"/>
      <w:divBdr>
        <w:top w:val="none" w:sz="0" w:space="0" w:color="auto"/>
        <w:left w:val="none" w:sz="0" w:space="0" w:color="auto"/>
        <w:bottom w:val="none" w:sz="0" w:space="0" w:color="auto"/>
        <w:right w:val="none" w:sz="0" w:space="0" w:color="auto"/>
      </w:divBdr>
      <w:divsChild>
        <w:div w:id="457794827">
          <w:marLeft w:val="0"/>
          <w:marRight w:val="0"/>
          <w:marTop w:val="0"/>
          <w:marBottom w:val="0"/>
          <w:divBdr>
            <w:top w:val="none" w:sz="0" w:space="0" w:color="auto"/>
            <w:left w:val="none" w:sz="0" w:space="0" w:color="auto"/>
            <w:bottom w:val="none" w:sz="0" w:space="0" w:color="auto"/>
            <w:right w:val="none" w:sz="0" w:space="0" w:color="auto"/>
          </w:divBdr>
        </w:div>
        <w:div w:id="1580170266">
          <w:marLeft w:val="0"/>
          <w:marRight w:val="0"/>
          <w:marTop w:val="0"/>
          <w:marBottom w:val="0"/>
          <w:divBdr>
            <w:top w:val="none" w:sz="0" w:space="0" w:color="auto"/>
            <w:left w:val="none" w:sz="0" w:space="0" w:color="auto"/>
            <w:bottom w:val="none" w:sz="0" w:space="0" w:color="auto"/>
            <w:right w:val="none" w:sz="0" w:space="0" w:color="auto"/>
          </w:divBdr>
        </w:div>
      </w:divsChild>
    </w:div>
    <w:div w:id="2110730228">
      <w:bodyDiv w:val="1"/>
      <w:marLeft w:val="0"/>
      <w:marRight w:val="0"/>
      <w:marTop w:val="0"/>
      <w:marBottom w:val="0"/>
      <w:divBdr>
        <w:top w:val="none" w:sz="0" w:space="0" w:color="auto"/>
        <w:left w:val="none" w:sz="0" w:space="0" w:color="auto"/>
        <w:bottom w:val="none" w:sz="0" w:space="0" w:color="auto"/>
        <w:right w:val="none" w:sz="0" w:space="0" w:color="auto"/>
      </w:divBdr>
      <w:divsChild>
        <w:div w:id="1995645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henri.louis@uclouvai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AAF8D-2505-4977-A9FF-216F4D71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1871</TotalTime>
  <Pages>33</Pages>
  <Words>79294</Words>
  <Characters>436121</Characters>
  <Application>Microsoft Office Word</Application>
  <DocSecurity>0</DocSecurity>
  <Lines>3634</Lines>
  <Paragraphs>1028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Marc-Henri Louis</dc:creator>
  <cp:keywords/>
  <dc:description/>
  <cp:lastModifiedBy>Marc-Henri Louis</cp:lastModifiedBy>
  <cp:revision>55</cp:revision>
  <cp:lastPrinted>2022-11-14T10:21:00Z</cp:lastPrinted>
  <dcterms:created xsi:type="dcterms:W3CDTF">2022-05-03T07:42:00Z</dcterms:created>
  <dcterms:modified xsi:type="dcterms:W3CDTF">2022-12-12T16:20:00Z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zotero-version="6.0.16"&gt;&lt;session id="NJRmGj6c"/&gt;&lt;style id="http://www.zotero.org/styles/european-journal-of-pain"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