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800C13" w14:textId="77777777" w:rsidR="004039B0" w:rsidRPr="00A63514" w:rsidRDefault="00AB1F61" w:rsidP="00AB1F61">
      <w:pPr>
        <w:spacing w:line="360" w:lineRule="auto"/>
        <w:jc w:val="center"/>
        <w:rPr>
          <w:rFonts w:ascii="Times" w:hAnsi="Times"/>
          <w:b/>
          <w:sz w:val="30"/>
          <w:szCs w:val="30"/>
        </w:rPr>
      </w:pPr>
      <w:r w:rsidRPr="00A63514">
        <w:rPr>
          <w:rFonts w:ascii="Times" w:hAnsi="Times"/>
          <w:b/>
          <w:sz w:val="30"/>
          <w:szCs w:val="30"/>
        </w:rPr>
        <w:t>« L’Église comme sacrement »</w:t>
      </w:r>
    </w:p>
    <w:p w14:paraId="7D5C1781" w14:textId="2B9CB747" w:rsidR="00AB1F61" w:rsidRPr="00A63514" w:rsidRDefault="00CC7BFA" w:rsidP="00AB1F61">
      <w:pPr>
        <w:spacing w:line="360" w:lineRule="auto"/>
        <w:jc w:val="center"/>
        <w:rPr>
          <w:rFonts w:ascii="Times" w:hAnsi="Times"/>
          <w:b/>
          <w:sz w:val="26"/>
          <w:szCs w:val="26"/>
        </w:rPr>
      </w:pPr>
      <w:r w:rsidRPr="00A63514">
        <w:rPr>
          <w:rFonts w:ascii="Times" w:hAnsi="Times"/>
          <w:b/>
          <w:sz w:val="26"/>
          <w:szCs w:val="26"/>
        </w:rPr>
        <w:t>Significat</w:t>
      </w:r>
      <w:r w:rsidR="007F5237" w:rsidRPr="00A63514">
        <w:rPr>
          <w:rFonts w:ascii="Times" w:hAnsi="Times"/>
          <w:b/>
          <w:sz w:val="26"/>
          <w:szCs w:val="26"/>
        </w:rPr>
        <w:t>ion à Vatican II et potentiel</w:t>
      </w:r>
      <w:r w:rsidRPr="00A63514">
        <w:rPr>
          <w:rFonts w:ascii="Times" w:hAnsi="Times"/>
          <w:b/>
          <w:sz w:val="26"/>
          <w:szCs w:val="26"/>
        </w:rPr>
        <w:t xml:space="preserve"> ecc</w:t>
      </w:r>
      <w:r w:rsidR="00AB1F61" w:rsidRPr="00A63514">
        <w:rPr>
          <w:rFonts w:ascii="Times" w:hAnsi="Times"/>
          <w:b/>
          <w:sz w:val="26"/>
          <w:szCs w:val="26"/>
        </w:rPr>
        <w:t>lésiologique</w:t>
      </w:r>
    </w:p>
    <w:p w14:paraId="50FEB190" w14:textId="77777777" w:rsidR="00AB1F61" w:rsidRPr="00A63514" w:rsidRDefault="00AB1F61" w:rsidP="00AB1F61">
      <w:pPr>
        <w:spacing w:line="360" w:lineRule="auto"/>
        <w:jc w:val="center"/>
        <w:rPr>
          <w:rFonts w:ascii="Times" w:hAnsi="Times"/>
        </w:rPr>
      </w:pPr>
      <w:bookmarkStart w:id="0" w:name="_GoBack"/>
      <w:bookmarkEnd w:id="0"/>
    </w:p>
    <w:p w14:paraId="49A7F000" w14:textId="7B71CC60" w:rsidR="00C766BA" w:rsidRPr="00A63514" w:rsidRDefault="00BD1655" w:rsidP="00A63514">
      <w:pPr>
        <w:spacing w:line="480" w:lineRule="auto"/>
        <w:ind w:firstLine="284"/>
        <w:jc w:val="both"/>
        <w:rPr>
          <w:rFonts w:ascii="Times" w:hAnsi="Times"/>
        </w:rPr>
      </w:pPr>
      <w:r w:rsidRPr="00A63514">
        <w:rPr>
          <w:rFonts w:ascii="Times" w:hAnsi="Times"/>
        </w:rPr>
        <w:t>La désignation de « l’Église comme sacrement » (</w:t>
      </w:r>
      <w:r w:rsidRPr="00A63514">
        <w:rPr>
          <w:rFonts w:ascii="Times" w:hAnsi="Times"/>
          <w:i/>
        </w:rPr>
        <w:t>Ecclesia… veluti sacramentum</w:t>
      </w:r>
      <w:r w:rsidRPr="00A63514">
        <w:rPr>
          <w:rStyle w:val="Appelnotedebasdep"/>
        </w:rPr>
        <w:footnoteReference w:id="1"/>
      </w:r>
      <w:r w:rsidR="00643A85" w:rsidRPr="00A63514">
        <w:rPr>
          <w:rFonts w:ascii="Times" w:hAnsi="Times"/>
        </w:rPr>
        <w:t xml:space="preserve">) a fait couler beaucoup d’encre (et de salive) au moment </w:t>
      </w:r>
      <w:r w:rsidR="00C766BA" w:rsidRPr="00A63514">
        <w:rPr>
          <w:rFonts w:ascii="Times" w:hAnsi="Times"/>
        </w:rPr>
        <w:t xml:space="preserve">du concile Vatican II et après. </w:t>
      </w:r>
      <w:r w:rsidR="00A41BB4" w:rsidRPr="00A63514">
        <w:rPr>
          <w:rFonts w:ascii="Times" w:hAnsi="Times"/>
        </w:rPr>
        <w:t>Quelle en est la signification ? Quel en est l’intérêt ecclésiologique ?</w:t>
      </w:r>
    </w:p>
    <w:p w14:paraId="55EECB56" w14:textId="4AAF19A6" w:rsidR="00AB1F61" w:rsidRPr="00A63514" w:rsidRDefault="002E52C0" w:rsidP="00A63514">
      <w:pPr>
        <w:spacing w:line="480" w:lineRule="auto"/>
        <w:ind w:firstLine="284"/>
        <w:jc w:val="both"/>
        <w:rPr>
          <w:rFonts w:ascii="Times" w:hAnsi="Times"/>
        </w:rPr>
      </w:pPr>
      <w:r w:rsidRPr="00A63514">
        <w:rPr>
          <w:rFonts w:ascii="Times" w:hAnsi="Times"/>
        </w:rPr>
        <w:t xml:space="preserve">Nous commencerons par préciser les emplois de cette qualification et leur signification au concile lui-même, avant </w:t>
      </w:r>
      <w:r w:rsidR="005B3F9E" w:rsidRPr="00A63514">
        <w:rPr>
          <w:rFonts w:ascii="Times" w:hAnsi="Times"/>
        </w:rPr>
        <w:t xml:space="preserve">d’esquisser </w:t>
      </w:r>
      <w:r w:rsidR="00AC5AE5" w:rsidRPr="00A63514">
        <w:rPr>
          <w:rFonts w:ascii="Times" w:hAnsi="Times"/>
        </w:rPr>
        <w:t>par manière de conclusion</w:t>
      </w:r>
      <w:r w:rsidR="00CC7BFA" w:rsidRPr="00A63514">
        <w:rPr>
          <w:rFonts w:ascii="Times" w:hAnsi="Times"/>
        </w:rPr>
        <w:t xml:space="preserve"> </w:t>
      </w:r>
      <w:r w:rsidR="00AC5AE5" w:rsidRPr="00A63514">
        <w:rPr>
          <w:rFonts w:ascii="Times" w:hAnsi="Times"/>
        </w:rPr>
        <w:t>le potentiel dogmatique et pratique</w:t>
      </w:r>
      <w:r w:rsidR="005B3F9E" w:rsidRPr="00A63514">
        <w:rPr>
          <w:rFonts w:ascii="Times" w:hAnsi="Times"/>
        </w:rPr>
        <w:t xml:space="preserve"> de cette notion ecclésiologique</w:t>
      </w:r>
      <w:r w:rsidR="00133B8B" w:rsidRPr="00A63514">
        <w:rPr>
          <w:rFonts w:ascii="Times" w:hAnsi="Times"/>
        </w:rPr>
        <w:t>, malgré les réticences théologiques de certains catholiques et les réserves œcuméniques des luthériens notamment.</w:t>
      </w:r>
    </w:p>
    <w:p w14:paraId="4DE65D48" w14:textId="77777777" w:rsidR="00F0629F" w:rsidRPr="00A63514" w:rsidRDefault="00F0629F" w:rsidP="00A63514">
      <w:pPr>
        <w:spacing w:line="480" w:lineRule="auto"/>
        <w:ind w:firstLine="284"/>
        <w:jc w:val="both"/>
        <w:rPr>
          <w:rFonts w:ascii="Times" w:hAnsi="Times"/>
        </w:rPr>
      </w:pPr>
    </w:p>
    <w:p w14:paraId="62C23020" w14:textId="5D814A9A" w:rsidR="00F0629F" w:rsidRPr="00A63514" w:rsidRDefault="00F0629F" w:rsidP="00A63514">
      <w:pPr>
        <w:pStyle w:val="Pardeliste"/>
        <w:spacing w:line="480" w:lineRule="auto"/>
        <w:ind w:left="0"/>
        <w:jc w:val="center"/>
        <w:rPr>
          <w:rFonts w:ascii="Times" w:hAnsi="Times"/>
          <w:smallCaps/>
        </w:rPr>
      </w:pPr>
      <w:r w:rsidRPr="00A63514">
        <w:rPr>
          <w:rFonts w:ascii="Times" w:hAnsi="Times"/>
          <w:smallCaps/>
        </w:rPr>
        <w:t>L’expression à Vatican II et ses antécédents historiques</w:t>
      </w:r>
    </w:p>
    <w:p w14:paraId="4417CE23" w14:textId="77777777" w:rsidR="00F0629F" w:rsidRPr="00A63514" w:rsidRDefault="00F0629F" w:rsidP="00A63514">
      <w:pPr>
        <w:spacing w:line="480" w:lineRule="auto"/>
        <w:jc w:val="center"/>
        <w:rPr>
          <w:rFonts w:ascii="Times" w:hAnsi="Times"/>
        </w:rPr>
      </w:pPr>
    </w:p>
    <w:p w14:paraId="369E1F7A" w14:textId="47E3F070" w:rsidR="00F0629F" w:rsidRPr="00A63514" w:rsidRDefault="00D81801" w:rsidP="00A63514">
      <w:pPr>
        <w:spacing w:line="480" w:lineRule="auto"/>
        <w:ind w:firstLine="284"/>
        <w:jc w:val="both"/>
        <w:rPr>
          <w:rFonts w:ascii="Times" w:hAnsi="Times"/>
        </w:rPr>
      </w:pPr>
      <w:r w:rsidRPr="00A63514">
        <w:rPr>
          <w:rFonts w:ascii="Times" w:hAnsi="Times"/>
        </w:rPr>
        <w:t>Déterminons d’abord le magistère de Vatican II concernant cette expression</w:t>
      </w:r>
      <w:r w:rsidR="00593150" w:rsidRPr="00A63514">
        <w:rPr>
          <w:rFonts w:ascii="Times" w:hAnsi="Times"/>
        </w:rPr>
        <w:t>. On en évoquera ensuite les antécédents historiques, qui permettront également de mieux identifier les choix du concile.</w:t>
      </w:r>
    </w:p>
    <w:p w14:paraId="7C363D8B" w14:textId="77777777" w:rsidR="00593150" w:rsidRPr="00A63514" w:rsidRDefault="00593150" w:rsidP="00A63514">
      <w:pPr>
        <w:spacing w:line="480" w:lineRule="auto"/>
        <w:ind w:firstLine="284"/>
        <w:jc w:val="both"/>
        <w:rPr>
          <w:rFonts w:ascii="Times" w:hAnsi="Times"/>
        </w:rPr>
      </w:pPr>
    </w:p>
    <w:p w14:paraId="0E8BC4BE" w14:textId="4326E41D" w:rsidR="00593150" w:rsidRPr="00A63514" w:rsidRDefault="00593150" w:rsidP="00A63514">
      <w:pPr>
        <w:spacing w:line="480" w:lineRule="auto"/>
        <w:jc w:val="both"/>
        <w:rPr>
          <w:rFonts w:ascii="Times" w:hAnsi="Times"/>
        </w:rPr>
      </w:pPr>
      <w:r w:rsidRPr="00A63514">
        <w:rPr>
          <w:rFonts w:ascii="Times" w:hAnsi="Times"/>
        </w:rPr>
        <w:t xml:space="preserve">1. </w:t>
      </w:r>
      <w:r w:rsidRPr="00A63514">
        <w:rPr>
          <w:rFonts w:ascii="Times" w:hAnsi="Times"/>
          <w:i/>
        </w:rPr>
        <w:t>Sens de l’expression à Vatican II</w:t>
      </w:r>
    </w:p>
    <w:p w14:paraId="460A161C" w14:textId="40A89351" w:rsidR="00593150" w:rsidRPr="00A63514" w:rsidRDefault="00297F2A" w:rsidP="00A63514">
      <w:pPr>
        <w:spacing w:line="480" w:lineRule="auto"/>
        <w:ind w:firstLine="284"/>
        <w:jc w:val="both"/>
        <w:rPr>
          <w:rFonts w:ascii="Times" w:hAnsi="Times"/>
        </w:rPr>
      </w:pPr>
      <w:r w:rsidRPr="00A63514">
        <w:rPr>
          <w:rFonts w:ascii="Times" w:hAnsi="Times"/>
        </w:rPr>
        <w:t xml:space="preserve">Nous procéderons </w:t>
      </w:r>
      <w:r w:rsidR="00361A12" w:rsidRPr="00A63514">
        <w:rPr>
          <w:rFonts w:ascii="Times" w:hAnsi="Times"/>
        </w:rPr>
        <w:t>successivem</w:t>
      </w:r>
      <w:r w:rsidR="00B55112" w:rsidRPr="00A63514">
        <w:rPr>
          <w:rFonts w:ascii="Times" w:hAnsi="Times"/>
        </w:rPr>
        <w:t>ent à une analyse synchronique du corpus final</w:t>
      </w:r>
      <w:r w:rsidR="007F3613" w:rsidRPr="00A63514">
        <w:rPr>
          <w:rFonts w:ascii="Times" w:hAnsi="Times"/>
        </w:rPr>
        <w:t xml:space="preserve"> et à une analyse diachronique ou </w:t>
      </w:r>
      <w:r w:rsidR="00361A12" w:rsidRPr="00A63514">
        <w:rPr>
          <w:rFonts w:ascii="Times" w:hAnsi="Times"/>
        </w:rPr>
        <w:t>histo</w:t>
      </w:r>
      <w:r w:rsidR="007F3613" w:rsidRPr="00A63514">
        <w:rPr>
          <w:rFonts w:ascii="Times" w:hAnsi="Times"/>
        </w:rPr>
        <w:t>riqu</w:t>
      </w:r>
      <w:r w:rsidR="00361A12" w:rsidRPr="00A63514">
        <w:rPr>
          <w:rFonts w:ascii="Times" w:hAnsi="Times"/>
        </w:rPr>
        <w:t xml:space="preserve">e </w:t>
      </w:r>
      <w:r w:rsidR="007F3613" w:rsidRPr="00A63514">
        <w:rPr>
          <w:rFonts w:ascii="Times" w:hAnsi="Times"/>
        </w:rPr>
        <w:t>(génétique) des schémas</w:t>
      </w:r>
      <w:r w:rsidR="00361A12" w:rsidRPr="00A63514">
        <w:rPr>
          <w:rFonts w:ascii="Times" w:hAnsi="Times"/>
        </w:rPr>
        <w:t xml:space="preserve"> pour quelques textes ou passages les plus significatifs.</w:t>
      </w:r>
    </w:p>
    <w:p w14:paraId="3C43EED9" w14:textId="77777777" w:rsidR="00361A12" w:rsidRPr="00A63514" w:rsidRDefault="00361A12" w:rsidP="00A63514">
      <w:pPr>
        <w:spacing w:line="480" w:lineRule="auto"/>
        <w:ind w:firstLine="284"/>
        <w:jc w:val="both"/>
        <w:rPr>
          <w:rFonts w:ascii="Times" w:hAnsi="Times"/>
        </w:rPr>
      </w:pPr>
    </w:p>
    <w:p w14:paraId="3F73D81F" w14:textId="06948327" w:rsidR="00361A12" w:rsidRPr="00A63514" w:rsidRDefault="00361A12" w:rsidP="00A63514">
      <w:pPr>
        <w:spacing w:line="480" w:lineRule="auto"/>
        <w:ind w:firstLine="284"/>
        <w:jc w:val="both"/>
        <w:rPr>
          <w:rFonts w:ascii="Times" w:hAnsi="Times"/>
        </w:rPr>
      </w:pPr>
      <w:r w:rsidRPr="00A63514">
        <w:rPr>
          <w:rFonts w:ascii="Times" w:hAnsi="Times"/>
        </w:rPr>
        <w:t>a) Textes finals</w:t>
      </w:r>
    </w:p>
    <w:p w14:paraId="4B75F067" w14:textId="19AC15EB" w:rsidR="00361A12" w:rsidRPr="00A63514" w:rsidRDefault="00E46DDF" w:rsidP="00A63514">
      <w:pPr>
        <w:spacing w:line="480" w:lineRule="auto"/>
        <w:ind w:firstLine="284"/>
        <w:jc w:val="both"/>
        <w:rPr>
          <w:rFonts w:ascii="Times" w:hAnsi="Times"/>
        </w:rPr>
      </w:pPr>
      <w:r w:rsidRPr="00A63514">
        <w:rPr>
          <w:rFonts w:ascii="Times" w:hAnsi="Times"/>
        </w:rPr>
        <w:lastRenderedPageBreak/>
        <w:t>Dans les limites de cette contribution, on retiendra dans l’ordre de promulgation</w:t>
      </w:r>
      <w:r w:rsidR="00042E5D" w:rsidRPr="00A63514">
        <w:rPr>
          <w:rFonts w:ascii="Times" w:hAnsi="Times"/>
        </w:rPr>
        <w:t xml:space="preserve"> </w:t>
      </w:r>
      <w:r w:rsidR="00BF0705" w:rsidRPr="00A63514">
        <w:rPr>
          <w:rFonts w:ascii="Times" w:hAnsi="Times"/>
        </w:rPr>
        <w:t xml:space="preserve">les </w:t>
      </w:r>
      <w:r w:rsidR="00042E5D" w:rsidRPr="00A63514">
        <w:rPr>
          <w:rFonts w:ascii="Times" w:hAnsi="Times"/>
        </w:rPr>
        <w:t xml:space="preserve">deux occurrences de la Constitution sur </w:t>
      </w:r>
      <w:r w:rsidR="00F90298" w:rsidRPr="00A63514">
        <w:rPr>
          <w:rFonts w:ascii="Times" w:hAnsi="Times"/>
        </w:rPr>
        <w:t xml:space="preserve">la sainte Liturgie </w:t>
      </w:r>
      <w:r w:rsidR="00F90298" w:rsidRPr="00A63514">
        <w:rPr>
          <w:rFonts w:ascii="Times" w:hAnsi="Times"/>
          <w:i/>
        </w:rPr>
        <w:t>Sacrosanctum concilium</w:t>
      </w:r>
      <w:r w:rsidR="00F90298" w:rsidRPr="00A63514">
        <w:rPr>
          <w:rFonts w:ascii="Times" w:hAnsi="Times"/>
        </w:rPr>
        <w:t xml:space="preserve"> (SC)</w:t>
      </w:r>
      <w:r w:rsidR="006354EE" w:rsidRPr="00A63514">
        <w:rPr>
          <w:rFonts w:ascii="Times" w:hAnsi="Times"/>
        </w:rPr>
        <w:t xml:space="preserve"> [4 décembre 1963]</w:t>
      </w:r>
      <w:r w:rsidR="00F90298" w:rsidRPr="00A63514">
        <w:rPr>
          <w:rFonts w:ascii="Times" w:hAnsi="Times"/>
        </w:rPr>
        <w:t>, 5 et 26</w:t>
      </w:r>
      <w:r w:rsidR="00BF0705" w:rsidRPr="00A63514">
        <w:rPr>
          <w:rFonts w:ascii="Times" w:hAnsi="Times"/>
        </w:rPr>
        <w:t xml:space="preserve">, et les trois occurrences de la Constitution dogmatique sur l’Église </w:t>
      </w:r>
      <w:r w:rsidR="00BF0705" w:rsidRPr="00A63514">
        <w:rPr>
          <w:rFonts w:ascii="Times" w:hAnsi="Times"/>
          <w:i/>
        </w:rPr>
        <w:t>Lumen gentium</w:t>
      </w:r>
      <w:r w:rsidR="00BF0705" w:rsidRPr="00A63514">
        <w:rPr>
          <w:rFonts w:ascii="Times" w:hAnsi="Times"/>
        </w:rPr>
        <w:t xml:space="preserve"> (LG)</w:t>
      </w:r>
      <w:r w:rsidR="006354EE" w:rsidRPr="00A63514">
        <w:rPr>
          <w:rFonts w:ascii="Times" w:hAnsi="Times"/>
        </w:rPr>
        <w:t xml:space="preserve"> [21 novembre 1964]</w:t>
      </w:r>
      <w:r w:rsidR="00BF0705" w:rsidRPr="00A63514">
        <w:rPr>
          <w:rFonts w:ascii="Times" w:hAnsi="Times"/>
        </w:rPr>
        <w:t>, 1, 9 et 48.</w:t>
      </w:r>
    </w:p>
    <w:p w14:paraId="6147C9B5" w14:textId="7B17BB60" w:rsidR="00BF0705" w:rsidRPr="00A63514" w:rsidRDefault="00BF0705" w:rsidP="00A63514">
      <w:pPr>
        <w:spacing w:line="480" w:lineRule="auto"/>
        <w:ind w:firstLine="284"/>
        <w:jc w:val="both"/>
        <w:rPr>
          <w:rFonts w:ascii="Times" w:hAnsi="Times"/>
        </w:rPr>
      </w:pPr>
      <w:r w:rsidRPr="00A63514">
        <w:rPr>
          <w:rFonts w:ascii="Times" w:hAnsi="Times"/>
        </w:rPr>
        <w:t>- SC 5</w:t>
      </w:r>
      <w:r w:rsidR="00BC0F8A" w:rsidRPr="00A63514">
        <w:rPr>
          <w:rFonts w:ascii="Times" w:hAnsi="Times"/>
        </w:rPr>
        <w:t>B</w:t>
      </w:r>
      <w:r w:rsidRPr="00A63514">
        <w:rPr>
          <w:rFonts w:ascii="Times" w:hAnsi="Times"/>
        </w:rPr>
        <w:t xml:space="preserve"> : </w:t>
      </w:r>
      <w:r w:rsidR="00974738" w:rsidRPr="00A63514">
        <w:rPr>
          <w:rFonts w:ascii="Times" w:hAnsi="Times"/>
        </w:rPr>
        <w:t>« </w:t>
      </w:r>
      <w:r w:rsidR="00F309D3" w:rsidRPr="00A63514">
        <w:rPr>
          <w:rFonts w:ascii="Times" w:hAnsi="Times"/>
        </w:rPr>
        <w:t>(…) de latere Christi in cruce dormientis ortum est ‘totius Ecclesiae mirabile sacramentum’</w:t>
      </w:r>
      <w:r w:rsidR="006A3235" w:rsidRPr="00A63514">
        <w:rPr>
          <w:rStyle w:val="Appelnotedebasdep"/>
        </w:rPr>
        <w:footnoteReference w:id="2"/>
      </w:r>
      <w:r w:rsidR="00F309D3" w:rsidRPr="00A63514">
        <w:rPr>
          <w:rFonts w:ascii="Times" w:hAnsi="Times"/>
        </w:rPr>
        <w:t> »</w:t>
      </w:r>
      <w:r w:rsidR="000C12F9" w:rsidRPr="00A63514">
        <w:rPr>
          <w:rStyle w:val="Appelnotedebasdep"/>
        </w:rPr>
        <w:footnoteReference w:id="3"/>
      </w:r>
      <w:r w:rsidR="001562A8" w:rsidRPr="00A63514">
        <w:rPr>
          <w:rFonts w:ascii="Times" w:hAnsi="Times"/>
        </w:rPr>
        <w:t> ; « (…) du côté du Christ endormi sur la croix est né ‘le merveilleux sacrement (mystère) de l’Église entière</w:t>
      </w:r>
      <w:r w:rsidR="00531BAC" w:rsidRPr="00A63514">
        <w:rPr>
          <w:rFonts w:ascii="Times" w:hAnsi="Times"/>
        </w:rPr>
        <w:t>’</w:t>
      </w:r>
      <w:r w:rsidR="001562A8" w:rsidRPr="00A63514">
        <w:rPr>
          <w:rFonts w:ascii="Times" w:hAnsi="Times"/>
        </w:rPr>
        <w:t> »</w:t>
      </w:r>
      <w:r w:rsidR="001562A8" w:rsidRPr="00A63514">
        <w:rPr>
          <w:rStyle w:val="Appelnotedebasdep"/>
        </w:rPr>
        <w:footnoteReference w:id="4"/>
      </w:r>
      <w:r w:rsidR="00F54DDB" w:rsidRPr="00A63514">
        <w:rPr>
          <w:rFonts w:ascii="Times" w:hAnsi="Times"/>
        </w:rPr>
        <w:t>.</w:t>
      </w:r>
      <w:r w:rsidR="00B613D0" w:rsidRPr="00A63514">
        <w:rPr>
          <w:rFonts w:ascii="Times" w:hAnsi="Times"/>
        </w:rPr>
        <w:t xml:space="preserve"> Cette phrase </w:t>
      </w:r>
      <w:r w:rsidR="001C764C" w:rsidRPr="00A63514">
        <w:rPr>
          <w:rFonts w:ascii="Times" w:hAnsi="Times"/>
        </w:rPr>
        <w:t>est à situer dans le contexte de la définition</w:t>
      </w:r>
      <w:r w:rsidR="00F71D33" w:rsidRPr="00A63514">
        <w:rPr>
          <w:rFonts w:ascii="Times" w:hAnsi="Times"/>
        </w:rPr>
        <w:t xml:space="preserve"> de la nature de la liturgie et de son importance dans la vie de l’Église (cf. SC, Caput I, I, 5).</w:t>
      </w:r>
      <w:r w:rsidR="00BA284A" w:rsidRPr="00A63514">
        <w:rPr>
          <w:rFonts w:ascii="Times" w:hAnsi="Times"/>
        </w:rPr>
        <w:t xml:space="preserve"> Son être sacramentel ou mystérique comme sauvée ou sanctifiée, l’Église l’a reçu </w:t>
      </w:r>
      <w:r w:rsidR="002F4AE2" w:rsidRPr="00A63514">
        <w:rPr>
          <w:rFonts w:ascii="Times" w:hAnsi="Times"/>
        </w:rPr>
        <w:t>du Christ, Fils unique de Dieu, donnant sa vie jusqu’au bout sur la croix, être sacramentel symbolisé par l’eau et le sang, figurant les sacrements de baptême et d’eucharistie</w:t>
      </w:r>
      <w:r w:rsidR="00DF46F9" w:rsidRPr="00A63514">
        <w:rPr>
          <w:rFonts w:ascii="Times" w:hAnsi="Times"/>
        </w:rPr>
        <w:t xml:space="preserve">. Cet être sacramentel lui vient des sacrements de Pâques, </w:t>
      </w:r>
      <w:r w:rsidR="00CF0035" w:rsidRPr="00A63514">
        <w:rPr>
          <w:rFonts w:ascii="Times" w:hAnsi="Times"/>
        </w:rPr>
        <w:t>fruits du mystère pascal</w:t>
      </w:r>
      <w:r w:rsidR="001E255B" w:rsidRPr="00A63514">
        <w:rPr>
          <w:rFonts w:ascii="Times" w:hAnsi="Times"/>
        </w:rPr>
        <w:t xml:space="preserve"> du Christ. L’Église, lieu du </w:t>
      </w:r>
      <w:r w:rsidR="001E255B" w:rsidRPr="000C6989">
        <w:rPr>
          <w:rStyle w:val="Appelnotedebasdep"/>
          <w:rFonts w:ascii="Times" w:hAnsi="Times"/>
          <w:vertAlign w:val="baseline"/>
        </w:rPr>
        <w:t>salut</w:t>
      </w:r>
      <w:r w:rsidR="001E255B" w:rsidRPr="00A63514">
        <w:rPr>
          <w:rFonts w:ascii="Times" w:hAnsi="Times"/>
        </w:rPr>
        <w:t xml:space="preserve"> ou de la réconciliation avec Dieu en Christ, peut ainsi être dite « sacrement </w:t>
      </w:r>
      <w:r w:rsidR="006354EE" w:rsidRPr="00A63514">
        <w:rPr>
          <w:rFonts w:ascii="Times" w:hAnsi="Times"/>
        </w:rPr>
        <w:t xml:space="preserve">(mystère) </w:t>
      </w:r>
      <w:r w:rsidR="001E255B" w:rsidRPr="00A63514">
        <w:rPr>
          <w:rFonts w:ascii="Times" w:hAnsi="Times"/>
        </w:rPr>
        <w:t>de l’unité » (« unitatis sacramentum ») (SC 26</w:t>
      </w:r>
      <w:r w:rsidR="00C80582" w:rsidRPr="00A63514">
        <w:rPr>
          <w:rFonts w:ascii="Times" w:hAnsi="Times"/>
        </w:rPr>
        <w:t>A</w:t>
      </w:r>
      <w:r w:rsidR="001E255B" w:rsidRPr="00A63514">
        <w:rPr>
          <w:rFonts w:ascii="Times" w:hAnsi="Times"/>
        </w:rPr>
        <w:t>)</w:t>
      </w:r>
      <w:r w:rsidR="001E255B" w:rsidRPr="000C6989">
        <w:rPr>
          <w:rStyle w:val="Appelnotedebasdep"/>
        </w:rPr>
        <w:footnoteReference w:id="5"/>
      </w:r>
      <w:r w:rsidR="00305B1B" w:rsidRPr="00A63514">
        <w:rPr>
          <w:rFonts w:ascii="Times" w:hAnsi="Times"/>
        </w:rPr>
        <w:t xml:space="preserve">, </w:t>
      </w:r>
      <w:r w:rsidR="006354EE" w:rsidRPr="00A63514">
        <w:rPr>
          <w:rFonts w:ascii="Times" w:hAnsi="Times"/>
        </w:rPr>
        <w:t>les actions liturgiques y étant celles du peuple saint réuni dans sa diversité</w:t>
      </w:r>
      <w:r w:rsidR="00717C89" w:rsidRPr="000C6989">
        <w:rPr>
          <w:rStyle w:val="Appelnotedebasdep"/>
        </w:rPr>
        <w:footnoteReference w:id="6"/>
      </w:r>
      <w:r w:rsidR="006354EE" w:rsidRPr="00A63514">
        <w:rPr>
          <w:rFonts w:ascii="Times" w:hAnsi="Times"/>
        </w:rPr>
        <w:t>.</w:t>
      </w:r>
    </w:p>
    <w:p w14:paraId="3687D6C4" w14:textId="77777777" w:rsidR="002E4974" w:rsidRPr="00A63514" w:rsidRDefault="002E4974" w:rsidP="00A63514">
      <w:pPr>
        <w:spacing w:line="480" w:lineRule="auto"/>
        <w:ind w:firstLine="284"/>
        <w:jc w:val="both"/>
        <w:rPr>
          <w:rFonts w:ascii="Times" w:hAnsi="Times"/>
        </w:rPr>
      </w:pPr>
    </w:p>
    <w:p w14:paraId="1446E79C" w14:textId="777803DB" w:rsidR="002E4974" w:rsidRPr="00A63514" w:rsidRDefault="002E4974" w:rsidP="00A63514">
      <w:pPr>
        <w:spacing w:line="480" w:lineRule="auto"/>
        <w:ind w:firstLine="284"/>
        <w:jc w:val="both"/>
        <w:rPr>
          <w:rFonts w:ascii="Times" w:hAnsi="Times"/>
        </w:rPr>
      </w:pPr>
      <w:r w:rsidRPr="00A63514">
        <w:rPr>
          <w:rFonts w:ascii="Times" w:hAnsi="Times"/>
        </w:rPr>
        <w:t>- LG 1 : « Cum autem Ecclesia sit in Christo veluti sacramentum seu signum et instrumentum intimae cum Deo unionis totiusque generis humani unitatis, naturam missionemque suam universalem (…) declarare intendit</w:t>
      </w:r>
      <w:r w:rsidR="00904FD8" w:rsidRPr="00A63514">
        <w:rPr>
          <w:rFonts w:ascii="Times" w:hAnsi="Times"/>
        </w:rPr>
        <w:t> »</w:t>
      </w:r>
      <w:r w:rsidR="00904FD8" w:rsidRPr="000C6989">
        <w:rPr>
          <w:rStyle w:val="Appelnotedebasdep"/>
        </w:rPr>
        <w:footnoteReference w:id="7"/>
      </w:r>
      <w:r w:rsidR="0026440C" w:rsidRPr="00A63514">
        <w:rPr>
          <w:rFonts w:ascii="Times" w:hAnsi="Times"/>
        </w:rPr>
        <w:t> ; « </w:t>
      </w:r>
      <w:r w:rsidR="004905D3" w:rsidRPr="00A63514">
        <w:rPr>
          <w:rFonts w:ascii="Times" w:hAnsi="Times"/>
        </w:rPr>
        <w:t xml:space="preserve">Alors que l’Église est dans le Christ comme le sacrement, c’est-à-dire le signe et l’instrument de l’union intime avec Dieu et de l’unité de tout le genre humain, elle entend </w:t>
      </w:r>
      <w:r w:rsidR="000D664E" w:rsidRPr="00A63514">
        <w:rPr>
          <w:rFonts w:ascii="Times" w:hAnsi="Times"/>
        </w:rPr>
        <w:t>clarifi</w:t>
      </w:r>
      <w:r w:rsidR="004905D3" w:rsidRPr="00A63514">
        <w:rPr>
          <w:rFonts w:ascii="Times" w:hAnsi="Times"/>
        </w:rPr>
        <w:t>er sa nature et sa mission universelle (…) ».</w:t>
      </w:r>
      <w:r w:rsidR="005E3B26" w:rsidRPr="00A63514">
        <w:rPr>
          <w:rFonts w:ascii="Times" w:hAnsi="Times"/>
        </w:rPr>
        <w:t xml:space="preserve"> On est ici </w:t>
      </w:r>
      <w:r w:rsidR="00E945C4" w:rsidRPr="00A63514">
        <w:rPr>
          <w:rFonts w:ascii="Times" w:hAnsi="Times"/>
        </w:rPr>
        <w:t>tout au début de la Constitution dogmatique sur l’Église, dans l’introduction au premier chapitre, consacré au mystère de l’Église ou à l’Église comme mystère.</w:t>
      </w:r>
      <w:r w:rsidR="009B207B" w:rsidRPr="00A63514">
        <w:rPr>
          <w:rFonts w:ascii="Times" w:hAnsi="Times"/>
        </w:rPr>
        <w:t xml:space="preserve"> Les premiers mots portent néanmoins sur le Christ : c’est lui la lumière des nations (</w:t>
      </w:r>
      <w:r w:rsidR="009B207B" w:rsidRPr="00A63514">
        <w:rPr>
          <w:rFonts w:ascii="Times" w:hAnsi="Times"/>
          <w:i/>
        </w:rPr>
        <w:t>lumen gentium</w:t>
      </w:r>
      <w:r w:rsidR="009B207B" w:rsidRPr="00A63514">
        <w:rPr>
          <w:rFonts w:ascii="Times" w:hAnsi="Times"/>
        </w:rPr>
        <w:t>), non l’Église</w:t>
      </w:r>
      <w:r w:rsidR="009172C4" w:rsidRPr="00A63514">
        <w:rPr>
          <w:rFonts w:ascii="Times" w:hAnsi="Times"/>
        </w:rPr>
        <w:t xml:space="preserve"> ; celle-ci ne fait que refléter la clarté du Christ, comme la lune </w:t>
      </w:r>
      <w:r w:rsidR="00EE7D5B" w:rsidRPr="00A63514">
        <w:rPr>
          <w:rFonts w:ascii="Times" w:hAnsi="Times"/>
        </w:rPr>
        <w:t>reflète la clarté du</w:t>
      </w:r>
      <w:r w:rsidR="009172C4" w:rsidRPr="00A63514">
        <w:rPr>
          <w:rFonts w:ascii="Times" w:hAnsi="Times"/>
        </w:rPr>
        <w:t xml:space="preserve"> soleil, </w:t>
      </w:r>
      <w:r w:rsidR="00EE7D5B" w:rsidRPr="00A63514">
        <w:rPr>
          <w:rFonts w:ascii="Times" w:hAnsi="Times"/>
        </w:rPr>
        <w:t xml:space="preserve">dans une perspective </w:t>
      </w:r>
      <w:r w:rsidR="009F4F4E" w:rsidRPr="00A63514">
        <w:rPr>
          <w:rFonts w:ascii="Times" w:hAnsi="Times"/>
        </w:rPr>
        <w:t xml:space="preserve">d’annonce de l’Évangile à toute créature. </w:t>
      </w:r>
      <w:r w:rsidR="00C435C7" w:rsidRPr="00A63514">
        <w:rPr>
          <w:rFonts w:ascii="Times" w:hAnsi="Times"/>
        </w:rPr>
        <w:t xml:space="preserve">C’est dans ce contexte que l’Église est </w:t>
      </w:r>
      <w:r w:rsidR="00A30010" w:rsidRPr="00A63514">
        <w:rPr>
          <w:rFonts w:ascii="Times" w:hAnsi="Times"/>
        </w:rPr>
        <w:t xml:space="preserve">dite sacrement, mais de manière </w:t>
      </w:r>
      <w:r w:rsidR="00141CD2" w:rsidRPr="00A63514">
        <w:rPr>
          <w:rFonts w:ascii="Times" w:hAnsi="Times"/>
        </w:rPr>
        <w:t xml:space="preserve">très </w:t>
      </w:r>
      <w:r w:rsidR="00A30010" w:rsidRPr="00A63514">
        <w:rPr>
          <w:rFonts w:ascii="Times" w:hAnsi="Times"/>
        </w:rPr>
        <w:t xml:space="preserve">nuancée : elle est </w:t>
      </w:r>
      <w:r w:rsidR="00141CD2" w:rsidRPr="00A63514">
        <w:rPr>
          <w:rFonts w:ascii="Times" w:hAnsi="Times"/>
          <w:i/>
        </w:rPr>
        <w:t>en quelque sorte</w:t>
      </w:r>
      <w:r w:rsidR="00A30010" w:rsidRPr="00A63514">
        <w:rPr>
          <w:rFonts w:ascii="Times" w:hAnsi="Times"/>
        </w:rPr>
        <w:t xml:space="preserve"> </w:t>
      </w:r>
      <w:r w:rsidR="00141CD2" w:rsidRPr="00A63514">
        <w:rPr>
          <w:rFonts w:ascii="Times" w:hAnsi="Times"/>
        </w:rPr>
        <w:t>(</w:t>
      </w:r>
      <w:r w:rsidR="00141CD2" w:rsidRPr="00A63514">
        <w:rPr>
          <w:rFonts w:ascii="Times" w:hAnsi="Times"/>
          <w:i/>
        </w:rPr>
        <w:t>veluti</w:t>
      </w:r>
      <w:r w:rsidR="00141CD2" w:rsidRPr="00A63514">
        <w:rPr>
          <w:rFonts w:ascii="Times" w:hAnsi="Times"/>
        </w:rPr>
        <w:t xml:space="preserve">) sacrement et elle l’est </w:t>
      </w:r>
      <w:r w:rsidR="00141CD2" w:rsidRPr="00A63514">
        <w:rPr>
          <w:rFonts w:ascii="Times" w:hAnsi="Times"/>
          <w:i/>
        </w:rPr>
        <w:t>dans le Christ</w:t>
      </w:r>
      <w:r w:rsidR="00141CD2" w:rsidRPr="00A63514">
        <w:rPr>
          <w:rFonts w:ascii="Times" w:hAnsi="Times"/>
        </w:rPr>
        <w:t>, par lui et en lui, pas par elle-même.</w:t>
      </w:r>
      <w:r w:rsidR="00766D75" w:rsidRPr="00A63514">
        <w:rPr>
          <w:rFonts w:ascii="Times" w:hAnsi="Times"/>
        </w:rPr>
        <w:t xml:space="preserve"> On trouve aussi une définition de ce que le concile entend par la notion de sacrement appliquée à l’Église : « signe </w:t>
      </w:r>
      <w:r w:rsidR="00766D75" w:rsidRPr="00A63514">
        <w:rPr>
          <w:rFonts w:ascii="Times" w:hAnsi="Times"/>
          <w:i/>
        </w:rPr>
        <w:t>et</w:t>
      </w:r>
      <w:r w:rsidR="00766D75" w:rsidRPr="00A63514">
        <w:rPr>
          <w:rFonts w:ascii="Times" w:hAnsi="Times"/>
        </w:rPr>
        <w:t xml:space="preserve"> instrument (moyen) », </w:t>
      </w:r>
      <w:r w:rsidR="00A2011D" w:rsidRPr="00A63514">
        <w:rPr>
          <w:rFonts w:ascii="Times" w:hAnsi="Times"/>
        </w:rPr>
        <w:t xml:space="preserve">à la fois </w:t>
      </w:r>
      <w:r w:rsidR="00766D75" w:rsidRPr="00A63514">
        <w:rPr>
          <w:rFonts w:ascii="Times" w:hAnsi="Times"/>
        </w:rPr>
        <w:t xml:space="preserve">signification </w:t>
      </w:r>
      <w:r w:rsidR="00766D75" w:rsidRPr="00A63514">
        <w:rPr>
          <w:rFonts w:ascii="Times" w:hAnsi="Times"/>
          <w:i/>
        </w:rPr>
        <w:t>et</w:t>
      </w:r>
      <w:r w:rsidR="00766D75" w:rsidRPr="00A63514">
        <w:rPr>
          <w:rFonts w:ascii="Times" w:hAnsi="Times"/>
        </w:rPr>
        <w:t xml:space="preserve"> effectivité ou procuration de grâce</w:t>
      </w:r>
      <w:r w:rsidR="001C0B85" w:rsidRPr="000C6989">
        <w:rPr>
          <w:rStyle w:val="Appelnotedebasdep"/>
        </w:rPr>
        <w:footnoteReference w:id="8"/>
      </w:r>
      <w:r w:rsidR="00766D75" w:rsidRPr="00A63514">
        <w:rPr>
          <w:rFonts w:ascii="Times" w:hAnsi="Times"/>
        </w:rPr>
        <w:t>.</w:t>
      </w:r>
      <w:r w:rsidR="00FC1455" w:rsidRPr="00A63514">
        <w:rPr>
          <w:rFonts w:ascii="Times" w:hAnsi="Times"/>
        </w:rPr>
        <w:t xml:space="preserve"> Et de quoi (de quelle grâce) l’Église est-elle à la fois signe et instrument ou moyen ? </w:t>
      </w:r>
      <w:r w:rsidR="005D4E5D" w:rsidRPr="00A63514">
        <w:rPr>
          <w:rFonts w:ascii="Times" w:hAnsi="Times"/>
        </w:rPr>
        <w:t xml:space="preserve">« De l’union intime avec Dieu et de l’unité de tout le genre humain ». </w:t>
      </w:r>
      <w:r w:rsidR="00333B85" w:rsidRPr="00A63514">
        <w:rPr>
          <w:rFonts w:ascii="Times" w:hAnsi="Times"/>
        </w:rPr>
        <w:t>Il s’agit bien de révéler la relation radicale de l’Église avec Dieu, son être profond, mystérique</w:t>
      </w:r>
      <w:r w:rsidR="00D77509" w:rsidRPr="00A63514">
        <w:rPr>
          <w:rFonts w:ascii="Times" w:hAnsi="Times"/>
        </w:rPr>
        <w:t>, et sa mission universelle</w:t>
      </w:r>
      <w:r w:rsidR="00FE4C26" w:rsidRPr="00A63514">
        <w:rPr>
          <w:rFonts w:ascii="Times" w:hAnsi="Times"/>
        </w:rPr>
        <w:t xml:space="preserve"> d’unité</w:t>
      </w:r>
      <w:r w:rsidR="00D77509" w:rsidRPr="00A63514">
        <w:rPr>
          <w:rFonts w:ascii="Times" w:hAnsi="Times"/>
        </w:rPr>
        <w:t xml:space="preserve"> (manifestation et réalisation</w:t>
      </w:r>
      <w:r w:rsidR="00FE4C26" w:rsidRPr="00A63514">
        <w:rPr>
          <w:rFonts w:ascii="Times" w:hAnsi="Times"/>
        </w:rPr>
        <w:t xml:space="preserve"> de celle-ci grâce à son union intime avec Dieu).</w:t>
      </w:r>
      <w:r w:rsidR="00C7425E" w:rsidRPr="00A63514">
        <w:rPr>
          <w:rFonts w:ascii="Times" w:hAnsi="Times"/>
        </w:rPr>
        <w:t xml:space="preserve"> Cette qualification de l’Église comme sacrement réapparaît</w:t>
      </w:r>
      <w:r w:rsidR="00C80582" w:rsidRPr="00A63514">
        <w:rPr>
          <w:rFonts w:ascii="Times" w:hAnsi="Times"/>
        </w:rPr>
        <w:t xml:space="preserve"> en LG 9C et 48B.</w:t>
      </w:r>
    </w:p>
    <w:p w14:paraId="3B4FFD28" w14:textId="77777777" w:rsidR="00C80582" w:rsidRPr="00A63514" w:rsidRDefault="00C80582" w:rsidP="00A63514">
      <w:pPr>
        <w:spacing w:line="480" w:lineRule="auto"/>
        <w:ind w:firstLine="284"/>
        <w:jc w:val="both"/>
        <w:rPr>
          <w:rFonts w:ascii="Times" w:hAnsi="Times"/>
        </w:rPr>
      </w:pPr>
    </w:p>
    <w:p w14:paraId="20D37D17" w14:textId="3F36822A" w:rsidR="00C80582" w:rsidRPr="00A63514" w:rsidRDefault="00C80582" w:rsidP="00A63514">
      <w:pPr>
        <w:spacing w:line="480" w:lineRule="auto"/>
        <w:ind w:firstLine="284"/>
        <w:jc w:val="both"/>
        <w:rPr>
          <w:rFonts w:ascii="Times" w:hAnsi="Times"/>
        </w:rPr>
      </w:pPr>
      <w:r w:rsidRPr="00A63514">
        <w:rPr>
          <w:rFonts w:ascii="Times" w:hAnsi="Times"/>
        </w:rPr>
        <w:t xml:space="preserve">- LG 9C : </w:t>
      </w:r>
      <w:r w:rsidR="004C707F" w:rsidRPr="00A63514">
        <w:rPr>
          <w:rFonts w:ascii="Times" w:hAnsi="Times"/>
        </w:rPr>
        <w:t>« Deus (…) constituit Ecclesiam, ut sit universis et singulis sacramentum visibile huius salutiferae unitatis</w:t>
      </w:r>
      <w:r w:rsidR="006B0165" w:rsidRPr="000C6989">
        <w:rPr>
          <w:rStyle w:val="Appelnotedebasdep"/>
        </w:rPr>
        <w:footnoteReference w:id="9"/>
      </w:r>
      <w:r w:rsidR="006B0165" w:rsidRPr="00A63514">
        <w:rPr>
          <w:rFonts w:ascii="Times" w:hAnsi="Times"/>
        </w:rPr>
        <w:t> »</w:t>
      </w:r>
      <w:r w:rsidR="006B0165" w:rsidRPr="000C6989">
        <w:rPr>
          <w:rStyle w:val="Appelnotedebasdep"/>
        </w:rPr>
        <w:footnoteReference w:id="10"/>
      </w:r>
      <w:r w:rsidR="006B0165" w:rsidRPr="00A63514">
        <w:rPr>
          <w:rFonts w:ascii="Times" w:hAnsi="Times"/>
        </w:rPr>
        <w:t> ; « Dieu a constitué l’Église pour qu’elle soit, aux yeux de tous et chacun, le sacrement visible de cette unité salutaire ».</w:t>
      </w:r>
      <w:r w:rsidR="0008254B" w:rsidRPr="00A63514">
        <w:rPr>
          <w:rFonts w:ascii="Times" w:hAnsi="Times"/>
        </w:rPr>
        <w:t xml:space="preserve"> L’insistance porte ici sur la visi</w:t>
      </w:r>
      <w:r w:rsidR="007812BA" w:rsidRPr="00A63514">
        <w:rPr>
          <w:rFonts w:ascii="Times" w:hAnsi="Times"/>
        </w:rPr>
        <w:t>bilité du sacrement ecclésial, l</w:t>
      </w:r>
      <w:r w:rsidR="0008254B" w:rsidRPr="00A63514">
        <w:rPr>
          <w:rFonts w:ascii="Times" w:hAnsi="Times"/>
        </w:rPr>
        <w:t>a visibilité ou manifestation universelle</w:t>
      </w:r>
      <w:r w:rsidR="007812BA" w:rsidRPr="00A63514">
        <w:rPr>
          <w:rFonts w:ascii="Times" w:hAnsi="Times"/>
        </w:rPr>
        <w:t xml:space="preserve"> de l’unité salutaire qu’elle signifie</w:t>
      </w:r>
      <w:r w:rsidR="00604C54" w:rsidRPr="00A63514">
        <w:rPr>
          <w:rFonts w:ascii="Times" w:hAnsi="Times"/>
        </w:rPr>
        <w:t xml:space="preserve">, ce salut et cette unité ayant Jésus pour principe, comme on peut le lire dans les quelques mots omis dans </w:t>
      </w:r>
      <w:r w:rsidR="002432F0" w:rsidRPr="00A63514">
        <w:rPr>
          <w:rFonts w:ascii="Times" w:hAnsi="Times"/>
        </w:rPr>
        <w:t>notre</w:t>
      </w:r>
      <w:r w:rsidR="00604C54" w:rsidRPr="00A63514">
        <w:rPr>
          <w:rFonts w:ascii="Times" w:hAnsi="Times"/>
        </w:rPr>
        <w:t xml:space="preserve"> citation de LG 9C. </w:t>
      </w:r>
      <w:r w:rsidR="00702FD7" w:rsidRPr="00A63514">
        <w:rPr>
          <w:rFonts w:ascii="Times" w:hAnsi="Times"/>
        </w:rPr>
        <w:t xml:space="preserve">La suite de ce passage </w:t>
      </w:r>
      <w:r w:rsidR="00EB2D09" w:rsidRPr="00A63514">
        <w:rPr>
          <w:rFonts w:ascii="Times" w:hAnsi="Times"/>
        </w:rPr>
        <w:t>renforc</w:t>
      </w:r>
      <w:r w:rsidR="00276CEB" w:rsidRPr="00A63514">
        <w:rPr>
          <w:rFonts w:ascii="Times" w:hAnsi="Times"/>
        </w:rPr>
        <w:t>e la finalité missionnaire (universelle) de cette sacramentalité ecclésiale</w:t>
      </w:r>
      <w:r w:rsidR="00EB2D09" w:rsidRPr="00A63514">
        <w:rPr>
          <w:rFonts w:ascii="Times" w:hAnsi="Times"/>
        </w:rPr>
        <w:t> : « Ad universas regiones extendenda, in historia</w:t>
      </w:r>
      <w:r w:rsidR="001C07D6" w:rsidRPr="00A63514">
        <w:rPr>
          <w:rFonts w:ascii="Times" w:hAnsi="Times"/>
        </w:rPr>
        <w:t>m</w:t>
      </w:r>
      <w:r w:rsidR="00EB2D09" w:rsidRPr="00A63514">
        <w:rPr>
          <w:rFonts w:ascii="Times" w:hAnsi="Times"/>
        </w:rPr>
        <w:t xml:space="preserve"> hominum intrat</w:t>
      </w:r>
      <w:r w:rsidR="001C07D6" w:rsidRPr="00A63514">
        <w:rPr>
          <w:rFonts w:ascii="Times" w:hAnsi="Times"/>
        </w:rPr>
        <w:t>, dum tamen simul tempora et fi</w:t>
      </w:r>
      <w:r w:rsidR="00EB2D09" w:rsidRPr="00A63514">
        <w:rPr>
          <w:rFonts w:ascii="Times" w:hAnsi="Times"/>
        </w:rPr>
        <w:t>nes populorum transcendit</w:t>
      </w:r>
      <w:r w:rsidR="001C07D6" w:rsidRPr="00A63514">
        <w:rPr>
          <w:rFonts w:ascii="Times" w:hAnsi="Times"/>
        </w:rPr>
        <w:t> »</w:t>
      </w:r>
      <w:r w:rsidR="001C07D6" w:rsidRPr="000C6989">
        <w:rPr>
          <w:rStyle w:val="Appelnotedebasdep"/>
        </w:rPr>
        <w:footnoteReference w:id="11"/>
      </w:r>
      <w:r w:rsidR="001C07D6" w:rsidRPr="00A63514">
        <w:rPr>
          <w:rFonts w:ascii="Times" w:hAnsi="Times"/>
        </w:rPr>
        <w:t> ; « Devant s’étendre à toutes les régions, (l’Église) entre dans l’histoire des humains</w:t>
      </w:r>
      <w:r w:rsidR="0021740D" w:rsidRPr="00A63514">
        <w:rPr>
          <w:rFonts w:ascii="Times" w:hAnsi="Times"/>
        </w:rPr>
        <w:t>, tandis qu’elle transcende cependant à la fois les temps</w:t>
      </w:r>
      <w:r w:rsidR="00EB3452" w:rsidRPr="00A63514">
        <w:rPr>
          <w:rFonts w:ascii="Times" w:hAnsi="Times"/>
        </w:rPr>
        <w:t xml:space="preserve"> et les frontières des peuples</w:t>
      </w:r>
      <w:r w:rsidR="00820927" w:rsidRPr="00A63514">
        <w:rPr>
          <w:rFonts w:ascii="Times" w:hAnsi="Times"/>
        </w:rPr>
        <w:t> ».</w:t>
      </w:r>
      <w:r w:rsidR="00EE3C52" w:rsidRPr="00A63514">
        <w:rPr>
          <w:rFonts w:ascii="Times" w:hAnsi="Times"/>
        </w:rPr>
        <w:t xml:space="preserve"> Cette supra-temporalité </w:t>
      </w:r>
      <w:r w:rsidR="00741D8E" w:rsidRPr="00A63514">
        <w:rPr>
          <w:rFonts w:ascii="Times" w:hAnsi="Times"/>
        </w:rPr>
        <w:t>(et supra-spatialité) de la réalité ecclésiale évoque déjà son caractère eschatologique</w:t>
      </w:r>
      <w:r w:rsidR="00222984" w:rsidRPr="00A63514">
        <w:rPr>
          <w:rFonts w:ascii="Times" w:hAnsi="Times"/>
        </w:rPr>
        <w:t>,</w:t>
      </w:r>
      <w:r w:rsidR="00867F82" w:rsidRPr="00A63514">
        <w:rPr>
          <w:rFonts w:ascii="Times" w:hAnsi="Times"/>
        </w:rPr>
        <w:t xml:space="preserve"> affirmé au chap. VII de LG</w:t>
      </w:r>
      <w:r w:rsidR="002508CE" w:rsidRPr="00A63514">
        <w:rPr>
          <w:rFonts w:ascii="Times" w:hAnsi="Times"/>
        </w:rPr>
        <w:t xml:space="preserve"> 48B : </w:t>
      </w:r>
      <w:r w:rsidR="00883955" w:rsidRPr="00A63514">
        <w:rPr>
          <w:rFonts w:ascii="Times" w:hAnsi="Times"/>
        </w:rPr>
        <w:t>l’Église a été constituée par l’Esprit de Pentecôte « comme sacrement universel du salut » (« ut universale salutis sacramentum »</w:t>
      </w:r>
      <w:r w:rsidR="00883955" w:rsidRPr="000C6989">
        <w:rPr>
          <w:rStyle w:val="Appelnotedebasdep"/>
        </w:rPr>
        <w:footnoteReference w:id="12"/>
      </w:r>
      <w:r w:rsidR="00883955" w:rsidRPr="00A63514">
        <w:rPr>
          <w:rFonts w:ascii="Times" w:hAnsi="Times"/>
        </w:rPr>
        <w:t>)</w:t>
      </w:r>
      <w:r w:rsidR="00E74F5E" w:rsidRPr="00A63514">
        <w:rPr>
          <w:rFonts w:ascii="Times" w:hAnsi="Times"/>
        </w:rPr>
        <w:t xml:space="preserve"> dans l’attente de sa consommation </w:t>
      </w:r>
      <w:r w:rsidR="00ED2ACB" w:rsidRPr="00A63514">
        <w:rPr>
          <w:rFonts w:ascii="Times" w:hAnsi="Times"/>
        </w:rPr>
        <w:t>final</w:t>
      </w:r>
      <w:r w:rsidR="00E74F5E" w:rsidRPr="00A63514">
        <w:rPr>
          <w:rFonts w:ascii="Times" w:hAnsi="Times"/>
        </w:rPr>
        <w:t>e en Christ.</w:t>
      </w:r>
      <w:r w:rsidR="00A71583" w:rsidRPr="00A63514">
        <w:rPr>
          <w:rFonts w:ascii="Times" w:hAnsi="Times"/>
        </w:rPr>
        <w:t xml:space="preserve"> La </w:t>
      </w:r>
      <w:r w:rsidR="003E61C6" w:rsidRPr="00A63514">
        <w:rPr>
          <w:rFonts w:ascii="Times" w:hAnsi="Times"/>
        </w:rPr>
        <w:t>fin</w:t>
      </w:r>
      <w:r w:rsidR="00A71583" w:rsidRPr="00A63514">
        <w:rPr>
          <w:rFonts w:ascii="Times" w:hAnsi="Times"/>
        </w:rPr>
        <w:t xml:space="preserve"> de LG 9C rappelle</w:t>
      </w:r>
      <w:r w:rsidR="003E61C6" w:rsidRPr="00A63514">
        <w:rPr>
          <w:rFonts w:ascii="Times" w:hAnsi="Times"/>
        </w:rPr>
        <w:t xml:space="preserve"> que, pour atteindre cette lumière sans fin, l’Église doit se renouveler sans cesse sous l’action de l’Esprit.</w:t>
      </w:r>
    </w:p>
    <w:p w14:paraId="717FF5D3" w14:textId="77777777" w:rsidR="001C104C" w:rsidRPr="00A63514" w:rsidRDefault="001C104C" w:rsidP="00A63514">
      <w:pPr>
        <w:spacing w:line="480" w:lineRule="auto"/>
        <w:ind w:firstLine="284"/>
        <w:jc w:val="both"/>
        <w:rPr>
          <w:rFonts w:ascii="Times" w:hAnsi="Times"/>
        </w:rPr>
      </w:pPr>
    </w:p>
    <w:p w14:paraId="55068781" w14:textId="781D7519" w:rsidR="001C104C" w:rsidRPr="00A63514" w:rsidRDefault="001C104C" w:rsidP="00A63514">
      <w:pPr>
        <w:spacing w:line="480" w:lineRule="auto"/>
        <w:ind w:firstLine="284"/>
        <w:jc w:val="both"/>
        <w:rPr>
          <w:rFonts w:ascii="Times" w:hAnsi="Times"/>
        </w:rPr>
      </w:pPr>
      <w:r w:rsidRPr="00A63514">
        <w:rPr>
          <w:rFonts w:ascii="Times" w:hAnsi="Times"/>
        </w:rPr>
        <w:t xml:space="preserve">- Le positionnement même de la première occurrence </w:t>
      </w:r>
      <w:r w:rsidR="00F97F2F" w:rsidRPr="00A63514">
        <w:rPr>
          <w:rFonts w:ascii="Times" w:hAnsi="Times"/>
        </w:rPr>
        <w:t xml:space="preserve">en LG 1 (au </w:t>
      </w:r>
      <w:r w:rsidR="00441D5E" w:rsidRPr="00A63514">
        <w:rPr>
          <w:rFonts w:ascii="Times" w:hAnsi="Times"/>
        </w:rPr>
        <w:t xml:space="preserve">début du </w:t>
      </w:r>
      <w:r w:rsidR="00F97F2F" w:rsidRPr="00A63514">
        <w:rPr>
          <w:rFonts w:ascii="Times" w:hAnsi="Times"/>
        </w:rPr>
        <w:t>chap. I, qui expose l’aspect théologal ou trinitaire de l’Église)</w:t>
      </w:r>
      <w:r w:rsidR="00441D5E" w:rsidRPr="00A63514">
        <w:rPr>
          <w:rFonts w:ascii="Times" w:hAnsi="Times"/>
        </w:rPr>
        <w:t xml:space="preserve"> et de la deuxième en LG 9 (au début du chap. II, qui expose l’aspect historique et humain de l’Église) </w:t>
      </w:r>
      <w:r w:rsidR="003C41A4" w:rsidRPr="00A63514">
        <w:rPr>
          <w:rFonts w:ascii="Times" w:hAnsi="Times"/>
        </w:rPr>
        <w:t>contribue</w:t>
      </w:r>
      <w:r w:rsidR="00441D5E" w:rsidRPr="00A63514">
        <w:rPr>
          <w:rFonts w:ascii="Times" w:hAnsi="Times"/>
        </w:rPr>
        <w:t xml:space="preserve"> </w:t>
      </w:r>
      <w:r w:rsidR="000E6E1C" w:rsidRPr="00A63514">
        <w:rPr>
          <w:rFonts w:ascii="Times" w:hAnsi="Times"/>
        </w:rPr>
        <w:t>à faire mieux percevoir les deux dimensions du sacrement ecclésial et leur articulation, et par le fait même</w:t>
      </w:r>
      <w:r w:rsidR="00635BA8" w:rsidRPr="00A63514">
        <w:rPr>
          <w:rFonts w:ascii="Times" w:hAnsi="Times"/>
        </w:rPr>
        <w:t xml:space="preserve"> à élucider le concept de sacrement appliqué à l’Église par Vatican II.</w:t>
      </w:r>
      <w:r w:rsidR="00D8352B" w:rsidRPr="00A63514">
        <w:rPr>
          <w:rFonts w:ascii="Times" w:hAnsi="Times"/>
        </w:rPr>
        <w:t xml:space="preserve"> Signalons d’emblée</w:t>
      </w:r>
      <w:r w:rsidR="009C6B09" w:rsidRPr="00A63514">
        <w:rPr>
          <w:rFonts w:ascii="Times" w:hAnsi="Times"/>
        </w:rPr>
        <w:t xml:space="preserve"> le rôle clé de LG 8A</w:t>
      </w:r>
      <w:r w:rsidR="006B24FF" w:rsidRPr="00A63514">
        <w:rPr>
          <w:rFonts w:ascii="Times" w:hAnsi="Times"/>
        </w:rPr>
        <w:t xml:space="preserve"> (qui co</w:t>
      </w:r>
      <w:r w:rsidR="00C50321" w:rsidRPr="00A63514">
        <w:rPr>
          <w:rFonts w:ascii="Times" w:hAnsi="Times"/>
        </w:rPr>
        <w:t>nçoit</w:t>
      </w:r>
      <w:r w:rsidR="006B24FF" w:rsidRPr="00A63514">
        <w:rPr>
          <w:rFonts w:ascii="Times" w:hAnsi="Times"/>
        </w:rPr>
        <w:t xml:space="preserve"> l’Église par analogie au Verbe incarné)</w:t>
      </w:r>
      <w:r w:rsidR="008C31DE" w:rsidRPr="00A63514">
        <w:rPr>
          <w:rFonts w:ascii="Times" w:hAnsi="Times"/>
        </w:rPr>
        <w:t xml:space="preserve"> à l’intersection des deux premiers chapitres de la Constitution dogmatique sur l’Église</w:t>
      </w:r>
      <w:r w:rsidR="009038FA" w:rsidRPr="000C6989">
        <w:rPr>
          <w:rStyle w:val="Appelnotedebasdep"/>
        </w:rPr>
        <w:footnoteReference w:id="13"/>
      </w:r>
      <w:r w:rsidR="008C31DE" w:rsidRPr="00A63514">
        <w:rPr>
          <w:rFonts w:ascii="Times" w:hAnsi="Times"/>
        </w:rPr>
        <w:t>.</w:t>
      </w:r>
      <w:r w:rsidR="00C34871" w:rsidRPr="00A63514">
        <w:rPr>
          <w:rFonts w:ascii="Times" w:hAnsi="Times"/>
        </w:rPr>
        <w:t xml:space="preserve"> Selon ce paragraphe, « l’Église terrestre et l’Église enrichie de biens célestes ne sont pas à considérer comme deux choses, mais elles forment une seule réalité complexe</w:t>
      </w:r>
      <w:r w:rsidR="00425F32" w:rsidRPr="00A63514">
        <w:rPr>
          <w:rFonts w:ascii="Times" w:hAnsi="Times"/>
        </w:rPr>
        <w:t>,</w:t>
      </w:r>
      <w:r w:rsidR="00AB4166" w:rsidRPr="00A63514">
        <w:rPr>
          <w:rFonts w:ascii="Times" w:hAnsi="Times"/>
        </w:rPr>
        <w:t xml:space="preserve"> soud</w:t>
      </w:r>
      <w:r w:rsidR="00425F32" w:rsidRPr="00A63514">
        <w:rPr>
          <w:rFonts w:ascii="Times" w:hAnsi="Times"/>
        </w:rPr>
        <w:t>é</w:t>
      </w:r>
      <w:r w:rsidR="00AB4166" w:rsidRPr="00A63514">
        <w:rPr>
          <w:rFonts w:ascii="Times" w:hAnsi="Times"/>
        </w:rPr>
        <w:t xml:space="preserve">e d’un élément humain </w:t>
      </w:r>
      <w:r w:rsidR="00425F32" w:rsidRPr="00A63514">
        <w:rPr>
          <w:rFonts w:ascii="Times" w:hAnsi="Times"/>
        </w:rPr>
        <w:t xml:space="preserve">et d’un élément divin. C’est pourquoi, en raison d’une analogie non médiocre, elle est assimilée au mystère du Verbe incarné. En effet, </w:t>
      </w:r>
      <w:r w:rsidR="00A91B09" w:rsidRPr="00A63514">
        <w:rPr>
          <w:rFonts w:ascii="Times" w:hAnsi="Times"/>
        </w:rPr>
        <w:t>de même que</w:t>
      </w:r>
      <w:r w:rsidR="00503F5A" w:rsidRPr="00A63514">
        <w:rPr>
          <w:rFonts w:ascii="Times" w:hAnsi="Times"/>
        </w:rPr>
        <w:t xml:space="preserve"> la nature assumée par le Verbe divin est à son service</w:t>
      </w:r>
      <w:r w:rsidR="00FB6A67" w:rsidRPr="00A63514">
        <w:rPr>
          <w:rFonts w:ascii="Times" w:hAnsi="Times"/>
        </w:rPr>
        <w:t xml:space="preserve"> comme un organe vivant de salut, qui lui est indissolublement uni</w:t>
      </w:r>
      <w:r w:rsidR="00503F5A" w:rsidRPr="00A63514">
        <w:rPr>
          <w:rFonts w:ascii="Times" w:hAnsi="Times"/>
        </w:rPr>
        <w:t>, d’une manière non dissemblable</w:t>
      </w:r>
      <w:r w:rsidR="00DD4EC4" w:rsidRPr="00A63514">
        <w:rPr>
          <w:rFonts w:ascii="Times" w:hAnsi="Times"/>
        </w:rPr>
        <w:t xml:space="preserve"> l’organisme social</w:t>
      </w:r>
      <w:r w:rsidR="00FB6A67" w:rsidRPr="00A63514">
        <w:rPr>
          <w:rFonts w:ascii="Times" w:hAnsi="Times"/>
        </w:rPr>
        <w:t xml:space="preserve"> de l’Église est au service de l’Esprit du Christ, qui la vivifie, pour la croissance du corps (cf. Eph. 4, 16). »</w:t>
      </w:r>
      <w:r w:rsidR="00FC3500" w:rsidRPr="00A63514">
        <w:rPr>
          <w:rFonts w:ascii="Times" w:hAnsi="Times"/>
        </w:rPr>
        <w:t xml:space="preserve"> Cette analogie du Verbe incarné met particulièrement en valeur les deux dimensions inséparables du sacrement d’unité qu’est l’Église</w:t>
      </w:r>
      <w:r w:rsidR="00011071" w:rsidRPr="00A63514">
        <w:rPr>
          <w:rFonts w:ascii="Times" w:hAnsi="Times"/>
        </w:rPr>
        <w:t xml:space="preserve"> au service du monde</w:t>
      </w:r>
      <w:r w:rsidR="00FC3500" w:rsidRPr="00A63514">
        <w:rPr>
          <w:rFonts w:ascii="Times" w:hAnsi="Times"/>
        </w:rPr>
        <w:t>, le « mystère » (chap. I) mettant en évidence l’aspect divin du sacrement et le « peuple de Dieu » (chap. II), son aspect humain et historique</w:t>
      </w:r>
      <w:r w:rsidR="00011071" w:rsidRPr="00A63514">
        <w:rPr>
          <w:rFonts w:ascii="Times" w:hAnsi="Times"/>
        </w:rPr>
        <w:t>. Il s’agit certes d’une analogie avec le Verbe incarné</w:t>
      </w:r>
      <w:r w:rsidR="004C5BB6" w:rsidRPr="00A63514">
        <w:rPr>
          <w:rFonts w:ascii="Times" w:hAnsi="Times"/>
        </w:rPr>
        <w:t>, laquelle par définition</w:t>
      </w:r>
      <w:r w:rsidR="005A1938" w:rsidRPr="00A63514">
        <w:rPr>
          <w:rFonts w:ascii="Times" w:hAnsi="Times"/>
        </w:rPr>
        <w:t xml:space="preserve"> suppose autant (sinon plus) une différence</w:t>
      </w:r>
      <w:r w:rsidR="00FC3500" w:rsidRPr="00A63514">
        <w:rPr>
          <w:rFonts w:ascii="Times" w:hAnsi="Times"/>
        </w:rPr>
        <w:t xml:space="preserve"> </w:t>
      </w:r>
      <w:r w:rsidR="005A1938" w:rsidRPr="00A63514">
        <w:rPr>
          <w:rFonts w:ascii="Times" w:hAnsi="Times"/>
        </w:rPr>
        <w:t>qu’une ressemblance</w:t>
      </w:r>
      <w:r w:rsidR="00F36B28" w:rsidRPr="00A63514">
        <w:rPr>
          <w:rFonts w:ascii="Times" w:hAnsi="Times"/>
        </w:rPr>
        <w:t>, en l’occurrence entre le Christ et l’Église.</w:t>
      </w:r>
      <w:r w:rsidR="009A28A2" w:rsidRPr="00A63514">
        <w:rPr>
          <w:rFonts w:ascii="Times" w:hAnsi="Times"/>
        </w:rPr>
        <w:t xml:space="preserve"> Il n’y a pas d’union hypostatique ou personnelle entre l’organisme social de l’Église et l’Esprit du Christ : on ne peut conclure que l’Église soit le Verbe incarné, mais elle reçoit sa vie de l’Esprit du Christ en vue de sa croissance. De plus, il est clairement affirmé que le Christ est distinct et l’unique médiateur ou source du salut</w:t>
      </w:r>
      <w:r w:rsidR="009A28A2" w:rsidRPr="000C6989">
        <w:rPr>
          <w:rStyle w:val="Appelnotedebasdep"/>
        </w:rPr>
        <w:footnoteReference w:id="14"/>
      </w:r>
      <w:r w:rsidR="00514AD9" w:rsidRPr="00A63514">
        <w:rPr>
          <w:rFonts w:ascii="Times" w:hAnsi="Times"/>
        </w:rPr>
        <w:t xml:space="preserve">. </w:t>
      </w:r>
      <w:r w:rsidR="002E1771" w:rsidRPr="00A63514">
        <w:rPr>
          <w:rFonts w:ascii="Times" w:hAnsi="Times"/>
        </w:rPr>
        <w:t>Aussi la crainte luthérienne</w:t>
      </w:r>
      <w:r w:rsidR="00CE259E" w:rsidRPr="00A63514">
        <w:rPr>
          <w:rFonts w:ascii="Times" w:hAnsi="Times"/>
        </w:rPr>
        <w:t xml:space="preserve"> « de gommer le ‘face à face’ du Christ et de l’Église »</w:t>
      </w:r>
      <w:r w:rsidR="00CE259E" w:rsidRPr="000C6989">
        <w:rPr>
          <w:rStyle w:val="Appelnotedebasdep"/>
        </w:rPr>
        <w:footnoteReference w:id="15"/>
      </w:r>
      <w:r w:rsidR="00CE259E" w:rsidRPr="00A63514">
        <w:rPr>
          <w:rFonts w:ascii="Times" w:hAnsi="Times"/>
        </w:rPr>
        <w:t xml:space="preserve"> ne paraît-elle pas ici justifiée.</w:t>
      </w:r>
    </w:p>
    <w:p w14:paraId="74CFF322" w14:textId="7A1367D1" w:rsidR="00761710" w:rsidRPr="00A63514" w:rsidRDefault="008848EB" w:rsidP="00A63514">
      <w:pPr>
        <w:spacing w:line="480" w:lineRule="auto"/>
        <w:ind w:firstLine="284"/>
        <w:jc w:val="both"/>
        <w:rPr>
          <w:rFonts w:ascii="Times" w:hAnsi="Times"/>
        </w:rPr>
      </w:pPr>
      <w:r w:rsidRPr="00A63514">
        <w:rPr>
          <w:rFonts w:ascii="Times" w:hAnsi="Times"/>
        </w:rPr>
        <w:t>Après une analyse de quelques occurrences significatives de l’expression « Église sacrement » dans le texte final (ou promulgué) de Vatican II</w:t>
      </w:r>
      <w:r w:rsidR="009D5193" w:rsidRPr="00A63514">
        <w:rPr>
          <w:rFonts w:ascii="Times" w:hAnsi="Times"/>
        </w:rPr>
        <w:t xml:space="preserve">, </w:t>
      </w:r>
      <w:r w:rsidR="00D01E3F" w:rsidRPr="00A63514">
        <w:rPr>
          <w:rFonts w:ascii="Times" w:hAnsi="Times"/>
        </w:rPr>
        <w:t xml:space="preserve">il est toujours nécessaire, pour en compléter et approfondir la compréhension, de procéder à l’analyse diachronique ou génétique des textes étudiés, c’est-à-dire d’en élaborer la </w:t>
      </w:r>
      <w:r w:rsidR="00D01E3F" w:rsidRPr="00A63514">
        <w:rPr>
          <w:rFonts w:ascii="Times" w:hAnsi="Times"/>
          <w:i/>
        </w:rPr>
        <w:t>Redaktionsgeschichte</w:t>
      </w:r>
      <w:r w:rsidR="00D01E3F" w:rsidRPr="00A63514">
        <w:rPr>
          <w:rFonts w:ascii="Times" w:hAnsi="Times"/>
        </w:rPr>
        <w:t xml:space="preserve"> (histoire de la rédaction) et de reconstituer ainsi l’</w:t>
      </w:r>
      <w:r w:rsidR="00D01E3F" w:rsidRPr="00A63514">
        <w:rPr>
          <w:rFonts w:ascii="Times" w:hAnsi="Times"/>
          <w:i/>
        </w:rPr>
        <w:t>iter schematis</w:t>
      </w:r>
      <w:r w:rsidR="00D01E3F" w:rsidRPr="00A63514">
        <w:rPr>
          <w:rFonts w:ascii="Times" w:hAnsi="Times"/>
        </w:rPr>
        <w:t xml:space="preserve"> (l’évolution ou le chemin parcouru par un schéma</w:t>
      </w:r>
      <w:r w:rsidR="00D830A6" w:rsidRPr="00A63514">
        <w:rPr>
          <w:rFonts w:ascii="Times" w:hAnsi="Times"/>
        </w:rPr>
        <w:t>)</w:t>
      </w:r>
      <w:r w:rsidR="00D01E3F" w:rsidRPr="00A63514">
        <w:rPr>
          <w:rFonts w:ascii="Times" w:hAnsi="Times"/>
        </w:rPr>
        <w:t>, afin de saisir tant l’intention des rédacteurs (</w:t>
      </w:r>
      <w:r w:rsidR="00D01E3F" w:rsidRPr="00A63514">
        <w:rPr>
          <w:rFonts w:ascii="Times" w:hAnsi="Times"/>
          <w:i/>
        </w:rPr>
        <w:t>mens auctorum</w:t>
      </w:r>
      <w:r w:rsidR="00D01E3F" w:rsidRPr="00A63514">
        <w:rPr>
          <w:rFonts w:ascii="Times" w:hAnsi="Times"/>
        </w:rPr>
        <w:t>)</w:t>
      </w:r>
      <w:r w:rsidR="009527E3" w:rsidRPr="00A63514">
        <w:rPr>
          <w:rFonts w:ascii="Times" w:hAnsi="Times"/>
        </w:rPr>
        <w:t xml:space="preserve"> que celles des Pères conciliaires (</w:t>
      </w:r>
      <w:r w:rsidR="009527E3" w:rsidRPr="00A63514">
        <w:rPr>
          <w:rFonts w:ascii="Times" w:hAnsi="Times"/>
          <w:i/>
        </w:rPr>
        <w:t>mens Patrum</w:t>
      </w:r>
      <w:r w:rsidR="009527E3" w:rsidRPr="00A63514">
        <w:rPr>
          <w:rFonts w:ascii="Times" w:hAnsi="Times"/>
        </w:rPr>
        <w:t>), qui ont voté le texte.</w:t>
      </w:r>
      <w:r w:rsidR="00BA05F2" w:rsidRPr="00A63514">
        <w:rPr>
          <w:rFonts w:ascii="Times" w:hAnsi="Times"/>
        </w:rPr>
        <w:t xml:space="preserve"> On </w:t>
      </w:r>
      <w:r w:rsidR="00364371" w:rsidRPr="00A63514">
        <w:rPr>
          <w:rFonts w:ascii="Times" w:hAnsi="Times"/>
        </w:rPr>
        <w:t xml:space="preserve">entre par le fait même dans les débats </w:t>
      </w:r>
      <w:r w:rsidR="000A54B4" w:rsidRPr="00A63514">
        <w:rPr>
          <w:rFonts w:ascii="Times" w:hAnsi="Times"/>
        </w:rPr>
        <w:t>qui ont jalonné et expliquent l’élaboration du texte final</w:t>
      </w:r>
      <w:r w:rsidR="00424EE3" w:rsidRPr="000C6989">
        <w:rPr>
          <w:rStyle w:val="Appelnotedebasdep"/>
        </w:rPr>
        <w:footnoteReference w:id="16"/>
      </w:r>
      <w:r w:rsidR="009C2BBC" w:rsidRPr="00A63514">
        <w:rPr>
          <w:rFonts w:ascii="Times" w:hAnsi="Times"/>
        </w:rPr>
        <w:t>. On se limitera ici au passage le plus emblématique : LG 1.</w:t>
      </w:r>
    </w:p>
    <w:p w14:paraId="5C81DF79" w14:textId="77777777" w:rsidR="005F5399" w:rsidRPr="00A63514" w:rsidRDefault="005F5399" w:rsidP="00A63514">
      <w:pPr>
        <w:spacing w:line="480" w:lineRule="auto"/>
        <w:ind w:firstLine="284"/>
        <w:jc w:val="both"/>
        <w:rPr>
          <w:rFonts w:ascii="Times" w:hAnsi="Times"/>
        </w:rPr>
      </w:pPr>
    </w:p>
    <w:p w14:paraId="7D671918" w14:textId="1E8E66BF" w:rsidR="005F5399" w:rsidRPr="00A63514" w:rsidRDefault="005F5399" w:rsidP="00A63514">
      <w:pPr>
        <w:spacing w:line="480" w:lineRule="auto"/>
        <w:ind w:firstLine="284"/>
        <w:jc w:val="both"/>
        <w:rPr>
          <w:rFonts w:ascii="Times" w:hAnsi="Times"/>
        </w:rPr>
      </w:pPr>
      <w:r w:rsidRPr="00A63514">
        <w:rPr>
          <w:rFonts w:ascii="Times" w:hAnsi="Times"/>
        </w:rPr>
        <w:t>b) Histoire des textes</w:t>
      </w:r>
    </w:p>
    <w:p w14:paraId="41C1A756" w14:textId="77777777" w:rsidR="00474B3A" w:rsidRPr="00A63514" w:rsidRDefault="00474B3A" w:rsidP="00A63514">
      <w:pPr>
        <w:spacing w:line="480" w:lineRule="auto"/>
        <w:ind w:firstLine="284"/>
        <w:jc w:val="both"/>
        <w:rPr>
          <w:rFonts w:ascii="Times" w:hAnsi="Times"/>
          <w:sz w:val="10"/>
          <w:szCs w:val="10"/>
        </w:rPr>
      </w:pPr>
    </w:p>
    <w:p w14:paraId="773A9C63" w14:textId="573C4646" w:rsidR="005F5399" w:rsidRPr="00A63514" w:rsidRDefault="00BF1AB7" w:rsidP="00A63514">
      <w:pPr>
        <w:spacing w:line="480" w:lineRule="auto"/>
        <w:ind w:firstLine="284"/>
        <w:jc w:val="both"/>
        <w:rPr>
          <w:rFonts w:ascii="Times" w:hAnsi="Times"/>
          <w:i/>
        </w:rPr>
      </w:pPr>
      <w:r w:rsidRPr="00A63514">
        <w:rPr>
          <w:rFonts w:ascii="Times" w:hAnsi="Times"/>
          <w:i/>
        </w:rPr>
        <w:t>Iter schematis</w:t>
      </w:r>
    </w:p>
    <w:p w14:paraId="2FC2978A" w14:textId="20D8CDCC" w:rsidR="00BF1AB7" w:rsidRPr="00A63514" w:rsidRDefault="00BF1AB7" w:rsidP="00A63514">
      <w:pPr>
        <w:spacing w:line="480" w:lineRule="auto"/>
        <w:ind w:firstLine="284"/>
        <w:jc w:val="both"/>
        <w:rPr>
          <w:rFonts w:ascii="Times" w:hAnsi="Times"/>
        </w:rPr>
      </w:pPr>
      <w:r w:rsidRPr="00A63514">
        <w:rPr>
          <w:rFonts w:ascii="Times" w:hAnsi="Times"/>
        </w:rPr>
        <w:t xml:space="preserve">Pour esquisser l’histoire rédactionnelle de LG 1, on peut se baser sur </w:t>
      </w:r>
      <w:r w:rsidRPr="00A63514">
        <w:rPr>
          <w:rFonts w:ascii="Times" w:hAnsi="Times"/>
          <w:i/>
        </w:rPr>
        <w:t>Constitutionis Dogmaticae Lumen Gentium Synopsis Historica</w:t>
      </w:r>
      <w:r w:rsidRPr="00A63514">
        <w:rPr>
          <w:rFonts w:ascii="Times" w:hAnsi="Times"/>
        </w:rPr>
        <w:t xml:space="preserve"> a cura di Giuseppe A</w:t>
      </w:r>
      <w:r w:rsidRPr="00A63514">
        <w:rPr>
          <w:rFonts w:ascii="Times" w:hAnsi="Times"/>
          <w:smallCaps/>
        </w:rPr>
        <w:t>lberigo</w:t>
      </w:r>
      <w:r w:rsidRPr="00A63514">
        <w:rPr>
          <w:rFonts w:ascii="Times" w:hAnsi="Times"/>
        </w:rPr>
        <w:t xml:space="preserve"> – Franca M</w:t>
      </w:r>
      <w:r w:rsidRPr="00A63514">
        <w:rPr>
          <w:rFonts w:ascii="Times" w:hAnsi="Times"/>
          <w:smallCaps/>
        </w:rPr>
        <w:t>agistretti</w:t>
      </w:r>
      <w:r w:rsidRPr="00A63514">
        <w:rPr>
          <w:rFonts w:ascii="Times" w:hAnsi="Times"/>
        </w:rPr>
        <w:t>, Bologna, I</w:t>
      </w:r>
      <w:r w:rsidR="00992390" w:rsidRPr="00A63514">
        <w:rPr>
          <w:rFonts w:ascii="Times" w:hAnsi="Times"/>
        </w:rPr>
        <w:t>stituto per le Scienze Religios</w:t>
      </w:r>
      <w:r w:rsidRPr="00A63514">
        <w:rPr>
          <w:rFonts w:ascii="Times" w:hAnsi="Times"/>
        </w:rPr>
        <w:t>e, 1975. Que ressort-il de cette lecture ?</w:t>
      </w:r>
    </w:p>
    <w:p w14:paraId="56D612C7" w14:textId="6DB9A28F" w:rsidR="00BF1AB7" w:rsidRPr="00A63514" w:rsidRDefault="00BF1AB7" w:rsidP="00A63514">
      <w:pPr>
        <w:spacing w:line="480" w:lineRule="auto"/>
        <w:ind w:firstLine="284"/>
        <w:jc w:val="both"/>
        <w:rPr>
          <w:rFonts w:ascii="Times" w:hAnsi="Times"/>
        </w:rPr>
      </w:pPr>
      <w:r w:rsidRPr="00A63514">
        <w:rPr>
          <w:rFonts w:ascii="Times" w:hAnsi="Times"/>
        </w:rPr>
        <w:t xml:space="preserve">- </w:t>
      </w:r>
      <w:r w:rsidR="000F3325" w:rsidRPr="00A63514">
        <w:rPr>
          <w:rFonts w:ascii="Times" w:hAnsi="Times"/>
        </w:rPr>
        <w:t>C’est dans le schéma de février 1963 (schéma Philips amendé en janvier à Louvain, sur lequel le card. Suenens fait rapport à la première réunion de la commission de coordination, du 21 au 27 janvier 1963, et qui sera examiné par la commission doctrinale du 21 février au 13 mars 1963) qu’apparaît pour la première fois la qualification de l’Église comme sacrement :</w:t>
      </w:r>
    </w:p>
    <w:p w14:paraId="24C9EBEA" w14:textId="77777777" w:rsidR="000F3325" w:rsidRPr="00A63514" w:rsidRDefault="000F3325" w:rsidP="00A63514">
      <w:pPr>
        <w:spacing w:line="480" w:lineRule="auto"/>
        <w:ind w:firstLine="284"/>
        <w:jc w:val="both"/>
        <w:rPr>
          <w:rFonts w:ascii="Times" w:hAnsi="Times"/>
          <w:sz w:val="10"/>
          <w:szCs w:val="10"/>
        </w:rPr>
      </w:pPr>
    </w:p>
    <w:p w14:paraId="716C2F18" w14:textId="74682EF2" w:rsidR="000F3325" w:rsidRPr="00A63514" w:rsidRDefault="000F3325" w:rsidP="00A63514">
      <w:pPr>
        <w:spacing w:line="480" w:lineRule="auto"/>
        <w:ind w:left="1134"/>
        <w:jc w:val="both"/>
        <w:rPr>
          <w:rFonts w:ascii="Times" w:hAnsi="Times"/>
        </w:rPr>
      </w:pPr>
      <w:r w:rsidRPr="00A63514">
        <w:rPr>
          <w:rFonts w:ascii="Times" w:hAnsi="Times"/>
          <w:sz w:val="20"/>
          <w:szCs w:val="20"/>
        </w:rPr>
        <w:t>« </w:t>
      </w:r>
      <w:r w:rsidRPr="00A63514">
        <w:rPr>
          <w:rFonts w:ascii="Times" w:hAnsi="Times"/>
          <w:i/>
          <w:sz w:val="20"/>
          <w:szCs w:val="20"/>
        </w:rPr>
        <w:t>Cum vero Ecclesia sese in Christo ut sacramentum intimae totius generis humani unitatis eiusque cum Deo unionis cognoscat</w:t>
      </w:r>
      <w:r w:rsidRPr="00A63514">
        <w:rPr>
          <w:rFonts w:ascii="Times" w:hAnsi="Times"/>
          <w:sz w:val="20"/>
          <w:szCs w:val="20"/>
        </w:rPr>
        <w:t>, naturam missionemque suam universalem</w:t>
      </w:r>
      <w:r w:rsidR="00C041C0" w:rsidRPr="00A63514">
        <w:rPr>
          <w:rFonts w:ascii="Times" w:hAnsi="Times"/>
          <w:sz w:val="20"/>
          <w:szCs w:val="20"/>
        </w:rPr>
        <w:t xml:space="preserve"> instantius fidelibus suis et mundo universo praedicare intendit, praecedentium Conciliorum argumento instans, illudque sermone menti hodiernae pervio enucleans »</w:t>
      </w:r>
      <w:r w:rsidR="00992390" w:rsidRPr="00047B6A">
        <w:rPr>
          <w:rStyle w:val="Appelnotedebasdep"/>
          <w:sz w:val="20"/>
          <w:szCs w:val="20"/>
        </w:rPr>
        <w:footnoteReference w:id="17"/>
      </w:r>
      <w:r w:rsidR="00992390" w:rsidRPr="00A63514">
        <w:rPr>
          <w:rFonts w:ascii="Times" w:hAnsi="Times"/>
          <w:sz w:val="20"/>
          <w:szCs w:val="20"/>
        </w:rPr>
        <w:t>.</w:t>
      </w:r>
    </w:p>
    <w:p w14:paraId="03989908" w14:textId="77777777" w:rsidR="00992390" w:rsidRPr="00A63514" w:rsidRDefault="00992390" w:rsidP="00A63514">
      <w:pPr>
        <w:spacing w:line="480" w:lineRule="auto"/>
        <w:ind w:left="1134"/>
        <w:jc w:val="both"/>
        <w:rPr>
          <w:rFonts w:ascii="Times" w:hAnsi="Times"/>
          <w:sz w:val="10"/>
          <w:szCs w:val="10"/>
        </w:rPr>
      </w:pPr>
    </w:p>
    <w:p w14:paraId="21285AC0" w14:textId="35EFCC88" w:rsidR="00992390" w:rsidRPr="00A63514" w:rsidRDefault="00992390" w:rsidP="00A63514">
      <w:pPr>
        <w:spacing w:line="480" w:lineRule="auto"/>
        <w:ind w:firstLine="284"/>
        <w:jc w:val="both"/>
        <w:rPr>
          <w:rFonts w:ascii="Times" w:hAnsi="Times"/>
        </w:rPr>
      </w:pPr>
      <w:r w:rsidRPr="00A63514">
        <w:rPr>
          <w:rFonts w:ascii="Times" w:hAnsi="Times"/>
        </w:rPr>
        <w:t>- Le schéma d’avril 1963 (texte précédent amendé par la commission doctrinale, puis approuvé par la commission de coordination) présente un énoncé un peu différent :</w:t>
      </w:r>
    </w:p>
    <w:p w14:paraId="5EA0ADB2" w14:textId="77777777" w:rsidR="00992390" w:rsidRPr="00A63514" w:rsidRDefault="00992390" w:rsidP="00A63514">
      <w:pPr>
        <w:spacing w:line="480" w:lineRule="auto"/>
        <w:ind w:firstLine="284"/>
        <w:jc w:val="both"/>
        <w:rPr>
          <w:rFonts w:ascii="Times" w:hAnsi="Times"/>
          <w:sz w:val="10"/>
          <w:szCs w:val="10"/>
        </w:rPr>
      </w:pPr>
    </w:p>
    <w:p w14:paraId="55347694" w14:textId="29C6C475" w:rsidR="00992390" w:rsidRPr="00A63514" w:rsidRDefault="00992390" w:rsidP="00A63514">
      <w:pPr>
        <w:spacing w:line="480" w:lineRule="auto"/>
        <w:ind w:left="1134"/>
        <w:jc w:val="both"/>
        <w:rPr>
          <w:rFonts w:ascii="Times" w:hAnsi="Times"/>
        </w:rPr>
      </w:pPr>
      <w:r w:rsidRPr="00A63514">
        <w:rPr>
          <w:rFonts w:ascii="Times" w:hAnsi="Times"/>
          <w:sz w:val="20"/>
          <w:szCs w:val="20"/>
        </w:rPr>
        <w:t xml:space="preserve">« Cum vero Ecclesia </w:t>
      </w:r>
      <w:r w:rsidRPr="00A63514">
        <w:rPr>
          <w:rFonts w:ascii="Times" w:hAnsi="Times"/>
          <w:i/>
          <w:sz w:val="20"/>
          <w:szCs w:val="20"/>
        </w:rPr>
        <w:t>sit in Christo signum et instrumentum, seu veluti sacramentum</w:t>
      </w:r>
      <w:r w:rsidRPr="00A63514">
        <w:rPr>
          <w:rFonts w:ascii="Times" w:hAnsi="Times"/>
          <w:sz w:val="20"/>
          <w:szCs w:val="20"/>
        </w:rPr>
        <w:t xml:space="preserve"> intimae totius generis humani unitatis eiusque cum Deo unionis</w:t>
      </w:r>
      <w:r w:rsidR="008E4ED1" w:rsidRPr="00A63514">
        <w:rPr>
          <w:rFonts w:ascii="Times" w:hAnsi="Times"/>
          <w:sz w:val="20"/>
          <w:szCs w:val="20"/>
        </w:rPr>
        <w:t>, …</w:t>
      </w:r>
      <w:r w:rsidRPr="00A63514">
        <w:rPr>
          <w:rFonts w:ascii="Times" w:hAnsi="Times"/>
          <w:sz w:val="20"/>
          <w:szCs w:val="20"/>
        </w:rPr>
        <w:t> »</w:t>
      </w:r>
      <w:r w:rsidRPr="00047B6A">
        <w:rPr>
          <w:rStyle w:val="Appelnotedebasdep"/>
          <w:sz w:val="20"/>
          <w:szCs w:val="20"/>
        </w:rPr>
        <w:footnoteReference w:id="18"/>
      </w:r>
      <w:r w:rsidRPr="00A63514">
        <w:rPr>
          <w:rFonts w:ascii="Times" w:hAnsi="Times"/>
          <w:sz w:val="20"/>
          <w:szCs w:val="20"/>
        </w:rPr>
        <w:t>.</w:t>
      </w:r>
    </w:p>
    <w:p w14:paraId="58B601B4" w14:textId="77777777" w:rsidR="00992390" w:rsidRPr="00A63514" w:rsidRDefault="00992390" w:rsidP="00A63514">
      <w:pPr>
        <w:spacing w:line="480" w:lineRule="auto"/>
        <w:ind w:left="1134"/>
        <w:jc w:val="both"/>
        <w:rPr>
          <w:rFonts w:ascii="Times" w:hAnsi="Times"/>
          <w:sz w:val="10"/>
          <w:szCs w:val="10"/>
        </w:rPr>
      </w:pPr>
    </w:p>
    <w:p w14:paraId="4B864CD4" w14:textId="27498D4F" w:rsidR="00992390" w:rsidRPr="00A63514" w:rsidRDefault="00992390" w:rsidP="00A63514">
      <w:pPr>
        <w:spacing w:line="480" w:lineRule="auto"/>
        <w:ind w:firstLine="284"/>
        <w:jc w:val="both"/>
        <w:rPr>
          <w:rFonts w:ascii="Times" w:hAnsi="Times"/>
        </w:rPr>
      </w:pPr>
      <w:r w:rsidRPr="00A63514">
        <w:rPr>
          <w:rFonts w:ascii="Times" w:hAnsi="Times"/>
        </w:rPr>
        <w:t>- Le</w:t>
      </w:r>
      <w:r w:rsidR="00F97E7A" w:rsidRPr="00A63514">
        <w:rPr>
          <w:rFonts w:ascii="Times" w:hAnsi="Times"/>
        </w:rPr>
        <w:t xml:space="preserve"> schéma de mars-juillet 1964 (novembre 1963 – janvier 1964 : après les amendements des Pères ; juillet 1964 : après les amendements de Paul VI) est, à un mot près, le texte final de </w:t>
      </w:r>
      <w:r w:rsidR="006F5CB1" w:rsidRPr="00A63514">
        <w:rPr>
          <w:rFonts w:ascii="Times" w:hAnsi="Times"/>
          <w:i/>
        </w:rPr>
        <w:t>Lumen g</w:t>
      </w:r>
      <w:r w:rsidR="00F97E7A" w:rsidRPr="00A63514">
        <w:rPr>
          <w:rFonts w:ascii="Times" w:hAnsi="Times"/>
          <w:i/>
        </w:rPr>
        <w:t>entium</w:t>
      </w:r>
      <w:r w:rsidR="00F97E7A" w:rsidRPr="00A63514">
        <w:rPr>
          <w:rFonts w:ascii="Times" w:hAnsi="Times"/>
        </w:rPr>
        <w:t> :</w:t>
      </w:r>
    </w:p>
    <w:p w14:paraId="25EE9E42" w14:textId="77777777" w:rsidR="00F97E7A" w:rsidRPr="00A63514" w:rsidRDefault="00F97E7A" w:rsidP="00A63514">
      <w:pPr>
        <w:spacing w:line="480" w:lineRule="auto"/>
        <w:ind w:firstLine="284"/>
        <w:jc w:val="both"/>
        <w:rPr>
          <w:rFonts w:ascii="Times" w:hAnsi="Times"/>
          <w:sz w:val="10"/>
          <w:szCs w:val="10"/>
        </w:rPr>
      </w:pPr>
    </w:p>
    <w:p w14:paraId="4E3A0E3C" w14:textId="25487528" w:rsidR="00F97E7A" w:rsidRPr="00A63514" w:rsidRDefault="00F97E7A" w:rsidP="00A63514">
      <w:pPr>
        <w:spacing w:line="480" w:lineRule="auto"/>
        <w:ind w:left="1134"/>
        <w:jc w:val="both"/>
        <w:rPr>
          <w:rFonts w:ascii="Times" w:hAnsi="Times"/>
        </w:rPr>
      </w:pPr>
      <w:r w:rsidRPr="00A63514">
        <w:rPr>
          <w:rFonts w:ascii="Times" w:hAnsi="Times"/>
          <w:sz w:val="20"/>
          <w:szCs w:val="20"/>
        </w:rPr>
        <w:t xml:space="preserve">« Cum autem [vero : mars-juillet 1964] Ecclesia </w:t>
      </w:r>
      <w:r w:rsidRPr="00A63514">
        <w:rPr>
          <w:rFonts w:ascii="Times" w:hAnsi="Times"/>
          <w:i/>
          <w:sz w:val="20"/>
          <w:szCs w:val="20"/>
        </w:rPr>
        <w:t>sit in Christo veluti sacramentum seu signum et instrumentum intimae cum Deo unionis totiusque generis humani unitatis</w:t>
      </w:r>
      <w:r w:rsidRPr="00A63514">
        <w:rPr>
          <w:rFonts w:ascii="Times" w:hAnsi="Times"/>
          <w:sz w:val="20"/>
          <w:szCs w:val="20"/>
        </w:rPr>
        <w:t>, … »</w:t>
      </w:r>
      <w:r w:rsidRPr="00047B6A">
        <w:rPr>
          <w:rStyle w:val="Appelnotedebasdep"/>
          <w:sz w:val="20"/>
          <w:szCs w:val="20"/>
        </w:rPr>
        <w:footnoteReference w:id="19"/>
      </w:r>
      <w:r w:rsidRPr="00A63514">
        <w:rPr>
          <w:rFonts w:ascii="Times" w:hAnsi="Times"/>
          <w:sz w:val="20"/>
          <w:szCs w:val="20"/>
        </w:rPr>
        <w:t>.</w:t>
      </w:r>
    </w:p>
    <w:p w14:paraId="2440FFD8" w14:textId="77777777" w:rsidR="00F97E7A" w:rsidRPr="00A63514" w:rsidRDefault="00F97E7A" w:rsidP="00A63514">
      <w:pPr>
        <w:spacing w:line="480" w:lineRule="auto"/>
        <w:ind w:left="1134"/>
        <w:jc w:val="both"/>
        <w:rPr>
          <w:rFonts w:ascii="Times" w:hAnsi="Times"/>
          <w:sz w:val="10"/>
          <w:szCs w:val="10"/>
        </w:rPr>
      </w:pPr>
    </w:p>
    <w:p w14:paraId="10337551" w14:textId="463F9FA5" w:rsidR="00992390" w:rsidRPr="00A63514" w:rsidRDefault="00F97E7A" w:rsidP="00A63514">
      <w:pPr>
        <w:spacing w:line="480" w:lineRule="auto"/>
        <w:ind w:firstLine="284"/>
        <w:jc w:val="both"/>
        <w:rPr>
          <w:rFonts w:ascii="Times" w:hAnsi="Times"/>
        </w:rPr>
      </w:pPr>
      <w:r w:rsidRPr="00A63514">
        <w:rPr>
          <w:rFonts w:ascii="Times" w:hAnsi="Times"/>
        </w:rPr>
        <w:t xml:space="preserve">- </w:t>
      </w:r>
      <w:r w:rsidR="00474B3A" w:rsidRPr="00A63514">
        <w:rPr>
          <w:rFonts w:ascii="Times" w:hAnsi="Times"/>
        </w:rPr>
        <w:t xml:space="preserve">Il est intéressant d’observer que la qualification de l’Église comme sacrement, avant même le schéma Philips de février 1963, figure déjà dans le projet « allemand » de décembre 1962 (esquisse de schéma de quelques-uns des évêques et théologiens allemands au mois de décembre 1962, qui fut diffusée </w:t>
      </w:r>
      <w:r w:rsidR="00474B3A" w:rsidRPr="00A63514">
        <w:rPr>
          <w:rFonts w:ascii="Times" w:hAnsi="Times"/>
          <w:i/>
        </w:rPr>
        <w:t>pro manuscripto</w:t>
      </w:r>
      <w:r w:rsidR="00474B3A" w:rsidRPr="00A63514">
        <w:rPr>
          <w:rFonts w:ascii="Times" w:hAnsi="Times"/>
        </w:rPr>
        <w:t xml:space="preserve">). Cette esquisse a été amendée à Munich les 5-6 février 1963 : son </w:t>
      </w:r>
      <w:r w:rsidR="00474B3A" w:rsidRPr="00A63514">
        <w:rPr>
          <w:rFonts w:ascii="Times" w:hAnsi="Times"/>
          <w:i/>
        </w:rPr>
        <w:t>incipit</w:t>
      </w:r>
      <w:r w:rsidR="00474B3A" w:rsidRPr="00A63514">
        <w:rPr>
          <w:rFonts w:ascii="Times" w:hAnsi="Times"/>
        </w:rPr>
        <w:t xml:space="preserve"> était « Lumen Gentium »</w:t>
      </w:r>
      <w:r w:rsidR="00610995" w:rsidRPr="00A63514">
        <w:rPr>
          <w:rFonts w:ascii="Times" w:hAnsi="Times"/>
        </w:rPr>
        <w:t>, elle comportait 5 chapitres et 46 paragraphes.</w:t>
      </w:r>
    </w:p>
    <w:p w14:paraId="2913C5F3" w14:textId="77777777" w:rsidR="00610995" w:rsidRPr="00A63514" w:rsidRDefault="00610995" w:rsidP="00A63514">
      <w:pPr>
        <w:spacing w:line="480" w:lineRule="auto"/>
        <w:ind w:firstLine="284"/>
        <w:jc w:val="both"/>
        <w:rPr>
          <w:rFonts w:ascii="Times" w:hAnsi="Times"/>
          <w:sz w:val="10"/>
          <w:szCs w:val="10"/>
        </w:rPr>
      </w:pPr>
    </w:p>
    <w:p w14:paraId="769DC65A" w14:textId="75DBB267" w:rsidR="00610995" w:rsidRPr="00A63514" w:rsidRDefault="00610995" w:rsidP="00A63514">
      <w:pPr>
        <w:spacing w:line="480" w:lineRule="auto"/>
        <w:ind w:left="1134"/>
        <w:jc w:val="both"/>
        <w:rPr>
          <w:rFonts w:ascii="Times" w:hAnsi="Times"/>
        </w:rPr>
      </w:pPr>
      <w:r w:rsidRPr="00A63514">
        <w:rPr>
          <w:rFonts w:ascii="Times" w:hAnsi="Times"/>
          <w:sz w:val="20"/>
          <w:szCs w:val="20"/>
        </w:rPr>
        <w:t xml:space="preserve">« Ideo ipsa quoque Ecclesia vicinior omnibus facta reapse mundi totius Ecclesia evadit. </w:t>
      </w:r>
      <w:r w:rsidRPr="00A63514">
        <w:rPr>
          <w:rFonts w:ascii="Times" w:hAnsi="Times"/>
          <w:i/>
          <w:sz w:val="20"/>
          <w:szCs w:val="20"/>
        </w:rPr>
        <w:t>Cum vero sese ut sacramentum intimae unionis totius generis humani in se et cum Deo eius principio et fine cognoscat</w:t>
      </w:r>
      <w:r w:rsidRPr="00A63514">
        <w:rPr>
          <w:rFonts w:ascii="Times" w:hAnsi="Times"/>
          <w:sz w:val="20"/>
          <w:szCs w:val="20"/>
        </w:rPr>
        <w:t>, propriam naturam instantius fidelibus suis et mundo universo praedicare intendit, non ut gloriam suam coram hominibus quaerat, sed ut fidelibus suam ad mundum missionem impleat et fidem hominum facilius inveniat… » (Prooemium)</w:t>
      </w:r>
      <w:r w:rsidRPr="00CD4269">
        <w:rPr>
          <w:rStyle w:val="Appelnotedebasdep"/>
          <w:sz w:val="20"/>
          <w:szCs w:val="20"/>
        </w:rPr>
        <w:footnoteReference w:id="20"/>
      </w:r>
      <w:r w:rsidRPr="00A63514">
        <w:rPr>
          <w:rFonts w:ascii="Times" w:hAnsi="Times"/>
          <w:sz w:val="20"/>
          <w:szCs w:val="20"/>
        </w:rPr>
        <w:t>.</w:t>
      </w:r>
    </w:p>
    <w:p w14:paraId="1DCF6B0D" w14:textId="77777777" w:rsidR="00610995" w:rsidRPr="00A63514" w:rsidRDefault="00610995" w:rsidP="00A63514">
      <w:pPr>
        <w:spacing w:line="480" w:lineRule="auto"/>
        <w:ind w:left="1134"/>
        <w:jc w:val="both"/>
        <w:rPr>
          <w:rFonts w:ascii="Times" w:hAnsi="Times"/>
          <w:sz w:val="10"/>
          <w:szCs w:val="10"/>
        </w:rPr>
      </w:pPr>
    </w:p>
    <w:p w14:paraId="1B052E72" w14:textId="27922B33" w:rsidR="00513918" w:rsidRPr="00A63514" w:rsidRDefault="00E364BC" w:rsidP="00A63514">
      <w:pPr>
        <w:spacing w:line="480" w:lineRule="auto"/>
        <w:ind w:firstLine="284"/>
        <w:jc w:val="both"/>
        <w:rPr>
          <w:rFonts w:ascii="Times" w:hAnsi="Times"/>
        </w:rPr>
      </w:pPr>
      <w:r w:rsidRPr="00A63514">
        <w:rPr>
          <w:rFonts w:ascii="Times" w:hAnsi="Times"/>
        </w:rPr>
        <w:t xml:space="preserve">Manifestement, le schéma Philips de février 1963 s’est inspiré de ce </w:t>
      </w:r>
      <w:r w:rsidRPr="00A63514">
        <w:rPr>
          <w:rFonts w:ascii="Times" w:hAnsi="Times"/>
          <w:i/>
        </w:rPr>
        <w:t>Prooemium</w:t>
      </w:r>
      <w:r w:rsidRPr="00A63514">
        <w:rPr>
          <w:rFonts w:ascii="Times" w:hAnsi="Times"/>
        </w:rPr>
        <w:t xml:space="preserve"> (tel qu’amendé les 5-6 février 1963), notamment pour « l’auto-connaissance</w:t>
      </w:r>
      <w:r w:rsidR="00E54713" w:rsidRPr="00A63514">
        <w:rPr>
          <w:rFonts w:ascii="Times" w:hAnsi="Times"/>
        </w:rPr>
        <w:t xml:space="preserve"> » (rahnérienne, peut-on penser) de l’Église comme sacrement. Il faut savoir, en effet, que Philips, dès la seconde semaine après l’ouverture solennelle du concile, est déjà en train de préparer avec Rahner, Congar et Thils un nouveau </w:t>
      </w:r>
      <w:r w:rsidR="00E54713" w:rsidRPr="00A63514">
        <w:rPr>
          <w:rFonts w:ascii="Times" w:hAnsi="Times"/>
          <w:i/>
        </w:rPr>
        <w:t>De Ecclesia</w:t>
      </w:r>
      <w:r w:rsidR="00E54713" w:rsidRPr="00A63514">
        <w:rPr>
          <w:rFonts w:ascii="Times" w:hAnsi="Times"/>
        </w:rPr>
        <w:t>. La collaboration entre Philips et Rahner remonte donc aux débuts mêmes du concile.</w:t>
      </w:r>
      <w:r w:rsidR="00937514" w:rsidRPr="00A63514">
        <w:rPr>
          <w:rFonts w:ascii="Times" w:hAnsi="Times"/>
        </w:rPr>
        <w:t xml:space="preserve"> Les 25 et 26 janvier 1963, ils se retrouvent ainsi que d’autres à la réunion de Mayence, avec Mgr Volk : Philips peut y prendre connaissance des projets allemands et de leur projet de mettre au point un texte à la réunion des évê</w:t>
      </w:r>
      <w:r w:rsidR="00F36A53" w:rsidRPr="00A63514">
        <w:rPr>
          <w:rFonts w:ascii="Times" w:hAnsi="Times"/>
        </w:rPr>
        <w:t>ques de langue allem</w:t>
      </w:r>
      <w:r w:rsidR="00937514" w:rsidRPr="00A63514">
        <w:rPr>
          <w:rFonts w:ascii="Times" w:hAnsi="Times"/>
        </w:rPr>
        <w:t>a</w:t>
      </w:r>
      <w:r w:rsidR="00F36A53" w:rsidRPr="00A63514">
        <w:rPr>
          <w:rFonts w:ascii="Times" w:hAnsi="Times"/>
        </w:rPr>
        <w:t>n</w:t>
      </w:r>
      <w:r w:rsidR="00937514" w:rsidRPr="00A63514">
        <w:rPr>
          <w:rFonts w:ascii="Times" w:hAnsi="Times"/>
        </w:rPr>
        <w:t>de</w:t>
      </w:r>
      <w:r w:rsidR="00F36A53" w:rsidRPr="00A63514">
        <w:rPr>
          <w:rFonts w:ascii="Times" w:hAnsi="Times"/>
        </w:rPr>
        <w:t>, à Munich, le 5 février suivant</w:t>
      </w:r>
      <w:r w:rsidR="00F36A53" w:rsidRPr="00CD4269">
        <w:rPr>
          <w:rStyle w:val="Appelnotedebasdep"/>
        </w:rPr>
        <w:footnoteReference w:id="21"/>
      </w:r>
      <w:r w:rsidR="00F36A53" w:rsidRPr="00A63514">
        <w:rPr>
          <w:rFonts w:ascii="Times" w:hAnsi="Times"/>
        </w:rPr>
        <w:t>.</w:t>
      </w:r>
    </w:p>
    <w:p w14:paraId="38D037BF" w14:textId="5C078B2A" w:rsidR="00F36A53" w:rsidRPr="00A63514" w:rsidRDefault="00CB4FAB" w:rsidP="00A63514">
      <w:pPr>
        <w:spacing w:line="480" w:lineRule="auto"/>
        <w:ind w:firstLine="284"/>
        <w:jc w:val="both"/>
        <w:rPr>
          <w:rFonts w:ascii="Times" w:hAnsi="Times"/>
        </w:rPr>
      </w:pPr>
      <w:r w:rsidRPr="00A63514">
        <w:rPr>
          <w:rFonts w:ascii="Times" w:hAnsi="Times"/>
        </w:rPr>
        <w:t>Après cette vue d’ensemble de l’évolution du schéma, intéressons-nous maintenant au travail des rédacteurs au sein de la Commission doctrinale : quels amendements leur sont-ils proposés ? lesquels retiennent-ils ou rejettent-ils ? pour quelles raisons ?</w:t>
      </w:r>
    </w:p>
    <w:p w14:paraId="2872B1E3" w14:textId="77777777" w:rsidR="00CB4FAB" w:rsidRPr="00A63514" w:rsidRDefault="00CB4FAB" w:rsidP="00A63514">
      <w:pPr>
        <w:spacing w:line="480" w:lineRule="auto"/>
        <w:ind w:firstLine="284"/>
        <w:jc w:val="both"/>
        <w:rPr>
          <w:rFonts w:ascii="Times" w:hAnsi="Times"/>
        </w:rPr>
      </w:pPr>
    </w:p>
    <w:p w14:paraId="580FB429" w14:textId="77777777" w:rsidR="00F816E1" w:rsidRPr="00A63514" w:rsidRDefault="00F816E1" w:rsidP="00A63514">
      <w:pPr>
        <w:spacing w:line="480" w:lineRule="auto"/>
        <w:ind w:firstLine="284"/>
        <w:jc w:val="both"/>
        <w:rPr>
          <w:rFonts w:ascii="Times" w:hAnsi="Times"/>
          <w:i/>
        </w:rPr>
      </w:pPr>
    </w:p>
    <w:p w14:paraId="531F0CF5" w14:textId="7C129D65" w:rsidR="00CB4FAB" w:rsidRPr="00A63514" w:rsidRDefault="00CB4FAB" w:rsidP="00A63514">
      <w:pPr>
        <w:spacing w:line="480" w:lineRule="auto"/>
        <w:ind w:firstLine="284"/>
        <w:jc w:val="both"/>
        <w:rPr>
          <w:rFonts w:ascii="Times" w:hAnsi="Times"/>
          <w:i/>
        </w:rPr>
      </w:pPr>
      <w:r w:rsidRPr="00A63514">
        <w:rPr>
          <w:rFonts w:ascii="Times" w:hAnsi="Times"/>
          <w:i/>
        </w:rPr>
        <w:t>Commission doctrinale</w:t>
      </w:r>
    </w:p>
    <w:p w14:paraId="6940F562" w14:textId="06851BE0" w:rsidR="00CB4FAB" w:rsidRPr="00A63514" w:rsidRDefault="007E7552" w:rsidP="00A63514">
      <w:pPr>
        <w:spacing w:line="480" w:lineRule="auto"/>
        <w:ind w:firstLine="284"/>
        <w:jc w:val="both"/>
        <w:rPr>
          <w:rFonts w:ascii="Times" w:hAnsi="Times"/>
        </w:rPr>
      </w:pPr>
      <w:r w:rsidRPr="00A63514">
        <w:rPr>
          <w:rFonts w:ascii="Times" w:hAnsi="Times"/>
        </w:rPr>
        <w:t xml:space="preserve">Le Fonds Prignon (Centre Lumen Gentium, Université catholique de Louvain, Louvain-la-Neuve) recèle quatre documents </w:t>
      </w:r>
      <w:r w:rsidR="00BF00C8" w:rsidRPr="00A63514">
        <w:rPr>
          <w:rFonts w:ascii="Times" w:hAnsi="Times"/>
        </w:rPr>
        <w:t>qui vont nous éclairer sur le</w:t>
      </w:r>
      <w:r w:rsidRPr="00A63514">
        <w:rPr>
          <w:rFonts w:ascii="Times" w:hAnsi="Times"/>
        </w:rPr>
        <w:t xml:space="preserve"> sens de l’Église-sacrement : n° 362-365.</w:t>
      </w:r>
    </w:p>
    <w:p w14:paraId="4F33423B" w14:textId="10BD57EB" w:rsidR="007E7552" w:rsidRPr="00A63514" w:rsidRDefault="007E7552" w:rsidP="00A63514">
      <w:pPr>
        <w:spacing w:line="480" w:lineRule="auto"/>
        <w:ind w:firstLine="284"/>
        <w:jc w:val="both"/>
        <w:rPr>
          <w:rFonts w:ascii="Times" w:hAnsi="Times"/>
        </w:rPr>
      </w:pPr>
      <w:r w:rsidRPr="00A63514">
        <w:rPr>
          <w:rFonts w:ascii="Times" w:hAnsi="Times"/>
        </w:rPr>
        <w:t xml:space="preserve">Le n° 362 est une « relatio » de la sous-commission 1, rédigée par Béda Rigaux. Elle se veut objective : elle rend compte des amendements et remarques des Pères sur le chap. I du </w:t>
      </w:r>
      <w:r w:rsidRPr="00A63514">
        <w:rPr>
          <w:rFonts w:ascii="Times" w:hAnsi="Times"/>
          <w:i/>
        </w:rPr>
        <w:t>De Ecclesia</w:t>
      </w:r>
      <w:r w:rsidRPr="00A63514">
        <w:rPr>
          <w:rFonts w:ascii="Times" w:hAnsi="Times"/>
        </w:rPr>
        <w:t>.</w:t>
      </w:r>
      <w:r w:rsidR="0086771F" w:rsidRPr="00A63514">
        <w:rPr>
          <w:rFonts w:ascii="Times" w:hAnsi="Times"/>
        </w:rPr>
        <w:t xml:space="preserve"> Les défenseurs de la qualification de l’Église comme sacrement</w:t>
      </w:r>
      <w:r w:rsidR="00B026EA" w:rsidRPr="00A63514">
        <w:rPr>
          <w:rFonts w:ascii="Times" w:hAnsi="Times"/>
        </w:rPr>
        <w:t xml:space="preserve"> estiment que l’unité du mystère sacramentaire est ainsi mieux exprimée que par le septénaire ; cette qualification embrasse les aspects visibles et invisibles de l’Église.</w:t>
      </w:r>
      <w:r w:rsidR="001A173A" w:rsidRPr="00A63514">
        <w:rPr>
          <w:rFonts w:ascii="Times" w:hAnsi="Times"/>
        </w:rPr>
        <w:t xml:space="preserve"> Pour ses opposants, le mot induit une confusion avec les sept sacrements.</w:t>
      </w:r>
      <w:r w:rsidR="00D50EB8" w:rsidRPr="00A63514">
        <w:rPr>
          <w:rFonts w:ascii="Times" w:hAnsi="Times"/>
        </w:rPr>
        <w:t xml:space="preserve"> Le réquisitoire de </w:t>
      </w:r>
      <w:r w:rsidR="008C686C" w:rsidRPr="00A63514">
        <w:rPr>
          <w:rFonts w:ascii="Times" w:hAnsi="Times"/>
        </w:rPr>
        <w:t>Joseph Fenton va dans ce sens (n° 363).</w:t>
      </w:r>
      <w:r w:rsidR="00AD2157" w:rsidRPr="00A63514">
        <w:rPr>
          <w:rFonts w:ascii="Times" w:hAnsi="Times"/>
        </w:rPr>
        <w:t xml:space="preserve"> Au contraire, Giorgio</w:t>
      </w:r>
      <w:r w:rsidR="00AF6694" w:rsidRPr="00A63514">
        <w:rPr>
          <w:rFonts w:ascii="Times" w:hAnsi="Times"/>
        </w:rPr>
        <w:t xml:space="preserve"> Castellino tient que sacrement peut être appliqué à l’Église dans un sens analogique</w:t>
      </w:r>
      <w:r w:rsidR="00E116FD" w:rsidRPr="00A63514">
        <w:rPr>
          <w:rFonts w:ascii="Times" w:hAnsi="Times"/>
        </w:rPr>
        <w:t xml:space="preserve"> (n° 364).</w:t>
      </w:r>
    </w:p>
    <w:p w14:paraId="283AFFFD" w14:textId="068C7D5E" w:rsidR="00E116FD" w:rsidRPr="00A63514" w:rsidRDefault="00E116FD" w:rsidP="00A63514">
      <w:pPr>
        <w:spacing w:line="480" w:lineRule="auto"/>
        <w:ind w:firstLine="284"/>
        <w:jc w:val="both"/>
        <w:rPr>
          <w:rFonts w:ascii="Times" w:hAnsi="Times"/>
        </w:rPr>
      </w:pPr>
      <w:r w:rsidRPr="00A63514">
        <w:rPr>
          <w:rFonts w:ascii="Times" w:hAnsi="Times"/>
        </w:rPr>
        <w:t>Quelles sont les décisions de la Commission doctrinale (n° 365)</w:t>
      </w:r>
      <w:r w:rsidR="00F1323D" w:rsidRPr="00A63514">
        <w:rPr>
          <w:rFonts w:ascii="Times" w:hAnsi="Times"/>
        </w:rPr>
        <w:t>, datées du 20 novembre 1963</w:t>
      </w:r>
      <w:r w:rsidRPr="00A63514">
        <w:rPr>
          <w:rFonts w:ascii="Times" w:hAnsi="Times"/>
        </w:rPr>
        <w:t> ?</w:t>
      </w:r>
    </w:p>
    <w:p w14:paraId="381EFB7C" w14:textId="23ABC891" w:rsidR="00B62F06" w:rsidRPr="00A63514" w:rsidRDefault="00B62F06" w:rsidP="00A63514">
      <w:pPr>
        <w:spacing w:line="480" w:lineRule="auto"/>
        <w:ind w:firstLine="284"/>
        <w:jc w:val="both"/>
        <w:rPr>
          <w:rFonts w:ascii="Times" w:hAnsi="Times"/>
        </w:rPr>
      </w:pPr>
      <w:r w:rsidRPr="00A63514">
        <w:rPr>
          <w:rFonts w:ascii="Times" w:hAnsi="Times"/>
        </w:rPr>
        <w:t xml:space="preserve">À propos de l’Église comme sacrement (cf. n° 362, </w:t>
      </w:r>
      <w:r w:rsidRPr="00A63514">
        <w:rPr>
          <w:rFonts w:ascii="Times" w:hAnsi="Times"/>
          <w:i/>
        </w:rPr>
        <w:t>Relatio Rigaux</w:t>
      </w:r>
      <w:r w:rsidRPr="00A63514">
        <w:rPr>
          <w:rFonts w:ascii="Times" w:hAnsi="Times"/>
        </w:rPr>
        <w:t xml:space="preserve">, p. 6-8, et n° 363, </w:t>
      </w:r>
      <w:r w:rsidRPr="00A63514">
        <w:rPr>
          <w:rFonts w:ascii="Times" w:hAnsi="Times"/>
          <w:i/>
        </w:rPr>
        <w:t>Note Fenton</w:t>
      </w:r>
      <w:r w:rsidRPr="00A63514">
        <w:rPr>
          <w:rFonts w:ascii="Times" w:hAnsi="Times"/>
        </w:rPr>
        <w:t xml:space="preserve">), </w:t>
      </w:r>
      <w:r w:rsidR="000935BC" w:rsidRPr="00A63514">
        <w:rPr>
          <w:rFonts w:ascii="Times" w:hAnsi="Times"/>
        </w:rPr>
        <w:t xml:space="preserve">une </w:t>
      </w:r>
      <w:r w:rsidRPr="00A63514">
        <w:rPr>
          <w:rFonts w:ascii="Times" w:hAnsi="Times"/>
        </w:rPr>
        <w:t xml:space="preserve">objection </w:t>
      </w:r>
      <w:r w:rsidR="004D6769" w:rsidRPr="00A63514">
        <w:rPr>
          <w:rFonts w:ascii="Times" w:hAnsi="Times"/>
        </w:rPr>
        <w:t>considère que l’expression, dans les régions de langue anglaise, peut susciter une confusion, et elle a été employée par le moderniste Tyrrell.</w:t>
      </w:r>
    </w:p>
    <w:p w14:paraId="2484F034" w14:textId="7D7B8ACD" w:rsidR="00BF5E7D" w:rsidRPr="00A63514" w:rsidRDefault="00BF5E7D" w:rsidP="00A63514">
      <w:pPr>
        <w:spacing w:line="480" w:lineRule="auto"/>
        <w:ind w:firstLine="284"/>
        <w:jc w:val="both"/>
        <w:rPr>
          <w:rFonts w:ascii="Times" w:hAnsi="Times"/>
        </w:rPr>
      </w:pPr>
      <w:r w:rsidRPr="00A63514">
        <w:rPr>
          <w:rFonts w:ascii="Times" w:hAnsi="Times"/>
        </w:rPr>
        <w:t>De très nombreux Pères, c’est-à-dire 6 qui parlent au nom de 150 autres, estiment que le mot doit être tout à fait retenu, parce qu’il est traditionnel et exprime une doctrine convenable et riche. Peu, soit 3, s’opposent, parce qu’ils craignent une confusion avec le sacrement au sens strict. Cette confusion cependant est évitée grâce à l’explication ajoutée dans le texte. Certains parlent de « res et sacramentum ». Cette considération, tirée de la théologie des sept sacrements, conduirait ici à des explications compliquées.</w:t>
      </w:r>
    </w:p>
    <w:p w14:paraId="188B27DC" w14:textId="6DAB13F5" w:rsidR="00D66756" w:rsidRPr="00A63514" w:rsidRDefault="00D66756" w:rsidP="00A63514">
      <w:pPr>
        <w:spacing w:line="480" w:lineRule="auto"/>
        <w:ind w:firstLine="284"/>
        <w:jc w:val="both"/>
        <w:rPr>
          <w:rFonts w:ascii="Times" w:hAnsi="Times"/>
        </w:rPr>
      </w:pPr>
      <w:r w:rsidRPr="00A63514">
        <w:rPr>
          <w:rFonts w:ascii="Times" w:hAnsi="Times"/>
        </w:rPr>
        <w:t>Est admise l’inversion entre</w:t>
      </w:r>
      <w:r w:rsidR="009C0E3F" w:rsidRPr="00A63514">
        <w:rPr>
          <w:rFonts w:ascii="Times" w:hAnsi="Times"/>
        </w:rPr>
        <w:t xml:space="preserve"> « cum Deo unionis » et « generis humani unitatis », selon la proposition de Camara avec 153 évêques, de Henriquez avec 44 évêques, </w:t>
      </w:r>
      <w:r w:rsidR="00F816E1" w:rsidRPr="00A63514">
        <w:rPr>
          <w:rFonts w:ascii="Times" w:hAnsi="Times"/>
        </w:rPr>
        <w:t xml:space="preserve">de </w:t>
      </w:r>
      <w:r w:rsidR="009C0E3F" w:rsidRPr="00A63514">
        <w:rPr>
          <w:rFonts w:ascii="Times" w:hAnsi="Times"/>
        </w:rPr>
        <w:t>Gracias</w:t>
      </w:r>
      <w:r w:rsidR="00F816E1" w:rsidRPr="00A63514">
        <w:rPr>
          <w:rFonts w:ascii="Times" w:hAnsi="Times"/>
        </w:rPr>
        <w:t>, et d</w:t>
      </w:r>
      <w:r w:rsidR="000B7490" w:rsidRPr="00A63514">
        <w:rPr>
          <w:rFonts w:ascii="Times" w:hAnsi="Times"/>
        </w:rPr>
        <w:t>es évêques de la région de Marseille</w:t>
      </w:r>
      <w:r w:rsidR="009C7E60" w:rsidRPr="00A63514">
        <w:rPr>
          <w:rFonts w:ascii="Times" w:hAnsi="Times"/>
        </w:rPr>
        <w:t>, pour signifier que l’unité du genre humain a pour source l’union avec Dieu.</w:t>
      </w:r>
    </w:p>
    <w:p w14:paraId="28942DC3" w14:textId="3098E9D6" w:rsidR="00710C79" w:rsidRPr="00A63514" w:rsidRDefault="00710C79" w:rsidP="00A63514">
      <w:pPr>
        <w:spacing w:line="480" w:lineRule="auto"/>
        <w:ind w:firstLine="284"/>
        <w:jc w:val="both"/>
        <w:rPr>
          <w:rFonts w:ascii="Times" w:hAnsi="Times"/>
        </w:rPr>
      </w:pPr>
      <w:r w:rsidRPr="00A63514">
        <w:rPr>
          <w:rFonts w:ascii="Times" w:hAnsi="Times"/>
        </w:rPr>
        <w:t>Ces informations fournies par l’histoire de la rédaction de LG 1 manifestent bien la nature des réticences à la qualification de l’Église comme sacrement</w:t>
      </w:r>
      <w:r w:rsidR="009C7E60" w:rsidRPr="00A63514">
        <w:rPr>
          <w:rFonts w:ascii="Times" w:hAnsi="Times"/>
        </w:rPr>
        <w:t xml:space="preserve"> : essentiellement la crainte d’une confusion avec la notion de sacrement au sens strict, comme dans les sept sacrements, ainsi qu’un relent moderniste dans le monde anglophone. La plupart des Pères, cependant, estiment que cette qualification est tout à fait traditionnelle et comporte une doctrine très </w:t>
      </w:r>
      <w:r w:rsidR="003C6A50" w:rsidRPr="00A63514">
        <w:rPr>
          <w:rFonts w:ascii="Times" w:hAnsi="Times"/>
        </w:rPr>
        <w:t xml:space="preserve">riche (voir 1 Tim 3, 14-16 : </w:t>
      </w:r>
      <w:r w:rsidR="003C6A50" w:rsidRPr="00A63514">
        <w:rPr>
          <w:rFonts w:ascii="Times" w:hAnsi="Times"/>
          <w:i/>
        </w:rPr>
        <w:t>magnum est pietatis sacramentum</w:t>
      </w:r>
      <w:r w:rsidR="00037DF0" w:rsidRPr="00A63514">
        <w:rPr>
          <w:rFonts w:ascii="Times" w:hAnsi="Times"/>
          <w:i/>
        </w:rPr>
        <w:t> </w:t>
      </w:r>
      <w:r w:rsidR="00037DF0" w:rsidRPr="00A63514">
        <w:rPr>
          <w:rFonts w:ascii="Times" w:hAnsi="Times"/>
        </w:rPr>
        <w:t>;</w:t>
      </w:r>
      <w:r w:rsidR="003C6A50" w:rsidRPr="00A63514">
        <w:rPr>
          <w:rFonts w:ascii="Times" w:hAnsi="Times"/>
        </w:rPr>
        <w:t xml:space="preserve"> cf. Fonds Prignon, n° 364, </w:t>
      </w:r>
      <w:r w:rsidR="003C6A50" w:rsidRPr="00A63514">
        <w:rPr>
          <w:rFonts w:ascii="Times" w:hAnsi="Times"/>
          <w:i/>
        </w:rPr>
        <w:t xml:space="preserve">Note </w:t>
      </w:r>
      <w:r w:rsidR="00672EF0" w:rsidRPr="00A63514">
        <w:rPr>
          <w:rFonts w:ascii="Times" w:hAnsi="Times"/>
          <w:i/>
        </w:rPr>
        <w:t>de</w:t>
      </w:r>
      <w:r w:rsidR="003C6A50" w:rsidRPr="00A63514">
        <w:rPr>
          <w:rFonts w:ascii="Times" w:hAnsi="Times"/>
          <w:i/>
        </w:rPr>
        <w:t xml:space="preserve"> G. Castellino</w:t>
      </w:r>
      <w:r w:rsidR="00037DF0" w:rsidRPr="00A63514">
        <w:rPr>
          <w:rFonts w:ascii="Times" w:hAnsi="Times"/>
        </w:rPr>
        <w:t> : le passage se fait insensiblement de l’Église au Christ, qui par l’Église est manifesté, et pour cette raison l’Église est appelée « grand sacrement de piété »</w:t>
      </w:r>
      <w:r w:rsidR="006F5CBE" w:rsidRPr="00CD4269">
        <w:rPr>
          <w:rStyle w:val="Appelnotedebasdep"/>
        </w:rPr>
        <w:footnoteReference w:id="22"/>
      </w:r>
      <w:r w:rsidR="00037DF0" w:rsidRPr="00A63514">
        <w:rPr>
          <w:rFonts w:ascii="Times" w:hAnsi="Times"/>
        </w:rPr>
        <w:t xml:space="preserve"> </w:t>
      </w:r>
      <w:r w:rsidR="003C6A50" w:rsidRPr="00A63514">
        <w:rPr>
          <w:rFonts w:ascii="Times" w:hAnsi="Times"/>
        </w:rPr>
        <w:t>).</w:t>
      </w:r>
    </w:p>
    <w:p w14:paraId="1C5EDA64" w14:textId="57FED493" w:rsidR="00047CB0" w:rsidRPr="00A63514" w:rsidRDefault="000F4647" w:rsidP="00A63514">
      <w:pPr>
        <w:spacing w:line="480" w:lineRule="auto"/>
        <w:ind w:firstLine="284"/>
        <w:jc w:val="both"/>
        <w:rPr>
          <w:rFonts w:ascii="Times" w:hAnsi="Times"/>
        </w:rPr>
      </w:pPr>
      <w:r w:rsidRPr="00A63514">
        <w:rPr>
          <w:rFonts w:ascii="Times" w:hAnsi="Times"/>
        </w:rPr>
        <w:t>Un bref regard sur quelques antécédents historiques confirmer</w:t>
      </w:r>
      <w:r w:rsidR="00047CB0" w:rsidRPr="00A63514">
        <w:rPr>
          <w:rFonts w:ascii="Times" w:hAnsi="Times"/>
        </w:rPr>
        <w:t>a</w:t>
      </w:r>
      <w:r w:rsidRPr="00A63514">
        <w:rPr>
          <w:rFonts w:ascii="Times" w:hAnsi="Times"/>
        </w:rPr>
        <w:t xml:space="preserve"> le caractère traditionnel de cette qualification ecclésiologique, mais avec une certaine pluralité sémantique.</w:t>
      </w:r>
      <w:r w:rsidR="00047CB0" w:rsidRPr="00A63514">
        <w:rPr>
          <w:rFonts w:ascii="Times" w:hAnsi="Times"/>
        </w:rPr>
        <w:t xml:space="preserve"> </w:t>
      </w:r>
    </w:p>
    <w:p w14:paraId="7DECE758" w14:textId="77777777" w:rsidR="00047CB0" w:rsidRPr="00A63514" w:rsidRDefault="00047CB0" w:rsidP="00A63514">
      <w:pPr>
        <w:spacing w:line="480" w:lineRule="auto"/>
        <w:ind w:firstLine="284"/>
        <w:jc w:val="both"/>
        <w:rPr>
          <w:rFonts w:ascii="Times" w:hAnsi="Times"/>
        </w:rPr>
      </w:pPr>
    </w:p>
    <w:p w14:paraId="047423F1" w14:textId="3B6C102D" w:rsidR="00047CB0" w:rsidRPr="00A63514" w:rsidRDefault="00B86417" w:rsidP="00A63514">
      <w:pPr>
        <w:spacing w:line="480" w:lineRule="auto"/>
        <w:jc w:val="both"/>
        <w:rPr>
          <w:rFonts w:ascii="Times" w:hAnsi="Times"/>
        </w:rPr>
      </w:pPr>
      <w:r w:rsidRPr="00A63514">
        <w:rPr>
          <w:rFonts w:ascii="Times" w:hAnsi="Times"/>
        </w:rPr>
        <w:t>2</w:t>
      </w:r>
      <w:r w:rsidR="00047CB0" w:rsidRPr="00A63514">
        <w:rPr>
          <w:rFonts w:ascii="Times" w:hAnsi="Times"/>
        </w:rPr>
        <w:t xml:space="preserve">. </w:t>
      </w:r>
      <w:r w:rsidRPr="00A63514">
        <w:rPr>
          <w:rFonts w:ascii="Times" w:hAnsi="Times"/>
          <w:i/>
        </w:rPr>
        <w:t>Antécédents historiques de l’expression</w:t>
      </w:r>
    </w:p>
    <w:p w14:paraId="76938986" w14:textId="00B11ECF" w:rsidR="00047CB0" w:rsidRPr="00A63514" w:rsidRDefault="001E4CBD" w:rsidP="00A63514">
      <w:pPr>
        <w:spacing w:line="480" w:lineRule="auto"/>
        <w:ind w:firstLine="284"/>
        <w:jc w:val="both"/>
        <w:rPr>
          <w:rFonts w:ascii="Times" w:hAnsi="Times"/>
        </w:rPr>
      </w:pPr>
      <w:r w:rsidRPr="00A63514">
        <w:rPr>
          <w:rFonts w:ascii="Times" w:hAnsi="Times"/>
        </w:rPr>
        <w:t xml:space="preserve">On proposera ici juste </w:t>
      </w:r>
      <w:r w:rsidR="007767B0" w:rsidRPr="00A63514">
        <w:rPr>
          <w:rFonts w:ascii="Times" w:hAnsi="Times"/>
        </w:rPr>
        <w:t>un bref historique</w:t>
      </w:r>
      <w:r w:rsidR="007767B0" w:rsidRPr="00CD4269">
        <w:rPr>
          <w:rStyle w:val="Appelnotedebasdep"/>
        </w:rPr>
        <w:footnoteReference w:id="23"/>
      </w:r>
      <w:r w:rsidR="007767B0" w:rsidRPr="00A63514">
        <w:rPr>
          <w:rFonts w:ascii="Times" w:hAnsi="Times"/>
        </w:rPr>
        <w:t>,</w:t>
      </w:r>
      <w:r w:rsidRPr="00A63514">
        <w:rPr>
          <w:rFonts w:ascii="Times" w:hAnsi="Times"/>
        </w:rPr>
        <w:t xml:space="preserve"> permettant de confirmer la signification de l’Église comme sacrement</w:t>
      </w:r>
      <w:r w:rsidR="007767B0" w:rsidRPr="00A63514">
        <w:rPr>
          <w:rFonts w:ascii="Times" w:hAnsi="Times"/>
        </w:rPr>
        <w:t>.</w:t>
      </w:r>
    </w:p>
    <w:p w14:paraId="44FB7CE8" w14:textId="59ABEBAB" w:rsidR="00AB1F61" w:rsidRPr="00A63514" w:rsidRDefault="007767B0" w:rsidP="00A63514">
      <w:pPr>
        <w:spacing w:line="480" w:lineRule="auto"/>
        <w:ind w:firstLine="284"/>
        <w:jc w:val="both"/>
        <w:rPr>
          <w:rFonts w:ascii="Times" w:hAnsi="Times"/>
        </w:rPr>
      </w:pPr>
      <w:r w:rsidRPr="00A63514">
        <w:rPr>
          <w:rFonts w:ascii="Times" w:hAnsi="Times"/>
        </w:rPr>
        <w:t xml:space="preserve">C’est vers la moitié du </w:t>
      </w:r>
      <w:r w:rsidRPr="00A63514">
        <w:rPr>
          <w:rFonts w:ascii="Times" w:hAnsi="Times"/>
          <w:smallCaps/>
        </w:rPr>
        <w:t>xix</w:t>
      </w:r>
      <w:r w:rsidRPr="00A63514">
        <w:rPr>
          <w:rFonts w:ascii="Times" w:hAnsi="Times"/>
          <w:vertAlign w:val="superscript"/>
        </w:rPr>
        <w:t>e</w:t>
      </w:r>
      <w:r w:rsidRPr="00A63514">
        <w:rPr>
          <w:rFonts w:ascii="Times" w:hAnsi="Times"/>
        </w:rPr>
        <w:t xml:space="preserve"> siècle seulement que la théologie catholique a découvert progressivement le thème de la sacramentalité de l’Église pour l’approfondir et </w:t>
      </w:r>
      <w:r w:rsidR="00423E26" w:rsidRPr="00A63514">
        <w:rPr>
          <w:rFonts w:ascii="Times" w:hAnsi="Times"/>
        </w:rPr>
        <w:t>le développer dans les quatre-vingts dernières années</w:t>
      </w:r>
      <w:r w:rsidR="00414575" w:rsidRPr="00A63514">
        <w:rPr>
          <w:rFonts w:ascii="Times" w:hAnsi="Times"/>
        </w:rPr>
        <w:t>, un thème assez récent et ouvert à une exploitation nouvelle</w:t>
      </w:r>
      <w:r w:rsidR="00D94E1E" w:rsidRPr="00CD4269">
        <w:rPr>
          <w:rStyle w:val="Appelnotedebasdep"/>
        </w:rPr>
        <w:footnoteReference w:id="24"/>
      </w:r>
      <w:r w:rsidR="0024182D" w:rsidRPr="00A63514">
        <w:rPr>
          <w:rFonts w:ascii="Times" w:hAnsi="Times"/>
        </w:rPr>
        <w:t>.</w:t>
      </w:r>
    </w:p>
    <w:p w14:paraId="7A35A8FE" w14:textId="29E70C75" w:rsidR="00222170" w:rsidRPr="00A63514" w:rsidRDefault="00222170" w:rsidP="00A63514">
      <w:pPr>
        <w:spacing w:line="480" w:lineRule="auto"/>
        <w:ind w:firstLine="284"/>
        <w:jc w:val="both"/>
        <w:rPr>
          <w:rFonts w:ascii="Times" w:hAnsi="Times"/>
        </w:rPr>
      </w:pPr>
      <w:r w:rsidRPr="00A63514">
        <w:rPr>
          <w:rFonts w:ascii="Times" w:hAnsi="Times"/>
        </w:rPr>
        <w:t xml:space="preserve">Avec J.A. Möhler, l’école de Tübingen comprenait l’Église comme continuation parmi les hommes de la </w:t>
      </w:r>
      <w:r w:rsidRPr="00A63514">
        <w:rPr>
          <w:rFonts w:ascii="Times" w:hAnsi="Times"/>
          <w:i/>
        </w:rPr>
        <w:t>révélation</w:t>
      </w:r>
      <w:r w:rsidRPr="00A63514">
        <w:rPr>
          <w:rFonts w:ascii="Times" w:hAnsi="Times"/>
        </w:rPr>
        <w:t xml:space="preserve"> des fils de Dieu (l’Église est, après le Christ, le second grand mystère de Dieu) : sans pouvoir remplacer le Christ, elle transmet de manière sacramentelle le salut donné par Dieu lui-même</w:t>
      </w:r>
      <w:r w:rsidR="00206DCC" w:rsidRPr="00CD4269">
        <w:rPr>
          <w:rStyle w:val="Appelnotedebasdep"/>
        </w:rPr>
        <w:footnoteReference w:id="25"/>
      </w:r>
      <w:r w:rsidR="00206DCC" w:rsidRPr="00A63514">
        <w:rPr>
          <w:rFonts w:ascii="Times" w:hAnsi="Times"/>
        </w:rPr>
        <w:t>.</w:t>
      </w:r>
      <w:r w:rsidR="00874C3A" w:rsidRPr="00A63514">
        <w:rPr>
          <w:rFonts w:ascii="Times" w:hAnsi="Times"/>
        </w:rPr>
        <w:t xml:space="preserve"> </w:t>
      </w:r>
      <w:r w:rsidR="00C418DA" w:rsidRPr="00A63514">
        <w:rPr>
          <w:rFonts w:ascii="Times" w:hAnsi="Times"/>
        </w:rPr>
        <w:t>La perspective est ici plus spécifiquement de révélation et de signification.</w:t>
      </w:r>
    </w:p>
    <w:p w14:paraId="7158D5DD" w14:textId="72DEE259" w:rsidR="0055618F" w:rsidRPr="00A63514" w:rsidRDefault="0055618F" w:rsidP="00A63514">
      <w:pPr>
        <w:spacing w:line="480" w:lineRule="auto"/>
        <w:ind w:firstLine="284"/>
        <w:jc w:val="both"/>
        <w:rPr>
          <w:rFonts w:ascii="Times" w:hAnsi="Times"/>
        </w:rPr>
      </w:pPr>
      <w:r w:rsidRPr="00A63514">
        <w:rPr>
          <w:rFonts w:ascii="Times" w:hAnsi="Times"/>
        </w:rPr>
        <w:t xml:space="preserve">La même idée sacramentelle de l’Église apparaissait aussi au milieu du </w:t>
      </w:r>
      <w:r w:rsidRPr="00A63514">
        <w:rPr>
          <w:rFonts w:ascii="Times" w:hAnsi="Times"/>
          <w:smallCaps/>
        </w:rPr>
        <w:t>xix</w:t>
      </w:r>
      <w:r w:rsidRPr="00A63514">
        <w:rPr>
          <w:rFonts w:ascii="Times" w:hAnsi="Times"/>
          <w:vertAlign w:val="superscript"/>
        </w:rPr>
        <w:t>e</w:t>
      </w:r>
      <w:r w:rsidRPr="00A63514">
        <w:rPr>
          <w:rFonts w:ascii="Times" w:hAnsi="Times"/>
        </w:rPr>
        <w:t xml:space="preserve"> siècle dans la théologie néoscolastique : l’Église perpétue sur terre en particulier la nature humaine du Christ, dont elle accomplit à présent la tâche en coopération avec le Christ ressuscité présent en elle, la </w:t>
      </w:r>
      <w:r w:rsidRPr="00A63514">
        <w:rPr>
          <w:rFonts w:ascii="Times" w:hAnsi="Times"/>
          <w:i/>
        </w:rPr>
        <w:t>nature humaine</w:t>
      </w:r>
      <w:r w:rsidRPr="00A63514">
        <w:rPr>
          <w:rFonts w:ascii="Times" w:hAnsi="Times"/>
        </w:rPr>
        <w:t xml:space="preserve"> du Christ opérant le salut comme « instrumentum proprium et coniunctum » lié à la divinité</w:t>
      </w:r>
      <w:r w:rsidRPr="00CD4269">
        <w:rPr>
          <w:rStyle w:val="Appelnotedebasdep"/>
        </w:rPr>
        <w:footnoteReference w:id="26"/>
      </w:r>
      <w:r w:rsidR="001D659D" w:rsidRPr="00A63514">
        <w:rPr>
          <w:rFonts w:ascii="Times" w:hAnsi="Times"/>
        </w:rPr>
        <w:t> ; pour cette raison, l’Église doit être comprise comme sacramentelle, « liaison réelle entre le surnaturel et le corporel naturel</w:t>
      </w:r>
      <w:r w:rsidR="001918E5" w:rsidRPr="00A63514">
        <w:rPr>
          <w:rFonts w:ascii="Times" w:hAnsi="Times"/>
        </w:rPr>
        <w:t> »</w:t>
      </w:r>
      <w:r w:rsidR="001918E5" w:rsidRPr="00CD4269">
        <w:rPr>
          <w:rStyle w:val="Appelnotedebasdep"/>
        </w:rPr>
        <w:footnoteReference w:id="27"/>
      </w:r>
      <w:r w:rsidR="00C418DA" w:rsidRPr="00A63514">
        <w:rPr>
          <w:rFonts w:ascii="Times" w:hAnsi="Times"/>
        </w:rPr>
        <w:t>. La perspective est ici plutôt d’incarnation continuée</w:t>
      </w:r>
      <w:r w:rsidR="002F2FB8" w:rsidRPr="00A63514">
        <w:rPr>
          <w:rFonts w:ascii="Times" w:hAnsi="Times"/>
        </w:rPr>
        <w:t>, de liaison effective de la nature humai</w:t>
      </w:r>
      <w:r w:rsidR="007F5BF6" w:rsidRPr="00A63514">
        <w:rPr>
          <w:rFonts w:ascii="Times" w:hAnsi="Times"/>
        </w:rPr>
        <w:t>ne à la divinité du Christ. Un l</w:t>
      </w:r>
      <w:r w:rsidR="002F2FB8" w:rsidRPr="00A63514">
        <w:rPr>
          <w:rFonts w:ascii="Times" w:hAnsi="Times"/>
        </w:rPr>
        <w:t>uthérien trouvera sans doute qu’il y a un risque d’estomper la distinction entre le Christ et l’Église.</w:t>
      </w:r>
    </w:p>
    <w:p w14:paraId="6295F0A1" w14:textId="66A5BC8A" w:rsidR="005A4352" w:rsidRPr="00A63514" w:rsidRDefault="005A4352" w:rsidP="00A63514">
      <w:pPr>
        <w:spacing w:line="480" w:lineRule="auto"/>
        <w:ind w:firstLine="284"/>
        <w:jc w:val="both"/>
        <w:rPr>
          <w:rFonts w:ascii="Times" w:hAnsi="Times"/>
        </w:rPr>
      </w:pPr>
      <w:r w:rsidRPr="00A63514">
        <w:rPr>
          <w:rFonts w:ascii="Times" w:hAnsi="Times"/>
        </w:rPr>
        <w:t>Telles sont donc les deux grandes</w:t>
      </w:r>
      <w:r w:rsidR="006E1601" w:rsidRPr="00A63514">
        <w:rPr>
          <w:rFonts w:ascii="Times" w:hAnsi="Times"/>
        </w:rPr>
        <w:t xml:space="preserve"> lignes de conception de l’Église comme sacrement : révélation continuée ou incarnation continuée. C’est cette seconde ligne qui sera d’abord reprise au </w:t>
      </w:r>
      <w:r w:rsidR="006E1601" w:rsidRPr="00A63514">
        <w:rPr>
          <w:rFonts w:ascii="Times" w:hAnsi="Times"/>
          <w:smallCaps/>
        </w:rPr>
        <w:t>xx</w:t>
      </w:r>
      <w:r w:rsidR="006E1601" w:rsidRPr="00A63514">
        <w:rPr>
          <w:rFonts w:ascii="Times" w:hAnsi="Times"/>
          <w:vertAlign w:val="superscript"/>
        </w:rPr>
        <w:t>e</w:t>
      </w:r>
      <w:r w:rsidR="00D96CAE" w:rsidRPr="00A63514">
        <w:rPr>
          <w:rFonts w:ascii="Times" w:hAnsi="Times"/>
        </w:rPr>
        <w:t xml:space="preserve"> siècle par Carl</w:t>
      </w:r>
      <w:r w:rsidR="006E1601" w:rsidRPr="00A63514">
        <w:rPr>
          <w:rFonts w:ascii="Times" w:hAnsi="Times"/>
        </w:rPr>
        <w:t xml:space="preserve"> Feckes, successeur de Scheeben à Paderborn</w:t>
      </w:r>
      <w:r w:rsidR="007E66CF" w:rsidRPr="00A63514">
        <w:rPr>
          <w:rFonts w:ascii="Times" w:hAnsi="Times"/>
        </w:rPr>
        <w:t> : l’Église, à la fois instrument du seul médiateur Jésus-Christ et corps mystique du Christ-Tête, « sacrement fondamental » en tant qu’« incarnation prolongée » du Fils de Dieu</w:t>
      </w:r>
      <w:r w:rsidR="00BF436C" w:rsidRPr="00A63514">
        <w:rPr>
          <w:rFonts w:ascii="Times" w:hAnsi="Times"/>
        </w:rPr>
        <w:t xml:space="preserve">, </w:t>
      </w:r>
      <w:r w:rsidR="003E3B32" w:rsidRPr="00A63514">
        <w:rPr>
          <w:rFonts w:ascii="Times" w:hAnsi="Times"/>
        </w:rPr>
        <w:t>Église « sacramentelle de prêtres » et quasiment identifiée à sa « structure hiérarchique »</w:t>
      </w:r>
      <w:r w:rsidR="003E3B32" w:rsidRPr="00CD4269">
        <w:rPr>
          <w:rStyle w:val="Appelnotedebasdep"/>
        </w:rPr>
        <w:footnoteReference w:id="28"/>
      </w:r>
      <w:r w:rsidR="00161FE1" w:rsidRPr="00A63514">
        <w:rPr>
          <w:rFonts w:ascii="Times" w:hAnsi="Times"/>
        </w:rPr>
        <w:t>. On reconnaît aussi la position d’Yves Congar dès 1937</w:t>
      </w:r>
      <w:r w:rsidR="00737D8C" w:rsidRPr="00CD4269">
        <w:rPr>
          <w:rStyle w:val="Appelnotedebasdep"/>
        </w:rPr>
        <w:footnoteReference w:id="29"/>
      </w:r>
      <w:r w:rsidR="00161FE1" w:rsidRPr="00A63514">
        <w:rPr>
          <w:rFonts w:ascii="Times" w:hAnsi="Times"/>
        </w:rPr>
        <w:t>, et l’année suivante, celle de Henri de Lubac</w:t>
      </w:r>
      <w:r w:rsidR="008F6F59" w:rsidRPr="00CD4269">
        <w:rPr>
          <w:rStyle w:val="Appelnotedebasdep"/>
        </w:rPr>
        <w:footnoteReference w:id="30"/>
      </w:r>
      <w:r w:rsidR="00161FE1" w:rsidRPr="00A63514">
        <w:rPr>
          <w:rFonts w:ascii="Times" w:hAnsi="Times"/>
        </w:rPr>
        <w:t>.</w:t>
      </w:r>
      <w:r w:rsidR="00F106A6" w:rsidRPr="00A63514">
        <w:rPr>
          <w:rFonts w:ascii="Times" w:hAnsi="Times"/>
        </w:rPr>
        <w:t xml:space="preserve"> Ce courant théologique, qui reprend, tout en la renouvelant et l’élargissant, la néo-scolastique du </w:t>
      </w:r>
      <w:r w:rsidR="00F106A6" w:rsidRPr="00A63514">
        <w:rPr>
          <w:rFonts w:ascii="Times" w:hAnsi="Times"/>
          <w:smallCaps/>
        </w:rPr>
        <w:t>xix</w:t>
      </w:r>
      <w:r w:rsidR="00F106A6" w:rsidRPr="00A63514">
        <w:rPr>
          <w:rFonts w:ascii="Times" w:hAnsi="Times"/>
          <w:vertAlign w:val="superscript"/>
        </w:rPr>
        <w:t>e</w:t>
      </w:r>
      <w:r w:rsidR="00F106A6" w:rsidRPr="00A63514">
        <w:rPr>
          <w:rFonts w:ascii="Times" w:hAnsi="Times"/>
        </w:rPr>
        <w:t xml:space="preserve"> siècle, trouvera son aboutissement provisoire, avant le concile Vatican II, dans l’œuvre de Otto Semmelroth. Celui-ci se réfère à l’encyclique </w:t>
      </w:r>
      <w:r w:rsidR="00F106A6" w:rsidRPr="00A63514">
        <w:rPr>
          <w:rFonts w:ascii="Times" w:hAnsi="Times"/>
          <w:i/>
        </w:rPr>
        <w:t>Mystici Corporis</w:t>
      </w:r>
      <w:r w:rsidR="00F106A6" w:rsidRPr="00A63514">
        <w:rPr>
          <w:rFonts w:ascii="Times" w:hAnsi="Times"/>
        </w:rPr>
        <w:t xml:space="preserve"> de Pie XII (1943), selon laquelle Dieu a voulu prolonger dans l’Église, qui est « incarnati Verbi instrumentum », l’humanité du Christ, elle-même instrument de Dieu ; dans cette pensée, il n’y a pas identité sotériologique entre le Christ et l’Église, mais il y a analogie fondamentale</w:t>
      </w:r>
      <w:r w:rsidR="00F106A6" w:rsidRPr="00CD4269">
        <w:rPr>
          <w:rStyle w:val="Appelnotedebasdep"/>
        </w:rPr>
        <w:footnoteReference w:id="31"/>
      </w:r>
      <w:r w:rsidR="00377F92" w:rsidRPr="00A63514">
        <w:rPr>
          <w:rFonts w:ascii="Times" w:hAnsi="Times"/>
        </w:rPr>
        <w:t xml:space="preserve">. L’unité avec le Christ est fortement marquée, de même </w:t>
      </w:r>
      <w:r w:rsidR="005839D0" w:rsidRPr="00A63514">
        <w:rPr>
          <w:rFonts w:ascii="Times" w:hAnsi="Times"/>
        </w:rPr>
        <w:t>que l’efficacité de la grâce reçue et communiquée.</w:t>
      </w:r>
    </w:p>
    <w:p w14:paraId="00224884" w14:textId="2C9898DD" w:rsidR="005839D0" w:rsidRPr="00A63514" w:rsidRDefault="005839D0" w:rsidP="00A63514">
      <w:pPr>
        <w:spacing w:line="480" w:lineRule="auto"/>
        <w:ind w:firstLine="284"/>
        <w:jc w:val="both"/>
        <w:rPr>
          <w:rFonts w:ascii="Times" w:hAnsi="Times"/>
        </w:rPr>
      </w:pPr>
      <w:r w:rsidRPr="00A63514">
        <w:rPr>
          <w:rFonts w:ascii="Times" w:hAnsi="Times"/>
        </w:rPr>
        <w:t>Parallèlement, un autre courant théologique pense l’Église-sacrement moins comme instrument que comme signe du salut, rejoignant ainsi, au-delà de la néo-scolastique, la vision de J.A. Möhler et de l’école de Tübingen</w:t>
      </w:r>
      <w:r w:rsidR="001D2E00" w:rsidRPr="00A63514">
        <w:rPr>
          <w:rFonts w:ascii="Times" w:hAnsi="Times"/>
        </w:rPr>
        <w:t> : Karl Rahner en est le plus illustre représentant</w:t>
      </w:r>
      <w:r w:rsidR="00C22E47" w:rsidRPr="00A63514">
        <w:rPr>
          <w:rFonts w:ascii="Times" w:hAnsi="Times"/>
        </w:rPr>
        <w:t>. Selon les principes fondamentaux de la pensée rahnérienne, la structure ecclésiologique se déduit de la structure sacramentelle du Christ et de son incarnation : l’Église comme prolongation du mystère du Christ » est signe de « la présence de la grâce définitive donnée dans le sacrement fondamental » qu’est le Christ ; à ce titre, elle peut être appelée aussi sacrement fondamental, mais elle est signe de la grâce, et non la grâce elle-même (il y a une différence entre le signe et le signifié, indissociables par ailleurs)</w:t>
      </w:r>
      <w:r w:rsidR="00C22E47" w:rsidRPr="00CD4269">
        <w:rPr>
          <w:rStyle w:val="Appelnotedebasdep"/>
        </w:rPr>
        <w:footnoteReference w:id="32"/>
      </w:r>
      <w:r w:rsidR="007856A9" w:rsidRPr="00A63514">
        <w:rPr>
          <w:rFonts w:ascii="Times" w:hAnsi="Times"/>
        </w:rPr>
        <w:t>.</w:t>
      </w:r>
    </w:p>
    <w:p w14:paraId="4BF90DF0" w14:textId="721ED6A6" w:rsidR="007856A9" w:rsidRPr="00A63514" w:rsidRDefault="007856A9" w:rsidP="00A63514">
      <w:pPr>
        <w:spacing w:line="480" w:lineRule="auto"/>
        <w:ind w:firstLine="284"/>
        <w:jc w:val="both"/>
        <w:rPr>
          <w:rFonts w:ascii="Times" w:hAnsi="Times"/>
        </w:rPr>
      </w:pPr>
      <w:r w:rsidRPr="00A63514">
        <w:rPr>
          <w:rFonts w:ascii="Times" w:hAnsi="Times"/>
        </w:rPr>
        <w:t xml:space="preserve">Vatican II reprendra les deux conceptions et les juxtaposera sans trancher en faveur de l’une ou l’autre (« sacramentum seu signum et instrumentum » : LG 1). </w:t>
      </w:r>
      <w:r w:rsidR="000047A5" w:rsidRPr="00A63514">
        <w:rPr>
          <w:rFonts w:ascii="Times" w:hAnsi="Times"/>
        </w:rPr>
        <w:t>Quelle serait dès lors la potentialité dogmatique et pratique de l’Église-sacrement ? C’est ce que nous voudrions seulement esquisser dans la conclusion.</w:t>
      </w:r>
    </w:p>
    <w:p w14:paraId="29858882" w14:textId="77777777" w:rsidR="000047A5" w:rsidRPr="00A63514" w:rsidRDefault="000047A5" w:rsidP="00A63514">
      <w:pPr>
        <w:spacing w:line="480" w:lineRule="auto"/>
        <w:ind w:firstLine="284"/>
        <w:jc w:val="both"/>
        <w:rPr>
          <w:rFonts w:ascii="Times" w:hAnsi="Times"/>
        </w:rPr>
      </w:pPr>
    </w:p>
    <w:p w14:paraId="02D29B94" w14:textId="553A14C2" w:rsidR="000047A5" w:rsidRPr="00A63514" w:rsidRDefault="00982E42" w:rsidP="00A63514">
      <w:pPr>
        <w:pStyle w:val="Pardeliste"/>
        <w:spacing w:line="480" w:lineRule="auto"/>
        <w:ind w:left="0"/>
        <w:jc w:val="center"/>
        <w:rPr>
          <w:rFonts w:ascii="Times" w:hAnsi="Times"/>
          <w:smallCaps/>
        </w:rPr>
      </w:pPr>
      <w:r w:rsidRPr="00A63514">
        <w:rPr>
          <w:rFonts w:ascii="Times" w:hAnsi="Times"/>
          <w:smallCaps/>
        </w:rPr>
        <w:t>Ouverture</w:t>
      </w:r>
    </w:p>
    <w:p w14:paraId="64A720A8" w14:textId="77777777" w:rsidR="000047A5" w:rsidRPr="00A63514" w:rsidRDefault="000047A5" w:rsidP="00A63514">
      <w:pPr>
        <w:spacing w:line="480" w:lineRule="auto"/>
        <w:jc w:val="center"/>
        <w:rPr>
          <w:rFonts w:ascii="Times" w:hAnsi="Times"/>
        </w:rPr>
      </w:pPr>
    </w:p>
    <w:p w14:paraId="4BEE5EE7" w14:textId="36D4FF45" w:rsidR="00B35E67" w:rsidRPr="00A63514" w:rsidRDefault="00B35E67" w:rsidP="00A63514">
      <w:pPr>
        <w:spacing w:line="480" w:lineRule="auto"/>
        <w:ind w:firstLine="284"/>
        <w:jc w:val="both"/>
        <w:rPr>
          <w:rFonts w:ascii="Times" w:hAnsi="Times"/>
        </w:rPr>
      </w:pPr>
      <w:r w:rsidRPr="00A63514">
        <w:rPr>
          <w:rFonts w:ascii="Times" w:hAnsi="Times"/>
        </w:rPr>
        <w:t>En lien avec cette question, il serait bien sûr possible de développer la pensée stimulante d’un Rahner ou d’un Christian Duquoc</w:t>
      </w:r>
      <w:r w:rsidR="00B24E2E" w:rsidRPr="00CD4269">
        <w:rPr>
          <w:rStyle w:val="Appelnotedebasdep"/>
        </w:rPr>
        <w:footnoteReference w:id="33"/>
      </w:r>
      <w:r w:rsidR="003326E5" w:rsidRPr="00A63514">
        <w:rPr>
          <w:rFonts w:ascii="Times" w:hAnsi="Times"/>
        </w:rPr>
        <w:t>, ou encore d’un Louis-Marie Chauvet</w:t>
      </w:r>
      <w:r w:rsidR="003326E5" w:rsidRPr="00CD4269">
        <w:rPr>
          <w:rStyle w:val="Appelnotedebasdep"/>
        </w:rPr>
        <w:footnoteReference w:id="34"/>
      </w:r>
      <w:r w:rsidRPr="00A63514">
        <w:rPr>
          <w:rFonts w:ascii="Times" w:hAnsi="Times"/>
        </w:rPr>
        <w:t xml:space="preserve">. Je me limiterai cependant à </w:t>
      </w:r>
      <w:r w:rsidR="0086225E" w:rsidRPr="00A63514">
        <w:rPr>
          <w:rFonts w:ascii="Times" w:hAnsi="Times"/>
        </w:rPr>
        <w:t xml:space="preserve">quelques </w:t>
      </w:r>
      <w:r w:rsidR="00AA05E2" w:rsidRPr="00A63514">
        <w:rPr>
          <w:rFonts w:ascii="Times" w:hAnsi="Times"/>
        </w:rPr>
        <w:t>perspectives d’</w:t>
      </w:r>
      <w:r w:rsidRPr="00A63514">
        <w:rPr>
          <w:rFonts w:ascii="Times" w:hAnsi="Times"/>
        </w:rPr>
        <w:t>un ouvrage d’un auteur qui nous est cher à nous deux Gilles Routhier</w:t>
      </w:r>
      <w:r w:rsidR="00916E22" w:rsidRPr="00CD4269">
        <w:rPr>
          <w:rStyle w:val="Appelnotedebasdep"/>
        </w:rPr>
        <w:footnoteReference w:id="35"/>
      </w:r>
      <w:r w:rsidRPr="00A63514">
        <w:rPr>
          <w:rFonts w:ascii="Times" w:hAnsi="Times"/>
        </w:rPr>
        <w:t>, Yves C</w:t>
      </w:r>
      <w:r w:rsidRPr="00A63514">
        <w:rPr>
          <w:rFonts w:ascii="Times" w:hAnsi="Times"/>
          <w:smallCaps/>
        </w:rPr>
        <w:t>ongar</w:t>
      </w:r>
      <w:r w:rsidRPr="00A63514">
        <w:rPr>
          <w:rFonts w:ascii="Times" w:hAnsi="Times"/>
        </w:rPr>
        <w:t xml:space="preserve">, </w:t>
      </w:r>
      <w:r w:rsidRPr="00A63514">
        <w:rPr>
          <w:rFonts w:ascii="Times" w:hAnsi="Times"/>
          <w:i/>
        </w:rPr>
        <w:t>Un peuple messianique. L’Église, sacrement du salut. Salut et libération</w:t>
      </w:r>
      <w:r w:rsidRPr="00A63514">
        <w:rPr>
          <w:rFonts w:ascii="Times" w:hAnsi="Times"/>
        </w:rPr>
        <w:t>, Paris, É</w:t>
      </w:r>
      <w:r w:rsidR="00887D61" w:rsidRPr="00A63514">
        <w:rPr>
          <w:rFonts w:ascii="Times" w:hAnsi="Times"/>
        </w:rPr>
        <w:t>d. du Cerf,</w:t>
      </w:r>
      <w:r w:rsidR="001A6F31" w:rsidRPr="00A63514">
        <w:rPr>
          <w:rFonts w:ascii="Times" w:hAnsi="Times"/>
        </w:rPr>
        <w:t xml:space="preserve"> </w:t>
      </w:r>
      <w:r w:rsidR="001A6F31" w:rsidRPr="00A63514">
        <w:rPr>
          <w:rFonts w:ascii="Times" w:hAnsi="Times"/>
        </w:rPr>
        <w:t xml:space="preserve">Coll. </w:t>
      </w:r>
      <w:r w:rsidR="001A6F31" w:rsidRPr="00A63514">
        <w:rPr>
          <w:rFonts w:ascii="Times" w:hAnsi="Times"/>
          <w:i/>
        </w:rPr>
        <w:t>Cogitatio Fidei</w:t>
      </w:r>
      <w:r w:rsidR="001A6F31" w:rsidRPr="00A63514">
        <w:rPr>
          <w:rFonts w:ascii="Times" w:hAnsi="Times"/>
        </w:rPr>
        <w:t>, 85,</w:t>
      </w:r>
      <w:r w:rsidR="00887D61" w:rsidRPr="00A63514">
        <w:rPr>
          <w:rFonts w:ascii="Times" w:hAnsi="Times"/>
        </w:rPr>
        <w:t xml:space="preserve"> 1975, où il est d’ailleurs souvent en dialogue critique avec le théologien allemand.</w:t>
      </w:r>
    </w:p>
    <w:p w14:paraId="4B9391AC" w14:textId="1E97A455" w:rsidR="00887D61" w:rsidRPr="00A63514" w:rsidRDefault="00887D61" w:rsidP="00A63514">
      <w:pPr>
        <w:spacing w:line="480" w:lineRule="auto"/>
        <w:ind w:firstLine="284"/>
        <w:jc w:val="both"/>
        <w:rPr>
          <w:rFonts w:ascii="Times" w:hAnsi="Times"/>
        </w:rPr>
      </w:pPr>
      <w:r w:rsidRPr="00A63514">
        <w:rPr>
          <w:rFonts w:ascii="Times" w:hAnsi="Times"/>
          <w:i/>
        </w:rPr>
        <w:t>Église-sacrement du salut et sacrements</w:t>
      </w:r>
      <w:r w:rsidRPr="00A63514">
        <w:rPr>
          <w:rFonts w:ascii="Times" w:hAnsi="Times"/>
        </w:rPr>
        <w:t>. La sacramentalité est la forme que Dieu prend en venant à nous comme grâce, et celle dans laquelle nous pouvons le rencontre</w:t>
      </w:r>
      <w:r w:rsidR="00464F83" w:rsidRPr="00A63514">
        <w:rPr>
          <w:rFonts w:ascii="Times" w:hAnsi="Times"/>
        </w:rPr>
        <w:t>r</w:t>
      </w:r>
      <w:r w:rsidRPr="00CD4269">
        <w:rPr>
          <w:rStyle w:val="Appelnotedebasdep"/>
        </w:rPr>
        <w:footnoteReference w:id="36"/>
      </w:r>
      <w:r w:rsidRPr="00A63514">
        <w:rPr>
          <w:rFonts w:ascii="Times" w:hAnsi="Times"/>
        </w:rPr>
        <w:t>. Cette qualité s’applique d’abord à l’Église, elle est le sacrement primordial, global, enveloppant par rapport aux sacrements particuliers</w:t>
      </w:r>
      <w:r w:rsidR="0054008A" w:rsidRPr="00A63514">
        <w:rPr>
          <w:rFonts w:ascii="Times" w:hAnsi="Times"/>
        </w:rPr>
        <w:t>, qui actualisent et appliquent à des besoins spécifiques cette efficacité de grâce présente dans le monde par l’Église</w:t>
      </w:r>
      <w:r w:rsidR="00F8103C" w:rsidRPr="00A63514">
        <w:rPr>
          <w:rFonts w:ascii="Times" w:hAnsi="Times"/>
        </w:rPr>
        <w:t>. Cette qualification sacramentelle de l’Église pointe d’emblée la dimension ecclésiale et communautaire des sept sacrements</w:t>
      </w:r>
      <w:r w:rsidR="00A7064E" w:rsidRPr="00A63514">
        <w:rPr>
          <w:rFonts w:ascii="Times" w:hAnsi="Times"/>
        </w:rPr>
        <w:t>, sans négliger pour autant la présence réelle du Christ livré pour nous.</w:t>
      </w:r>
      <w:r w:rsidR="000E71F4" w:rsidRPr="00A63514">
        <w:rPr>
          <w:rFonts w:ascii="Times" w:hAnsi="Times"/>
        </w:rPr>
        <w:t xml:space="preserve"> On cesse ainsi d’isoler les médiations particulières de la médiation générale de grâce, qui est le fait de toute l’Église, peuple de Dieu et Corps du Christ</w:t>
      </w:r>
      <w:r w:rsidR="00F43029" w:rsidRPr="00A63514">
        <w:rPr>
          <w:rFonts w:ascii="Times" w:hAnsi="Times"/>
        </w:rPr>
        <w:t>, à condition, à l’inverse, de ne pas noyer le particulier dans le général, le spécifique dans le commun</w:t>
      </w:r>
      <w:r w:rsidR="00CD172F" w:rsidRPr="00A63514">
        <w:rPr>
          <w:rFonts w:ascii="Times" w:hAnsi="Times"/>
        </w:rPr>
        <w:t>. Car le spécifique des sacrements</w:t>
      </w:r>
      <w:r w:rsidR="001A72D2" w:rsidRPr="00A63514">
        <w:rPr>
          <w:rFonts w:ascii="Times" w:hAnsi="Times"/>
        </w:rPr>
        <w:t xml:space="preserve"> (spécialement l’Eucharistie)</w:t>
      </w:r>
      <w:r w:rsidR="00CD172F" w:rsidRPr="00A63514">
        <w:rPr>
          <w:rFonts w:ascii="Times" w:hAnsi="Times"/>
        </w:rPr>
        <w:t xml:space="preserve"> est</w:t>
      </w:r>
      <w:r w:rsidR="0062021D" w:rsidRPr="00A63514">
        <w:rPr>
          <w:rFonts w:ascii="Times" w:hAnsi="Times"/>
        </w:rPr>
        <w:t>, en la manifestant,</w:t>
      </w:r>
      <w:r w:rsidR="00CD172F" w:rsidRPr="00A63514">
        <w:rPr>
          <w:rFonts w:ascii="Times" w:hAnsi="Times"/>
        </w:rPr>
        <w:t xml:space="preserve"> de faire efficacement, corporellement, </w:t>
      </w:r>
      <w:r w:rsidR="00905B22" w:rsidRPr="00A63514">
        <w:rPr>
          <w:rFonts w:ascii="Times" w:hAnsi="Times"/>
        </w:rPr>
        <w:t xml:space="preserve">christologiquement, </w:t>
      </w:r>
      <w:r w:rsidR="00A923FD" w:rsidRPr="00A63514">
        <w:rPr>
          <w:rFonts w:ascii="Times" w:hAnsi="Times"/>
        </w:rPr>
        <w:t xml:space="preserve">eschatologiquement </w:t>
      </w:r>
      <w:r w:rsidR="00CD172F" w:rsidRPr="00A63514">
        <w:rPr>
          <w:rFonts w:ascii="Times" w:hAnsi="Times"/>
        </w:rPr>
        <w:t>l’Église</w:t>
      </w:r>
      <w:r w:rsidR="0095042D" w:rsidRPr="00CD4269">
        <w:rPr>
          <w:rStyle w:val="Appelnotedebasdep"/>
        </w:rPr>
        <w:footnoteReference w:id="37"/>
      </w:r>
      <w:r w:rsidR="00CD172F" w:rsidRPr="00A63514">
        <w:rPr>
          <w:rFonts w:ascii="Times" w:hAnsi="Times"/>
        </w:rPr>
        <w:t>.</w:t>
      </w:r>
    </w:p>
    <w:p w14:paraId="4D418191" w14:textId="1AADE859" w:rsidR="00C417C3" w:rsidRPr="00A63514" w:rsidRDefault="00C417C3" w:rsidP="00A63514">
      <w:pPr>
        <w:spacing w:line="480" w:lineRule="auto"/>
        <w:ind w:firstLine="284"/>
        <w:jc w:val="both"/>
        <w:rPr>
          <w:rFonts w:ascii="Times" w:hAnsi="Times"/>
        </w:rPr>
      </w:pPr>
      <w:r w:rsidRPr="00A63514">
        <w:rPr>
          <w:rFonts w:ascii="Times" w:hAnsi="Times"/>
          <w:i/>
        </w:rPr>
        <w:t>Église, signe et instrument du salut</w:t>
      </w:r>
      <w:r w:rsidR="0095042D" w:rsidRPr="00A63514">
        <w:rPr>
          <w:rFonts w:ascii="Times" w:hAnsi="Times"/>
          <w:i/>
        </w:rPr>
        <w:t xml:space="preserve"> pour le monde</w:t>
      </w:r>
      <w:r w:rsidR="0095042D" w:rsidRPr="00A63514">
        <w:rPr>
          <w:rFonts w:ascii="Times" w:hAnsi="Times"/>
        </w:rPr>
        <w:t>.</w:t>
      </w:r>
      <w:r w:rsidR="00AC5AE5" w:rsidRPr="00A63514">
        <w:rPr>
          <w:rFonts w:ascii="Times" w:hAnsi="Times"/>
        </w:rPr>
        <w:t xml:space="preserve"> </w:t>
      </w:r>
      <w:r w:rsidR="008F5618" w:rsidRPr="00A63514">
        <w:rPr>
          <w:rFonts w:ascii="Times" w:hAnsi="Times"/>
        </w:rPr>
        <w:t xml:space="preserve">Que recouvre ici le mot « Église » ? </w:t>
      </w:r>
      <w:r w:rsidR="006263FB" w:rsidRPr="00A63514">
        <w:rPr>
          <w:rFonts w:ascii="Times" w:hAnsi="Times"/>
        </w:rPr>
        <w:t xml:space="preserve">À la fois, l’institution ecclésiale et le peuple de Dieu lui-même, la </w:t>
      </w:r>
      <w:r w:rsidR="006263FB" w:rsidRPr="00A63514">
        <w:rPr>
          <w:rFonts w:ascii="Times" w:hAnsi="Times"/>
          <w:i/>
        </w:rPr>
        <w:t>congregatio fidelium</w:t>
      </w:r>
      <w:r w:rsidR="006263FB" w:rsidRPr="00A63514">
        <w:rPr>
          <w:rFonts w:ascii="Times" w:hAnsi="Times"/>
        </w:rPr>
        <w:t>, la communauté chrétienne, un peuple de Die</w:t>
      </w:r>
      <w:r w:rsidR="00735033" w:rsidRPr="00A63514">
        <w:rPr>
          <w:rFonts w:ascii="Times" w:hAnsi="Times"/>
        </w:rPr>
        <w:t xml:space="preserve">u certes structuré et organique : les </w:t>
      </w:r>
      <w:r w:rsidR="00735033" w:rsidRPr="00A63514">
        <w:rPr>
          <w:rFonts w:ascii="Times" w:hAnsi="Times"/>
          <w:i/>
        </w:rPr>
        <w:t>sancta</w:t>
      </w:r>
      <w:r w:rsidR="00735033" w:rsidRPr="00A63514">
        <w:rPr>
          <w:rFonts w:ascii="Times" w:hAnsi="Times"/>
        </w:rPr>
        <w:t xml:space="preserve"> (</w:t>
      </w:r>
      <w:r w:rsidR="00735033" w:rsidRPr="00A63514">
        <w:rPr>
          <w:rFonts w:ascii="Times" w:hAnsi="Times"/>
          <w:i/>
        </w:rPr>
        <w:t>realia</w:t>
      </w:r>
      <w:r w:rsidR="00735033" w:rsidRPr="00A63514">
        <w:rPr>
          <w:rFonts w:ascii="Times" w:hAnsi="Times"/>
        </w:rPr>
        <w:t xml:space="preserve">) et les </w:t>
      </w:r>
      <w:r w:rsidR="00735033" w:rsidRPr="00A63514">
        <w:rPr>
          <w:rFonts w:ascii="Times" w:hAnsi="Times"/>
          <w:i/>
        </w:rPr>
        <w:t>sancti</w:t>
      </w:r>
      <w:r w:rsidR="00735033" w:rsidRPr="00A63514">
        <w:rPr>
          <w:rFonts w:ascii="Times" w:hAnsi="Times"/>
        </w:rPr>
        <w:t xml:space="preserve"> (fidèles et pasteurs).</w:t>
      </w:r>
      <w:r w:rsidR="00DF316F" w:rsidRPr="00A63514">
        <w:rPr>
          <w:rFonts w:ascii="Times" w:hAnsi="Times"/>
        </w:rPr>
        <w:t xml:space="preserve"> C’est un peuple de personnes</w:t>
      </w:r>
      <w:r w:rsidR="00D12BFB" w:rsidRPr="00A63514">
        <w:rPr>
          <w:rFonts w:ascii="Times" w:hAnsi="Times"/>
        </w:rPr>
        <w:t xml:space="preserve"> (avec leurs dons et vocation)</w:t>
      </w:r>
      <w:r w:rsidR="00DF316F" w:rsidRPr="00A63514">
        <w:rPr>
          <w:rFonts w:ascii="Times" w:hAnsi="Times"/>
        </w:rPr>
        <w:t xml:space="preserve"> qui porte les réalités saintes qui lui sont confiées</w:t>
      </w:r>
      <w:r w:rsidR="004437BD" w:rsidRPr="00A63514">
        <w:rPr>
          <w:rFonts w:ascii="Times" w:hAnsi="Times"/>
        </w:rPr>
        <w:t xml:space="preserve">. Le peuple de Dieu est le porteur privilégié </w:t>
      </w:r>
      <w:r w:rsidR="00D70FF3" w:rsidRPr="00A63514">
        <w:rPr>
          <w:rFonts w:ascii="Times" w:hAnsi="Times"/>
        </w:rPr>
        <w:t xml:space="preserve">du sacrement de salut, </w:t>
      </w:r>
      <w:r w:rsidR="004437BD" w:rsidRPr="00A63514">
        <w:rPr>
          <w:rFonts w:ascii="Times" w:hAnsi="Times"/>
        </w:rPr>
        <w:t>de l’histoire du salut</w:t>
      </w:r>
      <w:r w:rsidR="00D12BFB" w:rsidRPr="00A63514">
        <w:rPr>
          <w:rFonts w:ascii="Times" w:hAnsi="Times"/>
        </w:rPr>
        <w:t xml:space="preserve">, qui, cependant, étant à visée universelle et cosmique, le dépasse amplement. Aussi ce peuple ne peut-il se concevoir qu’avec </w:t>
      </w:r>
      <w:r w:rsidR="003E1549" w:rsidRPr="00A63514">
        <w:rPr>
          <w:rFonts w:ascii="Times" w:hAnsi="Times"/>
        </w:rPr>
        <w:t xml:space="preserve">une mission pour le monde ; il est </w:t>
      </w:r>
      <w:r w:rsidR="00E22E02" w:rsidRPr="00A63514">
        <w:rPr>
          <w:rFonts w:ascii="Times" w:hAnsi="Times"/>
        </w:rPr>
        <w:t xml:space="preserve">pour celui-ci </w:t>
      </w:r>
      <w:r w:rsidR="003E1549" w:rsidRPr="00A63514">
        <w:rPr>
          <w:rFonts w:ascii="Times" w:hAnsi="Times"/>
        </w:rPr>
        <w:t>une m</w:t>
      </w:r>
      <w:r w:rsidR="00D70FF3" w:rsidRPr="00A63514">
        <w:rPr>
          <w:rFonts w:ascii="Times" w:hAnsi="Times"/>
        </w:rPr>
        <w:t xml:space="preserve">édiation de salut ou </w:t>
      </w:r>
      <w:r w:rsidR="00E22E02" w:rsidRPr="00A63514">
        <w:rPr>
          <w:rFonts w:ascii="Times" w:hAnsi="Times"/>
        </w:rPr>
        <w:t xml:space="preserve">le </w:t>
      </w:r>
      <w:r w:rsidR="00D70FF3" w:rsidRPr="00A63514">
        <w:rPr>
          <w:rFonts w:ascii="Times" w:hAnsi="Times"/>
        </w:rPr>
        <w:t>sacrement de salut par une multitude d’activités</w:t>
      </w:r>
      <w:r w:rsidR="009252C0" w:rsidRPr="00A63514">
        <w:rPr>
          <w:rFonts w:ascii="Times" w:hAnsi="Times"/>
        </w:rPr>
        <w:t> : annonce de la Parole de Dieu, profession de foi dans le culte, pénitence, intercession, témoignage de la vie religieuse, des familles et des communautés, ministères ordonnés, mission, diaconie…</w:t>
      </w:r>
    </w:p>
    <w:p w14:paraId="45136050" w14:textId="04023584" w:rsidR="00B55522" w:rsidRPr="00A63514" w:rsidRDefault="00B55522" w:rsidP="00A63514">
      <w:pPr>
        <w:spacing w:line="480" w:lineRule="auto"/>
        <w:ind w:firstLine="284"/>
        <w:jc w:val="both"/>
        <w:rPr>
          <w:rFonts w:ascii="Times" w:hAnsi="Times"/>
        </w:rPr>
      </w:pPr>
      <w:r w:rsidRPr="00A63514">
        <w:rPr>
          <w:rFonts w:ascii="Times" w:hAnsi="Times"/>
        </w:rPr>
        <w:t xml:space="preserve">La notion biblique de peuple de Dieu permet d’honorer une perspective d’histoire du salut, finalement eschatologique, l’idée d’un peuple en condition d’itinérance et l’affirmation d’une relation avec l’humanité globale, elle-même en quête d’unification. Comme concept, « peuple de Dieu » exprime le « pour le monde » que comporte l’idée de sacrement du salut. Mais, au plan de la réalité, c’est bien parce qu’elle est le Corps du Christ que l’Église peut être le sacrement du salut, à la fois sacrement et salut, signe et instrument du salut. L’écart est certes considérable qui sépare la réalité de l’idéal impliqué dans le fait d’être sacrement de fraternité, d’unité, d’espérance, de libération, de communion, de salut… D’où la nécessité constante d’une </w:t>
      </w:r>
      <w:r w:rsidR="00BA1E57" w:rsidRPr="00A63514">
        <w:rPr>
          <w:rFonts w:ascii="Times" w:hAnsi="Times"/>
        </w:rPr>
        <w:t>réforme ecclésiale, de l’engagement œcuménique, d’un vécu plus authentique des personnes (conversion), mais aussi d’institutions plus conformes à l’Évangile…</w:t>
      </w:r>
      <w:r w:rsidR="00FC6E67" w:rsidRPr="00A63514">
        <w:rPr>
          <w:rFonts w:ascii="Times" w:hAnsi="Times"/>
        </w:rPr>
        <w:t xml:space="preserve"> Le peuple de Dieu, fidèles et pasteurs, a intensément besoin qu’opère en lui le Saint-Esprit. L’ecclésiologie catholique a besoin d’une meilleure articulation avec la pneumatologie.</w:t>
      </w:r>
    </w:p>
    <w:p w14:paraId="570C0AAB" w14:textId="5824FE7A" w:rsidR="00FC6E67" w:rsidRPr="00A63514" w:rsidRDefault="00FC6E67" w:rsidP="00A63514">
      <w:pPr>
        <w:spacing w:line="480" w:lineRule="auto"/>
        <w:ind w:firstLine="284"/>
        <w:jc w:val="both"/>
        <w:rPr>
          <w:rFonts w:ascii="Times" w:hAnsi="Times"/>
        </w:rPr>
      </w:pPr>
      <w:r w:rsidRPr="00A63514">
        <w:rPr>
          <w:rFonts w:ascii="Times" w:hAnsi="Times"/>
        </w:rPr>
        <w:t>Le peuple de Dieu, qui est signe et instrument du salut, est un peuple messianique à la suite de Jésus.</w:t>
      </w:r>
      <w:r w:rsidR="00C62DDB" w:rsidRPr="00A63514">
        <w:rPr>
          <w:rFonts w:ascii="Times" w:hAnsi="Times"/>
        </w:rPr>
        <w:t xml:space="preserve"> L</w:t>
      </w:r>
      <w:r w:rsidR="00940544" w:rsidRPr="00A63514">
        <w:rPr>
          <w:rFonts w:ascii="Times" w:hAnsi="Times"/>
        </w:rPr>
        <w:t>e messianisme</w:t>
      </w:r>
      <w:r w:rsidR="00C62DDB" w:rsidRPr="00A63514">
        <w:rPr>
          <w:rFonts w:ascii="Times" w:hAnsi="Times"/>
        </w:rPr>
        <w:t xml:space="preserve"> de Jésus</w:t>
      </w:r>
      <w:r w:rsidR="00940544" w:rsidRPr="00A63514">
        <w:rPr>
          <w:rFonts w:ascii="Times" w:hAnsi="Times"/>
        </w:rPr>
        <w:t xml:space="preserve"> est de type eschatologique-prophétique</w:t>
      </w:r>
      <w:r w:rsidR="00C62DDB" w:rsidRPr="00A63514">
        <w:rPr>
          <w:rFonts w:ascii="Times" w:hAnsi="Times"/>
        </w:rPr>
        <w:t>, messianisme du Serviteur, de l’espérance de l’Avenir absolu et des exigences historiques de ce à quoi Dieu appelle le monde (réconciliation, justice…</w:t>
      </w:r>
      <w:r w:rsidR="00A94B65" w:rsidRPr="00A63514">
        <w:rPr>
          <w:rFonts w:ascii="Times" w:hAnsi="Times"/>
        </w:rPr>
        <w:t xml:space="preserve"> </w:t>
      </w:r>
      <w:r w:rsidR="00C62DDB" w:rsidRPr="00A63514">
        <w:rPr>
          <w:rFonts w:ascii="Times" w:hAnsi="Times"/>
        </w:rPr>
        <w:t>)… à l’extrême opposé d’une puissance dominatrice</w:t>
      </w:r>
      <w:r w:rsidR="0053497F" w:rsidRPr="00A63514">
        <w:rPr>
          <w:rFonts w:ascii="Times" w:hAnsi="Times"/>
        </w:rPr>
        <w:t>. L’Église, peuple messianique, est appelée à garder vivante sa conscience de ce à quoi Dieu appelle le monde : la Paix eschatologique, et par le fait même à critiquer tant de situations et d’actions que condamne le Projet de Dieu sur l’homme : racisme, mépris de la dignité humaine…</w:t>
      </w:r>
      <w:r w:rsidR="00903912" w:rsidRPr="00A63514">
        <w:rPr>
          <w:rFonts w:ascii="Times" w:hAnsi="Times"/>
        </w:rPr>
        <w:t xml:space="preserve"> La justice eschatologique veut aussi des traductions ou anticipations humaines, partielles et provisoires, pas de transformation immédiate et miraculeuse, mais dans la temporalité et les délais d’une histoire, avec cependant un véritable impact, social et politique, dans l’histoire du monde. Aucune création humaine, aussi bonne soit-elle, ne peut cependant jamais être identifiée avec l’ordre transcendant de Dieu</w:t>
      </w:r>
      <w:r w:rsidR="00B362E8" w:rsidRPr="00A63514">
        <w:rPr>
          <w:rFonts w:ascii="Times" w:hAnsi="Times"/>
        </w:rPr>
        <w:t>. La mission de salut du peuple de Dieu dans l’histoire implique donc, sans s’y réduire, une œuvre de libération humaine, jusque dans ses dimensions « temporelles », socio-politiques et même cosmiques</w:t>
      </w:r>
      <w:r w:rsidR="00AC3E49" w:rsidRPr="00DB3922">
        <w:rPr>
          <w:rStyle w:val="Appelnotedebasdep"/>
        </w:rPr>
        <w:footnoteReference w:id="38"/>
      </w:r>
      <w:r w:rsidR="00916E22" w:rsidRPr="00A63514">
        <w:rPr>
          <w:rFonts w:ascii="Times" w:hAnsi="Times"/>
        </w:rPr>
        <w:t>.</w:t>
      </w:r>
    </w:p>
    <w:p w14:paraId="6C598157" w14:textId="01D079A7" w:rsidR="00916E22" w:rsidRPr="00A63514" w:rsidRDefault="00916E22" w:rsidP="00A63514">
      <w:pPr>
        <w:spacing w:line="480" w:lineRule="auto"/>
        <w:ind w:firstLine="284"/>
        <w:jc w:val="both"/>
        <w:rPr>
          <w:rFonts w:ascii="Times" w:hAnsi="Times"/>
        </w:rPr>
      </w:pPr>
      <w:r w:rsidRPr="00A63514">
        <w:rPr>
          <w:rFonts w:ascii="Times" w:hAnsi="Times"/>
        </w:rPr>
        <w:t>Ces quelques indications tirées d’</w:t>
      </w:r>
      <w:r w:rsidRPr="00A63514">
        <w:rPr>
          <w:rFonts w:ascii="Times" w:hAnsi="Times"/>
          <w:i/>
        </w:rPr>
        <w:t>Un peuple messianique</w:t>
      </w:r>
      <w:r w:rsidRPr="00A63514">
        <w:rPr>
          <w:rFonts w:ascii="Times" w:hAnsi="Times"/>
        </w:rPr>
        <w:t xml:space="preserve"> d’Yves Congar esquissent à souhait la fécondité de la notion conciliaire d’Église-sacrement</w:t>
      </w:r>
      <w:r w:rsidR="00A94B65" w:rsidRPr="00A63514">
        <w:rPr>
          <w:rFonts w:ascii="Times" w:hAnsi="Times"/>
        </w:rPr>
        <w:t xml:space="preserve">, tant </w:t>
      </w:r>
      <w:r w:rsidR="00A94B65" w:rsidRPr="00A63514">
        <w:rPr>
          <w:rFonts w:ascii="Times" w:hAnsi="Times"/>
          <w:i/>
        </w:rPr>
        <w:t>ad intra</w:t>
      </w:r>
      <w:r w:rsidR="00A94B65" w:rsidRPr="00A63514">
        <w:rPr>
          <w:rFonts w:ascii="Times" w:hAnsi="Times"/>
        </w:rPr>
        <w:t xml:space="preserve"> qu’</w:t>
      </w:r>
      <w:r w:rsidR="00A94B65" w:rsidRPr="00A63514">
        <w:rPr>
          <w:rFonts w:ascii="Times" w:hAnsi="Times"/>
          <w:i/>
        </w:rPr>
        <w:t>ad extra</w:t>
      </w:r>
      <w:r w:rsidR="00A94B65" w:rsidRPr="00A63514">
        <w:rPr>
          <w:rFonts w:ascii="Times" w:hAnsi="Times"/>
        </w:rPr>
        <w:t xml:space="preserve">. </w:t>
      </w:r>
      <w:r w:rsidR="00A94B65" w:rsidRPr="00A63514">
        <w:rPr>
          <w:rFonts w:ascii="Times" w:hAnsi="Times"/>
          <w:i/>
        </w:rPr>
        <w:t>Ad intra</w:t>
      </w:r>
      <w:r w:rsidR="00A94B65" w:rsidRPr="00A63514">
        <w:rPr>
          <w:rFonts w:ascii="Times" w:hAnsi="Times"/>
        </w:rPr>
        <w:t xml:space="preserve"> : </w:t>
      </w:r>
      <w:r w:rsidR="00A1019C" w:rsidRPr="00A63514">
        <w:rPr>
          <w:rFonts w:ascii="Times" w:hAnsi="Times"/>
        </w:rPr>
        <w:t xml:space="preserve">ecclésiologiquement, </w:t>
      </w:r>
      <w:r w:rsidR="00A94B65" w:rsidRPr="00A63514">
        <w:rPr>
          <w:rFonts w:ascii="Times" w:hAnsi="Times"/>
        </w:rPr>
        <w:t xml:space="preserve">comprendre l’Église comme sacrement (fondamental) permet de resituer les sept sacrements au sens strict au sein même de l’Église, de sa vie et de sa mission, et de souligner ainsi leur dimension ecclésiale ou communautaire première. </w:t>
      </w:r>
      <w:r w:rsidR="00A94B65" w:rsidRPr="00A63514">
        <w:rPr>
          <w:rFonts w:ascii="Times" w:hAnsi="Times"/>
          <w:i/>
        </w:rPr>
        <w:t>Ad extra </w:t>
      </w:r>
      <w:r w:rsidR="00A94B65" w:rsidRPr="00A63514">
        <w:rPr>
          <w:rFonts w:ascii="Times" w:hAnsi="Times"/>
        </w:rPr>
        <w:t xml:space="preserve">: </w:t>
      </w:r>
      <w:r w:rsidR="00FB72CD" w:rsidRPr="00A63514">
        <w:rPr>
          <w:rFonts w:ascii="Times" w:hAnsi="Times"/>
        </w:rPr>
        <w:t xml:space="preserve">« missiologiquement », </w:t>
      </w:r>
      <w:r w:rsidR="00A94B65" w:rsidRPr="00A63514">
        <w:rPr>
          <w:rFonts w:ascii="Times" w:hAnsi="Times"/>
        </w:rPr>
        <w:t xml:space="preserve">comprendre l’Église comme sacrement du salut permet à la fois de distinguer l’Église du monde (elle est sacrement, signe pour lui) et de la relier </w:t>
      </w:r>
      <w:r w:rsidR="00FB72CD" w:rsidRPr="00A63514">
        <w:rPr>
          <w:rFonts w:ascii="Times" w:hAnsi="Times"/>
        </w:rPr>
        <w:t>au monde</w:t>
      </w:r>
      <w:r w:rsidR="00A94B65" w:rsidRPr="00A63514">
        <w:rPr>
          <w:rFonts w:ascii="Times" w:hAnsi="Times"/>
        </w:rPr>
        <w:t xml:space="preserve"> </w:t>
      </w:r>
      <w:r w:rsidR="00701A20" w:rsidRPr="00A63514">
        <w:rPr>
          <w:rFonts w:ascii="Times" w:hAnsi="Times"/>
        </w:rPr>
        <w:t>(elle est à son service comme sacrement de salut, instrument efficace de grâce pour lui). Un juste rapport de l’Église au monde peut ainsi se penser : dans le monde, sans être du monde</w:t>
      </w:r>
      <w:r w:rsidR="00EA0CBE" w:rsidRPr="00A63514">
        <w:rPr>
          <w:rFonts w:ascii="Times" w:hAnsi="Times"/>
        </w:rPr>
        <w:t>, elle contribue à apporter au monde une libération temporelle, socio-politique, sans que le salut eschatologique qu’elle signifie et communique puisse s’y réduire.</w:t>
      </w:r>
    </w:p>
    <w:p w14:paraId="1E469FE9" w14:textId="77777777" w:rsidR="003326E5" w:rsidRPr="00A63514" w:rsidRDefault="003326E5" w:rsidP="00CD172F">
      <w:pPr>
        <w:spacing w:line="360" w:lineRule="auto"/>
        <w:ind w:firstLine="284"/>
        <w:jc w:val="both"/>
        <w:rPr>
          <w:rFonts w:ascii="Times" w:hAnsi="Times"/>
        </w:rPr>
      </w:pPr>
    </w:p>
    <w:p w14:paraId="6C64DA3E" w14:textId="77777777" w:rsidR="003326E5" w:rsidRPr="00A63514" w:rsidRDefault="003326E5" w:rsidP="003326E5">
      <w:pPr>
        <w:spacing w:line="360" w:lineRule="auto"/>
        <w:ind w:firstLine="284"/>
        <w:jc w:val="both"/>
        <w:rPr>
          <w:rFonts w:ascii="Times" w:hAnsi="Times"/>
        </w:rPr>
      </w:pPr>
    </w:p>
    <w:p w14:paraId="741575FB" w14:textId="77777777" w:rsidR="003326E5" w:rsidRPr="00A63514" w:rsidRDefault="003326E5" w:rsidP="003326E5">
      <w:pPr>
        <w:ind w:firstLine="284"/>
        <w:jc w:val="both"/>
        <w:rPr>
          <w:rFonts w:ascii="Times" w:hAnsi="Times"/>
          <w:sz w:val="20"/>
          <w:szCs w:val="20"/>
        </w:rPr>
      </w:pPr>
      <w:r w:rsidRPr="00A63514">
        <w:rPr>
          <w:rFonts w:ascii="Times" w:hAnsi="Times"/>
          <w:sz w:val="20"/>
          <w:szCs w:val="20"/>
        </w:rPr>
        <w:t xml:space="preserve">B – 1348 </w:t>
      </w:r>
      <w:r w:rsidRPr="00A63514">
        <w:rPr>
          <w:rFonts w:ascii="Times" w:hAnsi="Times"/>
          <w:i/>
          <w:sz w:val="20"/>
          <w:szCs w:val="20"/>
        </w:rPr>
        <w:t>Louvain-la-Neuve</w:t>
      </w:r>
      <w:r w:rsidRPr="00A63514">
        <w:rPr>
          <w:rFonts w:ascii="Times" w:hAnsi="Times"/>
          <w:sz w:val="20"/>
          <w:szCs w:val="20"/>
        </w:rPr>
        <w:t>,</w:t>
      </w:r>
      <w:r w:rsidRPr="00A63514">
        <w:rPr>
          <w:rFonts w:ascii="Times" w:hAnsi="Times"/>
          <w:sz w:val="20"/>
          <w:szCs w:val="20"/>
        </w:rPr>
        <w:tab/>
      </w:r>
      <w:r w:rsidRPr="00A63514">
        <w:rPr>
          <w:rFonts w:ascii="Times" w:hAnsi="Times"/>
          <w:sz w:val="20"/>
          <w:szCs w:val="20"/>
        </w:rPr>
        <w:tab/>
      </w:r>
      <w:r w:rsidRPr="00A63514">
        <w:rPr>
          <w:rFonts w:ascii="Times" w:hAnsi="Times"/>
          <w:sz w:val="20"/>
          <w:szCs w:val="20"/>
        </w:rPr>
        <w:tab/>
      </w:r>
      <w:r w:rsidRPr="00A63514">
        <w:rPr>
          <w:rFonts w:ascii="Times" w:hAnsi="Times"/>
          <w:sz w:val="20"/>
          <w:szCs w:val="20"/>
        </w:rPr>
        <w:tab/>
      </w:r>
      <w:r w:rsidRPr="00A63514">
        <w:rPr>
          <w:rFonts w:ascii="Times" w:hAnsi="Times"/>
          <w:sz w:val="20"/>
          <w:szCs w:val="20"/>
        </w:rPr>
        <w:tab/>
      </w:r>
      <w:r w:rsidRPr="00A63514">
        <w:rPr>
          <w:rFonts w:ascii="Times" w:hAnsi="Times"/>
          <w:sz w:val="20"/>
          <w:szCs w:val="20"/>
        </w:rPr>
        <w:tab/>
        <w:t>Joseph F</w:t>
      </w:r>
      <w:r w:rsidRPr="00A63514">
        <w:rPr>
          <w:rFonts w:ascii="Times" w:hAnsi="Times"/>
          <w:smallCaps/>
          <w:sz w:val="20"/>
          <w:szCs w:val="20"/>
        </w:rPr>
        <w:t>amerée</w:t>
      </w:r>
    </w:p>
    <w:p w14:paraId="765C147E" w14:textId="77777777" w:rsidR="003326E5" w:rsidRPr="00A63514" w:rsidRDefault="003326E5" w:rsidP="003326E5">
      <w:pPr>
        <w:ind w:firstLine="284"/>
        <w:jc w:val="both"/>
        <w:rPr>
          <w:rFonts w:ascii="Times" w:hAnsi="Times"/>
          <w:i/>
          <w:sz w:val="20"/>
          <w:szCs w:val="20"/>
        </w:rPr>
      </w:pPr>
      <w:r w:rsidRPr="00A63514">
        <w:rPr>
          <w:rFonts w:ascii="Times" w:hAnsi="Times"/>
          <w:sz w:val="20"/>
          <w:szCs w:val="20"/>
        </w:rPr>
        <w:t>Grand-Place, 45, bte L.3.01.01</w:t>
      </w:r>
      <w:r w:rsidRPr="00A63514">
        <w:rPr>
          <w:rFonts w:ascii="Times" w:hAnsi="Times"/>
          <w:sz w:val="20"/>
          <w:szCs w:val="20"/>
        </w:rPr>
        <w:tab/>
      </w:r>
      <w:r w:rsidRPr="00A63514">
        <w:rPr>
          <w:rFonts w:ascii="Times" w:hAnsi="Times"/>
          <w:sz w:val="20"/>
          <w:szCs w:val="20"/>
        </w:rPr>
        <w:tab/>
      </w:r>
      <w:r w:rsidRPr="00A63514">
        <w:rPr>
          <w:rFonts w:ascii="Times" w:hAnsi="Times"/>
          <w:sz w:val="20"/>
          <w:szCs w:val="20"/>
        </w:rPr>
        <w:tab/>
      </w:r>
      <w:r w:rsidRPr="00A63514">
        <w:rPr>
          <w:rFonts w:ascii="Times" w:hAnsi="Times"/>
          <w:sz w:val="20"/>
          <w:szCs w:val="20"/>
        </w:rPr>
        <w:tab/>
        <w:t xml:space="preserve">            </w:t>
      </w:r>
      <w:r w:rsidRPr="00A63514">
        <w:rPr>
          <w:rFonts w:ascii="Times" w:hAnsi="Times"/>
          <w:i/>
          <w:sz w:val="20"/>
          <w:szCs w:val="20"/>
        </w:rPr>
        <w:t>Professeur émérite à la Faculté de théologie</w:t>
      </w:r>
    </w:p>
    <w:p w14:paraId="458B1EC8" w14:textId="77777777" w:rsidR="003326E5" w:rsidRPr="00A63514" w:rsidRDefault="00D41267" w:rsidP="003326E5">
      <w:pPr>
        <w:ind w:firstLine="284"/>
        <w:jc w:val="both"/>
        <w:rPr>
          <w:rFonts w:ascii="Times" w:hAnsi="Times"/>
          <w:sz w:val="20"/>
          <w:szCs w:val="20"/>
        </w:rPr>
      </w:pPr>
      <w:hyperlink r:id="rId7" w:history="1">
        <w:r w:rsidR="003326E5" w:rsidRPr="00A63514">
          <w:rPr>
            <w:rStyle w:val="Lienhypertexte"/>
            <w:rFonts w:ascii="Times" w:hAnsi="Times"/>
            <w:sz w:val="20"/>
            <w:szCs w:val="20"/>
          </w:rPr>
          <w:t>joseph.fameree@uclouvain.be</w:t>
        </w:r>
      </w:hyperlink>
      <w:r w:rsidR="003326E5" w:rsidRPr="00A63514">
        <w:rPr>
          <w:rFonts w:ascii="Times" w:hAnsi="Times"/>
          <w:sz w:val="20"/>
          <w:szCs w:val="20"/>
        </w:rPr>
        <w:tab/>
      </w:r>
      <w:r w:rsidR="003326E5" w:rsidRPr="00A63514">
        <w:rPr>
          <w:rFonts w:ascii="Times" w:hAnsi="Times"/>
          <w:sz w:val="20"/>
          <w:szCs w:val="20"/>
        </w:rPr>
        <w:tab/>
      </w:r>
      <w:r w:rsidR="003326E5" w:rsidRPr="00A63514">
        <w:rPr>
          <w:rFonts w:ascii="Times" w:hAnsi="Times"/>
          <w:sz w:val="20"/>
          <w:szCs w:val="20"/>
        </w:rPr>
        <w:tab/>
      </w:r>
      <w:r w:rsidR="003326E5" w:rsidRPr="00A63514">
        <w:rPr>
          <w:rFonts w:ascii="Times" w:hAnsi="Times"/>
          <w:sz w:val="20"/>
          <w:szCs w:val="20"/>
        </w:rPr>
        <w:tab/>
      </w:r>
      <w:r w:rsidR="003326E5" w:rsidRPr="00A63514">
        <w:rPr>
          <w:rFonts w:ascii="Times" w:hAnsi="Times"/>
          <w:sz w:val="20"/>
          <w:szCs w:val="20"/>
        </w:rPr>
        <w:tab/>
        <w:t xml:space="preserve">           </w:t>
      </w:r>
      <w:r w:rsidR="003326E5" w:rsidRPr="00A63514">
        <w:rPr>
          <w:rFonts w:ascii="Times" w:hAnsi="Times"/>
          <w:i/>
          <w:sz w:val="20"/>
          <w:szCs w:val="20"/>
        </w:rPr>
        <w:t>Institut de recherche RSCS</w:t>
      </w:r>
    </w:p>
    <w:p w14:paraId="0528C5FC" w14:textId="77777777" w:rsidR="003326E5" w:rsidRPr="00A63514" w:rsidRDefault="003326E5" w:rsidP="003326E5">
      <w:pPr>
        <w:ind w:firstLine="284"/>
        <w:jc w:val="both"/>
        <w:rPr>
          <w:rFonts w:ascii="Times" w:hAnsi="Times"/>
          <w:i/>
          <w:sz w:val="20"/>
          <w:szCs w:val="20"/>
        </w:rPr>
      </w:pPr>
      <w:r w:rsidRPr="00A63514">
        <w:rPr>
          <w:rFonts w:ascii="Times" w:hAnsi="Times"/>
          <w:sz w:val="20"/>
          <w:szCs w:val="20"/>
        </w:rPr>
        <w:tab/>
      </w:r>
      <w:r w:rsidRPr="00A63514">
        <w:rPr>
          <w:rFonts w:ascii="Times" w:hAnsi="Times"/>
          <w:sz w:val="20"/>
          <w:szCs w:val="20"/>
        </w:rPr>
        <w:tab/>
      </w:r>
      <w:r w:rsidRPr="00A63514">
        <w:rPr>
          <w:rFonts w:ascii="Times" w:hAnsi="Times"/>
          <w:sz w:val="20"/>
          <w:szCs w:val="20"/>
        </w:rPr>
        <w:tab/>
      </w:r>
      <w:r w:rsidRPr="00A63514">
        <w:rPr>
          <w:rFonts w:ascii="Times" w:hAnsi="Times"/>
          <w:sz w:val="20"/>
          <w:szCs w:val="20"/>
        </w:rPr>
        <w:tab/>
      </w:r>
      <w:r w:rsidRPr="00A63514">
        <w:rPr>
          <w:rFonts w:ascii="Times" w:hAnsi="Times"/>
          <w:sz w:val="20"/>
          <w:szCs w:val="20"/>
        </w:rPr>
        <w:tab/>
      </w:r>
      <w:r w:rsidRPr="00A63514">
        <w:rPr>
          <w:rFonts w:ascii="Times" w:hAnsi="Times"/>
          <w:sz w:val="20"/>
          <w:szCs w:val="20"/>
        </w:rPr>
        <w:tab/>
      </w:r>
      <w:r w:rsidRPr="00A63514">
        <w:rPr>
          <w:rFonts w:ascii="Times" w:hAnsi="Times"/>
          <w:sz w:val="20"/>
          <w:szCs w:val="20"/>
        </w:rPr>
        <w:tab/>
      </w:r>
      <w:r w:rsidRPr="00A63514">
        <w:rPr>
          <w:rFonts w:ascii="Times" w:hAnsi="Times"/>
          <w:sz w:val="20"/>
          <w:szCs w:val="20"/>
        </w:rPr>
        <w:tab/>
        <w:t xml:space="preserve">     </w:t>
      </w:r>
      <w:r w:rsidRPr="00A63514">
        <w:rPr>
          <w:rFonts w:ascii="Times" w:hAnsi="Times"/>
          <w:i/>
          <w:sz w:val="20"/>
          <w:szCs w:val="20"/>
        </w:rPr>
        <w:t>Université catholique de Louvain</w:t>
      </w:r>
    </w:p>
    <w:p w14:paraId="08401A89" w14:textId="77777777" w:rsidR="003326E5" w:rsidRPr="00A63514" w:rsidRDefault="003326E5" w:rsidP="003326E5">
      <w:pPr>
        <w:spacing w:line="360" w:lineRule="auto"/>
        <w:jc w:val="both"/>
        <w:rPr>
          <w:rFonts w:ascii="Times" w:hAnsi="Times"/>
          <w:b/>
          <w:sz w:val="20"/>
          <w:szCs w:val="20"/>
        </w:rPr>
      </w:pPr>
    </w:p>
    <w:p w14:paraId="66310436" w14:textId="77777777" w:rsidR="001C338D" w:rsidRPr="00A63514" w:rsidRDefault="001C338D" w:rsidP="00CD172F">
      <w:pPr>
        <w:spacing w:line="360" w:lineRule="auto"/>
        <w:ind w:firstLine="284"/>
        <w:jc w:val="both"/>
        <w:rPr>
          <w:rFonts w:ascii="Times" w:hAnsi="Times"/>
        </w:rPr>
      </w:pPr>
    </w:p>
    <w:p w14:paraId="768E240F" w14:textId="77777777" w:rsidR="001C338D" w:rsidRPr="00A63514" w:rsidRDefault="001C338D" w:rsidP="00CD172F">
      <w:pPr>
        <w:spacing w:line="360" w:lineRule="auto"/>
        <w:ind w:firstLine="284"/>
        <w:jc w:val="both"/>
        <w:rPr>
          <w:rFonts w:ascii="Times" w:hAnsi="Times"/>
        </w:rPr>
      </w:pPr>
    </w:p>
    <w:sectPr w:rsidR="001C338D" w:rsidRPr="00A63514" w:rsidSect="00DF46F9">
      <w:headerReference w:type="even" r:id="rId8"/>
      <w:headerReference w:type="default" r:id="rId9"/>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690281" w14:textId="77777777" w:rsidR="00D41267" w:rsidRDefault="00D41267" w:rsidP="00AB1F61">
      <w:r>
        <w:separator/>
      </w:r>
    </w:p>
  </w:endnote>
  <w:endnote w:type="continuationSeparator" w:id="0">
    <w:p w14:paraId="082F0EDF" w14:textId="77777777" w:rsidR="00D41267" w:rsidRDefault="00D41267" w:rsidP="00AB1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3566AC" w14:textId="77777777" w:rsidR="00D41267" w:rsidRDefault="00D41267" w:rsidP="00AB1F61">
      <w:r>
        <w:separator/>
      </w:r>
    </w:p>
  </w:footnote>
  <w:footnote w:type="continuationSeparator" w:id="0">
    <w:p w14:paraId="25A0DD63" w14:textId="77777777" w:rsidR="00D41267" w:rsidRDefault="00D41267" w:rsidP="00AB1F61">
      <w:r>
        <w:continuationSeparator/>
      </w:r>
    </w:p>
  </w:footnote>
  <w:footnote w:id="1">
    <w:p w14:paraId="39FB9208" w14:textId="5C89A273" w:rsidR="00BD1655" w:rsidRPr="00A63514" w:rsidRDefault="00BD1655" w:rsidP="00A63514">
      <w:pPr>
        <w:pStyle w:val="Notedebasdepage"/>
        <w:spacing w:line="480" w:lineRule="auto"/>
        <w:jc w:val="both"/>
        <w:rPr>
          <w:rFonts w:ascii="Times" w:hAnsi="Times"/>
          <w:lang w:val="nl-BE"/>
        </w:rPr>
      </w:pPr>
      <w:r w:rsidRPr="00A63514">
        <w:rPr>
          <w:rStyle w:val="Appelnotedebasdep"/>
        </w:rPr>
        <w:footnoteRef/>
      </w:r>
      <w:r w:rsidRPr="00A63514">
        <w:rPr>
          <w:rFonts w:ascii="Times" w:hAnsi="Times"/>
        </w:rPr>
        <w:t xml:space="preserve"> </w:t>
      </w:r>
      <w:r w:rsidRPr="00A63514">
        <w:rPr>
          <w:rFonts w:ascii="Times" w:hAnsi="Times"/>
          <w:smallCaps/>
        </w:rPr>
        <w:t>Concile Vatican II</w:t>
      </w:r>
      <w:r w:rsidRPr="00A63514">
        <w:rPr>
          <w:rFonts w:ascii="Times" w:hAnsi="Times"/>
        </w:rPr>
        <w:t xml:space="preserve">, Constitution dogmatique sur l’Église </w:t>
      </w:r>
      <w:r w:rsidRPr="00A63514">
        <w:rPr>
          <w:rFonts w:ascii="Times" w:hAnsi="Times"/>
          <w:i/>
        </w:rPr>
        <w:t xml:space="preserve">Lumen gentium </w:t>
      </w:r>
      <w:r w:rsidRPr="00A63514">
        <w:rPr>
          <w:rFonts w:ascii="Times" w:hAnsi="Times"/>
        </w:rPr>
        <w:t xml:space="preserve">(LG), 1, cité d’après </w:t>
      </w:r>
      <w:r w:rsidRPr="00A63514">
        <w:rPr>
          <w:rFonts w:ascii="Times" w:hAnsi="Times"/>
          <w:i/>
        </w:rPr>
        <w:t>Concile œcuménique Vatican II</w:t>
      </w:r>
      <w:r w:rsidRPr="00A63514">
        <w:rPr>
          <w:rFonts w:ascii="Times" w:hAnsi="Times"/>
        </w:rPr>
        <w:t>, Paris, Éd. du Centurion, 1967, p. 13.</w:t>
      </w:r>
    </w:p>
  </w:footnote>
  <w:footnote w:id="2">
    <w:p w14:paraId="242CFD48" w14:textId="241B66B1" w:rsidR="006A3235" w:rsidRPr="00A63514" w:rsidRDefault="006A3235" w:rsidP="00A63514">
      <w:pPr>
        <w:pStyle w:val="Notedebasdepage"/>
        <w:spacing w:line="480" w:lineRule="auto"/>
        <w:jc w:val="both"/>
        <w:rPr>
          <w:rFonts w:ascii="Times" w:hAnsi="Times"/>
          <w:lang w:val="nl-BE"/>
        </w:rPr>
      </w:pPr>
      <w:r w:rsidRPr="00A63514">
        <w:rPr>
          <w:rStyle w:val="Appelnotedebasdep"/>
        </w:rPr>
        <w:footnoteRef/>
      </w:r>
      <w:r w:rsidRPr="00A63514">
        <w:rPr>
          <w:rFonts w:ascii="Times" w:hAnsi="Times"/>
        </w:rPr>
        <w:t xml:space="preserve"> Cette citation entre guillemets simples vient de l’oraison après la deuxième lecture du Samedi saint dans le Missel romain d’avant la restauration de la Semaine sainte.</w:t>
      </w:r>
    </w:p>
  </w:footnote>
  <w:footnote w:id="3">
    <w:p w14:paraId="2B8AEAFB" w14:textId="14A5E507" w:rsidR="000C12F9" w:rsidRPr="00A63514" w:rsidRDefault="000C12F9" w:rsidP="00A63514">
      <w:pPr>
        <w:pStyle w:val="Notedebasdepage"/>
        <w:spacing w:line="480" w:lineRule="auto"/>
        <w:jc w:val="both"/>
        <w:rPr>
          <w:rFonts w:ascii="Times" w:hAnsi="Times"/>
          <w:lang w:val="nl-BE"/>
        </w:rPr>
      </w:pPr>
      <w:r w:rsidRPr="00A63514">
        <w:rPr>
          <w:rStyle w:val="Appelnotedebasdep"/>
        </w:rPr>
        <w:footnoteRef/>
      </w:r>
      <w:r w:rsidRPr="00A63514">
        <w:t xml:space="preserve"> </w:t>
      </w:r>
      <w:r w:rsidR="001E255B" w:rsidRPr="00A63514">
        <w:rPr>
          <w:rFonts w:ascii="Times" w:hAnsi="Times"/>
        </w:rPr>
        <w:t>É</w:t>
      </w:r>
      <w:r w:rsidRPr="00A63514">
        <w:rPr>
          <w:rFonts w:ascii="Times" w:hAnsi="Times"/>
        </w:rPr>
        <w:t>d. du Centurion, p. 152.</w:t>
      </w:r>
      <w:r w:rsidR="00C80582" w:rsidRPr="00A63514">
        <w:rPr>
          <w:rFonts w:ascii="Times" w:hAnsi="Times"/>
        </w:rPr>
        <w:t xml:space="preserve"> La lettre majuscule derrière le n° du paragraphe numérote, quand il y a lieu, les alinéas au sein du paragraphe.</w:t>
      </w:r>
    </w:p>
  </w:footnote>
  <w:footnote w:id="4">
    <w:p w14:paraId="4A4778A7" w14:textId="25B257BD" w:rsidR="001562A8" w:rsidRPr="00A63514" w:rsidRDefault="001562A8" w:rsidP="00A63514">
      <w:pPr>
        <w:pStyle w:val="Notedebasdepage"/>
        <w:spacing w:line="480" w:lineRule="auto"/>
        <w:jc w:val="both"/>
        <w:rPr>
          <w:rFonts w:ascii="Times" w:hAnsi="Times"/>
          <w:lang w:val="nl-BE"/>
        </w:rPr>
      </w:pPr>
      <w:r w:rsidRPr="00A63514">
        <w:rPr>
          <w:rStyle w:val="Appelnotedebasdep"/>
        </w:rPr>
        <w:footnoteRef/>
      </w:r>
      <w:r w:rsidRPr="00A63514">
        <w:rPr>
          <w:rFonts w:ascii="Times" w:hAnsi="Times"/>
        </w:rPr>
        <w:t xml:space="preserve"> </w:t>
      </w:r>
      <w:r w:rsidRPr="00A63514">
        <w:rPr>
          <w:rFonts w:ascii="Times" w:hAnsi="Times"/>
          <w:lang w:val="nl-BE"/>
        </w:rPr>
        <w:t xml:space="preserve">La traduction </w:t>
      </w:r>
      <w:r w:rsidR="00910DA2" w:rsidRPr="00A63514">
        <w:rPr>
          <w:rFonts w:ascii="Times" w:hAnsi="Times"/>
          <w:lang w:val="nl-BE"/>
        </w:rPr>
        <w:t xml:space="preserve">du texte latin de Vatican II </w:t>
      </w:r>
      <w:r w:rsidR="001E255B" w:rsidRPr="00A63514">
        <w:rPr>
          <w:rFonts w:ascii="Times" w:hAnsi="Times"/>
          <w:lang w:val="nl-BE"/>
        </w:rPr>
        <w:t>sera toujours</w:t>
      </w:r>
      <w:r w:rsidRPr="00A63514">
        <w:rPr>
          <w:rFonts w:ascii="Times" w:hAnsi="Times"/>
          <w:lang w:val="nl-BE"/>
        </w:rPr>
        <w:t xml:space="preserve"> nôtre.</w:t>
      </w:r>
    </w:p>
  </w:footnote>
  <w:footnote w:id="5">
    <w:p w14:paraId="15EE6150" w14:textId="5829B4EB" w:rsidR="001E255B" w:rsidRPr="00A63514" w:rsidRDefault="001E255B" w:rsidP="00A63514">
      <w:pPr>
        <w:pStyle w:val="Notedebasdepage"/>
        <w:spacing w:line="480" w:lineRule="auto"/>
        <w:jc w:val="both"/>
        <w:rPr>
          <w:rFonts w:ascii="Times" w:hAnsi="Times"/>
          <w:lang w:val="nl-BE"/>
        </w:rPr>
      </w:pPr>
      <w:r w:rsidRPr="000C6989">
        <w:rPr>
          <w:rStyle w:val="Appelnotedebasdep"/>
        </w:rPr>
        <w:footnoteRef/>
      </w:r>
      <w:r w:rsidRPr="00A63514">
        <w:rPr>
          <w:rFonts w:ascii="Times" w:hAnsi="Times"/>
        </w:rPr>
        <w:t xml:space="preserve"> Éd. du Centurion, p. 163. L’expression vient de Cyprien de Carthage, </w:t>
      </w:r>
      <w:r w:rsidRPr="00A63514">
        <w:rPr>
          <w:rFonts w:ascii="Times" w:hAnsi="Times"/>
          <w:i/>
        </w:rPr>
        <w:t>De catholicae ecclesiae unitate</w:t>
      </w:r>
      <w:r w:rsidRPr="00A63514">
        <w:rPr>
          <w:rFonts w:ascii="Times" w:hAnsi="Times"/>
        </w:rPr>
        <w:t>, 7.</w:t>
      </w:r>
    </w:p>
  </w:footnote>
  <w:footnote w:id="6">
    <w:p w14:paraId="37CFA623" w14:textId="4141E64E" w:rsidR="00717C89" w:rsidRPr="00A63514" w:rsidRDefault="00717C89" w:rsidP="00A63514">
      <w:pPr>
        <w:pStyle w:val="Notedebasdepage"/>
        <w:spacing w:line="480" w:lineRule="auto"/>
        <w:jc w:val="both"/>
        <w:rPr>
          <w:rFonts w:ascii="Times" w:hAnsi="Times"/>
          <w:lang w:val="nl-BE"/>
        </w:rPr>
      </w:pPr>
      <w:r w:rsidRPr="000C6989">
        <w:rPr>
          <w:rStyle w:val="Appelnotedebasdep"/>
        </w:rPr>
        <w:footnoteRef/>
      </w:r>
      <w:r w:rsidRPr="00A63514">
        <w:rPr>
          <w:rFonts w:ascii="Times" w:hAnsi="Times"/>
        </w:rPr>
        <w:t xml:space="preserve"> Voir aussi P. S</w:t>
      </w:r>
      <w:r w:rsidRPr="00A63514">
        <w:rPr>
          <w:rFonts w:ascii="Times" w:hAnsi="Times"/>
          <w:smallCaps/>
        </w:rPr>
        <w:t>mulders</w:t>
      </w:r>
      <w:r w:rsidRPr="00A63514">
        <w:rPr>
          <w:rFonts w:ascii="Times" w:hAnsi="Times"/>
        </w:rPr>
        <w:t xml:space="preserve">, « L’Église sacrement du salut », dans </w:t>
      </w:r>
      <w:r w:rsidRPr="00A63514">
        <w:rPr>
          <w:rFonts w:ascii="Times" w:hAnsi="Times"/>
          <w:smallCaps/>
        </w:rPr>
        <w:t>G. Barauna – Y. Congar</w:t>
      </w:r>
      <w:r w:rsidR="00CB4EA2" w:rsidRPr="00A63514">
        <w:rPr>
          <w:rFonts w:ascii="Times" w:hAnsi="Times"/>
        </w:rPr>
        <w:t xml:space="preserve"> (dir.),</w:t>
      </w:r>
      <w:r w:rsidRPr="00A63514">
        <w:rPr>
          <w:rFonts w:ascii="Times" w:hAnsi="Times"/>
        </w:rPr>
        <w:t xml:space="preserve"> </w:t>
      </w:r>
      <w:r w:rsidRPr="00A63514">
        <w:rPr>
          <w:rFonts w:ascii="Times" w:hAnsi="Times"/>
          <w:i/>
        </w:rPr>
        <w:t>L’Église de Vatican II</w:t>
      </w:r>
      <w:r w:rsidRPr="00A63514">
        <w:rPr>
          <w:rFonts w:ascii="Times" w:hAnsi="Times"/>
        </w:rPr>
        <w:t xml:space="preserve">, t. II, Paris, Éd. du Cerf, </w:t>
      </w:r>
      <w:r w:rsidR="001D4F2B" w:rsidRPr="00A63514">
        <w:rPr>
          <w:rFonts w:ascii="Times" w:hAnsi="Times"/>
        </w:rPr>
        <w:t xml:space="preserve">Coll. </w:t>
      </w:r>
      <w:r w:rsidR="001D4F2B" w:rsidRPr="00A63514">
        <w:rPr>
          <w:rFonts w:ascii="Times" w:hAnsi="Times"/>
          <w:i/>
        </w:rPr>
        <w:t>Unam Sanctam</w:t>
      </w:r>
      <w:r w:rsidR="001D4F2B" w:rsidRPr="00A63514">
        <w:rPr>
          <w:rFonts w:ascii="Times" w:hAnsi="Times"/>
        </w:rPr>
        <w:t xml:space="preserve">, 51b, </w:t>
      </w:r>
      <w:r w:rsidRPr="00A63514">
        <w:rPr>
          <w:rFonts w:ascii="Times" w:hAnsi="Times"/>
        </w:rPr>
        <w:t>1966, p. 313-338.</w:t>
      </w:r>
    </w:p>
  </w:footnote>
  <w:footnote w:id="7">
    <w:p w14:paraId="63684AF5" w14:textId="77BDCE50" w:rsidR="00904FD8" w:rsidRPr="00A63514" w:rsidRDefault="00904FD8" w:rsidP="00A63514">
      <w:pPr>
        <w:pStyle w:val="Notedebasdepage"/>
        <w:spacing w:line="480" w:lineRule="auto"/>
        <w:jc w:val="both"/>
        <w:rPr>
          <w:rFonts w:ascii="Times" w:hAnsi="Times"/>
          <w:lang w:val="nl-BE"/>
        </w:rPr>
      </w:pPr>
      <w:r w:rsidRPr="000C6989">
        <w:rPr>
          <w:rStyle w:val="Appelnotedebasdep"/>
        </w:rPr>
        <w:footnoteRef/>
      </w:r>
      <w:r w:rsidRPr="00A63514">
        <w:rPr>
          <w:rFonts w:ascii="Times" w:hAnsi="Times"/>
        </w:rPr>
        <w:t xml:space="preserve"> Éd. du Centurion, p. 13.</w:t>
      </w:r>
    </w:p>
  </w:footnote>
  <w:footnote w:id="8">
    <w:p w14:paraId="5238DA13" w14:textId="37C0730A" w:rsidR="001C0B85" w:rsidRPr="00A63514" w:rsidRDefault="001C0B85" w:rsidP="00A63514">
      <w:pPr>
        <w:pStyle w:val="Notedebasdepage"/>
        <w:spacing w:line="480" w:lineRule="auto"/>
        <w:jc w:val="both"/>
        <w:rPr>
          <w:rFonts w:ascii="Times" w:hAnsi="Times"/>
          <w:lang w:val="nl-BE"/>
        </w:rPr>
      </w:pPr>
      <w:r w:rsidRPr="000C6989">
        <w:rPr>
          <w:rStyle w:val="Appelnotedebasdep"/>
        </w:rPr>
        <w:footnoteRef/>
      </w:r>
      <w:r w:rsidRPr="00A63514">
        <w:rPr>
          <w:rFonts w:ascii="Times" w:hAnsi="Times"/>
        </w:rPr>
        <w:t xml:space="preserve"> </w:t>
      </w:r>
      <w:r w:rsidR="00B56FB4" w:rsidRPr="00A63514">
        <w:rPr>
          <w:rFonts w:ascii="Times" w:hAnsi="Times"/>
        </w:rPr>
        <w:t>Toute tendue vers la venue du Règne de Dieu et l’instauration</w:t>
      </w:r>
      <w:r w:rsidR="00602918" w:rsidRPr="00A63514">
        <w:rPr>
          <w:rFonts w:ascii="Times" w:hAnsi="Times"/>
        </w:rPr>
        <w:t xml:space="preserve"> du salut de tout le genre humain,</w:t>
      </w:r>
      <w:r w:rsidR="008D7EDB" w:rsidRPr="00A63514">
        <w:rPr>
          <w:rFonts w:ascii="Times" w:hAnsi="Times"/>
        </w:rPr>
        <w:t xml:space="preserve"> relève </w:t>
      </w:r>
      <w:r w:rsidR="008D7EDB" w:rsidRPr="00A63514">
        <w:rPr>
          <w:rFonts w:ascii="Times" w:hAnsi="Times"/>
          <w:i/>
        </w:rPr>
        <w:t>Gaudium et spes</w:t>
      </w:r>
      <w:r w:rsidR="008D7EDB" w:rsidRPr="00A63514">
        <w:rPr>
          <w:rFonts w:ascii="Times" w:hAnsi="Times"/>
        </w:rPr>
        <w:t xml:space="preserve"> 45A,</w:t>
      </w:r>
      <w:r w:rsidR="00602918" w:rsidRPr="00A63514">
        <w:rPr>
          <w:rFonts w:ascii="Times" w:hAnsi="Times"/>
        </w:rPr>
        <w:t xml:space="preserve"> </w:t>
      </w:r>
      <w:r w:rsidR="008D7EDB" w:rsidRPr="00A63514">
        <w:rPr>
          <w:rFonts w:ascii="Times" w:hAnsi="Times"/>
        </w:rPr>
        <w:t>l’Église est ‘le sacrement universel du salut’ (‘</w:t>
      </w:r>
      <w:r w:rsidR="008D7EDB" w:rsidRPr="00A63514">
        <w:rPr>
          <w:rFonts w:ascii="Times" w:hAnsi="Times"/>
          <w:i/>
        </w:rPr>
        <w:t>universale salutis sacramentum’</w:t>
      </w:r>
      <w:r w:rsidR="008D7EDB" w:rsidRPr="00A63514">
        <w:rPr>
          <w:rFonts w:ascii="Times" w:hAnsi="Times"/>
        </w:rPr>
        <w:t xml:space="preserve"> [LG 48B]), manifestant et opérant à la fois (</w:t>
      </w:r>
      <w:r w:rsidR="008D7EDB" w:rsidRPr="00A63514">
        <w:rPr>
          <w:rFonts w:ascii="Times" w:hAnsi="Times"/>
          <w:i/>
        </w:rPr>
        <w:t>manifestans simul et operans</w:t>
      </w:r>
      <w:r w:rsidR="008D7EDB" w:rsidRPr="00A63514">
        <w:rPr>
          <w:rFonts w:ascii="Times" w:hAnsi="Times"/>
        </w:rPr>
        <w:t>) le mystère de l’amour de Dieu pour l’être humain » (pour le latin, éd. du Centurion, p. 270).</w:t>
      </w:r>
      <w:r w:rsidR="00FF3BB9" w:rsidRPr="00A63514">
        <w:rPr>
          <w:rFonts w:ascii="Times" w:hAnsi="Times"/>
        </w:rPr>
        <w:t xml:space="preserve"> On retrouve ici les </w:t>
      </w:r>
      <w:r w:rsidR="00D05211" w:rsidRPr="00A63514">
        <w:rPr>
          <w:rFonts w:ascii="Times" w:hAnsi="Times"/>
        </w:rPr>
        <w:t>deux aspects classiques et indissociables de la sacramentalité : signification (manifestation) et effectuation (réalisation) de grâce, sig</w:t>
      </w:r>
      <w:r w:rsidR="00DB5A6C" w:rsidRPr="00A63514">
        <w:rPr>
          <w:rFonts w:ascii="Times" w:hAnsi="Times"/>
        </w:rPr>
        <w:t>nification dans l’effectuation</w:t>
      </w:r>
      <w:r w:rsidR="00781580" w:rsidRPr="00A63514">
        <w:rPr>
          <w:rFonts w:ascii="Times" w:hAnsi="Times"/>
        </w:rPr>
        <w:t xml:space="preserve"> (</w:t>
      </w:r>
      <w:r w:rsidR="00781580" w:rsidRPr="00A63514">
        <w:rPr>
          <w:rFonts w:ascii="Times" w:hAnsi="Times"/>
          <w:i/>
        </w:rPr>
        <w:t>significant causando</w:t>
      </w:r>
      <w:r w:rsidR="00781580" w:rsidRPr="00A63514">
        <w:rPr>
          <w:rFonts w:ascii="Times" w:hAnsi="Times"/>
        </w:rPr>
        <w:t>)</w:t>
      </w:r>
      <w:r w:rsidR="00DB5A6C" w:rsidRPr="00A63514">
        <w:rPr>
          <w:rFonts w:ascii="Times" w:hAnsi="Times"/>
        </w:rPr>
        <w:t>, effectuation dans la signification</w:t>
      </w:r>
      <w:r w:rsidR="00781580" w:rsidRPr="00A63514">
        <w:rPr>
          <w:rFonts w:ascii="Times" w:hAnsi="Times"/>
        </w:rPr>
        <w:t xml:space="preserve"> (</w:t>
      </w:r>
      <w:r w:rsidR="00781580" w:rsidRPr="00A63514">
        <w:rPr>
          <w:rFonts w:ascii="Times" w:hAnsi="Times"/>
          <w:i/>
        </w:rPr>
        <w:t>causant significando</w:t>
      </w:r>
      <w:r w:rsidR="00781580" w:rsidRPr="00A63514">
        <w:rPr>
          <w:rFonts w:ascii="Times" w:hAnsi="Times"/>
        </w:rPr>
        <w:t>)</w:t>
      </w:r>
      <w:r w:rsidR="00DB5A6C" w:rsidRPr="00A63514">
        <w:rPr>
          <w:rFonts w:ascii="Times" w:hAnsi="Times"/>
        </w:rPr>
        <w:t>, ici par rapport à la venue du Règne de Dieu et l’instauration du salut de l’humanité entière.</w:t>
      </w:r>
    </w:p>
  </w:footnote>
  <w:footnote w:id="9">
    <w:p w14:paraId="0BB9C02D" w14:textId="2F7A2F9F" w:rsidR="006B0165" w:rsidRPr="00A63514" w:rsidRDefault="006B0165" w:rsidP="00A63514">
      <w:pPr>
        <w:pStyle w:val="Notedebasdepage"/>
        <w:spacing w:line="480" w:lineRule="auto"/>
        <w:jc w:val="both"/>
        <w:rPr>
          <w:rFonts w:ascii="Times" w:hAnsi="Times"/>
          <w:lang w:val="nl-BE"/>
        </w:rPr>
      </w:pPr>
      <w:r w:rsidRPr="000C6989">
        <w:rPr>
          <w:rStyle w:val="Appelnotedebasdep"/>
        </w:rPr>
        <w:footnoteRef/>
      </w:r>
      <w:r w:rsidRPr="00A63514">
        <w:rPr>
          <w:rFonts w:ascii="Times" w:hAnsi="Times"/>
        </w:rPr>
        <w:t xml:space="preserve"> Cette qualification ecclésiologique est référée à Cyprien de Carthage, </w:t>
      </w:r>
      <w:r w:rsidRPr="00A63514">
        <w:rPr>
          <w:rFonts w:ascii="Times" w:hAnsi="Times"/>
          <w:i/>
        </w:rPr>
        <w:t>Epistula</w:t>
      </w:r>
      <w:r w:rsidRPr="00A63514">
        <w:rPr>
          <w:rFonts w:ascii="Times" w:hAnsi="Times"/>
        </w:rPr>
        <w:t xml:space="preserve"> 69, 6 : « inseparabile unitatis sacramentum ».</w:t>
      </w:r>
    </w:p>
  </w:footnote>
  <w:footnote w:id="10">
    <w:p w14:paraId="60A9916C" w14:textId="6898350D" w:rsidR="006B0165" w:rsidRPr="00A63514" w:rsidRDefault="006B0165" w:rsidP="00A63514">
      <w:pPr>
        <w:pStyle w:val="Notedebasdepage"/>
        <w:spacing w:line="480" w:lineRule="auto"/>
        <w:jc w:val="both"/>
        <w:rPr>
          <w:rFonts w:ascii="Times" w:hAnsi="Times"/>
          <w:lang w:val="nl-BE"/>
        </w:rPr>
      </w:pPr>
      <w:r w:rsidRPr="000C6989">
        <w:rPr>
          <w:rStyle w:val="Appelnotedebasdep"/>
        </w:rPr>
        <w:footnoteRef/>
      </w:r>
      <w:r w:rsidRPr="00A63514">
        <w:rPr>
          <w:rFonts w:ascii="Times" w:hAnsi="Times"/>
        </w:rPr>
        <w:t xml:space="preserve"> Éd. du Centurion, p. 27.</w:t>
      </w:r>
    </w:p>
  </w:footnote>
  <w:footnote w:id="11">
    <w:p w14:paraId="698BD7A8" w14:textId="22EC839E" w:rsidR="001C07D6" w:rsidRPr="00A63514" w:rsidRDefault="001C07D6" w:rsidP="00A63514">
      <w:pPr>
        <w:pStyle w:val="Notedebasdepage"/>
        <w:spacing w:line="480" w:lineRule="auto"/>
        <w:jc w:val="both"/>
        <w:rPr>
          <w:rFonts w:ascii="Times" w:hAnsi="Times"/>
          <w:lang w:val="nl-BE"/>
        </w:rPr>
      </w:pPr>
      <w:r w:rsidRPr="000C6989">
        <w:rPr>
          <w:rStyle w:val="Appelnotedebasdep"/>
        </w:rPr>
        <w:footnoteRef/>
      </w:r>
      <w:r w:rsidRPr="00A63514">
        <w:rPr>
          <w:rFonts w:ascii="Times" w:hAnsi="Times"/>
        </w:rPr>
        <w:t xml:space="preserve"> Éd. du Centurion, p. 28.</w:t>
      </w:r>
    </w:p>
  </w:footnote>
  <w:footnote w:id="12">
    <w:p w14:paraId="46DF8775" w14:textId="0A5213F9" w:rsidR="00883955" w:rsidRPr="00A63514" w:rsidRDefault="00883955" w:rsidP="00A63514">
      <w:pPr>
        <w:pStyle w:val="Notedebasdepage"/>
        <w:spacing w:line="480" w:lineRule="auto"/>
        <w:jc w:val="both"/>
        <w:rPr>
          <w:rFonts w:ascii="Times" w:hAnsi="Times"/>
          <w:lang w:val="nl-BE"/>
        </w:rPr>
      </w:pPr>
      <w:r w:rsidRPr="000C6989">
        <w:rPr>
          <w:rStyle w:val="Appelnotedebasdep"/>
        </w:rPr>
        <w:footnoteRef/>
      </w:r>
      <w:r w:rsidRPr="00A63514">
        <w:rPr>
          <w:rFonts w:ascii="Times" w:hAnsi="Times"/>
        </w:rPr>
        <w:t xml:space="preserve"> Éd. du Centurion, p. 93.</w:t>
      </w:r>
    </w:p>
  </w:footnote>
  <w:footnote w:id="13">
    <w:p w14:paraId="136B8FF8" w14:textId="77777777" w:rsidR="009038FA" w:rsidRPr="00A63514" w:rsidRDefault="009038FA" w:rsidP="00A63514">
      <w:pPr>
        <w:pStyle w:val="Notedebasdepage"/>
        <w:spacing w:line="480" w:lineRule="auto"/>
        <w:rPr>
          <w:rFonts w:ascii="Times" w:hAnsi="Times"/>
          <w:lang w:val="nl-BE"/>
        </w:rPr>
      </w:pPr>
      <w:r w:rsidRPr="000C6989">
        <w:rPr>
          <w:rStyle w:val="Appelnotedebasdep"/>
        </w:rPr>
        <w:footnoteRef/>
      </w:r>
      <w:r w:rsidRPr="00A63514">
        <w:rPr>
          <w:rFonts w:ascii="Times" w:hAnsi="Times"/>
        </w:rPr>
        <w:t xml:space="preserve"> Cf. A. B</w:t>
      </w:r>
      <w:r w:rsidRPr="00A63514">
        <w:rPr>
          <w:rFonts w:ascii="Times" w:hAnsi="Times"/>
          <w:smallCaps/>
        </w:rPr>
        <w:t>irmelé</w:t>
      </w:r>
      <w:r w:rsidRPr="00A63514">
        <w:rPr>
          <w:rFonts w:ascii="Times" w:hAnsi="Times"/>
        </w:rPr>
        <w:t xml:space="preserve">, « La sacramentalité de l’Église et la théologie luthérienne », dans </w:t>
      </w:r>
      <w:r w:rsidRPr="00A63514">
        <w:rPr>
          <w:rFonts w:ascii="Times" w:hAnsi="Times"/>
          <w:i/>
        </w:rPr>
        <w:t>Irénikon</w:t>
      </w:r>
      <w:r w:rsidRPr="00A63514">
        <w:rPr>
          <w:rFonts w:ascii="Times" w:hAnsi="Times"/>
        </w:rPr>
        <w:t xml:space="preserve"> 59 (1986) 482-507.</w:t>
      </w:r>
    </w:p>
  </w:footnote>
  <w:footnote w:id="14">
    <w:p w14:paraId="22B9DD27" w14:textId="761C5920" w:rsidR="009A28A2" w:rsidRPr="00A63514" w:rsidRDefault="009A28A2" w:rsidP="00A63514">
      <w:pPr>
        <w:pStyle w:val="Notedebasdepage"/>
        <w:spacing w:line="480" w:lineRule="auto"/>
        <w:jc w:val="both"/>
        <w:rPr>
          <w:rFonts w:ascii="Times" w:hAnsi="Times"/>
          <w:lang w:val="nl-BE"/>
        </w:rPr>
      </w:pPr>
      <w:r w:rsidRPr="000C6989">
        <w:rPr>
          <w:rStyle w:val="Appelnotedebasdep"/>
        </w:rPr>
        <w:footnoteRef/>
      </w:r>
      <w:r w:rsidRPr="00A63514">
        <w:rPr>
          <w:rFonts w:ascii="Times" w:hAnsi="Times"/>
        </w:rPr>
        <w:t xml:space="preserve"> </w:t>
      </w:r>
      <w:r w:rsidR="00AE3CB0" w:rsidRPr="00A63514">
        <w:rPr>
          <w:rFonts w:ascii="Times" w:hAnsi="Times"/>
        </w:rPr>
        <w:t xml:space="preserve">« Unicus Mediator Christus Ecclesiam suam sanctam, fidei, spei et caritatis communitatem his in terris ut compaginem visibilem constituit et indesinenter sustentat, qua veritatem et gratiam ad omnes diffundit » ; </w:t>
      </w:r>
      <w:r w:rsidR="00E664B5" w:rsidRPr="00A63514">
        <w:rPr>
          <w:rFonts w:ascii="Times" w:hAnsi="Times"/>
        </w:rPr>
        <w:t>« Le Christ, unique Médiateur</w:t>
      </w:r>
      <w:r w:rsidR="0029670D" w:rsidRPr="00A63514">
        <w:rPr>
          <w:rFonts w:ascii="Times" w:hAnsi="Times"/>
        </w:rPr>
        <w:t xml:space="preserve">, constitue </w:t>
      </w:r>
      <w:r w:rsidR="00AE4A85" w:rsidRPr="00A63514">
        <w:rPr>
          <w:rFonts w:ascii="Times" w:hAnsi="Times"/>
        </w:rPr>
        <w:t xml:space="preserve">et soutient sans cesse sur cette terre, comme un ensemble visible, </w:t>
      </w:r>
      <w:r w:rsidR="0029670D" w:rsidRPr="00A63514">
        <w:rPr>
          <w:rFonts w:ascii="Times" w:hAnsi="Times"/>
        </w:rPr>
        <w:t>son Église sainte</w:t>
      </w:r>
      <w:r w:rsidR="00AE4A85" w:rsidRPr="00A63514">
        <w:rPr>
          <w:rFonts w:ascii="Times" w:hAnsi="Times"/>
        </w:rPr>
        <w:t>, communauté de foi, d’espérance et de charité</w:t>
      </w:r>
      <w:r w:rsidR="00A07BFE" w:rsidRPr="00A63514">
        <w:rPr>
          <w:rFonts w:ascii="Times" w:hAnsi="Times"/>
        </w:rPr>
        <w:t>, grâce à laquelle il répand pour tous la vérité et la grâce »</w:t>
      </w:r>
      <w:r w:rsidR="00514AD9" w:rsidRPr="00A63514">
        <w:rPr>
          <w:rFonts w:ascii="Times" w:hAnsi="Times"/>
        </w:rPr>
        <w:t xml:space="preserve"> (LG 8A, avant la citation </w:t>
      </w:r>
      <w:r w:rsidR="00905D84" w:rsidRPr="00A63514">
        <w:rPr>
          <w:rFonts w:ascii="Times" w:hAnsi="Times"/>
        </w:rPr>
        <w:t xml:space="preserve">ci-dessus </w:t>
      </w:r>
      <w:r w:rsidR="00514AD9" w:rsidRPr="00A63514">
        <w:rPr>
          <w:rFonts w:ascii="Times" w:hAnsi="Times"/>
        </w:rPr>
        <w:t>d</w:t>
      </w:r>
      <w:r w:rsidR="00905D84" w:rsidRPr="00A63514">
        <w:rPr>
          <w:rFonts w:ascii="Times" w:hAnsi="Times"/>
        </w:rPr>
        <w:t>ans le</w:t>
      </w:r>
      <w:r w:rsidR="00514AD9" w:rsidRPr="00A63514">
        <w:rPr>
          <w:rFonts w:ascii="Times" w:hAnsi="Times"/>
        </w:rPr>
        <w:t xml:space="preserve"> corps du texte ; éd. Centurion, p. 23).</w:t>
      </w:r>
    </w:p>
  </w:footnote>
  <w:footnote w:id="15">
    <w:p w14:paraId="0474F023" w14:textId="11F059B2" w:rsidR="00CE259E" w:rsidRPr="00A63514" w:rsidRDefault="00CE259E" w:rsidP="00A63514">
      <w:pPr>
        <w:pStyle w:val="Notedebasdepage"/>
        <w:spacing w:line="480" w:lineRule="auto"/>
        <w:jc w:val="both"/>
        <w:rPr>
          <w:rFonts w:ascii="Times" w:hAnsi="Times"/>
          <w:lang w:val="nl-BE"/>
        </w:rPr>
      </w:pPr>
      <w:r w:rsidRPr="000C6989">
        <w:rPr>
          <w:rStyle w:val="Appelnotedebasdep"/>
        </w:rPr>
        <w:footnoteRef/>
      </w:r>
      <w:r w:rsidRPr="00A63514">
        <w:rPr>
          <w:rFonts w:ascii="Times" w:hAnsi="Times"/>
        </w:rPr>
        <w:t xml:space="preserve"> Comme le suggère A. B</w:t>
      </w:r>
      <w:r w:rsidRPr="00A63514">
        <w:rPr>
          <w:rFonts w:ascii="Times" w:hAnsi="Times"/>
          <w:smallCaps/>
        </w:rPr>
        <w:t>irmelé</w:t>
      </w:r>
      <w:r w:rsidRPr="00A63514">
        <w:rPr>
          <w:rFonts w:ascii="Times" w:hAnsi="Times"/>
        </w:rPr>
        <w:t>, « La sacramentalité de l’Église et la théologie luthérienne », p. 489.</w:t>
      </w:r>
    </w:p>
  </w:footnote>
  <w:footnote w:id="16">
    <w:p w14:paraId="05DCC113" w14:textId="1F608ADC" w:rsidR="00424EE3" w:rsidRPr="00A63514" w:rsidRDefault="00424EE3" w:rsidP="00A63514">
      <w:pPr>
        <w:pStyle w:val="Notedebasdepage"/>
        <w:spacing w:line="480" w:lineRule="auto"/>
        <w:jc w:val="both"/>
        <w:rPr>
          <w:rFonts w:ascii="Times" w:hAnsi="Times"/>
          <w:lang w:val="nl-BE"/>
        </w:rPr>
      </w:pPr>
      <w:r w:rsidRPr="000C6989">
        <w:rPr>
          <w:rStyle w:val="Appelnotedebasdep"/>
        </w:rPr>
        <w:footnoteRef/>
      </w:r>
      <w:r w:rsidRPr="00A63514">
        <w:rPr>
          <w:rFonts w:ascii="Times" w:hAnsi="Times"/>
        </w:rPr>
        <w:t xml:space="preserve"> </w:t>
      </w:r>
      <w:r w:rsidR="00EC3ECC" w:rsidRPr="00A63514">
        <w:rPr>
          <w:rFonts w:ascii="Times" w:hAnsi="Times"/>
        </w:rPr>
        <w:t>On sait combien notre collègue Gilles Routhier a exploré cette méthode dans ses innombrables études sur Vatican II. Pour prendre une étude de la dernière décennie, voir G. R</w:t>
      </w:r>
      <w:r w:rsidR="00EC3ECC" w:rsidRPr="00A63514">
        <w:rPr>
          <w:rFonts w:ascii="Times" w:hAnsi="Times"/>
          <w:smallCaps/>
        </w:rPr>
        <w:t>outhier</w:t>
      </w:r>
      <w:r w:rsidR="00EC3ECC" w:rsidRPr="00A63514">
        <w:rPr>
          <w:rFonts w:ascii="Times" w:hAnsi="Times"/>
        </w:rPr>
        <w:t xml:space="preserve">, </w:t>
      </w:r>
      <w:r w:rsidR="00206586" w:rsidRPr="00A63514">
        <w:rPr>
          <w:rFonts w:ascii="Times" w:hAnsi="Times"/>
        </w:rPr>
        <w:t>« </w:t>
      </w:r>
      <w:r w:rsidR="006A6A63" w:rsidRPr="00A63514">
        <w:rPr>
          <w:rFonts w:ascii="Times" w:hAnsi="Times"/>
        </w:rPr>
        <w:t xml:space="preserve">Les décrets </w:t>
      </w:r>
      <w:r w:rsidR="006A6A63" w:rsidRPr="00A63514">
        <w:rPr>
          <w:rFonts w:ascii="Times" w:hAnsi="Times"/>
          <w:i/>
        </w:rPr>
        <w:t>Presbyterorum</w:t>
      </w:r>
      <w:r w:rsidR="00206586" w:rsidRPr="00A63514">
        <w:rPr>
          <w:rFonts w:ascii="Times" w:hAnsi="Times"/>
          <w:i/>
        </w:rPr>
        <w:t xml:space="preserve"> ordinis </w:t>
      </w:r>
      <w:r w:rsidR="00206586" w:rsidRPr="00A63514">
        <w:rPr>
          <w:rFonts w:ascii="Times" w:hAnsi="Times"/>
        </w:rPr>
        <w:t>et</w:t>
      </w:r>
      <w:r w:rsidR="00206586" w:rsidRPr="00A63514">
        <w:rPr>
          <w:rFonts w:ascii="Times" w:hAnsi="Times"/>
          <w:i/>
        </w:rPr>
        <w:t xml:space="preserve"> Optatam totius</w:t>
      </w:r>
      <w:r w:rsidR="00206586" w:rsidRPr="00A63514">
        <w:rPr>
          <w:rFonts w:ascii="Times" w:hAnsi="Times"/>
        </w:rPr>
        <w:t xml:space="preserve">. Débats inachevés et questions pendantes », dans </w:t>
      </w:r>
      <w:r w:rsidR="00206586" w:rsidRPr="00A63514">
        <w:rPr>
          <w:rFonts w:ascii="Times" w:hAnsi="Times"/>
          <w:i/>
        </w:rPr>
        <w:t>Revue théologique de Louvain</w:t>
      </w:r>
      <w:r w:rsidR="00206586" w:rsidRPr="00A63514">
        <w:rPr>
          <w:rFonts w:ascii="Times" w:hAnsi="Times"/>
        </w:rPr>
        <w:t xml:space="preserve"> 45 (2014) 25-51</w:t>
      </w:r>
      <w:r w:rsidR="000B28E7" w:rsidRPr="00A63514">
        <w:rPr>
          <w:rFonts w:ascii="Times" w:hAnsi="Times"/>
        </w:rPr>
        <w:t>, p. 26-30 notamment.</w:t>
      </w:r>
      <w:r w:rsidR="00FA3FCE" w:rsidRPr="00A63514">
        <w:rPr>
          <w:rFonts w:ascii="Times" w:hAnsi="Times"/>
        </w:rPr>
        <w:t xml:space="preserve"> Voir aussi </w:t>
      </w:r>
      <w:r w:rsidR="00FA3FCE" w:rsidRPr="00A63514">
        <w:rPr>
          <w:rFonts w:ascii="Times" w:hAnsi="Times"/>
        </w:rPr>
        <w:t>G. R</w:t>
      </w:r>
      <w:r w:rsidR="00FA3FCE" w:rsidRPr="00A63514">
        <w:rPr>
          <w:rFonts w:ascii="Times" w:hAnsi="Times"/>
          <w:smallCaps/>
        </w:rPr>
        <w:t>outhier</w:t>
      </w:r>
      <w:r w:rsidR="00FA3FCE" w:rsidRPr="00A63514">
        <w:rPr>
          <w:rFonts w:ascii="Times" w:hAnsi="Times"/>
        </w:rPr>
        <w:t>, « L</w:t>
      </w:r>
      <w:r w:rsidR="00FA3FCE" w:rsidRPr="00A63514">
        <w:rPr>
          <w:rFonts w:ascii="Times" w:hAnsi="Times"/>
        </w:rPr>
        <w:t>’écho de l’enseignement de Vatican II sur le presbytérat dans la situation actuelle »</w:t>
      </w:r>
      <w:r w:rsidR="00FA3FCE" w:rsidRPr="00A63514">
        <w:rPr>
          <w:rFonts w:ascii="Times" w:hAnsi="Times"/>
        </w:rPr>
        <w:t xml:space="preserve">, dans </w:t>
      </w:r>
      <w:r w:rsidR="00FA3FCE" w:rsidRPr="00A63514">
        <w:rPr>
          <w:rFonts w:ascii="Times" w:hAnsi="Times"/>
          <w:i/>
        </w:rPr>
        <w:t>Revue théologique de Louvain</w:t>
      </w:r>
      <w:r w:rsidR="00FA3FCE" w:rsidRPr="00A63514">
        <w:rPr>
          <w:rFonts w:ascii="Times" w:hAnsi="Times"/>
        </w:rPr>
        <w:t xml:space="preserve"> 41 (2010</w:t>
      </w:r>
      <w:r w:rsidR="00FA3FCE" w:rsidRPr="00A63514">
        <w:rPr>
          <w:rFonts w:ascii="Times" w:hAnsi="Times"/>
        </w:rPr>
        <w:t xml:space="preserve">) </w:t>
      </w:r>
      <w:r w:rsidR="00FA3FCE" w:rsidRPr="00A63514">
        <w:rPr>
          <w:rFonts w:ascii="Times" w:hAnsi="Times"/>
        </w:rPr>
        <w:t>86</w:t>
      </w:r>
      <w:r w:rsidR="00FA3FCE" w:rsidRPr="00A63514">
        <w:rPr>
          <w:rFonts w:ascii="Times" w:hAnsi="Times"/>
        </w:rPr>
        <w:t>-</w:t>
      </w:r>
      <w:r w:rsidR="00FA3FCE" w:rsidRPr="00A63514">
        <w:rPr>
          <w:rFonts w:ascii="Times" w:hAnsi="Times"/>
        </w:rPr>
        <w:t>11</w:t>
      </w:r>
      <w:r w:rsidR="00FA3FCE" w:rsidRPr="00A63514">
        <w:rPr>
          <w:rFonts w:ascii="Times" w:hAnsi="Times"/>
        </w:rPr>
        <w:t>1</w:t>
      </w:r>
      <w:r w:rsidR="00FA3FCE" w:rsidRPr="00A63514">
        <w:rPr>
          <w:rFonts w:ascii="Times" w:hAnsi="Times"/>
        </w:rPr>
        <w:t xml:space="preserve"> et 161-178</w:t>
      </w:r>
      <w:r w:rsidR="00FA3FCE" w:rsidRPr="00A63514">
        <w:rPr>
          <w:rFonts w:ascii="Times" w:hAnsi="Times"/>
        </w:rPr>
        <w:t>.</w:t>
      </w:r>
    </w:p>
  </w:footnote>
  <w:footnote w:id="17">
    <w:p w14:paraId="05B0A139" w14:textId="30A9928E" w:rsidR="00992390" w:rsidRPr="00A63514" w:rsidRDefault="00992390" w:rsidP="00A63514">
      <w:pPr>
        <w:pStyle w:val="Notedebasdepage"/>
        <w:spacing w:line="480" w:lineRule="auto"/>
        <w:jc w:val="both"/>
        <w:rPr>
          <w:rFonts w:ascii="Times" w:hAnsi="Times"/>
          <w:lang w:val="nl-BE"/>
        </w:rPr>
      </w:pPr>
      <w:r w:rsidRPr="000C6989">
        <w:rPr>
          <w:rStyle w:val="Appelnotedebasdep"/>
        </w:rPr>
        <w:footnoteRef/>
      </w:r>
      <w:r w:rsidRPr="00A63514">
        <w:rPr>
          <w:rFonts w:ascii="Times" w:hAnsi="Times"/>
        </w:rPr>
        <w:t xml:space="preserve"> </w:t>
      </w:r>
      <w:r w:rsidRPr="00A63514">
        <w:rPr>
          <w:rFonts w:ascii="Times" w:hAnsi="Times"/>
          <w:i/>
        </w:rPr>
        <w:t>Synopsis</w:t>
      </w:r>
      <w:r w:rsidRPr="00A63514">
        <w:rPr>
          <w:rFonts w:ascii="Times" w:hAnsi="Times"/>
        </w:rPr>
        <w:t>, p. 3-4. Nous soulignons.</w:t>
      </w:r>
    </w:p>
  </w:footnote>
  <w:footnote w:id="18">
    <w:p w14:paraId="25F35F93" w14:textId="3642875D" w:rsidR="00992390" w:rsidRPr="00A63514" w:rsidRDefault="00992390" w:rsidP="00A63514">
      <w:pPr>
        <w:pStyle w:val="Notedebasdepage"/>
        <w:spacing w:line="480" w:lineRule="auto"/>
        <w:jc w:val="both"/>
        <w:rPr>
          <w:rFonts w:ascii="Times" w:hAnsi="Times"/>
          <w:lang w:val="nl-BE"/>
        </w:rPr>
      </w:pPr>
      <w:r w:rsidRPr="000C6989">
        <w:rPr>
          <w:rStyle w:val="Appelnotedebasdep"/>
        </w:rPr>
        <w:footnoteRef/>
      </w:r>
      <w:r w:rsidRPr="00A63514">
        <w:rPr>
          <w:rFonts w:ascii="Times" w:hAnsi="Times"/>
        </w:rPr>
        <w:t xml:space="preserve"> </w:t>
      </w:r>
      <w:r w:rsidR="0058787C" w:rsidRPr="00A63514">
        <w:rPr>
          <w:rFonts w:ascii="Times" w:hAnsi="Times"/>
          <w:i/>
        </w:rPr>
        <w:t>Ibidem</w:t>
      </w:r>
      <w:r w:rsidRPr="00A63514">
        <w:rPr>
          <w:rFonts w:ascii="Times" w:hAnsi="Times"/>
        </w:rPr>
        <w:t>.</w:t>
      </w:r>
      <w:r w:rsidR="0058787C" w:rsidRPr="00A63514">
        <w:rPr>
          <w:rFonts w:ascii="Times" w:hAnsi="Times"/>
        </w:rPr>
        <w:t xml:space="preserve"> La formule « signum et instrumentum, seu quasi sacramentum » a été proposée le 5 mars 1963 par Mgr Parente</w:t>
      </w:r>
      <w:r w:rsidR="00250A00" w:rsidRPr="00A63514">
        <w:rPr>
          <w:rFonts w:ascii="Times" w:hAnsi="Times"/>
        </w:rPr>
        <w:t xml:space="preserve">, cf. </w:t>
      </w:r>
      <w:r w:rsidR="002E7724" w:rsidRPr="00A63514">
        <w:rPr>
          <w:rFonts w:ascii="Times" w:hAnsi="Times"/>
        </w:rPr>
        <w:t>L. D</w:t>
      </w:r>
      <w:r w:rsidR="002E7724" w:rsidRPr="00A63514">
        <w:rPr>
          <w:rFonts w:ascii="Times" w:hAnsi="Times"/>
          <w:smallCaps/>
        </w:rPr>
        <w:t>eclerck</w:t>
      </w:r>
      <w:r w:rsidR="002E7724" w:rsidRPr="00A63514">
        <w:rPr>
          <w:rFonts w:ascii="Times" w:hAnsi="Times"/>
        </w:rPr>
        <w:t xml:space="preserve"> – C. S</w:t>
      </w:r>
      <w:r w:rsidR="002E7724" w:rsidRPr="00A63514">
        <w:rPr>
          <w:rFonts w:ascii="Times" w:hAnsi="Times"/>
          <w:smallCaps/>
        </w:rPr>
        <w:t>oetens</w:t>
      </w:r>
      <w:r w:rsidR="00F97E7A" w:rsidRPr="00A63514">
        <w:rPr>
          <w:rFonts w:ascii="Times" w:hAnsi="Times"/>
        </w:rPr>
        <w:t xml:space="preserve"> (éd.</w:t>
      </w:r>
      <w:r w:rsidR="002E7724" w:rsidRPr="00A63514">
        <w:rPr>
          <w:rFonts w:ascii="Times" w:hAnsi="Times"/>
        </w:rPr>
        <w:t xml:space="preserve">), </w:t>
      </w:r>
      <w:r w:rsidR="00250A00" w:rsidRPr="00A63514">
        <w:rPr>
          <w:rFonts w:ascii="Times" w:hAnsi="Times"/>
          <w:i/>
        </w:rPr>
        <w:t>Carnets conciliaires de l’évêque de Namur A.-M. Charue</w:t>
      </w:r>
      <w:r w:rsidR="00250A00" w:rsidRPr="00A63514">
        <w:rPr>
          <w:rFonts w:ascii="Times" w:hAnsi="Times"/>
        </w:rPr>
        <w:t xml:space="preserve">, Louvain-la-Neuve, </w:t>
      </w:r>
      <w:r w:rsidR="002E45E7" w:rsidRPr="00A63514">
        <w:rPr>
          <w:rFonts w:ascii="Times" w:hAnsi="Times"/>
        </w:rPr>
        <w:t xml:space="preserve">Publications de la </w:t>
      </w:r>
      <w:r w:rsidR="00250A00" w:rsidRPr="00A63514">
        <w:rPr>
          <w:rFonts w:ascii="Times" w:hAnsi="Times"/>
        </w:rPr>
        <w:t>Faculté de théologie,</w:t>
      </w:r>
      <w:r w:rsidR="004D2535" w:rsidRPr="00A63514">
        <w:rPr>
          <w:rFonts w:ascii="Times" w:hAnsi="Times"/>
        </w:rPr>
        <w:t xml:space="preserve"> </w:t>
      </w:r>
      <w:r w:rsidR="004D2535" w:rsidRPr="00A63514">
        <w:rPr>
          <w:rFonts w:ascii="Times" w:hAnsi="Times"/>
        </w:rPr>
        <w:t xml:space="preserve">Coll. </w:t>
      </w:r>
      <w:r w:rsidR="004D2535" w:rsidRPr="00A63514">
        <w:rPr>
          <w:rFonts w:ascii="Times" w:hAnsi="Times"/>
          <w:i/>
        </w:rPr>
        <w:t>Cahiers de la Revue théologique de Louvain</w:t>
      </w:r>
      <w:r w:rsidR="004D2535" w:rsidRPr="00A63514">
        <w:rPr>
          <w:rFonts w:ascii="Times" w:hAnsi="Times"/>
        </w:rPr>
        <w:t>, 32,</w:t>
      </w:r>
      <w:r w:rsidR="00250A00" w:rsidRPr="00A63514">
        <w:rPr>
          <w:rFonts w:ascii="Times" w:hAnsi="Times"/>
        </w:rPr>
        <w:t xml:space="preserve"> </w:t>
      </w:r>
      <w:r w:rsidR="002E45E7" w:rsidRPr="00A63514">
        <w:rPr>
          <w:rFonts w:ascii="Times" w:hAnsi="Times"/>
        </w:rPr>
        <w:t>2000</w:t>
      </w:r>
      <w:r w:rsidR="002E7724" w:rsidRPr="00A63514">
        <w:rPr>
          <w:rFonts w:ascii="Times" w:hAnsi="Times"/>
        </w:rPr>
        <w:t xml:space="preserve">, </w:t>
      </w:r>
      <w:r w:rsidR="00250A00" w:rsidRPr="00A63514">
        <w:rPr>
          <w:rFonts w:ascii="Times" w:hAnsi="Times"/>
        </w:rPr>
        <w:t>p. 101.</w:t>
      </w:r>
    </w:p>
  </w:footnote>
  <w:footnote w:id="19">
    <w:p w14:paraId="64B3FC49" w14:textId="3D227C34" w:rsidR="00F97E7A" w:rsidRPr="00A63514" w:rsidRDefault="00F97E7A" w:rsidP="00A63514">
      <w:pPr>
        <w:pStyle w:val="Notedebasdepage"/>
        <w:spacing w:line="480" w:lineRule="auto"/>
        <w:jc w:val="both"/>
        <w:rPr>
          <w:rFonts w:ascii="Times" w:hAnsi="Times"/>
          <w:lang w:val="nl-BE"/>
        </w:rPr>
      </w:pPr>
      <w:r w:rsidRPr="000C6989">
        <w:rPr>
          <w:rStyle w:val="Appelnotedebasdep"/>
        </w:rPr>
        <w:footnoteRef/>
      </w:r>
      <w:r w:rsidRPr="00A63514">
        <w:rPr>
          <w:rFonts w:ascii="Times" w:hAnsi="Times"/>
        </w:rPr>
        <w:t xml:space="preserve"> </w:t>
      </w:r>
      <w:r w:rsidRPr="00A63514">
        <w:rPr>
          <w:rFonts w:ascii="Times" w:hAnsi="Times"/>
          <w:i/>
        </w:rPr>
        <w:t>Synopsis</w:t>
      </w:r>
      <w:r w:rsidRPr="00A63514">
        <w:rPr>
          <w:rFonts w:ascii="Times" w:hAnsi="Times"/>
        </w:rPr>
        <w:t>, p. 3-4. Nous soulignons.</w:t>
      </w:r>
    </w:p>
  </w:footnote>
  <w:footnote w:id="20">
    <w:p w14:paraId="7BC4FD1C" w14:textId="1D1757E5" w:rsidR="00610995" w:rsidRPr="00A63514" w:rsidRDefault="00610995" w:rsidP="00A63514">
      <w:pPr>
        <w:pStyle w:val="Notedebasdepage"/>
        <w:spacing w:line="480" w:lineRule="auto"/>
        <w:jc w:val="both"/>
        <w:rPr>
          <w:rFonts w:ascii="Times" w:hAnsi="Times"/>
          <w:lang w:val="nl-BE"/>
        </w:rPr>
      </w:pPr>
      <w:r w:rsidRPr="00CD4269">
        <w:rPr>
          <w:rStyle w:val="Appelnotedebasdep"/>
        </w:rPr>
        <w:footnoteRef/>
      </w:r>
      <w:r w:rsidRPr="00A63514">
        <w:rPr>
          <w:rFonts w:ascii="Times" w:hAnsi="Times"/>
        </w:rPr>
        <w:t xml:space="preserve"> </w:t>
      </w:r>
      <w:r w:rsidRPr="00A63514">
        <w:rPr>
          <w:rFonts w:ascii="Times" w:hAnsi="Times"/>
          <w:i/>
        </w:rPr>
        <w:t>Synopsis</w:t>
      </w:r>
      <w:r w:rsidRPr="00A63514">
        <w:rPr>
          <w:rFonts w:ascii="Times" w:hAnsi="Times"/>
        </w:rPr>
        <w:t>, p. 3</w:t>
      </w:r>
      <w:r w:rsidR="00E364BC" w:rsidRPr="00A63514">
        <w:rPr>
          <w:rFonts w:ascii="Times" w:hAnsi="Times"/>
        </w:rPr>
        <w:t>81</w:t>
      </w:r>
      <w:r w:rsidRPr="00A63514">
        <w:rPr>
          <w:rFonts w:ascii="Times" w:hAnsi="Times"/>
        </w:rPr>
        <w:t>. Nous soulignons.</w:t>
      </w:r>
    </w:p>
  </w:footnote>
  <w:footnote w:id="21">
    <w:p w14:paraId="2D90162D" w14:textId="0EE31603" w:rsidR="00F36A53" w:rsidRPr="00A63514" w:rsidRDefault="00F36A53" w:rsidP="00A63514">
      <w:pPr>
        <w:pStyle w:val="Notedebasdepage"/>
        <w:spacing w:line="480" w:lineRule="auto"/>
        <w:jc w:val="both"/>
        <w:rPr>
          <w:rFonts w:ascii="Times" w:hAnsi="Times"/>
          <w:lang w:val="nl-BE"/>
        </w:rPr>
      </w:pPr>
      <w:r w:rsidRPr="00CD4269">
        <w:rPr>
          <w:rStyle w:val="Appelnotedebasdep"/>
        </w:rPr>
        <w:footnoteRef/>
      </w:r>
      <w:r w:rsidRPr="00A63514">
        <w:rPr>
          <w:rFonts w:ascii="Times" w:hAnsi="Times"/>
        </w:rPr>
        <w:t xml:space="preserve"> Cf. Y. C</w:t>
      </w:r>
      <w:r w:rsidRPr="00A63514">
        <w:rPr>
          <w:rFonts w:ascii="Times" w:hAnsi="Times"/>
          <w:smallCaps/>
        </w:rPr>
        <w:t>ongar</w:t>
      </w:r>
      <w:r w:rsidRPr="00A63514">
        <w:rPr>
          <w:rFonts w:ascii="Times" w:hAnsi="Times"/>
        </w:rPr>
        <w:t xml:space="preserve">, </w:t>
      </w:r>
      <w:r w:rsidRPr="00A63514">
        <w:rPr>
          <w:rFonts w:ascii="Times" w:hAnsi="Times"/>
          <w:i/>
        </w:rPr>
        <w:t>Mon Journal du Concile</w:t>
      </w:r>
      <w:r w:rsidRPr="00A63514">
        <w:rPr>
          <w:rFonts w:ascii="Times" w:hAnsi="Times"/>
        </w:rPr>
        <w:t>, t. 1, Paris, Éd. du Cerf, 2002, p. 319-322 (25-26 janvier 1963).</w:t>
      </w:r>
    </w:p>
  </w:footnote>
  <w:footnote w:id="22">
    <w:p w14:paraId="754F92D3" w14:textId="652C40B3" w:rsidR="006F5CBE" w:rsidRPr="00A63514" w:rsidRDefault="006F5CBE" w:rsidP="00A63514">
      <w:pPr>
        <w:pStyle w:val="Notedebasdepage"/>
        <w:spacing w:line="480" w:lineRule="auto"/>
        <w:jc w:val="both"/>
        <w:rPr>
          <w:rFonts w:ascii="Times" w:hAnsi="Times"/>
          <w:lang w:val="nl-BE"/>
        </w:rPr>
      </w:pPr>
      <w:r w:rsidRPr="00CD4269">
        <w:rPr>
          <w:rStyle w:val="Appelnotedebasdep"/>
        </w:rPr>
        <w:footnoteRef/>
      </w:r>
      <w:r w:rsidRPr="00A63514">
        <w:rPr>
          <w:rFonts w:ascii="Times" w:hAnsi="Times"/>
        </w:rPr>
        <w:t xml:space="preserve"> Dans cette note, Castellino argumente </w:t>
      </w:r>
      <w:r w:rsidR="005E4330" w:rsidRPr="00A63514">
        <w:rPr>
          <w:rFonts w:ascii="Times" w:hAnsi="Times"/>
        </w:rPr>
        <w:t>comme suit :</w:t>
      </w:r>
      <w:r w:rsidRPr="00A63514">
        <w:rPr>
          <w:rFonts w:ascii="Times" w:hAnsi="Times"/>
        </w:rPr>
        <w:t xml:space="preserve"> « sacrement » peut être appliqué à l’Église dans un sens analogique, comme le sacrement est signe efficace de grâce, ainsi l’Église en tant que Corps mystique manifeste-t-elle et dit-elle l’unité intime du genre humain tout entier et son union avec Dieu. D’une autre manière, l’Église peut encore être dite sacrement parce que le mystère du Christ, par le mystère cultuel (qui est sacrement), est renouvelé et continue. Sans ce mystère (cultuel), l’Église serait une épouse sans époux (cf. Odo C</w:t>
      </w:r>
      <w:r w:rsidRPr="00A63514">
        <w:rPr>
          <w:rFonts w:ascii="Times" w:hAnsi="Times"/>
          <w:smallCaps/>
        </w:rPr>
        <w:t>asel</w:t>
      </w:r>
      <w:r w:rsidRPr="00A63514">
        <w:rPr>
          <w:rFonts w:ascii="Times" w:hAnsi="Times"/>
        </w:rPr>
        <w:t xml:space="preserve">, </w:t>
      </w:r>
      <w:r w:rsidRPr="00A63514">
        <w:rPr>
          <w:rFonts w:ascii="Times" w:hAnsi="Times"/>
          <w:i/>
        </w:rPr>
        <w:t>Das christliche Kultmysterium</w:t>
      </w:r>
      <w:r w:rsidRPr="00A63514">
        <w:rPr>
          <w:rFonts w:ascii="Times" w:hAnsi="Times"/>
        </w:rPr>
        <w:t xml:space="preserve">, </w:t>
      </w:r>
      <w:r w:rsidR="0094721E" w:rsidRPr="00A63514">
        <w:rPr>
          <w:rFonts w:ascii="Times" w:hAnsi="Times"/>
        </w:rPr>
        <w:t xml:space="preserve">3. Auflage, Regensburg, Pustet, </w:t>
      </w:r>
      <w:r w:rsidR="00B86417" w:rsidRPr="00A63514">
        <w:rPr>
          <w:rFonts w:ascii="Times" w:hAnsi="Times"/>
        </w:rPr>
        <w:t>1948</w:t>
      </w:r>
      <w:r w:rsidRPr="00A63514">
        <w:rPr>
          <w:rFonts w:ascii="Times" w:hAnsi="Times"/>
        </w:rPr>
        <w:t>, p. 21-52).</w:t>
      </w:r>
    </w:p>
  </w:footnote>
  <w:footnote w:id="23">
    <w:p w14:paraId="25F79828" w14:textId="57D8AF8D" w:rsidR="007767B0" w:rsidRPr="00A63514" w:rsidRDefault="007767B0" w:rsidP="00A63514">
      <w:pPr>
        <w:pStyle w:val="Notedebasdepage"/>
        <w:spacing w:line="480" w:lineRule="auto"/>
        <w:jc w:val="both"/>
        <w:rPr>
          <w:rFonts w:ascii="Times" w:hAnsi="Times"/>
          <w:lang w:val="nl-BE"/>
        </w:rPr>
      </w:pPr>
      <w:r w:rsidRPr="00CD4269">
        <w:rPr>
          <w:rStyle w:val="Appelnotedebasdep"/>
        </w:rPr>
        <w:footnoteRef/>
      </w:r>
      <w:r w:rsidRPr="00A63514">
        <w:rPr>
          <w:rFonts w:ascii="Times" w:hAnsi="Times"/>
        </w:rPr>
        <w:t xml:space="preserve"> Pour cet historique, cf. A. B</w:t>
      </w:r>
      <w:r w:rsidRPr="00A63514">
        <w:rPr>
          <w:rFonts w:ascii="Times" w:hAnsi="Times"/>
          <w:smallCaps/>
        </w:rPr>
        <w:t>irmelé</w:t>
      </w:r>
      <w:r w:rsidRPr="00A63514">
        <w:rPr>
          <w:rFonts w:ascii="Times" w:hAnsi="Times"/>
        </w:rPr>
        <w:t xml:space="preserve">, </w:t>
      </w:r>
      <w:r w:rsidRPr="00A63514">
        <w:rPr>
          <w:rFonts w:ascii="Times" w:hAnsi="Times"/>
          <w:i/>
        </w:rPr>
        <w:t>La sacramentalité de l’Église</w:t>
      </w:r>
      <w:r w:rsidRPr="00A63514">
        <w:rPr>
          <w:rFonts w:ascii="Times" w:hAnsi="Times"/>
        </w:rPr>
        <w:t>, p. 482-494 notamment.</w:t>
      </w:r>
    </w:p>
  </w:footnote>
  <w:footnote w:id="24">
    <w:p w14:paraId="5836917F" w14:textId="5D545EBA" w:rsidR="00D94E1E" w:rsidRPr="00A63514" w:rsidRDefault="00D94E1E" w:rsidP="00A63514">
      <w:pPr>
        <w:pStyle w:val="Notedebasdepage"/>
        <w:spacing w:line="480" w:lineRule="auto"/>
        <w:jc w:val="both"/>
        <w:rPr>
          <w:rFonts w:ascii="Times" w:hAnsi="Times"/>
          <w:lang w:val="nl-BE"/>
        </w:rPr>
      </w:pPr>
      <w:r w:rsidRPr="00CD4269">
        <w:rPr>
          <w:rStyle w:val="Appelnotedebasdep"/>
        </w:rPr>
        <w:footnoteRef/>
      </w:r>
      <w:r w:rsidRPr="00A63514">
        <w:rPr>
          <w:rFonts w:ascii="Times" w:hAnsi="Times"/>
        </w:rPr>
        <w:t xml:space="preserve"> Par exemple chez L.-M. C</w:t>
      </w:r>
      <w:r w:rsidRPr="00A63514">
        <w:rPr>
          <w:rFonts w:ascii="Times" w:hAnsi="Times"/>
          <w:smallCaps/>
        </w:rPr>
        <w:t>hauvet</w:t>
      </w:r>
      <w:r w:rsidRPr="00A63514">
        <w:rPr>
          <w:rFonts w:ascii="Times" w:hAnsi="Times"/>
        </w:rPr>
        <w:t xml:space="preserve">, </w:t>
      </w:r>
      <w:r w:rsidR="00603803" w:rsidRPr="00A63514">
        <w:rPr>
          <w:rFonts w:ascii="Times" w:hAnsi="Times"/>
          <w:i/>
        </w:rPr>
        <w:t>Symbole et sacrement. Une relecture sacramentelle de l’existence chrétienne</w:t>
      </w:r>
      <w:r w:rsidR="00603803" w:rsidRPr="00A63514">
        <w:rPr>
          <w:rFonts w:ascii="Times" w:hAnsi="Times"/>
        </w:rPr>
        <w:t>, Paris, Éd. du Cerf,</w:t>
      </w:r>
      <w:r w:rsidR="005E4330" w:rsidRPr="00A63514">
        <w:rPr>
          <w:rFonts w:ascii="Times" w:hAnsi="Times"/>
        </w:rPr>
        <w:t xml:space="preserve"> </w:t>
      </w:r>
      <w:r w:rsidR="005E4330" w:rsidRPr="00A63514">
        <w:rPr>
          <w:rFonts w:ascii="Times" w:hAnsi="Times"/>
        </w:rPr>
        <w:t xml:space="preserve">Coll. </w:t>
      </w:r>
      <w:r w:rsidR="005E4330" w:rsidRPr="00A63514">
        <w:rPr>
          <w:rFonts w:ascii="Times" w:hAnsi="Times"/>
          <w:i/>
        </w:rPr>
        <w:t>Cogitatio Fidei</w:t>
      </w:r>
      <w:r w:rsidR="005E4330" w:rsidRPr="00A63514">
        <w:rPr>
          <w:rFonts w:ascii="Times" w:hAnsi="Times"/>
        </w:rPr>
        <w:t>, 144,</w:t>
      </w:r>
      <w:r w:rsidR="00603803" w:rsidRPr="00A63514">
        <w:rPr>
          <w:rFonts w:ascii="Times" w:hAnsi="Times"/>
        </w:rPr>
        <w:t xml:space="preserve"> 1987</w:t>
      </w:r>
      <w:r w:rsidRPr="00A63514">
        <w:rPr>
          <w:rFonts w:ascii="Times" w:hAnsi="Times"/>
        </w:rPr>
        <w:t>, qui propose une « relecture » systématique stimulante de la sacramentalité, appliquée à l’ensemble de « l’existence chrétienne ».</w:t>
      </w:r>
    </w:p>
  </w:footnote>
  <w:footnote w:id="25">
    <w:p w14:paraId="6319AD10" w14:textId="62F75D82" w:rsidR="00206DCC" w:rsidRPr="00A63514" w:rsidRDefault="00206DCC" w:rsidP="00A63514">
      <w:pPr>
        <w:pStyle w:val="Notedebasdepage"/>
        <w:spacing w:line="480" w:lineRule="auto"/>
        <w:jc w:val="both"/>
        <w:rPr>
          <w:rFonts w:ascii="Times" w:hAnsi="Times"/>
          <w:lang w:val="nl-BE"/>
        </w:rPr>
      </w:pPr>
      <w:r w:rsidRPr="00CD4269">
        <w:rPr>
          <w:rStyle w:val="Appelnotedebasdep"/>
        </w:rPr>
        <w:footnoteRef/>
      </w:r>
      <w:r w:rsidRPr="00A63514">
        <w:rPr>
          <w:rFonts w:ascii="Times" w:hAnsi="Times"/>
        </w:rPr>
        <w:t xml:space="preserve"> </w:t>
      </w:r>
      <w:r w:rsidR="005771E4" w:rsidRPr="00A63514">
        <w:rPr>
          <w:rFonts w:ascii="Times" w:hAnsi="Times"/>
        </w:rPr>
        <w:t>Cf</w:t>
      </w:r>
      <w:r w:rsidRPr="00A63514">
        <w:rPr>
          <w:rFonts w:ascii="Times" w:hAnsi="Times"/>
        </w:rPr>
        <w:t>. J.A. M</w:t>
      </w:r>
      <w:r w:rsidRPr="00A63514">
        <w:rPr>
          <w:rFonts w:ascii="Times" w:hAnsi="Times"/>
          <w:smallCaps/>
        </w:rPr>
        <w:t>öhler</w:t>
      </w:r>
      <w:r w:rsidRPr="00A63514">
        <w:rPr>
          <w:rFonts w:ascii="Times" w:hAnsi="Times"/>
        </w:rPr>
        <w:t xml:space="preserve">, </w:t>
      </w:r>
      <w:r w:rsidRPr="00A63514">
        <w:rPr>
          <w:rFonts w:ascii="Times" w:hAnsi="Times"/>
          <w:i/>
        </w:rPr>
        <w:t>Symbolik</w:t>
      </w:r>
      <w:r w:rsidR="000F14EC" w:rsidRPr="00A63514">
        <w:rPr>
          <w:rFonts w:ascii="Times" w:hAnsi="Times"/>
          <w:i/>
        </w:rPr>
        <w:t xml:space="preserve"> oder Darstellung der dogmatischen Gegensätze der Katholiken und Protestanten nach ihren öffentlichen Bekenntnisschriften</w:t>
      </w:r>
      <w:r w:rsidR="000F14EC" w:rsidRPr="00A63514">
        <w:rPr>
          <w:rFonts w:ascii="Times" w:hAnsi="Times"/>
        </w:rPr>
        <w:t xml:space="preserve"> (1832), éd. J.R. G</w:t>
      </w:r>
      <w:r w:rsidR="000F14EC" w:rsidRPr="00A63514">
        <w:rPr>
          <w:rFonts w:ascii="Times" w:hAnsi="Times"/>
          <w:smallCaps/>
        </w:rPr>
        <w:t>eiselmann</w:t>
      </w:r>
      <w:r w:rsidR="000F14EC" w:rsidRPr="00A63514">
        <w:rPr>
          <w:rFonts w:ascii="Times" w:hAnsi="Times"/>
        </w:rPr>
        <w:t>, 2 t., Darmstadt, Wissensch. Buchgesellschaft, 1958 ; Cologne – Olten, J. Hegner, 1961.</w:t>
      </w:r>
    </w:p>
  </w:footnote>
  <w:footnote w:id="26">
    <w:p w14:paraId="46CC142D" w14:textId="1537D569" w:rsidR="0055618F" w:rsidRPr="00A63514" w:rsidRDefault="0055618F" w:rsidP="00A63514">
      <w:pPr>
        <w:pStyle w:val="Notedebasdepage"/>
        <w:spacing w:line="480" w:lineRule="auto"/>
        <w:jc w:val="both"/>
        <w:rPr>
          <w:rFonts w:ascii="Times" w:hAnsi="Times"/>
          <w:lang w:val="nl-BE"/>
        </w:rPr>
      </w:pPr>
      <w:r w:rsidRPr="00CD4269">
        <w:rPr>
          <w:rStyle w:val="Appelnotedebasdep"/>
        </w:rPr>
        <w:footnoteRef/>
      </w:r>
      <w:r w:rsidRPr="00A63514">
        <w:rPr>
          <w:rFonts w:ascii="Times" w:hAnsi="Times"/>
        </w:rPr>
        <w:t xml:space="preserve"> </w:t>
      </w:r>
      <w:r w:rsidR="00E054C2" w:rsidRPr="00A63514">
        <w:rPr>
          <w:rFonts w:ascii="Times" w:hAnsi="Times"/>
        </w:rPr>
        <w:t xml:space="preserve">Cf. </w:t>
      </w:r>
      <w:r w:rsidR="00E054C2" w:rsidRPr="00A63514">
        <w:rPr>
          <w:rFonts w:ascii="Times" w:hAnsi="Times"/>
          <w:smallCaps/>
        </w:rPr>
        <w:t>Thomas d’Aquin</w:t>
      </w:r>
      <w:r w:rsidR="00E054C2" w:rsidRPr="00A63514">
        <w:rPr>
          <w:rFonts w:ascii="Times" w:hAnsi="Times"/>
        </w:rPr>
        <w:t xml:space="preserve">, </w:t>
      </w:r>
      <w:r w:rsidR="00E054C2" w:rsidRPr="00A63514">
        <w:rPr>
          <w:rFonts w:ascii="Times" w:hAnsi="Times"/>
          <w:i/>
        </w:rPr>
        <w:t>Summa Theologiae</w:t>
      </w:r>
      <w:r w:rsidR="00E054C2" w:rsidRPr="00A63514">
        <w:rPr>
          <w:rFonts w:ascii="Times" w:hAnsi="Times"/>
        </w:rPr>
        <w:t>, III</w:t>
      </w:r>
      <w:r w:rsidR="00E054C2" w:rsidRPr="00A63514">
        <w:rPr>
          <w:rFonts w:ascii="Times" w:hAnsi="Times"/>
          <w:vertAlign w:val="superscript"/>
        </w:rPr>
        <w:t>a</w:t>
      </w:r>
      <w:r w:rsidR="00E054C2" w:rsidRPr="00A63514">
        <w:rPr>
          <w:rFonts w:ascii="Times" w:hAnsi="Times"/>
        </w:rPr>
        <w:t>, q. 64, art. 3 notamment (cf. q. 13, art. 1 et 2 ; q. 19, art. 1).</w:t>
      </w:r>
    </w:p>
  </w:footnote>
  <w:footnote w:id="27">
    <w:p w14:paraId="6FD25F16" w14:textId="1F841FFB" w:rsidR="001918E5" w:rsidRPr="00A63514" w:rsidRDefault="001918E5" w:rsidP="00A63514">
      <w:pPr>
        <w:pStyle w:val="Notedebasdepage"/>
        <w:spacing w:line="480" w:lineRule="auto"/>
        <w:jc w:val="both"/>
        <w:rPr>
          <w:rFonts w:ascii="Times" w:hAnsi="Times"/>
          <w:lang w:val="nl-BE"/>
        </w:rPr>
      </w:pPr>
      <w:r w:rsidRPr="00CD4269">
        <w:rPr>
          <w:rStyle w:val="Appelnotedebasdep"/>
        </w:rPr>
        <w:footnoteRef/>
      </w:r>
      <w:r w:rsidRPr="00A63514">
        <w:rPr>
          <w:rFonts w:ascii="Times" w:hAnsi="Times"/>
        </w:rPr>
        <w:t xml:space="preserve"> </w:t>
      </w:r>
      <w:r w:rsidR="001535CB" w:rsidRPr="00A63514">
        <w:rPr>
          <w:rFonts w:ascii="Times" w:hAnsi="Times"/>
        </w:rPr>
        <w:t>Cf</w:t>
      </w:r>
      <w:r w:rsidR="005771E4" w:rsidRPr="00A63514">
        <w:rPr>
          <w:rFonts w:ascii="Times" w:hAnsi="Times"/>
        </w:rPr>
        <w:t>. M.J. S</w:t>
      </w:r>
      <w:r w:rsidR="005771E4" w:rsidRPr="00A63514">
        <w:rPr>
          <w:rFonts w:ascii="Times" w:hAnsi="Times"/>
          <w:smallCaps/>
        </w:rPr>
        <w:t>cheeben</w:t>
      </w:r>
      <w:r w:rsidR="005771E4" w:rsidRPr="00A63514">
        <w:rPr>
          <w:rFonts w:ascii="Times" w:hAnsi="Times"/>
        </w:rPr>
        <w:t xml:space="preserve">, </w:t>
      </w:r>
      <w:r w:rsidR="005771E4" w:rsidRPr="00A63514">
        <w:rPr>
          <w:rFonts w:ascii="Times" w:hAnsi="Times"/>
          <w:i/>
        </w:rPr>
        <w:t>Die Mysterien des Christentums. Wesen, Bedeutung und Zusammehang derselben nach der in ihrem übernatürlischen Charakter gegebenen Perspektive</w:t>
      </w:r>
      <w:r w:rsidR="005771E4" w:rsidRPr="00A63514">
        <w:rPr>
          <w:rFonts w:ascii="Times" w:hAnsi="Times"/>
        </w:rPr>
        <w:t>, 2</w:t>
      </w:r>
      <w:r w:rsidR="005771E4" w:rsidRPr="00A63514">
        <w:rPr>
          <w:rFonts w:ascii="Times" w:hAnsi="Times"/>
          <w:vertAlign w:val="superscript"/>
        </w:rPr>
        <w:t>e</w:t>
      </w:r>
      <w:r w:rsidR="005771E4" w:rsidRPr="00A63514">
        <w:rPr>
          <w:rFonts w:ascii="Times" w:hAnsi="Times"/>
        </w:rPr>
        <w:t xml:space="preserve"> éd., 1865 ; rééd. Par J. Höfer, dans </w:t>
      </w:r>
      <w:r w:rsidR="005771E4" w:rsidRPr="00A63514">
        <w:rPr>
          <w:rFonts w:ascii="Times" w:hAnsi="Times"/>
          <w:i/>
        </w:rPr>
        <w:t>Gesammelte Schriften</w:t>
      </w:r>
      <w:r w:rsidR="005771E4" w:rsidRPr="00A63514">
        <w:rPr>
          <w:rFonts w:ascii="Times" w:hAnsi="Times"/>
        </w:rPr>
        <w:t>, t. 2, Freiburg i. Breisgau, Herder, 1941, p. 466 (nous traduisons).</w:t>
      </w:r>
    </w:p>
  </w:footnote>
  <w:footnote w:id="28">
    <w:p w14:paraId="21BAE97E" w14:textId="17A6A6B3" w:rsidR="003E3B32" w:rsidRPr="00A63514" w:rsidRDefault="003E3B32" w:rsidP="00A63514">
      <w:pPr>
        <w:pStyle w:val="Notedebasdepage"/>
        <w:spacing w:line="480" w:lineRule="auto"/>
        <w:jc w:val="both"/>
        <w:rPr>
          <w:rFonts w:ascii="Times" w:hAnsi="Times"/>
          <w:lang w:val="nl-BE"/>
        </w:rPr>
      </w:pPr>
      <w:r w:rsidRPr="00CD4269">
        <w:rPr>
          <w:rStyle w:val="Appelnotedebasdep"/>
        </w:rPr>
        <w:footnoteRef/>
      </w:r>
      <w:r w:rsidRPr="00A63514">
        <w:rPr>
          <w:rFonts w:ascii="Times" w:hAnsi="Times"/>
        </w:rPr>
        <w:t xml:space="preserve"> Cf. C. F</w:t>
      </w:r>
      <w:r w:rsidRPr="00A63514">
        <w:rPr>
          <w:rFonts w:ascii="Times" w:hAnsi="Times"/>
          <w:smallCaps/>
        </w:rPr>
        <w:t>eckes</w:t>
      </w:r>
      <w:r w:rsidRPr="00A63514">
        <w:rPr>
          <w:rFonts w:ascii="Times" w:hAnsi="Times"/>
        </w:rPr>
        <w:t xml:space="preserve">, </w:t>
      </w:r>
      <w:r w:rsidRPr="00A63514">
        <w:rPr>
          <w:rFonts w:ascii="Times" w:hAnsi="Times"/>
          <w:i/>
        </w:rPr>
        <w:t>Das Mysterium der heiligen Kirche. Dogmatische Untersuchungen zum Wesen der Kirche</w:t>
      </w:r>
      <w:r w:rsidRPr="00A63514">
        <w:rPr>
          <w:rFonts w:ascii="Times" w:hAnsi="Times"/>
        </w:rPr>
        <w:t>, Paderborn, Verlag F. Schöningh, 1934, p. 104, 115 s et 118 notamment.</w:t>
      </w:r>
    </w:p>
  </w:footnote>
  <w:footnote w:id="29">
    <w:p w14:paraId="44798994" w14:textId="34A8831D" w:rsidR="00737D8C" w:rsidRPr="00A63514" w:rsidRDefault="00737D8C" w:rsidP="00A63514">
      <w:pPr>
        <w:pStyle w:val="Notedebasdepage"/>
        <w:spacing w:line="480" w:lineRule="auto"/>
        <w:jc w:val="both"/>
        <w:rPr>
          <w:rFonts w:ascii="Times" w:hAnsi="Times"/>
          <w:lang w:val="nl-BE"/>
        </w:rPr>
      </w:pPr>
      <w:r w:rsidRPr="00CD4269">
        <w:rPr>
          <w:rStyle w:val="Appelnotedebasdep"/>
        </w:rPr>
        <w:footnoteRef/>
      </w:r>
      <w:r w:rsidRPr="00A63514">
        <w:rPr>
          <w:rFonts w:ascii="Times" w:hAnsi="Times"/>
        </w:rPr>
        <w:t xml:space="preserve"> Cf. Y. C</w:t>
      </w:r>
      <w:r w:rsidRPr="00A63514">
        <w:rPr>
          <w:rFonts w:ascii="Times" w:hAnsi="Times"/>
          <w:smallCaps/>
        </w:rPr>
        <w:t>ongar</w:t>
      </w:r>
      <w:r w:rsidRPr="00A63514">
        <w:rPr>
          <w:rFonts w:ascii="Times" w:hAnsi="Times"/>
        </w:rPr>
        <w:t xml:space="preserve">, </w:t>
      </w:r>
      <w:r w:rsidRPr="00A63514">
        <w:rPr>
          <w:rFonts w:ascii="Times" w:hAnsi="Times"/>
          <w:i/>
        </w:rPr>
        <w:t>Chrétiens désunis. Principes d’un « œcuménisme » catholique</w:t>
      </w:r>
      <w:r w:rsidRPr="00A63514">
        <w:rPr>
          <w:rFonts w:ascii="Times" w:hAnsi="Times"/>
        </w:rPr>
        <w:t>, Paris, Éd. du Cerf,</w:t>
      </w:r>
      <w:r w:rsidR="00D96CAE" w:rsidRPr="00A63514">
        <w:rPr>
          <w:rFonts w:ascii="Times" w:hAnsi="Times"/>
        </w:rPr>
        <w:t xml:space="preserve"> </w:t>
      </w:r>
      <w:r w:rsidR="00D96CAE" w:rsidRPr="00A63514">
        <w:rPr>
          <w:rFonts w:ascii="Times" w:hAnsi="Times"/>
        </w:rPr>
        <w:t xml:space="preserve">Coll. </w:t>
      </w:r>
      <w:r w:rsidR="00D96CAE" w:rsidRPr="00A63514">
        <w:rPr>
          <w:rFonts w:ascii="Times" w:hAnsi="Times"/>
          <w:i/>
        </w:rPr>
        <w:t>Unam Sanctam</w:t>
      </w:r>
      <w:r w:rsidR="00D96CAE" w:rsidRPr="00A63514">
        <w:rPr>
          <w:rFonts w:ascii="Times" w:hAnsi="Times"/>
        </w:rPr>
        <w:t>, 1,</w:t>
      </w:r>
      <w:r w:rsidRPr="00A63514">
        <w:rPr>
          <w:rFonts w:ascii="Times" w:hAnsi="Times"/>
        </w:rPr>
        <w:t xml:space="preserve"> 1937, p. 108-109 notamment (p. 108 : « En son être terrestre, l’Église est comme un grand sacrement où tout signifie sensiblement et procure une unité intérieure de grâce »).</w:t>
      </w:r>
    </w:p>
  </w:footnote>
  <w:footnote w:id="30">
    <w:p w14:paraId="500483F6" w14:textId="49427B82" w:rsidR="008F6F59" w:rsidRPr="00A63514" w:rsidRDefault="008F6F59" w:rsidP="00A63514">
      <w:pPr>
        <w:pStyle w:val="Notedebasdepage"/>
        <w:spacing w:line="480" w:lineRule="auto"/>
        <w:jc w:val="both"/>
        <w:rPr>
          <w:rFonts w:ascii="Times" w:hAnsi="Times"/>
          <w:lang w:val="nl-BE"/>
        </w:rPr>
      </w:pPr>
      <w:r w:rsidRPr="00CD4269">
        <w:rPr>
          <w:rStyle w:val="Appelnotedebasdep"/>
        </w:rPr>
        <w:footnoteRef/>
      </w:r>
      <w:r w:rsidRPr="00A63514">
        <w:rPr>
          <w:rFonts w:ascii="Times" w:hAnsi="Times"/>
        </w:rPr>
        <w:t xml:space="preserve"> </w:t>
      </w:r>
      <w:r w:rsidR="00F106A6" w:rsidRPr="00A63514">
        <w:rPr>
          <w:rFonts w:ascii="Times" w:hAnsi="Times"/>
        </w:rPr>
        <w:t xml:space="preserve">Cf. H. </w:t>
      </w:r>
      <w:r w:rsidR="00F106A6" w:rsidRPr="00A63514">
        <w:rPr>
          <w:rFonts w:ascii="Times" w:hAnsi="Times"/>
          <w:smallCaps/>
        </w:rPr>
        <w:t>de Lubac</w:t>
      </w:r>
      <w:r w:rsidR="00F106A6" w:rsidRPr="00A63514">
        <w:rPr>
          <w:rFonts w:ascii="Times" w:hAnsi="Times"/>
        </w:rPr>
        <w:t xml:space="preserve">, </w:t>
      </w:r>
      <w:r w:rsidR="00F106A6" w:rsidRPr="00A63514">
        <w:rPr>
          <w:rFonts w:ascii="Times" w:hAnsi="Times"/>
          <w:i/>
        </w:rPr>
        <w:t>Catholicisme. Les aspects sociaux du dogme</w:t>
      </w:r>
      <w:r w:rsidR="00F106A6" w:rsidRPr="00A63514">
        <w:rPr>
          <w:rFonts w:ascii="Times" w:hAnsi="Times"/>
        </w:rPr>
        <w:t>, Paris, Éd. du Cerf,</w:t>
      </w:r>
      <w:r w:rsidR="00D96CAE" w:rsidRPr="00A63514">
        <w:rPr>
          <w:rFonts w:ascii="Times" w:hAnsi="Times"/>
        </w:rPr>
        <w:t xml:space="preserve"> </w:t>
      </w:r>
      <w:r w:rsidR="00D96CAE" w:rsidRPr="00A63514">
        <w:rPr>
          <w:rFonts w:ascii="Times" w:hAnsi="Times"/>
        </w:rPr>
        <w:t xml:space="preserve">Coll. </w:t>
      </w:r>
      <w:r w:rsidR="00D96CAE" w:rsidRPr="00A63514">
        <w:rPr>
          <w:rFonts w:ascii="Times" w:hAnsi="Times"/>
          <w:i/>
        </w:rPr>
        <w:t>Unam Sanctam</w:t>
      </w:r>
      <w:r w:rsidR="00D96CAE" w:rsidRPr="00A63514">
        <w:rPr>
          <w:rFonts w:ascii="Times" w:hAnsi="Times"/>
        </w:rPr>
        <w:t>, 3,</w:t>
      </w:r>
      <w:r w:rsidR="00F106A6" w:rsidRPr="00A63514">
        <w:rPr>
          <w:rFonts w:ascii="Times" w:hAnsi="Times"/>
        </w:rPr>
        <w:t xml:space="preserve"> 1938, p. 45 : « Si le Christ est le sacrement de Dieu, l’Église est pour nous le Sacrement du Christ (…). Elle ne poursuit pas seulement son œuvre, mais elle le continue lui-même ».</w:t>
      </w:r>
    </w:p>
  </w:footnote>
  <w:footnote w:id="31">
    <w:p w14:paraId="440E24A5" w14:textId="55E86735" w:rsidR="00F106A6" w:rsidRPr="00A63514" w:rsidRDefault="00F106A6" w:rsidP="00A63514">
      <w:pPr>
        <w:pStyle w:val="Notedebasdepage"/>
        <w:spacing w:line="480" w:lineRule="auto"/>
        <w:jc w:val="both"/>
        <w:rPr>
          <w:rFonts w:ascii="Times" w:hAnsi="Times"/>
          <w:lang w:val="nl-BE"/>
        </w:rPr>
      </w:pPr>
      <w:r w:rsidRPr="00CD4269">
        <w:rPr>
          <w:rStyle w:val="Appelnotedebasdep"/>
        </w:rPr>
        <w:footnoteRef/>
      </w:r>
      <w:r w:rsidRPr="00A63514">
        <w:rPr>
          <w:rFonts w:ascii="Times" w:hAnsi="Times"/>
        </w:rPr>
        <w:t xml:space="preserve"> </w:t>
      </w:r>
      <w:r w:rsidR="00377F92" w:rsidRPr="00A63514">
        <w:rPr>
          <w:rFonts w:ascii="Times" w:hAnsi="Times"/>
        </w:rPr>
        <w:t xml:space="preserve">Cf. </w:t>
      </w:r>
      <w:r w:rsidRPr="00A63514">
        <w:rPr>
          <w:rFonts w:ascii="Times" w:hAnsi="Times"/>
        </w:rPr>
        <w:t>O. S</w:t>
      </w:r>
      <w:r w:rsidRPr="00A63514">
        <w:rPr>
          <w:rFonts w:ascii="Times" w:hAnsi="Times"/>
          <w:smallCaps/>
        </w:rPr>
        <w:t>emmelroth</w:t>
      </w:r>
      <w:r w:rsidR="00377F92" w:rsidRPr="00A63514">
        <w:rPr>
          <w:rFonts w:ascii="Times" w:hAnsi="Times"/>
        </w:rPr>
        <w:t xml:space="preserve">, </w:t>
      </w:r>
      <w:r w:rsidR="00377F92" w:rsidRPr="00A63514">
        <w:rPr>
          <w:rFonts w:ascii="Times" w:hAnsi="Times"/>
          <w:i/>
        </w:rPr>
        <w:t>L’Église sacrement de la rédemption</w:t>
      </w:r>
      <w:r w:rsidR="00377F92" w:rsidRPr="00A63514">
        <w:rPr>
          <w:rFonts w:ascii="Times" w:hAnsi="Times"/>
        </w:rPr>
        <w:t xml:space="preserve">, Paris, St-Paul, 1963 (éd. orig. : </w:t>
      </w:r>
      <w:r w:rsidR="00377F92" w:rsidRPr="00A63514">
        <w:rPr>
          <w:rFonts w:ascii="Times" w:hAnsi="Times"/>
          <w:i/>
        </w:rPr>
        <w:t>Die Kirche als Ursakrament</w:t>
      </w:r>
      <w:r w:rsidR="00377F92" w:rsidRPr="00A63514">
        <w:rPr>
          <w:rFonts w:ascii="Times" w:hAnsi="Times"/>
        </w:rPr>
        <w:t>, 1953).</w:t>
      </w:r>
    </w:p>
  </w:footnote>
  <w:footnote w:id="32">
    <w:p w14:paraId="73A519CA" w14:textId="019481D5" w:rsidR="00C22E47" w:rsidRPr="00A63514" w:rsidRDefault="00C22E47" w:rsidP="00A63514">
      <w:pPr>
        <w:pStyle w:val="Notedebasdepage"/>
        <w:spacing w:line="480" w:lineRule="auto"/>
        <w:rPr>
          <w:rFonts w:ascii="Times" w:hAnsi="Times"/>
          <w:lang w:val="nl-BE"/>
        </w:rPr>
      </w:pPr>
      <w:r w:rsidRPr="00CD4269">
        <w:rPr>
          <w:rStyle w:val="Appelnotedebasdep"/>
        </w:rPr>
        <w:footnoteRef/>
      </w:r>
      <w:r w:rsidRPr="00A63514">
        <w:rPr>
          <w:rFonts w:ascii="Times" w:hAnsi="Times"/>
        </w:rPr>
        <w:t xml:space="preserve"> </w:t>
      </w:r>
      <w:r w:rsidR="007856A9" w:rsidRPr="00A63514">
        <w:rPr>
          <w:rFonts w:ascii="Times" w:hAnsi="Times"/>
        </w:rPr>
        <w:t>Cf. K. R</w:t>
      </w:r>
      <w:r w:rsidR="007856A9" w:rsidRPr="00A63514">
        <w:rPr>
          <w:rFonts w:ascii="Times" w:hAnsi="Times"/>
          <w:smallCaps/>
        </w:rPr>
        <w:t>ahner</w:t>
      </w:r>
      <w:r w:rsidR="007856A9" w:rsidRPr="00A63514">
        <w:rPr>
          <w:rFonts w:ascii="Times" w:hAnsi="Times"/>
        </w:rPr>
        <w:t xml:space="preserve">, </w:t>
      </w:r>
      <w:r w:rsidR="007856A9" w:rsidRPr="00A63514">
        <w:rPr>
          <w:rFonts w:ascii="Times" w:hAnsi="Times"/>
          <w:i/>
        </w:rPr>
        <w:t>Kirche und Sakramente</w:t>
      </w:r>
      <w:r w:rsidR="007856A9" w:rsidRPr="00A63514">
        <w:rPr>
          <w:rFonts w:ascii="Times" w:hAnsi="Times"/>
        </w:rPr>
        <w:t>, Freiburg i. Breisgau, Herder,</w:t>
      </w:r>
      <w:r w:rsidR="00F43751" w:rsidRPr="00A63514">
        <w:rPr>
          <w:rFonts w:ascii="Times" w:hAnsi="Times"/>
        </w:rPr>
        <w:t xml:space="preserve"> </w:t>
      </w:r>
      <w:r w:rsidR="00F43751" w:rsidRPr="00A63514">
        <w:rPr>
          <w:rFonts w:ascii="Times" w:hAnsi="Times"/>
        </w:rPr>
        <w:t xml:space="preserve">Coll. </w:t>
      </w:r>
      <w:r w:rsidR="00F43751" w:rsidRPr="00A63514">
        <w:rPr>
          <w:rFonts w:ascii="Times" w:hAnsi="Times"/>
          <w:i/>
        </w:rPr>
        <w:t>Quaestiones disputatae</w:t>
      </w:r>
      <w:r w:rsidR="00F43751" w:rsidRPr="00A63514">
        <w:rPr>
          <w:rFonts w:ascii="Times" w:hAnsi="Times"/>
        </w:rPr>
        <w:t>, 10,</w:t>
      </w:r>
      <w:r w:rsidR="007856A9" w:rsidRPr="00A63514">
        <w:rPr>
          <w:rFonts w:ascii="Times" w:hAnsi="Times"/>
        </w:rPr>
        <w:t xml:space="preserve"> 1960, p. 11-18 notamment (« Die Kirche als Ursakrament »).</w:t>
      </w:r>
    </w:p>
  </w:footnote>
  <w:footnote w:id="33">
    <w:p w14:paraId="71DBBF0A" w14:textId="42B9111A" w:rsidR="00B24E2E" w:rsidRPr="00A63514" w:rsidRDefault="00B24E2E" w:rsidP="00A63514">
      <w:pPr>
        <w:pStyle w:val="Notedebasdepage"/>
        <w:spacing w:line="480" w:lineRule="auto"/>
        <w:jc w:val="both"/>
        <w:rPr>
          <w:rFonts w:ascii="Times" w:hAnsi="Times"/>
          <w:lang w:val="nl-BE"/>
        </w:rPr>
      </w:pPr>
      <w:r w:rsidRPr="00CD4269">
        <w:rPr>
          <w:rStyle w:val="Appelnotedebasdep"/>
        </w:rPr>
        <w:footnoteRef/>
      </w:r>
      <w:r w:rsidRPr="00A63514">
        <w:rPr>
          <w:rFonts w:ascii="Times" w:hAnsi="Times"/>
        </w:rPr>
        <w:t xml:space="preserve"> </w:t>
      </w:r>
      <w:r w:rsidR="00031F05" w:rsidRPr="00A63514">
        <w:rPr>
          <w:rFonts w:ascii="Times" w:hAnsi="Times"/>
        </w:rPr>
        <w:t>Cf. C. D</w:t>
      </w:r>
      <w:r w:rsidR="00031F05" w:rsidRPr="00A63514">
        <w:rPr>
          <w:rFonts w:ascii="Times" w:hAnsi="Times"/>
          <w:smallCaps/>
        </w:rPr>
        <w:t>uquoc</w:t>
      </w:r>
      <w:r w:rsidR="00031F05" w:rsidRPr="00A63514">
        <w:rPr>
          <w:rFonts w:ascii="Times" w:hAnsi="Times"/>
        </w:rPr>
        <w:t xml:space="preserve">, </w:t>
      </w:r>
      <w:r w:rsidR="00031F05" w:rsidRPr="00A63514">
        <w:rPr>
          <w:rFonts w:ascii="Times" w:hAnsi="Times"/>
          <w:i/>
        </w:rPr>
        <w:t>« Je crois en l’Église ». Précarité institutionnelle et Règne de Dieu</w:t>
      </w:r>
      <w:r w:rsidR="00031F05" w:rsidRPr="00A63514">
        <w:rPr>
          <w:rFonts w:ascii="Times" w:hAnsi="Times"/>
        </w:rPr>
        <w:t>, Paris, Éd. du Cerf,</w:t>
      </w:r>
      <w:r w:rsidR="00F43751" w:rsidRPr="00A63514">
        <w:rPr>
          <w:rFonts w:ascii="Times" w:hAnsi="Times"/>
        </w:rPr>
        <w:t xml:space="preserve"> </w:t>
      </w:r>
      <w:r w:rsidR="00F43751" w:rsidRPr="00A63514">
        <w:rPr>
          <w:rFonts w:ascii="Times" w:hAnsi="Times"/>
        </w:rPr>
        <w:t xml:space="preserve">Coll. </w:t>
      </w:r>
      <w:r w:rsidR="00F43751" w:rsidRPr="00A63514">
        <w:rPr>
          <w:rFonts w:ascii="Times" w:hAnsi="Times"/>
          <w:i/>
        </w:rPr>
        <w:t>Théologies</w:t>
      </w:r>
      <w:r w:rsidR="00F43751" w:rsidRPr="00A63514">
        <w:rPr>
          <w:rFonts w:ascii="Times" w:hAnsi="Times"/>
        </w:rPr>
        <w:t>,</w:t>
      </w:r>
      <w:r w:rsidR="00031F05" w:rsidRPr="00A63514">
        <w:rPr>
          <w:rFonts w:ascii="Times" w:hAnsi="Times"/>
        </w:rPr>
        <w:t xml:space="preserve"> 1999.</w:t>
      </w:r>
      <w:r w:rsidR="003326E5" w:rsidRPr="00A63514">
        <w:rPr>
          <w:rFonts w:ascii="Times" w:hAnsi="Times"/>
        </w:rPr>
        <w:t xml:space="preserve"> Je pense ici notamment à sa réflexion pénétrante sur la précarité institutionnelle de l’Église, dimension de sa sacramentalité.</w:t>
      </w:r>
    </w:p>
  </w:footnote>
  <w:footnote w:id="34">
    <w:p w14:paraId="79A831FB" w14:textId="4AB2DD39" w:rsidR="003326E5" w:rsidRPr="00A63514" w:rsidRDefault="003326E5" w:rsidP="00A63514">
      <w:pPr>
        <w:pStyle w:val="Notedebasdepage"/>
        <w:spacing w:line="480" w:lineRule="auto"/>
        <w:jc w:val="both"/>
        <w:rPr>
          <w:rFonts w:ascii="Times" w:hAnsi="Times"/>
          <w:lang w:val="nl-BE"/>
        </w:rPr>
      </w:pPr>
      <w:r w:rsidRPr="00CD4269">
        <w:rPr>
          <w:rStyle w:val="Appelnotedebasdep"/>
        </w:rPr>
        <w:footnoteRef/>
      </w:r>
      <w:r w:rsidRPr="00A63514">
        <w:rPr>
          <w:rFonts w:ascii="Times" w:hAnsi="Times"/>
        </w:rPr>
        <w:t xml:space="preserve"> L.-M. C</w:t>
      </w:r>
      <w:r w:rsidRPr="00A63514">
        <w:rPr>
          <w:rFonts w:ascii="Times" w:hAnsi="Times"/>
          <w:smallCaps/>
        </w:rPr>
        <w:t>hauvet</w:t>
      </w:r>
      <w:r w:rsidRPr="00A63514">
        <w:rPr>
          <w:rFonts w:ascii="Times" w:hAnsi="Times"/>
        </w:rPr>
        <w:t xml:space="preserve">, </w:t>
      </w:r>
      <w:r w:rsidRPr="00A63514">
        <w:rPr>
          <w:rFonts w:ascii="Times" w:hAnsi="Times"/>
          <w:i/>
        </w:rPr>
        <w:t>Symbole et sacrement. Une relecture sacramentelle de l’existence chrétienne</w:t>
      </w:r>
      <w:r w:rsidR="0064108D" w:rsidRPr="00A63514">
        <w:rPr>
          <w:rFonts w:ascii="Times" w:hAnsi="Times"/>
        </w:rPr>
        <w:t xml:space="preserve"> (</w:t>
      </w:r>
      <w:r w:rsidRPr="00A63514">
        <w:rPr>
          <w:rFonts w:ascii="Times" w:hAnsi="Times"/>
        </w:rPr>
        <w:t>1987</w:t>
      </w:r>
      <w:r w:rsidR="0064108D" w:rsidRPr="00A63514">
        <w:rPr>
          <w:rFonts w:ascii="Times" w:hAnsi="Times"/>
        </w:rPr>
        <w:t>)</w:t>
      </w:r>
      <w:r w:rsidRPr="00A63514">
        <w:rPr>
          <w:rFonts w:ascii="Times" w:hAnsi="Times"/>
        </w:rPr>
        <w:t>, la réflexion sur la sacramentalité s’étendant ici de manière originale à toute l’existence chrétienne.</w:t>
      </w:r>
    </w:p>
  </w:footnote>
  <w:footnote w:id="35">
    <w:p w14:paraId="16C47D33" w14:textId="54AD30F2" w:rsidR="00916E22" w:rsidRPr="00A63514" w:rsidRDefault="00916E22" w:rsidP="00A63514">
      <w:pPr>
        <w:pStyle w:val="Notedebasdepage"/>
        <w:spacing w:line="480" w:lineRule="auto"/>
        <w:jc w:val="both"/>
        <w:rPr>
          <w:rFonts w:ascii="Times" w:hAnsi="Times"/>
          <w:lang w:val="nl-BE"/>
        </w:rPr>
      </w:pPr>
      <w:r w:rsidRPr="00CD4269">
        <w:rPr>
          <w:rStyle w:val="Appelnotedebasdep"/>
        </w:rPr>
        <w:footnoteRef/>
      </w:r>
      <w:r w:rsidRPr="00A63514">
        <w:rPr>
          <w:rFonts w:ascii="Times" w:hAnsi="Times"/>
        </w:rPr>
        <w:t xml:space="preserve"> Voir notre livre commun, </w:t>
      </w:r>
      <w:r w:rsidRPr="00A63514">
        <w:rPr>
          <w:rFonts w:ascii="Times" w:hAnsi="Times"/>
          <w:i/>
        </w:rPr>
        <w:t>Yves Congar</w:t>
      </w:r>
      <w:r w:rsidRPr="00A63514">
        <w:rPr>
          <w:rFonts w:ascii="Times" w:hAnsi="Times"/>
        </w:rPr>
        <w:t>, Paris, Éd. du Cerf,</w:t>
      </w:r>
      <w:r w:rsidR="00F43751" w:rsidRPr="00A63514">
        <w:rPr>
          <w:rFonts w:ascii="Times" w:hAnsi="Times"/>
        </w:rPr>
        <w:t xml:space="preserve"> </w:t>
      </w:r>
      <w:r w:rsidR="00F43751" w:rsidRPr="00A63514">
        <w:rPr>
          <w:rFonts w:ascii="Times" w:hAnsi="Times"/>
        </w:rPr>
        <w:t xml:space="preserve">Coll. </w:t>
      </w:r>
      <w:r w:rsidR="00F43751" w:rsidRPr="00A63514">
        <w:rPr>
          <w:rFonts w:ascii="Times" w:hAnsi="Times"/>
          <w:i/>
        </w:rPr>
        <w:t>Initiations aux théologiens</w:t>
      </w:r>
      <w:r w:rsidR="00F43751" w:rsidRPr="00A63514">
        <w:rPr>
          <w:rFonts w:ascii="Times" w:hAnsi="Times"/>
        </w:rPr>
        <w:t>,</w:t>
      </w:r>
      <w:r w:rsidRPr="00A63514">
        <w:rPr>
          <w:rFonts w:ascii="Times" w:hAnsi="Times"/>
        </w:rPr>
        <w:t xml:space="preserve"> 2008.</w:t>
      </w:r>
    </w:p>
  </w:footnote>
  <w:footnote w:id="36">
    <w:p w14:paraId="6B8DC2BF" w14:textId="79EBAD52" w:rsidR="00887D61" w:rsidRPr="00A63514" w:rsidRDefault="00887D61" w:rsidP="00A63514">
      <w:pPr>
        <w:pStyle w:val="Notedebasdepage"/>
        <w:spacing w:line="480" w:lineRule="auto"/>
        <w:jc w:val="both"/>
        <w:rPr>
          <w:rFonts w:ascii="Times" w:hAnsi="Times"/>
          <w:lang w:val="nl-BE"/>
        </w:rPr>
      </w:pPr>
      <w:r w:rsidRPr="00CD4269">
        <w:rPr>
          <w:rStyle w:val="Appelnotedebasdep"/>
        </w:rPr>
        <w:footnoteRef/>
      </w:r>
      <w:r w:rsidRPr="00A63514">
        <w:rPr>
          <w:rFonts w:ascii="Times" w:hAnsi="Times"/>
        </w:rPr>
        <w:t xml:space="preserve"> La sacramentalité exerce donc une médiation ou la transition entre la transcendance divine et l’immanence de l’histoire.</w:t>
      </w:r>
    </w:p>
  </w:footnote>
  <w:footnote w:id="37">
    <w:p w14:paraId="71DBFBAA" w14:textId="3B6A961F" w:rsidR="0095042D" w:rsidRPr="00A63514" w:rsidRDefault="0095042D" w:rsidP="00A63514">
      <w:pPr>
        <w:pStyle w:val="Notedebasdepage"/>
        <w:spacing w:line="480" w:lineRule="auto"/>
        <w:jc w:val="both"/>
        <w:rPr>
          <w:rFonts w:ascii="Times" w:hAnsi="Times"/>
          <w:lang w:val="nl-BE"/>
        </w:rPr>
      </w:pPr>
      <w:r w:rsidRPr="00CD4269">
        <w:rPr>
          <w:rStyle w:val="Appelnotedebasdep"/>
        </w:rPr>
        <w:footnoteRef/>
      </w:r>
      <w:r w:rsidRPr="00A63514">
        <w:rPr>
          <w:rFonts w:ascii="Times" w:hAnsi="Times"/>
        </w:rPr>
        <w:t xml:space="preserve"> Cf. Y. C</w:t>
      </w:r>
      <w:r w:rsidRPr="00A63514">
        <w:rPr>
          <w:rFonts w:ascii="Times" w:hAnsi="Times"/>
          <w:smallCaps/>
        </w:rPr>
        <w:t>ongar</w:t>
      </w:r>
      <w:r w:rsidRPr="00A63514">
        <w:rPr>
          <w:rFonts w:ascii="Times" w:hAnsi="Times"/>
        </w:rPr>
        <w:t xml:space="preserve">, </w:t>
      </w:r>
      <w:r w:rsidRPr="00A63514">
        <w:rPr>
          <w:rFonts w:ascii="Times" w:hAnsi="Times"/>
          <w:i/>
        </w:rPr>
        <w:t>Un peuple messianique</w:t>
      </w:r>
      <w:r w:rsidRPr="00A63514">
        <w:rPr>
          <w:rFonts w:ascii="Times" w:hAnsi="Times"/>
        </w:rPr>
        <w:t xml:space="preserve">, p. </w:t>
      </w:r>
      <w:r w:rsidR="00565D42" w:rsidRPr="00A63514">
        <w:rPr>
          <w:rFonts w:ascii="Times" w:hAnsi="Times"/>
        </w:rPr>
        <w:t>57-74. Nous n’hésitons pas à reprendre les mots et phrases mêmes de Congar dans cette brève synthèse</w:t>
      </w:r>
      <w:r w:rsidR="00B55522" w:rsidRPr="00A63514">
        <w:rPr>
          <w:rFonts w:ascii="Times" w:hAnsi="Times"/>
        </w:rPr>
        <w:t xml:space="preserve"> conclusive</w:t>
      </w:r>
      <w:r w:rsidR="00565D42" w:rsidRPr="00A63514">
        <w:rPr>
          <w:rFonts w:ascii="Times" w:hAnsi="Times"/>
        </w:rPr>
        <w:t>.</w:t>
      </w:r>
    </w:p>
  </w:footnote>
  <w:footnote w:id="38">
    <w:p w14:paraId="7BEB9E50" w14:textId="4BE8FFF5" w:rsidR="00AC3E49" w:rsidRPr="00A63514" w:rsidRDefault="00AC3E49" w:rsidP="00A63514">
      <w:pPr>
        <w:pStyle w:val="Notedebasdepage"/>
        <w:spacing w:line="480" w:lineRule="auto"/>
        <w:jc w:val="both"/>
        <w:rPr>
          <w:rFonts w:ascii="Times" w:hAnsi="Times"/>
          <w:lang w:val="nl-BE"/>
        </w:rPr>
      </w:pPr>
      <w:r w:rsidRPr="00DB3922">
        <w:rPr>
          <w:rStyle w:val="Appelnotedebasdep"/>
        </w:rPr>
        <w:footnoteRef/>
      </w:r>
      <w:r w:rsidRPr="00A63514">
        <w:rPr>
          <w:rFonts w:ascii="Times" w:hAnsi="Times"/>
        </w:rPr>
        <w:t xml:space="preserve"> </w:t>
      </w:r>
      <w:r w:rsidR="00916E22" w:rsidRPr="00A63514">
        <w:rPr>
          <w:rFonts w:ascii="Times" w:hAnsi="Times"/>
        </w:rPr>
        <w:t>Cf. Y. C</w:t>
      </w:r>
      <w:r w:rsidR="00916E22" w:rsidRPr="00A63514">
        <w:rPr>
          <w:rFonts w:ascii="Times" w:hAnsi="Times"/>
          <w:smallCaps/>
        </w:rPr>
        <w:t>ongar</w:t>
      </w:r>
      <w:r w:rsidR="00916E22" w:rsidRPr="00A63514">
        <w:rPr>
          <w:rFonts w:ascii="Times" w:hAnsi="Times"/>
        </w:rPr>
        <w:t xml:space="preserve">, </w:t>
      </w:r>
      <w:r w:rsidR="00916E22" w:rsidRPr="00A63514">
        <w:rPr>
          <w:rFonts w:ascii="Times" w:hAnsi="Times"/>
          <w:i/>
        </w:rPr>
        <w:t>Un peuple messianique</w:t>
      </w:r>
      <w:r w:rsidR="00916E22" w:rsidRPr="00A63514">
        <w:rPr>
          <w:rFonts w:ascii="Times" w:hAnsi="Times"/>
        </w:rPr>
        <w:t>, p. 75-98.</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9E882D" w14:textId="77777777" w:rsidR="00DF46F9" w:rsidRDefault="00DF46F9" w:rsidP="00CF7C2E">
    <w:pPr>
      <w:pStyle w:val="En-tt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59F8CB5D" w14:textId="77777777" w:rsidR="00DF46F9" w:rsidRDefault="00DF46F9" w:rsidP="00DF46F9">
    <w:pPr>
      <w:pStyle w:val="En-tte"/>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190582" w14:textId="77777777" w:rsidR="00DF46F9" w:rsidRDefault="00DF46F9" w:rsidP="00CF7C2E">
    <w:pPr>
      <w:pStyle w:val="En-tt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EF0AEF">
      <w:rPr>
        <w:rStyle w:val="Numrodepage"/>
        <w:noProof/>
      </w:rPr>
      <w:t>2</w:t>
    </w:r>
    <w:r>
      <w:rPr>
        <w:rStyle w:val="Numrodepage"/>
      </w:rPr>
      <w:fldChar w:fldCharType="end"/>
    </w:r>
  </w:p>
  <w:p w14:paraId="4EE57727" w14:textId="77777777" w:rsidR="00DF46F9" w:rsidRDefault="00DF46F9" w:rsidP="00DF46F9">
    <w:pPr>
      <w:pStyle w:val="En-tte"/>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FC352F"/>
    <w:multiLevelType w:val="hybridMultilevel"/>
    <w:tmpl w:val="B36006D6"/>
    <w:lvl w:ilvl="0" w:tplc="2F5662D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1"/>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F61"/>
    <w:rsid w:val="000047A5"/>
    <w:rsid w:val="00006111"/>
    <w:rsid w:val="00011071"/>
    <w:rsid w:val="00031F05"/>
    <w:rsid w:val="00037DF0"/>
    <w:rsid w:val="00042E5D"/>
    <w:rsid w:val="00047B6A"/>
    <w:rsid w:val="00047CB0"/>
    <w:rsid w:val="000518BF"/>
    <w:rsid w:val="0008254B"/>
    <w:rsid w:val="000935BC"/>
    <w:rsid w:val="000A4EB5"/>
    <w:rsid w:val="000A54B4"/>
    <w:rsid w:val="000A7F85"/>
    <w:rsid w:val="000B28E7"/>
    <w:rsid w:val="000B7490"/>
    <w:rsid w:val="000C12F9"/>
    <w:rsid w:val="000C6989"/>
    <w:rsid w:val="000D300E"/>
    <w:rsid w:val="000D664E"/>
    <w:rsid w:val="000E6E1C"/>
    <w:rsid w:val="000E71F4"/>
    <w:rsid w:val="000F14EC"/>
    <w:rsid w:val="000F3325"/>
    <w:rsid w:val="000F4647"/>
    <w:rsid w:val="00100B96"/>
    <w:rsid w:val="001109A0"/>
    <w:rsid w:val="00123A64"/>
    <w:rsid w:val="00133B8B"/>
    <w:rsid w:val="00141CD2"/>
    <w:rsid w:val="001535CB"/>
    <w:rsid w:val="001562A8"/>
    <w:rsid w:val="00161FE1"/>
    <w:rsid w:val="001918E5"/>
    <w:rsid w:val="001A173A"/>
    <w:rsid w:val="001A6F31"/>
    <w:rsid w:val="001A72D2"/>
    <w:rsid w:val="001C07D6"/>
    <w:rsid w:val="001C0B85"/>
    <w:rsid w:val="001C104C"/>
    <w:rsid w:val="001C338D"/>
    <w:rsid w:val="001C764C"/>
    <w:rsid w:val="001D2E00"/>
    <w:rsid w:val="001D4F2B"/>
    <w:rsid w:val="001D659D"/>
    <w:rsid w:val="001E255B"/>
    <w:rsid w:val="001E4CBD"/>
    <w:rsid w:val="00201BC4"/>
    <w:rsid w:val="00206586"/>
    <w:rsid w:val="00206DCC"/>
    <w:rsid w:val="0021740D"/>
    <w:rsid w:val="00222170"/>
    <w:rsid w:val="00222984"/>
    <w:rsid w:val="0024182D"/>
    <w:rsid w:val="002432F0"/>
    <w:rsid w:val="002508CE"/>
    <w:rsid w:val="00250A00"/>
    <w:rsid w:val="0026440C"/>
    <w:rsid w:val="00276CEB"/>
    <w:rsid w:val="00293782"/>
    <w:rsid w:val="0029670D"/>
    <w:rsid w:val="00297F2A"/>
    <w:rsid w:val="002D36BA"/>
    <w:rsid w:val="002E1771"/>
    <w:rsid w:val="002E45E7"/>
    <w:rsid w:val="002E4974"/>
    <w:rsid w:val="002E52C0"/>
    <w:rsid w:val="002E7724"/>
    <w:rsid w:val="002F2FB8"/>
    <w:rsid w:val="002F4AE2"/>
    <w:rsid w:val="00305B1B"/>
    <w:rsid w:val="00316030"/>
    <w:rsid w:val="003326E5"/>
    <w:rsid w:val="00333B85"/>
    <w:rsid w:val="00353191"/>
    <w:rsid w:val="00361A12"/>
    <w:rsid w:val="00364371"/>
    <w:rsid w:val="00377F92"/>
    <w:rsid w:val="003C41A4"/>
    <w:rsid w:val="003C6A50"/>
    <w:rsid w:val="003D6324"/>
    <w:rsid w:val="003E1549"/>
    <w:rsid w:val="003E3B32"/>
    <w:rsid w:val="003E61C6"/>
    <w:rsid w:val="00414575"/>
    <w:rsid w:val="00423E26"/>
    <w:rsid w:val="00424EE3"/>
    <w:rsid w:val="00425F32"/>
    <w:rsid w:val="00441D5E"/>
    <w:rsid w:val="004437BD"/>
    <w:rsid w:val="00464F83"/>
    <w:rsid w:val="00474B3A"/>
    <w:rsid w:val="004905D3"/>
    <w:rsid w:val="004A4FCB"/>
    <w:rsid w:val="004C5BB6"/>
    <w:rsid w:val="004C69EB"/>
    <w:rsid w:val="004C707F"/>
    <w:rsid w:val="004D2535"/>
    <w:rsid w:val="004D6769"/>
    <w:rsid w:val="004D6DDD"/>
    <w:rsid w:val="00503F5A"/>
    <w:rsid w:val="00513918"/>
    <w:rsid w:val="00514AD9"/>
    <w:rsid w:val="00531BAC"/>
    <w:rsid w:val="0053497F"/>
    <w:rsid w:val="0054008A"/>
    <w:rsid w:val="00550B9C"/>
    <w:rsid w:val="0055618F"/>
    <w:rsid w:val="00560FE6"/>
    <w:rsid w:val="00565D42"/>
    <w:rsid w:val="005771E4"/>
    <w:rsid w:val="005839D0"/>
    <w:rsid w:val="0058787C"/>
    <w:rsid w:val="00593150"/>
    <w:rsid w:val="005A1938"/>
    <w:rsid w:val="005A4352"/>
    <w:rsid w:val="005B3F9E"/>
    <w:rsid w:val="005D4E5D"/>
    <w:rsid w:val="005E3B26"/>
    <w:rsid w:val="005E4330"/>
    <w:rsid w:val="005F447E"/>
    <w:rsid w:val="005F5399"/>
    <w:rsid w:val="00602918"/>
    <w:rsid w:val="00603803"/>
    <w:rsid w:val="00604C54"/>
    <w:rsid w:val="00610995"/>
    <w:rsid w:val="00614B31"/>
    <w:rsid w:val="0062021D"/>
    <w:rsid w:val="006263FB"/>
    <w:rsid w:val="00634B9E"/>
    <w:rsid w:val="006354EE"/>
    <w:rsid w:val="00635BA8"/>
    <w:rsid w:val="0064108D"/>
    <w:rsid w:val="00643A85"/>
    <w:rsid w:val="00663C54"/>
    <w:rsid w:val="00672EF0"/>
    <w:rsid w:val="006A3235"/>
    <w:rsid w:val="006A6A63"/>
    <w:rsid w:val="006B0165"/>
    <w:rsid w:val="006B24FF"/>
    <w:rsid w:val="006E1601"/>
    <w:rsid w:val="006F5CB1"/>
    <w:rsid w:val="006F5CBE"/>
    <w:rsid w:val="00701A20"/>
    <w:rsid w:val="00702FD7"/>
    <w:rsid w:val="00710C79"/>
    <w:rsid w:val="00717C89"/>
    <w:rsid w:val="00735033"/>
    <w:rsid w:val="00737D8C"/>
    <w:rsid w:val="00741D8E"/>
    <w:rsid w:val="00761710"/>
    <w:rsid w:val="00766D75"/>
    <w:rsid w:val="007767B0"/>
    <w:rsid w:val="007812BA"/>
    <w:rsid w:val="00781580"/>
    <w:rsid w:val="007856A9"/>
    <w:rsid w:val="007D227E"/>
    <w:rsid w:val="007E66CF"/>
    <w:rsid w:val="007E7552"/>
    <w:rsid w:val="007F3613"/>
    <w:rsid w:val="007F5237"/>
    <w:rsid w:val="007F5BF6"/>
    <w:rsid w:val="00820927"/>
    <w:rsid w:val="008556AE"/>
    <w:rsid w:val="0086225E"/>
    <w:rsid w:val="0086771F"/>
    <w:rsid w:val="00867F82"/>
    <w:rsid w:val="00874C3A"/>
    <w:rsid w:val="00883955"/>
    <w:rsid w:val="008848EB"/>
    <w:rsid w:val="00887D61"/>
    <w:rsid w:val="008C31DE"/>
    <w:rsid w:val="008C686C"/>
    <w:rsid w:val="008D7EDB"/>
    <w:rsid w:val="008E2FD1"/>
    <w:rsid w:val="008E4ED1"/>
    <w:rsid w:val="008F5618"/>
    <w:rsid w:val="008F6F59"/>
    <w:rsid w:val="009038FA"/>
    <w:rsid w:val="00903912"/>
    <w:rsid w:val="00904FD8"/>
    <w:rsid w:val="00905B22"/>
    <w:rsid w:val="00905D84"/>
    <w:rsid w:val="00910DA2"/>
    <w:rsid w:val="00916E22"/>
    <w:rsid w:val="009172C4"/>
    <w:rsid w:val="009252C0"/>
    <w:rsid w:val="009278F6"/>
    <w:rsid w:val="009343EA"/>
    <w:rsid w:val="00937514"/>
    <w:rsid w:val="00940544"/>
    <w:rsid w:val="0094721E"/>
    <w:rsid w:val="0095042D"/>
    <w:rsid w:val="009527E3"/>
    <w:rsid w:val="009728ED"/>
    <w:rsid w:val="00974738"/>
    <w:rsid w:val="00982E42"/>
    <w:rsid w:val="00992390"/>
    <w:rsid w:val="009A28A2"/>
    <w:rsid w:val="009A7E43"/>
    <w:rsid w:val="009B207B"/>
    <w:rsid w:val="009C0E3F"/>
    <w:rsid w:val="009C1B0D"/>
    <w:rsid w:val="009C2BBC"/>
    <w:rsid w:val="009C6B09"/>
    <w:rsid w:val="009C7E60"/>
    <w:rsid w:val="009D5193"/>
    <w:rsid w:val="009F4F4E"/>
    <w:rsid w:val="00A07BFE"/>
    <w:rsid w:val="00A1019C"/>
    <w:rsid w:val="00A2011D"/>
    <w:rsid w:val="00A30010"/>
    <w:rsid w:val="00A41BB4"/>
    <w:rsid w:val="00A44C33"/>
    <w:rsid w:val="00A63514"/>
    <w:rsid w:val="00A7064E"/>
    <w:rsid w:val="00A71583"/>
    <w:rsid w:val="00A91B09"/>
    <w:rsid w:val="00A923FD"/>
    <w:rsid w:val="00A94B65"/>
    <w:rsid w:val="00AA05E2"/>
    <w:rsid w:val="00AB1F61"/>
    <w:rsid w:val="00AB4166"/>
    <w:rsid w:val="00AC0FF7"/>
    <w:rsid w:val="00AC3E49"/>
    <w:rsid w:val="00AC5AE5"/>
    <w:rsid w:val="00AD2157"/>
    <w:rsid w:val="00AE3CB0"/>
    <w:rsid w:val="00AE4A85"/>
    <w:rsid w:val="00AF6694"/>
    <w:rsid w:val="00B026EA"/>
    <w:rsid w:val="00B24E2E"/>
    <w:rsid w:val="00B35E67"/>
    <w:rsid w:val="00B362E8"/>
    <w:rsid w:val="00B42176"/>
    <w:rsid w:val="00B55112"/>
    <w:rsid w:val="00B55522"/>
    <w:rsid w:val="00B56FB4"/>
    <w:rsid w:val="00B613D0"/>
    <w:rsid w:val="00B62F06"/>
    <w:rsid w:val="00B86417"/>
    <w:rsid w:val="00BA05F2"/>
    <w:rsid w:val="00BA1E57"/>
    <w:rsid w:val="00BA284A"/>
    <w:rsid w:val="00BC0F8A"/>
    <w:rsid w:val="00BD1655"/>
    <w:rsid w:val="00BF00C8"/>
    <w:rsid w:val="00BF0705"/>
    <w:rsid w:val="00BF1AB7"/>
    <w:rsid w:val="00BF293C"/>
    <w:rsid w:val="00BF436C"/>
    <w:rsid w:val="00BF5E7D"/>
    <w:rsid w:val="00C0185F"/>
    <w:rsid w:val="00C041C0"/>
    <w:rsid w:val="00C22E47"/>
    <w:rsid w:val="00C34871"/>
    <w:rsid w:val="00C417C3"/>
    <w:rsid w:val="00C418DA"/>
    <w:rsid w:val="00C435C7"/>
    <w:rsid w:val="00C50321"/>
    <w:rsid w:val="00C574EC"/>
    <w:rsid w:val="00C62DDB"/>
    <w:rsid w:val="00C70BA4"/>
    <w:rsid w:val="00C7425E"/>
    <w:rsid w:val="00C766BA"/>
    <w:rsid w:val="00C80582"/>
    <w:rsid w:val="00C80F9B"/>
    <w:rsid w:val="00CB4EA2"/>
    <w:rsid w:val="00CB4FAB"/>
    <w:rsid w:val="00CC27E7"/>
    <w:rsid w:val="00CC7BFA"/>
    <w:rsid w:val="00CD172F"/>
    <w:rsid w:val="00CD4269"/>
    <w:rsid w:val="00CE259E"/>
    <w:rsid w:val="00CF0035"/>
    <w:rsid w:val="00CF2957"/>
    <w:rsid w:val="00D01E3F"/>
    <w:rsid w:val="00D05211"/>
    <w:rsid w:val="00D12BFB"/>
    <w:rsid w:val="00D41267"/>
    <w:rsid w:val="00D50EB8"/>
    <w:rsid w:val="00D63873"/>
    <w:rsid w:val="00D66756"/>
    <w:rsid w:val="00D70FF3"/>
    <w:rsid w:val="00D72961"/>
    <w:rsid w:val="00D77509"/>
    <w:rsid w:val="00D81801"/>
    <w:rsid w:val="00D830A6"/>
    <w:rsid w:val="00D8352B"/>
    <w:rsid w:val="00D851D1"/>
    <w:rsid w:val="00D92611"/>
    <w:rsid w:val="00D94E1E"/>
    <w:rsid w:val="00D96CAE"/>
    <w:rsid w:val="00DA115C"/>
    <w:rsid w:val="00DA2BB7"/>
    <w:rsid w:val="00DB3922"/>
    <w:rsid w:val="00DB5A6C"/>
    <w:rsid w:val="00DD4EC4"/>
    <w:rsid w:val="00DF316F"/>
    <w:rsid w:val="00DF46F9"/>
    <w:rsid w:val="00E045B8"/>
    <w:rsid w:val="00E054C2"/>
    <w:rsid w:val="00E116FD"/>
    <w:rsid w:val="00E22E02"/>
    <w:rsid w:val="00E364BC"/>
    <w:rsid w:val="00E46DDF"/>
    <w:rsid w:val="00E54713"/>
    <w:rsid w:val="00E664B5"/>
    <w:rsid w:val="00E74F5E"/>
    <w:rsid w:val="00E945C4"/>
    <w:rsid w:val="00EA0CBE"/>
    <w:rsid w:val="00EB2D09"/>
    <w:rsid w:val="00EB3452"/>
    <w:rsid w:val="00EC3ECC"/>
    <w:rsid w:val="00ED2ACB"/>
    <w:rsid w:val="00EE3C52"/>
    <w:rsid w:val="00EE7D5B"/>
    <w:rsid w:val="00EF0AEF"/>
    <w:rsid w:val="00F0629F"/>
    <w:rsid w:val="00F106A6"/>
    <w:rsid w:val="00F1323D"/>
    <w:rsid w:val="00F309D3"/>
    <w:rsid w:val="00F36A53"/>
    <w:rsid w:val="00F36B28"/>
    <w:rsid w:val="00F43029"/>
    <w:rsid w:val="00F43751"/>
    <w:rsid w:val="00F52322"/>
    <w:rsid w:val="00F54DDB"/>
    <w:rsid w:val="00F71D33"/>
    <w:rsid w:val="00F8103C"/>
    <w:rsid w:val="00F816E1"/>
    <w:rsid w:val="00F90298"/>
    <w:rsid w:val="00F97E7A"/>
    <w:rsid w:val="00F97F2F"/>
    <w:rsid w:val="00FA3FCE"/>
    <w:rsid w:val="00FB6A67"/>
    <w:rsid w:val="00FB72CD"/>
    <w:rsid w:val="00FC1455"/>
    <w:rsid w:val="00FC3500"/>
    <w:rsid w:val="00FC6E67"/>
    <w:rsid w:val="00FD7B42"/>
    <w:rsid w:val="00FE4C26"/>
    <w:rsid w:val="00FF3BB9"/>
  </w:rsids>
  <m:mathPr>
    <m:mathFont m:val="Cambria Math"/>
    <m:brkBin m:val="before"/>
    <m:brkBinSub m:val="--"/>
    <m:smallFrac m:val="0"/>
    <m:dispDef/>
    <m:lMargin m:val="0"/>
    <m:rMargin m:val="0"/>
    <m:defJc m:val="centerGroup"/>
    <m:wrapIndent m:val="1440"/>
    <m:intLim m:val="subSup"/>
    <m:naryLim m:val="undOvr"/>
  </m:mathPr>
  <w:themeFontLang w:val="fr-FR"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728CB7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B1F61"/>
    <w:pPr>
      <w:tabs>
        <w:tab w:val="center" w:pos="4536"/>
        <w:tab w:val="right" w:pos="9072"/>
      </w:tabs>
    </w:pPr>
  </w:style>
  <w:style w:type="character" w:customStyle="1" w:styleId="En-tteCar">
    <w:name w:val="En-tête Car"/>
    <w:basedOn w:val="Policepardfaut"/>
    <w:link w:val="En-tte"/>
    <w:uiPriority w:val="99"/>
    <w:rsid w:val="00AB1F61"/>
  </w:style>
  <w:style w:type="paragraph" w:styleId="Pieddepage">
    <w:name w:val="footer"/>
    <w:basedOn w:val="Normal"/>
    <w:link w:val="PieddepageCar"/>
    <w:uiPriority w:val="99"/>
    <w:unhideWhenUsed/>
    <w:rsid w:val="00AB1F61"/>
    <w:pPr>
      <w:tabs>
        <w:tab w:val="center" w:pos="4536"/>
        <w:tab w:val="right" w:pos="9072"/>
      </w:tabs>
    </w:pPr>
  </w:style>
  <w:style w:type="character" w:customStyle="1" w:styleId="PieddepageCar">
    <w:name w:val="Pied de page Car"/>
    <w:basedOn w:val="Policepardfaut"/>
    <w:link w:val="Pieddepage"/>
    <w:uiPriority w:val="99"/>
    <w:rsid w:val="00AB1F61"/>
  </w:style>
  <w:style w:type="paragraph" w:styleId="Notedebasdepage">
    <w:name w:val="footnote text"/>
    <w:basedOn w:val="Normal"/>
    <w:link w:val="NotedebasdepageCar"/>
    <w:uiPriority w:val="99"/>
    <w:unhideWhenUsed/>
    <w:rsid w:val="00BD1655"/>
  </w:style>
  <w:style w:type="character" w:customStyle="1" w:styleId="NotedebasdepageCar">
    <w:name w:val="Note de bas de page Car"/>
    <w:basedOn w:val="Policepardfaut"/>
    <w:link w:val="Notedebasdepage"/>
    <w:uiPriority w:val="99"/>
    <w:rsid w:val="00BD1655"/>
  </w:style>
  <w:style w:type="character" w:styleId="Appelnotedebasdep">
    <w:name w:val="footnote reference"/>
    <w:basedOn w:val="Policepardfaut"/>
    <w:uiPriority w:val="99"/>
    <w:unhideWhenUsed/>
    <w:rsid w:val="00CF2957"/>
    <w:rPr>
      <w:rFonts w:asciiTheme="minorHAnsi" w:hAnsiTheme="minorHAnsi"/>
      <w:vertAlign w:val="superscript"/>
    </w:rPr>
  </w:style>
  <w:style w:type="paragraph" w:styleId="Pardeliste">
    <w:name w:val="List Paragraph"/>
    <w:basedOn w:val="Normal"/>
    <w:uiPriority w:val="34"/>
    <w:qFormat/>
    <w:rsid w:val="00F0629F"/>
    <w:pPr>
      <w:ind w:left="720"/>
      <w:contextualSpacing/>
    </w:pPr>
  </w:style>
  <w:style w:type="character" w:styleId="Numrodepage">
    <w:name w:val="page number"/>
    <w:basedOn w:val="Policepardfaut"/>
    <w:uiPriority w:val="99"/>
    <w:semiHidden/>
    <w:unhideWhenUsed/>
    <w:rsid w:val="00DF46F9"/>
  </w:style>
  <w:style w:type="character" w:styleId="Lienhypertexte">
    <w:name w:val="Hyperlink"/>
    <w:basedOn w:val="Policepardfaut"/>
    <w:uiPriority w:val="99"/>
    <w:unhideWhenUsed/>
    <w:rsid w:val="003326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9574591">
      <w:bodyDiv w:val="1"/>
      <w:marLeft w:val="0"/>
      <w:marRight w:val="0"/>
      <w:marTop w:val="0"/>
      <w:marBottom w:val="0"/>
      <w:divBdr>
        <w:top w:val="none" w:sz="0" w:space="0" w:color="auto"/>
        <w:left w:val="none" w:sz="0" w:space="0" w:color="auto"/>
        <w:bottom w:val="none" w:sz="0" w:space="0" w:color="auto"/>
        <w:right w:val="none" w:sz="0" w:space="0" w:color="auto"/>
      </w:divBdr>
      <w:divsChild>
        <w:div w:id="983772218">
          <w:marLeft w:val="0"/>
          <w:marRight w:val="0"/>
          <w:marTop w:val="0"/>
          <w:marBottom w:val="0"/>
          <w:divBdr>
            <w:top w:val="none" w:sz="0" w:space="0" w:color="auto"/>
            <w:left w:val="none" w:sz="0" w:space="0" w:color="auto"/>
            <w:bottom w:val="none" w:sz="0" w:space="0" w:color="auto"/>
            <w:right w:val="none" w:sz="0" w:space="0" w:color="auto"/>
          </w:divBdr>
        </w:div>
        <w:div w:id="1377850274">
          <w:marLeft w:val="0"/>
          <w:marRight w:val="0"/>
          <w:marTop w:val="0"/>
          <w:marBottom w:val="0"/>
          <w:divBdr>
            <w:top w:val="none" w:sz="0" w:space="0" w:color="auto"/>
            <w:left w:val="none" w:sz="0" w:space="0" w:color="auto"/>
            <w:bottom w:val="none" w:sz="0" w:space="0" w:color="auto"/>
            <w:right w:val="none" w:sz="0" w:space="0" w:color="auto"/>
          </w:divBdr>
        </w:div>
        <w:div w:id="2146239418">
          <w:marLeft w:val="0"/>
          <w:marRight w:val="0"/>
          <w:marTop w:val="0"/>
          <w:marBottom w:val="0"/>
          <w:divBdr>
            <w:top w:val="none" w:sz="0" w:space="0" w:color="auto"/>
            <w:left w:val="none" w:sz="0" w:space="0" w:color="auto"/>
            <w:bottom w:val="none" w:sz="0" w:space="0" w:color="auto"/>
            <w:right w:val="none" w:sz="0" w:space="0" w:color="auto"/>
          </w:divBdr>
        </w:div>
        <w:div w:id="134566557">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joseph.fameree@uclouvain.be"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987</TotalTime>
  <Pages>18</Pages>
  <Words>4030</Words>
  <Characters>21321</Characters>
  <Application>Microsoft Macintosh Word</Application>
  <DocSecurity>0</DocSecurity>
  <Lines>338</Lines>
  <Paragraphs>66</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25285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83</cp:revision>
  <cp:lastPrinted>2022-09-01T09:23:00Z</cp:lastPrinted>
  <dcterms:created xsi:type="dcterms:W3CDTF">2022-08-17T20:58:00Z</dcterms:created>
  <dcterms:modified xsi:type="dcterms:W3CDTF">2022-09-10T20:17:00Z</dcterms:modified>
</cp:coreProperties>
</file>