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9198DB" w14:textId="30F1C939" w:rsidR="00BC778B" w:rsidRPr="00A332E5" w:rsidRDefault="0012047A" w:rsidP="00BC778B">
      <w:pPr>
        <w:widowControl w:val="0"/>
        <w:autoSpaceDE w:val="0"/>
        <w:autoSpaceDN w:val="0"/>
        <w:adjustRightInd w:val="0"/>
        <w:jc w:val="center"/>
        <w:rPr>
          <w:b/>
          <w:i/>
          <w:sz w:val="28"/>
          <w:szCs w:val="28"/>
          <w:lang w:val="en-US" w:eastAsia="ja-JP"/>
        </w:rPr>
      </w:pPr>
      <w:r w:rsidRPr="0012047A">
        <w:rPr>
          <w:b/>
          <w:i/>
          <w:sz w:val="28"/>
          <w:szCs w:val="28"/>
          <w:lang w:val="en-US" w:eastAsia="ja-JP"/>
        </w:rPr>
        <w:t xml:space="preserve">The notion of civilization in Belgian colonial law. </w:t>
      </w:r>
      <w:r w:rsidRPr="00A332E5">
        <w:rPr>
          <w:b/>
          <w:i/>
          <w:sz w:val="28"/>
          <w:szCs w:val="28"/>
          <w:lang w:val="en-US" w:eastAsia="ja-JP"/>
        </w:rPr>
        <w:t>An evolving concept</w:t>
      </w:r>
    </w:p>
    <w:p w14:paraId="648713A8" w14:textId="77777777" w:rsidR="00651A23" w:rsidRPr="00A332E5" w:rsidRDefault="00651A23" w:rsidP="00BC778B">
      <w:pPr>
        <w:widowControl w:val="0"/>
        <w:autoSpaceDE w:val="0"/>
        <w:autoSpaceDN w:val="0"/>
        <w:adjustRightInd w:val="0"/>
        <w:jc w:val="center"/>
        <w:rPr>
          <w:b/>
          <w:sz w:val="28"/>
          <w:szCs w:val="28"/>
          <w:lang w:val="en-US" w:eastAsia="ja-JP"/>
        </w:rPr>
      </w:pPr>
    </w:p>
    <w:p w14:paraId="76CEC269" w14:textId="407B57C2" w:rsidR="00FE566F" w:rsidRDefault="00FE566F" w:rsidP="00BC778B">
      <w:pPr>
        <w:widowControl w:val="0"/>
        <w:autoSpaceDE w:val="0"/>
        <w:autoSpaceDN w:val="0"/>
        <w:adjustRightInd w:val="0"/>
        <w:jc w:val="center"/>
        <w:rPr>
          <w:smallCaps/>
          <w:lang w:val="en-US" w:eastAsia="ja-JP"/>
        </w:rPr>
      </w:pPr>
      <w:r w:rsidRPr="00A332E5">
        <w:rPr>
          <w:lang w:val="en-US" w:eastAsia="ja-JP"/>
        </w:rPr>
        <w:t xml:space="preserve">Pierre-Olivier </w:t>
      </w:r>
      <w:r w:rsidRPr="00A332E5">
        <w:rPr>
          <w:smallCaps/>
          <w:lang w:val="en-US" w:eastAsia="ja-JP"/>
        </w:rPr>
        <w:t>de Broux</w:t>
      </w:r>
    </w:p>
    <w:p w14:paraId="345B8D42" w14:textId="49CF6BCA" w:rsidR="00633C83" w:rsidRPr="00633C83" w:rsidRDefault="00633C83" w:rsidP="00BC778B">
      <w:pPr>
        <w:widowControl w:val="0"/>
        <w:autoSpaceDE w:val="0"/>
        <w:autoSpaceDN w:val="0"/>
        <w:adjustRightInd w:val="0"/>
        <w:jc w:val="center"/>
        <w:rPr>
          <w:lang w:val="en-US" w:eastAsia="ja-JP"/>
        </w:rPr>
      </w:pPr>
      <w:r>
        <w:rPr>
          <w:smallCaps/>
          <w:lang w:val="en-US" w:eastAsia="ja-JP"/>
        </w:rPr>
        <w:t>P</w:t>
      </w:r>
      <w:r>
        <w:rPr>
          <w:lang w:val="en-US" w:eastAsia="ja-JP"/>
        </w:rPr>
        <w:t>rofessor at the University Saint-Louis – Brussels</w:t>
      </w:r>
    </w:p>
    <w:p w14:paraId="6E7E9EE0" w14:textId="77777777" w:rsidR="00FE566F" w:rsidRPr="00A332E5" w:rsidRDefault="00FE566F" w:rsidP="00BC778B">
      <w:pPr>
        <w:widowControl w:val="0"/>
        <w:autoSpaceDE w:val="0"/>
        <w:autoSpaceDN w:val="0"/>
        <w:adjustRightInd w:val="0"/>
        <w:jc w:val="center"/>
        <w:rPr>
          <w:smallCaps/>
          <w:lang w:val="en-US" w:eastAsia="ja-JP"/>
        </w:rPr>
      </w:pPr>
    </w:p>
    <w:p w14:paraId="75053B24" w14:textId="77777777" w:rsidR="00FE566F" w:rsidRPr="00497B38" w:rsidRDefault="00FE566F" w:rsidP="00B7441C">
      <w:pPr>
        <w:widowControl w:val="0"/>
        <w:autoSpaceDE w:val="0"/>
        <w:autoSpaceDN w:val="0"/>
        <w:adjustRightInd w:val="0"/>
        <w:spacing w:line="360" w:lineRule="auto"/>
        <w:jc w:val="center"/>
        <w:rPr>
          <w:lang w:val="en-US" w:eastAsia="ja-JP"/>
        </w:rPr>
      </w:pPr>
    </w:p>
    <w:p w14:paraId="4926D880" w14:textId="4A2FBDC8" w:rsidR="0012047A" w:rsidRPr="00497B38" w:rsidRDefault="00497B38" w:rsidP="0012047A">
      <w:pPr>
        <w:widowControl w:val="0"/>
        <w:autoSpaceDE w:val="0"/>
        <w:autoSpaceDN w:val="0"/>
        <w:adjustRightInd w:val="0"/>
        <w:spacing w:line="360" w:lineRule="auto"/>
        <w:jc w:val="both"/>
        <w:rPr>
          <w:lang w:val="en-US" w:eastAsia="ja-JP"/>
        </w:rPr>
      </w:pPr>
      <w:r w:rsidRPr="00497B38">
        <w:rPr>
          <w:lang w:val="en-US" w:eastAsia="ja-JP"/>
        </w:rPr>
        <w:t>This paper</w:t>
      </w:r>
      <w:r w:rsidR="0012047A" w:rsidRPr="00497B38">
        <w:rPr>
          <w:lang w:val="en-US" w:eastAsia="ja-JP"/>
        </w:rPr>
        <w:t xml:space="preserve"> allows me to present and discuss the results of a research conducted under my direction by a group of historians and lawyers on t</w:t>
      </w:r>
      <w:r w:rsidR="00A332E5" w:rsidRPr="00497B38">
        <w:rPr>
          <w:lang w:val="en-US" w:eastAsia="ja-JP"/>
        </w:rPr>
        <w:t>he use of the concept of civiliz</w:t>
      </w:r>
      <w:r w:rsidR="0012047A" w:rsidRPr="00497B38">
        <w:rPr>
          <w:lang w:val="en-US" w:eastAsia="ja-JP"/>
        </w:rPr>
        <w:t xml:space="preserve">ation in Belgian colonial law. This research is expected to appear in a few weeks in the </w:t>
      </w:r>
      <w:r w:rsidR="0012047A" w:rsidRPr="00497B38">
        <w:rPr>
          <w:i/>
          <w:lang w:val="en-US" w:eastAsia="ja-JP"/>
        </w:rPr>
        <w:t>Revue interdisciplinaire d’études juridiques</w:t>
      </w:r>
      <w:r w:rsidR="0012047A" w:rsidRPr="00497B38">
        <w:rPr>
          <w:lang w:val="en-US" w:eastAsia="ja-JP"/>
        </w:rPr>
        <w:t xml:space="preserve">. This work is presented from legal and administrative sources, studied from the point of view of </w:t>
      </w:r>
      <w:r w:rsidR="00A332E5" w:rsidRPr="00497B38">
        <w:rPr>
          <w:lang w:val="en-US" w:eastAsia="ja-JP"/>
        </w:rPr>
        <w:t xml:space="preserve">a </w:t>
      </w:r>
      <w:r w:rsidR="0012047A" w:rsidRPr="00497B38">
        <w:rPr>
          <w:lang w:val="en-US" w:eastAsia="ja-JP"/>
        </w:rPr>
        <w:t>legal</w:t>
      </w:r>
      <w:r w:rsidR="00A332E5" w:rsidRPr="00497B38">
        <w:rPr>
          <w:lang w:val="en-US" w:eastAsia="ja-JP"/>
        </w:rPr>
        <w:t xml:space="preserve"> historian</w:t>
      </w:r>
      <w:r w:rsidR="009F510C" w:rsidRPr="00497B38">
        <w:rPr>
          <w:lang w:val="en-US" w:eastAsia="ja-JP"/>
        </w:rPr>
        <w:t xml:space="preserve">. I’m not familiar with </w:t>
      </w:r>
      <w:r w:rsidR="0012047A" w:rsidRPr="00497B38">
        <w:rPr>
          <w:lang w:val="en-US" w:eastAsia="ja-JP"/>
        </w:rPr>
        <w:t>Norbert Elias</w:t>
      </w:r>
      <w:r w:rsidR="009F510C" w:rsidRPr="00497B38">
        <w:rPr>
          <w:lang w:val="en-US" w:eastAsia="ja-JP"/>
        </w:rPr>
        <w:t xml:space="preserve"> at all</w:t>
      </w:r>
      <w:r w:rsidR="0012047A" w:rsidRPr="00497B38">
        <w:rPr>
          <w:lang w:val="en-US" w:eastAsia="ja-JP"/>
        </w:rPr>
        <w:t>, and therefore do not pretend here to be involved in socio-historical debates. My intention is rather to propose a “legal history” approach based on this recurring concept in Belgian colonial law, including</w:t>
      </w:r>
      <w:r w:rsidR="00DB03CF">
        <w:rPr>
          <w:lang w:val="en-US" w:eastAsia="ja-JP"/>
        </w:rPr>
        <w:t xml:space="preserve"> around</w:t>
      </w:r>
      <w:r w:rsidR="0012047A" w:rsidRPr="00497B38">
        <w:rPr>
          <w:lang w:val="en-US" w:eastAsia="ja-JP"/>
        </w:rPr>
        <w:t xml:space="preserve"> the formation of the small Belgian colonial empire. And perhaps this story illustrates the </w:t>
      </w:r>
      <w:r w:rsidR="009F510C" w:rsidRPr="00497B38">
        <w:rPr>
          <w:lang w:val="en-US" w:eastAsia="ja-JP"/>
        </w:rPr>
        <w:t>road</w:t>
      </w:r>
      <w:r w:rsidR="0012047A" w:rsidRPr="00497B38">
        <w:rPr>
          <w:lang w:val="en-US" w:eastAsia="ja-JP"/>
        </w:rPr>
        <w:t xml:space="preserve"> from a civilization through la</w:t>
      </w:r>
      <w:r w:rsidR="00B02F1F" w:rsidRPr="00497B38">
        <w:rPr>
          <w:lang w:val="en-US" w:eastAsia="ja-JP"/>
        </w:rPr>
        <w:t>w to a civilization by lawyers.</w:t>
      </w:r>
    </w:p>
    <w:p w14:paraId="724C7672" w14:textId="77777777" w:rsidR="0012047A" w:rsidRPr="00497B38" w:rsidRDefault="0012047A" w:rsidP="0012047A">
      <w:pPr>
        <w:widowControl w:val="0"/>
        <w:autoSpaceDE w:val="0"/>
        <w:autoSpaceDN w:val="0"/>
        <w:adjustRightInd w:val="0"/>
        <w:spacing w:line="360" w:lineRule="auto"/>
        <w:jc w:val="both"/>
        <w:rPr>
          <w:lang w:val="en-US" w:eastAsia="ja-JP"/>
        </w:rPr>
      </w:pPr>
    </w:p>
    <w:p w14:paraId="6C5FF77F" w14:textId="0ACE56EB" w:rsidR="00F76B76" w:rsidRPr="00497B38" w:rsidRDefault="0079144C" w:rsidP="00613F72">
      <w:pPr>
        <w:widowControl w:val="0"/>
        <w:autoSpaceDE w:val="0"/>
        <w:autoSpaceDN w:val="0"/>
        <w:adjustRightInd w:val="0"/>
        <w:spacing w:line="360" w:lineRule="auto"/>
        <w:jc w:val="both"/>
        <w:rPr>
          <w:lang w:val="en-US" w:eastAsia="ja-JP"/>
        </w:rPr>
      </w:pPr>
      <w:r w:rsidRPr="00497B38">
        <w:rPr>
          <w:lang w:val="en-US" w:eastAsia="ja-JP"/>
        </w:rPr>
        <w:t xml:space="preserve">When </w:t>
      </w:r>
      <w:r w:rsidR="00F76B76">
        <w:rPr>
          <w:lang w:val="en-US" w:eastAsia="ja-JP"/>
        </w:rPr>
        <w:t xml:space="preserve">the </w:t>
      </w:r>
      <w:r w:rsidRPr="00497B38">
        <w:rPr>
          <w:lang w:val="en-US" w:eastAsia="ja-JP"/>
        </w:rPr>
        <w:t>research</w:t>
      </w:r>
      <w:r w:rsidR="00F76B76" w:rsidRPr="00F76B76">
        <w:rPr>
          <w:lang w:val="en-US" w:eastAsia="ja-JP"/>
        </w:rPr>
        <w:t xml:space="preserve"> </w:t>
      </w:r>
      <w:r w:rsidR="00F76B76" w:rsidRPr="00497B38">
        <w:rPr>
          <w:lang w:val="en-US" w:eastAsia="ja-JP"/>
        </w:rPr>
        <w:t>began</w:t>
      </w:r>
      <w:r w:rsidRPr="00497B38">
        <w:rPr>
          <w:lang w:val="en-US" w:eastAsia="ja-JP"/>
        </w:rPr>
        <w:t xml:space="preserve">, </w:t>
      </w:r>
      <w:r w:rsidR="00F76B76">
        <w:rPr>
          <w:lang w:val="en-US" w:eastAsia="ja-JP"/>
        </w:rPr>
        <w:t>we were</w:t>
      </w:r>
      <w:r w:rsidR="00613F72" w:rsidRPr="00497B38">
        <w:rPr>
          <w:lang w:val="en-US" w:eastAsia="ja-JP"/>
        </w:rPr>
        <w:t xml:space="preserve"> unaware of the extent to which the concept of civilization was part of the grammar of international law, to use the expression of the lawyer Nina Tzouvala, in her study published in 2018</w:t>
      </w:r>
      <w:r w:rsidR="00F76B76" w:rsidRPr="00497B38">
        <w:rPr>
          <w:rStyle w:val="Appelnotedebasdep"/>
          <w:lang w:eastAsia="ja-JP"/>
        </w:rPr>
        <w:footnoteReference w:id="1"/>
      </w:r>
      <w:r w:rsidR="00F76B76" w:rsidRPr="00497B38">
        <w:rPr>
          <w:lang w:val="en-US" w:eastAsia="ja-JP"/>
        </w:rPr>
        <w:t>.</w:t>
      </w:r>
      <w:r w:rsidR="00F76B76" w:rsidRPr="00497B38">
        <w:rPr>
          <w:lang w:val="en-US"/>
        </w:rPr>
        <w:t xml:space="preserve"> And this was particularly relevant for us, as </w:t>
      </w:r>
      <w:r w:rsidR="00F76B76" w:rsidRPr="00497B38">
        <w:rPr>
          <w:lang w:val="en-US" w:eastAsia="ja-JP"/>
        </w:rPr>
        <w:t>international law itself was at the origin of the Belgian colony in Congo. Hence both level are linked in my presentation, which one follows a three-stage approach: first, the reference to civilization in the genesis of international law and the genesis of the Congo Free State; second, the legal and administrative use of the concept during the colonial period; third, the legal and political legacy of the same concept at the turn of decolonization.</w:t>
      </w:r>
    </w:p>
    <w:p w14:paraId="38A6A538" w14:textId="77777777" w:rsidR="00F76B76" w:rsidRPr="00497B38" w:rsidRDefault="00F76B76" w:rsidP="00613F72">
      <w:pPr>
        <w:widowControl w:val="0"/>
        <w:autoSpaceDE w:val="0"/>
        <w:autoSpaceDN w:val="0"/>
        <w:adjustRightInd w:val="0"/>
        <w:spacing w:line="360" w:lineRule="auto"/>
        <w:jc w:val="both"/>
        <w:rPr>
          <w:lang w:val="en-US" w:eastAsia="ja-JP"/>
        </w:rPr>
      </w:pPr>
    </w:p>
    <w:p w14:paraId="6618AC63" w14:textId="77777777" w:rsidR="00F76B76" w:rsidRPr="00F76B76" w:rsidRDefault="00F76B76" w:rsidP="00F76B76">
      <w:pPr>
        <w:keepNext/>
        <w:widowControl w:val="0"/>
        <w:autoSpaceDE w:val="0"/>
        <w:autoSpaceDN w:val="0"/>
        <w:adjustRightInd w:val="0"/>
        <w:spacing w:line="360" w:lineRule="auto"/>
        <w:jc w:val="both"/>
        <w:rPr>
          <w:i/>
          <w:lang w:val="en-US" w:eastAsia="ja-JP"/>
        </w:rPr>
      </w:pPr>
      <w:r w:rsidRPr="00F76B76">
        <w:rPr>
          <w:i/>
          <w:lang w:val="en-US" w:eastAsia="ja-JP"/>
        </w:rPr>
        <w:lastRenderedPageBreak/>
        <w:t xml:space="preserve">I. The genesis of international law and the Congo Free State. </w:t>
      </w:r>
    </w:p>
    <w:p w14:paraId="52CEEC05" w14:textId="77777777" w:rsidR="00F76B76" w:rsidRDefault="00F76B76" w:rsidP="00F76B76">
      <w:pPr>
        <w:keepNext/>
        <w:widowControl w:val="0"/>
        <w:autoSpaceDE w:val="0"/>
        <w:autoSpaceDN w:val="0"/>
        <w:adjustRightInd w:val="0"/>
        <w:spacing w:line="360" w:lineRule="auto"/>
        <w:jc w:val="both"/>
        <w:rPr>
          <w:lang w:val="en-US" w:eastAsia="ja-JP"/>
        </w:rPr>
      </w:pPr>
    </w:p>
    <w:p w14:paraId="6287F109" w14:textId="6AF1A189" w:rsidR="00F76B76" w:rsidRPr="00497B38" w:rsidRDefault="00F76B76" w:rsidP="00934A8F">
      <w:pPr>
        <w:widowControl w:val="0"/>
        <w:autoSpaceDE w:val="0"/>
        <w:autoSpaceDN w:val="0"/>
        <w:adjustRightInd w:val="0"/>
        <w:spacing w:line="360" w:lineRule="auto"/>
        <w:jc w:val="both"/>
        <w:rPr>
          <w:lang w:val="en-US" w:eastAsia="ja-JP"/>
        </w:rPr>
      </w:pPr>
      <w:r w:rsidRPr="00497B38">
        <w:rPr>
          <w:lang w:val="en-US" w:eastAsia="ja-JP"/>
        </w:rPr>
        <w:t>At the end of the 19th century, European civilized nations have convinced themselves of their superiority over the rest of the world. The concept of civilization has enabled them to give birth to a new international law on the one hand, and to legitimize their colonial enterprise on the other. The two designs, internationalist and imperialist, certainly did not merge, but if there was one notion that united them, it was that of civilization.</w:t>
      </w:r>
    </w:p>
    <w:p w14:paraId="1436D71D" w14:textId="77777777" w:rsidR="00F76B76" w:rsidRPr="00497B38" w:rsidRDefault="00F76B76" w:rsidP="00934A8F">
      <w:pPr>
        <w:widowControl w:val="0"/>
        <w:autoSpaceDE w:val="0"/>
        <w:autoSpaceDN w:val="0"/>
        <w:adjustRightInd w:val="0"/>
        <w:spacing w:line="360" w:lineRule="auto"/>
        <w:jc w:val="both"/>
        <w:rPr>
          <w:lang w:val="en-US" w:eastAsia="ja-JP"/>
        </w:rPr>
      </w:pPr>
    </w:p>
    <w:p w14:paraId="04518964" w14:textId="604E93E7" w:rsidR="00F76B76" w:rsidRPr="00497B38" w:rsidRDefault="00F76B76" w:rsidP="0063358A">
      <w:pPr>
        <w:widowControl w:val="0"/>
        <w:autoSpaceDE w:val="0"/>
        <w:autoSpaceDN w:val="0"/>
        <w:adjustRightInd w:val="0"/>
        <w:spacing w:line="360" w:lineRule="auto"/>
        <w:jc w:val="both"/>
        <w:rPr>
          <w:lang w:val="en-US" w:eastAsia="ja-JP"/>
        </w:rPr>
      </w:pPr>
      <w:r w:rsidRPr="00497B38">
        <w:rPr>
          <w:lang w:val="en-US" w:eastAsia="ja-JP"/>
        </w:rPr>
        <w:t>On the one hand, international law. Civilization was at the heart of the new international law that emerged in the 19th century, as demonstrated by Martti Koskenniemi and his followers</w:t>
      </w:r>
      <w:r w:rsidRPr="00497B38">
        <w:rPr>
          <w:rStyle w:val="Appelnotedebasdep"/>
          <w:lang w:eastAsia="ja-JP"/>
        </w:rPr>
        <w:footnoteReference w:id="2"/>
      </w:r>
      <w:r w:rsidRPr="00497B38">
        <w:rPr>
          <w:lang w:val="en-US" w:eastAsia="ja-JP"/>
        </w:rPr>
        <w:t>. The first challenge of this new international community of sovereign states was to define the contours of the civilized world. Participation in international society depended on the level of civilization, on the respect of the standard of civilization</w:t>
      </w:r>
      <w:r w:rsidRPr="00497B38">
        <w:rPr>
          <w:rStyle w:val="Appelnotedebasdep"/>
          <w:lang w:eastAsia="ja-JP"/>
        </w:rPr>
        <w:footnoteReference w:id="3"/>
      </w:r>
      <w:r w:rsidRPr="00497B38">
        <w:rPr>
          <w:lang w:val="en-US" w:eastAsia="ja-JP"/>
        </w:rPr>
        <w:t>, that will become the criterion for the recognition of a people as a State, depending on whether it is to be considered civilized, barbaric (sometimes semi-barbarian or semi-civilized) or savage, according to the classification proposed by the lawyer James Lorimer</w:t>
      </w:r>
      <w:r w:rsidRPr="00497B38">
        <w:rPr>
          <w:rStyle w:val="Appelnotedebasdep"/>
          <w:lang w:eastAsia="ja-JP"/>
        </w:rPr>
        <w:footnoteReference w:id="4"/>
      </w:r>
      <w:r w:rsidRPr="00497B38">
        <w:rPr>
          <w:szCs w:val="20"/>
          <w:lang w:val="en-US"/>
        </w:rPr>
        <w:t>. In the name of the progress of civilization, "Any newly constituted State with the characteristics of a civilized state could join the international association", writes the Belgian lawyer Ernest Nys in 1903</w:t>
      </w:r>
      <w:r w:rsidRPr="00497B38">
        <w:rPr>
          <w:rStyle w:val="Appelnotedebasdep"/>
          <w:lang w:eastAsia="ja-JP"/>
        </w:rPr>
        <w:footnoteReference w:id="5"/>
      </w:r>
      <w:r w:rsidRPr="00497B38">
        <w:rPr>
          <w:lang w:val="en-US" w:eastAsia="ja-JP"/>
        </w:rPr>
        <w:t>.</w:t>
      </w:r>
      <w:r w:rsidRPr="00497B38">
        <w:rPr>
          <w:i/>
          <w:szCs w:val="20"/>
          <w:lang w:val="en-US"/>
        </w:rPr>
        <w:t xml:space="preserve"> </w:t>
      </w:r>
      <w:r w:rsidRPr="00497B38">
        <w:rPr>
          <w:szCs w:val="20"/>
          <w:lang w:val="en-US"/>
        </w:rPr>
        <w:t>For several legal theorists, the standard of civilization at the international level was the counterpart of the rule of law at the national level. Some authors consider this standard of civilization as a method of managing and prioritizing cultural differences, or even racial discrimination</w:t>
      </w:r>
      <w:r w:rsidRPr="00497B38">
        <w:rPr>
          <w:rStyle w:val="Appelnotedebasdep"/>
          <w:lang w:eastAsia="ja-JP"/>
        </w:rPr>
        <w:footnoteReference w:id="6"/>
      </w:r>
      <w:r w:rsidRPr="00497B38">
        <w:rPr>
          <w:lang w:val="en-US" w:eastAsia="ja-JP"/>
        </w:rPr>
        <w:t>. The reference to civilization into Belgian colonial law will undoubtedly reinforce this conclusion.</w:t>
      </w:r>
    </w:p>
    <w:p w14:paraId="11C78201" w14:textId="77777777" w:rsidR="00F76B76" w:rsidRPr="00497B38" w:rsidRDefault="00F76B76" w:rsidP="0063358A">
      <w:pPr>
        <w:widowControl w:val="0"/>
        <w:autoSpaceDE w:val="0"/>
        <w:autoSpaceDN w:val="0"/>
        <w:adjustRightInd w:val="0"/>
        <w:spacing w:line="360" w:lineRule="auto"/>
        <w:jc w:val="both"/>
        <w:rPr>
          <w:lang w:val="en-US" w:eastAsia="ja-JP"/>
        </w:rPr>
      </w:pPr>
    </w:p>
    <w:p w14:paraId="2DD321ED" w14:textId="37BB15D2" w:rsidR="00F76B76" w:rsidRPr="00497B38" w:rsidRDefault="00F76B76" w:rsidP="005409FB">
      <w:pPr>
        <w:widowControl w:val="0"/>
        <w:autoSpaceDE w:val="0"/>
        <w:autoSpaceDN w:val="0"/>
        <w:adjustRightInd w:val="0"/>
        <w:spacing w:line="360" w:lineRule="auto"/>
        <w:jc w:val="both"/>
        <w:rPr>
          <w:lang w:val="en-US" w:eastAsia="ja-JP"/>
        </w:rPr>
      </w:pPr>
      <w:r w:rsidRPr="00497B38">
        <w:rPr>
          <w:lang w:val="en-US" w:eastAsia="ja-JP"/>
        </w:rPr>
        <w:t>On the other hand, therefore, colonial expansion. The civilizing mission is constantly used by the actors of colonization. A first debate shook internationalist lawyers at the end of the 19th century about the existence of a "right of civilization", which would have taken away a right to establish colonies. The German jurist Bluntschli, for instance, states that "the colonizing state has the right to extend its sovereignty over the territory occupied by savage peoples to promote civilization"</w:t>
      </w:r>
      <w:r w:rsidRPr="00497B38">
        <w:rPr>
          <w:rStyle w:val="Appelnotedebasdep"/>
          <w:lang w:eastAsia="ja-JP"/>
        </w:rPr>
        <w:footnoteReference w:id="7"/>
      </w:r>
      <w:r w:rsidRPr="00497B38">
        <w:rPr>
          <w:szCs w:val="20"/>
          <w:lang w:val="en-US"/>
        </w:rPr>
        <w:t xml:space="preserve">. </w:t>
      </w:r>
      <w:r w:rsidRPr="00497B38">
        <w:rPr>
          <w:lang w:val="en-US" w:eastAsia="ja-JP"/>
        </w:rPr>
        <w:t>On the contrary, the French lawyer Despagnet argues that: "Civilization is something eminently relative that cannot be measured. If the lack of civilization is a misfortune for a savage people, it is not a cause of disqualification, allowing to deprive them of their sovereign rights"</w:t>
      </w:r>
      <w:r w:rsidRPr="00497B38">
        <w:rPr>
          <w:rStyle w:val="Appelnotedebasdep"/>
          <w:lang w:eastAsia="ja-JP"/>
        </w:rPr>
        <w:footnoteReference w:id="8"/>
      </w:r>
      <w:r w:rsidRPr="00497B38">
        <w:rPr>
          <w:lang w:val="en-US" w:eastAsia="ja-JP"/>
        </w:rPr>
        <w:t>. Most internationalist lawyers have rather followed this second point of view. Civilization therefore does not confer any ri</w:t>
      </w:r>
      <w:r w:rsidR="006E41FE">
        <w:rPr>
          <w:lang w:val="en-US" w:eastAsia="ja-JP"/>
        </w:rPr>
        <w:t>ghts: it imposes a sacred trust</w:t>
      </w:r>
      <w:r w:rsidRPr="00497B38">
        <w:rPr>
          <w:lang w:val="en-US" w:eastAsia="ja-JP"/>
        </w:rPr>
        <w:t>. But the hierarchy induced between civilized nations and other peoples made it possible to justify European domination over their colonies until the middle of the 20th century</w:t>
      </w:r>
      <w:r w:rsidRPr="00497B38">
        <w:rPr>
          <w:rStyle w:val="Appelnotedebasdep"/>
          <w:lang w:eastAsia="ja-JP"/>
        </w:rPr>
        <w:footnoteReference w:id="9"/>
      </w:r>
      <w:r w:rsidRPr="00497B38">
        <w:rPr>
          <w:lang w:val="en-US" w:eastAsia="ja-JP"/>
        </w:rPr>
        <w:t xml:space="preserve">. </w:t>
      </w:r>
    </w:p>
    <w:p w14:paraId="22539F21" w14:textId="77777777" w:rsidR="00F76B76" w:rsidRPr="00497B38" w:rsidRDefault="00F76B76" w:rsidP="005409FB">
      <w:pPr>
        <w:widowControl w:val="0"/>
        <w:autoSpaceDE w:val="0"/>
        <w:autoSpaceDN w:val="0"/>
        <w:adjustRightInd w:val="0"/>
        <w:spacing w:line="360" w:lineRule="auto"/>
        <w:jc w:val="both"/>
        <w:rPr>
          <w:lang w:val="en-US" w:eastAsia="ja-JP"/>
        </w:rPr>
      </w:pPr>
    </w:p>
    <w:p w14:paraId="199F8D2D" w14:textId="0FC6F93B" w:rsidR="00F76B76" w:rsidRDefault="00F76B76" w:rsidP="004215DD">
      <w:pPr>
        <w:widowControl w:val="0"/>
        <w:autoSpaceDE w:val="0"/>
        <w:autoSpaceDN w:val="0"/>
        <w:adjustRightInd w:val="0"/>
        <w:spacing w:line="360" w:lineRule="auto"/>
        <w:jc w:val="both"/>
        <w:rPr>
          <w:rFonts w:eastAsia="Times New Roman"/>
          <w:lang w:val="en-US"/>
        </w:rPr>
      </w:pPr>
      <w:r w:rsidRPr="00497B38">
        <w:rPr>
          <w:lang w:val="en-US" w:eastAsia="ja-JP"/>
        </w:rPr>
        <w:t xml:space="preserve">Perhaps the most striking example of this system is the Congo Free State. </w:t>
      </w:r>
      <w:r w:rsidRPr="00497B38">
        <w:rPr>
          <w:rFonts w:eastAsia="Times New Roman"/>
          <w:lang w:val="en-US"/>
        </w:rPr>
        <w:t xml:space="preserve">In 1885, the main European powers met in Berlin to organize their relations on the African continent </w:t>
      </w:r>
      <w:r w:rsidRPr="00497B38">
        <w:rPr>
          <w:rFonts w:eastAsia="Times New Roman"/>
          <w:vertAlign w:val="superscript"/>
        </w:rPr>
        <w:footnoteReference w:id="10"/>
      </w:r>
      <w:r w:rsidRPr="00497B38">
        <w:rPr>
          <w:rFonts w:eastAsia="Times New Roman"/>
          <w:lang w:val="en-US"/>
        </w:rPr>
        <w:t>. They met in order to "regulate the most favorable conditions for the development of trade and civilization in certain regions of Africa"</w:t>
      </w:r>
      <w:r w:rsidRPr="00497B38">
        <w:rPr>
          <w:rFonts w:eastAsia="Times New Roman"/>
          <w:vertAlign w:val="superscript"/>
        </w:rPr>
        <w:footnoteReference w:id="11"/>
      </w:r>
      <w:r w:rsidRPr="00497B38">
        <w:rPr>
          <w:rFonts w:eastAsia="Times New Roman"/>
          <w:lang w:val="en-US"/>
        </w:rPr>
        <w:t>. The conference will allow the recognition, unique in contemporary history, of King Leopold II's sovereignty over a new independent state, the Congo Free State. The General Act drawn up at the end of this Berlin conference sets out the rules for the colonization of Africa, with a particular commitment to "make the indigenous people understand and appreciate the benefits of civilization"</w:t>
      </w:r>
      <w:r w:rsidRPr="00497B38">
        <w:rPr>
          <w:rFonts w:eastAsia="Times New Roman"/>
          <w:vertAlign w:val="superscript"/>
        </w:rPr>
        <w:footnoteReference w:id="12"/>
      </w:r>
      <w:r w:rsidRPr="00497B38">
        <w:rPr>
          <w:rFonts w:eastAsia="Times New Roman"/>
          <w:lang w:val="en-US"/>
        </w:rPr>
        <w:t>.</w:t>
      </w:r>
    </w:p>
    <w:p w14:paraId="35670F9B" w14:textId="77777777" w:rsidR="00633C83" w:rsidRPr="00497B38" w:rsidRDefault="00633C83" w:rsidP="004215DD">
      <w:pPr>
        <w:widowControl w:val="0"/>
        <w:autoSpaceDE w:val="0"/>
        <w:autoSpaceDN w:val="0"/>
        <w:adjustRightInd w:val="0"/>
        <w:spacing w:line="360" w:lineRule="auto"/>
        <w:jc w:val="both"/>
        <w:rPr>
          <w:lang w:val="en-US" w:eastAsia="ja-JP"/>
        </w:rPr>
      </w:pPr>
    </w:p>
    <w:p w14:paraId="1B84A74E" w14:textId="5C6F9D9A" w:rsidR="00F76B76" w:rsidRDefault="00F76B76" w:rsidP="00416CC8">
      <w:pPr>
        <w:widowControl w:val="0"/>
        <w:autoSpaceDE w:val="0"/>
        <w:autoSpaceDN w:val="0"/>
        <w:adjustRightInd w:val="0"/>
        <w:spacing w:line="360" w:lineRule="auto"/>
        <w:jc w:val="both"/>
        <w:rPr>
          <w:rFonts w:eastAsia="Times New Roman"/>
          <w:lang w:val="en-US"/>
        </w:rPr>
      </w:pPr>
      <w:r w:rsidRPr="00497B38">
        <w:rPr>
          <w:rFonts w:eastAsia="Times New Roman"/>
          <w:lang w:val="en-US"/>
        </w:rPr>
        <w:t xml:space="preserve">Belgian specialists in international law will also play a large part in legitimizing the Leopoldian project, relying more on political than on legal arguments </w:t>
      </w:r>
      <w:r w:rsidRPr="00497B38">
        <w:rPr>
          <w:rFonts w:eastAsia="Times New Roman"/>
          <w:vertAlign w:val="superscript"/>
        </w:rPr>
        <w:footnoteReference w:id="13"/>
      </w:r>
      <w:r w:rsidRPr="00497B38">
        <w:rPr>
          <w:rFonts w:eastAsia="Times New Roman"/>
          <w:lang w:val="en-US"/>
        </w:rPr>
        <w:t xml:space="preserve">. Professor of International Law Edouard Descamps took on a true eulogy of the civilizing work of King Leopold II, by publishing his book in 1903 </w:t>
      </w:r>
      <w:r w:rsidRPr="00497B38">
        <w:rPr>
          <w:rFonts w:eastAsia="Times New Roman"/>
          <w:i/>
          <w:lang w:val="en-US"/>
        </w:rPr>
        <w:t>L’Afrique nouvelle – Essai sur l’Etat civilisateur</w:t>
      </w:r>
      <w:r w:rsidRPr="00497B38">
        <w:rPr>
          <w:rFonts w:eastAsia="Times New Roman"/>
          <w:vertAlign w:val="superscript"/>
        </w:rPr>
        <w:footnoteReference w:id="14"/>
      </w:r>
      <w:r w:rsidRPr="00497B38">
        <w:rPr>
          <w:rFonts w:eastAsia="Times New Roman"/>
          <w:lang w:val="en-US"/>
        </w:rPr>
        <w:t>. The book not only builds this concept of civilizing State, but also identifies nearly twenty categories of legal measures characterizing the "civilizing government" of the Congo Free State. These measures reveal another notion of civilization, more open and a little less hierarchical. These measures came at the end of the 19th century, together with the first public denunciations of violent practices committed in the Congo Free State</w:t>
      </w:r>
      <w:r w:rsidRPr="00497B38">
        <w:rPr>
          <w:rFonts w:eastAsia="Times New Roman"/>
          <w:vertAlign w:val="superscript"/>
        </w:rPr>
        <w:footnoteReference w:id="15"/>
      </w:r>
      <w:r w:rsidRPr="00497B38">
        <w:rPr>
          <w:rFonts w:eastAsia="Times New Roman"/>
          <w:lang w:val="en-US"/>
        </w:rPr>
        <w:t xml:space="preserve">. We have identified five sets of concerned rules or institutions: </w:t>
      </w:r>
    </w:p>
    <w:p w14:paraId="06B93344" w14:textId="77777777" w:rsidR="00633C83" w:rsidRPr="00497B38" w:rsidRDefault="00633C83" w:rsidP="00416CC8">
      <w:pPr>
        <w:widowControl w:val="0"/>
        <w:autoSpaceDE w:val="0"/>
        <w:autoSpaceDN w:val="0"/>
        <w:adjustRightInd w:val="0"/>
        <w:spacing w:line="360" w:lineRule="auto"/>
        <w:jc w:val="both"/>
        <w:rPr>
          <w:rFonts w:eastAsia="Times New Roman"/>
          <w:lang w:val="en-US"/>
        </w:rPr>
      </w:pPr>
    </w:p>
    <w:p w14:paraId="3B3C7E43" w14:textId="6715F7D7" w:rsidR="00F76B76" w:rsidRDefault="00F76B76" w:rsidP="002F2D01">
      <w:pPr>
        <w:widowControl w:val="0"/>
        <w:autoSpaceDE w:val="0"/>
        <w:autoSpaceDN w:val="0"/>
        <w:adjustRightInd w:val="0"/>
        <w:spacing w:line="360" w:lineRule="auto"/>
        <w:jc w:val="both"/>
        <w:rPr>
          <w:rFonts w:eastAsia="Times New Roman"/>
          <w:lang w:val="en-US"/>
        </w:rPr>
      </w:pPr>
      <w:r w:rsidRPr="00497B38">
        <w:rPr>
          <w:rFonts w:eastAsia="Times New Roman"/>
        </w:rPr>
        <w:t xml:space="preserve">1. </w:t>
      </w:r>
      <w:r w:rsidR="00633C83">
        <w:rPr>
          <w:rFonts w:eastAsia="Times New Roman"/>
        </w:rPr>
        <w:t>The</w:t>
      </w:r>
      <w:r w:rsidRPr="00497B38">
        <w:rPr>
          <w:rFonts w:eastAsia="Times New Roman"/>
        </w:rPr>
        <w:t xml:space="preserve"> </w:t>
      </w:r>
      <w:r w:rsidRPr="00633C83">
        <w:rPr>
          <w:rFonts w:eastAsia="Times New Roman"/>
          <w:i/>
        </w:rPr>
        <w:t>Commission pour la protection des indigènes</w:t>
      </w:r>
      <w:r w:rsidRPr="00497B38">
        <w:rPr>
          <w:rFonts w:eastAsia="Times New Roman"/>
        </w:rPr>
        <w:t xml:space="preserve">. </w:t>
      </w:r>
      <w:r w:rsidRPr="00497B38">
        <w:rPr>
          <w:rFonts w:eastAsia="Times New Roman"/>
          <w:lang w:val="en-US"/>
        </w:rPr>
        <w:t>This commission is responsible for reporting violence, but also and above all for recommending measures to be taken "to gradually bring about the disappearance of barbaric customs”</w:t>
      </w:r>
      <w:r w:rsidRPr="00497B38">
        <w:rPr>
          <w:rFonts w:eastAsia="Times New Roman"/>
          <w:vertAlign w:val="superscript"/>
        </w:rPr>
        <w:footnoteReference w:id="16"/>
      </w:r>
      <w:r w:rsidRPr="00497B38">
        <w:rPr>
          <w:rFonts w:eastAsia="Times New Roman"/>
          <w:lang w:val="en-US"/>
        </w:rPr>
        <w:t>. But the commission's action was nevertheless considered ineffective</w:t>
      </w:r>
      <w:r w:rsidRPr="00497B38">
        <w:rPr>
          <w:rFonts w:eastAsia="Times New Roman"/>
          <w:vertAlign w:val="superscript"/>
        </w:rPr>
        <w:footnoteReference w:id="17"/>
      </w:r>
      <w:r w:rsidRPr="00497B38">
        <w:rPr>
          <w:rFonts w:eastAsia="Times New Roman"/>
          <w:lang w:val="en-US"/>
        </w:rPr>
        <w:t>, like a series of protective legislation, listed in Descamps' book</w:t>
      </w:r>
      <w:r w:rsidRPr="00497B38">
        <w:rPr>
          <w:rFonts w:eastAsia="Times New Roman"/>
          <w:vertAlign w:val="superscript"/>
        </w:rPr>
        <w:footnoteReference w:id="18"/>
      </w:r>
      <w:r w:rsidRPr="00497B38">
        <w:rPr>
          <w:rFonts w:eastAsia="Times New Roman"/>
          <w:lang w:val="en-US"/>
        </w:rPr>
        <w:t>. The indigenous populations were completely unaware of the rights they had been granted or of prohibitions that had been imposed to protect them.</w:t>
      </w:r>
    </w:p>
    <w:p w14:paraId="50D1CE11" w14:textId="77777777" w:rsidR="00633C83" w:rsidRPr="00497B38" w:rsidRDefault="00633C83" w:rsidP="002F2D01">
      <w:pPr>
        <w:widowControl w:val="0"/>
        <w:autoSpaceDE w:val="0"/>
        <w:autoSpaceDN w:val="0"/>
        <w:adjustRightInd w:val="0"/>
        <w:spacing w:line="360" w:lineRule="auto"/>
        <w:jc w:val="both"/>
        <w:rPr>
          <w:rFonts w:eastAsia="Times New Roman"/>
          <w:lang w:val="en-US"/>
        </w:rPr>
      </w:pPr>
    </w:p>
    <w:p w14:paraId="4310EAB7" w14:textId="21A79F9C" w:rsidR="00F76B76" w:rsidRDefault="00F76B76" w:rsidP="002F2D01">
      <w:pPr>
        <w:widowControl w:val="0"/>
        <w:autoSpaceDE w:val="0"/>
        <w:autoSpaceDN w:val="0"/>
        <w:adjustRightInd w:val="0"/>
        <w:spacing w:line="360" w:lineRule="auto"/>
        <w:jc w:val="both"/>
        <w:rPr>
          <w:rFonts w:eastAsia="Times New Roman"/>
          <w:lang w:val="en-US"/>
        </w:rPr>
      </w:pPr>
      <w:r w:rsidRPr="00497B38">
        <w:rPr>
          <w:rFonts w:eastAsia="Times New Roman"/>
          <w:lang w:val="en-US"/>
        </w:rPr>
        <w:t xml:space="preserve">2. The legal regime of </w:t>
      </w:r>
      <w:r w:rsidRPr="00497B38">
        <w:rPr>
          <w:rFonts w:eastAsia="Times New Roman"/>
          <w:i/>
          <w:lang w:val="en-US"/>
        </w:rPr>
        <w:t>immatriculation aux registres de la population civilisée</w:t>
      </w:r>
      <w:r w:rsidRPr="00497B38">
        <w:rPr>
          <w:rFonts w:eastAsia="Times New Roman"/>
          <w:vertAlign w:val="superscript"/>
        </w:rPr>
        <w:footnoteReference w:id="19"/>
      </w:r>
      <w:r w:rsidRPr="00497B38">
        <w:rPr>
          <w:rFonts w:eastAsia="Times New Roman"/>
          <w:lang w:val="en-US"/>
        </w:rPr>
        <w:t xml:space="preserve"> (a procedure whereby </w:t>
      </w:r>
      <w:r w:rsidR="00633C83">
        <w:rPr>
          <w:rFonts w:eastAsia="Times New Roman"/>
          <w:lang w:val="en-US"/>
        </w:rPr>
        <w:t>civilized</w:t>
      </w:r>
      <w:r w:rsidRPr="00497B38">
        <w:rPr>
          <w:rFonts w:eastAsia="Times New Roman"/>
          <w:lang w:val="en-US"/>
        </w:rPr>
        <w:t xml:space="preserve"> Congolese were placed under written law). This legislation grants "the perfect European status to the elite of the black population", and therefore "signals the first fruits of </w:t>
      </w:r>
      <w:r w:rsidR="00553FCF" w:rsidRPr="00497B38">
        <w:rPr>
          <w:rFonts w:eastAsia="Times New Roman"/>
          <w:lang w:val="en-US"/>
        </w:rPr>
        <w:t>civilizing</w:t>
      </w:r>
      <w:r w:rsidRPr="00497B38">
        <w:rPr>
          <w:rFonts w:eastAsia="Times New Roman"/>
          <w:lang w:val="en-US"/>
        </w:rPr>
        <w:t xml:space="preserve"> evolution"</w:t>
      </w:r>
      <w:r w:rsidRPr="00497B38">
        <w:rPr>
          <w:rFonts w:eastAsia="Times New Roman"/>
          <w:vertAlign w:val="superscript"/>
        </w:rPr>
        <w:footnoteReference w:id="20"/>
      </w:r>
      <w:r w:rsidRPr="00497B38">
        <w:rPr>
          <w:rFonts w:eastAsia="Times New Roman"/>
          <w:lang w:val="en-US"/>
        </w:rPr>
        <w:t>. But another ineffective regime at that time</w:t>
      </w:r>
      <w:r w:rsidRPr="00497B38">
        <w:rPr>
          <w:rFonts w:eastAsia="Times New Roman"/>
          <w:vertAlign w:val="superscript"/>
        </w:rPr>
        <w:footnoteReference w:id="21"/>
      </w:r>
      <w:r w:rsidRPr="00497B38">
        <w:rPr>
          <w:rFonts w:eastAsia="Times New Roman"/>
          <w:lang w:val="en-US"/>
        </w:rPr>
        <w:t>.</w:t>
      </w:r>
    </w:p>
    <w:p w14:paraId="107F062A" w14:textId="77777777" w:rsidR="00633C83" w:rsidRPr="00497B38" w:rsidRDefault="00633C83" w:rsidP="002F2D01">
      <w:pPr>
        <w:widowControl w:val="0"/>
        <w:autoSpaceDE w:val="0"/>
        <w:autoSpaceDN w:val="0"/>
        <w:adjustRightInd w:val="0"/>
        <w:spacing w:line="360" w:lineRule="auto"/>
        <w:jc w:val="both"/>
        <w:rPr>
          <w:rFonts w:eastAsia="Times New Roman"/>
          <w:lang w:val="en-US"/>
        </w:rPr>
      </w:pPr>
    </w:p>
    <w:p w14:paraId="781864C1" w14:textId="28A52098" w:rsidR="00F76B76" w:rsidRDefault="00F76B76" w:rsidP="00852D68">
      <w:pPr>
        <w:widowControl w:val="0"/>
        <w:autoSpaceDE w:val="0"/>
        <w:autoSpaceDN w:val="0"/>
        <w:adjustRightInd w:val="0"/>
        <w:spacing w:line="360" w:lineRule="auto"/>
        <w:jc w:val="both"/>
        <w:rPr>
          <w:rFonts w:eastAsia="Times New Roman"/>
          <w:lang w:val="en-US"/>
        </w:rPr>
      </w:pPr>
      <w:r w:rsidRPr="00497B38">
        <w:rPr>
          <w:rFonts w:eastAsia="Times New Roman"/>
          <w:lang w:val="en-US"/>
        </w:rPr>
        <w:t>3. Chiefdoms form the basic unit of the political organization. The Governor General of the Congo Free State emphasizes that "colonial authorities must maintain continuous contact with indigenous leaders, through constant instructions and recommendations, constant direction and monitoring, and moral and material support, to maintain and increase the chief's authority for civilizing purposes"</w:t>
      </w:r>
      <w:r w:rsidRPr="00497B38">
        <w:rPr>
          <w:rFonts w:eastAsia="Times New Roman"/>
          <w:vertAlign w:val="superscript"/>
        </w:rPr>
        <w:footnoteReference w:id="22"/>
      </w:r>
      <w:r w:rsidRPr="00497B38">
        <w:rPr>
          <w:rFonts w:eastAsia="Times New Roman"/>
          <w:lang w:val="en-US"/>
        </w:rPr>
        <w:t>. Under the guise of civilization, chiefdom remains first and foremost an instrument of domination.</w:t>
      </w:r>
    </w:p>
    <w:p w14:paraId="3AE5DA63" w14:textId="77777777" w:rsidR="00633C83" w:rsidRPr="00497B38" w:rsidRDefault="00633C83" w:rsidP="00852D68">
      <w:pPr>
        <w:widowControl w:val="0"/>
        <w:autoSpaceDE w:val="0"/>
        <w:autoSpaceDN w:val="0"/>
        <w:adjustRightInd w:val="0"/>
        <w:spacing w:line="360" w:lineRule="auto"/>
        <w:jc w:val="both"/>
        <w:rPr>
          <w:rFonts w:eastAsia="Times New Roman"/>
          <w:lang w:val="en-US"/>
        </w:rPr>
      </w:pPr>
    </w:p>
    <w:p w14:paraId="1505DD54" w14:textId="1229201C" w:rsidR="00F76B76" w:rsidRDefault="00F76B76" w:rsidP="00852D68">
      <w:pPr>
        <w:widowControl w:val="0"/>
        <w:autoSpaceDE w:val="0"/>
        <w:autoSpaceDN w:val="0"/>
        <w:adjustRightInd w:val="0"/>
        <w:spacing w:line="360" w:lineRule="auto"/>
        <w:jc w:val="both"/>
        <w:rPr>
          <w:rFonts w:eastAsia="Times New Roman"/>
          <w:lang w:val="en-US"/>
        </w:rPr>
      </w:pPr>
      <w:r w:rsidRPr="00497B38">
        <w:rPr>
          <w:rFonts w:eastAsia="Times New Roman"/>
          <w:lang w:val="en-US"/>
        </w:rPr>
        <w:t xml:space="preserve">4. </w:t>
      </w:r>
      <w:r w:rsidR="00553FCF" w:rsidRPr="00497B38">
        <w:rPr>
          <w:rFonts w:eastAsia="Times New Roman"/>
          <w:lang w:val="en-US"/>
        </w:rPr>
        <w:t>Civilization</w:t>
      </w:r>
      <w:r w:rsidRPr="00497B38">
        <w:rPr>
          <w:rFonts w:eastAsia="Times New Roman"/>
          <w:lang w:val="en-US"/>
        </w:rPr>
        <w:t xml:space="preserve"> by work. Colonialist exploitation is even enshrined in the motto of the Congo Free State: Work and Progress. Work should be a source of progress, of civilization. The role of state agents "is a role of educator: their mission is to </w:t>
      </w:r>
      <w:r w:rsidR="00553FCF" w:rsidRPr="00497B38">
        <w:rPr>
          <w:rFonts w:eastAsia="Times New Roman"/>
          <w:lang w:val="en-US"/>
        </w:rPr>
        <w:t>instill</w:t>
      </w:r>
      <w:r w:rsidRPr="00497B38">
        <w:rPr>
          <w:rFonts w:eastAsia="Times New Roman"/>
          <w:lang w:val="en-US"/>
        </w:rPr>
        <w:t xml:space="preserve"> in indigenous people a taste for work"</w:t>
      </w:r>
      <w:r w:rsidRPr="00497B38">
        <w:rPr>
          <w:rFonts w:eastAsia="Times New Roman"/>
          <w:vertAlign w:val="superscript"/>
        </w:rPr>
        <w:footnoteReference w:id="23"/>
      </w:r>
      <w:r w:rsidRPr="00497B38">
        <w:rPr>
          <w:rFonts w:eastAsia="Times New Roman"/>
          <w:lang w:val="en-US"/>
        </w:rPr>
        <w:t>. As you probably know, however, these objectives will not be achieved. The work regime applied in the Congo Free State, embodied in the image of "red rubber", has been extremely violent</w:t>
      </w:r>
      <w:r w:rsidRPr="00497B38">
        <w:rPr>
          <w:rFonts w:eastAsia="Times New Roman"/>
          <w:vertAlign w:val="superscript"/>
        </w:rPr>
        <w:footnoteReference w:id="24"/>
      </w:r>
      <w:r w:rsidRPr="00497B38">
        <w:rPr>
          <w:rFonts w:eastAsia="Times New Roman"/>
          <w:lang w:val="en-US"/>
        </w:rPr>
        <w:t>.</w:t>
      </w:r>
    </w:p>
    <w:p w14:paraId="2B643BD3" w14:textId="77777777" w:rsidR="00553FCF" w:rsidRPr="00497B38" w:rsidRDefault="00553FCF" w:rsidP="00852D68">
      <w:pPr>
        <w:widowControl w:val="0"/>
        <w:autoSpaceDE w:val="0"/>
        <w:autoSpaceDN w:val="0"/>
        <w:adjustRightInd w:val="0"/>
        <w:spacing w:line="360" w:lineRule="auto"/>
        <w:jc w:val="both"/>
        <w:rPr>
          <w:rFonts w:eastAsia="Times New Roman"/>
          <w:lang w:val="en-US"/>
        </w:rPr>
      </w:pPr>
    </w:p>
    <w:p w14:paraId="77DE0F52" w14:textId="0481A304" w:rsidR="00F76B76" w:rsidRDefault="00F76B76" w:rsidP="00174747">
      <w:pPr>
        <w:widowControl w:val="0"/>
        <w:autoSpaceDE w:val="0"/>
        <w:autoSpaceDN w:val="0"/>
        <w:adjustRightInd w:val="0"/>
        <w:spacing w:line="360" w:lineRule="auto"/>
        <w:jc w:val="both"/>
        <w:rPr>
          <w:rFonts w:eastAsia="Times New Roman"/>
          <w:lang w:val="en-US"/>
        </w:rPr>
      </w:pPr>
      <w:r w:rsidRPr="00497B38">
        <w:rPr>
          <w:rFonts w:eastAsia="Times New Roman"/>
          <w:lang w:val="en-US"/>
        </w:rPr>
        <w:t xml:space="preserve">5. Churches, mainly Catholic and Protestant, including the educational role played by the missions. </w:t>
      </w:r>
    </w:p>
    <w:p w14:paraId="3F57CEEA" w14:textId="77777777" w:rsidR="00553FCF" w:rsidRPr="00497B38" w:rsidRDefault="00553FCF" w:rsidP="00174747">
      <w:pPr>
        <w:widowControl w:val="0"/>
        <w:autoSpaceDE w:val="0"/>
        <w:autoSpaceDN w:val="0"/>
        <w:adjustRightInd w:val="0"/>
        <w:spacing w:line="360" w:lineRule="auto"/>
        <w:jc w:val="both"/>
        <w:rPr>
          <w:rFonts w:eastAsia="Times New Roman"/>
          <w:lang w:val="en-US"/>
        </w:rPr>
      </w:pPr>
    </w:p>
    <w:p w14:paraId="1DBF73FD" w14:textId="756D3CFA" w:rsidR="00F76B76" w:rsidRPr="00497B38" w:rsidRDefault="00553FCF" w:rsidP="00174747">
      <w:pPr>
        <w:widowControl w:val="0"/>
        <w:autoSpaceDE w:val="0"/>
        <w:autoSpaceDN w:val="0"/>
        <w:adjustRightInd w:val="0"/>
        <w:spacing w:line="360" w:lineRule="auto"/>
        <w:jc w:val="both"/>
        <w:rPr>
          <w:rFonts w:eastAsia="Times New Roman"/>
          <w:lang w:val="en-US"/>
        </w:rPr>
      </w:pPr>
      <w:r>
        <w:rPr>
          <w:rFonts w:eastAsia="Times New Roman"/>
          <w:lang w:val="en-US"/>
        </w:rPr>
        <w:t>The assessment of the civiliz</w:t>
      </w:r>
      <w:r w:rsidR="00F76B76" w:rsidRPr="00497B38">
        <w:rPr>
          <w:rFonts w:eastAsia="Times New Roman"/>
          <w:lang w:val="en-US"/>
        </w:rPr>
        <w:t>ing mission in the Congo Free State therefore remains undeniably implacable. The form of exploitation applied by the Leopoldian regime has almost systematically corrupted the civilizing intentions pursued by many legislations and actors of the Congo Free State. This mainly explains Belgium’s takeover of the Congo in 1908.</w:t>
      </w:r>
    </w:p>
    <w:p w14:paraId="2628CA95" w14:textId="77777777" w:rsidR="00F76B76" w:rsidRDefault="00F76B76" w:rsidP="00174747">
      <w:pPr>
        <w:widowControl w:val="0"/>
        <w:autoSpaceDE w:val="0"/>
        <w:autoSpaceDN w:val="0"/>
        <w:adjustRightInd w:val="0"/>
        <w:spacing w:line="360" w:lineRule="auto"/>
        <w:jc w:val="both"/>
        <w:rPr>
          <w:rFonts w:eastAsia="Times New Roman"/>
          <w:lang w:val="en-US"/>
        </w:rPr>
      </w:pPr>
    </w:p>
    <w:p w14:paraId="1F40E857" w14:textId="77777777" w:rsidR="006E41FE" w:rsidRPr="00497B38" w:rsidRDefault="006E41FE" w:rsidP="00174747">
      <w:pPr>
        <w:widowControl w:val="0"/>
        <w:autoSpaceDE w:val="0"/>
        <w:autoSpaceDN w:val="0"/>
        <w:adjustRightInd w:val="0"/>
        <w:spacing w:line="360" w:lineRule="auto"/>
        <w:jc w:val="both"/>
        <w:rPr>
          <w:rFonts w:eastAsia="Times New Roman"/>
          <w:lang w:val="en-US"/>
        </w:rPr>
      </w:pPr>
    </w:p>
    <w:p w14:paraId="3AD26E8E" w14:textId="77777777" w:rsidR="00553FCF" w:rsidRPr="00553FCF" w:rsidRDefault="00F76B76" w:rsidP="00574033">
      <w:pPr>
        <w:widowControl w:val="0"/>
        <w:autoSpaceDE w:val="0"/>
        <w:autoSpaceDN w:val="0"/>
        <w:adjustRightInd w:val="0"/>
        <w:spacing w:line="360" w:lineRule="auto"/>
        <w:jc w:val="both"/>
        <w:rPr>
          <w:i/>
          <w:lang w:val="en-US" w:eastAsia="ja-JP"/>
        </w:rPr>
      </w:pPr>
      <w:r w:rsidRPr="00553FCF">
        <w:rPr>
          <w:rFonts w:eastAsia="Times New Roman"/>
          <w:i/>
          <w:lang w:val="en-US"/>
        </w:rPr>
        <w:t xml:space="preserve">II. </w:t>
      </w:r>
      <w:r w:rsidR="00553FCF" w:rsidRPr="00553FCF">
        <w:rPr>
          <w:rFonts w:eastAsia="Times New Roman"/>
          <w:i/>
          <w:lang w:val="en-US"/>
        </w:rPr>
        <w:t>T</w:t>
      </w:r>
      <w:r w:rsidRPr="00553FCF">
        <w:rPr>
          <w:rFonts w:eastAsia="Times New Roman"/>
          <w:i/>
          <w:lang w:val="en-US"/>
        </w:rPr>
        <w:t xml:space="preserve">he </w:t>
      </w:r>
      <w:r w:rsidRPr="00553FCF">
        <w:rPr>
          <w:i/>
          <w:lang w:val="en-US" w:eastAsia="ja-JP"/>
        </w:rPr>
        <w:t xml:space="preserve">use of the concept civilization during the colonial period. </w:t>
      </w:r>
    </w:p>
    <w:p w14:paraId="225C1358" w14:textId="77777777" w:rsidR="00553FCF" w:rsidRDefault="00553FCF" w:rsidP="00574033">
      <w:pPr>
        <w:widowControl w:val="0"/>
        <w:autoSpaceDE w:val="0"/>
        <w:autoSpaceDN w:val="0"/>
        <w:adjustRightInd w:val="0"/>
        <w:spacing w:line="360" w:lineRule="auto"/>
        <w:jc w:val="both"/>
        <w:rPr>
          <w:lang w:val="en-US" w:eastAsia="ja-JP"/>
        </w:rPr>
      </w:pPr>
    </w:p>
    <w:p w14:paraId="63750BE1" w14:textId="35E80D89" w:rsidR="00F76B76" w:rsidRPr="00497B38" w:rsidRDefault="00F76B76" w:rsidP="00574033">
      <w:pPr>
        <w:widowControl w:val="0"/>
        <w:autoSpaceDE w:val="0"/>
        <w:autoSpaceDN w:val="0"/>
        <w:adjustRightInd w:val="0"/>
        <w:spacing w:line="360" w:lineRule="auto"/>
        <w:jc w:val="both"/>
        <w:rPr>
          <w:rFonts w:eastAsia="Times New Roman"/>
          <w:lang w:val="en-US"/>
        </w:rPr>
      </w:pPr>
      <w:r w:rsidRPr="00497B38">
        <w:rPr>
          <w:lang w:val="en-US" w:eastAsia="ja-JP"/>
        </w:rPr>
        <w:t>To integrate Congo into the Belgian legal order, the Belgian Parliament adopts a law on the Belgian Congo government</w:t>
      </w:r>
      <w:r w:rsidRPr="00497B38">
        <w:rPr>
          <w:rFonts w:eastAsia="Times New Roman"/>
          <w:vertAlign w:val="superscript"/>
        </w:rPr>
        <w:footnoteReference w:id="25"/>
      </w:r>
      <w:r w:rsidRPr="00497B38">
        <w:rPr>
          <w:rFonts w:eastAsia="Times New Roman"/>
          <w:lang w:val="en-US"/>
        </w:rPr>
        <w:t xml:space="preserve">, the so-called </w:t>
      </w:r>
      <w:r w:rsidRPr="00497B38">
        <w:rPr>
          <w:rFonts w:eastAsia="Times New Roman"/>
          <w:i/>
          <w:lang w:val="en-US"/>
        </w:rPr>
        <w:t>Charte coloniale</w:t>
      </w:r>
      <w:r w:rsidRPr="00497B38">
        <w:rPr>
          <w:rFonts w:eastAsia="Times New Roman"/>
          <w:vertAlign w:val="superscript"/>
        </w:rPr>
        <w:footnoteReference w:id="26"/>
      </w:r>
      <w:r w:rsidRPr="00497B38">
        <w:rPr>
          <w:rFonts w:eastAsia="Times New Roman"/>
          <w:lang w:val="en-US"/>
        </w:rPr>
        <w:t xml:space="preserve">. Article 5 of the Charter copies the General Act of the Berlin Conference and its commitment to "make the indigenous people understand and appreciate the benefits of civilization". In fact, despite the change of regime, the takeover of Congo does not constitute a moment of rupture in the use of the principle of "civilization". </w:t>
      </w:r>
    </w:p>
    <w:p w14:paraId="1BEE4B8B" w14:textId="77777777" w:rsidR="00F76B76" w:rsidRPr="00497B38" w:rsidRDefault="00F76B76" w:rsidP="00574033">
      <w:pPr>
        <w:widowControl w:val="0"/>
        <w:autoSpaceDE w:val="0"/>
        <w:autoSpaceDN w:val="0"/>
        <w:adjustRightInd w:val="0"/>
        <w:spacing w:line="360" w:lineRule="auto"/>
        <w:jc w:val="both"/>
        <w:rPr>
          <w:rFonts w:eastAsia="Times New Roman"/>
          <w:lang w:val="en-US"/>
        </w:rPr>
      </w:pPr>
    </w:p>
    <w:p w14:paraId="7BE782B8" w14:textId="1F0FC501" w:rsidR="00F76B76" w:rsidRPr="00497B38" w:rsidRDefault="00F76B76" w:rsidP="001D64D4">
      <w:pPr>
        <w:widowControl w:val="0"/>
        <w:autoSpaceDE w:val="0"/>
        <w:autoSpaceDN w:val="0"/>
        <w:adjustRightInd w:val="0"/>
        <w:spacing w:line="360" w:lineRule="auto"/>
        <w:jc w:val="both"/>
        <w:rPr>
          <w:rFonts w:eastAsia="Times New Roman"/>
          <w:lang w:val="en-US"/>
        </w:rPr>
      </w:pPr>
      <w:r w:rsidRPr="00497B38">
        <w:rPr>
          <w:rFonts w:eastAsia="Times New Roman"/>
          <w:lang w:val="en-US"/>
        </w:rPr>
        <w:t xml:space="preserve">The real turning point came after the First World War. The international society resulting from the Treaty of Versailles is developing the concept of civilization, also using it to refer to the diversity of the civilized societies that make up or have made up humanity. However, the 19th century notion of civilization remains predominant. It is set out in Article 22 </w:t>
      </w:r>
      <w:r w:rsidRPr="00497B38">
        <w:rPr>
          <w:lang w:val="en-US" w:eastAsia="ja-JP"/>
        </w:rPr>
        <w:t>of the Covenant of the League of Nations. This article deals with the colonies and territories inhabited by « peoples not yet able to stand by themselves under the strenuous conditions of the modern world », by stating that « the well-being and development of such peoples form a sacred trust of civilisation »</w:t>
      </w:r>
      <w:r w:rsidRPr="00497B38">
        <w:rPr>
          <w:rStyle w:val="Appelnotedebasdep"/>
          <w:lang w:eastAsia="ja-JP"/>
        </w:rPr>
        <w:footnoteReference w:id="27"/>
      </w:r>
      <w:r w:rsidRPr="00497B38">
        <w:rPr>
          <w:lang w:val="en-US" w:eastAsia="ja-JP"/>
        </w:rPr>
        <w:t>. The concept is also found in the Statute of the Permanent Court of International Justice adopted in 1920. Article 38 of the Statute refers to « the general principles of law recognized by civilized nations ». We find here the monist and European-centred conception of civilization inherited from the 19th century</w:t>
      </w:r>
      <w:r w:rsidRPr="00497B38">
        <w:rPr>
          <w:rStyle w:val="Appelnotedebasdep"/>
          <w:lang w:eastAsia="ja-JP"/>
        </w:rPr>
        <w:footnoteReference w:id="28"/>
      </w:r>
      <w:r w:rsidRPr="00497B38">
        <w:rPr>
          <w:lang w:val="en-US" w:eastAsia="ja-JP"/>
        </w:rPr>
        <w:t xml:space="preserve">. On the other hand, article 9 of the Statute is much more innovative. According to this article, « in the body as a whole the representation of the main forms of civilization and of the principal legal systems of the world should be assured ». This provision reflects a new pluralist conception of civilization, which took off between the two world wars. </w:t>
      </w:r>
    </w:p>
    <w:p w14:paraId="313D4D05" w14:textId="77777777" w:rsidR="00F76B76" w:rsidRPr="00497B38" w:rsidRDefault="00F76B76" w:rsidP="001D64D4">
      <w:pPr>
        <w:widowControl w:val="0"/>
        <w:autoSpaceDE w:val="0"/>
        <w:autoSpaceDN w:val="0"/>
        <w:adjustRightInd w:val="0"/>
        <w:spacing w:line="360" w:lineRule="auto"/>
        <w:jc w:val="both"/>
        <w:rPr>
          <w:rFonts w:eastAsia="Times New Roman"/>
          <w:lang w:val="en-US"/>
        </w:rPr>
      </w:pPr>
    </w:p>
    <w:p w14:paraId="7A7B49C7" w14:textId="5EF10C9E" w:rsidR="00F76B76" w:rsidRDefault="00F76B76" w:rsidP="006C3C73">
      <w:pPr>
        <w:widowControl w:val="0"/>
        <w:autoSpaceDE w:val="0"/>
        <w:autoSpaceDN w:val="0"/>
        <w:adjustRightInd w:val="0"/>
        <w:spacing w:line="360" w:lineRule="auto"/>
        <w:jc w:val="both"/>
        <w:rPr>
          <w:rFonts w:eastAsia="Times New Roman"/>
          <w:lang w:val="en-US"/>
        </w:rPr>
      </w:pPr>
      <w:r w:rsidRPr="00497B38">
        <w:rPr>
          <w:lang w:val="en-US" w:eastAsia="ja-JP"/>
        </w:rPr>
        <w:t>This evolution is perceivable in the colonial context. The progress of civilization is reflected in increasingly concrete measures and objectives. Schools and courts are placed at the service of the civilizing mission, and no longer only the police and the law. In the Belgian Congo, to legitimize Belgium's role, the government is initiating new projects such as the model colony, a project in which civilization plays a decisive role</w:t>
      </w:r>
      <w:r w:rsidRPr="00497B38">
        <w:rPr>
          <w:rFonts w:eastAsia="Times New Roman"/>
          <w:vertAlign w:val="superscript"/>
        </w:rPr>
        <w:footnoteReference w:id="29"/>
      </w:r>
      <w:r w:rsidRPr="00497B38">
        <w:rPr>
          <w:rFonts w:eastAsia="Times New Roman"/>
          <w:lang w:val="en-US"/>
        </w:rPr>
        <w:t>. The content of the concept of civilization nevertheless remains inseparable from the economic exploitation, and from the instrument of legitimization of metropolitan sovereignty, which it was already during the Leopoldian period. But the pluralist conception also appears at different levels. I will highlight it from three institutions.</w:t>
      </w:r>
    </w:p>
    <w:p w14:paraId="4EC18FFD" w14:textId="77777777" w:rsidR="00553FCF" w:rsidRPr="00497B38" w:rsidRDefault="00553FCF" w:rsidP="006C3C73">
      <w:pPr>
        <w:widowControl w:val="0"/>
        <w:autoSpaceDE w:val="0"/>
        <w:autoSpaceDN w:val="0"/>
        <w:adjustRightInd w:val="0"/>
        <w:spacing w:line="360" w:lineRule="auto"/>
        <w:jc w:val="both"/>
        <w:rPr>
          <w:rFonts w:eastAsia="Times New Roman"/>
          <w:lang w:val="en-US"/>
        </w:rPr>
      </w:pPr>
    </w:p>
    <w:p w14:paraId="437FE207" w14:textId="4BD0B064" w:rsidR="00F76B76" w:rsidRDefault="00F76B76" w:rsidP="00D47B7D">
      <w:pPr>
        <w:widowControl w:val="0"/>
        <w:autoSpaceDE w:val="0"/>
        <w:autoSpaceDN w:val="0"/>
        <w:adjustRightInd w:val="0"/>
        <w:spacing w:line="360" w:lineRule="auto"/>
        <w:jc w:val="both"/>
        <w:rPr>
          <w:rFonts w:eastAsia="Times New Roman"/>
          <w:lang w:val="en-US"/>
        </w:rPr>
      </w:pPr>
      <w:r w:rsidRPr="00497B38">
        <w:rPr>
          <w:rFonts w:eastAsia="Times New Roman"/>
          <w:lang w:val="en-US"/>
        </w:rPr>
        <w:t xml:space="preserve">1. Once again, the </w:t>
      </w:r>
      <w:r w:rsidRPr="00553FCF">
        <w:rPr>
          <w:rFonts w:eastAsia="Times New Roman"/>
          <w:i/>
          <w:lang w:val="en-US"/>
        </w:rPr>
        <w:t>Commission de protection des indigènes</w:t>
      </w:r>
      <w:r w:rsidRPr="00497B38">
        <w:rPr>
          <w:rFonts w:eastAsia="Times New Roman"/>
          <w:lang w:val="en-US"/>
        </w:rPr>
        <w:t xml:space="preserve">. It functions during the colonial period. And the Commission’s working </w:t>
      </w:r>
      <w:r w:rsidR="00553FCF">
        <w:rPr>
          <w:rFonts w:eastAsia="Times New Roman"/>
          <w:lang w:val="en-US"/>
        </w:rPr>
        <w:t>“</w:t>
      </w:r>
      <w:r w:rsidRPr="00497B38">
        <w:rPr>
          <w:rFonts w:eastAsia="Times New Roman"/>
          <w:lang w:val="en-US"/>
        </w:rPr>
        <w:t>reveals the amount of debate that existed ‘behind the scenes’ about the ‘civilising mission’ and how colonials on the ground perceived its problems and shortcomings. The main discussion was about how to civilise the ‘natives’, which comes down to a discussion between assimilationists and adaptationists. Assimilationists (generally first-generation missionaries) gradually gave way to a newer generation of adaptationists (generally a newer generation of administrators and magistrates), in particular concerning the matter of how to approach customary law and family law (notably the problem of polygamy)</w:t>
      </w:r>
      <w:r w:rsidR="00553FCF">
        <w:rPr>
          <w:rFonts w:eastAsia="Times New Roman"/>
          <w:lang w:val="en-US"/>
        </w:rPr>
        <w:t>”</w:t>
      </w:r>
      <w:r w:rsidRPr="00497B38">
        <w:rPr>
          <w:rFonts w:eastAsia="Times New Roman"/>
          <w:lang w:val="en-US"/>
        </w:rPr>
        <w:t>. Following the doctoral research of Eva Schaelbrouck, “the Commission serves as a lens into Belgian colonial policy and the ‘civilising mission’”</w:t>
      </w:r>
      <w:r w:rsidR="00553FCF" w:rsidRPr="00497B38">
        <w:rPr>
          <w:rFonts w:eastAsia="Times New Roman"/>
          <w:vertAlign w:val="superscript"/>
        </w:rPr>
        <w:footnoteReference w:id="30"/>
      </w:r>
      <w:r w:rsidRPr="00497B38">
        <w:rPr>
          <w:rFonts w:eastAsia="Times New Roman"/>
          <w:lang w:val="en-US"/>
        </w:rPr>
        <w:t>.</w:t>
      </w:r>
    </w:p>
    <w:p w14:paraId="200BC9D7" w14:textId="77777777" w:rsidR="00553FCF" w:rsidRPr="00497B38" w:rsidRDefault="00553FCF" w:rsidP="00D47B7D">
      <w:pPr>
        <w:widowControl w:val="0"/>
        <w:autoSpaceDE w:val="0"/>
        <w:autoSpaceDN w:val="0"/>
        <w:adjustRightInd w:val="0"/>
        <w:spacing w:line="360" w:lineRule="auto"/>
        <w:jc w:val="both"/>
        <w:rPr>
          <w:rFonts w:eastAsia="Times New Roman"/>
          <w:lang w:val="en-US"/>
        </w:rPr>
      </w:pPr>
    </w:p>
    <w:p w14:paraId="71A46827" w14:textId="4B3C822C" w:rsidR="006E41FE" w:rsidRDefault="00F76B76" w:rsidP="00985819">
      <w:pPr>
        <w:widowControl w:val="0"/>
        <w:autoSpaceDE w:val="0"/>
        <w:autoSpaceDN w:val="0"/>
        <w:adjustRightInd w:val="0"/>
        <w:spacing w:line="360" w:lineRule="auto"/>
        <w:jc w:val="both"/>
        <w:rPr>
          <w:rFonts w:eastAsia="Times New Roman"/>
          <w:lang w:val="en-US"/>
        </w:rPr>
      </w:pPr>
      <w:r w:rsidRPr="00497B38">
        <w:rPr>
          <w:rFonts w:eastAsia="Times New Roman"/>
          <w:lang w:val="en-US"/>
        </w:rPr>
        <w:t>2. Chiefdoms again. From the 1920s onwards, the colonial government opted for an administration more in line with the principles of indirect rule practised by the British colonies</w:t>
      </w:r>
      <w:r w:rsidRPr="00497B38">
        <w:rPr>
          <w:rFonts w:eastAsia="Times New Roman"/>
          <w:vertAlign w:val="superscript"/>
        </w:rPr>
        <w:footnoteReference w:id="31"/>
      </w:r>
      <w:r w:rsidRPr="00497B38">
        <w:rPr>
          <w:rFonts w:eastAsia="Times New Roman"/>
          <w:lang w:val="en-US"/>
        </w:rPr>
        <w:t>. In the same way, the politics of civilization will be described as "indigenous politics". This new orientation shows an openness to Congolese cultures and Congolese political organizations. However, the primacy of European civilisation will never be called into question. The civilizing mission remains based on the premise of inequality between civilizers and the peoples to be civilized.</w:t>
      </w:r>
    </w:p>
    <w:p w14:paraId="6B5AC24D" w14:textId="77777777" w:rsidR="006E41FE" w:rsidRPr="00497B38" w:rsidRDefault="006E41FE" w:rsidP="00985819">
      <w:pPr>
        <w:widowControl w:val="0"/>
        <w:autoSpaceDE w:val="0"/>
        <w:autoSpaceDN w:val="0"/>
        <w:adjustRightInd w:val="0"/>
        <w:spacing w:line="360" w:lineRule="auto"/>
        <w:jc w:val="both"/>
        <w:rPr>
          <w:rFonts w:eastAsia="Times New Roman"/>
          <w:lang w:val="en-US"/>
        </w:rPr>
      </w:pPr>
    </w:p>
    <w:p w14:paraId="64098671" w14:textId="1CD153E5" w:rsidR="00F76B76" w:rsidRDefault="00F76B76" w:rsidP="00453C28">
      <w:pPr>
        <w:widowControl w:val="0"/>
        <w:autoSpaceDE w:val="0"/>
        <w:autoSpaceDN w:val="0"/>
        <w:adjustRightInd w:val="0"/>
        <w:spacing w:line="360" w:lineRule="auto"/>
        <w:jc w:val="both"/>
        <w:rPr>
          <w:lang w:val="en-US" w:eastAsia="ja-JP"/>
        </w:rPr>
      </w:pPr>
      <w:r w:rsidRPr="00497B38">
        <w:rPr>
          <w:rFonts w:eastAsia="Times New Roman"/>
          <w:lang w:val="en-US"/>
        </w:rPr>
        <w:t xml:space="preserve">3. </w:t>
      </w:r>
      <w:r w:rsidRPr="00497B38">
        <w:rPr>
          <w:lang w:val="en-US" w:eastAsia="ja-JP"/>
        </w:rPr>
        <w:t>The role of the indigenous courts. Prosecutor General Sohier studied the legal status of the "indigenous" in Congo for nearly ten years and gradually distinguished himself as the main specialist in Congolese customary law</w:t>
      </w:r>
      <w:r w:rsidRPr="00497B38">
        <w:rPr>
          <w:vertAlign w:val="superscript"/>
          <w:lang w:val="fr-BE" w:eastAsia="ja-JP"/>
        </w:rPr>
        <w:footnoteReference w:id="32"/>
      </w:r>
      <w:r w:rsidRPr="00497B38">
        <w:rPr>
          <w:lang w:val="en-US" w:eastAsia="ja-JP"/>
        </w:rPr>
        <w:t>.</w:t>
      </w:r>
      <w:r w:rsidRPr="00497B38">
        <w:rPr>
          <w:lang w:val="en-US"/>
        </w:rPr>
        <w:t xml:space="preserve"> To enrich and promote his approach, Sohier uses the publication of colonial legal journals. The </w:t>
      </w:r>
      <w:r w:rsidRPr="00497B38">
        <w:rPr>
          <w:i/>
          <w:lang w:val="en-US" w:eastAsia="fr-FR"/>
        </w:rPr>
        <w:t xml:space="preserve">Bulletin des juridictions indigènes et de droit coutumier congolais </w:t>
      </w:r>
      <w:r w:rsidRPr="00497B38">
        <w:rPr>
          <w:lang w:val="en-US" w:eastAsia="fr-FR"/>
        </w:rPr>
        <w:t xml:space="preserve">is gradually becoming both the receptacle and the vehicle for disseminating relevant information on the habits and customs of the colonized populations. </w:t>
      </w:r>
      <w:r w:rsidRPr="00497B38">
        <w:rPr>
          <w:lang w:val="en-US" w:eastAsia="ja-JP"/>
        </w:rPr>
        <w:t>As for the indigenous courts, according to Sohier, their action “must obviously be cautious. Through premature interventions, overtaking the evolution of minds, it could cause unrest in society and risk destroying the social edifice. However, this duty of prudence can never make us forget the civilizing mission we have assumed”</w:t>
      </w:r>
      <w:r w:rsidRPr="00497B38">
        <w:rPr>
          <w:vertAlign w:val="superscript"/>
          <w:lang w:val="fr-BE" w:eastAsia="ja-JP"/>
        </w:rPr>
        <w:footnoteReference w:id="33"/>
      </w:r>
      <w:r w:rsidR="006E41FE">
        <w:rPr>
          <w:lang w:val="en-US" w:eastAsia="ja-JP"/>
        </w:rPr>
        <w:t>.</w:t>
      </w:r>
    </w:p>
    <w:p w14:paraId="258C2B4B" w14:textId="77777777" w:rsidR="006E41FE" w:rsidRPr="00497B38" w:rsidRDefault="006E41FE" w:rsidP="00453C28">
      <w:pPr>
        <w:widowControl w:val="0"/>
        <w:autoSpaceDE w:val="0"/>
        <w:autoSpaceDN w:val="0"/>
        <w:adjustRightInd w:val="0"/>
        <w:spacing w:line="360" w:lineRule="auto"/>
        <w:jc w:val="both"/>
        <w:rPr>
          <w:lang w:val="en-US" w:eastAsia="ja-JP"/>
        </w:rPr>
      </w:pPr>
    </w:p>
    <w:p w14:paraId="1669DF75" w14:textId="45A9A60C" w:rsidR="00F76B76" w:rsidRPr="00497B38" w:rsidRDefault="00F76B76" w:rsidP="0096453D">
      <w:pPr>
        <w:widowControl w:val="0"/>
        <w:autoSpaceDE w:val="0"/>
        <w:autoSpaceDN w:val="0"/>
        <w:adjustRightInd w:val="0"/>
        <w:spacing w:line="360" w:lineRule="auto"/>
        <w:jc w:val="both"/>
        <w:rPr>
          <w:rFonts w:eastAsia="Times New Roman"/>
          <w:lang w:val="en-US"/>
        </w:rPr>
      </w:pPr>
      <w:r w:rsidRPr="00497B38">
        <w:rPr>
          <w:lang w:val="en-US" w:eastAsia="ja-JP"/>
        </w:rPr>
        <w:t xml:space="preserve">Civilizing the Belgian Congo therefore remains first and foremost a normative project. </w:t>
      </w:r>
      <w:r w:rsidR="006E41FE">
        <w:rPr>
          <w:lang w:val="en-US" w:eastAsia="ja-JP"/>
        </w:rPr>
        <w:t>But</w:t>
      </w:r>
      <w:r w:rsidRPr="00497B38">
        <w:rPr>
          <w:lang w:val="en-US" w:eastAsia="ja-JP"/>
        </w:rPr>
        <w:t xml:space="preserve"> it reveals an evolving process of civilization, both through the evolution of the notion, which is more pluralistic, and through the evolution of the actors and instruments supposed to promote civilization.</w:t>
      </w:r>
    </w:p>
    <w:p w14:paraId="16C128B4" w14:textId="77777777" w:rsidR="00F76B76" w:rsidRDefault="00F76B76" w:rsidP="0096453D">
      <w:pPr>
        <w:widowControl w:val="0"/>
        <w:autoSpaceDE w:val="0"/>
        <w:autoSpaceDN w:val="0"/>
        <w:adjustRightInd w:val="0"/>
        <w:spacing w:line="360" w:lineRule="auto"/>
        <w:jc w:val="both"/>
        <w:rPr>
          <w:rFonts w:eastAsia="Times New Roman"/>
          <w:lang w:val="en-US"/>
        </w:rPr>
      </w:pPr>
    </w:p>
    <w:p w14:paraId="66F1A407" w14:textId="77777777" w:rsidR="006E41FE" w:rsidRPr="00497B38" w:rsidRDefault="006E41FE" w:rsidP="0096453D">
      <w:pPr>
        <w:widowControl w:val="0"/>
        <w:autoSpaceDE w:val="0"/>
        <w:autoSpaceDN w:val="0"/>
        <w:adjustRightInd w:val="0"/>
        <w:spacing w:line="360" w:lineRule="auto"/>
        <w:jc w:val="both"/>
        <w:rPr>
          <w:rFonts w:eastAsia="Times New Roman"/>
          <w:lang w:val="en-US"/>
        </w:rPr>
      </w:pPr>
    </w:p>
    <w:p w14:paraId="057B1CEE" w14:textId="77777777" w:rsidR="006E41FE" w:rsidRPr="006E41FE" w:rsidRDefault="00F76B76" w:rsidP="00E91DC4">
      <w:pPr>
        <w:widowControl w:val="0"/>
        <w:autoSpaceDE w:val="0"/>
        <w:autoSpaceDN w:val="0"/>
        <w:adjustRightInd w:val="0"/>
        <w:spacing w:line="360" w:lineRule="auto"/>
        <w:jc w:val="both"/>
        <w:rPr>
          <w:i/>
          <w:lang w:val="en-US" w:eastAsia="ja-JP"/>
        </w:rPr>
      </w:pPr>
      <w:r w:rsidRPr="006E41FE">
        <w:rPr>
          <w:i/>
          <w:lang w:val="en-US" w:eastAsia="ja-JP"/>
        </w:rPr>
        <w:t>III.</w:t>
      </w:r>
      <w:r w:rsidRPr="006E41FE">
        <w:rPr>
          <w:rFonts w:eastAsia="Times New Roman"/>
          <w:i/>
          <w:lang w:val="en-US"/>
        </w:rPr>
        <w:t xml:space="preserve"> </w:t>
      </w:r>
      <w:r w:rsidR="006E41FE" w:rsidRPr="006E41FE">
        <w:rPr>
          <w:i/>
          <w:lang w:val="en-US" w:eastAsia="ja-JP"/>
        </w:rPr>
        <w:t>T</w:t>
      </w:r>
      <w:r w:rsidRPr="006E41FE">
        <w:rPr>
          <w:i/>
          <w:lang w:val="en-US" w:eastAsia="ja-JP"/>
        </w:rPr>
        <w:t xml:space="preserve">he legal and political legacy of civilization after the Second World War. </w:t>
      </w:r>
    </w:p>
    <w:p w14:paraId="3F6CA7C8" w14:textId="77777777" w:rsidR="006E41FE" w:rsidRDefault="006E41FE" w:rsidP="00E91DC4">
      <w:pPr>
        <w:widowControl w:val="0"/>
        <w:autoSpaceDE w:val="0"/>
        <w:autoSpaceDN w:val="0"/>
        <w:adjustRightInd w:val="0"/>
        <w:spacing w:line="360" w:lineRule="auto"/>
        <w:jc w:val="both"/>
        <w:rPr>
          <w:lang w:val="en-US" w:eastAsia="ja-JP"/>
        </w:rPr>
      </w:pPr>
    </w:p>
    <w:p w14:paraId="2342E22F" w14:textId="7D58C168" w:rsidR="00F76B76" w:rsidRPr="00497B38" w:rsidRDefault="00F76B76" w:rsidP="00E91DC4">
      <w:pPr>
        <w:widowControl w:val="0"/>
        <w:autoSpaceDE w:val="0"/>
        <w:autoSpaceDN w:val="0"/>
        <w:adjustRightInd w:val="0"/>
        <w:spacing w:line="360" w:lineRule="auto"/>
        <w:jc w:val="both"/>
        <w:rPr>
          <w:lang w:val="en-US" w:eastAsia="ja-JP"/>
        </w:rPr>
      </w:pPr>
      <w:r w:rsidRPr="00497B38">
        <w:rPr>
          <w:lang w:val="en-US" w:eastAsia="ja-JP"/>
        </w:rPr>
        <w:t>The international system that was rebuilt after the War remains marked by the customs and principles deduced from the concept of civilization, but it no longer uses the same word. The right to development of peoples, for instance, remains enshrined in Article 73 of the Charter of the United Nations, but no longer based on the civilizing mission of Western States</w:t>
      </w:r>
      <w:r w:rsidRPr="00497B38">
        <w:rPr>
          <w:rStyle w:val="Appelnotedebasdep"/>
          <w:lang w:eastAsia="ja-JP"/>
        </w:rPr>
        <w:footnoteReference w:id="34"/>
      </w:r>
      <w:r w:rsidRPr="00497B38">
        <w:rPr>
          <w:lang w:val="en-US" w:eastAsia="ja-JP"/>
        </w:rPr>
        <w:t>.</w:t>
      </w:r>
      <w:r w:rsidRPr="00497B38">
        <w:rPr>
          <w:rFonts w:eastAsia="Times New Roman"/>
          <w:lang w:val="en-US"/>
        </w:rPr>
        <w:t xml:space="preserve"> </w:t>
      </w:r>
      <w:r w:rsidRPr="00497B38">
        <w:rPr>
          <w:lang w:val="en-US" w:eastAsia="ja-JP"/>
        </w:rPr>
        <w:t>The British lawyer Hersch Lauterparcht said with confidence in 1947</w:t>
      </w:r>
      <w:r w:rsidR="006E41FE">
        <w:rPr>
          <w:lang w:val="en-US" w:eastAsia="ja-JP"/>
        </w:rPr>
        <w:t>: “</w:t>
      </w:r>
      <w:r w:rsidRPr="00497B38">
        <w:rPr>
          <w:lang w:val="en-US" w:eastAsia="ja-JP"/>
        </w:rPr>
        <w:t>Modern international law knows of no distinction, for the purpose of recognition, between civilized and uncivilized States or between States within and outside the international community of civilized States</w:t>
      </w:r>
      <w:r w:rsidR="006E41FE">
        <w:rPr>
          <w:lang w:val="en-US" w:eastAsia="ja-JP"/>
        </w:rPr>
        <w:t>”</w:t>
      </w:r>
      <w:r w:rsidRPr="00497B38">
        <w:rPr>
          <w:rStyle w:val="Appelnotedebasdep"/>
          <w:lang w:eastAsia="ja-JP"/>
        </w:rPr>
        <w:footnoteReference w:id="35"/>
      </w:r>
      <w:r w:rsidRPr="00497B38">
        <w:rPr>
          <w:lang w:val="en-US" w:eastAsia="ja-JP"/>
        </w:rPr>
        <w:t>. The debate launched at the end of the 19th century is definitely over.</w:t>
      </w:r>
      <w:r w:rsidRPr="00497B38">
        <w:rPr>
          <w:rFonts w:eastAsia="Times New Roman"/>
          <w:lang w:val="en-US"/>
        </w:rPr>
        <w:t xml:space="preserve"> </w:t>
      </w:r>
      <w:r w:rsidRPr="00497B38">
        <w:rPr>
          <w:lang w:val="en-US" w:eastAsia="ja-JP"/>
        </w:rPr>
        <w:t>The concept of civilization has in fact become embarrassing, even anachronistic, certainly in a post-war geopolitical context which enshrines the right of peoples to self-determination and precedes decolonization. On the other hand, the pluralist notion of civilization strengthens the discourse of those who intend to respect and preserve non-European civilizations.</w:t>
      </w:r>
    </w:p>
    <w:p w14:paraId="0EDC5F84" w14:textId="77777777" w:rsidR="00F76B76" w:rsidRPr="00497B38" w:rsidRDefault="00F76B76" w:rsidP="00E91DC4">
      <w:pPr>
        <w:widowControl w:val="0"/>
        <w:autoSpaceDE w:val="0"/>
        <w:autoSpaceDN w:val="0"/>
        <w:adjustRightInd w:val="0"/>
        <w:spacing w:line="360" w:lineRule="auto"/>
        <w:jc w:val="both"/>
        <w:rPr>
          <w:lang w:val="en-US" w:eastAsia="ja-JP"/>
        </w:rPr>
      </w:pPr>
    </w:p>
    <w:p w14:paraId="08633D30" w14:textId="6F23039B" w:rsidR="00F76B76" w:rsidRPr="00497B38" w:rsidRDefault="00F76B76" w:rsidP="00DF5EFF">
      <w:pPr>
        <w:widowControl w:val="0"/>
        <w:autoSpaceDE w:val="0"/>
        <w:autoSpaceDN w:val="0"/>
        <w:adjustRightInd w:val="0"/>
        <w:spacing w:line="360" w:lineRule="auto"/>
        <w:jc w:val="both"/>
        <w:rPr>
          <w:rFonts w:eastAsia="Times New Roman"/>
          <w:lang w:val="en-US"/>
        </w:rPr>
      </w:pPr>
      <w:r w:rsidRPr="00497B38">
        <w:rPr>
          <w:lang w:val="en-US" w:eastAsia="ja-JP"/>
        </w:rPr>
        <w:t>This context largely explains the latest developments in the Belgian colony after the war, until Congo's independence in 1960. According to Congolese Professor Busane</w:t>
      </w:r>
      <w:r w:rsidR="006E41FE" w:rsidRPr="00497B38">
        <w:rPr>
          <w:rStyle w:val="Appelnotedebasdep"/>
          <w:lang w:eastAsia="ja-JP"/>
        </w:rPr>
        <w:footnoteReference w:id="36"/>
      </w:r>
      <w:r w:rsidRPr="00497B38">
        <w:rPr>
          <w:lang w:val="en-US" w:eastAsia="ja-JP"/>
        </w:rPr>
        <w:t xml:space="preserve">, the closer we got to the period of independence, the more the affirmation of the civilizing mission decreased in intensity. However, ideas of progress and discrimination remain inseparable. The legislation on the </w:t>
      </w:r>
      <w:r w:rsidRPr="00497B38">
        <w:rPr>
          <w:i/>
          <w:lang w:val="en-US" w:eastAsia="ja-JP"/>
        </w:rPr>
        <w:t>carte de mérite civique</w:t>
      </w:r>
      <w:r w:rsidRPr="00497B38">
        <w:rPr>
          <w:lang w:val="en-US" w:eastAsia="ja-JP"/>
        </w:rPr>
        <w:t xml:space="preserve"> reflects this (a kind of identity card “with merits”, adopted in 1948). The card is intended for indigenous people "whose degree of civilization justifies it", in other words, a sufficient degree of evolution in the intellectual and moral field, but which "does not yet allow their assimilation". The matriculation policy for civilized Congolese was fundamentally reviewed in 1952, with little success. But it still allows a court to grant matriculation to a Congolese married according to custom and not according to written law. The Court of Appeal emphasizes that the matriculation reform "does not provide that the concerned Congolese must abandon the norms of their own civilization, especially when they are not incompatible with written norms"</w:t>
      </w:r>
      <w:r w:rsidRPr="00497B38">
        <w:rPr>
          <w:vertAlign w:val="superscript"/>
          <w:lang w:eastAsia="ja-JP"/>
        </w:rPr>
        <w:footnoteReference w:id="37"/>
      </w:r>
      <w:r w:rsidRPr="00497B38">
        <w:rPr>
          <w:lang w:val="en-US" w:eastAsia="ja-JP"/>
        </w:rPr>
        <w:t>.</w:t>
      </w:r>
      <w:r w:rsidRPr="00497B38">
        <w:rPr>
          <w:rFonts w:eastAsia="Times New Roman"/>
          <w:lang w:val="en-US"/>
        </w:rPr>
        <w:t xml:space="preserve"> </w:t>
      </w:r>
      <w:r w:rsidRPr="00497B38">
        <w:rPr>
          <w:lang w:val="en-US"/>
        </w:rPr>
        <w:t>In the end, according to Professor Busane, the main consequence of the use of the colonial conception of civilization was to perpetuate the regime of discrimination between Belgians and Congolese.</w:t>
      </w:r>
    </w:p>
    <w:p w14:paraId="41F09EC9" w14:textId="77777777" w:rsidR="00F76B76" w:rsidRPr="00497B38" w:rsidRDefault="00F76B76" w:rsidP="00DF5EFF">
      <w:pPr>
        <w:widowControl w:val="0"/>
        <w:autoSpaceDE w:val="0"/>
        <w:autoSpaceDN w:val="0"/>
        <w:adjustRightInd w:val="0"/>
        <w:spacing w:line="360" w:lineRule="auto"/>
        <w:jc w:val="both"/>
        <w:rPr>
          <w:rFonts w:eastAsia="Times New Roman"/>
          <w:lang w:val="en-US"/>
        </w:rPr>
      </w:pPr>
    </w:p>
    <w:p w14:paraId="416F785C" w14:textId="3A8536E2" w:rsidR="00DA7820" w:rsidRPr="00497B38" w:rsidRDefault="00F76B76" w:rsidP="00DA7820">
      <w:pPr>
        <w:widowControl w:val="0"/>
        <w:autoSpaceDE w:val="0"/>
        <w:autoSpaceDN w:val="0"/>
        <w:adjustRightInd w:val="0"/>
        <w:spacing w:line="360" w:lineRule="auto"/>
        <w:jc w:val="both"/>
        <w:rPr>
          <w:rFonts w:eastAsia="Times New Roman"/>
          <w:lang w:val="en-US"/>
        </w:rPr>
      </w:pPr>
      <w:r w:rsidRPr="00497B38">
        <w:rPr>
          <w:lang w:val="en-US"/>
        </w:rPr>
        <w:t>In the post-independence period, the concern for civilization, at least according to the colonial conception, disappeared from Congolese law. The only visible legacy of colonial law is the coexistence, still today, of customary and written law. On the other hand, a mutation seems to have been made towards the affirmation and return to authentic Congolese civilization. The politics of authenticity is presented as a remedy for the alienation caused by Western civilization inherited from the colonial past</w:t>
      </w:r>
      <w:r w:rsidR="006E41FE" w:rsidRPr="00497B38">
        <w:rPr>
          <w:rStyle w:val="Appelnotedebasdep"/>
          <w:lang w:eastAsia="ja-JP"/>
        </w:rPr>
        <w:footnoteReference w:id="38"/>
      </w:r>
      <w:r w:rsidRPr="00497B38">
        <w:rPr>
          <w:lang w:val="en-US"/>
        </w:rPr>
        <w:t>. For instance, it imposed a change in the name of cities in 1966; a change in the name of the country from Congo to Zaire in 1971; the adoption of a new Family Code; etc.</w:t>
      </w:r>
      <w:r w:rsidRPr="00497B38">
        <w:rPr>
          <w:vertAlign w:val="superscript"/>
          <w:lang w:eastAsia="ja-JP"/>
        </w:rPr>
        <w:footnoteReference w:id="39"/>
      </w:r>
      <w:r w:rsidRPr="00497B38">
        <w:rPr>
          <w:lang w:val="en-US"/>
        </w:rPr>
        <w:t xml:space="preserve"> </w:t>
      </w:r>
      <w:r w:rsidR="00465F7F" w:rsidRPr="00497B38">
        <w:rPr>
          <w:lang w:val="en-US"/>
        </w:rPr>
        <w:t>But this is another story.</w:t>
      </w:r>
    </w:p>
    <w:p w14:paraId="1E2FB2B3" w14:textId="77777777" w:rsidR="00DA7820" w:rsidRDefault="00DA7820" w:rsidP="00DA7820">
      <w:pPr>
        <w:widowControl w:val="0"/>
        <w:autoSpaceDE w:val="0"/>
        <w:autoSpaceDN w:val="0"/>
        <w:adjustRightInd w:val="0"/>
        <w:spacing w:line="360" w:lineRule="auto"/>
        <w:jc w:val="both"/>
        <w:rPr>
          <w:rFonts w:eastAsia="Times New Roman"/>
          <w:lang w:val="en-US"/>
        </w:rPr>
      </w:pPr>
    </w:p>
    <w:p w14:paraId="1853EE82" w14:textId="77777777" w:rsidR="006E41FE" w:rsidRPr="00497B38" w:rsidRDefault="006E41FE" w:rsidP="00DA7820">
      <w:pPr>
        <w:widowControl w:val="0"/>
        <w:autoSpaceDE w:val="0"/>
        <w:autoSpaceDN w:val="0"/>
        <w:adjustRightInd w:val="0"/>
        <w:spacing w:line="360" w:lineRule="auto"/>
        <w:jc w:val="both"/>
        <w:rPr>
          <w:rFonts w:eastAsia="Times New Roman"/>
          <w:lang w:val="en-US"/>
        </w:rPr>
      </w:pPr>
    </w:p>
    <w:p w14:paraId="43ABC230" w14:textId="549EAFEF" w:rsidR="006E41FE" w:rsidRPr="006E41FE" w:rsidRDefault="006E41FE" w:rsidP="00C907A5">
      <w:pPr>
        <w:widowControl w:val="0"/>
        <w:autoSpaceDE w:val="0"/>
        <w:autoSpaceDN w:val="0"/>
        <w:adjustRightInd w:val="0"/>
        <w:spacing w:line="360" w:lineRule="auto"/>
        <w:jc w:val="both"/>
        <w:rPr>
          <w:i/>
          <w:lang w:val="en-US" w:eastAsia="ja-JP"/>
        </w:rPr>
      </w:pPr>
      <w:r w:rsidRPr="006E41FE">
        <w:rPr>
          <w:i/>
          <w:lang w:val="en-US" w:eastAsia="ja-JP"/>
        </w:rPr>
        <w:t>C</w:t>
      </w:r>
      <w:r>
        <w:rPr>
          <w:i/>
          <w:lang w:val="en-US" w:eastAsia="ja-JP"/>
        </w:rPr>
        <w:t>onclusions</w:t>
      </w:r>
    </w:p>
    <w:p w14:paraId="19C8FE73" w14:textId="77777777" w:rsidR="006E41FE" w:rsidRDefault="006E41FE" w:rsidP="00C907A5">
      <w:pPr>
        <w:widowControl w:val="0"/>
        <w:autoSpaceDE w:val="0"/>
        <w:autoSpaceDN w:val="0"/>
        <w:adjustRightInd w:val="0"/>
        <w:spacing w:line="360" w:lineRule="auto"/>
        <w:jc w:val="both"/>
        <w:rPr>
          <w:lang w:val="en-US" w:eastAsia="ja-JP"/>
        </w:rPr>
      </w:pPr>
    </w:p>
    <w:p w14:paraId="5889E13F" w14:textId="2F4589EC" w:rsidR="00C907A5" w:rsidRDefault="00C907A5" w:rsidP="00C907A5">
      <w:pPr>
        <w:widowControl w:val="0"/>
        <w:autoSpaceDE w:val="0"/>
        <w:autoSpaceDN w:val="0"/>
        <w:adjustRightInd w:val="0"/>
        <w:spacing w:line="360" w:lineRule="auto"/>
        <w:jc w:val="both"/>
        <w:rPr>
          <w:lang w:val="en-US" w:eastAsia="ja-JP"/>
        </w:rPr>
      </w:pPr>
      <w:r w:rsidRPr="00497B38">
        <w:rPr>
          <w:lang w:val="en-US" w:eastAsia="ja-JP"/>
        </w:rPr>
        <w:t>A first conclusion concerns the close link between colonial law and international law when it comes to implementing the civilizing mission. From the 19th century onwards, the mutual influence seemed obvious, even if it was mainly international discourse and doctrine that were implemented at the colonial level. This influence e</w:t>
      </w:r>
      <w:bookmarkStart w:id="0" w:name="_GoBack"/>
      <w:bookmarkEnd w:id="0"/>
      <w:r w:rsidRPr="00497B38">
        <w:rPr>
          <w:lang w:val="en-US" w:eastAsia="ja-JP"/>
        </w:rPr>
        <w:t xml:space="preserve">xtends also during the inter-war period, since the League of Nations and its organs </w:t>
      </w:r>
      <w:r w:rsidR="000C50A1" w:rsidRPr="00497B38">
        <w:rPr>
          <w:lang w:val="en-US" w:eastAsia="ja-JP"/>
        </w:rPr>
        <w:t xml:space="preserve">were </w:t>
      </w:r>
      <w:r w:rsidRPr="00497B38">
        <w:rPr>
          <w:lang w:val="en-US" w:eastAsia="ja-JP"/>
        </w:rPr>
        <w:t xml:space="preserve">responsible for verifying compliance with the "sacred </w:t>
      </w:r>
      <w:r w:rsidR="000C50A1" w:rsidRPr="00497B38">
        <w:rPr>
          <w:lang w:val="en-US" w:eastAsia="ja-JP"/>
        </w:rPr>
        <w:t>trust</w:t>
      </w:r>
      <w:r w:rsidRPr="00497B38">
        <w:rPr>
          <w:lang w:val="en-US" w:eastAsia="ja-JP"/>
        </w:rPr>
        <w:t xml:space="preserve"> of civilization". The Congolese question </w:t>
      </w:r>
      <w:r w:rsidR="000C50A1" w:rsidRPr="00497B38">
        <w:rPr>
          <w:lang w:val="en-US" w:eastAsia="ja-JP"/>
        </w:rPr>
        <w:t>has been</w:t>
      </w:r>
      <w:r w:rsidR="00090160" w:rsidRPr="00497B38">
        <w:rPr>
          <w:lang w:val="en-US" w:eastAsia="ja-JP"/>
        </w:rPr>
        <w:t xml:space="preserve"> furthermore, in several a</w:t>
      </w:r>
      <w:r w:rsidRPr="00497B38">
        <w:rPr>
          <w:lang w:val="en-US" w:eastAsia="ja-JP"/>
        </w:rPr>
        <w:t>spects, a paradigmatic case of deba</w:t>
      </w:r>
      <w:r w:rsidR="00090160" w:rsidRPr="00497B38">
        <w:rPr>
          <w:lang w:val="en-US" w:eastAsia="ja-JP"/>
        </w:rPr>
        <w:t>tes</w:t>
      </w:r>
      <w:r w:rsidR="000C50A1" w:rsidRPr="00497B38">
        <w:rPr>
          <w:lang w:val="en-US" w:eastAsia="ja-JP"/>
        </w:rPr>
        <w:t xml:space="preserve"> about civilization</w:t>
      </w:r>
      <w:r w:rsidR="00090160" w:rsidRPr="00497B38">
        <w:rPr>
          <w:lang w:val="en-US" w:eastAsia="ja-JP"/>
        </w:rPr>
        <w:t xml:space="preserve"> at the international level.</w:t>
      </w:r>
    </w:p>
    <w:p w14:paraId="5F2E803A" w14:textId="77777777" w:rsidR="006E41FE" w:rsidRPr="00497B38" w:rsidRDefault="006E41FE" w:rsidP="00C907A5">
      <w:pPr>
        <w:widowControl w:val="0"/>
        <w:autoSpaceDE w:val="0"/>
        <w:autoSpaceDN w:val="0"/>
        <w:adjustRightInd w:val="0"/>
        <w:spacing w:line="360" w:lineRule="auto"/>
        <w:jc w:val="both"/>
        <w:rPr>
          <w:lang w:val="en-US" w:eastAsia="ja-JP"/>
        </w:rPr>
      </w:pPr>
    </w:p>
    <w:p w14:paraId="3C930301" w14:textId="0FF269A3" w:rsidR="00C907A5" w:rsidRPr="00497B38" w:rsidRDefault="00090160" w:rsidP="00C907A5">
      <w:pPr>
        <w:widowControl w:val="0"/>
        <w:autoSpaceDE w:val="0"/>
        <w:autoSpaceDN w:val="0"/>
        <w:adjustRightInd w:val="0"/>
        <w:spacing w:line="360" w:lineRule="auto"/>
        <w:jc w:val="both"/>
        <w:rPr>
          <w:lang w:val="en-US" w:eastAsia="ja-JP"/>
        </w:rPr>
      </w:pPr>
      <w:r w:rsidRPr="00497B38">
        <w:rPr>
          <w:lang w:val="en-US" w:eastAsia="ja-JP"/>
        </w:rPr>
        <w:t xml:space="preserve">A second </w:t>
      </w:r>
      <w:r w:rsidR="00D33BB4">
        <w:rPr>
          <w:lang w:val="en-US" w:eastAsia="ja-JP"/>
        </w:rPr>
        <w:t>element</w:t>
      </w:r>
      <w:r w:rsidRPr="00497B38">
        <w:rPr>
          <w:lang w:val="en-US" w:eastAsia="ja-JP"/>
        </w:rPr>
        <w:t>: c</w:t>
      </w:r>
      <w:r w:rsidR="00C907A5" w:rsidRPr="00497B38">
        <w:rPr>
          <w:lang w:val="en-US" w:eastAsia="ja-JP"/>
        </w:rPr>
        <w:t>olonial law</w:t>
      </w:r>
      <w:r w:rsidRPr="00497B38">
        <w:rPr>
          <w:lang w:val="en-US" w:eastAsia="ja-JP"/>
        </w:rPr>
        <w:t xml:space="preserve"> and institutions</w:t>
      </w:r>
      <w:r w:rsidR="00C907A5" w:rsidRPr="00497B38">
        <w:rPr>
          <w:lang w:val="en-US" w:eastAsia="ja-JP"/>
        </w:rPr>
        <w:t xml:space="preserve"> illustrates </w:t>
      </w:r>
      <w:r w:rsidRPr="00497B38">
        <w:rPr>
          <w:lang w:val="en-US" w:eastAsia="ja-JP"/>
        </w:rPr>
        <w:t>perfectly</w:t>
      </w:r>
      <w:r w:rsidR="00C907A5" w:rsidRPr="00497B38">
        <w:rPr>
          <w:lang w:val="en-US" w:eastAsia="ja-JP"/>
        </w:rPr>
        <w:t xml:space="preserve"> the various conclusions put forward by the many authors who have examined the concept of civilization: a tool of propaganda or legitimization; an instrument of domination or even violence and racial discrimination. The Belgian civilizing mission was marked by hierarchy, domination over the Congolese, and racial discrimination. </w:t>
      </w:r>
      <w:r w:rsidR="000C50A1" w:rsidRPr="00497B38">
        <w:rPr>
          <w:lang w:val="en-US" w:eastAsia="ja-JP"/>
        </w:rPr>
        <w:t>And t</w:t>
      </w:r>
      <w:r w:rsidR="00C907A5" w:rsidRPr="00497B38">
        <w:rPr>
          <w:lang w:val="en-US" w:eastAsia="ja-JP"/>
        </w:rPr>
        <w:t>he idea of authentic civilization that reigned for a few decades in the Democratic Republic of Congo, Zaire, is perhaps also comparable to the European conception of the 19th century, which considered its civilization as the only successful model.</w:t>
      </w:r>
      <w:r w:rsidR="00D33BB4">
        <w:rPr>
          <w:lang w:val="en-US" w:eastAsia="ja-JP"/>
        </w:rPr>
        <w:t xml:space="preserve"> The point on which legal historians and internationalists insist: since the interwar period, it exists two legal approaches of civilization : a monist/universalist and a pluralist one.</w:t>
      </w:r>
    </w:p>
    <w:p w14:paraId="6CCADFF8" w14:textId="77777777" w:rsidR="00D33BB4" w:rsidRDefault="00D33BB4" w:rsidP="00C907A5">
      <w:pPr>
        <w:widowControl w:val="0"/>
        <w:autoSpaceDE w:val="0"/>
        <w:autoSpaceDN w:val="0"/>
        <w:adjustRightInd w:val="0"/>
        <w:spacing w:line="360" w:lineRule="auto"/>
        <w:jc w:val="both"/>
        <w:rPr>
          <w:lang w:val="en-US" w:eastAsia="ja-JP"/>
        </w:rPr>
      </w:pPr>
    </w:p>
    <w:p w14:paraId="704ACF97" w14:textId="7FB698A8" w:rsidR="00C34199" w:rsidRPr="00497B38" w:rsidRDefault="00C907A5" w:rsidP="00C907A5">
      <w:pPr>
        <w:widowControl w:val="0"/>
        <w:autoSpaceDE w:val="0"/>
        <w:autoSpaceDN w:val="0"/>
        <w:adjustRightInd w:val="0"/>
        <w:spacing w:line="360" w:lineRule="auto"/>
        <w:jc w:val="both"/>
        <w:rPr>
          <w:lang w:val="en-US" w:eastAsia="ja-JP"/>
        </w:rPr>
      </w:pPr>
      <w:r w:rsidRPr="00497B38">
        <w:rPr>
          <w:lang w:val="en-US" w:eastAsia="ja-JP"/>
        </w:rPr>
        <w:t xml:space="preserve">Finally, </w:t>
      </w:r>
      <w:r w:rsidR="00090160" w:rsidRPr="00497B38">
        <w:rPr>
          <w:lang w:val="en-US" w:eastAsia="ja-JP"/>
        </w:rPr>
        <w:t>my third and last word. W</w:t>
      </w:r>
      <w:r w:rsidRPr="00497B38">
        <w:rPr>
          <w:lang w:val="en-US" w:eastAsia="ja-JP"/>
        </w:rPr>
        <w:t xml:space="preserve">hile I am quite convinced that I have quickly </w:t>
      </w:r>
      <w:r w:rsidR="00090160" w:rsidRPr="00497B38">
        <w:rPr>
          <w:lang w:val="en-US" w:eastAsia="ja-JP"/>
        </w:rPr>
        <w:t>traced</w:t>
      </w:r>
      <w:r w:rsidRPr="00497B38">
        <w:rPr>
          <w:lang w:val="en-US" w:eastAsia="ja-JP"/>
        </w:rPr>
        <w:t xml:space="preserve"> a legal history of the concept of civilization in the normative sense, I wonder whether, in the colonial context, this normative concept itself has induced a process of civilization, in the sense of Norbert</w:t>
      </w:r>
      <w:r w:rsidR="00090160" w:rsidRPr="00497B38">
        <w:rPr>
          <w:lang w:val="en-US" w:eastAsia="ja-JP"/>
        </w:rPr>
        <w:t xml:space="preserve"> Elias' more analytical concept, thanks to the norms, the institutions, the lawyers and the administrators of the Belgian colony.</w:t>
      </w:r>
    </w:p>
    <w:p w14:paraId="59A34500" w14:textId="77777777" w:rsidR="00C34199" w:rsidRPr="00497B38" w:rsidRDefault="00C34199" w:rsidP="00CC7829">
      <w:pPr>
        <w:jc w:val="both"/>
        <w:rPr>
          <w:lang w:val="en-US" w:eastAsia="ja-JP"/>
        </w:rPr>
      </w:pPr>
    </w:p>
    <w:sectPr w:rsidR="00C34199" w:rsidRPr="00497B38">
      <w:footerReference w:type="even" r:id="rId7"/>
      <w:footerReference w:type="default" r:id="rId8"/>
      <w:endnotePr>
        <w:numFmt w:val="decimal"/>
      </w:endnotePr>
      <w:pgSz w:w="12240" w:h="15840"/>
      <w:pgMar w:top="1417" w:right="1417" w:bottom="1417" w:left="1417"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750B78" w14:textId="77777777" w:rsidR="008B0AA6" w:rsidRDefault="008B0AA6" w:rsidP="007755E9">
      <w:r>
        <w:separator/>
      </w:r>
    </w:p>
  </w:endnote>
  <w:endnote w:type="continuationSeparator" w:id="0">
    <w:p w14:paraId="6593C2C9" w14:textId="77777777" w:rsidR="008B0AA6" w:rsidRDefault="008B0AA6" w:rsidP="007755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w:panose1 w:val="00000500000000020000"/>
    <w:charset w:val="00"/>
    <w:family w:val="auto"/>
    <w:pitch w:val="variable"/>
    <w:sig w:usb0="00000003" w:usb1="00000000" w:usb2="00000000" w:usb3="00000000" w:csb0="00000001" w:csb1="00000000"/>
  </w:font>
  <w:font w:name="ＭＳ 明朝">
    <w:charset w:val="80"/>
    <w:family w:val="auto"/>
    <w:pitch w:val="variable"/>
    <w:sig w:usb0="E00002FF" w:usb1="6AC7FDFB" w:usb2="08000012" w:usb3="00000000" w:csb0="0002009F" w:csb1="00000000"/>
  </w:font>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9F69AA" w14:textId="77777777" w:rsidR="00CB7F9C" w:rsidRDefault="00CB7F9C" w:rsidP="00230EC1">
    <w:pPr>
      <w:pStyle w:val="Pieddepage"/>
      <w:framePr w:wrap="none" w:vAnchor="text" w:hAnchor="margin" w:xAlign="center" w:y="1"/>
      <w:rPr>
        <w:rStyle w:val="Numrodepage"/>
      </w:rPr>
    </w:pPr>
    <w:r>
      <w:rPr>
        <w:rStyle w:val="Numrodepage"/>
      </w:rPr>
      <w:fldChar w:fldCharType="begin"/>
    </w:r>
    <w:r w:rsidR="00AB054E">
      <w:rPr>
        <w:rStyle w:val="Numrodepage"/>
      </w:rPr>
      <w:instrText>PAGE</w:instrText>
    </w:r>
    <w:r>
      <w:rPr>
        <w:rStyle w:val="Numrodepage"/>
      </w:rPr>
      <w:instrText xml:space="preserve">  </w:instrText>
    </w:r>
    <w:r>
      <w:rPr>
        <w:rStyle w:val="Numrodepage"/>
      </w:rPr>
      <w:fldChar w:fldCharType="end"/>
    </w:r>
  </w:p>
  <w:p w14:paraId="1BB7C8CF" w14:textId="77777777" w:rsidR="00CB7F9C" w:rsidRDefault="00CB7F9C">
    <w:pPr>
      <w:pStyle w:val="Pieddepage"/>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339F0D" w14:textId="77777777" w:rsidR="00CB7F9C" w:rsidRDefault="00CB7F9C" w:rsidP="00230EC1">
    <w:pPr>
      <w:pStyle w:val="Pieddepage"/>
      <w:framePr w:wrap="none" w:vAnchor="text" w:hAnchor="margin" w:xAlign="center" w:y="1"/>
      <w:rPr>
        <w:rStyle w:val="Numrodepage"/>
      </w:rPr>
    </w:pPr>
    <w:r>
      <w:rPr>
        <w:rStyle w:val="Numrodepage"/>
      </w:rPr>
      <w:fldChar w:fldCharType="begin"/>
    </w:r>
    <w:r w:rsidR="00AB054E">
      <w:rPr>
        <w:rStyle w:val="Numrodepage"/>
      </w:rPr>
      <w:instrText>PAGE</w:instrText>
    </w:r>
    <w:r>
      <w:rPr>
        <w:rStyle w:val="Numrodepage"/>
      </w:rPr>
      <w:instrText xml:space="preserve">  </w:instrText>
    </w:r>
    <w:r>
      <w:rPr>
        <w:rStyle w:val="Numrodepage"/>
      </w:rPr>
      <w:fldChar w:fldCharType="separate"/>
    </w:r>
    <w:r w:rsidR="008B0AA6">
      <w:rPr>
        <w:rStyle w:val="Numrodepage"/>
        <w:noProof/>
      </w:rPr>
      <w:t>1</w:t>
    </w:r>
    <w:r>
      <w:rPr>
        <w:rStyle w:val="Numrodepage"/>
      </w:rPr>
      <w:fldChar w:fldCharType="end"/>
    </w:r>
  </w:p>
  <w:p w14:paraId="446BD0BC" w14:textId="77777777" w:rsidR="00CB7F9C" w:rsidRDefault="00CB7F9C">
    <w:pPr>
      <w:pStyle w:val="Pieddepage"/>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98476A" w14:textId="77777777" w:rsidR="008B0AA6" w:rsidRDefault="008B0AA6" w:rsidP="007755E9">
      <w:r>
        <w:separator/>
      </w:r>
    </w:p>
  </w:footnote>
  <w:footnote w:type="continuationSeparator" w:id="0">
    <w:p w14:paraId="207E46B8" w14:textId="77777777" w:rsidR="008B0AA6" w:rsidRDefault="008B0AA6" w:rsidP="007755E9">
      <w:r>
        <w:continuationSeparator/>
      </w:r>
    </w:p>
  </w:footnote>
  <w:footnote w:id="1">
    <w:p w14:paraId="212A0D59" w14:textId="77777777" w:rsidR="00F76B76" w:rsidRPr="00633C83" w:rsidRDefault="00F76B76" w:rsidP="004C5F8A">
      <w:pPr>
        <w:pStyle w:val="Notedebasdepage"/>
        <w:rPr>
          <w:rFonts w:ascii="Times New Roman" w:hAnsi="Times New Roman" w:cs="Times New Roman"/>
          <w:szCs w:val="20"/>
          <w:lang w:val="en-US"/>
        </w:rPr>
      </w:pPr>
      <w:r w:rsidRPr="00633C83">
        <w:rPr>
          <w:rStyle w:val="Appelnotedebasdep"/>
          <w:rFonts w:ascii="Times New Roman" w:hAnsi="Times New Roman" w:cs="Times New Roman"/>
          <w:sz w:val="20"/>
          <w:szCs w:val="20"/>
        </w:rPr>
        <w:footnoteRef/>
      </w:r>
      <w:r w:rsidRPr="00633C83">
        <w:rPr>
          <w:rFonts w:ascii="Times New Roman" w:hAnsi="Times New Roman" w:cs="Times New Roman"/>
          <w:szCs w:val="20"/>
          <w:lang w:val="en-US"/>
        </w:rPr>
        <w:t xml:space="preserve"> Notamment : G. </w:t>
      </w:r>
      <w:r w:rsidRPr="00633C83">
        <w:rPr>
          <w:rFonts w:ascii="Times New Roman" w:hAnsi="Times New Roman" w:cs="Times New Roman"/>
          <w:smallCaps/>
          <w:szCs w:val="20"/>
          <w:lang w:val="en-US"/>
        </w:rPr>
        <w:t>Gozzi</w:t>
      </w:r>
      <w:r w:rsidRPr="00633C83">
        <w:rPr>
          <w:rFonts w:ascii="Times New Roman" w:hAnsi="Times New Roman" w:cs="Times New Roman"/>
          <w:szCs w:val="20"/>
          <w:lang w:val="en-US"/>
        </w:rPr>
        <w:t xml:space="preserve">, </w:t>
      </w:r>
      <w:r w:rsidRPr="00633C83">
        <w:rPr>
          <w:rFonts w:ascii="Times New Roman" w:hAnsi="Times New Roman" w:cs="Times New Roman"/>
          <w:i/>
          <w:szCs w:val="20"/>
          <w:lang w:val="en-US"/>
        </w:rPr>
        <w:t>Rights and Civilizations. A History and Philosophy of International Law</w:t>
      </w:r>
      <w:r w:rsidRPr="00633C83">
        <w:rPr>
          <w:rFonts w:ascii="Times New Roman" w:hAnsi="Times New Roman" w:cs="Times New Roman"/>
          <w:szCs w:val="20"/>
          <w:lang w:val="en-US"/>
        </w:rPr>
        <w:t xml:space="preserve">, Cambridge, Cambridge University Press, 2019 ; J. </w:t>
      </w:r>
      <w:r w:rsidRPr="00633C83">
        <w:rPr>
          <w:rFonts w:ascii="Times New Roman" w:hAnsi="Times New Roman" w:cs="Times New Roman"/>
          <w:smallCaps/>
          <w:szCs w:val="20"/>
          <w:lang w:val="en-US"/>
        </w:rPr>
        <w:t>Pitts</w:t>
      </w:r>
      <w:r w:rsidRPr="00633C83">
        <w:rPr>
          <w:rFonts w:ascii="Times New Roman" w:hAnsi="Times New Roman" w:cs="Times New Roman"/>
          <w:szCs w:val="20"/>
          <w:lang w:val="en-US"/>
        </w:rPr>
        <w:t xml:space="preserve">, </w:t>
      </w:r>
      <w:r w:rsidRPr="00633C83">
        <w:rPr>
          <w:rFonts w:ascii="Times New Roman" w:hAnsi="Times New Roman" w:cs="Times New Roman"/>
          <w:i/>
          <w:szCs w:val="20"/>
          <w:lang w:val="en-US"/>
        </w:rPr>
        <w:t>Boundaries of the International. Law and Empire</w:t>
      </w:r>
      <w:r w:rsidRPr="00633C83">
        <w:rPr>
          <w:rFonts w:ascii="Times New Roman" w:hAnsi="Times New Roman" w:cs="Times New Roman"/>
          <w:szCs w:val="20"/>
          <w:lang w:val="en-US"/>
        </w:rPr>
        <w:t xml:space="preserve">, Cambridge (Mass.), Harvard University Press, 2018 ; N. </w:t>
      </w:r>
      <w:r w:rsidRPr="00633C83">
        <w:rPr>
          <w:rFonts w:ascii="Times New Roman" w:hAnsi="Times New Roman" w:cs="Times New Roman"/>
          <w:smallCaps/>
          <w:szCs w:val="20"/>
          <w:lang w:val="en-US"/>
        </w:rPr>
        <w:t>Tzouvala</w:t>
      </w:r>
      <w:r w:rsidRPr="00633C83">
        <w:rPr>
          <w:rFonts w:ascii="Times New Roman" w:hAnsi="Times New Roman" w:cs="Times New Roman"/>
          <w:szCs w:val="20"/>
          <w:lang w:val="en-US"/>
        </w:rPr>
        <w:t xml:space="preserve">, « Civilisation », in J. </w:t>
      </w:r>
      <w:r w:rsidRPr="00633C83">
        <w:rPr>
          <w:rFonts w:ascii="Times New Roman" w:hAnsi="Times New Roman" w:cs="Times New Roman"/>
          <w:smallCaps/>
          <w:szCs w:val="20"/>
          <w:lang w:val="en-US"/>
        </w:rPr>
        <w:t>d’Aspremont</w:t>
      </w:r>
      <w:r w:rsidRPr="00633C83">
        <w:rPr>
          <w:rFonts w:ascii="Times New Roman" w:hAnsi="Times New Roman" w:cs="Times New Roman"/>
          <w:szCs w:val="20"/>
          <w:lang w:val="en-US"/>
        </w:rPr>
        <w:t xml:space="preserve">, </w:t>
      </w:r>
      <w:r w:rsidRPr="00633C83">
        <w:rPr>
          <w:rFonts w:ascii="Times New Roman" w:hAnsi="Times New Roman" w:cs="Times New Roman"/>
          <w:smallCaps/>
          <w:szCs w:val="20"/>
          <w:lang w:val="en-US"/>
        </w:rPr>
        <w:t>S. Singh</w:t>
      </w:r>
      <w:r w:rsidRPr="00633C83">
        <w:rPr>
          <w:rFonts w:ascii="Times New Roman" w:hAnsi="Times New Roman" w:cs="Times New Roman"/>
          <w:szCs w:val="20"/>
          <w:lang w:val="en-US"/>
        </w:rPr>
        <w:t xml:space="preserve"> (eds.), </w:t>
      </w:r>
      <w:r w:rsidRPr="00633C83">
        <w:rPr>
          <w:rFonts w:ascii="Times New Roman" w:hAnsi="Times New Roman" w:cs="Times New Roman"/>
          <w:i/>
          <w:szCs w:val="20"/>
          <w:lang w:val="en-US"/>
        </w:rPr>
        <w:t xml:space="preserve">Concepts for International Law. </w:t>
      </w:r>
      <w:r w:rsidRPr="00633C83">
        <w:rPr>
          <w:rFonts w:ascii="Times New Roman" w:hAnsi="Times New Roman" w:cs="Times New Roman"/>
          <w:i/>
          <w:szCs w:val="20"/>
          <w:lang w:val="it-IT"/>
        </w:rPr>
        <w:t>Contributions to Disciplinary Thought</w:t>
      </w:r>
      <w:r w:rsidRPr="00633C83">
        <w:rPr>
          <w:rFonts w:ascii="Times New Roman" w:hAnsi="Times New Roman" w:cs="Times New Roman"/>
          <w:szCs w:val="20"/>
          <w:lang w:val="it-IT"/>
        </w:rPr>
        <w:t xml:space="preserve">, Edward Elgar, 2018, p. 83-104 ; L. </w:t>
      </w:r>
      <w:r w:rsidRPr="00633C83">
        <w:rPr>
          <w:rFonts w:ascii="Times New Roman" w:hAnsi="Times New Roman" w:cs="Times New Roman"/>
          <w:smallCaps/>
          <w:szCs w:val="20"/>
          <w:lang w:val="it-IT"/>
        </w:rPr>
        <w:t>Nuzzo</w:t>
      </w:r>
      <w:r w:rsidRPr="00633C83">
        <w:rPr>
          <w:rFonts w:ascii="Times New Roman" w:hAnsi="Times New Roman" w:cs="Times New Roman"/>
          <w:szCs w:val="20"/>
          <w:lang w:val="it-IT"/>
        </w:rPr>
        <w:t xml:space="preserve">, </w:t>
      </w:r>
      <w:r w:rsidRPr="00633C83">
        <w:rPr>
          <w:rFonts w:ascii="Times New Roman" w:hAnsi="Times New Roman" w:cs="Times New Roman"/>
          <w:i/>
          <w:szCs w:val="20"/>
          <w:lang w:val="it-IT"/>
        </w:rPr>
        <w:t>Origini di una scienza. Diritto internazionale e colonialismo nel XIX secolo</w:t>
      </w:r>
      <w:r w:rsidRPr="00633C83">
        <w:rPr>
          <w:rFonts w:ascii="Times New Roman" w:hAnsi="Times New Roman" w:cs="Times New Roman"/>
          <w:szCs w:val="20"/>
          <w:lang w:val="it-IT"/>
        </w:rPr>
        <w:t xml:space="preserve">, Frankfurt am Main, Klostermann, 2012 ; B. </w:t>
      </w:r>
      <w:r w:rsidRPr="00633C83">
        <w:rPr>
          <w:rFonts w:ascii="Times New Roman" w:hAnsi="Times New Roman" w:cs="Times New Roman"/>
          <w:smallCaps/>
          <w:szCs w:val="20"/>
          <w:lang w:val="it-IT"/>
        </w:rPr>
        <w:t>Bowden</w:t>
      </w:r>
      <w:r w:rsidRPr="00633C83">
        <w:rPr>
          <w:rFonts w:ascii="Times New Roman" w:hAnsi="Times New Roman" w:cs="Times New Roman"/>
          <w:szCs w:val="20"/>
          <w:lang w:val="it-IT"/>
        </w:rPr>
        <w:t xml:space="preserve">, </w:t>
      </w:r>
      <w:r w:rsidRPr="00633C83">
        <w:rPr>
          <w:rFonts w:ascii="Times New Roman" w:hAnsi="Times New Roman" w:cs="Times New Roman"/>
          <w:i/>
          <w:szCs w:val="20"/>
          <w:lang w:val="it-IT"/>
        </w:rPr>
        <w:t>The Empire of Civilization: the Evolution of an Imperial Idea</w:t>
      </w:r>
      <w:r w:rsidRPr="00633C83">
        <w:rPr>
          <w:rFonts w:ascii="Times New Roman" w:hAnsi="Times New Roman" w:cs="Times New Roman"/>
          <w:szCs w:val="20"/>
          <w:lang w:val="it-IT"/>
        </w:rPr>
        <w:t>, Chicago, University of Chicago Press, 2009 ; B. </w:t>
      </w:r>
      <w:r w:rsidRPr="00633C83">
        <w:rPr>
          <w:rFonts w:ascii="Times New Roman" w:hAnsi="Times New Roman" w:cs="Times New Roman"/>
          <w:smallCaps/>
          <w:szCs w:val="20"/>
          <w:lang w:val="it-IT"/>
        </w:rPr>
        <w:t>Barth</w:t>
      </w:r>
      <w:r w:rsidRPr="00633C83">
        <w:rPr>
          <w:rFonts w:ascii="Times New Roman" w:hAnsi="Times New Roman" w:cs="Times New Roman"/>
          <w:szCs w:val="20"/>
          <w:lang w:val="it-IT"/>
        </w:rPr>
        <w:t xml:space="preserve">, J. </w:t>
      </w:r>
      <w:r w:rsidRPr="00633C83">
        <w:rPr>
          <w:rFonts w:ascii="Times New Roman" w:hAnsi="Times New Roman" w:cs="Times New Roman"/>
          <w:smallCaps/>
          <w:szCs w:val="20"/>
          <w:lang w:val="it-IT"/>
        </w:rPr>
        <w:t>Osterhammel</w:t>
      </w:r>
      <w:r w:rsidRPr="00633C83">
        <w:rPr>
          <w:rFonts w:ascii="Times New Roman" w:hAnsi="Times New Roman" w:cs="Times New Roman"/>
          <w:szCs w:val="20"/>
          <w:lang w:val="it-IT"/>
        </w:rPr>
        <w:t xml:space="preserve"> (eds.), </w:t>
      </w:r>
      <w:r w:rsidRPr="00633C83">
        <w:rPr>
          <w:rFonts w:ascii="Times New Roman" w:hAnsi="Times New Roman" w:cs="Times New Roman"/>
          <w:i/>
          <w:szCs w:val="20"/>
          <w:lang w:val="it-IT"/>
        </w:rPr>
        <w:t xml:space="preserve">Zivilisierungsmissionen. </w:t>
      </w:r>
      <w:r w:rsidRPr="00633C83">
        <w:rPr>
          <w:rFonts w:ascii="Times New Roman" w:hAnsi="Times New Roman" w:cs="Times New Roman"/>
          <w:i/>
          <w:szCs w:val="20"/>
          <w:lang w:val="de-DE"/>
        </w:rPr>
        <w:t>Imperiale Weltverbesserung seit dem 18. Jahrhundert</w:t>
      </w:r>
      <w:r w:rsidRPr="00633C83">
        <w:rPr>
          <w:rFonts w:ascii="Times New Roman" w:hAnsi="Times New Roman" w:cs="Times New Roman"/>
          <w:szCs w:val="20"/>
          <w:lang w:val="de-DE"/>
        </w:rPr>
        <w:t xml:space="preserve">, Konstanz, UVK Verlagsgesellschaft, 2005 (Historische Kulturwissenschaften, 6) ; M. </w:t>
      </w:r>
      <w:r w:rsidRPr="00633C83">
        <w:rPr>
          <w:rFonts w:ascii="Times New Roman" w:hAnsi="Times New Roman" w:cs="Times New Roman"/>
          <w:smallCaps/>
          <w:szCs w:val="20"/>
          <w:lang w:val="de-DE"/>
        </w:rPr>
        <w:t>Koskenniemi</w:t>
      </w:r>
      <w:r w:rsidRPr="00633C83">
        <w:rPr>
          <w:rFonts w:ascii="Times New Roman" w:hAnsi="Times New Roman" w:cs="Times New Roman"/>
          <w:szCs w:val="20"/>
          <w:lang w:val="de-DE"/>
        </w:rPr>
        <w:t xml:space="preserve">, </w:t>
      </w:r>
      <w:r w:rsidRPr="00633C83">
        <w:rPr>
          <w:rFonts w:ascii="Times New Roman" w:hAnsi="Times New Roman" w:cs="Times New Roman"/>
          <w:i/>
          <w:szCs w:val="20"/>
          <w:lang w:val="de-DE"/>
        </w:rPr>
        <w:t xml:space="preserve">The Gentle Civilizer of Nations. </w:t>
      </w:r>
      <w:r w:rsidRPr="00633C83">
        <w:rPr>
          <w:rFonts w:ascii="Times New Roman" w:hAnsi="Times New Roman" w:cs="Times New Roman"/>
          <w:i/>
          <w:szCs w:val="20"/>
          <w:lang w:val="en-US"/>
        </w:rPr>
        <w:t>The Rise and Fall of International Law 1870–1960</w:t>
      </w:r>
      <w:r w:rsidRPr="00633C83">
        <w:rPr>
          <w:rFonts w:ascii="Times New Roman" w:hAnsi="Times New Roman" w:cs="Times New Roman"/>
          <w:szCs w:val="20"/>
          <w:lang w:val="en-US"/>
        </w:rPr>
        <w:t xml:space="preserve">, Cambridge, Cambridge University Press, 2001 ; </w:t>
      </w:r>
      <w:r w:rsidRPr="00633C83">
        <w:rPr>
          <w:rFonts w:ascii="Times New Roman" w:hAnsi="Times New Roman" w:cs="Times New Roman"/>
          <w:color w:val="000000"/>
          <w:szCs w:val="20"/>
          <w:lang w:val="en-US"/>
        </w:rPr>
        <w:t xml:space="preserve">A.L. </w:t>
      </w:r>
      <w:r w:rsidRPr="00633C83">
        <w:rPr>
          <w:rFonts w:ascii="Times New Roman" w:hAnsi="Times New Roman" w:cs="Times New Roman"/>
          <w:smallCaps/>
          <w:color w:val="000000"/>
          <w:szCs w:val="20"/>
          <w:lang w:val="en-US"/>
        </w:rPr>
        <w:t>Conklin</w:t>
      </w:r>
      <w:r w:rsidRPr="00633C83">
        <w:rPr>
          <w:rFonts w:ascii="Times New Roman" w:hAnsi="Times New Roman" w:cs="Times New Roman"/>
          <w:color w:val="000000"/>
          <w:szCs w:val="20"/>
          <w:lang w:val="en-US"/>
        </w:rPr>
        <w:t xml:space="preserve">, </w:t>
      </w:r>
      <w:r w:rsidRPr="00633C83">
        <w:rPr>
          <w:rFonts w:ascii="Times New Roman" w:hAnsi="Times New Roman" w:cs="Times New Roman"/>
          <w:i/>
          <w:iCs/>
          <w:color w:val="000000"/>
          <w:szCs w:val="20"/>
          <w:lang w:val="en-US"/>
        </w:rPr>
        <w:t>A Mission to Civilize. The republican idea of empire in France and West Africa, 1895-1930</w:t>
      </w:r>
      <w:r w:rsidRPr="00633C83">
        <w:rPr>
          <w:rFonts w:ascii="Times New Roman" w:hAnsi="Times New Roman" w:cs="Times New Roman"/>
          <w:color w:val="000000"/>
          <w:szCs w:val="20"/>
          <w:lang w:val="en-US"/>
        </w:rPr>
        <w:t>, Stanford, Stanford University Press, 1997</w:t>
      </w:r>
      <w:r w:rsidRPr="00633C83">
        <w:rPr>
          <w:rFonts w:ascii="Times New Roman" w:hAnsi="Times New Roman" w:cs="Times New Roman"/>
          <w:szCs w:val="20"/>
          <w:lang w:val="en-US"/>
        </w:rPr>
        <w:t>.</w:t>
      </w:r>
    </w:p>
  </w:footnote>
  <w:footnote w:id="2">
    <w:p w14:paraId="41004ACC" w14:textId="4C757FDC" w:rsidR="00F76B76" w:rsidRPr="00633C83" w:rsidRDefault="00F76B76" w:rsidP="004C5F8A">
      <w:pPr>
        <w:pStyle w:val="Notedebasdepage"/>
        <w:rPr>
          <w:rFonts w:ascii="Times New Roman" w:hAnsi="Times New Roman" w:cs="Times New Roman"/>
          <w:szCs w:val="20"/>
        </w:rPr>
      </w:pPr>
      <w:r w:rsidRPr="00633C83">
        <w:rPr>
          <w:rStyle w:val="Appelnotedebasdep"/>
          <w:rFonts w:ascii="Times New Roman" w:hAnsi="Times New Roman" w:cs="Times New Roman"/>
          <w:sz w:val="20"/>
          <w:szCs w:val="20"/>
        </w:rPr>
        <w:footnoteRef/>
      </w:r>
      <w:r w:rsidRPr="00633C83">
        <w:rPr>
          <w:rFonts w:ascii="Times New Roman" w:hAnsi="Times New Roman" w:cs="Times New Roman"/>
          <w:szCs w:val="20"/>
        </w:rPr>
        <w:t xml:space="preserve"> Statuts votés par la Conférence Juridique internationale de Gand, le 10 Septembre 1873, et reproduits dans l’</w:t>
      </w:r>
      <w:r w:rsidRPr="00633C83">
        <w:rPr>
          <w:rFonts w:ascii="Times New Roman" w:hAnsi="Times New Roman" w:cs="Times New Roman"/>
          <w:i/>
          <w:iCs/>
          <w:szCs w:val="20"/>
        </w:rPr>
        <w:t>Annuaire de l’Institut de droit international</w:t>
      </w:r>
      <w:r w:rsidR="007F2A29" w:rsidRPr="00633C83">
        <w:rPr>
          <w:rFonts w:ascii="Times New Roman" w:hAnsi="Times New Roman" w:cs="Times New Roman"/>
          <w:szCs w:val="20"/>
        </w:rPr>
        <w:t xml:space="preserve">, </w:t>
      </w:r>
      <w:r w:rsidR="007F2A29" w:rsidRPr="00633C83">
        <w:rPr>
          <w:rFonts w:ascii="Times New Roman" w:hAnsi="Times New Roman" w:cs="Times New Roman"/>
          <w:szCs w:val="20"/>
        </w:rPr>
        <w:t>t. I</w:t>
      </w:r>
      <w:r w:rsidR="007F2A29" w:rsidRPr="00633C83">
        <w:rPr>
          <w:rFonts w:ascii="Times New Roman" w:hAnsi="Times New Roman" w:cs="Times New Roman"/>
          <w:szCs w:val="20"/>
          <w:vertAlign w:val="superscript"/>
        </w:rPr>
        <w:t>er</w:t>
      </w:r>
      <w:r w:rsidR="007F2A29" w:rsidRPr="00633C83">
        <w:rPr>
          <w:rFonts w:ascii="Times New Roman" w:hAnsi="Times New Roman" w:cs="Times New Roman"/>
          <w:szCs w:val="20"/>
        </w:rPr>
        <w:t>, Gand-Berlin-Paris, Puttkammer et Mühlbrecht - Durand et Pédone-Lauriel, 1877, p. 1.</w:t>
      </w:r>
    </w:p>
  </w:footnote>
  <w:footnote w:id="3">
    <w:p w14:paraId="30EF8FF4" w14:textId="77777777" w:rsidR="00F76B76" w:rsidRPr="00633C83" w:rsidRDefault="00F76B76" w:rsidP="004C5F8A">
      <w:pPr>
        <w:pStyle w:val="Notedebasdepage"/>
        <w:rPr>
          <w:rFonts w:ascii="Times New Roman" w:hAnsi="Times New Roman" w:cs="Times New Roman"/>
          <w:szCs w:val="20"/>
          <w:lang w:val="en-US"/>
        </w:rPr>
      </w:pPr>
      <w:r w:rsidRPr="00633C83">
        <w:rPr>
          <w:rStyle w:val="Appelnotedebasdep"/>
          <w:rFonts w:ascii="Times New Roman" w:hAnsi="Times New Roman" w:cs="Times New Roman"/>
          <w:sz w:val="20"/>
          <w:szCs w:val="20"/>
        </w:rPr>
        <w:footnoteRef/>
      </w:r>
      <w:r w:rsidRPr="00633C83">
        <w:rPr>
          <w:rFonts w:ascii="Times New Roman" w:hAnsi="Times New Roman" w:cs="Times New Roman"/>
          <w:szCs w:val="20"/>
          <w:lang w:val="en-US"/>
        </w:rPr>
        <w:t xml:space="preserve"> G.W. </w:t>
      </w:r>
      <w:r w:rsidRPr="00633C83">
        <w:rPr>
          <w:rFonts w:ascii="Times New Roman" w:hAnsi="Times New Roman" w:cs="Times New Roman"/>
          <w:smallCaps/>
          <w:szCs w:val="20"/>
          <w:lang w:val="en-US"/>
        </w:rPr>
        <w:t>Gong</w:t>
      </w:r>
      <w:r w:rsidRPr="00633C83">
        <w:rPr>
          <w:rFonts w:ascii="Times New Roman" w:hAnsi="Times New Roman" w:cs="Times New Roman"/>
          <w:szCs w:val="20"/>
          <w:lang w:val="en-US"/>
        </w:rPr>
        <w:t>, The Standard of "Civilization" in International Society, Oxford, Oxford University Press, 1984.</w:t>
      </w:r>
    </w:p>
  </w:footnote>
  <w:footnote w:id="4">
    <w:p w14:paraId="55D93A39" w14:textId="49F80596" w:rsidR="00F76B76" w:rsidRPr="00633C83" w:rsidRDefault="00F76B76" w:rsidP="004C5F8A">
      <w:pPr>
        <w:pStyle w:val="Notedebasdepage"/>
        <w:rPr>
          <w:rFonts w:ascii="Times New Roman" w:hAnsi="Times New Roman" w:cs="Times New Roman"/>
          <w:szCs w:val="20"/>
          <w:lang w:val="en-US"/>
        </w:rPr>
      </w:pPr>
      <w:r w:rsidRPr="00633C83">
        <w:rPr>
          <w:rStyle w:val="Appelnotedebasdep"/>
          <w:rFonts w:ascii="Times New Roman" w:hAnsi="Times New Roman" w:cs="Times New Roman"/>
          <w:sz w:val="20"/>
          <w:szCs w:val="20"/>
        </w:rPr>
        <w:footnoteRef/>
      </w:r>
      <w:r w:rsidRPr="00633C83">
        <w:rPr>
          <w:rFonts w:ascii="Times New Roman" w:hAnsi="Times New Roman" w:cs="Times New Roman"/>
          <w:szCs w:val="20"/>
        </w:rPr>
        <w:t xml:space="preserve"> J. </w:t>
      </w:r>
      <w:r w:rsidRPr="00633C83">
        <w:rPr>
          <w:rFonts w:ascii="Times New Roman" w:hAnsi="Times New Roman" w:cs="Times New Roman"/>
          <w:smallCaps/>
          <w:szCs w:val="20"/>
        </w:rPr>
        <w:t>Lorimer</w:t>
      </w:r>
      <w:r w:rsidRPr="00633C83">
        <w:rPr>
          <w:rFonts w:ascii="Times New Roman" w:hAnsi="Times New Roman" w:cs="Times New Roman"/>
          <w:szCs w:val="20"/>
        </w:rPr>
        <w:t xml:space="preserve">, « La doctrine de la reconnaissance, fondement du droit international », </w:t>
      </w:r>
      <w:r w:rsidRPr="00633C83">
        <w:rPr>
          <w:rFonts w:ascii="Times New Roman" w:hAnsi="Times New Roman" w:cs="Times New Roman"/>
          <w:i/>
          <w:szCs w:val="20"/>
        </w:rPr>
        <w:t>Revue de droit international et de législation comparée</w:t>
      </w:r>
      <w:r w:rsidRPr="00633C83">
        <w:rPr>
          <w:rFonts w:ascii="Times New Roman" w:hAnsi="Times New Roman" w:cs="Times New Roman"/>
          <w:szCs w:val="20"/>
        </w:rPr>
        <w:t>, n° 16, 1884, p. 333-359. La perspective est évidemment terriblement occidentale : le juriste japonais Yasuaki Onuma rappelle ainsi dans une étude récente que, jusqu’au milieu du 19</w:t>
      </w:r>
      <w:r w:rsidRPr="00633C83">
        <w:rPr>
          <w:rFonts w:ascii="Times New Roman" w:hAnsi="Times New Roman" w:cs="Times New Roman"/>
          <w:szCs w:val="20"/>
          <w:vertAlign w:val="superscript"/>
        </w:rPr>
        <w:t>e</w:t>
      </w:r>
      <w:r w:rsidRPr="00633C83">
        <w:rPr>
          <w:rFonts w:ascii="Times New Roman" w:hAnsi="Times New Roman" w:cs="Times New Roman"/>
          <w:szCs w:val="20"/>
        </w:rPr>
        <w:t xml:space="preserve"> siècle, ce sont les anglais qui sont considérés comme des barbares par l’Empire chinois (Y. </w:t>
      </w:r>
      <w:r w:rsidRPr="00633C83">
        <w:rPr>
          <w:rFonts w:ascii="Times New Roman" w:hAnsi="Times New Roman" w:cs="Times New Roman"/>
          <w:smallCaps/>
          <w:szCs w:val="20"/>
        </w:rPr>
        <w:t>Onuma</w:t>
      </w:r>
      <w:r w:rsidRPr="00633C83">
        <w:rPr>
          <w:rFonts w:ascii="Times New Roman" w:hAnsi="Times New Roman" w:cs="Times New Roman"/>
          <w:szCs w:val="20"/>
        </w:rPr>
        <w:t xml:space="preserve">, « When Was the Law of International Society Born - An Inquiry of the History of International Law from an Intercivilizational Perspective », </w:t>
      </w:r>
      <w:r w:rsidRPr="00633C83">
        <w:rPr>
          <w:rFonts w:ascii="Times New Roman" w:hAnsi="Times New Roman" w:cs="Times New Roman"/>
          <w:i/>
          <w:szCs w:val="20"/>
        </w:rPr>
        <w:t>Journal of the History of International Law</w:t>
      </w:r>
      <w:r w:rsidRPr="00633C83">
        <w:rPr>
          <w:rFonts w:ascii="Times New Roman" w:hAnsi="Times New Roman" w:cs="Times New Roman"/>
          <w:szCs w:val="20"/>
        </w:rPr>
        <w:t>, 2000, p. 17 et s. Pour une critique très argumentée de cette perspective européo-centrée : J. </w:t>
      </w:r>
      <w:r w:rsidRPr="00633C83">
        <w:rPr>
          <w:rFonts w:ascii="Times New Roman" w:hAnsi="Times New Roman" w:cs="Times New Roman"/>
          <w:smallCaps/>
          <w:szCs w:val="20"/>
        </w:rPr>
        <w:t>Pitts</w:t>
      </w:r>
      <w:r w:rsidRPr="00633C83">
        <w:rPr>
          <w:rFonts w:ascii="Times New Roman" w:hAnsi="Times New Roman" w:cs="Times New Roman"/>
          <w:szCs w:val="20"/>
        </w:rPr>
        <w:t xml:space="preserve">, </w:t>
      </w:r>
      <w:r w:rsidRPr="00633C83">
        <w:rPr>
          <w:rFonts w:ascii="Times New Roman" w:hAnsi="Times New Roman" w:cs="Times New Roman"/>
          <w:i/>
          <w:szCs w:val="20"/>
        </w:rPr>
        <w:t>op.cit.</w:t>
      </w:r>
      <w:r w:rsidRPr="00633C83">
        <w:rPr>
          <w:rFonts w:ascii="Times New Roman" w:hAnsi="Times New Roman" w:cs="Times New Roman"/>
          <w:szCs w:val="20"/>
        </w:rPr>
        <w:t xml:space="preserve"> Voy. aussi M. </w:t>
      </w:r>
      <w:r w:rsidRPr="00633C83">
        <w:rPr>
          <w:rFonts w:ascii="Times New Roman" w:hAnsi="Times New Roman" w:cs="Times New Roman"/>
          <w:smallCaps/>
          <w:szCs w:val="20"/>
        </w:rPr>
        <w:t>Mazower</w:t>
      </w:r>
      <w:r w:rsidRPr="00633C83">
        <w:rPr>
          <w:rFonts w:ascii="Times New Roman" w:hAnsi="Times New Roman" w:cs="Times New Roman"/>
          <w:szCs w:val="20"/>
        </w:rPr>
        <w:t xml:space="preserve">, « An international civilization ? </w:t>
      </w:r>
      <w:r w:rsidRPr="00633C83">
        <w:rPr>
          <w:rFonts w:ascii="Times New Roman" w:hAnsi="Times New Roman" w:cs="Times New Roman"/>
          <w:szCs w:val="20"/>
          <w:lang w:val="en-US"/>
        </w:rPr>
        <w:t xml:space="preserve">Empire, internationalism and the crisis of the mid-twentieth century », </w:t>
      </w:r>
      <w:r w:rsidRPr="00633C83">
        <w:rPr>
          <w:rFonts w:ascii="Times New Roman" w:hAnsi="Times New Roman" w:cs="Times New Roman"/>
          <w:i/>
          <w:szCs w:val="20"/>
          <w:lang w:val="en-US"/>
        </w:rPr>
        <w:t>International Affairs</w:t>
      </w:r>
      <w:r w:rsidRPr="00633C83">
        <w:rPr>
          <w:rFonts w:ascii="Times New Roman" w:hAnsi="Times New Roman" w:cs="Times New Roman"/>
          <w:szCs w:val="20"/>
          <w:lang w:val="en-US"/>
        </w:rPr>
        <w:t>, vol. 82, 2006/3, p. 555 et les références citées en note 7 ; L. </w:t>
      </w:r>
      <w:r w:rsidRPr="00633C83">
        <w:rPr>
          <w:rFonts w:ascii="Times New Roman" w:hAnsi="Times New Roman" w:cs="Times New Roman"/>
          <w:smallCaps/>
          <w:szCs w:val="20"/>
          <w:lang w:val="en-US"/>
        </w:rPr>
        <w:t>Obregon</w:t>
      </w:r>
      <w:r w:rsidRPr="00633C83">
        <w:rPr>
          <w:rFonts w:ascii="Times New Roman" w:hAnsi="Times New Roman" w:cs="Times New Roman"/>
          <w:szCs w:val="20"/>
          <w:lang w:val="en-US"/>
        </w:rPr>
        <w:t xml:space="preserve">, « The Civilized and the Uncivilized », dans </w:t>
      </w:r>
      <w:r w:rsidRPr="00633C83">
        <w:rPr>
          <w:rFonts w:ascii="Times New Roman" w:hAnsi="Times New Roman" w:cs="Times New Roman"/>
          <w:smallCaps/>
          <w:szCs w:val="20"/>
          <w:lang w:val="en-US"/>
        </w:rPr>
        <w:t>B. Fassbender, A. Peters</w:t>
      </w:r>
      <w:r w:rsidRPr="00633C83">
        <w:rPr>
          <w:rFonts w:ascii="Times New Roman" w:hAnsi="Times New Roman" w:cs="Times New Roman"/>
          <w:szCs w:val="20"/>
          <w:lang w:val="en-US"/>
        </w:rPr>
        <w:t xml:space="preserve"> (dir.), </w:t>
      </w:r>
      <w:r w:rsidRPr="00633C83">
        <w:rPr>
          <w:rFonts w:ascii="Times New Roman" w:hAnsi="Times New Roman" w:cs="Times New Roman"/>
          <w:i/>
          <w:szCs w:val="20"/>
          <w:lang w:val="en-US"/>
        </w:rPr>
        <w:t>The Oxford Handbook of the History of International Law</w:t>
      </w:r>
      <w:r w:rsidRPr="00633C83">
        <w:rPr>
          <w:rFonts w:ascii="Times New Roman" w:hAnsi="Times New Roman" w:cs="Times New Roman"/>
          <w:szCs w:val="20"/>
          <w:lang w:val="en-US"/>
        </w:rPr>
        <w:t>, Oxford, Oxford University Press, 2012, p. 917-939).</w:t>
      </w:r>
    </w:p>
  </w:footnote>
  <w:footnote w:id="5">
    <w:p w14:paraId="66B5300A" w14:textId="77777777" w:rsidR="00F76B76" w:rsidRPr="00633C83" w:rsidRDefault="00F76B76" w:rsidP="004C5F8A">
      <w:pPr>
        <w:pStyle w:val="Notedebasdepage"/>
        <w:rPr>
          <w:rFonts w:ascii="Times New Roman" w:hAnsi="Times New Roman" w:cs="Times New Roman"/>
          <w:szCs w:val="20"/>
        </w:rPr>
      </w:pPr>
      <w:r w:rsidRPr="00633C83">
        <w:rPr>
          <w:rStyle w:val="Appelnotedebasdep"/>
          <w:rFonts w:ascii="Times New Roman" w:hAnsi="Times New Roman" w:cs="Times New Roman"/>
          <w:sz w:val="20"/>
          <w:szCs w:val="20"/>
        </w:rPr>
        <w:footnoteRef/>
      </w:r>
      <w:r w:rsidRPr="00633C83">
        <w:rPr>
          <w:rFonts w:ascii="Times New Roman" w:hAnsi="Times New Roman" w:cs="Times New Roman"/>
          <w:szCs w:val="20"/>
        </w:rPr>
        <w:t xml:space="preserve"> E. N</w:t>
      </w:r>
      <w:r w:rsidRPr="00633C83">
        <w:rPr>
          <w:rFonts w:ascii="Times New Roman" w:hAnsi="Times New Roman" w:cs="Times New Roman"/>
          <w:smallCaps/>
          <w:szCs w:val="20"/>
        </w:rPr>
        <w:t>ys</w:t>
      </w:r>
      <w:r w:rsidRPr="00633C83">
        <w:rPr>
          <w:rFonts w:ascii="Times New Roman" w:hAnsi="Times New Roman" w:cs="Times New Roman"/>
          <w:szCs w:val="20"/>
        </w:rPr>
        <w:t xml:space="preserve">, « Quelques définitions du droit international », </w:t>
      </w:r>
      <w:r w:rsidRPr="00633C83">
        <w:rPr>
          <w:rFonts w:ascii="Times New Roman" w:hAnsi="Times New Roman" w:cs="Times New Roman"/>
          <w:i/>
          <w:szCs w:val="20"/>
        </w:rPr>
        <w:t>Revue de droit international et de législation comparée</w:t>
      </w:r>
      <w:r w:rsidRPr="00633C83">
        <w:rPr>
          <w:rFonts w:ascii="Times New Roman" w:hAnsi="Times New Roman" w:cs="Times New Roman"/>
          <w:szCs w:val="20"/>
        </w:rPr>
        <w:t>, 1903, p. 291.</w:t>
      </w:r>
    </w:p>
  </w:footnote>
  <w:footnote w:id="6">
    <w:p w14:paraId="6CE7C0AA" w14:textId="7CC4A94B" w:rsidR="00F76B76" w:rsidRPr="00633C83" w:rsidRDefault="00F76B76" w:rsidP="004C5F8A">
      <w:pPr>
        <w:pStyle w:val="Notedebasdepage"/>
        <w:rPr>
          <w:rFonts w:ascii="Times New Roman" w:hAnsi="Times New Roman" w:cs="Times New Roman"/>
          <w:szCs w:val="20"/>
        </w:rPr>
      </w:pPr>
      <w:r w:rsidRPr="00633C83">
        <w:rPr>
          <w:rStyle w:val="Appelnotedebasdep"/>
          <w:rFonts w:ascii="Times New Roman" w:hAnsi="Times New Roman" w:cs="Times New Roman"/>
          <w:sz w:val="20"/>
          <w:szCs w:val="20"/>
        </w:rPr>
        <w:footnoteRef/>
      </w:r>
      <w:r w:rsidRPr="00633C83">
        <w:rPr>
          <w:rFonts w:ascii="Times New Roman" w:hAnsi="Times New Roman" w:cs="Times New Roman"/>
          <w:szCs w:val="20"/>
        </w:rPr>
        <w:t xml:space="preserve"> N.</w:t>
      </w:r>
      <w:r w:rsidRPr="00633C83">
        <w:rPr>
          <w:rFonts w:ascii="Times New Roman" w:hAnsi="Times New Roman" w:cs="Times New Roman"/>
          <w:smallCaps/>
          <w:szCs w:val="20"/>
        </w:rPr>
        <w:t xml:space="preserve"> Tzouvala</w:t>
      </w:r>
      <w:r w:rsidRPr="00633C83">
        <w:rPr>
          <w:rFonts w:ascii="Times New Roman" w:hAnsi="Times New Roman" w:cs="Times New Roman"/>
          <w:szCs w:val="20"/>
        </w:rPr>
        <w:t xml:space="preserve">, </w:t>
      </w:r>
      <w:r w:rsidRPr="00633C83">
        <w:rPr>
          <w:rFonts w:ascii="Times New Roman" w:hAnsi="Times New Roman" w:cs="Times New Roman"/>
          <w:i/>
          <w:szCs w:val="20"/>
        </w:rPr>
        <w:t>op.cit.</w:t>
      </w:r>
      <w:r w:rsidRPr="00633C83">
        <w:rPr>
          <w:rFonts w:ascii="Times New Roman" w:hAnsi="Times New Roman" w:cs="Times New Roman"/>
          <w:szCs w:val="20"/>
        </w:rPr>
        <w:t xml:space="preserve">, p. 87 et s., qui cite notamment A. </w:t>
      </w:r>
      <w:r w:rsidRPr="00633C83">
        <w:rPr>
          <w:rFonts w:ascii="Times New Roman" w:hAnsi="Times New Roman" w:cs="Times New Roman"/>
          <w:smallCaps/>
          <w:szCs w:val="20"/>
        </w:rPr>
        <w:t>Anghie</w:t>
      </w:r>
      <w:r w:rsidRPr="00633C83">
        <w:rPr>
          <w:rFonts w:ascii="Times New Roman" w:hAnsi="Times New Roman" w:cs="Times New Roman"/>
          <w:szCs w:val="20"/>
        </w:rPr>
        <w:t xml:space="preserve">, </w:t>
      </w:r>
      <w:r w:rsidRPr="00633C83">
        <w:rPr>
          <w:rFonts w:ascii="Times New Roman" w:hAnsi="Times New Roman" w:cs="Times New Roman"/>
          <w:i/>
          <w:szCs w:val="20"/>
        </w:rPr>
        <w:t>Imperialism, Sovereignty and the Making of International Law</w:t>
      </w:r>
      <w:r w:rsidRPr="00633C83">
        <w:rPr>
          <w:rFonts w:ascii="Times New Roman" w:hAnsi="Times New Roman" w:cs="Times New Roman"/>
          <w:szCs w:val="20"/>
        </w:rPr>
        <w:t xml:space="preserve">, Cambridge, Cambridge University Press, 2005, p. 7 et 63 ; et M. </w:t>
      </w:r>
      <w:r w:rsidRPr="00633C83">
        <w:rPr>
          <w:rFonts w:ascii="Times New Roman" w:hAnsi="Times New Roman" w:cs="Times New Roman"/>
          <w:smallCaps/>
          <w:szCs w:val="20"/>
        </w:rPr>
        <w:t>Koskenniemi</w:t>
      </w:r>
      <w:r w:rsidRPr="00633C83">
        <w:rPr>
          <w:rFonts w:ascii="Times New Roman" w:hAnsi="Times New Roman" w:cs="Times New Roman"/>
          <w:szCs w:val="20"/>
        </w:rPr>
        <w:t xml:space="preserve">, </w:t>
      </w:r>
      <w:r w:rsidRPr="00633C83">
        <w:rPr>
          <w:rFonts w:ascii="Times New Roman" w:hAnsi="Times New Roman" w:cs="Times New Roman"/>
          <w:i/>
          <w:szCs w:val="20"/>
        </w:rPr>
        <w:t>op.cit.</w:t>
      </w:r>
      <w:r w:rsidRPr="00633C83">
        <w:rPr>
          <w:rFonts w:ascii="Times New Roman" w:hAnsi="Times New Roman" w:cs="Times New Roman"/>
          <w:szCs w:val="20"/>
        </w:rPr>
        <w:t xml:space="preserve">, p. 103 et 134. Voy. également J. </w:t>
      </w:r>
      <w:r w:rsidRPr="00633C83">
        <w:rPr>
          <w:rFonts w:ascii="Times New Roman" w:hAnsi="Times New Roman" w:cs="Times New Roman"/>
          <w:smallCaps/>
          <w:szCs w:val="20"/>
        </w:rPr>
        <w:t>Pitts</w:t>
      </w:r>
      <w:r w:rsidRPr="00633C83">
        <w:rPr>
          <w:rFonts w:ascii="Times New Roman" w:hAnsi="Times New Roman" w:cs="Times New Roman"/>
          <w:szCs w:val="20"/>
        </w:rPr>
        <w:t xml:space="preserve">, </w:t>
      </w:r>
      <w:r w:rsidRPr="00633C83">
        <w:rPr>
          <w:rFonts w:ascii="Times New Roman" w:hAnsi="Times New Roman" w:cs="Times New Roman"/>
          <w:i/>
          <w:szCs w:val="20"/>
        </w:rPr>
        <w:t>op.cit.</w:t>
      </w:r>
      <w:r w:rsidRPr="00633C83">
        <w:rPr>
          <w:rFonts w:ascii="Times New Roman" w:hAnsi="Times New Roman" w:cs="Times New Roman"/>
          <w:szCs w:val="20"/>
        </w:rPr>
        <w:t>, spéc. p. 174-177.</w:t>
      </w:r>
    </w:p>
  </w:footnote>
  <w:footnote w:id="7">
    <w:p w14:paraId="2CC84B92" w14:textId="468433DD" w:rsidR="00F76B76" w:rsidRPr="00633C83" w:rsidRDefault="00F76B76" w:rsidP="004C5F8A">
      <w:pPr>
        <w:pStyle w:val="Notedebasdepage"/>
        <w:rPr>
          <w:rFonts w:ascii="Times New Roman" w:hAnsi="Times New Roman" w:cs="Times New Roman"/>
          <w:szCs w:val="20"/>
          <w:lang w:val="de-DE"/>
        </w:rPr>
      </w:pPr>
      <w:r w:rsidRPr="00633C83">
        <w:rPr>
          <w:rStyle w:val="Appelnotedebasdep"/>
          <w:rFonts w:ascii="Times New Roman" w:hAnsi="Times New Roman" w:cs="Times New Roman"/>
          <w:sz w:val="20"/>
          <w:szCs w:val="20"/>
        </w:rPr>
        <w:footnoteRef/>
      </w:r>
      <w:r w:rsidRPr="00633C83">
        <w:rPr>
          <w:rFonts w:ascii="Times New Roman" w:hAnsi="Times New Roman" w:cs="Times New Roman"/>
          <w:szCs w:val="20"/>
        </w:rPr>
        <w:t xml:space="preserve"> J.C. </w:t>
      </w:r>
      <w:r w:rsidRPr="00633C83">
        <w:rPr>
          <w:rFonts w:ascii="Times New Roman" w:hAnsi="Times New Roman" w:cs="Times New Roman"/>
          <w:smallCaps/>
          <w:szCs w:val="20"/>
        </w:rPr>
        <w:t>Bluntschli</w:t>
      </w:r>
      <w:r w:rsidRPr="00633C83">
        <w:rPr>
          <w:rFonts w:ascii="Times New Roman" w:hAnsi="Times New Roman" w:cs="Times New Roman"/>
          <w:szCs w:val="20"/>
        </w:rPr>
        <w:t xml:space="preserve">, </w:t>
      </w:r>
      <w:r w:rsidRPr="00633C83">
        <w:rPr>
          <w:rFonts w:ascii="Times New Roman" w:hAnsi="Times New Roman" w:cs="Times New Roman"/>
          <w:i/>
          <w:szCs w:val="20"/>
        </w:rPr>
        <w:t>Le droit international codifié</w:t>
      </w:r>
      <w:r w:rsidRPr="00633C83">
        <w:rPr>
          <w:rFonts w:ascii="Times New Roman" w:hAnsi="Times New Roman" w:cs="Times New Roman"/>
          <w:szCs w:val="20"/>
        </w:rPr>
        <w:t>, 2</w:t>
      </w:r>
      <w:r w:rsidRPr="00633C83">
        <w:rPr>
          <w:rFonts w:ascii="Times New Roman" w:hAnsi="Times New Roman" w:cs="Times New Roman"/>
          <w:szCs w:val="20"/>
          <w:vertAlign w:val="superscript"/>
        </w:rPr>
        <w:t>e</w:t>
      </w:r>
      <w:r w:rsidRPr="00633C83">
        <w:rPr>
          <w:rFonts w:ascii="Times New Roman" w:hAnsi="Times New Roman" w:cs="Times New Roman"/>
          <w:szCs w:val="20"/>
        </w:rPr>
        <w:t xml:space="preserve"> éd., Paris, Guillaumin, 1874, p. 171-172. Voy. à propos de cet auteur : B. </w:t>
      </w:r>
      <w:r w:rsidRPr="00633C83">
        <w:rPr>
          <w:rFonts w:ascii="Times New Roman" w:hAnsi="Times New Roman" w:cs="Times New Roman"/>
          <w:smallCaps/>
          <w:szCs w:val="20"/>
        </w:rPr>
        <w:t>Baker</w:t>
      </w:r>
      <w:r w:rsidRPr="00633C83">
        <w:rPr>
          <w:rFonts w:ascii="Times New Roman" w:hAnsi="Times New Roman" w:cs="Times New Roman"/>
          <w:szCs w:val="20"/>
        </w:rPr>
        <w:t xml:space="preserve">, « The ‘Civilized Nation’ in the World of Johann Caspar Bluntschli », dans M. </w:t>
      </w:r>
      <w:r w:rsidRPr="00633C83">
        <w:rPr>
          <w:rFonts w:ascii="Times New Roman" w:hAnsi="Times New Roman" w:cs="Times New Roman"/>
          <w:smallCaps/>
          <w:szCs w:val="20"/>
        </w:rPr>
        <w:t>Kremer, H.R. Reuter</w:t>
      </w:r>
      <w:r w:rsidRPr="00633C83">
        <w:rPr>
          <w:rFonts w:ascii="Times New Roman" w:hAnsi="Times New Roman" w:cs="Times New Roman"/>
          <w:szCs w:val="20"/>
        </w:rPr>
        <w:t xml:space="preserve"> (dir.), </w:t>
      </w:r>
      <w:r w:rsidRPr="00633C83">
        <w:rPr>
          <w:rFonts w:ascii="Times New Roman" w:hAnsi="Times New Roman" w:cs="Times New Roman"/>
          <w:i/>
          <w:szCs w:val="20"/>
        </w:rPr>
        <w:t xml:space="preserve">Macht und Moral. </w:t>
      </w:r>
      <w:r w:rsidRPr="00633C83">
        <w:rPr>
          <w:rFonts w:ascii="Times New Roman" w:hAnsi="Times New Roman" w:cs="Times New Roman"/>
          <w:i/>
          <w:szCs w:val="20"/>
          <w:lang w:val="de-DE"/>
        </w:rPr>
        <w:t>Politisches Denken im 17. und 18. Jahrhundert</w:t>
      </w:r>
      <w:r w:rsidRPr="00633C83">
        <w:rPr>
          <w:rFonts w:ascii="Times New Roman" w:hAnsi="Times New Roman" w:cs="Times New Roman"/>
          <w:szCs w:val="20"/>
          <w:lang w:val="de-DE"/>
        </w:rPr>
        <w:t>, Stuttgart, Kohlhammer, 2007, p. 342-358.</w:t>
      </w:r>
    </w:p>
  </w:footnote>
  <w:footnote w:id="8">
    <w:p w14:paraId="191AD223" w14:textId="77777777" w:rsidR="00F76B76" w:rsidRPr="00633C83" w:rsidRDefault="00F76B76" w:rsidP="004C5F8A">
      <w:pPr>
        <w:pStyle w:val="Notedebasdepage"/>
        <w:rPr>
          <w:rFonts w:ascii="Times New Roman" w:hAnsi="Times New Roman" w:cs="Times New Roman"/>
          <w:szCs w:val="20"/>
        </w:rPr>
      </w:pPr>
      <w:r w:rsidRPr="00633C83">
        <w:rPr>
          <w:rStyle w:val="Appelnotedebasdep"/>
          <w:rFonts w:ascii="Times New Roman" w:hAnsi="Times New Roman" w:cs="Times New Roman"/>
          <w:sz w:val="20"/>
          <w:szCs w:val="20"/>
        </w:rPr>
        <w:footnoteRef/>
      </w:r>
      <w:r w:rsidRPr="00633C83">
        <w:rPr>
          <w:rFonts w:ascii="Times New Roman" w:hAnsi="Times New Roman" w:cs="Times New Roman"/>
          <w:szCs w:val="20"/>
          <w:lang w:val="de-DE"/>
        </w:rPr>
        <w:t xml:space="preserve"> F. </w:t>
      </w:r>
      <w:r w:rsidRPr="00633C83">
        <w:rPr>
          <w:rFonts w:ascii="Times New Roman" w:hAnsi="Times New Roman" w:cs="Times New Roman"/>
          <w:smallCaps/>
          <w:szCs w:val="20"/>
          <w:lang w:val="de-DE"/>
        </w:rPr>
        <w:t>Despagnet</w:t>
      </w:r>
      <w:r w:rsidRPr="00633C83">
        <w:rPr>
          <w:rFonts w:ascii="Times New Roman" w:hAnsi="Times New Roman" w:cs="Times New Roman"/>
          <w:szCs w:val="20"/>
          <w:lang w:val="de-DE"/>
        </w:rPr>
        <w:t xml:space="preserve">, </w:t>
      </w:r>
      <w:r w:rsidRPr="00633C83">
        <w:rPr>
          <w:rFonts w:ascii="Times New Roman" w:hAnsi="Times New Roman" w:cs="Times New Roman"/>
          <w:i/>
          <w:szCs w:val="20"/>
          <w:lang w:val="de-DE"/>
        </w:rPr>
        <w:t>Cours de droit international public</w:t>
      </w:r>
      <w:r w:rsidRPr="00633C83">
        <w:rPr>
          <w:rFonts w:ascii="Times New Roman" w:hAnsi="Times New Roman" w:cs="Times New Roman"/>
          <w:szCs w:val="20"/>
          <w:lang w:val="de-DE"/>
        </w:rPr>
        <w:t xml:space="preserve">, Paris, Larose, 1894, p. 423-424. </w:t>
      </w:r>
      <w:r w:rsidRPr="00633C83">
        <w:rPr>
          <w:rFonts w:ascii="Times New Roman" w:hAnsi="Times New Roman" w:cs="Times New Roman"/>
          <w:szCs w:val="20"/>
        </w:rPr>
        <w:t>Dans le même sens, Ch. </w:t>
      </w:r>
      <w:r w:rsidRPr="00633C83">
        <w:rPr>
          <w:rFonts w:ascii="Times New Roman" w:hAnsi="Times New Roman" w:cs="Times New Roman"/>
          <w:smallCaps/>
          <w:szCs w:val="20"/>
        </w:rPr>
        <w:t>Salomon</w:t>
      </w:r>
      <w:r w:rsidRPr="00633C83">
        <w:rPr>
          <w:rFonts w:ascii="Times New Roman" w:hAnsi="Times New Roman" w:cs="Times New Roman"/>
          <w:szCs w:val="20"/>
        </w:rPr>
        <w:t xml:space="preserve">, </w:t>
      </w:r>
      <w:r w:rsidRPr="00633C83">
        <w:rPr>
          <w:rFonts w:ascii="Times New Roman" w:hAnsi="Times New Roman" w:cs="Times New Roman"/>
          <w:i/>
          <w:szCs w:val="20"/>
        </w:rPr>
        <w:t>L’occupation des territoires sans maîtres. Etude de droit international</w:t>
      </w:r>
      <w:r w:rsidRPr="00633C83">
        <w:rPr>
          <w:rFonts w:ascii="Times New Roman" w:hAnsi="Times New Roman" w:cs="Times New Roman"/>
          <w:szCs w:val="20"/>
        </w:rPr>
        <w:t>, Paris, Giard, 1889, p. 193</w:t>
      </w:r>
      <w:r w:rsidRPr="00633C83">
        <w:rPr>
          <w:rFonts w:ascii="Times New Roman" w:hAnsi="Times New Roman" w:cs="Times New Roman"/>
          <w:szCs w:val="20"/>
        </w:rPr>
        <w:noBreakHyphen/>
        <w:t xml:space="preserve">209 ; P. </w:t>
      </w:r>
      <w:r w:rsidRPr="00633C83">
        <w:rPr>
          <w:rFonts w:ascii="Times New Roman" w:hAnsi="Times New Roman" w:cs="Times New Roman"/>
          <w:smallCaps/>
          <w:szCs w:val="20"/>
        </w:rPr>
        <w:t>Pradier-Fodéré</w:t>
      </w:r>
      <w:r w:rsidRPr="00633C83">
        <w:rPr>
          <w:rFonts w:ascii="Times New Roman" w:hAnsi="Times New Roman" w:cs="Times New Roman"/>
          <w:szCs w:val="20"/>
        </w:rPr>
        <w:t xml:space="preserve">, </w:t>
      </w:r>
      <w:r w:rsidRPr="00633C83">
        <w:rPr>
          <w:rFonts w:ascii="Times New Roman" w:hAnsi="Times New Roman" w:cs="Times New Roman"/>
          <w:i/>
          <w:szCs w:val="20"/>
        </w:rPr>
        <w:t>Traité de droit international public européen &amp; américain</w:t>
      </w:r>
      <w:r w:rsidRPr="00633C83">
        <w:rPr>
          <w:rFonts w:ascii="Times New Roman" w:hAnsi="Times New Roman" w:cs="Times New Roman"/>
          <w:szCs w:val="20"/>
        </w:rPr>
        <w:t xml:space="preserve">, Paris, Durand et Pédone-Lauriel, 1885, p. 665-670 ; A.-G. </w:t>
      </w:r>
      <w:r w:rsidRPr="00633C83">
        <w:rPr>
          <w:rFonts w:ascii="Times New Roman" w:hAnsi="Times New Roman" w:cs="Times New Roman"/>
          <w:smallCaps/>
          <w:szCs w:val="20"/>
        </w:rPr>
        <w:t>Heffter</w:t>
      </w:r>
      <w:r w:rsidRPr="00633C83">
        <w:rPr>
          <w:rFonts w:ascii="Times New Roman" w:hAnsi="Times New Roman" w:cs="Times New Roman"/>
          <w:szCs w:val="20"/>
        </w:rPr>
        <w:t xml:space="preserve">, </w:t>
      </w:r>
      <w:r w:rsidRPr="00633C83">
        <w:rPr>
          <w:rFonts w:ascii="Times New Roman" w:hAnsi="Times New Roman" w:cs="Times New Roman"/>
          <w:i/>
          <w:szCs w:val="20"/>
        </w:rPr>
        <w:t>Le droit international public de l’Europe</w:t>
      </w:r>
      <w:r w:rsidRPr="00633C83">
        <w:rPr>
          <w:rFonts w:ascii="Times New Roman" w:hAnsi="Times New Roman" w:cs="Times New Roman"/>
          <w:szCs w:val="20"/>
        </w:rPr>
        <w:t>, Paris, Cotillon, 1857, spéc. p. 148-149 (le premier auteur, à notre connaissance, qui traite de la « propagande de civilisation »).</w:t>
      </w:r>
    </w:p>
  </w:footnote>
  <w:footnote w:id="9">
    <w:p w14:paraId="108C87E3" w14:textId="6C4A489A" w:rsidR="00F76B76" w:rsidRPr="00633C83" w:rsidRDefault="00F76B76" w:rsidP="004C5F8A">
      <w:pPr>
        <w:pStyle w:val="Notedebasdepage"/>
        <w:rPr>
          <w:rFonts w:ascii="Times New Roman" w:hAnsi="Times New Roman" w:cs="Times New Roman"/>
          <w:szCs w:val="20"/>
        </w:rPr>
      </w:pPr>
      <w:r w:rsidRPr="00633C83">
        <w:rPr>
          <w:rStyle w:val="Appelnotedebasdep"/>
          <w:rFonts w:ascii="Times New Roman" w:hAnsi="Times New Roman" w:cs="Times New Roman"/>
          <w:sz w:val="20"/>
          <w:szCs w:val="20"/>
        </w:rPr>
        <w:footnoteRef/>
      </w:r>
      <w:r w:rsidRPr="00633C83">
        <w:rPr>
          <w:rFonts w:ascii="Times New Roman" w:hAnsi="Times New Roman" w:cs="Times New Roman"/>
          <w:szCs w:val="20"/>
        </w:rPr>
        <w:t xml:space="preserve"> R. </w:t>
      </w:r>
      <w:r w:rsidRPr="00633C83">
        <w:rPr>
          <w:rFonts w:ascii="Times New Roman" w:hAnsi="Times New Roman" w:cs="Times New Roman"/>
          <w:smallCaps/>
          <w:szCs w:val="20"/>
        </w:rPr>
        <w:t>Van Krieken</w:t>
      </w:r>
      <w:r w:rsidRPr="00633C83">
        <w:rPr>
          <w:rFonts w:ascii="Times New Roman" w:hAnsi="Times New Roman" w:cs="Times New Roman"/>
          <w:szCs w:val="20"/>
        </w:rPr>
        <w:t xml:space="preserve">, « The Barbarism of Civilization : Cultural Genocide and the ‘Stolen Generations’ », </w:t>
      </w:r>
      <w:r w:rsidRPr="00633C83">
        <w:rPr>
          <w:rFonts w:ascii="Times New Roman" w:hAnsi="Times New Roman" w:cs="Times New Roman"/>
          <w:i/>
          <w:szCs w:val="20"/>
        </w:rPr>
        <w:t>British Journal of Sociology</w:t>
      </w:r>
      <w:r w:rsidRPr="00633C83">
        <w:rPr>
          <w:rFonts w:ascii="Times New Roman" w:hAnsi="Times New Roman" w:cs="Times New Roman"/>
          <w:szCs w:val="20"/>
        </w:rPr>
        <w:t xml:space="preserve">, vol. 50, 1999, p. 297-315 ; B. </w:t>
      </w:r>
      <w:r w:rsidRPr="00633C83">
        <w:rPr>
          <w:rFonts w:ascii="Times New Roman" w:hAnsi="Times New Roman" w:cs="Times New Roman"/>
          <w:smallCaps/>
          <w:szCs w:val="20"/>
        </w:rPr>
        <w:t xml:space="preserve">Bowden, </w:t>
      </w:r>
      <w:r w:rsidRPr="00633C83">
        <w:rPr>
          <w:rFonts w:ascii="Times New Roman" w:hAnsi="Times New Roman" w:cs="Times New Roman"/>
          <w:szCs w:val="20"/>
        </w:rPr>
        <w:t xml:space="preserve">« ‘Poisons Disguised with Honey’… », </w:t>
      </w:r>
      <w:r w:rsidRPr="00633C83">
        <w:rPr>
          <w:rFonts w:ascii="Times New Roman" w:hAnsi="Times New Roman" w:cs="Times New Roman"/>
          <w:i/>
          <w:szCs w:val="20"/>
        </w:rPr>
        <w:t>op.cit</w:t>
      </w:r>
      <w:r w:rsidRPr="00633C83">
        <w:rPr>
          <w:rFonts w:ascii="Times New Roman" w:hAnsi="Times New Roman" w:cs="Times New Roman"/>
          <w:szCs w:val="20"/>
        </w:rPr>
        <w:t>.</w:t>
      </w:r>
    </w:p>
  </w:footnote>
  <w:footnote w:id="10">
    <w:p w14:paraId="6882BBE6" w14:textId="77777777" w:rsidR="00F76B76" w:rsidRPr="00633C83" w:rsidRDefault="00F76B76" w:rsidP="004C5F8A">
      <w:pPr>
        <w:jc w:val="both"/>
        <w:rPr>
          <w:rFonts w:eastAsia="Times New Roman"/>
          <w:sz w:val="20"/>
          <w:szCs w:val="20"/>
        </w:rPr>
      </w:pPr>
      <w:r w:rsidRPr="00633C83">
        <w:rPr>
          <w:sz w:val="20"/>
          <w:szCs w:val="20"/>
          <w:vertAlign w:val="superscript"/>
        </w:rPr>
        <w:footnoteRef/>
      </w:r>
      <w:r w:rsidRPr="00633C83">
        <w:rPr>
          <w:rFonts w:eastAsia="Times New Roman"/>
          <w:sz w:val="20"/>
          <w:szCs w:val="20"/>
        </w:rPr>
        <w:t xml:space="preserve"> A ce sujet, lire notamment J. </w:t>
      </w:r>
      <w:r w:rsidRPr="00633C83">
        <w:rPr>
          <w:rFonts w:eastAsia="Times New Roman"/>
          <w:smallCaps/>
          <w:sz w:val="20"/>
          <w:szCs w:val="20"/>
        </w:rPr>
        <w:t>Lonsdale</w:t>
      </w:r>
      <w:r w:rsidRPr="00633C83">
        <w:rPr>
          <w:rFonts w:eastAsia="Times New Roman"/>
          <w:sz w:val="20"/>
          <w:szCs w:val="20"/>
        </w:rPr>
        <w:t xml:space="preserve">, </w:t>
      </w:r>
      <w:r w:rsidRPr="00633C83">
        <w:rPr>
          <w:rFonts w:eastAsia="Times New Roman"/>
          <w:i/>
          <w:sz w:val="20"/>
          <w:szCs w:val="20"/>
        </w:rPr>
        <w:t>The European scramble and conquest in African history</w:t>
      </w:r>
      <w:r w:rsidRPr="00633C83">
        <w:rPr>
          <w:rFonts w:eastAsia="Times New Roman"/>
          <w:sz w:val="20"/>
          <w:szCs w:val="20"/>
        </w:rPr>
        <w:t>, dans R. </w:t>
      </w:r>
      <w:r w:rsidRPr="00633C83">
        <w:rPr>
          <w:rFonts w:eastAsia="Times New Roman"/>
          <w:smallCaps/>
          <w:sz w:val="20"/>
          <w:szCs w:val="20"/>
        </w:rPr>
        <w:t>Oliver</w:t>
      </w:r>
      <w:r w:rsidRPr="00633C83">
        <w:rPr>
          <w:rFonts w:eastAsia="Times New Roman"/>
          <w:sz w:val="20"/>
          <w:szCs w:val="20"/>
        </w:rPr>
        <w:t xml:space="preserve"> et G. N. </w:t>
      </w:r>
      <w:r w:rsidRPr="00633C83">
        <w:rPr>
          <w:rFonts w:eastAsia="Times New Roman"/>
          <w:smallCaps/>
          <w:sz w:val="20"/>
          <w:szCs w:val="20"/>
        </w:rPr>
        <w:t>Anderson</w:t>
      </w:r>
      <w:r w:rsidRPr="00633C83">
        <w:rPr>
          <w:rFonts w:eastAsia="Times New Roman"/>
          <w:sz w:val="20"/>
          <w:szCs w:val="20"/>
        </w:rPr>
        <w:t xml:space="preserve"> (éd.), </w:t>
      </w:r>
      <w:r w:rsidRPr="00633C83">
        <w:rPr>
          <w:rFonts w:eastAsia="Times New Roman"/>
          <w:i/>
          <w:sz w:val="20"/>
          <w:szCs w:val="20"/>
        </w:rPr>
        <w:t>The Cambridge History of Africa</w:t>
      </w:r>
      <w:r w:rsidRPr="00633C83">
        <w:rPr>
          <w:rFonts w:eastAsia="Times New Roman"/>
          <w:sz w:val="20"/>
          <w:szCs w:val="20"/>
        </w:rPr>
        <w:t xml:space="preserve">, vol. 6 : </w:t>
      </w:r>
      <w:r w:rsidRPr="00633C83">
        <w:rPr>
          <w:rFonts w:eastAsia="Times New Roman"/>
          <w:i/>
          <w:sz w:val="20"/>
          <w:szCs w:val="20"/>
        </w:rPr>
        <w:t>1870-1905</w:t>
      </w:r>
      <w:r w:rsidRPr="00633C83">
        <w:rPr>
          <w:rFonts w:eastAsia="Times New Roman"/>
          <w:sz w:val="20"/>
          <w:szCs w:val="20"/>
        </w:rPr>
        <w:t xml:space="preserve">, Cambridge, Cambridge University Press, 1985, p. 680-750, et J. </w:t>
      </w:r>
      <w:r w:rsidRPr="00633C83">
        <w:rPr>
          <w:rFonts w:eastAsia="Times New Roman"/>
          <w:smallCaps/>
          <w:sz w:val="20"/>
          <w:szCs w:val="20"/>
        </w:rPr>
        <w:t>Stengers</w:t>
      </w:r>
      <w:r w:rsidRPr="00633C83">
        <w:rPr>
          <w:rFonts w:eastAsia="Times New Roman"/>
          <w:sz w:val="20"/>
          <w:szCs w:val="20"/>
        </w:rPr>
        <w:t>, « Les cinq légendes de l’acte de Berlin », dans J. </w:t>
      </w:r>
      <w:r w:rsidRPr="00633C83">
        <w:rPr>
          <w:rFonts w:eastAsia="Times New Roman"/>
          <w:smallCaps/>
          <w:sz w:val="20"/>
          <w:szCs w:val="20"/>
        </w:rPr>
        <w:t>Stengers</w:t>
      </w:r>
      <w:r w:rsidRPr="00633C83">
        <w:rPr>
          <w:rFonts w:eastAsia="Times New Roman"/>
          <w:sz w:val="20"/>
          <w:szCs w:val="20"/>
        </w:rPr>
        <w:t xml:space="preserve"> (éd.), </w:t>
      </w:r>
      <w:r w:rsidRPr="00633C83">
        <w:rPr>
          <w:rFonts w:eastAsia="Times New Roman"/>
          <w:i/>
          <w:sz w:val="20"/>
          <w:szCs w:val="20"/>
        </w:rPr>
        <w:t>Congo. Mythes et réalités</w:t>
      </w:r>
      <w:r w:rsidRPr="00633C83">
        <w:rPr>
          <w:rFonts w:eastAsia="Times New Roman"/>
          <w:sz w:val="20"/>
          <w:szCs w:val="20"/>
        </w:rPr>
        <w:t xml:space="preserve">, nouvelle éd.,  Bruxelles, Racine, 2007, p. 87-98. </w:t>
      </w:r>
    </w:p>
  </w:footnote>
  <w:footnote w:id="11">
    <w:p w14:paraId="7A6F5D3D" w14:textId="77777777" w:rsidR="00F76B76" w:rsidRPr="00633C83" w:rsidRDefault="00F76B76" w:rsidP="004C5F8A">
      <w:pPr>
        <w:jc w:val="both"/>
        <w:rPr>
          <w:rFonts w:eastAsia="Times New Roman"/>
          <w:sz w:val="20"/>
          <w:szCs w:val="20"/>
        </w:rPr>
      </w:pPr>
      <w:r w:rsidRPr="00633C83">
        <w:rPr>
          <w:sz w:val="20"/>
          <w:szCs w:val="20"/>
          <w:vertAlign w:val="superscript"/>
        </w:rPr>
        <w:footnoteRef/>
      </w:r>
      <w:r w:rsidRPr="00633C83">
        <w:rPr>
          <w:rFonts w:eastAsia="Times New Roman"/>
          <w:sz w:val="20"/>
          <w:szCs w:val="20"/>
        </w:rPr>
        <w:t xml:space="preserve"> Préambule de l’Acte général de la Conférence de Berlin, </w:t>
      </w:r>
      <w:r w:rsidRPr="00633C83">
        <w:rPr>
          <w:rFonts w:eastAsia="Times New Roman"/>
          <w:i/>
          <w:sz w:val="20"/>
          <w:szCs w:val="20"/>
        </w:rPr>
        <w:t>B.O. de l’EIC</w:t>
      </w:r>
      <w:r w:rsidRPr="00633C83">
        <w:rPr>
          <w:rFonts w:eastAsia="Times New Roman"/>
          <w:sz w:val="20"/>
          <w:szCs w:val="20"/>
        </w:rPr>
        <w:t xml:space="preserve">, 1885, p. 7-8, également disponible sur  </w:t>
      </w:r>
      <w:hyperlink r:id="rId1">
        <w:r w:rsidRPr="00633C83">
          <w:rPr>
            <w:rFonts w:eastAsia="Times New Roman"/>
            <w:color w:val="1155CC"/>
            <w:sz w:val="20"/>
            <w:szCs w:val="20"/>
            <w:u w:val="single"/>
          </w:rPr>
          <w:t>https://mjp.univ-perp.fr/traites/1885berlin.htm</w:t>
        </w:r>
      </w:hyperlink>
      <w:r w:rsidRPr="00633C83">
        <w:rPr>
          <w:rFonts w:eastAsia="Times New Roman"/>
          <w:sz w:val="20"/>
          <w:szCs w:val="20"/>
        </w:rPr>
        <w:t xml:space="preserve"> (consulté le 19 septembre 2019).</w:t>
      </w:r>
    </w:p>
  </w:footnote>
  <w:footnote w:id="12">
    <w:p w14:paraId="1D58E293" w14:textId="1ADD9830" w:rsidR="00F76B76" w:rsidRPr="00633C83" w:rsidRDefault="00F76B76" w:rsidP="004C5F8A">
      <w:pPr>
        <w:jc w:val="both"/>
        <w:rPr>
          <w:rFonts w:eastAsia="Times New Roman"/>
          <w:sz w:val="20"/>
          <w:szCs w:val="20"/>
        </w:rPr>
      </w:pPr>
      <w:r w:rsidRPr="00633C83">
        <w:rPr>
          <w:sz w:val="20"/>
          <w:szCs w:val="20"/>
          <w:vertAlign w:val="superscript"/>
        </w:rPr>
        <w:footnoteRef/>
      </w:r>
      <w:r w:rsidRPr="00633C83">
        <w:rPr>
          <w:rFonts w:eastAsia="Times New Roman"/>
          <w:sz w:val="20"/>
          <w:szCs w:val="20"/>
          <w:lang w:val="en-US"/>
        </w:rPr>
        <w:t xml:space="preserve"> Five years later, in 1890, King Leopold II convened a new international conference in Brussels, which reaffirmed the objective of "raising to civilization and bringing about the extinction of barbaric customs". </w:t>
      </w:r>
      <w:r w:rsidRPr="00633C83">
        <w:rPr>
          <w:rFonts w:eastAsia="Times New Roman"/>
          <w:sz w:val="20"/>
          <w:szCs w:val="20"/>
        </w:rPr>
        <w:t xml:space="preserve">Voy. l’article 2, 1° de l’Acte général de la Conférence de Bruxelles du 2 juillet 1890 sur la traite des esclaves et le régime des spiritueux en Afrique, </w:t>
      </w:r>
      <w:r w:rsidRPr="00633C83">
        <w:rPr>
          <w:rFonts w:eastAsia="Times New Roman"/>
          <w:i/>
          <w:sz w:val="20"/>
          <w:szCs w:val="20"/>
        </w:rPr>
        <w:t>B.O. de l’EIC</w:t>
      </w:r>
      <w:r w:rsidRPr="00633C83">
        <w:rPr>
          <w:rFonts w:eastAsia="Times New Roman"/>
          <w:sz w:val="20"/>
          <w:szCs w:val="20"/>
        </w:rPr>
        <w:t xml:space="preserve">, 1892, p. 31. Léopold II réaffirme cette intention près de dix ans plus tard. Dans une lettre destinée aux agents coloniaux et publiée dans la presse métropolitaine, il consigne « la mission que les agents de l’État ont à accomplir au Congo est noble et dévouée. Il leur incombera de continuer à développer l’œuvre de la civilisation au centre de l’Afrique Equatoriale en s’inspirant directement des principes énoncés dans les actes de Berlin et de Bruxelles » (Lettre de Léopold II du 16 juin 1897, citée par </w:t>
      </w:r>
      <w:r w:rsidR="00553FCF" w:rsidRPr="00173527">
        <w:rPr>
          <w:rFonts w:eastAsia="Times New Roman"/>
          <w:sz w:val="20"/>
          <w:szCs w:val="20"/>
        </w:rPr>
        <w:t xml:space="preserve">P.-L. </w:t>
      </w:r>
      <w:r w:rsidR="00553FCF" w:rsidRPr="00173527">
        <w:rPr>
          <w:rFonts w:eastAsia="Times New Roman"/>
          <w:smallCaps/>
          <w:sz w:val="20"/>
          <w:szCs w:val="20"/>
        </w:rPr>
        <w:t>Plasman</w:t>
      </w:r>
      <w:r w:rsidR="00553FCF" w:rsidRPr="00173527">
        <w:rPr>
          <w:rFonts w:eastAsia="Times New Roman"/>
          <w:sz w:val="20"/>
          <w:szCs w:val="20"/>
        </w:rPr>
        <w:t xml:space="preserve">, </w:t>
      </w:r>
      <w:r w:rsidR="00553FCF" w:rsidRPr="00173527">
        <w:rPr>
          <w:rFonts w:eastAsia="Times New Roman"/>
          <w:i/>
          <w:sz w:val="20"/>
          <w:szCs w:val="20"/>
        </w:rPr>
        <w:t>Léopold II, potentat congolais. L’action royale face à la violence coloniale</w:t>
      </w:r>
      <w:r w:rsidR="00553FCF" w:rsidRPr="00173527">
        <w:rPr>
          <w:rFonts w:eastAsia="Times New Roman"/>
          <w:sz w:val="20"/>
          <w:szCs w:val="20"/>
        </w:rPr>
        <w:t xml:space="preserve">, Bruxelles, Racine, 2017, </w:t>
      </w:r>
      <w:r w:rsidRPr="00633C83">
        <w:rPr>
          <w:rFonts w:eastAsia="Times New Roman"/>
          <w:sz w:val="20"/>
          <w:szCs w:val="20"/>
        </w:rPr>
        <w:t>p. 163-164).</w:t>
      </w:r>
    </w:p>
  </w:footnote>
  <w:footnote w:id="13">
    <w:p w14:paraId="15A55740" w14:textId="64C4A714" w:rsidR="00F76B76" w:rsidRPr="00633C83" w:rsidRDefault="00F76B76" w:rsidP="004C5F8A">
      <w:pPr>
        <w:jc w:val="both"/>
        <w:rPr>
          <w:rFonts w:eastAsia="Times New Roman"/>
          <w:sz w:val="20"/>
          <w:szCs w:val="20"/>
        </w:rPr>
      </w:pPr>
      <w:r w:rsidRPr="00633C83">
        <w:rPr>
          <w:sz w:val="20"/>
          <w:szCs w:val="20"/>
          <w:vertAlign w:val="superscript"/>
        </w:rPr>
        <w:footnoteRef/>
      </w:r>
      <w:r w:rsidRPr="00633C83">
        <w:rPr>
          <w:rFonts w:eastAsia="Times New Roman"/>
          <w:sz w:val="20"/>
          <w:szCs w:val="20"/>
        </w:rPr>
        <w:t xml:space="preserve"> V. </w:t>
      </w:r>
      <w:r w:rsidRPr="00633C83">
        <w:rPr>
          <w:rFonts w:eastAsia="Times New Roman"/>
          <w:smallCaps/>
          <w:sz w:val="20"/>
          <w:szCs w:val="20"/>
        </w:rPr>
        <w:t>Genin</w:t>
      </w:r>
      <w:r w:rsidRPr="00633C83">
        <w:rPr>
          <w:rFonts w:eastAsia="Times New Roman"/>
          <w:sz w:val="20"/>
          <w:szCs w:val="20"/>
        </w:rPr>
        <w:t xml:space="preserve">, </w:t>
      </w:r>
      <w:r w:rsidRPr="00633C83">
        <w:rPr>
          <w:rFonts w:eastAsia="Times New Roman"/>
          <w:i/>
          <w:sz w:val="20"/>
          <w:szCs w:val="20"/>
        </w:rPr>
        <w:t>Le laboratoire belge du droit international. Une communauté épistémique et internationale de juristes (1869-1914)</w:t>
      </w:r>
      <w:r w:rsidRPr="00633C83">
        <w:rPr>
          <w:rFonts w:eastAsia="Times New Roman"/>
          <w:sz w:val="20"/>
          <w:szCs w:val="20"/>
        </w:rPr>
        <w:t>, Bruxelles, Académie royale de Belgique, 2018, p. 94.</w:t>
      </w:r>
    </w:p>
  </w:footnote>
  <w:footnote w:id="14">
    <w:p w14:paraId="7E27E860" w14:textId="77777777" w:rsidR="00F76B76" w:rsidRPr="00633C83" w:rsidRDefault="00F76B76" w:rsidP="004C5F8A">
      <w:pPr>
        <w:jc w:val="both"/>
        <w:rPr>
          <w:rFonts w:eastAsia="Times New Roman"/>
          <w:sz w:val="20"/>
          <w:szCs w:val="20"/>
        </w:rPr>
      </w:pPr>
      <w:r w:rsidRPr="00633C83">
        <w:rPr>
          <w:sz w:val="20"/>
          <w:szCs w:val="20"/>
          <w:vertAlign w:val="superscript"/>
        </w:rPr>
        <w:footnoteRef/>
      </w:r>
      <w:r w:rsidRPr="00633C83">
        <w:rPr>
          <w:rFonts w:eastAsia="Times New Roman"/>
          <w:sz w:val="20"/>
          <w:szCs w:val="20"/>
        </w:rPr>
        <w:t xml:space="preserve"> E. </w:t>
      </w:r>
      <w:r w:rsidRPr="00633C83">
        <w:rPr>
          <w:rFonts w:eastAsia="Times New Roman"/>
          <w:smallCaps/>
          <w:sz w:val="20"/>
          <w:szCs w:val="20"/>
        </w:rPr>
        <w:t xml:space="preserve">Descamps, </w:t>
      </w:r>
      <w:r w:rsidRPr="00633C83">
        <w:rPr>
          <w:rFonts w:eastAsia="Times New Roman"/>
          <w:i/>
          <w:sz w:val="20"/>
          <w:szCs w:val="20"/>
        </w:rPr>
        <w:t>L'Afrique nouvelle. Essai sur l'état civilisateur dans les pays neufs et sur la fondation, l'organisation et le gouvernement de l'État Indépendant du Congo</w:t>
      </w:r>
      <w:r w:rsidRPr="00633C83">
        <w:rPr>
          <w:rFonts w:eastAsia="Times New Roman"/>
          <w:sz w:val="20"/>
          <w:szCs w:val="20"/>
        </w:rPr>
        <w:t>, Paris-Bruxelles, Hachette-Lebègue, 1903. Le livre lui vaudra les félicitations royales et une nomination comme vice-président du Conseil supérieur de l’EIC et comme Ministre d’Etat du même EIC (V. </w:t>
      </w:r>
      <w:r w:rsidRPr="00633C83">
        <w:rPr>
          <w:rFonts w:eastAsia="Times New Roman"/>
          <w:smallCaps/>
          <w:sz w:val="20"/>
          <w:szCs w:val="20"/>
        </w:rPr>
        <w:t>Genin</w:t>
      </w:r>
      <w:r w:rsidRPr="00633C83">
        <w:rPr>
          <w:rFonts w:eastAsia="Times New Roman"/>
          <w:sz w:val="20"/>
          <w:szCs w:val="20"/>
        </w:rPr>
        <w:t xml:space="preserve">, </w:t>
      </w:r>
      <w:r w:rsidRPr="00633C83">
        <w:rPr>
          <w:rFonts w:eastAsia="Times New Roman"/>
          <w:i/>
          <w:sz w:val="20"/>
          <w:szCs w:val="20"/>
        </w:rPr>
        <w:t>Le laboratoire belge…, op.cit.</w:t>
      </w:r>
      <w:r w:rsidRPr="00633C83">
        <w:rPr>
          <w:rFonts w:eastAsia="Times New Roman"/>
          <w:sz w:val="20"/>
          <w:szCs w:val="20"/>
        </w:rPr>
        <w:t>, p. 102).</w:t>
      </w:r>
    </w:p>
  </w:footnote>
  <w:footnote w:id="15">
    <w:p w14:paraId="6C0B6E29" w14:textId="4CC136E8" w:rsidR="00F76B76" w:rsidRPr="00633C83" w:rsidRDefault="00F76B76" w:rsidP="004C5F8A">
      <w:pPr>
        <w:jc w:val="both"/>
        <w:rPr>
          <w:rFonts w:eastAsia="Times New Roman"/>
          <w:sz w:val="20"/>
          <w:szCs w:val="20"/>
        </w:rPr>
      </w:pPr>
      <w:r w:rsidRPr="00633C83">
        <w:rPr>
          <w:sz w:val="20"/>
          <w:szCs w:val="20"/>
          <w:vertAlign w:val="superscript"/>
        </w:rPr>
        <w:footnoteRef/>
      </w:r>
      <w:r w:rsidRPr="00633C83">
        <w:rPr>
          <w:rFonts w:eastAsia="Times New Roman"/>
          <w:sz w:val="20"/>
          <w:szCs w:val="20"/>
        </w:rPr>
        <w:t xml:space="preserve"> J. </w:t>
      </w:r>
      <w:r w:rsidRPr="00633C83">
        <w:rPr>
          <w:rFonts w:eastAsia="Times New Roman"/>
          <w:smallCaps/>
          <w:sz w:val="20"/>
          <w:szCs w:val="20"/>
        </w:rPr>
        <w:t>Stengers, « </w:t>
      </w:r>
      <w:r w:rsidRPr="00633C83">
        <w:rPr>
          <w:rFonts w:eastAsia="Times New Roman"/>
          <w:sz w:val="20"/>
          <w:szCs w:val="20"/>
        </w:rPr>
        <w:t xml:space="preserve">Vers la reprise du Congo par la Belgique : la décision », </w:t>
      </w:r>
      <w:r w:rsidRPr="00633C83">
        <w:rPr>
          <w:rFonts w:eastAsia="Times New Roman"/>
          <w:i/>
          <w:sz w:val="20"/>
          <w:szCs w:val="20"/>
        </w:rPr>
        <w:t>Bulletin de l’Institut royal colonial belge</w:t>
      </w:r>
      <w:r w:rsidR="00553FCF">
        <w:rPr>
          <w:rFonts w:eastAsia="Times New Roman"/>
          <w:sz w:val="20"/>
          <w:szCs w:val="20"/>
        </w:rPr>
        <w:t>, t. </w:t>
      </w:r>
      <w:r w:rsidRPr="00633C83">
        <w:rPr>
          <w:rFonts w:eastAsia="Times New Roman"/>
          <w:sz w:val="20"/>
          <w:szCs w:val="20"/>
        </w:rPr>
        <w:t xml:space="preserve">23, 1952, p. 793-824. </w:t>
      </w:r>
    </w:p>
  </w:footnote>
  <w:footnote w:id="16">
    <w:p w14:paraId="27F66F88" w14:textId="77777777" w:rsidR="00F76B76" w:rsidRPr="00633C83" w:rsidRDefault="00F76B76" w:rsidP="004C5F8A">
      <w:pPr>
        <w:jc w:val="both"/>
        <w:rPr>
          <w:rFonts w:eastAsia="Times New Roman"/>
          <w:sz w:val="20"/>
          <w:szCs w:val="20"/>
          <w:highlight w:val="green"/>
        </w:rPr>
      </w:pPr>
      <w:r w:rsidRPr="00633C83">
        <w:rPr>
          <w:sz w:val="20"/>
          <w:szCs w:val="20"/>
          <w:vertAlign w:val="superscript"/>
        </w:rPr>
        <w:footnoteRef/>
      </w:r>
      <w:r w:rsidRPr="00633C83">
        <w:rPr>
          <w:rFonts w:eastAsia="Times New Roman"/>
          <w:sz w:val="20"/>
          <w:szCs w:val="20"/>
        </w:rPr>
        <w:t xml:space="preserve"> Décret du 18 septembre 1896 – Institution d’une commission pour la protection des indigènes, </w:t>
      </w:r>
      <w:r w:rsidRPr="00633C83">
        <w:rPr>
          <w:rFonts w:eastAsia="Times New Roman"/>
          <w:i/>
          <w:sz w:val="20"/>
          <w:szCs w:val="20"/>
        </w:rPr>
        <w:t>B.O. de l’EIC</w:t>
      </w:r>
      <w:r w:rsidRPr="00633C83">
        <w:rPr>
          <w:rFonts w:eastAsia="Times New Roman"/>
          <w:sz w:val="20"/>
          <w:szCs w:val="20"/>
        </w:rPr>
        <w:t xml:space="preserve">, 1896, p. 253. </w:t>
      </w:r>
    </w:p>
  </w:footnote>
  <w:footnote w:id="17">
    <w:p w14:paraId="0EFE80A5" w14:textId="77777777" w:rsidR="00F76B76" w:rsidRPr="00633C83" w:rsidRDefault="00F76B76" w:rsidP="004C5F8A">
      <w:pPr>
        <w:jc w:val="both"/>
        <w:rPr>
          <w:rFonts w:eastAsia="Times New Roman"/>
          <w:sz w:val="20"/>
          <w:szCs w:val="20"/>
        </w:rPr>
      </w:pPr>
      <w:r w:rsidRPr="00633C83">
        <w:rPr>
          <w:sz w:val="20"/>
          <w:szCs w:val="20"/>
          <w:vertAlign w:val="superscript"/>
        </w:rPr>
        <w:footnoteRef/>
      </w:r>
      <w:r w:rsidRPr="00633C83">
        <w:rPr>
          <w:rFonts w:eastAsia="Times New Roman"/>
          <w:sz w:val="20"/>
          <w:szCs w:val="20"/>
          <w:vertAlign w:val="superscript"/>
        </w:rPr>
        <w:t xml:space="preserve"> </w:t>
      </w:r>
      <w:r w:rsidRPr="00633C83">
        <w:rPr>
          <w:rFonts w:eastAsia="Times New Roman"/>
          <w:sz w:val="20"/>
          <w:szCs w:val="20"/>
        </w:rPr>
        <w:t xml:space="preserve">P.-L. </w:t>
      </w:r>
      <w:r w:rsidRPr="00633C83">
        <w:rPr>
          <w:rFonts w:eastAsia="Times New Roman"/>
          <w:smallCaps/>
          <w:sz w:val="20"/>
          <w:szCs w:val="20"/>
        </w:rPr>
        <w:t>Plasman</w:t>
      </w:r>
      <w:r w:rsidRPr="00633C83">
        <w:rPr>
          <w:rFonts w:eastAsia="Times New Roman"/>
          <w:sz w:val="20"/>
          <w:szCs w:val="20"/>
        </w:rPr>
        <w:t xml:space="preserve">, </w:t>
      </w:r>
      <w:r w:rsidRPr="00633C83">
        <w:rPr>
          <w:rFonts w:eastAsia="Times New Roman"/>
          <w:i/>
          <w:sz w:val="20"/>
          <w:szCs w:val="20"/>
        </w:rPr>
        <w:t>op.cit.</w:t>
      </w:r>
      <w:r w:rsidRPr="00633C83">
        <w:rPr>
          <w:rFonts w:eastAsia="Times New Roman"/>
          <w:sz w:val="20"/>
          <w:szCs w:val="20"/>
        </w:rPr>
        <w:t xml:space="preserve">, p. 158-159 ; M. </w:t>
      </w:r>
      <w:r w:rsidRPr="00633C83">
        <w:rPr>
          <w:rFonts w:eastAsia="Times New Roman"/>
          <w:smallCaps/>
          <w:sz w:val="20"/>
          <w:szCs w:val="20"/>
        </w:rPr>
        <w:t>Halewyck de Heusch</w:t>
      </w:r>
      <w:r w:rsidRPr="00633C83">
        <w:rPr>
          <w:rFonts w:eastAsia="Times New Roman"/>
          <w:sz w:val="20"/>
          <w:szCs w:val="20"/>
        </w:rPr>
        <w:t xml:space="preserve">, </w:t>
      </w:r>
      <w:r w:rsidRPr="00633C83">
        <w:rPr>
          <w:rFonts w:eastAsia="Times New Roman"/>
          <w:i/>
          <w:sz w:val="20"/>
          <w:szCs w:val="20"/>
        </w:rPr>
        <w:t>La charte coloniale. Commentaire de la loi du 18 octobre 1908 sur le Gouvernement du Congo belge</w:t>
      </w:r>
      <w:r w:rsidRPr="00633C83">
        <w:rPr>
          <w:rFonts w:eastAsia="Times New Roman"/>
          <w:sz w:val="20"/>
          <w:szCs w:val="20"/>
        </w:rPr>
        <w:t xml:space="preserve">, t. I, Bruxelles, Weissenbruch, 1910, p. 206-207 ; voy. aussi l’intervention du député libéral G. Lorand, dans </w:t>
      </w:r>
      <w:r w:rsidRPr="00633C83">
        <w:rPr>
          <w:rFonts w:eastAsia="Times New Roman"/>
          <w:i/>
          <w:sz w:val="20"/>
          <w:szCs w:val="20"/>
        </w:rPr>
        <w:t>Ann.parl.</w:t>
      </w:r>
      <w:r w:rsidRPr="00633C83">
        <w:rPr>
          <w:rFonts w:eastAsia="Times New Roman"/>
          <w:sz w:val="20"/>
          <w:szCs w:val="20"/>
        </w:rPr>
        <w:t xml:space="preserve">, </w:t>
      </w:r>
      <w:r w:rsidRPr="00633C83">
        <w:rPr>
          <w:rFonts w:eastAsia="Times New Roman"/>
          <w:i/>
          <w:sz w:val="20"/>
          <w:szCs w:val="20"/>
        </w:rPr>
        <w:t>Chambre</w:t>
      </w:r>
      <w:r w:rsidRPr="00633C83">
        <w:rPr>
          <w:rFonts w:eastAsia="Times New Roman"/>
          <w:sz w:val="20"/>
          <w:szCs w:val="20"/>
        </w:rPr>
        <w:t>, sess. 1907-1908, 5 août 1908, p. 8, en réaction à l’intervention du ministre de l’intérieur tenue la veille: « Du nombre de séances tenues par la commission, on ne nous dit rien et pour cause ; des interventions de la commission en faveur des indigènes, on ne dit rien ; des rapports adressés au gouvernement, pas la moindre mention non plus ! ».</w:t>
      </w:r>
    </w:p>
  </w:footnote>
  <w:footnote w:id="18">
    <w:p w14:paraId="648AE13B" w14:textId="77777777" w:rsidR="00F76B76" w:rsidRPr="00633C83" w:rsidRDefault="00F76B76" w:rsidP="004C5F8A">
      <w:pPr>
        <w:jc w:val="both"/>
        <w:rPr>
          <w:rFonts w:eastAsia="Times New Roman"/>
          <w:sz w:val="20"/>
          <w:szCs w:val="20"/>
        </w:rPr>
      </w:pPr>
      <w:r w:rsidRPr="00633C83">
        <w:rPr>
          <w:sz w:val="20"/>
          <w:szCs w:val="20"/>
          <w:vertAlign w:val="superscript"/>
        </w:rPr>
        <w:footnoteRef/>
      </w:r>
      <w:r w:rsidRPr="00633C83">
        <w:rPr>
          <w:rFonts w:eastAsia="Times New Roman"/>
          <w:sz w:val="20"/>
          <w:szCs w:val="20"/>
        </w:rPr>
        <w:t xml:space="preserve"> E. </w:t>
      </w:r>
      <w:r w:rsidRPr="00633C83">
        <w:rPr>
          <w:rFonts w:eastAsia="Times New Roman"/>
          <w:smallCaps/>
          <w:sz w:val="20"/>
          <w:szCs w:val="20"/>
        </w:rPr>
        <w:t xml:space="preserve">Descamps, </w:t>
      </w:r>
      <w:r w:rsidRPr="00633C83">
        <w:rPr>
          <w:rFonts w:eastAsia="Times New Roman"/>
          <w:i/>
          <w:sz w:val="20"/>
          <w:szCs w:val="20"/>
        </w:rPr>
        <w:t>L'Afrique nouvelle, op.cit.</w:t>
      </w:r>
      <w:r w:rsidRPr="00633C83">
        <w:rPr>
          <w:rFonts w:eastAsia="Times New Roman"/>
          <w:sz w:val="20"/>
          <w:szCs w:val="20"/>
        </w:rPr>
        <w:t>, qui signale notamment l’interdiction de la traite (p. 546), du trafic d’alcool (p. 552) et de toutes pratiques barbares (notamment les sacrifices humains et l’épreuve du poison – p. 558) ; les mesures de vaccination (p. 557) ; la non reconnaissance du statut servile, par les articles 428 du livre III du Code civil de l’EIC et 11 du Code pénal de l’EIC (p. 566) ; la protection pénale accordée à la personne et aux biens des indigènes (p. 570) ; la faculté pour les indigènes de recourir aux juridictions civiles (p. 572) ; la protection spéciale accordée aux indigènes par l’article 95 du Code pénal de l’EIC (p. 579).</w:t>
      </w:r>
    </w:p>
  </w:footnote>
  <w:footnote w:id="19">
    <w:p w14:paraId="79114553" w14:textId="77777777" w:rsidR="00F76B76" w:rsidRPr="00633C83" w:rsidRDefault="00F76B76" w:rsidP="004C5F8A">
      <w:pPr>
        <w:jc w:val="both"/>
        <w:rPr>
          <w:rFonts w:eastAsia="Times New Roman"/>
          <w:sz w:val="20"/>
          <w:szCs w:val="20"/>
        </w:rPr>
      </w:pPr>
      <w:r w:rsidRPr="00633C83">
        <w:rPr>
          <w:sz w:val="20"/>
          <w:szCs w:val="20"/>
          <w:vertAlign w:val="superscript"/>
        </w:rPr>
        <w:footnoteRef/>
      </w:r>
      <w:r w:rsidRPr="00633C83">
        <w:rPr>
          <w:rFonts w:eastAsia="Times New Roman"/>
          <w:sz w:val="20"/>
          <w:szCs w:val="20"/>
        </w:rPr>
        <w:t xml:space="preserve"> Décret du 27 décembre 1892 – Acquisition de la nationalité congolaise, </w:t>
      </w:r>
      <w:r w:rsidRPr="00633C83">
        <w:rPr>
          <w:rFonts w:eastAsia="Times New Roman"/>
          <w:i/>
          <w:sz w:val="20"/>
          <w:szCs w:val="20"/>
        </w:rPr>
        <w:t>B.O. de l’EIC</w:t>
      </w:r>
      <w:r w:rsidRPr="00633C83">
        <w:rPr>
          <w:rFonts w:eastAsia="Times New Roman"/>
          <w:sz w:val="20"/>
          <w:szCs w:val="20"/>
        </w:rPr>
        <w:t>, 1892, p. 326. Les mesures réglementaires, en ce qui concerne l’immatriculation des Congolais, ont été adoptées par un.</w:t>
      </w:r>
    </w:p>
  </w:footnote>
  <w:footnote w:id="20">
    <w:p w14:paraId="269D875A" w14:textId="77777777" w:rsidR="00F76B76" w:rsidRPr="00633C83" w:rsidRDefault="00F76B76" w:rsidP="004C5F8A">
      <w:pPr>
        <w:jc w:val="both"/>
        <w:rPr>
          <w:rFonts w:eastAsia="Times New Roman"/>
          <w:sz w:val="20"/>
          <w:szCs w:val="20"/>
        </w:rPr>
      </w:pPr>
      <w:r w:rsidRPr="00633C83">
        <w:rPr>
          <w:sz w:val="20"/>
          <w:szCs w:val="20"/>
          <w:vertAlign w:val="superscript"/>
        </w:rPr>
        <w:footnoteRef/>
      </w:r>
      <w:r w:rsidRPr="00633C83">
        <w:rPr>
          <w:rFonts w:eastAsia="Times New Roman"/>
          <w:sz w:val="20"/>
          <w:szCs w:val="20"/>
        </w:rPr>
        <w:t xml:space="preserve"> E. </w:t>
      </w:r>
      <w:r w:rsidRPr="00633C83">
        <w:rPr>
          <w:rFonts w:eastAsia="Times New Roman"/>
          <w:smallCaps/>
          <w:sz w:val="20"/>
          <w:szCs w:val="20"/>
        </w:rPr>
        <w:t xml:space="preserve">Descamps, </w:t>
      </w:r>
      <w:r w:rsidRPr="00633C83">
        <w:rPr>
          <w:rFonts w:eastAsia="Times New Roman"/>
          <w:i/>
          <w:sz w:val="20"/>
          <w:szCs w:val="20"/>
        </w:rPr>
        <w:t>L'Afrique nouvelle, op.cit.</w:t>
      </w:r>
      <w:r w:rsidRPr="00633C83">
        <w:rPr>
          <w:rFonts w:eastAsia="Times New Roman"/>
          <w:sz w:val="20"/>
          <w:szCs w:val="20"/>
        </w:rPr>
        <w:t>, p. 302 et 569.</w:t>
      </w:r>
    </w:p>
  </w:footnote>
  <w:footnote w:id="21">
    <w:p w14:paraId="2FE84373" w14:textId="77777777" w:rsidR="00F76B76" w:rsidRPr="00633C83" w:rsidRDefault="00F76B76" w:rsidP="004C5F8A">
      <w:pPr>
        <w:jc w:val="both"/>
        <w:rPr>
          <w:rFonts w:eastAsia="Times New Roman"/>
          <w:sz w:val="20"/>
          <w:szCs w:val="20"/>
        </w:rPr>
      </w:pPr>
      <w:r w:rsidRPr="00633C83">
        <w:rPr>
          <w:sz w:val="20"/>
          <w:szCs w:val="20"/>
          <w:vertAlign w:val="superscript"/>
        </w:rPr>
        <w:footnoteRef/>
      </w:r>
      <w:r w:rsidRPr="00633C83">
        <w:rPr>
          <w:rFonts w:eastAsia="Times New Roman"/>
          <w:sz w:val="20"/>
          <w:szCs w:val="20"/>
        </w:rPr>
        <w:t xml:space="preserve"> Il est d’ailleurs critiqué dès sa mise en vigueur. Voy. L. </w:t>
      </w:r>
      <w:r w:rsidRPr="00633C83">
        <w:rPr>
          <w:rFonts w:eastAsia="Times New Roman"/>
          <w:smallCaps/>
          <w:sz w:val="20"/>
          <w:szCs w:val="20"/>
        </w:rPr>
        <w:t>Lothar, « </w:t>
      </w:r>
      <w:r w:rsidRPr="00633C83">
        <w:rPr>
          <w:rFonts w:eastAsia="Times New Roman"/>
          <w:sz w:val="20"/>
          <w:szCs w:val="20"/>
        </w:rPr>
        <w:t xml:space="preserve">L’immatriculation des indigènes à l’état civil », </w:t>
      </w:r>
      <w:r w:rsidRPr="00633C83">
        <w:rPr>
          <w:rFonts w:eastAsia="Times New Roman"/>
          <w:i/>
          <w:sz w:val="20"/>
          <w:szCs w:val="20"/>
        </w:rPr>
        <w:t>Bulletin des Séances de l’Institut royal Colonial belge</w:t>
      </w:r>
      <w:r w:rsidRPr="00633C83">
        <w:rPr>
          <w:rFonts w:eastAsia="Times New Roman"/>
          <w:sz w:val="20"/>
          <w:szCs w:val="20"/>
        </w:rPr>
        <w:t>, t. VIII, 1937, p. 54-58, ainsi que la contribution de W. Busane dans le présent dossier.</w:t>
      </w:r>
    </w:p>
  </w:footnote>
  <w:footnote w:id="22">
    <w:p w14:paraId="2E1152B0" w14:textId="77777777" w:rsidR="00F76B76" w:rsidRPr="00633C83" w:rsidRDefault="00F76B76" w:rsidP="004C5F8A">
      <w:pPr>
        <w:jc w:val="both"/>
        <w:rPr>
          <w:rFonts w:eastAsia="Times New Roman"/>
          <w:sz w:val="20"/>
          <w:szCs w:val="20"/>
        </w:rPr>
      </w:pPr>
      <w:r w:rsidRPr="00633C83">
        <w:rPr>
          <w:sz w:val="20"/>
          <w:szCs w:val="20"/>
          <w:vertAlign w:val="superscript"/>
        </w:rPr>
        <w:footnoteRef/>
      </w:r>
      <w:r w:rsidRPr="00633C83">
        <w:rPr>
          <w:rFonts w:eastAsia="Times New Roman"/>
          <w:sz w:val="20"/>
          <w:szCs w:val="20"/>
        </w:rPr>
        <w:t xml:space="preserve"> Rapport du Gouverneur général au Secrétaire d’Etat du 18 juin 1904, dans O. </w:t>
      </w:r>
      <w:r w:rsidRPr="00633C83">
        <w:rPr>
          <w:rFonts w:eastAsia="Times New Roman"/>
          <w:smallCaps/>
          <w:sz w:val="20"/>
          <w:szCs w:val="20"/>
        </w:rPr>
        <w:t xml:space="preserve">Louwers </w:t>
      </w:r>
      <w:r w:rsidRPr="00633C83">
        <w:rPr>
          <w:rFonts w:eastAsia="Times New Roman"/>
          <w:sz w:val="20"/>
          <w:szCs w:val="20"/>
        </w:rPr>
        <w:t>et G. </w:t>
      </w:r>
      <w:r w:rsidRPr="00633C83">
        <w:rPr>
          <w:rFonts w:eastAsia="Times New Roman"/>
          <w:smallCaps/>
          <w:sz w:val="20"/>
          <w:szCs w:val="20"/>
        </w:rPr>
        <w:t>Touchard</w:t>
      </w:r>
      <w:r w:rsidRPr="00633C83">
        <w:rPr>
          <w:rFonts w:eastAsia="Times New Roman"/>
          <w:sz w:val="20"/>
          <w:szCs w:val="20"/>
        </w:rPr>
        <w:t xml:space="preserve">, </w:t>
      </w:r>
      <w:r w:rsidRPr="00633C83">
        <w:rPr>
          <w:rFonts w:eastAsia="Times New Roman"/>
          <w:i/>
          <w:sz w:val="20"/>
          <w:szCs w:val="20"/>
        </w:rPr>
        <w:t>Recueil usuel de la législation de l’Etat indépendant du Congo</w:t>
      </w:r>
      <w:r w:rsidRPr="00633C83">
        <w:rPr>
          <w:rFonts w:eastAsia="Times New Roman"/>
          <w:sz w:val="20"/>
          <w:szCs w:val="20"/>
        </w:rPr>
        <w:t>, t. V, 1909, p. 261, citant des instructions données par le « Gouvernement local à tous les Chefs de district et de zone ».</w:t>
      </w:r>
    </w:p>
  </w:footnote>
  <w:footnote w:id="23">
    <w:p w14:paraId="70A501C8" w14:textId="77777777" w:rsidR="00F76B76" w:rsidRPr="00633C83" w:rsidRDefault="00F76B76" w:rsidP="004C5F8A">
      <w:pPr>
        <w:jc w:val="both"/>
        <w:rPr>
          <w:rFonts w:eastAsia="Times New Roman"/>
          <w:sz w:val="20"/>
          <w:szCs w:val="20"/>
        </w:rPr>
      </w:pPr>
      <w:r w:rsidRPr="00633C83">
        <w:rPr>
          <w:sz w:val="20"/>
          <w:szCs w:val="20"/>
          <w:vertAlign w:val="superscript"/>
        </w:rPr>
        <w:footnoteRef/>
      </w:r>
      <w:r w:rsidRPr="00633C83">
        <w:rPr>
          <w:rFonts w:eastAsia="Times New Roman"/>
          <w:sz w:val="20"/>
          <w:szCs w:val="20"/>
        </w:rPr>
        <w:t xml:space="preserve"> Rapport précité des secrétaires généraux du 15 juillet 1900, p. 139.</w:t>
      </w:r>
    </w:p>
  </w:footnote>
  <w:footnote w:id="24">
    <w:p w14:paraId="670DA43A" w14:textId="77777777" w:rsidR="00F76B76" w:rsidRPr="00633C83" w:rsidRDefault="00F76B76" w:rsidP="004C5F8A">
      <w:pPr>
        <w:jc w:val="both"/>
        <w:rPr>
          <w:rFonts w:eastAsia="Times New Roman"/>
          <w:sz w:val="20"/>
          <w:szCs w:val="20"/>
        </w:rPr>
      </w:pPr>
      <w:r w:rsidRPr="00633C83">
        <w:rPr>
          <w:sz w:val="20"/>
          <w:szCs w:val="20"/>
          <w:vertAlign w:val="superscript"/>
        </w:rPr>
        <w:footnoteRef/>
      </w:r>
      <w:r w:rsidRPr="00633C83">
        <w:rPr>
          <w:rFonts w:eastAsia="Times New Roman"/>
          <w:sz w:val="20"/>
          <w:szCs w:val="20"/>
        </w:rPr>
        <w:t xml:space="preserve"> P.-L. </w:t>
      </w:r>
      <w:r w:rsidRPr="00633C83">
        <w:rPr>
          <w:rFonts w:eastAsia="Times New Roman"/>
          <w:smallCaps/>
          <w:sz w:val="20"/>
          <w:szCs w:val="20"/>
        </w:rPr>
        <w:t>Plasman</w:t>
      </w:r>
      <w:r w:rsidRPr="00633C83">
        <w:rPr>
          <w:rFonts w:eastAsia="Times New Roman"/>
          <w:sz w:val="20"/>
          <w:szCs w:val="20"/>
        </w:rPr>
        <w:t xml:space="preserve">, « L’État Indépendant du Congo face aux campagnes anticongolaises », dans V. </w:t>
      </w:r>
      <w:r w:rsidRPr="00633C83">
        <w:rPr>
          <w:rFonts w:eastAsia="Times New Roman"/>
          <w:smallCaps/>
          <w:sz w:val="20"/>
          <w:szCs w:val="20"/>
        </w:rPr>
        <w:t>Dujardin, V. Rosoux, T. de Wilde d’Estmael</w:t>
      </w:r>
      <w:r w:rsidRPr="00633C83">
        <w:rPr>
          <w:rFonts w:eastAsia="Times New Roman"/>
          <w:sz w:val="20"/>
          <w:szCs w:val="20"/>
        </w:rPr>
        <w:t xml:space="preserve"> e.a. (éd.), </w:t>
      </w:r>
      <w:r w:rsidRPr="00633C83">
        <w:rPr>
          <w:rFonts w:eastAsia="Times New Roman"/>
          <w:i/>
          <w:sz w:val="20"/>
          <w:szCs w:val="20"/>
        </w:rPr>
        <w:t>Léopold II entre génie et gêne : politique étrangère et colonisation</w:t>
      </w:r>
      <w:r w:rsidRPr="00633C83">
        <w:rPr>
          <w:rFonts w:eastAsia="Times New Roman"/>
          <w:sz w:val="20"/>
          <w:szCs w:val="20"/>
        </w:rPr>
        <w:t>, Bruxelles, Racines, 2009, p. 209-224 ; D. V</w:t>
      </w:r>
      <w:r w:rsidRPr="00633C83">
        <w:rPr>
          <w:rFonts w:eastAsia="Times New Roman"/>
          <w:smallCaps/>
          <w:sz w:val="20"/>
          <w:szCs w:val="20"/>
        </w:rPr>
        <w:t>angroenweghe</w:t>
      </w:r>
      <w:r w:rsidRPr="00633C83">
        <w:rPr>
          <w:rFonts w:eastAsia="Times New Roman"/>
          <w:sz w:val="20"/>
          <w:szCs w:val="20"/>
        </w:rPr>
        <w:t xml:space="preserve">, </w:t>
      </w:r>
      <w:r w:rsidRPr="00633C83">
        <w:rPr>
          <w:rFonts w:eastAsia="Times New Roman"/>
          <w:i/>
          <w:sz w:val="20"/>
          <w:szCs w:val="20"/>
        </w:rPr>
        <w:t>Du sang sur les lianes. Léopold II et son Congo</w:t>
      </w:r>
      <w:r w:rsidRPr="00633C83">
        <w:rPr>
          <w:rFonts w:eastAsia="Times New Roman"/>
          <w:sz w:val="20"/>
          <w:szCs w:val="20"/>
        </w:rPr>
        <w:t xml:space="preserve">, Bruxelles, Didier Hatier, 1986 ; et J.-L. </w:t>
      </w:r>
      <w:r w:rsidRPr="00633C83">
        <w:rPr>
          <w:rFonts w:eastAsia="Times New Roman"/>
          <w:smallCaps/>
          <w:sz w:val="20"/>
          <w:szCs w:val="20"/>
        </w:rPr>
        <w:t>Vellut</w:t>
      </w:r>
      <w:r w:rsidRPr="00633C83">
        <w:rPr>
          <w:rFonts w:eastAsia="Times New Roman"/>
          <w:sz w:val="20"/>
          <w:szCs w:val="20"/>
        </w:rPr>
        <w:t xml:space="preserve"> , « La violence armée dans l’Etat Indépendant du Congo. Ténèbres et clartés dans l’histoire d’un Etat Conquérant », </w:t>
      </w:r>
      <w:r w:rsidRPr="00633C83">
        <w:rPr>
          <w:rFonts w:eastAsia="Times New Roman"/>
          <w:i/>
          <w:sz w:val="20"/>
          <w:szCs w:val="20"/>
        </w:rPr>
        <w:t>Cultures et Développement</w:t>
      </w:r>
      <w:r w:rsidRPr="00633C83">
        <w:rPr>
          <w:rFonts w:eastAsia="Times New Roman"/>
          <w:sz w:val="20"/>
          <w:szCs w:val="20"/>
        </w:rPr>
        <w:t>,</w:t>
      </w:r>
      <w:r w:rsidRPr="00633C83">
        <w:rPr>
          <w:rFonts w:eastAsia="Times New Roman"/>
          <w:i/>
          <w:sz w:val="20"/>
          <w:szCs w:val="20"/>
        </w:rPr>
        <w:t xml:space="preserve"> </w:t>
      </w:r>
      <w:r w:rsidRPr="00633C83">
        <w:rPr>
          <w:rFonts w:eastAsia="Times New Roman"/>
          <w:sz w:val="20"/>
          <w:szCs w:val="20"/>
        </w:rPr>
        <w:t>vol. 16, 1984, n° 3</w:t>
      </w:r>
      <w:r w:rsidRPr="00633C83">
        <w:rPr>
          <w:rFonts w:eastAsia="Times New Roman"/>
          <w:sz w:val="20"/>
          <w:szCs w:val="20"/>
        </w:rPr>
        <w:noBreakHyphen/>
        <w:t xml:space="preserve">4, p. 671-709. </w:t>
      </w:r>
    </w:p>
  </w:footnote>
  <w:footnote w:id="25">
    <w:p w14:paraId="1B08DD44" w14:textId="77777777" w:rsidR="00F76B76" w:rsidRPr="00633C83" w:rsidRDefault="00F76B76" w:rsidP="004C5F8A">
      <w:pPr>
        <w:jc w:val="both"/>
        <w:rPr>
          <w:rFonts w:eastAsia="Times New Roman"/>
          <w:sz w:val="20"/>
          <w:szCs w:val="20"/>
        </w:rPr>
      </w:pPr>
      <w:r w:rsidRPr="00633C83">
        <w:rPr>
          <w:sz w:val="20"/>
          <w:szCs w:val="20"/>
          <w:vertAlign w:val="superscript"/>
        </w:rPr>
        <w:footnoteRef/>
      </w:r>
      <w:r w:rsidRPr="00633C83">
        <w:rPr>
          <w:rFonts w:eastAsia="Times New Roman"/>
          <w:sz w:val="20"/>
          <w:szCs w:val="20"/>
          <w:vertAlign w:val="superscript"/>
        </w:rPr>
        <w:t xml:space="preserve"> </w:t>
      </w:r>
      <w:r w:rsidRPr="00633C83">
        <w:rPr>
          <w:rFonts w:eastAsia="Times New Roman"/>
          <w:i/>
          <w:sz w:val="20"/>
          <w:szCs w:val="20"/>
        </w:rPr>
        <w:t>Loi du 18 octobre 1908</w:t>
      </w:r>
      <w:r w:rsidRPr="00633C83">
        <w:rPr>
          <w:rFonts w:eastAsia="Times New Roman"/>
          <w:sz w:val="20"/>
          <w:szCs w:val="20"/>
        </w:rPr>
        <w:t xml:space="preserve">, dans </w:t>
      </w:r>
      <w:r w:rsidRPr="00633C83">
        <w:rPr>
          <w:rFonts w:eastAsia="Times New Roman"/>
          <w:i/>
          <w:sz w:val="20"/>
          <w:szCs w:val="20"/>
        </w:rPr>
        <w:t>BO du Congo belge</w:t>
      </w:r>
      <w:r w:rsidRPr="00633C83">
        <w:rPr>
          <w:rFonts w:eastAsia="Times New Roman"/>
          <w:sz w:val="20"/>
          <w:szCs w:val="20"/>
        </w:rPr>
        <w:t>, 1908-1909, p. 65-72.</w:t>
      </w:r>
    </w:p>
  </w:footnote>
  <w:footnote w:id="26">
    <w:p w14:paraId="010787A1" w14:textId="77777777" w:rsidR="00F76B76" w:rsidRPr="00633C83" w:rsidRDefault="00F76B76" w:rsidP="004C5F8A">
      <w:pPr>
        <w:jc w:val="both"/>
        <w:rPr>
          <w:rFonts w:eastAsia="Times New Roman"/>
          <w:sz w:val="20"/>
          <w:szCs w:val="20"/>
        </w:rPr>
      </w:pPr>
      <w:r w:rsidRPr="00633C83">
        <w:rPr>
          <w:sz w:val="20"/>
          <w:szCs w:val="20"/>
          <w:vertAlign w:val="superscript"/>
        </w:rPr>
        <w:footnoteRef/>
      </w:r>
      <w:r w:rsidRPr="00633C83">
        <w:rPr>
          <w:rFonts w:eastAsia="Times New Roman"/>
          <w:sz w:val="20"/>
          <w:szCs w:val="20"/>
        </w:rPr>
        <w:t xml:space="preserve"> M. </w:t>
      </w:r>
      <w:r w:rsidRPr="00633C83">
        <w:rPr>
          <w:rFonts w:eastAsia="Times New Roman"/>
          <w:smallCaps/>
          <w:sz w:val="20"/>
          <w:szCs w:val="20"/>
        </w:rPr>
        <w:t>Halewyck de Heusch</w:t>
      </w:r>
      <w:r w:rsidRPr="00633C83">
        <w:rPr>
          <w:rFonts w:eastAsia="Times New Roman"/>
          <w:sz w:val="20"/>
          <w:szCs w:val="20"/>
        </w:rPr>
        <w:t xml:space="preserve">, </w:t>
      </w:r>
      <w:r w:rsidRPr="00633C83">
        <w:rPr>
          <w:rFonts w:eastAsia="Times New Roman"/>
          <w:i/>
          <w:sz w:val="20"/>
          <w:szCs w:val="20"/>
        </w:rPr>
        <w:t>La Charte coloniale. Commentaire sur la loi du 18 octobre 1908 sur le gouvernement du Congo belge</w:t>
      </w:r>
      <w:r w:rsidRPr="00633C83">
        <w:rPr>
          <w:rFonts w:eastAsia="Times New Roman"/>
          <w:sz w:val="20"/>
          <w:szCs w:val="20"/>
        </w:rPr>
        <w:t xml:space="preserve">, 3t. et appendice, Bruxelles, Weissenbruch, 1910-1919. </w:t>
      </w:r>
    </w:p>
  </w:footnote>
  <w:footnote w:id="27">
    <w:p w14:paraId="026E87AA" w14:textId="77777777" w:rsidR="00F76B76" w:rsidRPr="00633C83" w:rsidRDefault="00F76B76" w:rsidP="00574033">
      <w:pPr>
        <w:pStyle w:val="Notedebasdepage"/>
        <w:rPr>
          <w:rFonts w:ascii="Times New Roman" w:hAnsi="Times New Roman" w:cs="Times New Roman"/>
          <w:szCs w:val="20"/>
        </w:rPr>
      </w:pPr>
      <w:r w:rsidRPr="00633C83">
        <w:rPr>
          <w:rStyle w:val="Appelnotedebasdep"/>
          <w:rFonts w:ascii="Times New Roman" w:hAnsi="Times New Roman" w:cs="Times New Roman"/>
          <w:sz w:val="20"/>
          <w:szCs w:val="20"/>
        </w:rPr>
        <w:footnoteRef/>
      </w:r>
      <w:r w:rsidRPr="00633C83">
        <w:rPr>
          <w:rFonts w:ascii="Times New Roman" w:hAnsi="Times New Roman" w:cs="Times New Roman"/>
          <w:szCs w:val="20"/>
        </w:rPr>
        <w:t xml:space="preserve"> G. </w:t>
      </w:r>
      <w:r w:rsidRPr="00633C83">
        <w:rPr>
          <w:rFonts w:ascii="Times New Roman" w:hAnsi="Times New Roman" w:cs="Times New Roman"/>
          <w:smallCaps/>
          <w:szCs w:val="20"/>
        </w:rPr>
        <w:t>Distefano</w:t>
      </w:r>
      <w:r w:rsidRPr="00633C83">
        <w:rPr>
          <w:rFonts w:ascii="Times New Roman" w:hAnsi="Times New Roman" w:cs="Times New Roman"/>
          <w:szCs w:val="20"/>
        </w:rPr>
        <w:t xml:space="preserve">, « Article 22 », dans R. </w:t>
      </w:r>
      <w:r w:rsidRPr="00633C83">
        <w:rPr>
          <w:rFonts w:ascii="Times New Roman" w:hAnsi="Times New Roman" w:cs="Times New Roman"/>
          <w:smallCaps/>
          <w:szCs w:val="20"/>
        </w:rPr>
        <w:t>Kolb</w:t>
      </w:r>
      <w:r w:rsidRPr="00633C83">
        <w:rPr>
          <w:rFonts w:ascii="Times New Roman" w:hAnsi="Times New Roman" w:cs="Times New Roman"/>
          <w:szCs w:val="20"/>
        </w:rPr>
        <w:t xml:space="preserve"> (dir.)</w:t>
      </w:r>
      <w:r w:rsidRPr="00633C83">
        <w:rPr>
          <w:rFonts w:ascii="Times New Roman" w:hAnsi="Times New Roman" w:cs="Times New Roman"/>
          <w:smallCaps/>
          <w:szCs w:val="20"/>
        </w:rPr>
        <w:t xml:space="preserve">, </w:t>
      </w:r>
      <w:r w:rsidRPr="00633C83">
        <w:rPr>
          <w:rFonts w:ascii="Times New Roman" w:hAnsi="Times New Roman" w:cs="Times New Roman"/>
          <w:i/>
          <w:smallCaps/>
          <w:szCs w:val="20"/>
        </w:rPr>
        <w:t>C</w:t>
      </w:r>
      <w:r w:rsidRPr="00633C83">
        <w:rPr>
          <w:rFonts w:ascii="Times New Roman" w:hAnsi="Times New Roman" w:cs="Times New Roman"/>
          <w:i/>
          <w:szCs w:val="20"/>
        </w:rPr>
        <w:t>ommentaire sur le Pacte de la Société des Nations</w:t>
      </w:r>
      <w:r w:rsidRPr="00633C83">
        <w:rPr>
          <w:rFonts w:ascii="Times New Roman" w:hAnsi="Times New Roman" w:cs="Times New Roman"/>
          <w:szCs w:val="20"/>
        </w:rPr>
        <w:t xml:space="preserve">, Bruxelles, Bruylant, 2015, p. 841-1002 ; S. </w:t>
      </w:r>
      <w:r w:rsidRPr="00633C83">
        <w:rPr>
          <w:rFonts w:ascii="Times New Roman" w:hAnsi="Times New Roman" w:cs="Times New Roman"/>
          <w:smallCaps/>
          <w:szCs w:val="20"/>
        </w:rPr>
        <w:t>Pedersen</w:t>
      </w:r>
      <w:r w:rsidRPr="00633C83">
        <w:rPr>
          <w:rFonts w:ascii="Times New Roman" w:hAnsi="Times New Roman" w:cs="Times New Roman"/>
          <w:szCs w:val="20"/>
        </w:rPr>
        <w:t xml:space="preserve">, </w:t>
      </w:r>
      <w:r w:rsidRPr="00633C83">
        <w:rPr>
          <w:rFonts w:ascii="Times New Roman" w:hAnsi="Times New Roman" w:cs="Times New Roman"/>
          <w:i/>
          <w:szCs w:val="20"/>
        </w:rPr>
        <w:t>The Guardians : The League of Nations and the Crisis of Empire</w:t>
      </w:r>
      <w:r w:rsidRPr="00633C83">
        <w:rPr>
          <w:rFonts w:ascii="Times New Roman" w:hAnsi="Times New Roman" w:cs="Times New Roman"/>
          <w:szCs w:val="20"/>
        </w:rPr>
        <w:t>, Oxford, Oxford University Press, 2015.</w:t>
      </w:r>
    </w:p>
  </w:footnote>
  <w:footnote w:id="28">
    <w:p w14:paraId="65574186" w14:textId="77777777" w:rsidR="00F76B76" w:rsidRPr="00633C83" w:rsidRDefault="00F76B76" w:rsidP="00574033">
      <w:pPr>
        <w:pStyle w:val="Notedebasdepage"/>
        <w:rPr>
          <w:rFonts w:ascii="Times New Roman" w:hAnsi="Times New Roman" w:cs="Times New Roman"/>
          <w:szCs w:val="20"/>
        </w:rPr>
      </w:pPr>
      <w:r w:rsidRPr="00633C83">
        <w:rPr>
          <w:rStyle w:val="Appelnotedebasdep"/>
          <w:rFonts w:ascii="Times New Roman" w:hAnsi="Times New Roman" w:cs="Times New Roman"/>
          <w:sz w:val="20"/>
          <w:szCs w:val="20"/>
        </w:rPr>
        <w:footnoteRef/>
      </w:r>
      <w:r w:rsidRPr="00633C83">
        <w:rPr>
          <w:rFonts w:ascii="Times New Roman" w:hAnsi="Times New Roman" w:cs="Times New Roman"/>
          <w:szCs w:val="20"/>
        </w:rPr>
        <w:t xml:space="preserve"> L’article 38 correspond aussi à l’expression que la Cour permanente d’arbitrage (CPA) de La Haye a utilisé pour décrire la portée des principes généraux du droit qu’elle devait appliquer. Voy. notamment la décision de la CPA du 13 octobre 1922, affaire des </w:t>
      </w:r>
      <w:r w:rsidRPr="00633C83">
        <w:rPr>
          <w:rFonts w:ascii="Times New Roman" w:hAnsi="Times New Roman" w:cs="Times New Roman"/>
          <w:i/>
          <w:szCs w:val="20"/>
        </w:rPr>
        <w:t>Réclamations norvégiennes contre les Etats-Unis</w:t>
      </w:r>
      <w:r w:rsidRPr="00633C83">
        <w:rPr>
          <w:rFonts w:ascii="Times New Roman" w:hAnsi="Times New Roman" w:cs="Times New Roman"/>
          <w:szCs w:val="20"/>
        </w:rPr>
        <w:t>, p. 23-26.</w:t>
      </w:r>
    </w:p>
  </w:footnote>
  <w:footnote w:id="29">
    <w:p w14:paraId="02D7D9AB" w14:textId="77777777" w:rsidR="00F76B76" w:rsidRPr="00633C83" w:rsidRDefault="00F76B76" w:rsidP="004C5F8A">
      <w:pPr>
        <w:jc w:val="both"/>
        <w:rPr>
          <w:rFonts w:eastAsia="Times New Roman"/>
          <w:sz w:val="20"/>
          <w:szCs w:val="20"/>
        </w:rPr>
      </w:pPr>
      <w:r w:rsidRPr="00633C83">
        <w:rPr>
          <w:sz w:val="20"/>
          <w:szCs w:val="20"/>
          <w:vertAlign w:val="superscript"/>
        </w:rPr>
        <w:footnoteRef/>
      </w:r>
      <w:r w:rsidRPr="00633C83">
        <w:rPr>
          <w:rFonts w:eastAsia="Times New Roman"/>
          <w:sz w:val="20"/>
          <w:szCs w:val="20"/>
        </w:rPr>
        <w:t xml:space="preserve"> </w:t>
      </w:r>
      <w:r w:rsidRPr="00633C83">
        <w:rPr>
          <w:rFonts w:eastAsia="Times New Roman"/>
          <w:smallCaps/>
          <w:sz w:val="20"/>
          <w:szCs w:val="20"/>
        </w:rPr>
        <w:t xml:space="preserve"> </w:t>
      </w:r>
      <w:r w:rsidRPr="00633C83">
        <w:rPr>
          <w:rFonts w:eastAsia="Times New Roman"/>
          <w:sz w:val="20"/>
          <w:szCs w:val="20"/>
        </w:rPr>
        <w:t xml:space="preserve">G. </w:t>
      </w:r>
      <w:r w:rsidRPr="00633C83">
        <w:rPr>
          <w:rFonts w:eastAsia="Times New Roman"/>
          <w:smallCaps/>
          <w:sz w:val="20"/>
          <w:szCs w:val="20"/>
        </w:rPr>
        <w:t>Vanthemsche</w:t>
      </w:r>
      <w:r w:rsidRPr="00633C83">
        <w:rPr>
          <w:rFonts w:eastAsia="Times New Roman"/>
          <w:sz w:val="20"/>
          <w:szCs w:val="20"/>
        </w:rPr>
        <w:t xml:space="preserve">, </w:t>
      </w:r>
      <w:r w:rsidRPr="00633C83">
        <w:rPr>
          <w:rFonts w:eastAsia="Times New Roman"/>
          <w:i/>
          <w:sz w:val="20"/>
          <w:szCs w:val="20"/>
        </w:rPr>
        <w:t>La Belgique et le Congo. Empreinte d’une colonie 1885-1980</w:t>
      </w:r>
      <w:r w:rsidRPr="00633C83">
        <w:rPr>
          <w:rFonts w:eastAsia="Times New Roman"/>
          <w:sz w:val="20"/>
          <w:szCs w:val="20"/>
        </w:rPr>
        <w:t xml:space="preserve">, Bruxelles, éd. Complexe, 2007, p. 106-115. </w:t>
      </w:r>
    </w:p>
  </w:footnote>
  <w:footnote w:id="30">
    <w:p w14:paraId="5BA7339C" w14:textId="2AED6E12" w:rsidR="00553FCF" w:rsidRPr="006E41FE" w:rsidRDefault="00553FCF" w:rsidP="00553FCF">
      <w:pPr>
        <w:jc w:val="both"/>
        <w:rPr>
          <w:rFonts w:eastAsia="Times New Roman"/>
          <w:sz w:val="20"/>
          <w:szCs w:val="20"/>
          <w:lang w:val="en-US"/>
        </w:rPr>
      </w:pPr>
      <w:r w:rsidRPr="00633C83">
        <w:rPr>
          <w:sz w:val="20"/>
          <w:szCs w:val="20"/>
          <w:vertAlign w:val="superscript"/>
        </w:rPr>
        <w:footnoteRef/>
      </w:r>
      <w:r w:rsidRPr="006E41FE">
        <w:rPr>
          <w:rFonts w:eastAsia="Times New Roman"/>
          <w:sz w:val="20"/>
          <w:szCs w:val="20"/>
          <w:lang w:val="en-US"/>
        </w:rPr>
        <w:t xml:space="preserve"> </w:t>
      </w:r>
      <w:r w:rsidR="006E41FE">
        <w:rPr>
          <w:rFonts w:eastAsia="Times New Roman"/>
          <w:sz w:val="20"/>
          <w:szCs w:val="20"/>
          <w:lang w:val="en-US"/>
        </w:rPr>
        <w:t>E.</w:t>
      </w:r>
      <w:r w:rsidR="006E41FE" w:rsidRPr="006E41FE">
        <w:rPr>
          <w:rFonts w:eastAsia="Times New Roman"/>
          <w:sz w:val="20"/>
          <w:szCs w:val="20"/>
          <w:lang w:val="en-US"/>
        </w:rPr>
        <w:t xml:space="preserve"> </w:t>
      </w:r>
      <w:r w:rsidR="006E41FE" w:rsidRPr="006E41FE">
        <w:rPr>
          <w:rFonts w:eastAsia="Times New Roman"/>
          <w:smallCaps/>
          <w:sz w:val="20"/>
          <w:szCs w:val="20"/>
          <w:lang w:val="en-US"/>
        </w:rPr>
        <w:t>Schalbroeck</w:t>
      </w:r>
      <w:r w:rsidR="006E41FE">
        <w:rPr>
          <w:rFonts w:eastAsia="Times New Roman"/>
          <w:sz w:val="20"/>
          <w:szCs w:val="20"/>
          <w:lang w:val="en-US"/>
        </w:rPr>
        <w:t xml:space="preserve">, </w:t>
      </w:r>
      <w:r w:rsidR="006E41FE" w:rsidRPr="006E41FE">
        <w:rPr>
          <w:rFonts w:eastAsia="Times New Roman"/>
          <w:i/>
          <w:sz w:val="20"/>
          <w:szCs w:val="20"/>
          <w:lang w:val="en-US"/>
        </w:rPr>
        <w:t>The Commission for the Protection of the Natives and Belgian Colonialism, 1908-1957</w:t>
      </w:r>
      <w:r w:rsidR="006E41FE" w:rsidRPr="006E41FE">
        <w:rPr>
          <w:rFonts w:eastAsia="Times New Roman"/>
          <w:sz w:val="20"/>
          <w:szCs w:val="20"/>
          <w:lang w:val="en-US"/>
        </w:rPr>
        <w:t>, University of Cambridg</w:t>
      </w:r>
      <w:r w:rsidR="006E41FE">
        <w:rPr>
          <w:rFonts w:eastAsia="Times New Roman"/>
          <w:sz w:val="20"/>
          <w:szCs w:val="20"/>
          <w:lang w:val="en-US"/>
        </w:rPr>
        <w:t>e, PhD in History, submitted in September 2019</w:t>
      </w:r>
      <w:r w:rsidRPr="006E41FE">
        <w:rPr>
          <w:rFonts w:eastAsia="Times New Roman"/>
          <w:sz w:val="20"/>
          <w:szCs w:val="20"/>
          <w:lang w:val="en-US"/>
        </w:rPr>
        <w:t>.</w:t>
      </w:r>
    </w:p>
  </w:footnote>
  <w:footnote w:id="31">
    <w:p w14:paraId="6246F150" w14:textId="77777777" w:rsidR="00F76B76" w:rsidRPr="00633C83" w:rsidRDefault="00F76B76" w:rsidP="006C3C73">
      <w:pPr>
        <w:jc w:val="both"/>
        <w:rPr>
          <w:rFonts w:eastAsia="Times New Roman"/>
          <w:sz w:val="20"/>
          <w:szCs w:val="20"/>
        </w:rPr>
      </w:pPr>
      <w:r w:rsidRPr="00633C83">
        <w:rPr>
          <w:sz w:val="20"/>
          <w:szCs w:val="20"/>
          <w:vertAlign w:val="superscript"/>
        </w:rPr>
        <w:footnoteRef/>
      </w:r>
      <w:r w:rsidRPr="00633C83">
        <w:rPr>
          <w:rFonts w:eastAsia="Times New Roman"/>
          <w:sz w:val="20"/>
          <w:szCs w:val="20"/>
        </w:rPr>
        <w:t xml:space="preserve"> Cette nouvelle politique, portée par le ministre des Colonies Louis Franck. L. </w:t>
      </w:r>
      <w:r w:rsidRPr="00633C83">
        <w:rPr>
          <w:rFonts w:eastAsia="Times New Roman"/>
          <w:smallCaps/>
          <w:sz w:val="20"/>
          <w:szCs w:val="20"/>
        </w:rPr>
        <w:t xml:space="preserve">Franck, </w:t>
      </w:r>
      <w:r w:rsidRPr="00633C83">
        <w:rPr>
          <w:rFonts w:eastAsia="Times New Roman"/>
          <w:i/>
          <w:sz w:val="20"/>
          <w:szCs w:val="20"/>
        </w:rPr>
        <w:t>La politique indigène, le service territorial et les chefferies</w:t>
      </w:r>
      <w:r w:rsidRPr="00633C83">
        <w:rPr>
          <w:rFonts w:eastAsia="Times New Roman"/>
          <w:sz w:val="20"/>
          <w:szCs w:val="20"/>
        </w:rPr>
        <w:t xml:space="preserve">, dans </w:t>
      </w:r>
      <w:r w:rsidRPr="00633C83">
        <w:rPr>
          <w:rFonts w:eastAsia="Times New Roman"/>
          <w:i/>
          <w:sz w:val="20"/>
          <w:szCs w:val="20"/>
        </w:rPr>
        <w:t>Congo</w:t>
      </w:r>
      <w:r w:rsidRPr="00633C83">
        <w:rPr>
          <w:rFonts w:eastAsia="Times New Roman"/>
          <w:sz w:val="20"/>
          <w:szCs w:val="20"/>
        </w:rPr>
        <w:t>, t. I., 1921.</w:t>
      </w:r>
    </w:p>
  </w:footnote>
  <w:footnote w:id="32">
    <w:p w14:paraId="5DB39D47" w14:textId="4AC714DB" w:rsidR="00F76B76" w:rsidRPr="006E41FE" w:rsidRDefault="00F76B76" w:rsidP="00985819">
      <w:pPr>
        <w:pStyle w:val="Notedebasdepage"/>
        <w:rPr>
          <w:rFonts w:ascii="Times New Roman" w:hAnsi="Times New Roman" w:cs="Times New Roman"/>
          <w:szCs w:val="20"/>
        </w:rPr>
      </w:pPr>
      <w:r w:rsidRPr="00633C83">
        <w:rPr>
          <w:rStyle w:val="Appelnotedebasdep"/>
          <w:rFonts w:ascii="Times New Roman" w:hAnsi="Times New Roman" w:cs="Times New Roman"/>
          <w:sz w:val="20"/>
          <w:szCs w:val="20"/>
        </w:rPr>
        <w:footnoteRef/>
      </w:r>
      <w:r w:rsidRPr="00633C83">
        <w:rPr>
          <w:rFonts w:ascii="Times New Roman" w:hAnsi="Times New Roman" w:cs="Times New Roman"/>
          <w:szCs w:val="20"/>
        </w:rPr>
        <w:t xml:space="preserve"> A. </w:t>
      </w:r>
      <w:r w:rsidRPr="00633C83">
        <w:rPr>
          <w:rFonts w:ascii="Times New Roman" w:hAnsi="Times New Roman" w:cs="Times New Roman"/>
          <w:smallCaps/>
          <w:szCs w:val="20"/>
        </w:rPr>
        <w:t>Sohier</w:t>
      </w:r>
      <w:r w:rsidRPr="00633C83">
        <w:rPr>
          <w:rFonts w:ascii="Times New Roman" w:hAnsi="Times New Roman" w:cs="Times New Roman"/>
          <w:szCs w:val="20"/>
        </w:rPr>
        <w:t xml:space="preserve">, </w:t>
      </w:r>
      <w:r w:rsidRPr="00633C83">
        <w:rPr>
          <w:rFonts w:ascii="Times New Roman" w:hAnsi="Times New Roman" w:cs="Times New Roman"/>
          <w:i/>
          <w:iCs/>
          <w:szCs w:val="20"/>
        </w:rPr>
        <w:t>Le droit coutumier congolais. Branche nouvelle du droit</w:t>
      </w:r>
      <w:r w:rsidRPr="00633C83">
        <w:rPr>
          <w:rFonts w:ascii="Times New Roman" w:hAnsi="Times New Roman" w:cs="Times New Roman"/>
          <w:szCs w:val="20"/>
        </w:rPr>
        <w:t>, Élisabethville, Société d’études juridiques du Katanga, 1935.</w:t>
      </w:r>
      <w:r w:rsidR="006E41FE">
        <w:rPr>
          <w:rFonts w:ascii="Times New Roman" w:hAnsi="Times New Roman" w:cs="Times New Roman"/>
          <w:szCs w:val="20"/>
        </w:rPr>
        <w:t xml:space="preserve"> Voy. R. </w:t>
      </w:r>
      <w:r w:rsidR="006E41FE">
        <w:rPr>
          <w:rFonts w:ascii="Times New Roman" w:hAnsi="Times New Roman" w:cs="Times New Roman"/>
          <w:smallCaps/>
          <w:szCs w:val="20"/>
        </w:rPr>
        <w:t>Landmeters, N. Tousignant</w:t>
      </w:r>
      <w:r w:rsidR="006E41FE">
        <w:rPr>
          <w:rFonts w:ascii="Times New Roman" w:hAnsi="Times New Roman" w:cs="Times New Roman"/>
          <w:szCs w:val="20"/>
        </w:rPr>
        <w:t>, « </w:t>
      </w:r>
      <w:r w:rsidR="006E41FE" w:rsidRPr="006E41FE">
        <w:rPr>
          <w:rFonts w:ascii="Times New Roman" w:hAnsi="Times New Roman" w:cs="Times New Roman"/>
          <w:szCs w:val="20"/>
        </w:rPr>
        <w:t>Civiliser les « indigènes » par le droit</w:t>
      </w:r>
      <w:r w:rsidR="006E41FE">
        <w:rPr>
          <w:rFonts w:ascii="Times New Roman" w:hAnsi="Times New Roman" w:cs="Times New Roman"/>
          <w:szCs w:val="20"/>
        </w:rPr>
        <w:t xml:space="preserve">. </w:t>
      </w:r>
      <w:r w:rsidR="006E41FE" w:rsidRPr="006E41FE">
        <w:rPr>
          <w:rFonts w:ascii="Times New Roman" w:hAnsi="Times New Roman" w:cs="Times New Roman"/>
          <w:szCs w:val="20"/>
        </w:rPr>
        <w:t>Antoine Sohier et les revues juridiques coloniales (1925-1960)</w:t>
      </w:r>
      <w:r w:rsidR="006E41FE">
        <w:rPr>
          <w:rFonts w:ascii="Times New Roman" w:hAnsi="Times New Roman" w:cs="Times New Roman"/>
          <w:szCs w:val="20"/>
        </w:rPr>
        <w:t xml:space="preserve"> », </w:t>
      </w:r>
      <w:r w:rsidR="006E41FE">
        <w:rPr>
          <w:rFonts w:ascii="Times New Roman" w:hAnsi="Times New Roman" w:cs="Times New Roman"/>
          <w:i/>
          <w:szCs w:val="20"/>
        </w:rPr>
        <w:t>Revue interdisciplinaire d’études juridiques</w:t>
      </w:r>
      <w:r w:rsidR="006E41FE">
        <w:rPr>
          <w:rFonts w:ascii="Times New Roman" w:hAnsi="Times New Roman" w:cs="Times New Roman"/>
          <w:szCs w:val="20"/>
        </w:rPr>
        <w:t>, 2019, à paraître.</w:t>
      </w:r>
    </w:p>
  </w:footnote>
  <w:footnote w:id="33">
    <w:p w14:paraId="28808593" w14:textId="77777777" w:rsidR="00F76B76" w:rsidRPr="00633C83" w:rsidRDefault="00F76B76" w:rsidP="00453C28">
      <w:pPr>
        <w:pStyle w:val="Notedebasdepage"/>
        <w:rPr>
          <w:rFonts w:ascii="Times New Roman" w:hAnsi="Times New Roman" w:cs="Times New Roman"/>
          <w:szCs w:val="20"/>
        </w:rPr>
      </w:pPr>
      <w:r w:rsidRPr="00633C83">
        <w:rPr>
          <w:rStyle w:val="Appelnotedebasdep"/>
          <w:rFonts w:ascii="Times New Roman" w:hAnsi="Times New Roman" w:cs="Times New Roman"/>
          <w:sz w:val="20"/>
          <w:szCs w:val="20"/>
        </w:rPr>
        <w:footnoteRef/>
      </w:r>
      <w:r w:rsidRPr="00633C83">
        <w:rPr>
          <w:rFonts w:ascii="Times New Roman" w:hAnsi="Times New Roman" w:cs="Times New Roman"/>
          <w:szCs w:val="20"/>
        </w:rPr>
        <w:t xml:space="preserve"> A. </w:t>
      </w:r>
      <w:r w:rsidRPr="00633C83">
        <w:rPr>
          <w:rFonts w:ascii="Times New Roman" w:hAnsi="Times New Roman" w:cs="Times New Roman"/>
          <w:smallCaps/>
          <w:szCs w:val="20"/>
        </w:rPr>
        <w:t>Sohier</w:t>
      </w:r>
      <w:r w:rsidRPr="00633C83">
        <w:rPr>
          <w:rFonts w:ascii="Times New Roman" w:hAnsi="Times New Roman" w:cs="Times New Roman"/>
          <w:szCs w:val="20"/>
        </w:rPr>
        <w:t xml:space="preserve">, « Jurisprudence. Tribunal du Parquet du Rwanda, 12 novembre 1951. Tribunaux indigènes », </w:t>
      </w:r>
      <w:r w:rsidRPr="00633C83">
        <w:rPr>
          <w:rFonts w:ascii="Times New Roman" w:hAnsi="Times New Roman" w:cs="Times New Roman"/>
          <w:i/>
          <w:iCs/>
          <w:szCs w:val="20"/>
        </w:rPr>
        <w:t>JTOM</w:t>
      </w:r>
      <w:r w:rsidRPr="00633C83">
        <w:rPr>
          <w:rFonts w:ascii="Times New Roman" w:hAnsi="Times New Roman" w:cs="Times New Roman"/>
          <w:szCs w:val="20"/>
        </w:rPr>
        <w:t>, vol. 3, 15 février 1952, n° 20, p. 24.</w:t>
      </w:r>
    </w:p>
  </w:footnote>
  <w:footnote w:id="34">
    <w:p w14:paraId="24D2596E" w14:textId="2523C7B4" w:rsidR="00F76B76" w:rsidRPr="00633C83" w:rsidRDefault="00F76B76" w:rsidP="004C5F8A">
      <w:pPr>
        <w:pStyle w:val="Notedebasdepage"/>
        <w:rPr>
          <w:rFonts w:ascii="Times New Roman" w:hAnsi="Times New Roman" w:cs="Times New Roman"/>
          <w:szCs w:val="20"/>
        </w:rPr>
      </w:pPr>
      <w:r w:rsidRPr="00633C83">
        <w:rPr>
          <w:rStyle w:val="Appelnotedebasdep"/>
          <w:rFonts w:ascii="Times New Roman" w:hAnsi="Times New Roman" w:cs="Times New Roman"/>
          <w:sz w:val="20"/>
          <w:szCs w:val="20"/>
        </w:rPr>
        <w:footnoteRef/>
      </w:r>
      <w:r w:rsidRPr="00633C83">
        <w:rPr>
          <w:rFonts w:ascii="Times New Roman" w:hAnsi="Times New Roman" w:cs="Times New Roman"/>
          <w:szCs w:val="20"/>
        </w:rPr>
        <w:t xml:space="preserve"> Voy. notamment la Déclaration de l’Assemblée générale des Nations Unies du 4 décembre 1986 sur le droit au développement ; ainsi que A. </w:t>
      </w:r>
      <w:r w:rsidRPr="00633C83">
        <w:rPr>
          <w:rFonts w:ascii="Times New Roman" w:hAnsi="Times New Roman" w:cs="Times New Roman"/>
          <w:smallCaps/>
          <w:szCs w:val="20"/>
        </w:rPr>
        <w:t>Kerdoun</w:t>
      </w:r>
      <w:r w:rsidRPr="00633C83">
        <w:rPr>
          <w:rFonts w:ascii="Times New Roman" w:hAnsi="Times New Roman" w:cs="Times New Roman"/>
          <w:szCs w:val="20"/>
        </w:rPr>
        <w:t xml:space="preserve">, « Le droit au développement en tant que droit de l’homme : portée et limites », </w:t>
      </w:r>
      <w:r w:rsidRPr="00633C83">
        <w:rPr>
          <w:rFonts w:ascii="Times New Roman" w:hAnsi="Times New Roman" w:cs="Times New Roman"/>
          <w:i/>
          <w:szCs w:val="20"/>
        </w:rPr>
        <w:t>Revue québécoise de droit international</w:t>
      </w:r>
      <w:r w:rsidRPr="00633C83">
        <w:rPr>
          <w:rFonts w:ascii="Times New Roman" w:hAnsi="Times New Roman" w:cs="Times New Roman"/>
          <w:szCs w:val="20"/>
        </w:rPr>
        <w:t xml:space="preserve">, 2004, n° 17-1, p. 73-96 ; S. </w:t>
      </w:r>
      <w:r w:rsidRPr="00633C83">
        <w:rPr>
          <w:rFonts w:ascii="Times New Roman" w:hAnsi="Times New Roman" w:cs="Times New Roman"/>
          <w:smallCaps/>
          <w:szCs w:val="20"/>
        </w:rPr>
        <w:t>Marks</w:t>
      </w:r>
      <w:r w:rsidRPr="00633C83">
        <w:rPr>
          <w:rFonts w:ascii="Times New Roman" w:hAnsi="Times New Roman" w:cs="Times New Roman"/>
          <w:szCs w:val="20"/>
        </w:rPr>
        <w:t xml:space="preserve">, « The Human Right to Development : Between Rhetoric and Reality », </w:t>
      </w:r>
      <w:r w:rsidRPr="00633C83">
        <w:rPr>
          <w:rFonts w:ascii="Times New Roman" w:hAnsi="Times New Roman" w:cs="Times New Roman"/>
          <w:i/>
          <w:szCs w:val="20"/>
        </w:rPr>
        <w:t>Harvard Human Rights Journal</w:t>
      </w:r>
      <w:r w:rsidRPr="00633C83">
        <w:rPr>
          <w:rFonts w:ascii="Times New Roman" w:hAnsi="Times New Roman" w:cs="Times New Roman"/>
          <w:szCs w:val="20"/>
        </w:rPr>
        <w:t>, 2004, p. 137-168.</w:t>
      </w:r>
    </w:p>
  </w:footnote>
  <w:footnote w:id="35">
    <w:p w14:paraId="75F2A414" w14:textId="631F2F58" w:rsidR="00F76B76" w:rsidRPr="00633C83" w:rsidRDefault="00F76B76" w:rsidP="004C5F8A">
      <w:pPr>
        <w:pStyle w:val="Notedebasdepage"/>
        <w:rPr>
          <w:rFonts w:ascii="Times New Roman" w:hAnsi="Times New Roman" w:cs="Times New Roman"/>
          <w:szCs w:val="20"/>
          <w:lang w:val="en-US"/>
        </w:rPr>
      </w:pPr>
      <w:r w:rsidRPr="00633C83">
        <w:rPr>
          <w:rStyle w:val="Appelnotedebasdep"/>
          <w:rFonts w:ascii="Times New Roman" w:hAnsi="Times New Roman" w:cs="Times New Roman"/>
          <w:sz w:val="20"/>
          <w:szCs w:val="20"/>
        </w:rPr>
        <w:footnoteRef/>
      </w:r>
      <w:r w:rsidRPr="00633C83">
        <w:rPr>
          <w:rFonts w:ascii="Times New Roman" w:hAnsi="Times New Roman" w:cs="Times New Roman"/>
          <w:szCs w:val="20"/>
          <w:lang w:val="en-US"/>
        </w:rPr>
        <w:t xml:space="preserve"> H. </w:t>
      </w:r>
      <w:r w:rsidRPr="00633C83">
        <w:rPr>
          <w:rFonts w:ascii="Times New Roman" w:hAnsi="Times New Roman" w:cs="Times New Roman"/>
          <w:smallCaps/>
          <w:szCs w:val="20"/>
          <w:lang w:val="en-US"/>
        </w:rPr>
        <w:t>Lauterparcht</w:t>
      </w:r>
      <w:r w:rsidRPr="00633C83">
        <w:rPr>
          <w:rFonts w:ascii="Times New Roman" w:hAnsi="Times New Roman" w:cs="Times New Roman"/>
          <w:szCs w:val="20"/>
          <w:lang w:val="en-US"/>
        </w:rPr>
        <w:t xml:space="preserve">, </w:t>
      </w:r>
      <w:r w:rsidRPr="00633C83">
        <w:rPr>
          <w:rFonts w:ascii="Times New Roman" w:hAnsi="Times New Roman" w:cs="Times New Roman"/>
          <w:i/>
          <w:szCs w:val="20"/>
          <w:lang w:val="en-US"/>
        </w:rPr>
        <w:t>Recognition in International Law</w:t>
      </w:r>
      <w:r w:rsidRPr="00633C83">
        <w:rPr>
          <w:rFonts w:ascii="Times New Roman" w:hAnsi="Times New Roman" w:cs="Times New Roman"/>
          <w:szCs w:val="20"/>
          <w:lang w:val="en-US"/>
        </w:rPr>
        <w:t>, Cambridge, Cambridge University Press, 1947, p. 31.</w:t>
      </w:r>
    </w:p>
  </w:footnote>
  <w:footnote w:id="36">
    <w:p w14:paraId="2D4E3CC2" w14:textId="1D711D0A" w:rsidR="006E41FE" w:rsidRPr="006E41FE" w:rsidRDefault="006E41FE" w:rsidP="006E41FE">
      <w:pPr>
        <w:pStyle w:val="Notedebasdepage"/>
        <w:rPr>
          <w:rFonts w:ascii="Times New Roman" w:hAnsi="Times New Roman" w:cs="Times New Roman"/>
          <w:szCs w:val="20"/>
        </w:rPr>
      </w:pPr>
      <w:r w:rsidRPr="00633C83">
        <w:rPr>
          <w:rStyle w:val="Appelnotedebasdep"/>
          <w:rFonts w:ascii="Times New Roman" w:hAnsi="Times New Roman" w:cs="Times New Roman"/>
          <w:sz w:val="20"/>
          <w:szCs w:val="20"/>
        </w:rPr>
        <w:footnoteRef/>
      </w:r>
      <w:r w:rsidRPr="006E41FE">
        <w:rPr>
          <w:rFonts w:ascii="Times New Roman" w:hAnsi="Times New Roman" w:cs="Times New Roman"/>
          <w:szCs w:val="20"/>
        </w:rPr>
        <w:t xml:space="preserve"> </w:t>
      </w:r>
      <w:r w:rsidRPr="006E41FE">
        <w:rPr>
          <w:rFonts w:ascii="Times New Roman" w:hAnsi="Times New Roman" w:cs="Times New Roman"/>
          <w:szCs w:val="20"/>
        </w:rPr>
        <w:t>W. B</w:t>
      </w:r>
      <w:r w:rsidRPr="006E41FE">
        <w:rPr>
          <w:rFonts w:ascii="Times New Roman" w:hAnsi="Times New Roman" w:cs="Times New Roman"/>
          <w:smallCaps/>
          <w:szCs w:val="20"/>
        </w:rPr>
        <w:t>usane</w:t>
      </w:r>
      <w:r w:rsidRPr="006E41FE">
        <w:rPr>
          <w:rFonts w:ascii="Times New Roman" w:hAnsi="Times New Roman" w:cs="Times New Roman"/>
          <w:szCs w:val="20"/>
        </w:rPr>
        <w:t xml:space="preserve">, “La notion de civilisation en droit colonial belge postérieur à la Seconde Guerre mondiale et en droit congolais postérieur à l’indépendance”, </w:t>
      </w:r>
      <w:r w:rsidRPr="006E41FE">
        <w:rPr>
          <w:rFonts w:ascii="Times New Roman" w:hAnsi="Times New Roman" w:cs="Times New Roman"/>
          <w:i/>
          <w:szCs w:val="20"/>
        </w:rPr>
        <w:t>Revue interdisciplinaire d’études juridiques</w:t>
      </w:r>
      <w:r w:rsidRPr="006E41FE">
        <w:rPr>
          <w:rFonts w:ascii="Times New Roman" w:hAnsi="Times New Roman" w:cs="Times New Roman"/>
          <w:szCs w:val="20"/>
        </w:rPr>
        <w:t>, 2019, à paraître</w:t>
      </w:r>
      <w:r w:rsidRPr="006E41FE">
        <w:rPr>
          <w:rFonts w:ascii="Times New Roman" w:hAnsi="Times New Roman" w:cs="Times New Roman"/>
          <w:szCs w:val="20"/>
        </w:rPr>
        <w:t>.</w:t>
      </w:r>
    </w:p>
  </w:footnote>
  <w:footnote w:id="37">
    <w:p w14:paraId="34A9717A" w14:textId="77777777" w:rsidR="00F76B76" w:rsidRPr="00633C83" w:rsidRDefault="00F76B76" w:rsidP="0000257C">
      <w:pPr>
        <w:pStyle w:val="Notedebasdepage"/>
        <w:rPr>
          <w:rFonts w:ascii="Times New Roman" w:hAnsi="Times New Roman" w:cs="Times New Roman"/>
          <w:szCs w:val="20"/>
        </w:rPr>
      </w:pPr>
      <w:r w:rsidRPr="00633C83">
        <w:rPr>
          <w:rStyle w:val="Appelnotedebasdep"/>
          <w:rFonts w:ascii="Times New Roman" w:hAnsi="Times New Roman" w:cs="Times New Roman"/>
          <w:sz w:val="20"/>
          <w:szCs w:val="20"/>
        </w:rPr>
        <w:footnoteRef/>
      </w:r>
      <w:r w:rsidRPr="00633C83">
        <w:rPr>
          <w:rFonts w:ascii="Times New Roman" w:hAnsi="Times New Roman" w:cs="Times New Roman"/>
          <w:szCs w:val="20"/>
        </w:rPr>
        <w:t xml:space="preserve"> Elisabethville, 9 janvier 1954, </w:t>
      </w:r>
      <w:r w:rsidRPr="00633C83">
        <w:rPr>
          <w:rFonts w:ascii="Times New Roman" w:hAnsi="Times New Roman" w:cs="Times New Roman"/>
          <w:i/>
          <w:szCs w:val="20"/>
        </w:rPr>
        <w:t>Journal des tribunaux d’outre-mer</w:t>
      </w:r>
      <w:r w:rsidRPr="00633C83">
        <w:rPr>
          <w:rFonts w:ascii="Times New Roman" w:hAnsi="Times New Roman" w:cs="Times New Roman"/>
          <w:szCs w:val="20"/>
        </w:rPr>
        <w:t xml:space="preserve">, 1955, p. 6. </w:t>
      </w:r>
    </w:p>
  </w:footnote>
  <w:footnote w:id="38">
    <w:p w14:paraId="23974E86" w14:textId="0795852C" w:rsidR="006E41FE" w:rsidRPr="006E41FE" w:rsidRDefault="006E41FE" w:rsidP="006E41FE">
      <w:pPr>
        <w:pStyle w:val="Notedebasdepage"/>
        <w:rPr>
          <w:rFonts w:ascii="Times New Roman" w:hAnsi="Times New Roman" w:cs="Times New Roman"/>
          <w:szCs w:val="20"/>
        </w:rPr>
      </w:pPr>
      <w:r w:rsidRPr="00633C83">
        <w:rPr>
          <w:rStyle w:val="Appelnotedebasdep"/>
          <w:rFonts w:ascii="Times New Roman" w:hAnsi="Times New Roman" w:cs="Times New Roman"/>
          <w:sz w:val="20"/>
          <w:szCs w:val="20"/>
        </w:rPr>
        <w:footnoteRef/>
      </w:r>
      <w:r w:rsidRPr="006E41FE">
        <w:rPr>
          <w:rFonts w:ascii="Times New Roman" w:hAnsi="Times New Roman" w:cs="Times New Roman"/>
          <w:szCs w:val="20"/>
        </w:rPr>
        <w:t xml:space="preserve"> W. B</w:t>
      </w:r>
      <w:r w:rsidRPr="006E41FE">
        <w:rPr>
          <w:rFonts w:ascii="Times New Roman" w:hAnsi="Times New Roman" w:cs="Times New Roman"/>
          <w:smallCaps/>
          <w:szCs w:val="20"/>
        </w:rPr>
        <w:t>usane</w:t>
      </w:r>
      <w:r w:rsidRPr="006E41FE">
        <w:rPr>
          <w:rFonts w:ascii="Times New Roman" w:hAnsi="Times New Roman" w:cs="Times New Roman"/>
          <w:szCs w:val="20"/>
        </w:rPr>
        <w:t>, “La notion de civilisation</w:t>
      </w:r>
      <w:r>
        <w:rPr>
          <w:rFonts w:ascii="Times New Roman" w:hAnsi="Times New Roman" w:cs="Times New Roman"/>
          <w:szCs w:val="20"/>
        </w:rPr>
        <w:t>…"</w:t>
      </w:r>
      <w:r w:rsidRPr="006E41FE">
        <w:rPr>
          <w:rFonts w:ascii="Times New Roman" w:hAnsi="Times New Roman" w:cs="Times New Roman"/>
          <w:szCs w:val="20"/>
        </w:rPr>
        <w:t xml:space="preserve">, </w:t>
      </w:r>
      <w:r>
        <w:rPr>
          <w:rFonts w:ascii="Times New Roman" w:hAnsi="Times New Roman" w:cs="Times New Roman"/>
          <w:i/>
          <w:szCs w:val="20"/>
        </w:rPr>
        <w:t>op.cit</w:t>
      </w:r>
      <w:r w:rsidRPr="006E41FE">
        <w:rPr>
          <w:rFonts w:ascii="Times New Roman" w:hAnsi="Times New Roman" w:cs="Times New Roman"/>
          <w:szCs w:val="20"/>
        </w:rPr>
        <w:t>.</w:t>
      </w:r>
    </w:p>
  </w:footnote>
  <w:footnote w:id="39">
    <w:p w14:paraId="52E43C29" w14:textId="148D5A62" w:rsidR="00F76B76" w:rsidRPr="00633C83" w:rsidRDefault="00F76B76" w:rsidP="00DF5EFF">
      <w:pPr>
        <w:pStyle w:val="Notedebasdepage"/>
        <w:rPr>
          <w:rFonts w:ascii="Times New Roman" w:hAnsi="Times New Roman" w:cs="Times New Roman"/>
          <w:color w:val="FF0000"/>
          <w:szCs w:val="20"/>
        </w:rPr>
      </w:pPr>
      <w:r w:rsidRPr="00633C83">
        <w:rPr>
          <w:rStyle w:val="Appelnotedebasdep"/>
          <w:rFonts w:ascii="Times New Roman" w:hAnsi="Times New Roman" w:cs="Times New Roman"/>
          <w:sz w:val="20"/>
          <w:szCs w:val="20"/>
        </w:rPr>
        <w:footnoteRef/>
      </w:r>
      <w:r w:rsidRPr="00633C83">
        <w:rPr>
          <w:rFonts w:ascii="Times New Roman" w:hAnsi="Times New Roman" w:cs="Times New Roman"/>
          <w:szCs w:val="20"/>
        </w:rPr>
        <w:t xml:space="preserve"> </w:t>
      </w:r>
      <w:r w:rsidRPr="00633C83">
        <w:rPr>
          <w:rFonts w:ascii="Times New Roman" w:hAnsi="Times New Roman" w:cs="Times New Roman"/>
          <w:szCs w:val="20"/>
          <w:lang w:eastAsia="ja-JP"/>
        </w:rPr>
        <w:t xml:space="preserve">L’abandon du nom confessionnel d’origine chrétienne a été décidé le 15 février 1972. </w:t>
      </w:r>
      <w:r w:rsidRPr="00633C83">
        <w:rPr>
          <w:rFonts w:ascii="Times New Roman" w:hAnsi="Times New Roman" w:cs="Times New Roman"/>
          <w:szCs w:val="20"/>
        </w:rPr>
        <w:t xml:space="preserve">Il semblerait que « L’ordonnance-loi du 30 août 1972 introduisit même un article dans le Code pénal menaçant de sanctions pénales le ministre du Culte qui conférerait un prénom étranger à un adepte zaïrois lors du baptême », I. </w:t>
      </w:r>
      <w:r w:rsidRPr="00633C83">
        <w:rPr>
          <w:rFonts w:ascii="Times New Roman" w:hAnsi="Times New Roman" w:cs="Times New Roman"/>
          <w:smallCaps/>
          <w:szCs w:val="20"/>
        </w:rPr>
        <w:t>Ndaywel è Nziem</w:t>
      </w:r>
      <w:r w:rsidRPr="00633C83">
        <w:rPr>
          <w:rFonts w:ascii="Times New Roman" w:hAnsi="Times New Roman" w:cs="Times New Roman"/>
          <w:szCs w:val="20"/>
        </w:rPr>
        <w:t xml:space="preserve">, « De l’authenticité à la libération : se prénommer en République Démocratique du Congo », </w:t>
      </w:r>
      <w:r w:rsidRPr="00633C83">
        <w:rPr>
          <w:rFonts w:ascii="Times New Roman" w:hAnsi="Times New Roman" w:cs="Times New Roman"/>
          <w:i/>
          <w:szCs w:val="20"/>
        </w:rPr>
        <w:t>Politique africaine</w:t>
      </w:r>
      <w:r w:rsidRPr="00633C83">
        <w:rPr>
          <w:rFonts w:ascii="Times New Roman" w:hAnsi="Times New Roman" w:cs="Times New Roman"/>
          <w:szCs w:val="20"/>
        </w:rPr>
        <w:t>,</w:t>
      </w:r>
      <w:r w:rsidRPr="00633C83">
        <w:rPr>
          <w:rFonts w:ascii="Times New Roman" w:hAnsi="Times New Roman" w:cs="Times New Roman"/>
          <w:i/>
          <w:szCs w:val="20"/>
        </w:rPr>
        <w:t xml:space="preserve"> </w:t>
      </w:r>
      <w:r w:rsidR="00A7000A">
        <w:rPr>
          <w:rFonts w:ascii="Times New Roman" w:hAnsi="Times New Roman" w:cs="Times New Roman"/>
          <w:szCs w:val="20"/>
        </w:rPr>
        <w:t>n° </w:t>
      </w:r>
      <w:r w:rsidRPr="00633C83">
        <w:rPr>
          <w:rFonts w:ascii="Times New Roman" w:hAnsi="Times New Roman" w:cs="Times New Roman"/>
          <w:szCs w:val="20"/>
        </w:rPr>
        <w:t>72, décembre 1998, p. 103.</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6D768E"/>
    <w:multiLevelType w:val="hybridMultilevel"/>
    <w:tmpl w:val="E056FC94"/>
    <w:lvl w:ilvl="0" w:tplc="33A00BCC">
      <w:start w:val="4"/>
      <w:numFmt w:val="bullet"/>
      <w:lvlText w:val="-"/>
      <w:lvlJc w:val="left"/>
      <w:pPr>
        <w:ind w:left="720" w:hanging="360"/>
      </w:pPr>
      <w:rPr>
        <w:rFonts w:ascii="Times" w:eastAsiaTheme="minorEastAsia" w:hAnsi="Times" w:cs="Time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F1804AE"/>
    <w:multiLevelType w:val="multilevel"/>
    <w:tmpl w:val="7DB6232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embedSystemFonts/>
  <w:defaultTabStop w:val="708"/>
  <w:hyphenationZone w:val="425"/>
  <w:displayHorizontalDrawingGridEvery w:val="0"/>
  <w:displayVerticalDrawingGridEvery w:val="0"/>
  <w:doNotUseMarginsForDrawingGridOrigin/>
  <w:noPunctuationKerning/>
  <w:characterSpacingControl w:val="doNotCompress"/>
  <w:savePreviewPicture/>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20E0"/>
    <w:rsid w:val="0000257C"/>
    <w:rsid w:val="0001173E"/>
    <w:rsid w:val="000136CD"/>
    <w:rsid w:val="000139CE"/>
    <w:rsid w:val="00016981"/>
    <w:rsid w:val="000213AE"/>
    <w:rsid w:val="00031A5B"/>
    <w:rsid w:val="00032277"/>
    <w:rsid w:val="0004464B"/>
    <w:rsid w:val="00054DEB"/>
    <w:rsid w:val="000630A1"/>
    <w:rsid w:val="00063589"/>
    <w:rsid w:val="00063E7C"/>
    <w:rsid w:val="000731BE"/>
    <w:rsid w:val="00073C36"/>
    <w:rsid w:val="00082E7D"/>
    <w:rsid w:val="000838B3"/>
    <w:rsid w:val="00084C27"/>
    <w:rsid w:val="00090160"/>
    <w:rsid w:val="00097424"/>
    <w:rsid w:val="000A7D7E"/>
    <w:rsid w:val="000B06DB"/>
    <w:rsid w:val="000B1098"/>
    <w:rsid w:val="000C50A1"/>
    <w:rsid w:val="000D53B6"/>
    <w:rsid w:val="000D7BB8"/>
    <w:rsid w:val="000E2046"/>
    <w:rsid w:val="000F2345"/>
    <w:rsid w:val="000F4954"/>
    <w:rsid w:val="00107B49"/>
    <w:rsid w:val="00110AD8"/>
    <w:rsid w:val="001123D2"/>
    <w:rsid w:val="0011559F"/>
    <w:rsid w:val="00116A09"/>
    <w:rsid w:val="0012047A"/>
    <w:rsid w:val="00122520"/>
    <w:rsid w:val="00136F97"/>
    <w:rsid w:val="00137CBC"/>
    <w:rsid w:val="00140FA0"/>
    <w:rsid w:val="00142560"/>
    <w:rsid w:val="00155B58"/>
    <w:rsid w:val="0015601C"/>
    <w:rsid w:val="00157FC5"/>
    <w:rsid w:val="00160B5C"/>
    <w:rsid w:val="00161219"/>
    <w:rsid w:val="00174747"/>
    <w:rsid w:val="00187475"/>
    <w:rsid w:val="001974AE"/>
    <w:rsid w:val="001A303A"/>
    <w:rsid w:val="001A47BF"/>
    <w:rsid w:val="001A6477"/>
    <w:rsid w:val="001B2CBB"/>
    <w:rsid w:val="001B596D"/>
    <w:rsid w:val="001C02D2"/>
    <w:rsid w:val="001C2227"/>
    <w:rsid w:val="001D64D4"/>
    <w:rsid w:val="001D680F"/>
    <w:rsid w:val="001E0703"/>
    <w:rsid w:val="001E188E"/>
    <w:rsid w:val="001F4DBF"/>
    <w:rsid w:val="002019F3"/>
    <w:rsid w:val="002217DB"/>
    <w:rsid w:val="00230EC1"/>
    <w:rsid w:val="0023193E"/>
    <w:rsid w:val="002343F6"/>
    <w:rsid w:val="002344C7"/>
    <w:rsid w:val="00242FED"/>
    <w:rsid w:val="002441D6"/>
    <w:rsid w:val="00253AAE"/>
    <w:rsid w:val="0025527D"/>
    <w:rsid w:val="00255F1E"/>
    <w:rsid w:val="002567AF"/>
    <w:rsid w:val="002635BD"/>
    <w:rsid w:val="00267FE1"/>
    <w:rsid w:val="00271DF9"/>
    <w:rsid w:val="00275CFE"/>
    <w:rsid w:val="00286576"/>
    <w:rsid w:val="002874B3"/>
    <w:rsid w:val="002A187B"/>
    <w:rsid w:val="002A5606"/>
    <w:rsid w:val="002A65D0"/>
    <w:rsid w:val="002A676E"/>
    <w:rsid w:val="002B3513"/>
    <w:rsid w:val="002B3FE6"/>
    <w:rsid w:val="002B4703"/>
    <w:rsid w:val="002C52EA"/>
    <w:rsid w:val="002C6E66"/>
    <w:rsid w:val="002E322A"/>
    <w:rsid w:val="002E3496"/>
    <w:rsid w:val="002E5CDF"/>
    <w:rsid w:val="002E5FB6"/>
    <w:rsid w:val="002E7EB7"/>
    <w:rsid w:val="002F2D01"/>
    <w:rsid w:val="002F3482"/>
    <w:rsid w:val="003160AD"/>
    <w:rsid w:val="00317E76"/>
    <w:rsid w:val="00322C0D"/>
    <w:rsid w:val="0032632E"/>
    <w:rsid w:val="0033481F"/>
    <w:rsid w:val="003370C1"/>
    <w:rsid w:val="00346461"/>
    <w:rsid w:val="00354C38"/>
    <w:rsid w:val="003569A0"/>
    <w:rsid w:val="00360BDD"/>
    <w:rsid w:val="00362A77"/>
    <w:rsid w:val="00363998"/>
    <w:rsid w:val="0036551C"/>
    <w:rsid w:val="003755BB"/>
    <w:rsid w:val="00376A27"/>
    <w:rsid w:val="00387193"/>
    <w:rsid w:val="00390003"/>
    <w:rsid w:val="0039028F"/>
    <w:rsid w:val="00390680"/>
    <w:rsid w:val="00393DCB"/>
    <w:rsid w:val="003A6299"/>
    <w:rsid w:val="003B0F2E"/>
    <w:rsid w:val="003B60CB"/>
    <w:rsid w:val="003B7410"/>
    <w:rsid w:val="003C08A6"/>
    <w:rsid w:val="003C0F35"/>
    <w:rsid w:val="003C3FD6"/>
    <w:rsid w:val="003F18BB"/>
    <w:rsid w:val="003F40A6"/>
    <w:rsid w:val="003F7814"/>
    <w:rsid w:val="00405106"/>
    <w:rsid w:val="00414B77"/>
    <w:rsid w:val="00416CC8"/>
    <w:rsid w:val="004215DD"/>
    <w:rsid w:val="00425A63"/>
    <w:rsid w:val="004325A0"/>
    <w:rsid w:val="00433986"/>
    <w:rsid w:val="0044401B"/>
    <w:rsid w:val="004448A9"/>
    <w:rsid w:val="00444D5B"/>
    <w:rsid w:val="00444E07"/>
    <w:rsid w:val="00450F2C"/>
    <w:rsid w:val="00453C28"/>
    <w:rsid w:val="004561C1"/>
    <w:rsid w:val="004571AD"/>
    <w:rsid w:val="004574AD"/>
    <w:rsid w:val="0046218D"/>
    <w:rsid w:val="00464E2E"/>
    <w:rsid w:val="004655F1"/>
    <w:rsid w:val="00465F7F"/>
    <w:rsid w:val="0047061B"/>
    <w:rsid w:val="00473C68"/>
    <w:rsid w:val="004764EC"/>
    <w:rsid w:val="004777FB"/>
    <w:rsid w:val="004847A2"/>
    <w:rsid w:val="00486C53"/>
    <w:rsid w:val="0049384E"/>
    <w:rsid w:val="00497B38"/>
    <w:rsid w:val="004A30E3"/>
    <w:rsid w:val="004A6652"/>
    <w:rsid w:val="004B25A6"/>
    <w:rsid w:val="004B5854"/>
    <w:rsid w:val="004B5888"/>
    <w:rsid w:val="004B5A0E"/>
    <w:rsid w:val="004C3DE0"/>
    <w:rsid w:val="004C5F8A"/>
    <w:rsid w:val="004D4BDD"/>
    <w:rsid w:val="004D7240"/>
    <w:rsid w:val="004E239D"/>
    <w:rsid w:val="004E2B46"/>
    <w:rsid w:val="004E3165"/>
    <w:rsid w:val="004E56A7"/>
    <w:rsid w:val="004F2E07"/>
    <w:rsid w:val="004F5706"/>
    <w:rsid w:val="005171D7"/>
    <w:rsid w:val="00523141"/>
    <w:rsid w:val="00530677"/>
    <w:rsid w:val="0053193C"/>
    <w:rsid w:val="00533516"/>
    <w:rsid w:val="00535DD3"/>
    <w:rsid w:val="005409FB"/>
    <w:rsid w:val="00543F1C"/>
    <w:rsid w:val="00545297"/>
    <w:rsid w:val="00553FCF"/>
    <w:rsid w:val="00556BE4"/>
    <w:rsid w:val="00557125"/>
    <w:rsid w:val="0056193E"/>
    <w:rsid w:val="00574033"/>
    <w:rsid w:val="005744CF"/>
    <w:rsid w:val="00575FE0"/>
    <w:rsid w:val="00581B9F"/>
    <w:rsid w:val="0058275F"/>
    <w:rsid w:val="00584438"/>
    <w:rsid w:val="005909D9"/>
    <w:rsid w:val="00594381"/>
    <w:rsid w:val="00595DC1"/>
    <w:rsid w:val="005977E0"/>
    <w:rsid w:val="005A2E2A"/>
    <w:rsid w:val="005A5399"/>
    <w:rsid w:val="005B0B64"/>
    <w:rsid w:val="005C6290"/>
    <w:rsid w:val="005D3FE3"/>
    <w:rsid w:val="005D5CB2"/>
    <w:rsid w:val="005F4C1B"/>
    <w:rsid w:val="00605A1C"/>
    <w:rsid w:val="00606062"/>
    <w:rsid w:val="00613F72"/>
    <w:rsid w:val="0062116B"/>
    <w:rsid w:val="00622353"/>
    <w:rsid w:val="0063358A"/>
    <w:rsid w:val="00633C83"/>
    <w:rsid w:val="0063523F"/>
    <w:rsid w:val="00636A4A"/>
    <w:rsid w:val="00642061"/>
    <w:rsid w:val="00651A23"/>
    <w:rsid w:val="00660AAD"/>
    <w:rsid w:val="00665775"/>
    <w:rsid w:val="006675BA"/>
    <w:rsid w:val="00667D57"/>
    <w:rsid w:val="00670D77"/>
    <w:rsid w:val="00670F37"/>
    <w:rsid w:val="00671C80"/>
    <w:rsid w:val="00673825"/>
    <w:rsid w:val="00677A3E"/>
    <w:rsid w:val="00677AF2"/>
    <w:rsid w:val="00685048"/>
    <w:rsid w:val="00687A6F"/>
    <w:rsid w:val="00697275"/>
    <w:rsid w:val="006A26BC"/>
    <w:rsid w:val="006A7E6B"/>
    <w:rsid w:val="006B49A6"/>
    <w:rsid w:val="006B6FD7"/>
    <w:rsid w:val="006C1837"/>
    <w:rsid w:val="006C3C73"/>
    <w:rsid w:val="006C47E3"/>
    <w:rsid w:val="006C5EAE"/>
    <w:rsid w:val="006D52E9"/>
    <w:rsid w:val="006E41FE"/>
    <w:rsid w:val="006E6CDD"/>
    <w:rsid w:val="006E7B6D"/>
    <w:rsid w:val="006F2B21"/>
    <w:rsid w:val="0070033B"/>
    <w:rsid w:val="00701BFB"/>
    <w:rsid w:val="00704F2A"/>
    <w:rsid w:val="007070AE"/>
    <w:rsid w:val="00711334"/>
    <w:rsid w:val="00721ABE"/>
    <w:rsid w:val="007257E1"/>
    <w:rsid w:val="00727E25"/>
    <w:rsid w:val="00737708"/>
    <w:rsid w:val="007428B2"/>
    <w:rsid w:val="00745073"/>
    <w:rsid w:val="007507C6"/>
    <w:rsid w:val="00752BED"/>
    <w:rsid w:val="00753187"/>
    <w:rsid w:val="00760B74"/>
    <w:rsid w:val="00762D2D"/>
    <w:rsid w:val="0076407E"/>
    <w:rsid w:val="00765FC5"/>
    <w:rsid w:val="007755E9"/>
    <w:rsid w:val="007773AE"/>
    <w:rsid w:val="0078305A"/>
    <w:rsid w:val="00786E2A"/>
    <w:rsid w:val="0079144C"/>
    <w:rsid w:val="00791C69"/>
    <w:rsid w:val="0079477A"/>
    <w:rsid w:val="00797E3E"/>
    <w:rsid w:val="007C09CB"/>
    <w:rsid w:val="007C129E"/>
    <w:rsid w:val="007D3F8B"/>
    <w:rsid w:val="007D57B9"/>
    <w:rsid w:val="007D60E1"/>
    <w:rsid w:val="007D64F4"/>
    <w:rsid w:val="007D741F"/>
    <w:rsid w:val="007E2797"/>
    <w:rsid w:val="007E3304"/>
    <w:rsid w:val="007E3C3A"/>
    <w:rsid w:val="007F2A29"/>
    <w:rsid w:val="007F4348"/>
    <w:rsid w:val="007F5037"/>
    <w:rsid w:val="00805FFD"/>
    <w:rsid w:val="008203E7"/>
    <w:rsid w:val="00820FE9"/>
    <w:rsid w:val="00821EC4"/>
    <w:rsid w:val="008261C0"/>
    <w:rsid w:val="008271B5"/>
    <w:rsid w:val="008277A3"/>
    <w:rsid w:val="00831F14"/>
    <w:rsid w:val="00834F12"/>
    <w:rsid w:val="008401F9"/>
    <w:rsid w:val="00840DD0"/>
    <w:rsid w:val="008415DF"/>
    <w:rsid w:val="0084243D"/>
    <w:rsid w:val="00842506"/>
    <w:rsid w:val="00846A3C"/>
    <w:rsid w:val="00847BBE"/>
    <w:rsid w:val="0085060C"/>
    <w:rsid w:val="00851082"/>
    <w:rsid w:val="00852D68"/>
    <w:rsid w:val="00853864"/>
    <w:rsid w:val="00854658"/>
    <w:rsid w:val="008551B6"/>
    <w:rsid w:val="00856578"/>
    <w:rsid w:val="00857195"/>
    <w:rsid w:val="00860E87"/>
    <w:rsid w:val="00863077"/>
    <w:rsid w:val="00865F84"/>
    <w:rsid w:val="00867403"/>
    <w:rsid w:val="00872C37"/>
    <w:rsid w:val="0087550C"/>
    <w:rsid w:val="00877ACA"/>
    <w:rsid w:val="00883B17"/>
    <w:rsid w:val="00887486"/>
    <w:rsid w:val="00890CBC"/>
    <w:rsid w:val="00891B2E"/>
    <w:rsid w:val="00892894"/>
    <w:rsid w:val="008929C7"/>
    <w:rsid w:val="008A2CCD"/>
    <w:rsid w:val="008A621F"/>
    <w:rsid w:val="008B0AA6"/>
    <w:rsid w:val="008B19EC"/>
    <w:rsid w:val="008B5944"/>
    <w:rsid w:val="008C0AA2"/>
    <w:rsid w:val="008C11E7"/>
    <w:rsid w:val="008D45BD"/>
    <w:rsid w:val="008D5A7F"/>
    <w:rsid w:val="008E3B39"/>
    <w:rsid w:val="008F3A16"/>
    <w:rsid w:val="009066A9"/>
    <w:rsid w:val="00924201"/>
    <w:rsid w:val="00924229"/>
    <w:rsid w:val="00925D30"/>
    <w:rsid w:val="009341A2"/>
    <w:rsid w:val="00934A8F"/>
    <w:rsid w:val="00953AA3"/>
    <w:rsid w:val="0096453D"/>
    <w:rsid w:val="00966410"/>
    <w:rsid w:val="00971634"/>
    <w:rsid w:val="00973DD2"/>
    <w:rsid w:val="009768DE"/>
    <w:rsid w:val="00985819"/>
    <w:rsid w:val="009859FF"/>
    <w:rsid w:val="0099220E"/>
    <w:rsid w:val="00993BC3"/>
    <w:rsid w:val="009A3DCD"/>
    <w:rsid w:val="009A6211"/>
    <w:rsid w:val="009B5955"/>
    <w:rsid w:val="009B69AE"/>
    <w:rsid w:val="009C0A19"/>
    <w:rsid w:val="009C1D44"/>
    <w:rsid w:val="009C28BC"/>
    <w:rsid w:val="009C4C4C"/>
    <w:rsid w:val="009C6A74"/>
    <w:rsid w:val="009D04F4"/>
    <w:rsid w:val="009D3D1E"/>
    <w:rsid w:val="009D5785"/>
    <w:rsid w:val="009E6083"/>
    <w:rsid w:val="009E7C11"/>
    <w:rsid w:val="009F130D"/>
    <w:rsid w:val="009F510C"/>
    <w:rsid w:val="00A00B93"/>
    <w:rsid w:val="00A00C88"/>
    <w:rsid w:val="00A04021"/>
    <w:rsid w:val="00A051E5"/>
    <w:rsid w:val="00A12E70"/>
    <w:rsid w:val="00A16051"/>
    <w:rsid w:val="00A171C5"/>
    <w:rsid w:val="00A20D57"/>
    <w:rsid w:val="00A21C32"/>
    <w:rsid w:val="00A21E7C"/>
    <w:rsid w:val="00A30CCF"/>
    <w:rsid w:val="00A332E5"/>
    <w:rsid w:val="00A56AD9"/>
    <w:rsid w:val="00A60A1D"/>
    <w:rsid w:val="00A7000A"/>
    <w:rsid w:val="00A75CB8"/>
    <w:rsid w:val="00A75E4A"/>
    <w:rsid w:val="00A76B0D"/>
    <w:rsid w:val="00A812B3"/>
    <w:rsid w:val="00A86C60"/>
    <w:rsid w:val="00A90D9E"/>
    <w:rsid w:val="00A969A9"/>
    <w:rsid w:val="00AA007A"/>
    <w:rsid w:val="00AA0F3F"/>
    <w:rsid w:val="00AA3334"/>
    <w:rsid w:val="00AA33CE"/>
    <w:rsid w:val="00AA7486"/>
    <w:rsid w:val="00AB054E"/>
    <w:rsid w:val="00AB4C49"/>
    <w:rsid w:val="00AD1FE3"/>
    <w:rsid w:val="00AD34F4"/>
    <w:rsid w:val="00AD42C1"/>
    <w:rsid w:val="00AD664E"/>
    <w:rsid w:val="00AD69E8"/>
    <w:rsid w:val="00AE23A8"/>
    <w:rsid w:val="00AF20E0"/>
    <w:rsid w:val="00AF26A0"/>
    <w:rsid w:val="00AF3B29"/>
    <w:rsid w:val="00B003BB"/>
    <w:rsid w:val="00B01F99"/>
    <w:rsid w:val="00B02F1F"/>
    <w:rsid w:val="00B0472B"/>
    <w:rsid w:val="00B11247"/>
    <w:rsid w:val="00B13B25"/>
    <w:rsid w:val="00B37BC4"/>
    <w:rsid w:val="00B410E0"/>
    <w:rsid w:val="00B4643F"/>
    <w:rsid w:val="00B53785"/>
    <w:rsid w:val="00B550DE"/>
    <w:rsid w:val="00B67C17"/>
    <w:rsid w:val="00B67F0C"/>
    <w:rsid w:val="00B70549"/>
    <w:rsid w:val="00B7441C"/>
    <w:rsid w:val="00B8356C"/>
    <w:rsid w:val="00B868EA"/>
    <w:rsid w:val="00B90068"/>
    <w:rsid w:val="00B9363D"/>
    <w:rsid w:val="00BA3DB7"/>
    <w:rsid w:val="00BB7059"/>
    <w:rsid w:val="00BC3F81"/>
    <w:rsid w:val="00BC4598"/>
    <w:rsid w:val="00BC778B"/>
    <w:rsid w:val="00BD40A7"/>
    <w:rsid w:val="00BF2CFB"/>
    <w:rsid w:val="00BF60B1"/>
    <w:rsid w:val="00BF614E"/>
    <w:rsid w:val="00C00ABB"/>
    <w:rsid w:val="00C01503"/>
    <w:rsid w:val="00C02C4C"/>
    <w:rsid w:val="00C03E75"/>
    <w:rsid w:val="00C04B11"/>
    <w:rsid w:val="00C07FED"/>
    <w:rsid w:val="00C1124C"/>
    <w:rsid w:val="00C15AEE"/>
    <w:rsid w:val="00C164D9"/>
    <w:rsid w:val="00C17408"/>
    <w:rsid w:val="00C21547"/>
    <w:rsid w:val="00C23D62"/>
    <w:rsid w:val="00C25F81"/>
    <w:rsid w:val="00C33E0F"/>
    <w:rsid w:val="00C34199"/>
    <w:rsid w:val="00C36413"/>
    <w:rsid w:val="00C37608"/>
    <w:rsid w:val="00C42F5D"/>
    <w:rsid w:val="00C43D2E"/>
    <w:rsid w:val="00C4654B"/>
    <w:rsid w:val="00C4749A"/>
    <w:rsid w:val="00C47949"/>
    <w:rsid w:val="00C562B1"/>
    <w:rsid w:val="00C5667D"/>
    <w:rsid w:val="00C56866"/>
    <w:rsid w:val="00C63001"/>
    <w:rsid w:val="00C638B4"/>
    <w:rsid w:val="00C63A9B"/>
    <w:rsid w:val="00C655A4"/>
    <w:rsid w:val="00C70929"/>
    <w:rsid w:val="00C71D26"/>
    <w:rsid w:val="00C723D7"/>
    <w:rsid w:val="00C729ED"/>
    <w:rsid w:val="00C73398"/>
    <w:rsid w:val="00C907A5"/>
    <w:rsid w:val="00C90DFB"/>
    <w:rsid w:val="00CA1A9D"/>
    <w:rsid w:val="00CA4A53"/>
    <w:rsid w:val="00CB4BDA"/>
    <w:rsid w:val="00CB73A1"/>
    <w:rsid w:val="00CB7F9C"/>
    <w:rsid w:val="00CC1D8D"/>
    <w:rsid w:val="00CC5D2C"/>
    <w:rsid w:val="00CC7829"/>
    <w:rsid w:val="00CD0A4C"/>
    <w:rsid w:val="00CE0801"/>
    <w:rsid w:val="00CE17A8"/>
    <w:rsid w:val="00CE5281"/>
    <w:rsid w:val="00CF3816"/>
    <w:rsid w:val="00D067CA"/>
    <w:rsid w:val="00D078AC"/>
    <w:rsid w:val="00D07977"/>
    <w:rsid w:val="00D158D9"/>
    <w:rsid w:val="00D16958"/>
    <w:rsid w:val="00D23E68"/>
    <w:rsid w:val="00D246AB"/>
    <w:rsid w:val="00D2470E"/>
    <w:rsid w:val="00D25A3F"/>
    <w:rsid w:val="00D265D6"/>
    <w:rsid w:val="00D33BB4"/>
    <w:rsid w:val="00D42110"/>
    <w:rsid w:val="00D44F4D"/>
    <w:rsid w:val="00D4572E"/>
    <w:rsid w:val="00D47B7D"/>
    <w:rsid w:val="00D507EA"/>
    <w:rsid w:val="00D5640E"/>
    <w:rsid w:val="00D573D4"/>
    <w:rsid w:val="00D63511"/>
    <w:rsid w:val="00D706DB"/>
    <w:rsid w:val="00D74D9F"/>
    <w:rsid w:val="00D80717"/>
    <w:rsid w:val="00D8334E"/>
    <w:rsid w:val="00D83D76"/>
    <w:rsid w:val="00D868B7"/>
    <w:rsid w:val="00D92B52"/>
    <w:rsid w:val="00DA0514"/>
    <w:rsid w:val="00DA16EE"/>
    <w:rsid w:val="00DA5937"/>
    <w:rsid w:val="00DA68A7"/>
    <w:rsid w:val="00DA7659"/>
    <w:rsid w:val="00DA7820"/>
    <w:rsid w:val="00DB03CF"/>
    <w:rsid w:val="00DB304B"/>
    <w:rsid w:val="00DB4091"/>
    <w:rsid w:val="00DB40D4"/>
    <w:rsid w:val="00DB5785"/>
    <w:rsid w:val="00DC0E1E"/>
    <w:rsid w:val="00DC2291"/>
    <w:rsid w:val="00DC2ECD"/>
    <w:rsid w:val="00DC6F94"/>
    <w:rsid w:val="00DD19C0"/>
    <w:rsid w:val="00DD210E"/>
    <w:rsid w:val="00DD5B0A"/>
    <w:rsid w:val="00DE0CBE"/>
    <w:rsid w:val="00DE621A"/>
    <w:rsid w:val="00DF052C"/>
    <w:rsid w:val="00DF094D"/>
    <w:rsid w:val="00DF0DE1"/>
    <w:rsid w:val="00DF5074"/>
    <w:rsid w:val="00DF5EFF"/>
    <w:rsid w:val="00DF6638"/>
    <w:rsid w:val="00DF68DC"/>
    <w:rsid w:val="00E07819"/>
    <w:rsid w:val="00E10AD4"/>
    <w:rsid w:val="00E11ED7"/>
    <w:rsid w:val="00E14D20"/>
    <w:rsid w:val="00E1663E"/>
    <w:rsid w:val="00E1668F"/>
    <w:rsid w:val="00E1770D"/>
    <w:rsid w:val="00E2125B"/>
    <w:rsid w:val="00E22E52"/>
    <w:rsid w:val="00E232BC"/>
    <w:rsid w:val="00E3415A"/>
    <w:rsid w:val="00E3694B"/>
    <w:rsid w:val="00E4187F"/>
    <w:rsid w:val="00E437A1"/>
    <w:rsid w:val="00E441F5"/>
    <w:rsid w:val="00E4744C"/>
    <w:rsid w:val="00E476BB"/>
    <w:rsid w:val="00E50BA0"/>
    <w:rsid w:val="00E53C77"/>
    <w:rsid w:val="00E55FE2"/>
    <w:rsid w:val="00E56FB6"/>
    <w:rsid w:val="00E57438"/>
    <w:rsid w:val="00E66C32"/>
    <w:rsid w:val="00E73389"/>
    <w:rsid w:val="00E75044"/>
    <w:rsid w:val="00E8134C"/>
    <w:rsid w:val="00E84F08"/>
    <w:rsid w:val="00E91DC4"/>
    <w:rsid w:val="00EA146D"/>
    <w:rsid w:val="00EA1845"/>
    <w:rsid w:val="00EA38A0"/>
    <w:rsid w:val="00EA42BD"/>
    <w:rsid w:val="00EB17FE"/>
    <w:rsid w:val="00EB18F6"/>
    <w:rsid w:val="00EB3707"/>
    <w:rsid w:val="00EB37E6"/>
    <w:rsid w:val="00EB4D80"/>
    <w:rsid w:val="00EC1A0A"/>
    <w:rsid w:val="00EC7A08"/>
    <w:rsid w:val="00ED4673"/>
    <w:rsid w:val="00ED4A5E"/>
    <w:rsid w:val="00EE2429"/>
    <w:rsid w:val="00EF61A3"/>
    <w:rsid w:val="00EF6E12"/>
    <w:rsid w:val="00F0022B"/>
    <w:rsid w:val="00F0586C"/>
    <w:rsid w:val="00F23031"/>
    <w:rsid w:val="00F236BE"/>
    <w:rsid w:val="00F25597"/>
    <w:rsid w:val="00F26986"/>
    <w:rsid w:val="00F32CF0"/>
    <w:rsid w:val="00F33567"/>
    <w:rsid w:val="00F354B6"/>
    <w:rsid w:val="00F36D1C"/>
    <w:rsid w:val="00F636D9"/>
    <w:rsid w:val="00F6521B"/>
    <w:rsid w:val="00F65A2A"/>
    <w:rsid w:val="00F70C87"/>
    <w:rsid w:val="00F76B76"/>
    <w:rsid w:val="00F77766"/>
    <w:rsid w:val="00F82472"/>
    <w:rsid w:val="00F869B8"/>
    <w:rsid w:val="00F908EF"/>
    <w:rsid w:val="00F93071"/>
    <w:rsid w:val="00F938B4"/>
    <w:rsid w:val="00FB4829"/>
    <w:rsid w:val="00FB7116"/>
    <w:rsid w:val="00FC192E"/>
    <w:rsid w:val="00FD5479"/>
    <w:rsid w:val="00FD573C"/>
    <w:rsid w:val="00FE4BAE"/>
    <w:rsid w:val="00FE566F"/>
    <w:rsid w:val="00FE5E87"/>
    <w:rsid w:val="00FF576B"/>
  </w:rsids>
  <m:mathPr>
    <m:mathFont m:val="Cambria Math"/>
    <m:brkBin m:val="before"/>
    <m:brkBinSub m:val="--"/>
    <m:smallFrac m:val="0"/>
    <m:dispDef/>
    <m:lMargin m:val="0"/>
    <m:rMargin m:val="0"/>
    <m:defJc m:val="centerGroup"/>
    <m:wrapIndent m:val="1440"/>
    <m:intLim m:val="subSup"/>
    <m:naryLim m:val="undOvr"/>
  </m:mathPr>
  <w:themeFontLang w:val="fr-BE" w:eastAsia="ja-JP" w:bidi="x-none"/>
  <w:clrSchemeMapping w:bg1="light1" w:t1="dark1" w:bg2="light2" w:t2="dark2" w:accent1="accent1" w:accent2="accent2" w:accent3="accent3" w:accent4="accent4" w:accent5="accent5" w:accent6="accent6" w:hyperlink="hyperlink" w:followedHyperlink="followedHyperlink"/>
  <w:doNotAutoCompressPictures/>
  <w:doNotEmbedSmartTags/>
  <w:decimalSymbol w:val=","/>
  <w:listSeparator w:val=";"/>
  <w14:docId w14:val="43DB53C3"/>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sz w:val="24"/>
        <w:szCs w:val="24"/>
        <w:lang w:val="fr-BE" w:eastAsia="ja-JP"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622353"/>
    <w:rPr>
      <w:lang w:val="fr-FR"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semiHidden/>
    <w:rsid w:val="00EE6A4F"/>
    <w:rPr>
      <w:rFonts w:ascii="Lucida Grande" w:hAnsi="Lucida Grande"/>
      <w:sz w:val="18"/>
      <w:szCs w:val="18"/>
    </w:rPr>
  </w:style>
  <w:style w:type="character" w:styleId="Appelnotedebasdep">
    <w:name w:val="footnote reference"/>
    <w:basedOn w:val="Policepardfaut"/>
    <w:semiHidden/>
    <w:rsid w:val="00A82F2A"/>
    <w:rPr>
      <w:rFonts w:ascii="Times" w:hAnsi="Times"/>
      <w:sz w:val="24"/>
      <w:vertAlign w:val="superscript"/>
    </w:rPr>
  </w:style>
  <w:style w:type="paragraph" w:customStyle="1" w:styleId="Notedebasd">
    <w:name w:val="Note de bas d"/>
    <w:basedOn w:val="Normal"/>
    <w:autoRedefine/>
    <w:semiHidden/>
    <w:rsid w:val="00A82F2A"/>
    <w:rPr>
      <w:rFonts w:ascii="Times" w:hAnsi="Times"/>
      <w:szCs w:val="20"/>
      <w:lang w:val="fr-BE" w:eastAsia="en-US" w:bidi="fr-FR"/>
    </w:rPr>
  </w:style>
  <w:style w:type="paragraph" w:customStyle="1" w:styleId="Notedebasd1">
    <w:name w:val="Note de bas d1"/>
    <w:basedOn w:val="Normal"/>
    <w:autoRedefine/>
    <w:semiHidden/>
    <w:rsid w:val="00A82F2A"/>
    <w:rPr>
      <w:rFonts w:ascii="Times" w:hAnsi="Times"/>
      <w:lang w:val="fr-BE" w:eastAsia="en-US" w:bidi="fr-FR"/>
    </w:rPr>
  </w:style>
  <w:style w:type="paragraph" w:styleId="Notedebasdepage">
    <w:name w:val="footnote text"/>
    <w:basedOn w:val="Normal"/>
    <w:autoRedefine/>
    <w:semiHidden/>
    <w:rsid w:val="00887486"/>
    <w:pPr>
      <w:jc w:val="both"/>
    </w:pPr>
    <w:rPr>
      <w:rFonts w:ascii="Calibri" w:hAnsi="Calibri" w:cs="Times"/>
      <w:sz w:val="20"/>
      <w:lang w:eastAsia="fr-FR"/>
    </w:rPr>
  </w:style>
  <w:style w:type="paragraph" w:styleId="Pardeliste">
    <w:name w:val="List Paragraph"/>
    <w:basedOn w:val="Normal"/>
    <w:uiPriority w:val="34"/>
    <w:qFormat/>
    <w:rsid w:val="00BC778B"/>
    <w:pPr>
      <w:ind w:left="720"/>
      <w:contextualSpacing/>
    </w:pPr>
    <w:rPr>
      <w:sz w:val="20"/>
      <w:lang w:eastAsia="fr-FR"/>
    </w:rPr>
  </w:style>
  <w:style w:type="paragraph" w:styleId="Normalweb">
    <w:name w:val="Normal (Web)"/>
    <w:basedOn w:val="Normal"/>
    <w:uiPriority w:val="99"/>
    <w:unhideWhenUsed/>
    <w:rsid w:val="004E3165"/>
    <w:pPr>
      <w:spacing w:before="100" w:beforeAutospacing="1" w:after="100" w:afterAutospacing="1"/>
    </w:pPr>
  </w:style>
  <w:style w:type="character" w:styleId="Lienhypertexte">
    <w:name w:val="Hyperlink"/>
    <w:basedOn w:val="Policepardfaut"/>
    <w:uiPriority w:val="99"/>
    <w:unhideWhenUsed/>
    <w:rsid w:val="00AD34F4"/>
    <w:rPr>
      <w:color w:val="0000FF" w:themeColor="hyperlink"/>
      <w:u w:val="single"/>
    </w:rPr>
  </w:style>
  <w:style w:type="paragraph" w:styleId="Pieddepage">
    <w:name w:val="footer"/>
    <w:basedOn w:val="Normal"/>
    <w:link w:val="PieddepageCar"/>
    <w:uiPriority w:val="99"/>
    <w:unhideWhenUsed/>
    <w:rsid w:val="00D74D9F"/>
    <w:pPr>
      <w:tabs>
        <w:tab w:val="center" w:pos="4536"/>
        <w:tab w:val="right" w:pos="9072"/>
      </w:tabs>
    </w:pPr>
  </w:style>
  <w:style w:type="character" w:customStyle="1" w:styleId="PieddepageCar">
    <w:name w:val="Pied de page Car"/>
    <w:basedOn w:val="Policepardfaut"/>
    <w:link w:val="Pieddepage"/>
    <w:uiPriority w:val="99"/>
    <w:rsid w:val="00D74D9F"/>
    <w:rPr>
      <w:sz w:val="24"/>
      <w:szCs w:val="24"/>
      <w:lang w:val="fr-FR" w:eastAsia="zh-CN"/>
    </w:rPr>
  </w:style>
  <w:style w:type="character" w:styleId="Numrodepage">
    <w:name w:val="page number"/>
    <w:basedOn w:val="Policepardfaut"/>
    <w:uiPriority w:val="99"/>
    <w:semiHidden/>
    <w:unhideWhenUsed/>
    <w:rsid w:val="00D74D9F"/>
  </w:style>
  <w:style w:type="paragraph" w:styleId="Notedefin">
    <w:name w:val="endnote text"/>
    <w:basedOn w:val="Normal"/>
    <w:link w:val="NotedefinCar"/>
    <w:uiPriority w:val="99"/>
    <w:semiHidden/>
    <w:unhideWhenUsed/>
    <w:rsid w:val="00EF61A3"/>
  </w:style>
  <w:style w:type="character" w:customStyle="1" w:styleId="NotedefinCar">
    <w:name w:val="Note de fin Car"/>
    <w:basedOn w:val="Policepardfaut"/>
    <w:link w:val="Notedefin"/>
    <w:uiPriority w:val="99"/>
    <w:semiHidden/>
    <w:rsid w:val="00EF61A3"/>
    <w:rPr>
      <w:lang w:val="fr-FR" w:eastAsia="zh-CN"/>
    </w:rPr>
  </w:style>
  <w:style w:type="character" w:styleId="Appeldenotedefin">
    <w:name w:val="endnote reference"/>
    <w:basedOn w:val="Policepardfaut"/>
    <w:uiPriority w:val="99"/>
    <w:semiHidden/>
    <w:unhideWhenUsed/>
    <w:rsid w:val="00EF61A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304223">
      <w:bodyDiv w:val="1"/>
      <w:marLeft w:val="0"/>
      <w:marRight w:val="0"/>
      <w:marTop w:val="0"/>
      <w:marBottom w:val="0"/>
      <w:divBdr>
        <w:top w:val="none" w:sz="0" w:space="0" w:color="auto"/>
        <w:left w:val="none" w:sz="0" w:space="0" w:color="auto"/>
        <w:bottom w:val="none" w:sz="0" w:space="0" w:color="auto"/>
        <w:right w:val="none" w:sz="0" w:space="0" w:color="auto"/>
      </w:divBdr>
    </w:div>
    <w:div w:id="49236595">
      <w:bodyDiv w:val="1"/>
      <w:marLeft w:val="0"/>
      <w:marRight w:val="0"/>
      <w:marTop w:val="0"/>
      <w:marBottom w:val="0"/>
      <w:divBdr>
        <w:top w:val="none" w:sz="0" w:space="0" w:color="auto"/>
        <w:left w:val="none" w:sz="0" w:space="0" w:color="auto"/>
        <w:bottom w:val="none" w:sz="0" w:space="0" w:color="auto"/>
        <w:right w:val="none" w:sz="0" w:space="0" w:color="auto"/>
      </w:divBdr>
    </w:div>
    <w:div w:id="51125064">
      <w:bodyDiv w:val="1"/>
      <w:marLeft w:val="0"/>
      <w:marRight w:val="0"/>
      <w:marTop w:val="0"/>
      <w:marBottom w:val="0"/>
      <w:divBdr>
        <w:top w:val="none" w:sz="0" w:space="0" w:color="auto"/>
        <w:left w:val="none" w:sz="0" w:space="0" w:color="auto"/>
        <w:bottom w:val="none" w:sz="0" w:space="0" w:color="auto"/>
        <w:right w:val="none" w:sz="0" w:space="0" w:color="auto"/>
      </w:divBdr>
    </w:div>
    <w:div w:id="121273986">
      <w:bodyDiv w:val="1"/>
      <w:marLeft w:val="0"/>
      <w:marRight w:val="0"/>
      <w:marTop w:val="0"/>
      <w:marBottom w:val="0"/>
      <w:divBdr>
        <w:top w:val="none" w:sz="0" w:space="0" w:color="auto"/>
        <w:left w:val="none" w:sz="0" w:space="0" w:color="auto"/>
        <w:bottom w:val="none" w:sz="0" w:space="0" w:color="auto"/>
        <w:right w:val="none" w:sz="0" w:space="0" w:color="auto"/>
      </w:divBdr>
      <w:divsChild>
        <w:div w:id="735057638">
          <w:marLeft w:val="0"/>
          <w:marRight w:val="0"/>
          <w:marTop w:val="0"/>
          <w:marBottom w:val="0"/>
          <w:divBdr>
            <w:top w:val="none" w:sz="0" w:space="0" w:color="auto"/>
            <w:left w:val="none" w:sz="0" w:space="0" w:color="auto"/>
            <w:bottom w:val="none" w:sz="0" w:space="0" w:color="auto"/>
            <w:right w:val="none" w:sz="0" w:space="0" w:color="auto"/>
          </w:divBdr>
          <w:divsChild>
            <w:div w:id="1174035123">
              <w:marLeft w:val="0"/>
              <w:marRight w:val="0"/>
              <w:marTop w:val="0"/>
              <w:marBottom w:val="0"/>
              <w:divBdr>
                <w:top w:val="none" w:sz="0" w:space="0" w:color="auto"/>
                <w:left w:val="none" w:sz="0" w:space="0" w:color="auto"/>
                <w:bottom w:val="none" w:sz="0" w:space="0" w:color="auto"/>
                <w:right w:val="none" w:sz="0" w:space="0" w:color="auto"/>
              </w:divBdr>
              <w:divsChild>
                <w:div w:id="1144009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950502">
      <w:bodyDiv w:val="1"/>
      <w:marLeft w:val="0"/>
      <w:marRight w:val="0"/>
      <w:marTop w:val="0"/>
      <w:marBottom w:val="0"/>
      <w:divBdr>
        <w:top w:val="none" w:sz="0" w:space="0" w:color="auto"/>
        <w:left w:val="none" w:sz="0" w:space="0" w:color="auto"/>
        <w:bottom w:val="none" w:sz="0" w:space="0" w:color="auto"/>
        <w:right w:val="none" w:sz="0" w:space="0" w:color="auto"/>
      </w:divBdr>
    </w:div>
    <w:div w:id="145053906">
      <w:bodyDiv w:val="1"/>
      <w:marLeft w:val="0"/>
      <w:marRight w:val="0"/>
      <w:marTop w:val="0"/>
      <w:marBottom w:val="0"/>
      <w:divBdr>
        <w:top w:val="none" w:sz="0" w:space="0" w:color="auto"/>
        <w:left w:val="none" w:sz="0" w:space="0" w:color="auto"/>
        <w:bottom w:val="none" w:sz="0" w:space="0" w:color="auto"/>
        <w:right w:val="none" w:sz="0" w:space="0" w:color="auto"/>
      </w:divBdr>
    </w:div>
    <w:div w:id="152916061">
      <w:bodyDiv w:val="1"/>
      <w:marLeft w:val="0"/>
      <w:marRight w:val="0"/>
      <w:marTop w:val="0"/>
      <w:marBottom w:val="0"/>
      <w:divBdr>
        <w:top w:val="none" w:sz="0" w:space="0" w:color="auto"/>
        <w:left w:val="none" w:sz="0" w:space="0" w:color="auto"/>
        <w:bottom w:val="none" w:sz="0" w:space="0" w:color="auto"/>
        <w:right w:val="none" w:sz="0" w:space="0" w:color="auto"/>
      </w:divBdr>
    </w:div>
    <w:div w:id="163014867">
      <w:bodyDiv w:val="1"/>
      <w:marLeft w:val="0"/>
      <w:marRight w:val="0"/>
      <w:marTop w:val="0"/>
      <w:marBottom w:val="0"/>
      <w:divBdr>
        <w:top w:val="none" w:sz="0" w:space="0" w:color="auto"/>
        <w:left w:val="none" w:sz="0" w:space="0" w:color="auto"/>
        <w:bottom w:val="none" w:sz="0" w:space="0" w:color="auto"/>
        <w:right w:val="none" w:sz="0" w:space="0" w:color="auto"/>
      </w:divBdr>
    </w:div>
    <w:div w:id="176428050">
      <w:bodyDiv w:val="1"/>
      <w:marLeft w:val="0"/>
      <w:marRight w:val="0"/>
      <w:marTop w:val="0"/>
      <w:marBottom w:val="0"/>
      <w:divBdr>
        <w:top w:val="none" w:sz="0" w:space="0" w:color="auto"/>
        <w:left w:val="none" w:sz="0" w:space="0" w:color="auto"/>
        <w:bottom w:val="none" w:sz="0" w:space="0" w:color="auto"/>
        <w:right w:val="none" w:sz="0" w:space="0" w:color="auto"/>
      </w:divBdr>
    </w:div>
    <w:div w:id="240650786">
      <w:bodyDiv w:val="1"/>
      <w:marLeft w:val="0"/>
      <w:marRight w:val="0"/>
      <w:marTop w:val="0"/>
      <w:marBottom w:val="0"/>
      <w:divBdr>
        <w:top w:val="none" w:sz="0" w:space="0" w:color="auto"/>
        <w:left w:val="none" w:sz="0" w:space="0" w:color="auto"/>
        <w:bottom w:val="none" w:sz="0" w:space="0" w:color="auto"/>
        <w:right w:val="none" w:sz="0" w:space="0" w:color="auto"/>
      </w:divBdr>
    </w:div>
    <w:div w:id="246113351">
      <w:bodyDiv w:val="1"/>
      <w:marLeft w:val="0"/>
      <w:marRight w:val="0"/>
      <w:marTop w:val="0"/>
      <w:marBottom w:val="0"/>
      <w:divBdr>
        <w:top w:val="none" w:sz="0" w:space="0" w:color="auto"/>
        <w:left w:val="none" w:sz="0" w:space="0" w:color="auto"/>
        <w:bottom w:val="none" w:sz="0" w:space="0" w:color="auto"/>
        <w:right w:val="none" w:sz="0" w:space="0" w:color="auto"/>
      </w:divBdr>
    </w:div>
    <w:div w:id="246770891">
      <w:bodyDiv w:val="1"/>
      <w:marLeft w:val="0"/>
      <w:marRight w:val="0"/>
      <w:marTop w:val="0"/>
      <w:marBottom w:val="0"/>
      <w:divBdr>
        <w:top w:val="none" w:sz="0" w:space="0" w:color="auto"/>
        <w:left w:val="none" w:sz="0" w:space="0" w:color="auto"/>
        <w:bottom w:val="none" w:sz="0" w:space="0" w:color="auto"/>
        <w:right w:val="none" w:sz="0" w:space="0" w:color="auto"/>
      </w:divBdr>
      <w:divsChild>
        <w:div w:id="1637878231">
          <w:marLeft w:val="0"/>
          <w:marRight w:val="0"/>
          <w:marTop w:val="0"/>
          <w:marBottom w:val="0"/>
          <w:divBdr>
            <w:top w:val="none" w:sz="0" w:space="0" w:color="auto"/>
            <w:left w:val="none" w:sz="0" w:space="0" w:color="auto"/>
            <w:bottom w:val="none" w:sz="0" w:space="0" w:color="auto"/>
            <w:right w:val="none" w:sz="0" w:space="0" w:color="auto"/>
          </w:divBdr>
          <w:divsChild>
            <w:div w:id="2127115350">
              <w:marLeft w:val="0"/>
              <w:marRight w:val="0"/>
              <w:marTop w:val="0"/>
              <w:marBottom w:val="0"/>
              <w:divBdr>
                <w:top w:val="none" w:sz="0" w:space="0" w:color="auto"/>
                <w:left w:val="none" w:sz="0" w:space="0" w:color="auto"/>
                <w:bottom w:val="none" w:sz="0" w:space="0" w:color="auto"/>
                <w:right w:val="none" w:sz="0" w:space="0" w:color="auto"/>
              </w:divBdr>
              <w:divsChild>
                <w:div w:id="2067797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106577">
      <w:bodyDiv w:val="1"/>
      <w:marLeft w:val="0"/>
      <w:marRight w:val="0"/>
      <w:marTop w:val="0"/>
      <w:marBottom w:val="0"/>
      <w:divBdr>
        <w:top w:val="none" w:sz="0" w:space="0" w:color="auto"/>
        <w:left w:val="none" w:sz="0" w:space="0" w:color="auto"/>
        <w:bottom w:val="none" w:sz="0" w:space="0" w:color="auto"/>
        <w:right w:val="none" w:sz="0" w:space="0" w:color="auto"/>
      </w:divBdr>
    </w:div>
    <w:div w:id="367880968">
      <w:bodyDiv w:val="1"/>
      <w:marLeft w:val="0"/>
      <w:marRight w:val="0"/>
      <w:marTop w:val="0"/>
      <w:marBottom w:val="0"/>
      <w:divBdr>
        <w:top w:val="none" w:sz="0" w:space="0" w:color="auto"/>
        <w:left w:val="none" w:sz="0" w:space="0" w:color="auto"/>
        <w:bottom w:val="none" w:sz="0" w:space="0" w:color="auto"/>
        <w:right w:val="none" w:sz="0" w:space="0" w:color="auto"/>
      </w:divBdr>
    </w:div>
    <w:div w:id="376124281">
      <w:bodyDiv w:val="1"/>
      <w:marLeft w:val="0"/>
      <w:marRight w:val="0"/>
      <w:marTop w:val="0"/>
      <w:marBottom w:val="0"/>
      <w:divBdr>
        <w:top w:val="none" w:sz="0" w:space="0" w:color="auto"/>
        <w:left w:val="none" w:sz="0" w:space="0" w:color="auto"/>
        <w:bottom w:val="none" w:sz="0" w:space="0" w:color="auto"/>
        <w:right w:val="none" w:sz="0" w:space="0" w:color="auto"/>
      </w:divBdr>
      <w:divsChild>
        <w:div w:id="1484006366">
          <w:marLeft w:val="0"/>
          <w:marRight w:val="0"/>
          <w:marTop w:val="0"/>
          <w:marBottom w:val="0"/>
          <w:divBdr>
            <w:top w:val="none" w:sz="0" w:space="0" w:color="auto"/>
            <w:left w:val="none" w:sz="0" w:space="0" w:color="auto"/>
            <w:bottom w:val="none" w:sz="0" w:space="0" w:color="auto"/>
            <w:right w:val="none" w:sz="0" w:space="0" w:color="auto"/>
          </w:divBdr>
          <w:divsChild>
            <w:div w:id="532576984">
              <w:marLeft w:val="0"/>
              <w:marRight w:val="0"/>
              <w:marTop w:val="0"/>
              <w:marBottom w:val="0"/>
              <w:divBdr>
                <w:top w:val="none" w:sz="0" w:space="0" w:color="auto"/>
                <w:left w:val="none" w:sz="0" w:space="0" w:color="auto"/>
                <w:bottom w:val="none" w:sz="0" w:space="0" w:color="auto"/>
                <w:right w:val="none" w:sz="0" w:space="0" w:color="auto"/>
              </w:divBdr>
              <w:divsChild>
                <w:div w:id="768817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5373354">
      <w:bodyDiv w:val="1"/>
      <w:marLeft w:val="0"/>
      <w:marRight w:val="0"/>
      <w:marTop w:val="0"/>
      <w:marBottom w:val="0"/>
      <w:divBdr>
        <w:top w:val="none" w:sz="0" w:space="0" w:color="auto"/>
        <w:left w:val="none" w:sz="0" w:space="0" w:color="auto"/>
        <w:bottom w:val="none" w:sz="0" w:space="0" w:color="auto"/>
        <w:right w:val="none" w:sz="0" w:space="0" w:color="auto"/>
      </w:divBdr>
    </w:div>
    <w:div w:id="438376636">
      <w:bodyDiv w:val="1"/>
      <w:marLeft w:val="0"/>
      <w:marRight w:val="0"/>
      <w:marTop w:val="0"/>
      <w:marBottom w:val="0"/>
      <w:divBdr>
        <w:top w:val="none" w:sz="0" w:space="0" w:color="auto"/>
        <w:left w:val="none" w:sz="0" w:space="0" w:color="auto"/>
        <w:bottom w:val="none" w:sz="0" w:space="0" w:color="auto"/>
        <w:right w:val="none" w:sz="0" w:space="0" w:color="auto"/>
      </w:divBdr>
      <w:divsChild>
        <w:div w:id="18854824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5282887">
              <w:marLeft w:val="0"/>
              <w:marRight w:val="0"/>
              <w:marTop w:val="0"/>
              <w:marBottom w:val="0"/>
              <w:divBdr>
                <w:top w:val="none" w:sz="0" w:space="0" w:color="auto"/>
                <w:left w:val="none" w:sz="0" w:space="0" w:color="auto"/>
                <w:bottom w:val="none" w:sz="0" w:space="0" w:color="auto"/>
                <w:right w:val="none" w:sz="0" w:space="0" w:color="auto"/>
              </w:divBdr>
              <w:divsChild>
                <w:div w:id="599988115">
                  <w:marLeft w:val="0"/>
                  <w:marRight w:val="0"/>
                  <w:marTop w:val="0"/>
                  <w:marBottom w:val="0"/>
                  <w:divBdr>
                    <w:top w:val="none" w:sz="0" w:space="0" w:color="auto"/>
                    <w:left w:val="none" w:sz="0" w:space="0" w:color="auto"/>
                    <w:bottom w:val="none" w:sz="0" w:space="0" w:color="auto"/>
                    <w:right w:val="none" w:sz="0" w:space="0" w:color="auto"/>
                  </w:divBdr>
                  <w:divsChild>
                    <w:div w:id="1694917493">
                      <w:marLeft w:val="0"/>
                      <w:marRight w:val="0"/>
                      <w:marTop w:val="0"/>
                      <w:marBottom w:val="0"/>
                      <w:divBdr>
                        <w:top w:val="none" w:sz="0" w:space="0" w:color="auto"/>
                        <w:left w:val="none" w:sz="0" w:space="0" w:color="auto"/>
                        <w:bottom w:val="none" w:sz="0" w:space="0" w:color="auto"/>
                        <w:right w:val="none" w:sz="0" w:space="0" w:color="auto"/>
                      </w:divBdr>
                      <w:divsChild>
                        <w:div w:id="138445165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33464971">
                              <w:marLeft w:val="0"/>
                              <w:marRight w:val="0"/>
                              <w:marTop w:val="0"/>
                              <w:marBottom w:val="0"/>
                              <w:divBdr>
                                <w:top w:val="none" w:sz="0" w:space="0" w:color="auto"/>
                                <w:left w:val="none" w:sz="0" w:space="0" w:color="auto"/>
                                <w:bottom w:val="none" w:sz="0" w:space="0" w:color="auto"/>
                                <w:right w:val="none" w:sz="0" w:space="0" w:color="auto"/>
                              </w:divBdr>
                              <w:divsChild>
                                <w:div w:id="860630209">
                                  <w:marLeft w:val="0"/>
                                  <w:marRight w:val="0"/>
                                  <w:marTop w:val="0"/>
                                  <w:marBottom w:val="0"/>
                                  <w:divBdr>
                                    <w:top w:val="none" w:sz="0" w:space="0" w:color="auto"/>
                                    <w:left w:val="none" w:sz="0" w:space="0" w:color="auto"/>
                                    <w:bottom w:val="none" w:sz="0" w:space="0" w:color="auto"/>
                                    <w:right w:val="none" w:sz="0" w:space="0" w:color="auto"/>
                                  </w:divBdr>
                                  <w:divsChild>
                                    <w:div w:id="8676811">
                                      <w:marLeft w:val="0"/>
                                      <w:marRight w:val="0"/>
                                      <w:marTop w:val="0"/>
                                      <w:marBottom w:val="0"/>
                                      <w:divBdr>
                                        <w:top w:val="none" w:sz="0" w:space="0" w:color="auto"/>
                                        <w:left w:val="none" w:sz="0" w:space="0" w:color="auto"/>
                                        <w:bottom w:val="none" w:sz="0" w:space="0" w:color="auto"/>
                                        <w:right w:val="none" w:sz="0" w:space="0" w:color="auto"/>
                                      </w:divBdr>
                                      <w:divsChild>
                                        <w:div w:id="321130964">
                                          <w:marLeft w:val="0"/>
                                          <w:marRight w:val="0"/>
                                          <w:marTop w:val="0"/>
                                          <w:marBottom w:val="0"/>
                                          <w:divBdr>
                                            <w:top w:val="none" w:sz="0" w:space="0" w:color="auto"/>
                                            <w:left w:val="none" w:sz="0" w:space="0" w:color="auto"/>
                                            <w:bottom w:val="none" w:sz="0" w:space="0" w:color="auto"/>
                                            <w:right w:val="none" w:sz="0" w:space="0" w:color="auto"/>
                                          </w:divBdr>
                                          <w:divsChild>
                                            <w:div w:id="1653824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203965">
                                      <w:marLeft w:val="0"/>
                                      <w:marRight w:val="0"/>
                                      <w:marTop w:val="0"/>
                                      <w:marBottom w:val="0"/>
                                      <w:divBdr>
                                        <w:top w:val="none" w:sz="0" w:space="0" w:color="auto"/>
                                        <w:left w:val="none" w:sz="0" w:space="0" w:color="auto"/>
                                        <w:bottom w:val="none" w:sz="0" w:space="0" w:color="auto"/>
                                        <w:right w:val="none" w:sz="0" w:space="0" w:color="auto"/>
                                      </w:divBdr>
                                      <w:divsChild>
                                        <w:div w:id="633025217">
                                          <w:marLeft w:val="0"/>
                                          <w:marRight w:val="0"/>
                                          <w:marTop w:val="0"/>
                                          <w:marBottom w:val="0"/>
                                          <w:divBdr>
                                            <w:top w:val="none" w:sz="0" w:space="0" w:color="auto"/>
                                            <w:left w:val="none" w:sz="0" w:space="0" w:color="auto"/>
                                            <w:bottom w:val="none" w:sz="0" w:space="0" w:color="auto"/>
                                            <w:right w:val="none" w:sz="0" w:space="0" w:color="auto"/>
                                          </w:divBdr>
                                          <w:divsChild>
                                            <w:div w:id="18128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828539">
                                      <w:marLeft w:val="0"/>
                                      <w:marRight w:val="0"/>
                                      <w:marTop w:val="0"/>
                                      <w:marBottom w:val="0"/>
                                      <w:divBdr>
                                        <w:top w:val="none" w:sz="0" w:space="0" w:color="auto"/>
                                        <w:left w:val="none" w:sz="0" w:space="0" w:color="auto"/>
                                        <w:bottom w:val="none" w:sz="0" w:space="0" w:color="auto"/>
                                        <w:right w:val="none" w:sz="0" w:space="0" w:color="auto"/>
                                      </w:divBdr>
                                      <w:divsChild>
                                        <w:div w:id="1900629619">
                                          <w:marLeft w:val="0"/>
                                          <w:marRight w:val="0"/>
                                          <w:marTop w:val="0"/>
                                          <w:marBottom w:val="0"/>
                                          <w:divBdr>
                                            <w:top w:val="none" w:sz="0" w:space="0" w:color="auto"/>
                                            <w:left w:val="none" w:sz="0" w:space="0" w:color="auto"/>
                                            <w:bottom w:val="none" w:sz="0" w:space="0" w:color="auto"/>
                                            <w:right w:val="none" w:sz="0" w:space="0" w:color="auto"/>
                                          </w:divBdr>
                                          <w:divsChild>
                                            <w:div w:id="124841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908742">
                                      <w:marLeft w:val="0"/>
                                      <w:marRight w:val="0"/>
                                      <w:marTop w:val="0"/>
                                      <w:marBottom w:val="0"/>
                                      <w:divBdr>
                                        <w:top w:val="none" w:sz="0" w:space="0" w:color="auto"/>
                                        <w:left w:val="none" w:sz="0" w:space="0" w:color="auto"/>
                                        <w:bottom w:val="none" w:sz="0" w:space="0" w:color="auto"/>
                                        <w:right w:val="none" w:sz="0" w:space="0" w:color="auto"/>
                                      </w:divBdr>
                                      <w:divsChild>
                                        <w:div w:id="391081844">
                                          <w:marLeft w:val="0"/>
                                          <w:marRight w:val="0"/>
                                          <w:marTop w:val="0"/>
                                          <w:marBottom w:val="0"/>
                                          <w:divBdr>
                                            <w:top w:val="none" w:sz="0" w:space="0" w:color="auto"/>
                                            <w:left w:val="none" w:sz="0" w:space="0" w:color="auto"/>
                                            <w:bottom w:val="none" w:sz="0" w:space="0" w:color="auto"/>
                                            <w:right w:val="none" w:sz="0" w:space="0" w:color="auto"/>
                                          </w:divBdr>
                                          <w:divsChild>
                                            <w:div w:id="97256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90684749">
      <w:bodyDiv w:val="1"/>
      <w:marLeft w:val="0"/>
      <w:marRight w:val="0"/>
      <w:marTop w:val="0"/>
      <w:marBottom w:val="0"/>
      <w:divBdr>
        <w:top w:val="none" w:sz="0" w:space="0" w:color="auto"/>
        <w:left w:val="none" w:sz="0" w:space="0" w:color="auto"/>
        <w:bottom w:val="none" w:sz="0" w:space="0" w:color="auto"/>
        <w:right w:val="none" w:sz="0" w:space="0" w:color="auto"/>
      </w:divBdr>
    </w:div>
    <w:div w:id="494998799">
      <w:bodyDiv w:val="1"/>
      <w:marLeft w:val="0"/>
      <w:marRight w:val="0"/>
      <w:marTop w:val="0"/>
      <w:marBottom w:val="0"/>
      <w:divBdr>
        <w:top w:val="none" w:sz="0" w:space="0" w:color="auto"/>
        <w:left w:val="none" w:sz="0" w:space="0" w:color="auto"/>
        <w:bottom w:val="none" w:sz="0" w:space="0" w:color="auto"/>
        <w:right w:val="none" w:sz="0" w:space="0" w:color="auto"/>
      </w:divBdr>
    </w:div>
    <w:div w:id="508830324">
      <w:bodyDiv w:val="1"/>
      <w:marLeft w:val="0"/>
      <w:marRight w:val="0"/>
      <w:marTop w:val="0"/>
      <w:marBottom w:val="0"/>
      <w:divBdr>
        <w:top w:val="none" w:sz="0" w:space="0" w:color="auto"/>
        <w:left w:val="none" w:sz="0" w:space="0" w:color="auto"/>
        <w:bottom w:val="none" w:sz="0" w:space="0" w:color="auto"/>
        <w:right w:val="none" w:sz="0" w:space="0" w:color="auto"/>
      </w:divBdr>
    </w:div>
    <w:div w:id="520898524">
      <w:bodyDiv w:val="1"/>
      <w:marLeft w:val="0"/>
      <w:marRight w:val="0"/>
      <w:marTop w:val="0"/>
      <w:marBottom w:val="0"/>
      <w:divBdr>
        <w:top w:val="none" w:sz="0" w:space="0" w:color="auto"/>
        <w:left w:val="none" w:sz="0" w:space="0" w:color="auto"/>
        <w:bottom w:val="none" w:sz="0" w:space="0" w:color="auto"/>
        <w:right w:val="none" w:sz="0" w:space="0" w:color="auto"/>
      </w:divBdr>
    </w:div>
    <w:div w:id="616646027">
      <w:bodyDiv w:val="1"/>
      <w:marLeft w:val="0"/>
      <w:marRight w:val="0"/>
      <w:marTop w:val="0"/>
      <w:marBottom w:val="0"/>
      <w:divBdr>
        <w:top w:val="none" w:sz="0" w:space="0" w:color="auto"/>
        <w:left w:val="none" w:sz="0" w:space="0" w:color="auto"/>
        <w:bottom w:val="none" w:sz="0" w:space="0" w:color="auto"/>
        <w:right w:val="none" w:sz="0" w:space="0" w:color="auto"/>
      </w:divBdr>
    </w:div>
    <w:div w:id="629749849">
      <w:bodyDiv w:val="1"/>
      <w:marLeft w:val="0"/>
      <w:marRight w:val="0"/>
      <w:marTop w:val="0"/>
      <w:marBottom w:val="0"/>
      <w:divBdr>
        <w:top w:val="none" w:sz="0" w:space="0" w:color="auto"/>
        <w:left w:val="none" w:sz="0" w:space="0" w:color="auto"/>
        <w:bottom w:val="none" w:sz="0" w:space="0" w:color="auto"/>
        <w:right w:val="none" w:sz="0" w:space="0" w:color="auto"/>
      </w:divBdr>
      <w:divsChild>
        <w:div w:id="782455735">
          <w:marLeft w:val="0"/>
          <w:marRight w:val="0"/>
          <w:marTop w:val="0"/>
          <w:marBottom w:val="0"/>
          <w:divBdr>
            <w:top w:val="none" w:sz="0" w:space="0" w:color="auto"/>
            <w:left w:val="none" w:sz="0" w:space="0" w:color="auto"/>
            <w:bottom w:val="none" w:sz="0" w:space="0" w:color="auto"/>
            <w:right w:val="none" w:sz="0" w:space="0" w:color="auto"/>
          </w:divBdr>
          <w:divsChild>
            <w:div w:id="1687101680">
              <w:marLeft w:val="0"/>
              <w:marRight w:val="0"/>
              <w:marTop w:val="0"/>
              <w:marBottom w:val="0"/>
              <w:divBdr>
                <w:top w:val="none" w:sz="0" w:space="0" w:color="auto"/>
                <w:left w:val="none" w:sz="0" w:space="0" w:color="auto"/>
                <w:bottom w:val="none" w:sz="0" w:space="0" w:color="auto"/>
                <w:right w:val="none" w:sz="0" w:space="0" w:color="auto"/>
              </w:divBdr>
              <w:divsChild>
                <w:div w:id="1678114955">
                  <w:marLeft w:val="0"/>
                  <w:marRight w:val="0"/>
                  <w:marTop w:val="0"/>
                  <w:marBottom w:val="0"/>
                  <w:divBdr>
                    <w:top w:val="none" w:sz="0" w:space="0" w:color="auto"/>
                    <w:left w:val="none" w:sz="0" w:space="0" w:color="auto"/>
                    <w:bottom w:val="none" w:sz="0" w:space="0" w:color="auto"/>
                    <w:right w:val="none" w:sz="0" w:space="0" w:color="auto"/>
                  </w:divBdr>
                  <w:divsChild>
                    <w:div w:id="804397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1059380">
      <w:bodyDiv w:val="1"/>
      <w:marLeft w:val="0"/>
      <w:marRight w:val="0"/>
      <w:marTop w:val="0"/>
      <w:marBottom w:val="0"/>
      <w:divBdr>
        <w:top w:val="none" w:sz="0" w:space="0" w:color="auto"/>
        <w:left w:val="none" w:sz="0" w:space="0" w:color="auto"/>
        <w:bottom w:val="none" w:sz="0" w:space="0" w:color="auto"/>
        <w:right w:val="none" w:sz="0" w:space="0" w:color="auto"/>
      </w:divBdr>
    </w:div>
    <w:div w:id="670761355">
      <w:bodyDiv w:val="1"/>
      <w:marLeft w:val="0"/>
      <w:marRight w:val="0"/>
      <w:marTop w:val="0"/>
      <w:marBottom w:val="0"/>
      <w:divBdr>
        <w:top w:val="none" w:sz="0" w:space="0" w:color="auto"/>
        <w:left w:val="none" w:sz="0" w:space="0" w:color="auto"/>
        <w:bottom w:val="none" w:sz="0" w:space="0" w:color="auto"/>
        <w:right w:val="none" w:sz="0" w:space="0" w:color="auto"/>
      </w:divBdr>
    </w:div>
    <w:div w:id="709454492">
      <w:bodyDiv w:val="1"/>
      <w:marLeft w:val="0"/>
      <w:marRight w:val="0"/>
      <w:marTop w:val="0"/>
      <w:marBottom w:val="0"/>
      <w:divBdr>
        <w:top w:val="none" w:sz="0" w:space="0" w:color="auto"/>
        <w:left w:val="none" w:sz="0" w:space="0" w:color="auto"/>
        <w:bottom w:val="none" w:sz="0" w:space="0" w:color="auto"/>
        <w:right w:val="none" w:sz="0" w:space="0" w:color="auto"/>
      </w:divBdr>
    </w:div>
    <w:div w:id="723942509">
      <w:bodyDiv w:val="1"/>
      <w:marLeft w:val="0"/>
      <w:marRight w:val="0"/>
      <w:marTop w:val="0"/>
      <w:marBottom w:val="0"/>
      <w:divBdr>
        <w:top w:val="none" w:sz="0" w:space="0" w:color="auto"/>
        <w:left w:val="none" w:sz="0" w:space="0" w:color="auto"/>
        <w:bottom w:val="none" w:sz="0" w:space="0" w:color="auto"/>
        <w:right w:val="none" w:sz="0" w:space="0" w:color="auto"/>
      </w:divBdr>
    </w:div>
    <w:div w:id="730736311">
      <w:bodyDiv w:val="1"/>
      <w:marLeft w:val="0"/>
      <w:marRight w:val="0"/>
      <w:marTop w:val="0"/>
      <w:marBottom w:val="0"/>
      <w:divBdr>
        <w:top w:val="none" w:sz="0" w:space="0" w:color="auto"/>
        <w:left w:val="none" w:sz="0" w:space="0" w:color="auto"/>
        <w:bottom w:val="none" w:sz="0" w:space="0" w:color="auto"/>
        <w:right w:val="none" w:sz="0" w:space="0" w:color="auto"/>
      </w:divBdr>
    </w:div>
    <w:div w:id="735275407">
      <w:bodyDiv w:val="1"/>
      <w:marLeft w:val="0"/>
      <w:marRight w:val="0"/>
      <w:marTop w:val="0"/>
      <w:marBottom w:val="0"/>
      <w:divBdr>
        <w:top w:val="none" w:sz="0" w:space="0" w:color="auto"/>
        <w:left w:val="none" w:sz="0" w:space="0" w:color="auto"/>
        <w:bottom w:val="none" w:sz="0" w:space="0" w:color="auto"/>
        <w:right w:val="none" w:sz="0" w:space="0" w:color="auto"/>
      </w:divBdr>
    </w:div>
    <w:div w:id="736129138">
      <w:bodyDiv w:val="1"/>
      <w:marLeft w:val="0"/>
      <w:marRight w:val="0"/>
      <w:marTop w:val="0"/>
      <w:marBottom w:val="0"/>
      <w:divBdr>
        <w:top w:val="none" w:sz="0" w:space="0" w:color="auto"/>
        <w:left w:val="none" w:sz="0" w:space="0" w:color="auto"/>
        <w:bottom w:val="none" w:sz="0" w:space="0" w:color="auto"/>
        <w:right w:val="none" w:sz="0" w:space="0" w:color="auto"/>
      </w:divBdr>
    </w:div>
    <w:div w:id="788934861">
      <w:bodyDiv w:val="1"/>
      <w:marLeft w:val="0"/>
      <w:marRight w:val="0"/>
      <w:marTop w:val="0"/>
      <w:marBottom w:val="0"/>
      <w:divBdr>
        <w:top w:val="none" w:sz="0" w:space="0" w:color="auto"/>
        <w:left w:val="none" w:sz="0" w:space="0" w:color="auto"/>
        <w:bottom w:val="none" w:sz="0" w:space="0" w:color="auto"/>
        <w:right w:val="none" w:sz="0" w:space="0" w:color="auto"/>
      </w:divBdr>
      <w:divsChild>
        <w:div w:id="1043821280">
          <w:marLeft w:val="0"/>
          <w:marRight w:val="0"/>
          <w:marTop w:val="0"/>
          <w:marBottom w:val="0"/>
          <w:divBdr>
            <w:top w:val="none" w:sz="0" w:space="0" w:color="auto"/>
            <w:left w:val="none" w:sz="0" w:space="0" w:color="auto"/>
            <w:bottom w:val="none" w:sz="0" w:space="0" w:color="auto"/>
            <w:right w:val="none" w:sz="0" w:space="0" w:color="auto"/>
          </w:divBdr>
          <w:divsChild>
            <w:div w:id="1118568770">
              <w:marLeft w:val="0"/>
              <w:marRight w:val="0"/>
              <w:marTop w:val="0"/>
              <w:marBottom w:val="0"/>
              <w:divBdr>
                <w:top w:val="none" w:sz="0" w:space="0" w:color="auto"/>
                <w:left w:val="none" w:sz="0" w:space="0" w:color="auto"/>
                <w:bottom w:val="none" w:sz="0" w:space="0" w:color="auto"/>
                <w:right w:val="none" w:sz="0" w:space="0" w:color="auto"/>
              </w:divBdr>
              <w:divsChild>
                <w:div w:id="185456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8427574">
      <w:bodyDiv w:val="1"/>
      <w:marLeft w:val="0"/>
      <w:marRight w:val="0"/>
      <w:marTop w:val="0"/>
      <w:marBottom w:val="0"/>
      <w:divBdr>
        <w:top w:val="none" w:sz="0" w:space="0" w:color="auto"/>
        <w:left w:val="none" w:sz="0" w:space="0" w:color="auto"/>
        <w:bottom w:val="none" w:sz="0" w:space="0" w:color="auto"/>
        <w:right w:val="none" w:sz="0" w:space="0" w:color="auto"/>
      </w:divBdr>
      <w:divsChild>
        <w:div w:id="1245259096">
          <w:marLeft w:val="0"/>
          <w:marRight w:val="0"/>
          <w:marTop w:val="0"/>
          <w:marBottom w:val="0"/>
          <w:divBdr>
            <w:top w:val="none" w:sz="0" w:space="0" w:color="auto"/>
            <w:left w:val="none" w:sz="0" w:space="0" w:color="auto"/>
            <w:bottom w:val="none" w:sz="0" w:space="0" w:color="auto"/>
            <w:right w:val="none" w:sz="0" w:space="0" w:color="auto"/>
          </w:divBdr>
          <w:divsChild>
            <w:div w:id="263079302">
              <w:marLeft w:val="0"/>
              <w:marRight w:val="0"/>
              <w:marTop w:val="0"/>
              <w:marBottom w:val="0"/>
              <w:divBdr>
                <w:top w:val="none" w:sz="0" w:space="0" w:color="auto"/>
                <w:left w:val="none" w:sz="0" w:space="0" w:color="auto"/>
                <w:bottom w:val="none" w:sz="0" w:space="0" w:color="auto"/>
                <w:right w:val="none" w:sz="0" w:space="0" w:color="auto"/>
              </w:divBdr>
              <w:divsChild>
                <w:div w:id="661664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7432153">
      <w:bodyDiv w:val="1"/>
      <w:marLeft w:val="0"/>
      <w:marRight w:val="0"/>
      <w:marTop w:val="0"/>
      <w:marBottom w:val="0"/>
      <w:divBdr>
        <w:top w:val="none" w:sz="0" w:space="0" w:color="auto"/>
        <w:left w:val="none" w:sz="0" w:space="0" w:color="auto"/>
        <w:bottom w:val="none" w:sz="0" w:space="0" w:color="auto"/>
        <w:right w:val="none" w:sz="0" w:space="0" w:color="auto"/>
      </w:divBdr>
    </w:div>
    <w:div w:id="863590737">
      <w:bodyDiv w:val="1"/>
      <w:marLeft w:val="0"/>
      <w:marRight w:val="0"/>
      <w:marTop w:val="0"/>
      <w:marBottom w:val="0"/>
      <w:divBdr>
        <w:top w:val="none" w:sz="0" w:space="0" w:color="auto"/>
        <w:left w:val="none" w:sz="0" w:space="0" w:color="auto"/>
        <w:bottom w:val="none" w:sz="0" w:space="0" w:color="auto"/>
        <w:right w:val="none" w:sz="0" w:space="0" w:color="auto"/>
      </w:divBdr>
    </w:div>
    <w:div w:id="875115451">
      <w:bodyDiv w:val="1"/>
      <w:marLeft w:val="0"/>
      <w:marRight w:val="0"/>
      <w:marTop w:val="0"/>
      <w:marBottom w:val="0"/>
      <w:divBdr>
        <w:top w:val="none" w:sz="0" w:space="0" w:color="auto"/>
        <w:left w:val="none" w:sz="0" w:space="0" w:color="auto"/>
        <w:bottom w:val="none" w:sz="0" w:space="0" w:color="auto"/>
        <w:right w:val="none" w:sz="0" w:space="0" w:color="auto"/>
      </w:divBdr>
    </w:div>
    <w:div w:id="881479887">
      <w:bodyDiv w:val="1"/>
      <w:marLeft w:val="0"/>
      <w:marRight w:val="0"/>
      <w:marTop w:val="0"/>
      <w:marBottom w:val="0"/>
      <w:divBdr>
        <w:top w:val="none" w:sz="0" w:space="0" w:color="auto"/>
        <w:left w:val="none" w:sz="0" w:space="0" w:color="auto"/>
        <w:bottom w:val="none" w:sz="0" w:space="0" w:color="auto"/>
        <w:right w:val="none" w:sz="0" w:space="0" w:color="auto"/>
      </w:divBdr>
    </w:div>
    <w:div w:id="938290218">
      <w:bodyDiv w:val="1"/>
      <w:marLeft w:val="0"/>
      <w:marRight w:val="0"/>
      <w:marTop w:val="0"/>
      <w:marBottom w:val="0"/>
      <w:divBdr>
        <w:top w:val="none" w:sz="0" w:space="0" w:color="auto"/>
        <w:left w:val="none" w:sz="0" w:space="0" w:color="auto"/>
        <w:bottom w:val="none" w:sz="0" w:space="0" w:color="auto"/>
        <w:right w:val="none" w:sz="0" w:space="0" w:color="auto"/>
      </w:divBdr>
    </w:div>
    <w:div w:id="970283135">
      <w:bodyDiv w:val="1"/>
      <w:marLeft w:val="0"/>
      <w:marRight w:val="0"/>
      <w:marTop w:val="0"/>
      <w:marBottom w:val="0"/>
      <w:divBdr>
        <w:top w:val="none" w:sz="0" w:space="0" w:color="auto"/>
        <w:left w:val="none" w:sz="0" w:space="0" w:color="auto"/>
        <w:bottom w:val="none" w:sz="0" w:space="0" w:color="auto"/>
        <w:right w:val="none" w:sz="0" w:space="0" w:color="auto"/>
      </w:divBdr>
      <w:divsChild>
        <w:div w:id="1354498867">
          <w:marLeft w:val="0"/>
          <w:marRight w:val="0"/>
          <w:marTop w:val="0"/>
          <w:marBottom w:val="0"/>
          <w:divBdr>
            <w:top w:val="none" w:sz="0" w:space="0" w:color="auto"/>
            <w:left w:val="none" w:sz="0" w:space="0" w:color="auto"/>
            <w:bottom w:val="none" w:sz="0" w:space="0" w:color="auto"/>
            <w:right w:val="none" w:sz="0" w:space="0" w:color="auto"/>
          </w:divBdr>
          <w:divsChild>
            <w:div w:id="2143184121">
              <w:marLeft w:val="0"/>
              <w:marRight w:val="0"/>
              <w:marTop w:val="0"/>
              <w:marBottom w:val="0"/>
              <w:divBdr>
                <w:top w:val="none" w:sz="0" w:space="0" w:color="auto"/>
                <w:left w:val="none" w:sz="0" w:space="0" w:color="auto"/>
                <w:bottom w:val="none" w:sz="0" w:space="0" w:color="auto"/>
                <w:right w:val="none" w:sz="0" w:space="0" w:color="auto"/>
              </w:divBdr>
              <w:divsChild>
                <w:div w:id="95875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5110096">
      <w:bodyDiv w:val="1"/>
      <w:marLeft w:val="0"/>
      <w:marRight w:val="0"/>
      <w:marTop w:val="0"/>
      <w:marBottom w:val="0"/>
      <w:divBdr>
        <w:top w:val="none" w:sz="0" w:space="0" w:color="auto"/>
        <w:left w:val="none" w:sz="0" w:space="0" w:color="auto"/>
        <w:bottom w:val="none" w:sz="0" w:space="0" w:color="auto"/>
        <w:right w:val="none" w:sz="0" w:space="0" w:color="auto"/>
      </w:divBdr>
    </w:div>
    <w:div w:id="1077050286">
      <w:bodyDiv w:val="1"/>
      <w:marLeft w:val="0"/>
      <w:marRight w:val="0"/>
      <w:marTop w:val="0"/>
      <w:marBottom w:val="0"/>
      <w:divBdr>
        <w:top w:val="none" w:sz="0" w:space="0" w:color="auto"/>
        <w:left w:val="none" w:sz="0" w:space="0" w:color="auto"/>
        <w:bottom w:val="none" w:sz="0" w:space="0" w:color="auto"/>
        <w:right w:val="none" w:sz="0" w:space="0" w:color="auto"/>
      </w:divBdr>
    </w:div>
    <w:div w:id="1102187929">
      <w:bodyDiv w:val="1"/>
      <w:marLeft w:val="0"/>
      <w:marRight w:val="0"/>
      <w:marTop w:val="0"/>
      <w:marBottom w:val="0"/>
      <w:divBdr>
        <w:top w:val="none" w:sz="0" w:space="0" w:color="auto"/>
        <w:left w:val="none" w:sz="0" w:space="0" w:color="auto"/>
        <w:bottom w:val="none" w:sz="0" w:space="0" w:color="auto"/>
        <w:right w:val="none" w:sz="0" w:space="0" w:color="auto"/>
      </w:divBdr>
    </w:div>
    <w:div w:id="1155803988">
      <w:bodyDiv w:val="1"/>
      <w:marLeft w:val="0"/>
      <w:marRight w:val="0"/>
      <w:marTop w:val="0"/>
      <w:marBottom w:val="0"/>
      <w:divBdr>
        <w:top w:val="none" w:sz="0" w:space="0" w:color="auto"/>
        <w:left w:val="none" w:sz="0" w:space="0" w:color="auto"/>
        <w:bottom w:val="none" w:sz="0" w:space="0" w:color="auto"/>
        <w:right w:val="none" w:sz="0" w:space="0" w:color="auto"/>
      </w:divBdr>
    </w:div>
    <w:div w:id="1162040611">
      <w:bodyDiv w:val="1"/>
      <w:marLeft w:val="0"/>
      <w:marRight w:val="0"/>
      <w:marTop w:val="0"/>
      <w:marBottom w:val="0"/>
      <w:divBdr>
        <w:top w:val="none" w:sz="0" w:space="0" w:color="auto"/>
        <w:left w:val="none" w:sz="0" w:space="0" w:color="auto"/>
        <w:bottom w:val="none" w:sz="0" w:space="0" w:color="auto"/>
        <w:right w:val="none" w:sz="0" w:space="0" w:color="auto"/>
      </w:divBdr>
      <w:divsChild>
        <w:div w:id="981422704">
          <w:marLeft w:val="0"/>
          <w:marRight w:val="0"/>
          <w:marTop w:val="0"/>
          <w:marBottom w:val="0"/>
          <w:divBdr>
            <w:top w:val="none" w:sz="0" w:space="0" w:color="auto"/>
            <w:left w:val="none" w:sz="0" w:space="0" w:color="auto"/>
            <w:bottom w:val="none" w:sz="0" w:space="0" w:color="auto"/>
            <w:right w:val="none" w:sz="0" w:space="0" w:color="auto"/>
          </w:divBdr>
          <w:divsChild>
            <w:div w:id="1282999238">
              <w:marLeft w:val="0"/>
              <w:marRight w:val="0"/>
              <w:marTop w:val="0"/>
              <w:marBottom w:val="0"/>
              <w:divBdr>
                <w:top w:val="none" w:sz="0" w:space="0" w:color="auto"/>
                <w:left w:val="none" w:sz="0" w:space="0" w:color="auto"/>
                <w:bottom w:val="none" w:sz="0" w:space="0" w:color="auto"/>
                <w:right w:val="none" w:sz="0" w:space="0" w:color="auto"/>
              </w:divBdr>
              <w:divsChild>
                <w:div w:id="94681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689034">
      <w:bodyDiv w:val="1"/>
      <w:marLeft w:val="0"/>
      <w:marRight w:val="0"/>
      <w:marTop w:val="0"/>
      <w:marBottom w:val="0"/>
      <w:divBdr>
        <w:top w:val="none" w:sz="0" w:space="0" w:color="auto"/>
        <w:left w:val="none" w:sz="0" w:space="0" w:color="auto"/>
        <w:bottom w:val="none" w:sz="0" w:space="0" w:color="auto"/>
        <w:right w:val="none" w:sz="0" w:space="0" w:color="auto"/>
      </w:divBdr>
      <w:divsChild>
        <w:div w:id="2016106497">
          <w:marLeft w:val="0"/>
          <w:marRight w:val="0"/>
          <w:marTop w:val="0"/>
          <w:marBottom w:val="0"/>
          <w:divBdr>
            <w:top w:val="none" w:sz="0" w:space="0" w:color="auto"/>
            <w:left w:val="none" w:sz="0" w:space="0" w:color="auto"/>
            <w:bottom w:val="none" w:sz="0" w:space="0" w:color="auto"/>
            <w:right w:val="none" w:sz="0" w:space="0" w:color="auto"/>
          </w:divBdr>
          <w:divsChild>
            <w:div w:id="1320307440">
              <w:marLeft w:val="0"/>
              <w:marRight w:val="0"/>
              <w:marTop w:val="0"/>
              <w:marBottom w:val="0"/>
              <w:divBdr>
                <w:top w:val="none" w:sz="0" w:space="0" w:color="auto"/>
                <w:left w:val="none" w:sz="0" w:space="0" w:color="auto"/>
                <w:bottom w:val="none" w:sz="0" w:space="0" w:color="auto"/>
                <w:right w:val="none" w:sz="0" w:space="0" w:color="auto"/>
              </w:divBdr>
              <w:divsChild>
                <w:div w:id="174406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672793">
      <w:bodyDiv w:val="1"/>
      <w:marLeft w:val="0"/>
      <w:marRight w:val="0"/>
      <w:marTop w:val="0"/>
      <w:marBottom w:val="0"/>
      <w:divBdr>
        <w:top w:val="none" w:sz="0" w:space="0" w:color="auto"/>
        <w:left w:val="none" w:sz="0" w:space="0" w:color="auto"/>
        <w:bottom w:val="none" w:sz="0" w:space="0" w:color="auto"/>
        <w:right w:val="none" w:sz="0" w:space="0" w:color="auto"/>
      </w:divBdr>
    </w:div>
    <w:div w:id="1191459428">
      <w:bodyDiv w:val="1"/>
      <w:marLeft w:val="0"/>
      <w:marRight w:val="0"/>
      <w:marTop w:val="0"/>
      <w:marBottom w:val="0"/>
      <w:divBdr>
        <w:top w:val="none" w:sz="0" w:space="0" w:color="auto"/>
        <w:left w:val="none" w:sz="0" w:space="0" w:color="auto"/>
        <w:bottom w:val="none" w:sz="0" w:space="0" w:color="auto"/>
        <w:right w:val="none" w:sz="0" w:space="0" w:color="auto"/>
      </w:divBdr>
    </w:div>
    <w:div w:id="1223828739">
      <w:bodyDiv w:val="1"/>
      <w:marLeft w:val="0"/>
      <w:marRight w:val="0"/>
      <w:marTop w:val="0"/>
      <w:marBottom w:val="0"/>
      <w:divBdr>
        <w:top w:val="none" w:sz="0" w:space="0" w:color="auto"/>
        <w:left w:val="none" w:sz="0" w:space="0" w:color="auto"/>
        <w:bottom w:val="none" w:sz="0" w:space="0" w:color="auto"/>
        <w:right w:val="none" w:sz="0" w:space="0" w:color="auto"/>
      </w:divBdr>
    </w:div>
    <w:div w:id="1232155156">
      <w:bodyDiv w:val="1"/>
      <w:marLeft w:val="0"/>
      <w:marRight w:val="0"/>
      <w:marTop w:val="0"/>
      <w:marBottom w:val="0"/>
      <w:divBdr>
        <w:top w:val="none" w:sz="0" w:space="0" w:color="auto"/>
        <w:left w:val="none" w:sz="0" w:space="0" w:color="auto"/>
        <w:bottom w:val="none" w:sz="0" w:space="0" w:color="auto"/>
        <w:right w:val="none" w:sz="0" w:space="0" w:color="auto"/>
      </w:divBdr>
      <w:divsChild>
        <w:div w:id="652217627">
          <w:marLeft w:val="0"/>
          <w:marRight w:val="0"/>
          <w:marTop w:val="0"/>
          <w:marBottom w:val="0"/>
          <w:divBdr>
            <w:top w:val="none" w:sz="0" w:space="0" w:color="auto"/>
            <w:left w:val="none" w:sz="0" w:space="0" w:color="auto"/>
            <w:bottom w:val="none" w:sz="0" w:space="0" w:color="auto"/>
            <w:right w:val="none" w:sz="0" w:space="0" w:color="auto"/>
          </w:divBdr>
          <w:divsChild>
            <w:div w:id="598830896">
              <w:marLeft w:val="0"/>
              <w:marRight w:val="0"/>
              <w:marTop w:val="0"/>
              <w:marBottom w:val="0"/>
              <w:divBdr>
                <w:top w:val="none" w:sz="0" w:space="0" w:color="auto"/>
                <w:left w:val="none" w:sz="0" w:space="0" w:color="auto"/>
                <w:bottom w:val="none" w:sz="0" w:space="0" w:color="auto"/>
                <w:right w:val="none" w:sz="0" w:space="0" w:color="auto"/>
              </w:divBdr>
              <w:divsChild>
                <w:div w:id="58484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486872">
      <w:bodyDiv w:val="1"/>
      <w:marLeft w:val="0"/>
      <w:marRight w:val="0"/>
      <w:marTop w:val="0"/>
      <w:marBottom w:val="0"/>
      <w:divBdr>
        <w:top w:val="none" w:sz="0" w:space="0" w:color="auto"/>
        <w:left w:val="none" w:sz="0" w:space="0" w:color="auto"/>
        <w:bottom w:val="none" w:sz="0" w:space="0" w:color="auto"/>
        <w:right w:val="none" w:sz="0" w:space="0" w:color="auto"/>
      </w:divBdr>
    </w:div>
    <w:div w:id="1304773674">
      <w:bodyDiv w:val="1"/>
      <w:marLeft w:val="0"/>
      <w:marRight w:val="0"/>
      <w:marTop w:val="0"/>
      <w:marBottom w:val="0"/>
      <w:divBdr>
        <w:top w:val="none" w:sz="0" w:space="0" w:color="auto"/>
        <w:left w:val="none" w:sz="0" w:space="0" w:color="auto"/>
        <w:bottom w:val="none" w:sz="0" w:space="0" w:color="auto"/>
        <w:right w:val="none" w:sz="0" w:space="0" w:color="auto"/>
      </w:divBdr>
    </w:div>
    <w:div w:id="1307973395">
      <w:bodyDiv w:val="1"/>
      <w:marLeft w:val="0"/>
      <w:marRight w:val="0"/>
      <w:marTop w:val="0"/>
      <w:marBottom w:val="0"/>
      <w:divBdr>
        <w:top w:val="none" w:sz="0" w:space="0" w:color="auto"/>
        <w:left w:val="none" w:sz="0" w:space="0" w:color="auto"/>
        <w:bottom w:val="none" w:sz="0" w:space="0" w:color="auto"/>
        <w:right w:val="none" w:sz="0" w:space="0" w:color="auto"/>
      </w:divBdr>
    </w:div>
    <w:div w:id="1334138910">
      <w:bodyDiv w:val="1"/>
      <w:marLeft w:val="0"/>
      <w:marRight w:val="0"/>
      <w:marTop w:val="0"/>
      <w:marBottom w:val="0"/>
      <w:divBdr>
        <w:top w:val="none" w:sz="0" w:space="0" w:color="auto"/>
        <w:left w:val="none" w:sz="0" w:space="0" w:color="auto"/>
        <w:bottom w:val="none" w:sz="0" w:space="0" w:color="auto"/>
        <w:right w:val="none" w:sz="0" w:space="0" w:color="auto"/>
      </w:divBdr>
    </w:div>
    <w:div w:id="1346130066">
      <w:bodyDiv w:val="1"/>
      <w:marLeft w:val="0"/>
      <w:marRight w:val="0"/>
      <w:marTop w:val="0"/>
      <w:marBottom w:val="0"/>
      <w:divBdr>
        <w:top w:val="none" w:sz="0" w:space="0" w:color="auto"/>
        <w:left w:val="none" w:sz="0" w:space="0" w:color="auto"/>
        <w:bottom w:val="none" w:sz="0" w:space="0" w:color="auto"/>
        <w:right w:val="none" w:sz="0" w:space="0" w:color="auto"/>
      </w:divBdr>
    </w:div>
    <w:div w:id="1422293411">
      <w:bodyDiv w:val="1"/>
      <w:marLeft w:val="0"/>
      <w:marRight w:val="0"/>
      <w:marTop w:val="0"/>
      <w:marBottom w:val="0"/>
      <w:divBdr>
        <w:top w:val="none" w:sz="0" w:space="0" w:color="auto"/>
        <w:left w:val="none" w:sz="0" w:space="0" w:color="auto"/>
        <w:bottom w:val="none" w:sz="0" w:space="0" w:color="auto"/>
        <w:right w:val="none" w:sz="0" w:space="0" w:color="auto"/>
      </w:divBdr>
    </w:div>
    <w:div w:id="1431849754">
      <w:bodyDiv w:val="1"/>
      <w:marLeft w:val="0"/>
      <w:marRight w:val="0"/>
      <w:marTop w:val="0"/>
      <w:marBottom w:val="0"/>
      <w:divBdr>
        <w:top w:val="none" w:sz="0" w:space="0" w:color="auto"/>
        <w:left w:val="none" w:sz="0" w:space="0" w:color="auto"/>
        <w:bottom w:val="none" w:sz="0" w:space="0" w:color="auto"/>
        <w:right w:val="none" w:sz="0" w:space="0" w:color="auto"/>
      </w:divBdr>
    </w:div>
    <w:div w:id="1437018010">
      <w:bodyDiv w:val="1"/>
      <w:marLeft w:val="0"/>
      <w:marRight w:val="0"/>
      <w:marTop w:val="0"/>
      <w:marBottom w:val="0"/>
      <w:divBdr>
        <w:top w:val="none" w:sz="0" w:space="0" w:color="auto"/>
        <w:left w:val="none" w:sz="0" w:space="0" w:color="auto"/>
        <w:bottom w:val="none" w:sz="0" w:space="0" w:color="auto"/>
        <w:right w:val="none" w:sz="0" w:space="0" w:color="auto"/>
      </w:divBdr>
      <w:divsChild>
        <w:div w:id="113140579">
          <w:marLeft w:val="0"/>
          <w:marRight w:val="0"/>
          <w:marTop w:val="0"/>
          <w:marBottom w:val="0"/>
          <w:divBdr>
            <w:top w:val="none" w:sz="0" w:space="0" w:color="auto"/>
            <w:left w:val="none" w:sz="0" w:space="0" w:color="auto"/>
            <w:bottom w:val="none" w:sz="0" w:space="0" w:color="auto"/>
            <w:right w:val="none" w:sz="0" w:space="0" w:color="auto"/>
          </w:divBdr>
        </w:div>
        <w:div w:id="594558409">
          <w:marLeft w:val="0"/>
          <w:marRight w:val="0"/>
          <w:marTop w:val="0"/>
          <w:marBottom w:val="0"/>
          <w:divBdr>
            <w:top w:val="none" w:sz="0" w:space="0" w:color="auto"/>
            <w:left w:val="none" w:sz="0" w:space="0" w:color="auto"/>
            <w:bottom w:val="none" w:sz="0" w:space="0" w:color="auto"/>
            <w:right w:val="none" w:sz="0" w:space="0" w:color="auto"/>
          </w:divBdr>
        </w:div>
        <w:div w:id="821429301">
          <w:marLeft w:val="0"/>
          <w:marRight w:val="0"/>
          <w:marTop w:val="0"/>
          <w:marBottom w:val="0"/>
          <w:divBdr>
            <w:top w:val="none" w:sz="0" w:space="0" w:color="auto"/>
            <w:left w:val="none" w:sz="0" w:space="0" w:color="auto"/>
            <w:bottom w:val="none" w:sz="0" w:space="0" w:color="auto"/>
            <w:right w:val="none" w:sz="0" w:space="0" w:color="auto"/>
          </w:divBdr>
        </w:div>
        <w:div w:id="1687707220">
          <w:marLeft w:val="0"/>
          <w:marRight w:val="0"/>
          <w:marTop w:val="0"/>
          <w:marBottom w:val="0"/>
          <w:divBdr>
            <w:top w:val="none" w:sz="0" w:space="0" w:color="auto"/>
            <w:left w:val="none" w:sz="0" w:space="0" w:color="auto"/>
            <w:bottom w:val="none" w:sz="0" w:space="0" w:color="auto"/>
            <w:right w:val="none" w:sz="0" w:space="0" w:color="auto"/>
          </w:divBdr>
        </w:div>
        <w:div w:id="1714115863">
          <w:marLeft w:val="0"/>
          <w:marRight w:val="0"/>
          <w:marTop w:val="0"/>
          <w:marBottom w:val="0"/>
          <w:divBdr>
            <w:top w:val="none" w:sz="0" w:space="0" w:color="auto"/>
            <w:left w:val="none" w:sz="0" w:space="0" w:color="auto"/>
            <w:bottom w:val="none" w:sz="0" w:space="0" w:color="auto"/>
            <w:right w:val="none" w:sz="0" w:space="0" w:color="auto"/>
          </w:divBdr>
        </w:div>
        <w:div w:id="1717385734">
          <w:marLeft w:val="0"/>
          <w:marRight w:val="0"/>
          <w:marTop w:val="0"/>
          <w:marBottom w:val="0"/>
          <w:divBdr>
            <w:top w:val="none" w:sz="0" w:space="0" w:color="auto"/>
            <w:left w:val="none" w:sz="0" w:space="0" w:color="auto"/>
            <w:bottom w:val="none" w:sz="0" w:space="0" w:color="auto"/>
            <w:right w:val="none" w:sz="0" w:space="0" w:color="auto"/>
          </w:divBdr>
        </w:div>
        <w:div w:id="2064323893">
          <w:marLeft w:val="0"/>
          <w:marRight w:val="0"/>
          <w:marTop w:val="0"/>
          <w:marBottom w:val="0"/>
          <w:divBdr>
            <w:top w:val="none" w:sz="0" w:space="0" w:color="auto"/>
            <w:left w:val="none" w:sz="0" w:space="0" w:color="auto"/>
            <w:bottom w:val="none" w:sz="0" w:space="0" w:color="auto"/>
            <w:right w:val="none" w:sz="0" w:space="0" w:color="auto"/>
          </w:divBdr>
        </w:div>
      </w:divsChild>
    </w:div>
    <w:div w:id="1442992019">
      <w:bodyDiv w:val="1"/>
      <w:marLeft w:val="0"/>
      <w:marRight w:val="0"/>
      <w:marTop w:val="0"/>
      <w:marBottom w:val="0"/>
      <w:divBdr>
        <w:top w:val="none" w:sz="0" w:space="0" w:color="auto"/>
        <w:left w:val="none" w:sz="0" w:space="0" w:color="auto"/>
        <w:bottom w:val="none" w:sz="0" w:space="0" w:color="auto"/>
        <w:right w:val="none" w:sz="0" w:space="0" w:color="auto"/>
      </w:divBdr>
    </w:div>
    <w:div w:id="1448617790">
      <w:bodyDiv w:val="1"/>
      <w:marLeft w:val="0"/>
      <w:marRight w:val="0"/>
      <w:marTop w:val="0"/>
      <w:marBottom w:val="0"/>
      <w:divBdr>
        <w:top w:val="none" w:sz="0" w:space="0" w:color="auto"/>
        <w:left w:val="none" w:sz="0" w:space="0" w:color="auto"/>
        <w:bottom w:val="none" w:sz="0" w:space="0" w:color="auto"/>
        <w:right w:val="none" w:sz="0" w:space="0" w:color="auto"/>
      </w:divBdr>
      <w:divsChild>
        <w:div w:id="702629728">
          <w:marLeft w:val="0"/>
          <w:marRight w:val="0"/>
          <w:marTop w:val="0"/>
          <w:marBottom w:val="0"/>
          <w:divBdr>
            <w:top w:val="none" w:sz="0" w:space="0" w:color="auto"/>
            <w:left w:val="none" w:sz="0" w:space="0" w:color="auto"/>
            <w:bottom w:val="none" w:sz="0" w:space="0" w:color="auto"/>
            <w:right w:val="none" w:sz="0" w:space="0" w:color="auto"/>
          </w:divBdr>
        </w:div>
        <w:div w:id="960844521">
          <w:marLeft w:val="0"/>
          <w:marRight w:val="0"/>
          <w:marTop w:val="0"/>
          <w:marBottom w:val="0"/>
          <w:divBdr>
            <w:top w:val="none" w:sz="0" w:space="0" w:color="auto"/>
            <w:left w:val="none" w:sz="0" w:space="0" w:color="auto"/>
            <w:bottom w:val="none" w:sz="0" w:space="0" w:color="auto"/>
            <w:right w:val="none" w:sz="0" w:space="0" w:color="auto"/>
          </w:divBdr>
        </w:div>
        <w:div w:id="1142620480">
          <w:marLeft w:val="0"/>
          <w:marRight w:val="0"/>
          <w:marTop w:val="0"/>
          <w:marBottom w:val="0"/>
          <w:divBdr>
            <w:top w:val="none" w:sz="0" w:space="0" w:color="auto"/>
            <w:left w:val="none" w:sz="0" w:space="0" w:color="auto"/>
            <w:bottom w:val="none" w:sz="0" w:space="0" w:color="auto"/>
            <w:right w:val="none" w:sz="0" w:space="0" w:color="auto"/>
          </w:divBdr>
        </w:div>
        <w:div w:id="1211920344">
          <w:marLeft w:val="0"/>
          <w:marRight w:val="0"/>
          <w:marTop w:val="0"/>
          <w:marBottom w:val="0"/>
          <w:divBdr>
            <w:top w:val="none" w:sz="0" w:space="0" w:color="auto"/>
            <w:left w:val="none" w:sz="0" w:space="0" w:color="auto"/>
            <w:bottom w:val="none" w:sz="0" w:space="0" w:color="auto"/>
            <w:right w:val="none" w:sz="0" w:space="0" w:color="auto"/>
          </w:divBdr>
        </w:div>
        <w:div w:id="1609004288">
          <w:marLeft w:val="0"/>
          <w:marRight w:val="0"/>
          <w:marTop w:val="0"/>
          <w:marBottom w:val="0"/>
          <w:divBdr>
            <w:top w:val="none" w:sz="0" w:space="0" w:color="auto"/>
            <w:left w:val="none" w:sz="0" w:space="0" w:color="auto"/>
            <w:bottom w:val="none" w:sz="0" w:space="0" w:color="auto"/>
            <w:right w:val="none" w:sz="0" w:space="0" w:color="auto"/>
          </w:divBdr>
        </w:div>
        <w:div w:id="1650093421">
          <w:marLeft w:val="0"/>
          <w:marRight w:val="0"/>
          <w:marTop w:val="0"/>
          <w:marBottom w:val="0"/>
          <w:divBdr>
            <w:top w:val="none" w:sz="0" w:space="0" w:color="auto"/>
            <w:left w:val="none" w:sz="0" w:space="0" w:color="auto"/>
            <w:bottom w:val="none" w:sz="0" w:space="0" w:color="auto"/>
            <w:right w:val="none" w:sz="0" w:space="0" w:color="auto"/>
          </w:divBdr>
        </w:div>
        <w:div w:id="2107336620">
          <w:marLeft w:val="0"/>
          <w:marRight w:val="0"/>
          <w:marTop w:val="0"/>
          <w:marBottom w:val="0"/>
          <w:divBdr>
            <w:top w:val="none" w:sz="0" w:space="0" w:color="auto"/>
            <w:left w:val="none" w:sz="0" w:space="0" w:color="auto"/>
            <w:bottom w:val="none" w:sz="0" w:space="0" w:color="auto"/>
            <w:right w:val="none" w:sz="0" w:space="0" w:color="auto"/>
          </w:divBdr>
        </w:div>
      </w:divsChild>
    </w:div>
    <w:div w:id="1450051192">
      <w:bodyDiv w:val="1"/>
      <w:marLeft w:val="0"/>
      <w:marRight w:val="0"/>
      <w:marTop w:val="0"/>
      <w:marBottom w:val="0"/>
      <w:divBdr>
        <w:top w:val="none" w:sz="0" w:space="0" w:color="auto"/>
        <w:left w:val="none" w:sz="0" w:space="0" w:color="auto"/>
        <w:bottom w:val="none" w:sz="0" w:space="0" w:color="auto"/>
        <w:right w:val="none" w:sz="0" w:space="0" w:color="auto"/>
      </w:divBdr>
    </w:div>
    <w:div w:id="1486311744">
      <w:bodyDiv w:val="1"/>
      <w:marLeft w:val="0"/>
      <w:marRight w:val="0"/>
      <w:marTop w:val="0"/>
      <w:marBottom w:val="0"/>
      <w:divBdr>
        <w:top w:val="none" w:sz="0" w:space="0" w:color="auto"/>
        <w:left w:val="none" w:sz="0" w:space="0" w:color="auto"/>
        <w:bottom w:val="none" w:sz="0" w:space="0" w:color="auto"/>
        <w:right w:val="none" w:sz="0" w:space="0" w:color="auto"/>
      </w:divBdr>
    </w:div>
    <w:div w:id="1553417814">
      <w:bodyDiv w:val="1"/>
      <w:marLeft w:val="0"/>
      <w:marRight w:val="0"/>
      <w:marTop w:val="0"/>
      <w:marBottom w:val="0"/>
      <w:divBdr>
        <w:top w:val="none" w:sz="0" w:space="0" w:color="auto"/>
        <w:left w:val="none" w:sz="0" w:space="0" w:color="auto"/>
        <w:bottom w:val="none" w:sz="0" w:space="0" w:color="auto"/>
        <w:right w:val="none" w:sz="0" w:space="0" w:color="auto"/>
      </w:divBdr>
    </w:div>
    <w:div w:id="1564179136">
      <w:bodyDiv w:val="1"/>
      <w:marLeft w:val="0"/>
      <w:marRight w:val="0"/>
      <w:marTop w:val="0"/>
      <w:marBottom w:val="0"/>
      <w:divBdr>
        <w:top w:val="none" w:sz="0" w:space="0" w:color="auto"/>
        <w:left w:val="none" w:sz="0" w:space="0" w:color="auto"/>
        <w:bottom w:val="none" w:sz="0" w:space="0" w:color="auto"/>
        <w:right w:val="none" w:sz="0" w:space="0" w:color="auto"/>
      </w:divBdr>
      <w:divsChild>
        <w:div w:id="1867719748">
          <w:marLeft w:val="0"/>
          <w:marRight w:val="0"/>
          <w:marTop w:val="0"/>
          <w:marBottom w:val="0"/>
          <w:divBdr>
            <w:top w:val="none" w:sz="0" w:space="0" w:color="auto"/>
            <w:left w:val="none" w:sz="0" w:space="0" w:color="auto"/>
            <w:bottom w:val="none" w:sz="0" w:space="0" w:color="auto"/>
            <w:right w:val="none" w:sz="0" w:space="0" w:color="auto"/>
          </w:divBdr>
          <w:divsChild>
            <w:div w:id="1398824756">
              <w:marLeft w:val="0"/>
              <w:marRight w:val="0"/>
              <w:marTop w:val="0"/>
              <w:marBottom w:val="0"/>
              <w:divBdr>
                <w:top w:val="none" w:sz="0" w:space="0" w:color="auto"/>
                <w:left w:val="none" w:sz="0" w:space="0" w:color="auto"/>
                <w:bottom w:val="none" w:sz="0" w:space="0" w:color="auto"/>
                <w:right w:val="none" w:sz="0" w:space="0" w:color="auto"/>
              </w:divBdr>
              <w:divsChild>
                <w:div w:id="1682122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1894508">
      <w:bodyDiv w:val="1"/>
      <w:marLeft w:val="0"/>
      <w:marRight w:val="0"/>
      <w:marTop w:val="0"/>
      <w:marBottom w:val="0"/>
      <w:divBdr>
        <w:top w:val="none" w:sz="0" w:space="0" w:color="auto"/>
        <w:left w:val="none" w:sz="0" w:space="0" w:color="auto"/>
        <w:bottom w:val="none" w:sz="0" w:space="0" w:color="auto"/>
        <w:right w:val="none" w:sz="0" w:space="0" w:color="auto"/>
      </w:divBdr>
    </w:div>
    <w:div w:id="1615945666">
      <w:bodyDiv w:val="1"/>
      <w:marLeft w:val="0"/>
      <w:marRight w:val="0"/>
      <w:marTop w:val="0"/>
      <w:marBottom w:val="0"/>
      <w:divBdr>
        <w:top w:val="none" w:sz="0" w:space="0" w:color="auto"/>
        <w:left w:val="none" w:sz="0" w:space="0" w:color="auto"/>
        <w:bottom w:val="none" w:sz="0" w:space="0" w:color="auto"/>
        <w:right w:val="none" w:sz="0" w:space="0" w:color="auto"/>
      </w:divBdr>
    </w:div>
    <w:div w:id="1632592004">
      <w:bodyDiv w:val="1"/>
      <w:marLeft w:val="0"/>
      <w:marRight w:val="0"/>
      <w:marTop w:val="0"/>
      <w:marBottom w:val="0"/>
      <w:divBdr>
        <w:top w:val="none" w:sz="0" w:space="0" w:color="auto"/>
        <w:left w:val="none" w:sz="0" w:space="0" w:color="auto"/>
        <w:bottom w:val="none" w:sz="0" w:space="0" w:color="auto"/>
        <w:right w:val="none" w:sz="0" w:space="0" w:color="auto"/>
      </w:divBdr>
    </w:div>
    <w:div w:id="1706446444">
      <w:bodyDiv w:val="1"/>
      <w:marLeft w:val="0"/>
      <w:marRight w:val="0"/>
      <w:marTop w:val="0"/>
      <w:marBottom w:val="0"/>
      <w:divBdr>
        <w:top w:val="none" w:sz="0" w:space="0" w:color="auto"/>
        <w:left w:val="none" w:sz="0" w:space="0" w:color="auto"/>
        <w:bottom w:val="none" w:sz="0" w:space="0" w:color="auto"/>
        <w:right w:val="none" w:sz="0" w:space="0" w:color="auto"/>
      </w:divBdr>
    </w:div>
    <w:div w:id="1714689791">
      <w:bodyDiv w:val="1"/>
      <w:marLeft w:val="0"/>
      <w:marRight w:val="0"/>
      <w:marTop w:val="0"/>
      <w:marBottom w:val="0"/>
      <w:divBdr>
        <w:top w:val="none" w:sz="0" w:space="0" w:color="auto"/>
        <w:left w:val="none" w:sz="0" w:space="0" w:color="auto"/>
        <w:bottom w:val="none" w:sz="0" w:space="0" w:color="auto"/>
        <w:right w:val="none" w:sz="0" w:space="0" w:color="auto"/>
      </w:divBdr>
    </w:div>
    <w:div w:id="1748380993">
      <w:bodyDiv w:val="1"/>
      <w:marLeft w:val="0"/>
      <w:marRight w:val="0"/>
      <w:marTop w:val="0"/>
      <w:marBottom w:val="0"/>
      <w:divBdr>
        <w:top w:val="none" w:sz="0" w:space="0" w:color="auto"/>
        <w:left w:val="none" w:sz="0" w:space="0" w:color="auto"/>
        <w:bottom w:val="none" w:sz="0" w:space="0" w:color="auto"/>
        <w:right w:val="none" w:sz="0" w:space="0" w:color="auto"/>
      </w:divBdr>
      <w:divsChild>
        <w:div w:id="15650243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62322890">
              <w:marLeft w:val="0"/>
              <w:marRight w:val="0"/>
              <w:marTop w:val="0"/>
              <w:marBottom w:val="0"/>
              <w:divBdr>
                <w:top w:val="none" w:sz="0" w:space="0" w:color="auto"/>
                <w:left w:val="none" w:sz="0" w:space="0" w:color="auto"/>
                <w:bottom w:val="none" w:sz="0" w:space="0" w:color="auto"/>
                <w:right w:val="none" w:sz="0" w:space="0" w:color="auto"/>
              </w:divBdr>
              <w:divsChild>
                <w:div w:id="864366106">
                  <w:marLeft w:val="0"/>
                  <w:marRight w:val="0"/>
                  <w:marTop w:val="0"/>
                  <w:marBottom w:val="0"/>
                  <w:divBdr>
                    <w:top w:val="none" w:sz="0" w:space="0" w:color="auto"/>
                    <w:left w:val="none" w:sz="0" w:space="0" w:color="auto"/>
                    <w:bottom w:val="none" w:sz="0" w:space="0" w:color="auto"/>
                    <w:right w:val="none" w:sz="0" w:space="0" w:color="auto"/>
                  </w:divBdr>
                  <w:divsChild>
                    <w:div w:id="279460155">
                      <w:marLeft w:val="0"/>
                      <w:marRight w:val="0"/>
                      <w:marTop w:val="0"/>
                      <w:marBottom w:val="0"/>
                      <w:divBdr>
                        <w:top w:val="none" w:sz="0" w:space="0" w:color="auto"/>
                        <w:left w:val="none" w:sz="0" w:space="0" w:color="auto"/>
                        <w:bottom w:val="none" w:sz="0" w:space="0" w:color="auto"/>
                        <w:right w:val="none" w:sz="0" w:space="0" w:color="auto"/>
                      </w:divBdr>
                      <w:divsChild>
                        <w:div w:id="5531948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57257942">
                              <w:marLeft w:val="0"/>
                              <w:marRight w:val="0"/>
                              <w:marTop w:val="0"/>
                              <w:marBottom w:val="0"/>
                              <w:divBdr>
                                <w:top w:val="none" w:sz="0" w:space="0" w:color="auto"/>
                                <w:left w:val="none" w:sz="0" w:space="0" w:color="auto"/>
                                <w:bottom w:val="none" w:sz="0" w:space="0" w:color="auto"/>
                                <w:right w:val="none" w:sz="0" w:space="0" w:color="auto"/>
                              </w:divBdr>
                              <w:divsChild>
                                <w:div w:id="1595087938">
                                  <w:marLeft w:val="0"/>
                                  <w:marRight w:val="0"/>
                                  <w:marTop w:val="0"/>
                                  <w:marBottom w:val="0"/>
                                  <w:divBdr>
                                    <w:top w:val="none" w:sz="0" w:space="0" w:color="auto"/>
                                    <w:left w:val="none" w:sz="0" w:space="0" w:color="auto"/>
                                    <w:bottom w:val="none" w:sz="0" w:space="0" w:color="auto"/>
                                    <w:right w:val="none" w:sz="0" w:space="0" w:color="auto"/>
                                  </w:divBdr>
                                  <w:divsChild>
                                    <w:div w:id="47842362">
                                      <w:marLeft w:val="0"/>
                                      <w:marRight w:val="0"/>
                                      <w:marTop w:val="0"/>
                                      <w:marBottom w:val="0"/>
                                      <w:divBdr>
                                        <w:top w:val="none" w:sz="0" w:space="0" w:color="auto"/>
                                        <w:left w:val="none" w:sz="0" w:space="0" w:color="auto"/>
                                        <w:bottom w:val="none" w:sz="0" w:space="0" w:color="auto"/>
                                        <w:right w:val="none" w:sz="0" w:space="0" w:color="auto"/>
                                      </w:divBdr>
                                      <w:divsChild>
                                        <w:div w:id="638538314">
                                          <w:marLeft w:val="0"/>
                                          <w:marRight w:val="0"/>
                                          <w:marTop w:val="0"/>
                                          <w:marBottom w:val="0"/>
                                          <w:divBdr>
                                            <w:top w:val="none" w:sz="0" w:space="0" w:color="auto"/>
                                            <w:left w:val="none" w:sz="0" w:space="0" w:color="auto"/>
                                            <w:bottom w:val="none" w:sz="0" w:space="0" w:color="auto"/>
                                            <w:right w:val="none" w:sz="0" w:space="0" w:color="auto"/>
                                          </w:divBdr>
                                          <w:divsChild>
                                            <w:div w:id="1825537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41414">
                                      <w:marLeft w:val="0"/>
                                      <w:marRight w:val="0"/>
                                      <w:marTop w:val="0"/>
                                      <w:marBottom w:val="0"/>
                                      <w:divBdr>
                                        <w:top w:val="none" w:sz="0" w:space="0" w:color="auto"/>
                                        <w:left w:val="none" w:sz="0" w:space="0" w:color="auto"/>
                                        <w:bottom w:val="none" w:sz="0" w:space="0" w:color="auto"/>
                                        <w:right w:val="none" w:sz="0" w:space="0" w:color="auto"/>
                                      </w:divBdr>
                                      <w:divsChild>
                                        <w:div w:id="526716829">
                                          <w:marLeft w:val="0"/>
                                          <w:marRight w:val="0"/>
                                          <w:marTop w:val="0"/>
                                          <w:marBottom w:val="0"/>
                                          <w:divBdr>
                                            <w:top w:val="none" w:sz="0" w:space="0" w:color="auto"/>
                                            <w:left w:val="none" w:sz="0" w:space="0" w:color="auto"/>
                                            <w:bottom w:val="none" w:sz="0" w:space="0" w:color="auto"/>
                                            <w:right w:val="none" w:sz="0" w:space="0" w:color="auto"/>
                                          </w:divBdr>
                                          <w:divsChild>
                                            <w:div w:id="1132868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084250">
                                      <w:marLeft w:val="0"/>
                                      <w:marRight w:val="0"/>
                                      <w:marTop w:val="0"/>
                                      <w:marBottom w:val="0"/>
                                      <w:divBdr>
                                        <w:top w:val="none" w:sz="0" w:space="0" w:color="auto"/>
                                        <w:left w:val="none" w:sz="0" w:space="0" w:color="auto"/>
                                        <w:bottom w:val="none" w:sz="0" w:space="0" w:color="auto"/>
                                        <w:right w:val="none" w:sz="0" w:space="0" w:color="auto"/>
                                      </w:divBdr>
                                      <w:divsChild>
                                        <w:div w:id="1418820846">
                                          <w:marLeft w:val="0"/>
                                          <w:marRight w:val="0"/>
                                          <w:marTop w:val="0"/>
                                          <w:marBottom w:val="0"/>
                                          <w:divBdr>
                                            <w:top w:val="none" w:sz="0" w:space="0" w:color="auto"/>
                                            <w:left w:val="none" w:sz="0" w:space="0" w:color="auto"/>
                                            <w:bottom w:val="none" w:sz="0" w:space="0" w:color="auto"/>
                                            <w:right w:val="none" w:sz="0" w:space="0" w:color="auto"/>
                                          </w:divBdr>
                                          <w:divsChild>
                                            <w:div w:id="960578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470121">
                                      <w:marLeft w:val="0"/>
                                      <w:marRight w:val="0"/>
                                      <w:marTop w:val="0"/>
                                      <w:marBottom w:val="0"/>
                                      <w:divBdr>
                                        <w:top w:val="none" w:sz="0" w:space="0" w:color="auto"/>
                                        <w:left w:val="none" w:sz="0" w:space="0" w:color="auto"/>
                                        <w:bottom w:val="none" w:sz="0" w:space="0" w:color="auto"/>
                                        <w:right w:val="none" w:sz="0" w:space="0" w:color="auto"/>
                                      </w:divBdr>
                                      <w:divsChild>
                                        <w:div w:id="112287997">
                                          <w:marLeft w:val="0"/>
                                          <w:marRight w:val="0"/>
                                          <w:marTop w:val="0"/>
                                          <w:marBottom w:val="0"/>
                                          <w:divBdr>
                                            <w:top w:val="none" w:sz="0" w:space="0" w:color="auto"/>
                                            <w:left w:val="none" w:sz="0" w:space="0" w:color="auto"/>
                                            <w:bottom w:val="none" w:sz="0" w:space="0" w:color="auto"/>
                                            <w:right w:val="none" w:sz="0" w:space="0" w:color="auto"/>
                                          </w:divBdr>
                                          <w:divsChild>
                                            <w:div w:id="1585917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52309471">
      <w:bodyDiv w:val="1"/>
      <w:marLeft w:val="0"/>
      <w:marRight w:val="0"/>
      <w:marTop w:val="0"/>
      <w:marBottom w:val="0"/>
      <w:divBdr>
        <w:top w:val="none" w:sz="0" w:space="0" w:color="auto"/>
        <w:left w:val="none" w:sz="0" w:space="0" w:color="auto"/>
        <w:bottom w:val="none" w:sz="0" w:space="0" w:color="auto"/>
        <w:right w:val="none" w:sz="0" w:space="0" w:color="auto"/>
      </w:divBdr>
      <w:divsChild>
        <w:div w:id="508182755">
          <w:marLeft w:val="0"/>
          <w:marRight w:val="0"/>
          <w:marTop w:val="0"/>
          <w:marBottom w:val="0"/>
          <w:divBdr>
            <w:top w:val="none" w:sz="0" w:space="0" w:color="auto"/>
            <w:left w:val="none" w:sz="0" w:space="0" w:color="auto"/>
            <w:bottom w:val="none" w:sz="0" w:space="0" w:color="auto"/>
            <w:right w:val="none" w:sz="0" w:space="0" w:color="auto"/>
          </w:divBdr>
          <w:divsChild>
            <w:div w:id="575282359">
              <w:marLeft w:val="0"/>
              <w:marRight w:val="0"/>
              <w:marTop w:val="0"/>
              <w:marBottom w:val="0"/>
              <w:divBdr>
                <w:top w:val="none" w:sz="0" w:space="0" w:color="auto"/>
                <w:left w:val="none" w:sz="0" w:space="0" w:color="auto"/>
                <w:bottom w:val="none" w:sz="0" w:space="0" w:color="auto"/>
                <w:right w:val="none" w:sz="0" w:space="0" w:color="auto"/>
              </w:divBdr>
              <w:divsChild>
                <w:div w:id="188837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486987">
      <w:bodyDiv w:val="1"/>
      <w:marLeft w:val="0"/>
      <w:marRight w:val="0"/>
      <w:marTop w:val="0"/>
      <w:marBottom w:val="0"/>
      <w:divBdr>
        <w:top w:val="none" w:sz="0" w:space="0" w:color="auto"/>
        <w:left w:val="none" w:sz="0" w:space="0" w:color="auto"/>
        <w:bottom w:val="none" w:sz="0" w:space="0" w:color="auto"/>
        <w:right w:val="none" w:sz="0" w:space="0" w:color="auto"/>
      </w:divBdr>
    </w:div>
    <w:div w:id="1761827175">
      <w:bodyDiv w:val="1"/>
      <w:marLeft w:val="0"/>
      <w:marRight w:val="0"/>
      <w:marTop w:val="0"/>
      <w:marBottom w:val="0"/>
      <w:divBdr>
        <w:top w:val="none" w:sz="0" w:space="0" w:color="auto"/>
        <w:left w:val="none" w:sz="0" w:space="0" w:color="auto"/>
        <w:bottom w:val="none" w:sz="0" w:space="0" w:color="auto"/>
        <w:right w:val="none" w:sz="0" w:space="0" w:color="auto"/>
      </w:divBdr>
    </w:div>
    <w:div w:id="1769542471">
      <w:bodyDiv w:val="1"/>
      <w:marLeft w:val="0"/>
      <w:marRight w:val="0"/>
      <w:marTop w:val="0"/>
      <w:marBottom w:val="0"/>
      <w:divBdr>
        <w:top w:val="none" w:sz="0" w:space="0" w:color="auto"/>
        <w:left w:val="none" w:sz="0" w:space="0" w:color="auto"/>
        <w:bottom w:val="none" w:sz="0" w:space="0" w:color="auto"/>
        <w:right w:val="none" w:sz="0" w:space="0" w:color="auto"/>
      </w:divBdr>
    </w:div>
    <w:div w:id="1785881700">
      <w:bodyDiv w:val="1"/>
      <w:marLeft w:val="0"/>
      <w:marRight w:val="0"/>
      <w:marTop w:val="0"/>
      <w:marBottom w:val="0"/>
      <w:divBdr>
        <w:top w:val="none" w:sz="0" w:space="0" w:color="auto"/>
        <w:left w:val="none" w:sz="0" w:space="0" w:color="auto"/>
        <w:bottom w:val="none" w:sz="0" w:space="0" w:color="auto"/>
        <w:right w:val="none" w:sz="0" w:space="0" w:color="auto"/>
      </w:divBdr>
    </w:div>
    <w:div w:id="1917353453">
      <w:bodyDiv w:val="1"/>
      <w:marLeft w:val="0"/>
      <w:marRight w:val="0"/>
      <w:marTop w:val="0"/>
      <w:marBottom w:val="0"/>
      <w:divBdr>
        <w:top w:val="none" w:sz="0" w:space="0" w:color="auto"/>
        <w:left w:val="none" w:sz="0" w:space="0" w:color="auto"/>
        <w:bottom w:val="none" w:sz="0" w:space="0" w:color="auto"/>
        <w:right w:val="none" w:sz="0" w:space="0" w:color="auto"/>
      </w:divBdr>
    </w:div>
    <w:div w:id="1918710147">
      <w:bodyDiv w:val="1"/>
      <w:marLeft w:val="0"/>
      <w:marRight w:val="0"/>
      <w:marTop w:val="0"/>
      <w:marBottom w:val="0"/>
      <w:divBdr>
        <w:top w:val="none" w:sz="0" w:space="0" w:color="auto"/>
        <w:left w:val="none" w:sz="0" w:space="0" w:color="auto"/>
        <w:bottom w:val="none" w:sz="0" w:space="0" w:color="auto"/>
        <w:right w:val="none" w:sz="0" w:space="0" w:color="auto"/>
      </w:divBdr>
    </w:div>
    <w:div w:id="1954707949">
      <w:bodyDiv w:val="1"/>
      <w:marLeft w:val="0"/>
      <w:marRight w:val="0"/>
      <w:marTop w:val="0"/>
      <w:marBottom w:val="0"/>
      <w:divBdr>
        <w:top w:val="none" w:sz="0" w:space="0" w:color="auto"/>
        <w:left w:val="none" w:sz="0" w:space="0" w:color="auto"/>
        <w:bottom w:val="none" w:sz="0" w:space="0" w:color="auto"/>
        <w:right w:val="none" w:sz="0" w:space="0" w:color="auto"/>
      </w:divBdr>
    </w:div>
    <w:div w:id="1960720191">
      <w:bodyDiv w:val="1"/>
      <w:marLeft w:val="0"/>
      <w:marRight w:val="0"/>
      <w:marTop w:val="0"/>
      <w:marBottom w:val="0"/>
      <w:divBdr>
        <w:top w:val="none" w:sz="0" w:space="0" w:color="auto"/>
        <w:left w:val="none" w:sz="0" w:space="0" w:color="auto"/>
        <w:bottom w:val="none" w:sz="0" w:space="0" w:color="auto"/>
        <w:right w:val="none" w:sz="0" w:space="0" w:color="auto"/>
      </w:divBdr>
    </w:div>
    <w:div w:id="1961568600">
      <w:bodyDiv w:val="1"/>
      <w:marLeft w:val="0"/>
      <w:marRight w:val="0"/>
      <w:marTop w:val="0"/>
      <w:marBottom w:val="0"/>
      <w:divBdr>
        <w:top w:val="none" w:sz="0" w:space="0" w:color="auto"/>
        <w:left w:val="none" w:sz="0" w:space="0" w:color="auto"/>
        <w:bottom w:val="none" w:sz="0" w:space="0" w:color="auto"/>
        <w:right w:val="none" w:sz="0" w:space="0" w:color="auto"/>
      </w:divBdr>
    </w:div>
    <w:div w:id="1964187386">
      <w:bodyDiv w:val="1"/>
      <w:marLeft w:val="0"/>
      <w:marRight w:val="0"/>
      <w:marTop w:val="0"/>
      <w:marBottom w:val="0"/>
      <w:divBdr>
        <w:top w:val="none" w:sz="0" w:space="0" w:color="auto"/>
        <w:left w:val="none" w:sz="0" w:space="0" w:color="auto"/>
        <w:bottom w:val="none" w:sz="0" w:space="0" w:color="auto"/>
        <w:right w:val="none" w:sz="0" w:space="0" w:color="auto"/>
      </w:divBdr>
      <w:divsChild>
        <w:div w:id="1917401996">
          <w:marLeft w:val="0"/>
          <w:marRight w:val="0"/>
          <w:marTop w:val="0"/>
          <w:marBottom w:val="0"/>
          <w:divBdr>
            <w:top w:val="none" w:sz="0" w:space="0" w:color="auto"/>
            <w:left w:val="none" w:sz="0" w:space="0" w:color="auto"/>
            <w:bottom w:val="none" w:sz="0" w:space="0" w:color="auto"/>
            <w:right w:val="none" w:sz="0" w:space="0" w:color="auto"/>
          </w:divBdr>
          <w:divsChild>
            <w:div w:id="102266287">
              <w:marLeft w:val="0"/>
              <w:marRight w:val="0"/>
              <w:marTop w:val="0"/>
              <w:marBottom w:val="0"/>
              <w:divBdr>
                <w:top w:val="none" w:sz="0" w:space="0" w:color="auto"/>
                <w:left w:val="none" w:sz="0" w:space="0" w:color="auto"/>
                <w:bottom w:val="none" w:sz="0" w:space="0" w:color="auto"/>
                <w:right w:val="none" w:sz="0" w:space="0" w:color="auto"/>
              </w:divBdr>
              <w:divsChild>
                <w:div w:id="40869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412670">
      <w:bodyDiv w:val="1"/>
      <w:marLeft w:val="0"/>
      <w:marRight w:val="0"/>
      <w:marTop w:val="0"/>
      <w:marBottom w:val="0"/>
      <w:divBdr>
        <w:top w:val="none" w:sz="0" w:space="0" w:color="auto"/>
        <w:left w:val="none" w:sz="0" w:space="0" w:color="auto"/>
        <w:bottom w:val="none" w:sz="0" w:space="0" w:color="auto"/>
        <w:right w:val="none" w:sz="0" w:space="0" w:color="auto"/>
      </w:divBdr>
    </w:div>
    <w:div w:id="1999111100">
      <w:bodyDiv w:val="1"/>
      <w:marLeft w:val="0"/>
      <w:marRight w:val="0"/>
      <w:marTop w:val="0"/>
      <w:marBottom w:val="0"/>
      <w:divBdr>
        <w:top w:val="none" w:sz="0" w:space="0" w:color="auto"/>
        <w:left w:val="none" w:sz="0" w:space="0" w:color="auto"/>
        <w:bottom w:val="none" w:sz="0" w:space="0" w:color="auto"/>
        <w:right w:val="none" w:sz="0" w:space="0" w:color="auto"/>
      </w:divBdr>
    </w:div>
    <w:div w:id="2061443334">
      <w:bodyDiv w:val="1"/>
      <w:marLeft w:val="0"/>
      <w:marRight w:val="0"/>
      <w:marTop w:val="0"/>
      <w:marBottom w:val="0"/>
      <w:divBdr>
        <w:top w:val="none" w:sz="0" w:space="0" w:color="auto"/>
        <w:left w:val="none" w:sz="0" w:space="0" w:color="auto"/>
        <w:bottom w:val="none" w:sz="0" w:space="0" w:color="auto"/>
        <w:right w:val="none" w:sz="0" w:space="0" w:color="auto"/>
      </w:divBdr>
    </w:div>
    <w:div w:id="2071493682">
      <w:bodyDiv w:val="1"/>
      <w:marLeft w:val="0"/>
      <w:marRight w:val="0"/>
      <w:marTop w:val="0"/>
      <w:marBottom w:val="0"/>
      <w:divBdr>
        <w:top w:val="none" w:sz="0" w:space="0" w:color="auto"/>
        <w:left w:val="none" w:sz="0" w:space="0" w:color="auto"/>
        <w:bottom w:val="none" w:sz="0" w:space="0" w:color="auto"/>
        <w:right w:val="none" w:sz="0" w:space="0" w:color="auto"/>
      </w:divBdr>
    </w:div>
    <w:div w:id="207377448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footnotes.xml.rels><?xml version="1.0" encoding="UTF-8" standalone="yes"?>
<Relationships xmlns="http://schemas.openxmlformats.org/package/2006/relationships"><Relationship Id="rId1" Type="http://schemas.openxmlformats.org/officeDocument/2006/relationships/hyperlink" Target="https://mjp.univ-perp.fr/traites/1885berlin.htm"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479</TotalTime>
  <Pages>11</Pages>
  <Words>2920</Words>
  <Characters>16095</Characters>
  <Application>Microsoft Macintosh Word</Application>
  <DocSecurity>0</DocSecurity>
  <Lines>251</Lines>
  <Paragraphs>50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18965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sinfo fusl</dc:creator>
  <cp:keywords/>
  <dc:description/>
  <cp:lastModifiedBy>Utilisateur de Microsoft Office</cp:lastModifiedBy>
  <cp:revision>16</cp:revision>
  <dcterms:created xsi:type="dcterms:W3CDTF">2019-12-05T11:19:00Z</dcterms:created>
  <dcterms:modified xsi:type="dcterms:W3CDTF">2019-12-06T14:01:00Z</dcterms:modified>
</cp:coreProperties>
</file>