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rFonts w:ascii="Times New Roman" w:hAnsi="Times New Roman" w:cs="Times New Roman"/>
          <w:b/>
          <w:bCs/>
          <w:sz w:val="32"/>
          <w:szCs w:val="32"/>
        </w:rPr>
      </w:pPr>
      <w:r>
        <w:rPr>
          <w:rFonts w:cs="Times New Roman" w:ascii="Times New Roman" w:hAnsi="Times New Roman"/>
          <w:b/>
          <w:bCs/>
          <w:sz w:val="32"/>
          <w:szCs w:val="32"/>
        </w:rPr>
        <w:t>Les secrétariats politiques.</w:t>
      </w:r>
    </w:p>
    <w:p>
      <w:pPr>
        <w:pStyle w:val="Normal"/>
        <w:spacing w:lineRule="auto" w:line="276"/>
        <w:jc w:val="center"/>
        <w:rPr>
          <w:rFonts w:ascii="Times New Roman" w:hAnsi="Times New Roman" w:cs="Times New Roman"/>
          <w:b/>
          <w:bCs/>
          <w:sz w:val="32"/>
          <w:szCs w:val="32"/>
        </w:rPr>
      </w:pPr>
      <w:r>
        <w:rPr>
          <w:rFonts w:cs="Times New Roman" w:ascii="Times New Roman" w:hAnsi="Times New Roman"/>
          <w:b/>
          <w:bCs/>
          <w:sz w:val="32"/>
          <w:szCs w:val="32"/>
        </w:rPr>
        <w:t>Des acteurs discrets et discrétionnaires dans le travail politique du Comité des régions</w:t>
      </w:r>
    </w:p>
    <w:p>
      <w:pPr>
        <w:pStyle w:val="Normal"/>
        <w:spacing w:lineRule="auto" w:line="276"/>
        <w:jc w:val="center"/>
        <w:rPr>
          <w:rFonts w:ascii="Times New Roman" w:hAnsi="Times New Roman" w:cs="Times New Roman"/>
          <w:sz w:val="28"/>
          <w:szCs w:val="28"/>
        </w:rPr>
      </w:pPr>
      <w:r>
        <w:rPr>
          <w:rFonts w:cs="Times New Roman" w:ascii="Times New Roman" w:hAnsi="Times New Roman"/>
          <w:sz w:val="28"/>
          <w:szCs w:val="28"/>
        </w:rPr>
        <w:t>Jessy Bailly</w:t>
      </w:r>
    </w:p>
    <w:p>
      <w:pPr>
        <w:pStyle w:val="Normal"/>
        <w:spacing w:lineRule="auto" w:line="276"/>
        <w:jc w:val="center"/>
        <w:rPr>
          <w:rFonts w:ascii="Times New Roman" w:hAnsi="Times New Roman" w:cs="Times New Roman"/>
          <w:sz w:val="24"/>
          <w:szCs w:val="24"/>
        </w:rPr>
      </w:pPr>
      <w:r>
        <w:rPr>
          <w:rFonts w:cs="Times New Roman" w:ascii="Times New Roman" w:hAnsi="Times New Roman"/>
          <w:sz w:val="24"/>
          <w:szCs w:val="24"/>
        </w:rPr>
        <w:t>CEVIPOL/MESOPOLHIS</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Pour citer cet article : Jessy Bailly,</w:t>
      </w:r>
      <w:r>
        <w:rPr>
          <w:rFonts w:cs="Times New Roman" w:ascii="Times New Roman" w:hAnsi="Times New Roman"/>
          <w:b/>
          <w:bCs/>
          <w:sz w:val="24"/>
          <w:szCs w:val="24"/>
        </w:rPr>
        <w:t xml:space="preserve"> « </w:t>
      </w:r>
      <w:r>
        <w:rPr>
          <w:rFonts w:cs="Times New Roman" w:ascii="Times New Roman" w:hAnsi="Times New Roman"/>
          <w:sz w:val="24"/>
          <w:szCs w:val="24"/>
        </w:rPr>
        <w:t xml:space="preserve">Les secrétariats politiques. Des acteurs discrets et discrétionnaires dans le travail politique du Comité des régions », </w:t>
      </w:r>
      <w:r>
        <w:rPr>
          <w:rFonts w:cs="Times New Roman" w:ascii="Times New Roman" w:hAnsi="Times New Roman"/>
          <w:i/>
          <w:iCs/>
          <w:sz w:val="24"/>
          <w:szCs w:val="24"/>
        </w:rPr>
        <w:t xml:space="preserve">Politique européenne, </w:t>
      </w:r>
      <w:r>
        <w:rPr>
          <w:rFonts w:cs="Times New Roman" w:ascii="Times New Roman" w:hAnsi="Times New Roman"/>
          <w:i w:val="false"/>
          <w:iCs w:val="false"/>
          <w:sz w:val="24"/>
          <w:szCs w:val="24"/>
        </w:rPr>
        <w:t>Vol. 78, p. 72-102. https://doi.org/</w:t>
      </w:r>
      <w:bookmarkStart w:id="0" w:name="iso_690_FR"/>
      <w:bookmarkEnd w:id="0"/>
      <w:r>
        <w:rPr>
          <w:rFonts w:cs="Times New Roman" w:ascii="Times New Roman" w:hAnsi="Times New Roman"/>
          <w:i w:val="false"/>
          <w:iCs w:val="false"/>
          <w:sz w:val="24"/>
          <w:szCs w:val="24"/>
        </w:rPr>
        <w:t>10.3917/poeu.078.0072/ </w:t>
      </w:r>
    </w:p>
    <w:p>
      <w:pPr>
        <w:pStyle w:val="Normal"/>
        <w:spacing w:lineRule="auto" w:line="276"/>
        <w:jc w:val="both"/>
        <w:rPr>
          <w:rFonts w:ascii="Times New Roman" w:hAnsi="Times New Roman" w:cs="Times New Roman"/>
          <w:sz w:val="24"/>
          <w:szCs w:val="24"/>
        </w:rPr>
      </w:pPr>
      <w:r>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i/>
          <w:i/>
          <w:iCs/>
          <w:sz w:val="24"/>
          <w:szCs w:val="24"/>
        </w:rPr>
      </w:pPr>
      <w:r>
        <w:rPr>
          <w:rFonts w:cs="Times New Roman" w:ascii="Times New Roman" w:hAnsi="Times New Roman"/>
          <w:i/>
          <w:iCs/>
          <w:sz w:val="24"/>
          <w:szCs w:val="24"/>
        </w:rPr>
        <w:t>Résumé :</w:t>
      </w:r>
    </w:p>
    <w:p>
      <w:pPr>
        <w:pStyle w:val="Normal"/>
        <w:jc w:val="both"/>
        <w:rPr>
          <w:rFonts w:ascii="Times New Roman" w:hAnsi="Times New Roman" w:cs="Times New Roman"/>
          <w:sz w:val="24"/>
          <w:szCs w:val="24"/>
        </w:rPr>
      </w:pPr>
      <w:r>
        <w:rPr>
          <w:rFonts w:cs="Times New Roman" w:ascii="Times New Roman" w:hAnsi="Times New Roman"/>
          <w:sz w:val="24"/>
          <w:szCs w:val="24"/>
        </w:rPr>
        <w:t>Les travaux sur le Comité des régions (CdR) ne s’intéressent qu’à titre secondaire aux secrétariats politiques qui évoluent au sein de l’organe consultatif. L’article s’appuie sur une enquête qui révèle que ces acteurs discrets dans la littérature sont pourtant discrétionnaires dans le travail politique du CdR. Leur analyse est susceptible de contribuer plus largement à la littérature sur le conseil politique des acteurs non élus au niveau de l’Union européenne. En interrogeant les représentations qu'ont ces secrétaires de leurs prérogatives politiques, l’article éclaire plusieurs de leurs rôles. D’abord, ils travaillent, au niveau de leurs groupes politiques, à dénationaliser les positions de leurs membres, et ils incarnent auprès de ceux-ci une forme de mémoire institutionnelle et politique, pour rendre cohérentes les prises de position des membres avec l’histoire politique du groupe (ou de l’institution). Ensuite, ils contribuent à forger des lignes d’opposition politique entre les membres de leurs groupes et ceux des autres groupes.</w:t>
      </w:r>
    </w:p>
    <w:p>
      <w:pPr>
        <w:pStyle w:val="Normal"/>
        <w:jc w:val="both"/>
        <w:rPr>
          <w:rFonts w:ascii="Times New Roman" w:hAnsi="Times New Roman" w:cs="Times New Roman"/>
          <w:sz w:val="24"/>
          <w:szCs w:val="24"/>
        </w:rPr>
      </w:pPr>
      <w:r>
        <w:rPr>
          <w:rFonts w:cs="Times New Roman" w:ascii="Times New Roman" w:hAnsi="Times New Roman"/>
          <w:i/>
          <w:iCs/>
          <w:sz w:val="24"/>
          <w:szCs w:val="24"/>
        </w:rPr>
        <w:t>Mots-clés :</w:t>
      </w:r>
      <w:r>
        <w:rPr>
          <w:rFonts w:cs="Times New Roman" w:ascii="Times New Roman" w:hAnsi="Times New Roman"/>
          <w:sz w:val="24"/>
          <w:szCs w:val="24"/>
        </w:rPr>
        <w:t xml:space="preserve"> Comité des régions, secrétariats politiques, travail politique, acteurs non élus, rôle proactif</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i/>
          <w:i/>
          <w:iCs/>
          <w:sz w:val="24"/>
          <w:szCs w:val="24"/>
          <w:lang w:val="en-US"/>
        </w:rPr>
      </w:pPr>
      <w:r>
        <w:rPr>
          <w:rFonts w:cs="Times New Roman" w:ascii="Times New Roman" w:hAnsi="Times New Roman"/>
          <w:i/>
          <w:iCs/>
          <w:sz w:val="24"/>
          <w:szCs w:val="24"/>
          <w:lang w:val="en-US"/>
        </w:rPr>
        <w:t>Abstract:</w:t>
      </w:r>
    </w:p>
    <w:p>
      <w:pPr>
        <w:pStyle w:val="Normal"/>
        <w:spacing w:lineRule="auto" w:line="276"/>
        <w:jc w:val="both"/>
        <w:rPr>
          <w:rFonts w:ascii="Times New Roman" w:hAnsi="Times New Roman" w:cs="Times New Roman"/>
          <w:sz w:val="24"/>
          <w:szCs w:val="24"/>
          <w:lang w:val="en-US"/>
        </w:rPr>
      </w:pPr>
      <w:r>
        <w:rPr>
          <w:rFonts w:cs="Times New Roman" w:ascii="Times New Roman" w:hAnsi="Times New Roman"/>
          <w:sz w:val="24"/>
          <w:szCs w:val="24"/>
          <w:lang w:val="en-US"/>
        </w:rPr>
        <w:t>The literature on the Committee of the Regions (CoR) pays only secondary attention to the political secretariats within the advisory body. The article is based on interviews which reveal that these actors are discreet in the literature, yet discretionary in the political work of the CoR. Their analysis is likely to make a wider contribution to the literature on the political advice of non-elected actors at EU level. By interrogating these secretariat members’ representations of their political prerogatives, the article sheds light on several of their roles. Firstly, at the level of their political groups, they strive to denationalise the positions of the members. They therefore embody a form of institutional and political memory for the members, in order to make the positions taken by the members consistent with the political history of the group and that of the institution. Secondly, they contribute to forging political opposition lines between the members of their CoR political groups and those of other groups.</w:t>
      </w:r>
    </w:p>
    <w:p>
      <w:pPr>
        <w:pStyle w:val="Normal"/>
        <w:spacing w:lineRule="auto" w:line="276"/>
        <w:jc w:val="both"/>
        <w:rPr>
          <w:rFonts w:ascii="Times New Roman" w:hAnsi="Times New Roman" w:cs="Times New Roman"/>
          <w:sz w:val="24"/>
          <w:szCs w:val="24"/>
          <w:lang w:val="en-US"/>
        </w:rPr>
      </w:pPr>
      <w:r>
        <w:rPr>
          <w:rFonts w:cs="Times New Roman" w:ascii="Times New Roman" w:hAnsi="Times New Roman"/>
          <w:i/>
          <w:iCs/>
          <w:sz w:val="24"/>
          <w:szCs w:val="24"/>
          <w:lang w:val="en-US"/>
        </w:rPr>
        <w:t>Keywords:</w:t>
      </w:r>
      <w:r>
        <w:rPr>
          <w:rFonts w:cs="Times New Roman" w:ascii="Times New Roman" w:hAnsi="Times New Roman"/>
          <w:sz w:val="24"/>
          <w:szCs w:val="24"/>
          <w:lang w:val="en-US"/>
        </w:rPr>
        <w:t xml:space="preserve"> Committee of the Regions, political secretariats, political work, non-elected actors, proactive role</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r>
        <w:br w:type="page"/>
      </w:r>
    </w:p>
    <w:p>
      <w:pPr>
        <w:pStyle w:val="Normal"/>
        <w:spacing w:lineRule="auto" w:line="276" w:before="0" w:after="160"/>
        <w:jc w:val="both"/>
        <w:rPr>
          <w:rFonts w:ascii="Times New Roman" w:hAnsi="Times New Roman" w:cs="Times New Roman"/>
          <w:b/>
          <w:bCs/>
          <w:sz w:val="24"/>
          <w:szCs w:val="24"/>
        </w:rPr>
      </w:pPr>
      <w:r>
        <w:rPr>
          <w:rFonts w:cs="Times New Roman" w:ascii="Times New Roman" w:hAnsi="Times New Roman"/>
          <w:b/>
          <w:bCs/>
          <w:sz w:val="24"/>
          <w:szCs w:val="24"/>
        </w:rPr>
        <w:t>Introduction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Depuis les années 1980 au moins, les régions sont considérées comme des acteurs importants dans le régime politique de l’Union européenne (UE) (Loughlin, 1996 ; Tatham, 2010)</w:t>
      </w:r>
      <w:r>
        <w:rPr>
          <w:rStyle w:val="FootnoteReference"/>
          <w:rFonts w:cs="Times New Roman" w:ascii="Times New Roman" w:hAnsi="Times New Roman"/>
          <w:sz w:val="24"/>
          <w:szCs w:val="24"/>
        </w:rPr>
        <w:footnoteReference w:id="2"/>
      </w:r>
      <w:r>
        <w:rPr>
          <w:rFonts w:cs="Times New Roman" w:ascii="Times New Roman" w:hAnsi="Times New Roman"/>
          <w:sz w:val="24"/>
          <w:szCs w:val="24"/>
        </w:rPr>
        <w:t xml:space="preserve">. L’expression d’« Europe des régions », évoquée depuis la fin des années 1980, en témoigne, même si elle a été récemment relativisée (Pasquier, 2015). Il n’en demeure pas moins que les intérêts régionaux et locaux sont représentés au niveau européen, que ce soit par l’intermédiaire des eurodéputés au Parlement européen (Costa, 2002 ; Decoster </w:t>
      </w:r>
      <w:r>
        <w:rPr>
          <w:rFonts w:cs="Times New Roman" w:ascii="Times New Roman" w:hAnsi="Times New Roman"/>
          <w:i/>
          <w:iCs/>
          <w:sz w:val="24"/>
          <w:szCs w:val="24"/>
        </w:rPr>
        <w:t>et al</w:t>
      </w:r>
      <w:r>
        <w:rPr>
          <w:rFonts w:cs="Times New Roman" w:ascii="Times New Roman" w:hAnsi="Times New Roman"/>
          <w:sz w:val="24"/>
          <w:szCs w:val="24"/>
        </w:rPr>
        <w:t>., 2019), par le développement de bureaux de représentation des collectivités à Bruxelles (Nielsen et Salk, 1998), de réseaux associatifs plus larges (Loughlin, 1996 ; Payre et Spahic, 2012), ou encore par l’existence d’un organe consultatif consacré par le Traité de Maastricht : le Comité des Régions (CdR), qui prend ses fonctions en 1994.</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Inconnu du grand public, il n’a pas pour autant été délaissé par la littérature scientifique. Très étudié à ses débuts (Christiansen, 1997 ; McCarthy, 1997 ; McCarthy et Farrows, 1997), il a vu ses prérogatives évoluer : de l’expansion des domaines dans lesquels la Commission est tenue de le consulter (Kaniok et Dadova, 2013 ; McCarthy, 1997) au renforcement de sa capacité à surveiller le respect du principe de subsidiarité depuis le Traité de Lisbonne (Cygan, 2014 ; Nicolosi et Mustert, 2020), sans oublier son rôle dans le programme « Regional Hubs » coordonné avec la Commission européenne (Commission, 2018) et visant à évaluer l’application des politiques européennes au niveau local et régional. À tel point que Carroll ne met plus en cause la place du CdR « dans la constellation des organes de l’UE » (2011).</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Les travaux sur le Comité des régions (CdR) se sont concentrés principalement sur trois volets. Le premier consiste à analyser la fabrique des avis au sein du CdR et ses clivages internes (Carroll, 2011 ; Christiansen, 1997 ; Cole, 2005 ; Domorenok, 2009 ; Hönnige et Kaiser, 2003 ; Martinico, 2019 ; McCarthy et Farrows, 1997). Le deuxième vise plutôt à mesurer l’influence du CdR sur les propositions de la Commission (McCarthy et Farrows, 1997 ; Neshkova, 2010), et/ou vis-à-vis des positions d’eurodéputés ou de membres du Conseil (Carroll, 2011 ; Decoster </w:t>
      </w:r>
      <w:r>
        <w:rPr>
          <w:rFonts w:cs="Times New Roman" w:ascii="Times New Roman" w:hAnsi="Times New Roman"/>
          <w:i/>
          <w:iCs/>
          <w:sz w:val="24"/>
          <w:szCs w:val="24"/>
        </w:rPr>
        <w:t>et al</w:t>
      </w:r>
      <w:r>
        <w:rPr>
          <w:rFonts w:cs="Times New Roman" w:ascii="Times New Roman" w:hAnsi="Times New Roman"/>
          <w:sz w:val="24"/>
          <w:szCs w:val="24"/>
        </w:rPr>
        <w:t>., 2019 ; Domorenok, 2009 ; Hönnige et Panke, 2013 et 2016 ; McCarthy, 1997). Le dernier porte sur les rôles non strictement consultatifs du CdR, que ce soit dans la défense du principe de subsidiarité (Carroll, 2011 ; Domorenok, 2009 ; Martinico, 2009 ; Nicolosi et Mustert, 2020), ou comme « faiseur » de réseaux d’acteurs locaux et régionaux (Domorenok, 2009 ; Schönlau, 2017).</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Alors que plusieurs études mentionnent l’importance des secrétaires politiques au CdR, sans développer davantage (Domorenok, 2009 ; Hönnige et Kaiser, 2003), il est étonnant de constater le peu d’attention accordée à ce type d’acteurs, d’autant que cela aurait été susceptible d’apporter des éléments utiles à ces agendas de recherche.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Si l’on étudie dans cet article de tels secrétariats politiques, ce n’est pas exclusivement pour combler un vide empirique. Il s’agit également de contribuer aux recherches portant sur le rôle politique de ceux que l’on dénomme les « unelected assistants », qui sont au service d’élus siégeant dans des assemblées représentatives. Puisqu'ils ne sont pas élus, contrairement aux acteurs politiques légitimés par le suffrage, dont ils sont censés accompagner le travail, quelle est leur marge de manœuvre ? Ruiter a bien évoqué l’un des enjeux démocratiques derrière le travail de ces acteurs non élus, et plus spécifiquement de ceux du « political advice » (2019). On peut ainsi s’interroger sur les rôles et les prérogatives des secrétaires politiques au sein du Comité des Régions tels qu’ils se les représentent</w:t>
      </w:r>
      <w:r>
        <w:rPr>
          <w:rFonts w:cs="Times New Roman" w:ascii="Times New Roman" w:hAnsi="Times New Roman"/>
          <w:b/>
          <w:bCs/>
          <w:sz w:val="24"/>
          <w:szCs w:val="24"/>
        </w:rPr>
        <w:t>.</w:t>
      </w:r>
      <w:r>
        <w:rPr>
          <w:rFonts w:cs="Times New Roman" w:ascii="Times New Roman" w:hAnsi="Times New Roman"/>
          <w:sz w:val="24"/>
          <w:szCs w:val="24"/>
        </w:rPr>
        <w:t xml:space="preserve"> </w:t>
      </w:r>
      <w:r>
        <w:rPr>
          <w:rFonts w:eastAsia="Times New Roman" w:cs="Times New Roman" w:ascii="Times New Roman" w:hAnsi="Times New Roman"/>
          <w:sz w:val="24"/>
          <w:szCs w:val="24"/>
          <w:lang w:eastAsia="fr-FR"/>
        </w:rPr>
        <w:t>Dans la suite de l’article, on revient d’abord sur la littérature portant sur le conseil politique au sein du Parlement européen, à défaut d’une littérature adéquate sur le CdR. Cela permet de sonder, en retour, la singularité et les éléments communs du travail politique des secrétaires du CdR. On présentera ensuite les modalités d’enquête sur ces derniers, avant d’analyser la manière dont ils se représentent leurs rôles et les prérogatives de ces acteurs discrets mais discrétionnaires.</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rPr>
          <w:rStyle w:val="Fontstyle31"/>
          <w:rFonts w:ascii="Times New Roman" w:hAnsi="Times New Roman" w:cs="Times New Roman"/>
          <w:b w:val="false"/>
          <w:bCs w:val="false"/>
          <w:i/>
          <w:i/>
          <w:iCs/>
          <w:color w:val="auto"/>
        </w:rPr>
      </w:pPr>
      <w:r>
        <w:rPr>
          <w:rStyle w:val="Fontstyle21"/>
          <w:rFonts w:cs="Times New Roman" w:ascii="Times New Roman" w:hAnsi="Times New Roman"/>
          <w:b/>
          <w:bCs/>
          <w:i w:val="false"/>
          <w:iCs w:val="false"/>
          <w:color w:val="auto"/>
          <w:sz w:val="24"/>
          <w:szCs w:val="24"/>
        </w:rPr>
        <w:t>Le travail de conseil</w:t>
      </w:r>
      <w:r>
        <w:rPr>
          <w:rFonts w:cs="Times New Roman" w:ascii="Times New Roman" w:hAnsi="Times New Roman"/>
          <w:b/>
          <w:bCs/>
          <w:i/>
          <w:iCs/>
          <w:sz w:val="24"/>
          <w:szCs w:val="24"/>
        </w:rPr>
        <w:t xml:space="preserve"> </w:t>
      </w:r>
      <w:r>
        <w:rPr>
          <w:rStyle w:val="Fontstyle21"/>
          <w:rFonts w:cs="Times New Roman" w:ascii="Times New Roman" w:hAnsi="Times New Roman"/>
          <w:b/>
          <w:bCs/>
          <w:i w:val="false"/>
          <w:iCs w:val="false"/>
          <w:color w:val="auto"/>
          <w:sz w:val="24"/>
          <w:szCs w:val="24"/>
        </w:rPr>
        <w:t>politique au sein des institutions européennes</w:t>
      </w:r>
      <w:r>
        <w:rPr>
          <w:rFonts w:cs="Times New Roman" w:ascii="Times New Roman" w:hAnsi="Times New Roman"/>
          <w:b/>
          <w:bCs/>
          <w:i/>
          <w:iCs/>
        </w:rPr>
        <w:br/>
      </w:r>
    </w:p>
    <w:p>
      <w:pPr>
        <w:pStyle w:val="Normal"/>
        <w:rPr>
          <w:rStyle w:val="Fontstyle31"/>
          <w:rFonts w:ascii="Times New Roman" w:hAnsi="Times New Roman" w:cs="Times New Roman"/>
          <w:b w:val="false"/>
          <w:bCs w:val="false"/>
          <w:i/>
          <w:i/>
          <w:iCs/>
          <w:color w:val="auto"/>
          <w:sz w:val="24"/>
          <w:szCs w:val="24"/>
        </w:rPr>
      </w:pPr>
      <w:r>
        <w:rPr>
          <w:rStyle w:val="Fontstyle31"/>
          <w:rFonts w:cs="Times New Roman" w:ascii="Times New Roman" w:hAnsi="Times New Roman"/>
          <w:b w:val="false"/>
          <w:bCs w:val="false"/>
          <w:i/>
          <w:iCs/>
          <w:color w:val="auto"/>
          <w:sz w:val="24"/>
          <w:szCs w:val="24"/>
        </w:rPr>
        <w:t>Être conseiller politique au sein des institutions européennes : un état des lieux</w:t>
      </w:r>
    </w:p>
    <w:p>
      <w:pPr>
        <w:pStyle w:val="Normal"/>
        <w:jc w:val="both"/>
        <w:rPr>
          <w:rFonts w:ascii="Times New Roman" w:hAnsi="Times New Roman" w:cs="Times New Roman"/>
        </w:rPr>
      </w:pPr>
      <w:r>
        <w:rPr>
          <w:rStyle w:val="Fontstyle31"/>
          <w:rFonts w:cs="Times New Roman" w:ascii="Times New Roman" w:hAnsi="Times New Roman"/>
          <w:b w:val="false"/>
          <w:bCs w:val="false"/>
          <w:color w:val="auto"/>
          <w:sz w:val="24"/>
          <w:szCs w:val="24"/>
        </w:rPr>
        <w:t xml:space="preserve">Pour questionner les représentations des rôles et des prérogatives des secrétaires politiques du CdR, on s’appuie sur les travaux analysant les conseillers politiques non élus, au Parlement européen (PE). </w:t>
      </w:r>
      <w:r>
        <w:rPr>
          <w:rFonts w:cs="Times New Roman" w:ascii="Times New Roman" w:hAnsi="Times New Roman"/>
          <w:sz w:val="24"/>
          <w:szCs w:val="24"/>
        </w:rPr>
        <w:t xml:space="preserve">La littérature revient sur trois catégories d’acteurs : les assistants accrédités au PE (Michon, 2008 ; Neunreither, 2002 ; Pegan, 2017 ; Ruiter, 2019), les fonctionnaires (Dobbels et Neuhold, 2013 ; Neunreither, 2002 ; </w:t>
      </w:r>
      <w:r>
        <w:rPr>
          <w:rStyle w:val="Fontstyle21"/>
          <w:rFonts w:cs="Times New Roman" w:ascii="Times New Roman" w:hAnsi="Times New Roman"/>
          <w:i w:val="false"/>
          <w:iCs w:val="false"/>
          <w:color w:val="auto"/>
          <w:sz w:val="24"/>
          <w:szCs w:val="24"/>
        </w:rPr>
        <w:t>Romanyshyn et Neuhold, 2013 ; Pegan, 2017</w:t>
      </w:r>
      <w:r>
        <w:rPr>
          <w:rStyle w:val="Fontstyle21"/>
          <w:rFonts w:cs="Times New Roman" w:ascii="Times New Roman" w:hAnsi="Times New Roman"/>
          <w:color w:val="auto"/>
          <w:sz w:val="24"/>
          <w:szCs w:val="24"/>
        </w:rPr>
        <w:t xml:space="preserve">) </w:t>
      </w:r>
      <w:r>
        <w:rPr>
          <w:rStyle w:val="Fontstyle21"/>
          <w:rFonts w:cs="Times New Roman" w:ascii="Times New Roman" w:hAnsi="Times New Roman"/>
          <w:i w:val="false"/>
          <w:iCs w:val="false"/>
          <w:color w:val="auto"/>
          <w:sz w:val="24"/>
          <w:szCs w:val="24"/>
        </w:rPr>
        <w:t>et les secrétariats politiques (</w:t>
      </w:r>
      <w:r>
        <w:rPr>
          <w:rFonts w:cs="Times New Roman" w:ascii="Times New Roman" w:hAnsi="Times New Roman"/>
          <w:sz w:val="24"/>
          <w:szCs w:val="24"/>
        </w:rPr>
        <w:t>Neunreither, 2002 ; Pegan, 2017 ; Ruiter, 2019).</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Au niveau des assistants parlementaires (AP), Michon (2008) analyse ces derniers comme des « petites mains » essentielles dans le travail des députés, mais dans l’ombre et subordonnées à leur égard. Si les secrétaires politiques du CdR sont également dans l’ombre, ils ne sont pas subordonnés à un « chef » et leur statut est plus stable, comme on le verra. De plus, la littérature rend compte de prérogatives variées des AP : tâches logistiques comme l’organisation d’événements, la communication des eurodéputés (Michon, 2008 ; Neunreither, 2002), conseil politique et procédural (mais dans une moindre mesure que pour les conseillers politiques du PE, selon Pegan, 2017 et Michon, 2008) ou encore mission de passeurs d’information (Michon, 2008 ; Ruiter, 2019) vis-à-vis de leurs eurodéputés.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Concernant les fonctionnaires du PE, les analyses de leurs prérogatives divergent. Pegan (2017) met en valeur le rôle limité des fonctionnaires dans le travail politique au PE, par rapport aux conseillers politiques et aux assistants parlementaires. Ils aideraient surtout les parlementaires en fournissant des conseils juridiques et procéduraux. D’autres chercheurs affirment que les fonctionnaires dépassent des prérogatives purement administratives. Ces derniers contribuent à redessiner les frontières entre politique et administration, de par leur « compétence politisée » (Romanyshyn et Neuhold, 2013), et par leur contribution en termes d’« assistance législative » (Neunreither, 2002). Neunreither (2002) montre que ce rôle politique des fonctionnaires varie selon les domaines, la procédure et les eurodéputés.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Enfin, les travaux sur les secrétariats politiques du PE s’accordent sur le fait qu’ils ont un rôle clé dans la coordination des membres du groupe parlementaire (Neunreither, 2002 ; Pegan, 2017), dans la rédaction d’amendements (Neunreither, 2002 ; Pegan, 2017) et dans les relations interinstitutionnelles (Pegan, 2017). Michon considère que ces conseillers politiques exercent des tâches considérées au sein du PE comme plus « intéressantes » que celles des AP, tout en « bénéficiant d’une plus grande indépendance » (2008). Dans la même perspective, Ruiter (2019), qui a consacré sa thèse aux secrétaires politiques au PE, met en lumière leur rôle non clairement défini, mais déterminant dans la vie politique de l’institution (2019).</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Au-delà de l’exercice descriptif des tâches de chaque catégorie d’acteurs du PE, que l’on s’efforcera de comparer avec les secrétaires politiques du CdR, on reprend la typologie de Ruiter (2022) pour analyser le rôle des secrétaires politiques étudiés. Elle distingue trois attitudes des secrétaires politiques du PE, en fonction du degré d’autonomie entre ces derniers et les eurodéputés du groupe pour lequel ils travaillent : un rôle de « routine » (lorsque le mandat des secrétaires politiques est explicite et réglé), un rôle « réactif » (lorsque les directives sont explicites, mais que les secrétaires sont relativement autorisés à improviser) et un rôle « proactif » (lorsque le mandat autorise les secrétaires à agir de manière discrétionnaire, sans instruction de la part des eurodéputés).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Par rapport aux travaux susmentionnés, on interroge dans cet article les représentations que les secrétaires politiques du CdR ont de leur propre travail, de leurs tâches et prérogatives. On va analyser particulièrement comment ces secrétaires se représentent jouer ce que Ruiter appelle un rôle « pro-actif » (2022), ou ce que Dobbels et Neuhold (2013) nomment un « steering role »</w:t>
      </w:r>
      <w:r>
        <w:rPr>
          <w:rStyle w:val="FootnoteReference"/>
          <w:rFonts w:cs="Times New Roman" w:ascii="Times New Roman" w:hAnsi="Times New Roman"/>
          <w:sz w:val="24"/>
          <w:szCs w:val="24"/>
        </w:rPr>
        <w:footnoteReference w:id="3"/>
      </w:r>
      <w:r>
        <w:rPr>
          <w:rFonts w:cs="Times New Roman" w:ascii="Times New Roman" w:hAnsi="Times New Roman"/>
          <w:sz w:val="24"/>
          <w:szCs w:val="24"/>
        </w:rPr>
        <w:t>. On montrera comment ces secrétaires politiques du CdR travaillent, au niveau de leurs groupes politiques, à dénationaliser les positions de leurs membres, ainsi qu’en incarnant auprès d'eux une forme de mémoire institutionnelle et politique, à rendre cohérentes leurs prises de position avec l’histoire politique du groupe (ou de l’institution</w:t>
      </w:r>
      <w:r>
        <w:rPr>
          <w:rStyle w:val="FootnoteReference"/>
          <w:rFonts w:cs="Times New Roman" w:ascii="Times New Roman" w:hAnsi="Times New Roman"/>
          <w:sz w:val="24"/>
          <w:szCs w:val="24"/>
        </w:rPr>
        <w:footnoteReference w:id="4"/>
      </w:r>
      <w:r>
        <w:rPr>
          <w:rFonts w:cs="Times New Roman" w:ascii="Times New Roman" w:hAnsi="Times New Roman"/>
          <w:sz w:val="24"/>
          <w:szCs w:val="24"/>
        </w:rPr>
        <w:t>). On mettra aussi en valeur comment ils contribuent à forger des lignes d’opposition politique entre les membres de leurs groupes et ceux des autres groupes du CdR.</w:t>
      </w:r>
    </w:p>
    <w:p>
      <w:pPr>
        <w:pStyle w:val="Normal"/>
        <w:rPr>
          <w:rStyle w:val="Fontstyle31"/>
          <w:rFonts w:ascii="Times New Roman" w:hAnsi="Times New Roman" w:cs="Times New Roman"/>
          <w:color w:val="auto"/>
        </w:rPr>
      </w:pPr>
      <w:r>
        <w:rPr>
          <w:rFonts w:cs="Times New Roman" w:ascii="Times New Roman" w:hAnsi="Times New Roman"/>
          <w:color w:val="auto"/>
        </w:rPr>
      </w:r>
    </w:p>
    <w:p>
      <w:pPr>
        <w:pStyle w:val="Normal"/>
        <w:rPr>
          <w:rStyle w:val="Fontstyle31"/>
          <w:rFonts w:ascii="Times New Roman" w:hAnsi="Times New Roman" w:cs="Times New Roman"/>
          <w:b w:val="false"/>
          <w:bCs w:val="false"/>
          <w:i/>
          <w:i/>
          <w:iCs/>
          <w:color w:val="auto"/>
          <w:sz w:val="24"/>
          <w:szCs w:val="24"/>
        </w:rPr>
      </w:pPr>
      <w:r>
        <w:rPr>
          <w:rStyle w:val="Fontstyle31"/>
          <w:rFonts w:cs="Times New Roman" w:ascii="Times New Roman" w:hAnsi="Times New Roman"/>
          <w:b w:val="false"/>
          <w:bCs w:val="false"/>
          <w:i/>
          <w:iCs/>
          <w:color w:val="auto"/>
          <w:sz w:val="24"/>
          <w:szCs w:val="24"/>
        </w:rPr>
        <w:t>Les secrétaires politiques du CdR : des acteurs dans l’ombre mais discrétionnaires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Le cas d’étude du CdR est intéressant à analyser en miroir de cette littérature. D’autant que certains ont considéré que le CdR, alors en quête d’identité, avait cherché à mimer institutionnellement le Parlement européen (Loughlin, 1996). Toutefois, bien qu’également représentatif et créé notamment pour répondre aux critiques sur le déficit démocratique de l’UE (Decoster </w:t>
      </w:r>
      <w:r>
        <w:rPr>
          <w:rFonts w:cs="Times New Roman" w:ascii="Times New Roman" w:hAnsi="Times New Roman"/>
          <w:i/>
          <w:iCs/>
          <w:sz w:val="24"/>
          <w:szCs w:val="24"/>
        </w:rPr>
        <w:t>et al</w:t>
      </w:r>
      <w:r>
        <w:rPr>
          <w:rFonts w:cs="Times New Roman" w:ascii="Times New Roman" w:hAnsi="Times New Roman"/>
          <w:sz w:val="24"/>
          <w:szCs w:val="24"/>
        </w:rPr>
        <w:t>., 2019), le CdR n’a pas de pouvoir législatif et dispose de ressources financières moindres (Cygan, 2014). Ensuite, contrairement aux eurodéputés, les membres du CdR, qui sont des élus locaux (ou au moins responsables devant une assemblée locale ou régionale)</w:t>
      </w:r>
      <w:r>
        <w:rPr>
          <w:rStyle w:val="FootnoteReference"/>
          <w:rFonts w:cs="Times New Roman" w:ascii="Times New Roman" w:hAnsi="Times New Roman"/>
          <w:sz w:val="24"/>
          <w:szCs w:val="24"/>
        </w:rPr>
        <w:footnoteReference w:id="5"/>
      </w:r>
      <w:r>
        <w:rPr>
          <w:rFonts w:cs="Times New Roman" w:ascii="Times New Roman" w:hAnsi="Times New Roman"/>
          <w:sz w:val="24"/>
          <w:szCs w:val="24"/>
        </w:rPr>
        <w:t>, ne siègent qu’à temps partiel au niveau du CdR (Domorenok, 2009). Ils continuent à exercer leurs responsabilités exécutives et législatives à un niveau sub-étatique, en même temps qu’ils travaillent par intermittence au CdR. Dès lors, le travail de ceux qui sont en permanence au CdR, à savoir les fonctionnaires (« administrateurs »</w:t>
      </w:r>
      <w:r>
        <w:rPr>
          <w:rStyle w:val="Caractresdenotedebasdepage"/>
          <w:rFonts w:cs="Times New Roman" w:ascii="Times New Roman" w:hAnsi="Times New Roman"/>
          <w:sz w:val="24"/>
          <w:szCs w:val="24"/>
        </w:rPr>
        <w:t xml:space="preserve"> </w:t>
      </w:r>
      <w:r>
        <w:rPr>
          <w:rStyle w:val="FootnoteReference"/>
          <w:rFonts w:cs="Times New Roman" w:ascii="Times New Roman" w:hAnsi="Times New Roman"/>
          <w:sz w:val="24"/>
          <w:szCs w:val="24"/>
        </w:rPr>
        <w:footnoteReference w:id="6"/>
      </w:r>
      <w:r>
        <w:rPr>
          <w:rFonts w:cs="Times New Roman" w:ascii="Times New Roman" w:hAnsi="Times New Roman"/>
          <w:sz w:val="24"/>
          <w:szCs w:val="24"/>
        </w:rPr>
        <w:t>) et les secrétaires politiques, est d’autant plus vital pour faire vivre l’institution. D’autant plus que des travaux sur le CdR montrent sa propension à être « pro-actif » dans le processus européen de prise de décision (Carroll, 2011 ; Hönnige et Panke, 2016 ; Schönlau, 2017). Il est ainsi raisonnable de penser que les secrétaires politiques y contribuent. Les travaux sur le CdR n’y font cependant référence qu’épisodiquement (Domorenok, 2009 ; McCarthy et Farrows, 1997 ; Hönnige et Kaiser, 2003 ; Kaniok et Dadova, 2013 ; Nicolosi et Mustert, 2020).</w:t>
      </w:r>
    </w:p>
    <w:p>
      <w:pPr>
        <w:pStyle w:val="NormalWeb"/>
        <w:spacing w:lineRule="auto" w:line="276" w:before="280" w:after="280"/>
        <w:jc w:val="both"/>
        <w:rPr/>
      </w:pPr>
      <w:r>
        <w:rPr/>
        <w:t>Le CdR est créé par le Traité de Maastricht et il prend ses fonctions en 1994. Formellement, il vise à associer, de manière consultative, les élus locaux et régionaux à la fabrique des décisions communautaires. Dans un certain nombre de domaines prévus par les Traités, il est obligatoirement consulté par la Commission</w:t>
      </w:r>
      <w:r>
        <w:rPr>
          <w:rStyle w:val="FootnoteReference"/>
        </w:rPr>
        <w:footnoteReference w:id="7"/>
      </w:r>
      <w:r>
        <w:rPr/>
        <w:t>. Il rend des avis non contraignants, même si le Parlement et le Conseil de l’UE (les deux institutions qui légifèrent sur la base de la proposition de la Commission) sont tenus d’en prendre connaissance (ce n’est pas le cas en pratique, comme l’ont étudié Hönnige et Panke, 2013). Ainsi, le CdR est soit consulté dans les domaines cités, soit il pratique l’autosaisine afin de se prononcer sur un dossier législatif en particulier. Lors de la 5</w:t>
      </w:r>
      <w:r>
        <w:rPr>
          <w:vertAlign w:val="superscript"/>
        </w:rPr>
        <w:t>e</w:t>
      </w:r>
      <w:r>
        <w:rPr/>
        <w:t xml:space="preserve"> législature (2015-2019), le CdR a produit des avis d’autosaisine à hauteur de 31,9 % (Artigny, 2019) du total des avis rendus.</w:t>
      </w:r>
    </w:p>
    <w:p>
      <w:pPr>
        <w:pStyle w:val="NormalWeb"/>
        <w:spacing w:lineRule="auto" w:line="276" w:before="280" w:after="280"/>
        <w:jc w:val="both"/>
        <w:rPr/>
      </w:pPr>
      <w:r>
        <w:rPr/>
        <w:t>Depuis le Brexit, il est composé de 329 membres provenant des 27 États-membres (avec un nombre de sièges proportionnel à la représentation démographique des États). Ces membres sont des élus municipaux, départementaux ou régionaux. Ils sont donc investis par des électeurs, responsables devant leur assemblée locale, et c’est à ce titre qu’ils siègent au sein du CdR</w:t>
      </w:r>
      <w:r>
        <w:rPr>
          <w:rStyle w:val="FootnoteReference"/>
        </w:rPr>
        <w:footnoteReference w:id="8"/>
      </w:r>
      <w:r>
        <w:rPr/>
        <w:t xml:space="preserve">. </w:t>
        <w:br/>
        <w:t>Au sein du Comité qui s’apparente à un « mini-Parlement », les membres siègent dans l’une des six commissions thématiques</w:t>
      </w:r>
      <w:r>
        <w:rPr>
          <w:rStyle w:val="FootnoteReference"/>
        </w:rPr>
        <w:footnoteReference w:id="9"/>
      </w:r>
      <w:r>
        <w:rPr/>
        <w:t xml:space="preserve">, au sein desquelles ils produisent des avis sur des propositions législatives émises par la Commission européenne (ou sur autosaisine). </w:t>
        <w:br/>
        <w:t>Ces avis sont ensuite adoptés au niveau de l’assemblée plénière du Comité (en présence des 329), avant d’être remis au Parlement et au Conseil de l’UE. Au-delà des commissions, les membres sont tenus de s’affilier à un groupe politique (il en existe six) et se réunissent parfois par délégation nationale. Il y a aussi un bureau, composé de membres du CdR, dont le Président nommé par les autres membres, qui s’occupe de la gestion administrative et financière de l’institution, et coordonne le travail de l’assemblée plénière et des commissions thématiques.</w:t>
      </w:r>
    </w:p>
    <w:p>
      <w:pPr>
        <w:pStyle w:val="NormalWeb"/>
        <w:spacing w:lineRule="auto" w:line="276" w:before="280" w:after="280"/>
        <w:jc w:val="both"/>
        <w:rPr/>
      </w:pPr>
      <w:r>
        <w:rPr/>
        <w:t>Au-delà des membres, le Comité des régions s’appuie sur une administration, composée d’administrateurs (fonctionnaires européens disposant du concours EPSO, fonctionnaires nationaux détachés ou contractuels). On peut enfin mentionner les secrétariats politiques, qui font l’objet du présent article.</w:t>
      </w:r>
    </w:p>
    <w:p>
      <w:pPr>
        <w:pStyle w:val="Normal"/>
        <w:spacing w:lineRule="auto" w:line="276" w:beforeAutospacing="1" w:afterAutospacing="1"/>
        <w:jc w:val="center"/>
        <w:rPr>
          <w:rFonts w:ascii="Times New Roman" w:hAnsi="Times New Roman" w:eastAsia="Times New Roman" w:cs="Times New Roman"/>
          <w:b/>
          <w:bCs/>
          <w:lang w:eastAsia="fr-FR"/>
        </w:rPr>
      </w:pPr>
      <w:r>
        <w:rPr>
          <w:rFonts w:eastAsia="Times New Roman" w:cs="Times New Roman" w:ascii="Times New Roman" w:hAnsi="Times New Roman"/>
          <w:b/>
          <w:bCs/>
          <w:lang w:eastAsia="fr-FR"/>
        </w:rPr>
        <w:t>Tableau 1 : les groupes politiques du CdR</w:t>
      </w:r>
    </w:p>
    <w:tbl>
      <w:tblPr>
        <w:tblStyle w:val="TableauGrille4-Accentuation3"/>
        <w:tblW w:w="906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243"/>
        <w:gridCol w:w="1260"/>
        <w:gridCol w:w="1252"/>
        <w:gridCol w:w="1328"/>
        <w:gridCol w:w="1264"/>
        <w:gridCol w:w="1536"/>
        <w:gridCol w:w="1178"/>
      </w:tblGrid>
      <w:tr>
        <w:trPr>
          <w:cnfStyle w:val="100000000000" w:firstRow="1" w:lastRow="0" w:firstColumn="0" w:lastColumn="0" w:oddVBand="0" w:evenVBand="0" w:oddHBand="0" w:evenHBand="0" w:firstRowFirstColumn="0" w:firstRowLastColumn="0" w:lastRowFirstColumn="0" w:lastRowLastColumn="0"/>
        </w:trPr>
        <w:tc>
          <w:tcPr>
            <w:tcW w:w="1243" w:type="dxa"/>
            <w:cnfStyle w:val="001000000000" w:firstRow="0" w:lastRow="0" w:firstColumn="1" w:lastColumn="0" w:oddVBand="0" w:evenVBand="0" w:oddHBand="0" w:evenHBand="0" w:firstRowFirstColumn="0" w:firstRowLastColumn="0" w:lastRowFirstColumn="0" w:lastRowLastColumn="0"/>
            <w:tcBorders>
              <w:top w:val="single" w:sz="4" w:space="0" w:color="A5A5A5"/>
              <w:left w:val="single" w:sz="4" w:space="0" w:color="A5A5A5"/>
              <w:bottom w:val="single" w:sz="4" w:space="0" w:color="A5A5A5"/>
              <w:right w:val="single" w:sz="4" w:space="0" w:color="A5A5A5"/>
            </w:tcBorders>
            <w:shd w:color="auto" w:fill="auto" w:val="clear"/>
            <w:vAlign w:val="center"/>
          </w:tcPr>
          <w:p>
            <w:pPr>
              <w:pStyle w:val="Normal"/>
              <w:widowControl/>
              <w:spacing w:lineRule="auto" w:line="276" w:beforeAutospacing="1" w:afterAutospacing="1"/>
              <w:jc w:val="center"/>
              <w:rPr>
                <w:rFonts w:ascii="Times New Roman" w:hAnsi="Times New Roman" w:eastAsia="Times New Roman" w:cs="Times New Roman"/>
                <w:color w:val="auto"/>
                <w:lang w:eastAsia="fr-FR"/>
              </w:rPr>
            </w:pPr>
            <w:r>
              <w:rPr>
                <w:rFonts w:eastAsia="Times New Roman" w:cs="Times New Roman" w:ascii="Times New Roman" w:hAnsi="Times New Roman"/>
                <w:b/>
                <w:bCs/>
                <w:color w:val="auto"/>
                <w:kern w:val="0"/>
                <w:sz w:val="22"/>
                <w:szCs w:val="22"/>
                <w:lang w:val="fr-FR" w:eastAsia="fr-FR" w:bidi="ar-SA"/>
              </w:rPr>
              <w:br/>
              <w:t>Groupe politique</w:t>
            </w:r>
          </w:p>
          <w:p>
            <w:pPr>
              <w:pStyle w:val="Normal"/>
              <w:widowControl/>
              <w:spacing w:lineRule="auto" w:line="276" w:beforeAutospacing="1" w:after="0"/>
              <w:jc w:val="center"/>
              <w:rPr>
                <w:rFonts w:ascii="Times New Roman" w:hAnsi="Times New Roman" w:eastAsia="Times New Roman" w:cs="Times New Roman"/>
                <w:color w:val="auto"/>
                <w:lang w:eastAsia="fr-FR"/>
              </w:rPr>
            </w:pPr>
            <w:r>
              <w:rPr>
                <w:rFonts w:eastAsia="Times New Roman" w:cs="Times New Roman" w:ascii="Times New Roman" w:hAnsi="Times New Roman"/>
                <w:b/>
                <w:bCs/>
                <w:color w:val="auto"/>
                <w:kern w:val="0"/>
                <w:sz w:val="22"/>
                <w:szCs w:val="22"/>
                <w:lang w:val="fr-FR" w:eastAsia="fr-FR" w:bidi="ar-SA"/>
              </w:rPr>
            </w:r>
          </w:p>
        </w:tc>
        <w:tc>
          <w:tcPr>
            <w:tcW w:w="1260" w:type="dxa"/>
            <w:tcBorders>
              <w:top w:val="single" w:sz="4" w:space="0" w:color="A5A5A5"/>
              <w:left w:val="single" w:sz="4" w:space="0" w:color="A5A5A5"/>
              <w:bottom w:val="single" w:sz="4" w:space="0" w:color="A5A5A5"/>
              <w:right w:val="single" w:sz="4" w:space="0" w:color="A5A5A5"/>
            </w:tcBorders>
            <w:shd w:color="auto" w:fill="auto" w:val="clear"/>
            <w:vAlign w:val="center"/>
          </w:tcPr>
          <w:p>
            <w:pPr>
              <w:pStyle w:val="Normal"/>
              <w:widowControl/>
              <w:spacing w:lineRule="auto" w:line="276" w:beforeAutospacing="1"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lang w:eastAsia="fr-FR"/>
              </w:rPr>
            </w:pPr>
            <w:r>
              <w:rPr>
                <w:rFonts w:eastAsia="Times New Roman" w:cs="Times New Roman" w:ascii="Times New Roman" w:hAnsi="Times New Roman"/>
                <w:b/>
                <w:bCs/>
                <w:color w:val="auto"/>
                <w:kern w:val="0"/>
                <w:sz w:val="22"/>
                <w:szCs w:val="22"/>
                <w:lang w:val="fr-FR" w:eastAsia="fr-FR" w:bidi="ar-SA"/>
              </w:rPr>
              <w:t>Parti Populaire Européen (PPE)</w:t>
            </w:r>
          </w:p>
        </w:tc>
        <w:tc>
          <w:tcPr>
            <w:tcW w:w="1252" w:type="dxa"/>
            <w:tcBorders>
              <w:top w:val="single" w:sz="4" w:space="0" w:color="A5A5A5"/>
              <w:left w:val="single" w:sz="4" w:space="0" w:color="A5A5A5"/>
              <w:bottom w:val="single" w:sz="4" w:space="0" w:color="A5A5A5"/>
              <w:right w:val="single" w:sz="4" w:space="0" w:color="A5A5A5"/>
            </w:tcBorders>
            <w:shd w:color="auto" w:fill="auto" w:val="clear"/>
            <w:vAlign w:val="center"/>
          </w:tcPr>
          <w:p>
            <w:pPr>
              <w:pStyle w:val="Normal"/>
              <w:widowControl/>
              <w:spacing w:lineRule="auto" w:line="276" w:beforeAutospacing="1"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lang w:eastAsia="fr-FR"/>
              </w:rPr>
            </w:pPr>
            <w:r>
              <w:rPr>
                <w:rFonts w:eastAsia="Times New Roman" w:cs="Times New Roman" w:ascii="Times New Roman" w:hAnsi="Times New Roman"/>
                <w:b/>
                <w:bCs/>
                <w:color w:val="auto"/>
                <w:kern w:val="0"/>
                <w:sz w:val="22"/>
                <w:szCs w:val="22"/>
                <w:lang w:val="fr-FR" w:eastAsia="fr-FR" w:bidi="ar-SA"/>
              </w:rPr>
              <w:t>Parti socialiste européen (PSE)</w:t>
            </w:r>
          </w:p>
        </w:tc>
        <w:tc>
          <w:tcPr>
            <w:tcW w:w="1328" w:type="dxa"/>
            <w:tcBorders>
              <w:top w:val="single" w:sz="4" w:space="0" w:color="A5A5A5"/>
              <w:left w:val="single" w:sz="4" w:space="0" w:color="A5A5A5"/>
              <w:bottom w:val="single" w:sz="4" w:space="0" w:color="A5A5A5"/>
              <w:right w:val="single" w:sz="4" w:space="0" w:color="A5A5A5"/>
            </w:tcBorders>
            <w:shd w:color="auto" w:fill="auto" w:val="clear"/>
            <w:vAlign w:val="center"/>
          </w:tcPr>
          <w:p>
            <w:pPr>
              <w:pStyle w:val="Normal"/>
              <w:widowControl/>
              <w:spacing w:lineRule="auto" w:line="276" w:beforeAutospacing="1"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lang w:eastAsia="fr-FR"/>
              </w:rPr>
            </w:pPr>
            <w:r>
              <w:rPr>
                <w:rFonts w:eastAsia="Times New Roman" w:cs="Times New Roman" w:ascii="Times New Roman" w:hAnsi="Times New Roman"/>
                <w:b/>
                <w:bCs/>
                <w:color w:val="auto"/>
                <w:kern w:val="0"/>
                <w:sz w:val="22"/>
                <w:szCs w:val="22"/>
                <w:lang w:val="fr-FR" w:eastAsia="fr-FR" w:bidi="ar-SA"/>
              </w:rPr>
              <w:t>Les « libéraux » / Renew</w:t>
            </w:r>
            <w:r>
              <w:rPr>
                <w:rStyle w:val="FootnoteReference"/>
                <w:rFonts w:eastAsia="Times New Roman" w:cs="Times New Roman" w:ascii="Times New Roman" w:hAnsi="Times New Roman"/>
                <w:b/>
                <w:bCs/>
                <w:color w:val="auto"/>
                <w:kern w:val="0"/>
                <w:sz w:val="22"/>
                <w:szCs w:val="22"/>
                <w:lang w:val="fr-FR" w:eastAsia="fr-FR" w:bidi="ar-SA"/>
              </w:rPr>
              <w:footnoteReference w:id="10"/>
            </w:r>
          </w:p>
        </w:tc>
        <w:tc>
          <w:tcPr>
            <w:tcW w:w="1264" w:type="dxa"/>
            <w:tcBorders>
              <w:top w:val="single" w:sz="4" w:space="0" w:color="A5A5A5"/>
              <w:left w:val="single" w:sz="4" w:space="0" w:color="A5A5A5"/>
              <w:bottom w:val="single" w:sz="4" w:space="0" w:color="A5A5A5"/>
              <w:right w:val="single" w:sz="4" w:space="0" w:color="A5A5A5"/>
            </w:tcBorders>
            <w:shd w:color="auto" w:fill="auto" w:val="clear"/>
            <w:vAlign w:val="center"/>
          </w:tcPr>
          <w:p>
            <w:pPr>
              <w:pStyle w:val="Normal"/>
              <w:widowControl/>
              <w:spacing w:lineRule="auto" w:line="276" w:beforeAutospacing="1"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lang w:eastAsia="fr-FR"/>
              </w:rPr>
            </w:pPr>
            <w:r>
              <w:rPr>
                <w:rFonts w:eastAsia="Times New Roman" w:cs="Times New Roman" w:ascii="Times New Roman" w:hAnsi="Times New Roman"/>
                <w:b/>
                <w:bCs/>
                <w:color w:val="auto"/>
                <w:kern w:val="0"/>
                <w:sz w:val="22"/>
                <w:szCs w:val="22"/>
                <w:lang w:val="fr-FR" w:eastAsia="fr-FR" w:bidi="ar-SA"/>
              </w:rPr>
              <w:t>European Alliance (EA)</w:t>
            </w:r>
          </w:p>
        </w:tc>
        <w:tc>
          <w:tcPr>
            <w:tcW w:w="1536" w:type="dxa"/>
            <w:tcBorders>
              <w:top w:val="single" w:sz="4" w:space="0" w:color="A5A5A5"/>
              <w:left w:val="single" w:sz="4" w:space="0" w:color="A5A5A5"/>
              <w:bottom w:val="single" w:sz="4" w:space="0" w:color="A5A5A5"/>
              <w:right w:val="single" w:sz="4" w:space="0" w:color="A5A5A5"/>
            </w:tcBorders>
            <w:shd w:color="auto" w:fill="auto" w:val="clear"/>
            <w:vAlign w:val="center"/>
          </w:tcPr>
          <w:p>
            <w:pPr>
              <w:pStyle w:val="Normal"/>
              <w:widowControl/>
              <w:spacing w:lineRule="auto" w:line="276" w:beforeAutospacing="1"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b w:val="false"/>
                <w:bCs w:val="false"/>
                <w:color w:val="auto"/>
                <w:lang w:val="en-US" w:eastAsia="fr-FR"/>
              </w:rPr>
            </w:pPr>
            <w:r>
              <w:rPr>
                <w:rFonts w:eastAsia="Times New Roman" w:cs="Times New Roman" w:ascii="Times New Roman" w:hAnsi="Times New Roman"/>
                <w:b/>
                <w:bCs/>
                <w:color w:val="auto"/>
                <w:kern w:val="0"/>
                <w:sz w:val="22"/>
                <w:szCs w:val="22"/>
                <w:lang w:val="en-US" w:eastAsia="fr-FR" w:bidi="ar-SA"/>
              </w:rPr>
              <w:t>European Conservatives and Reformists (ECR)</w:t>
            </w:r>
          </w:p>
        </w:tc>
        <w:tc>
          <w:tcPr>
            <w:tcW w:w="1178" w:type="dxa"/>
            <w:tcBorders>
              <w:top w:val="single" w:sz="4" w:space="0" w:color="A5A5A5"/>
              <w:left w:val="single" w:sz="4" w:space="0" w:color="A5A5A5"/>
              <w:bottom w:val="single" w:sz="4" w:space="0" w:color="A5A5A5"/>
              <w:right w:val="single" w:sz="4" w:space="0" w:color="A5A5A5"/>
            </w:tcBorders>
            <w:shd w:color="auto" w:fill="auto" w:val="clear"/>
            <w:vAlign w:val="center"/>
          </w:tcPr>
          <w:p>
            <w:pPr>
              <w:pStyle w:val="Normal"/>
              <w:widowControl/>
              <w:spacing w:lineRule="auto" w:line="276" w:beforeAutospacing="1"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lang w:eastAsia="fr-FR"/>
              </w:rPr>
            </w:pPr>
            <w:r>
              <w:rPr>
                <w:rFonts w:eastAsia="Times New Roman" w:cs="Times New Roman" w:ascii="Times New Roman" w:hAnsi="Times New Roman"/>
                <w:b/>
                <w:bCs/>
                <w:color w:val="auto"/>
                <w:kern w:val="0"/>
                <w:sz w:val="22"/>
                <w:szCs w:val="22"/>
                <w:lang w:val="fr-FR" w:eastAsia="fr-FR" w:bidi="ar-SA"/>
              </w:rPr>
              <w:t>Les Verts</w:t>
            </w:r>
          </w:p>
        </w:tc>
      </w:tr>
      <w:tr>
        <w:trPr>
          <w:cnfStyle w:val="000000100000" w:firstRow="0" w:lastRow="0" w:firstColumn="0" w:lastColumn="0" w:oddVBand="0" w:evenVBand="0" w:oddHBand="1" w:evenHBand="0" w:firstRowFirstColumn="0" w:firstRowLastColumn="0" w:lastRowFirstColumn="0" w:lastRowLastColumn="0"/>
        </w:trPr>
        <w:tc>
          <w:tcPr>
            <w:tcW w:w="1243" w:type="dxa"/>
            <w:cnfStyle w:val="001000000000" w:firstRow="0" w:lastRow="0" w:firstColumn="1" w:lastColumn="0" w:oddVBand="0" w:evenVBand="0" w:oddHBand="0" w:evenHBand="0" w:firstRowFirstColumn="0" w:firstRowLastColumn="0" w:lastRowFirstColumn="0" w:lastRowLastColumn="0"/>
            <w:tcBorders/>
            <w:shd w:color="auto" w:fill="auto" w:val="clear"/>
            <w:vAlign w:val="center"/>
          </w:tcPr>
          <w:p>
            <w:pPr>
              <w:pStyle w:val="Normal"/>
              <w:widowControl/>
              <w:spacing w:lineRule="auto" w:line="276" w:beforeAutospacing="1" w:after="0"/>
              <w:jc w:val="center"/>
              <w:rPr>
                <w:rFonts w:ascii="Times New Roman" w:hAnsi="Times New Roman" w:eastAsia="Times New Roman" w:cs="Times New Roman"/>
                <w:lang w:eastAsia="fr-FR"/>
              </w:rPr>
            </w:pPr>
            <w:r>
              <w:rPr>
                <w:rFonts w:eastAsia="Times New Roman" w:cs="Times New Roman" w:ascii="Times New Roman" w:hAnsi="Times New Roman"/>
                <w:b/>
                <w:bCs/>
                <w:kern w:val="0"/>
                <w:sz w:val="22"/>
                <w:szCs w:val="22"/>
                <w:lang w:val="fr-FR" w:eastAsia="fr-FR" w:bidi="ar-SA"/>
              </w:rPr>
              <w:t>Année de création</w:t>
            </w:r>
          </w:p>
        </w:tc>
        <w:tc>
          <w:tcPr>
            <w:tcW w:w="1260" w:type="dxa"/>
            <w:tcBorders/>
            <w:shd w:color="auto" w:fill="auto" w:val="clear"/>
            <w:vAlign w:val="center"/>
          </w:tcPr>
          <w:p>
            <w:pPr>
              <w:pStyle w:val="Normal"/>
              <w:widowControl/>
              <w:spacing w:lineRule="auto" w:line="276" w:beforeAutospacing="1"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fr-FR"/>
              </w:rPr>
            </w:pPr>
            <w:r>
              <w:rPr>
                <w:rFonts w:eastAsia="Times New Roman" w:cs="Times New Roman" w:ascii="Times New Roman" w:hAnsi="Times New Roman"/>
                <w:kern w:val="0"/>
                <w:sz w:val="22"/>
                <w:szCs w:val="22"/>
                <w:lang w:val="fr-FR" w:eastAsia="fr-FR" w:bidi="ar-SA"/>
              </w:rPr>
              <w:t>1995</w:t>
            </w:r>
          </w:p>
        </w:tc>
        <w:tc>
          <w:tcPr>
            <w:tcW w:w="1252" w:type="dxa"/>
            <w:tcBorders/>
            <w:shd w:color="auto" w:fill="auto" w:val="clear"/>
            <w:vAlign w:val="center"/>
          </w:tcPr>
          <w:p>
            <w:pPr>
              <w:pStyle w:val="Normal"/>
              <w:widowControl/>
              <w:spacing w:lineRule="auto" w:line="276" w:beforeAutospacing="1"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fr-FR"/>
              </w:rPr>
            </w:pPr>
            <w:r>
              <w:rPr>
                <w:rFonts w:eastAsia="Times New Roman" w:cs="Times New Roman" w:ascii="Times New Roman" w:hAnsi="Times New Roman"/>
                <w:kern w:val="0"/>
                <w:sz w:val="22"/>
                <w:szCs w:val="22"/>
                <w:lang w:val="fr-FR" w:eastAsia="fr-FR" w:bidi="ar-SA"/>
              </w:rPr>
              <w:t>1995</w:t>
            </w:r>
          </w:p>
        </w:tc>
        <w:tc>
          <w:tcPr>
            <w:tcW w:w="1328" w:type="dxa"/>
            <w:tcBorders/>
            <w:shd w:color="auto" w:fill="auto" w:val="clear"/>
            <w:vAlign w:val="center"/>
          </w:tcPr>
          <w:p>
            <w:pPr>
              <w:pStyle w:val="Normal"/>
              <w:widowControl/>
              <w:spacing w:lineRule="auto" w:line="276" w:beforeAutospacing="1"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fr-FR"/>
              </w:rPr>
            </w:pPr>
            <w:r>
              <w:rPr>
                <w:rFonts w:eastAsia="Times New Roman" w:cs="Times New Roman" w:ascii="Times New Roman" w:hAnsi="Times New Roman"/>
                <w:kern w:val="0"/>
                <w:sz w:val="22"/>
                <w:szCs w:val="22"/>
                <w:lang w:val="fr-FR" w:eastAsia="fr-FR" w:bidi="ar-SA"/>
              </w:rPr>
              <w:t>1995</w:t>
            </w:r>
          </w:p>
        </w:tc>
        <w:tc>
          <w:tcPr>
            <w:tcW w:w="1264" w:type="dxa"/>
            <w:tcBorders/>
            <w:shd w:color="auto" w:fill="auto" w:val="clear"/>
            <w:vAlign w:val="center"/>
          </w:tcPr>
          <w:p>
            <w:pPr>
              <w:pStyle w:val="Normal"/>
              <w:widowControl/>
              <w:spacing w:lineRule="auto" w:line="276" w:beforeAutospacing="1"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fr-FR"/>
              </w:rPr>
            </w:pPr>
            <w:r>
              <w:rPr>
                <w:rFonts w:eastAsia="Times New Roman" w:cs="Times New Roman" w:ascii="Times New Roman" w:hAnsi="Times New Roman"/>
                <w:kern w:val="0"/>
                <w:sz w:val="22"/>
                <w:szCs w:val="22"/>
                <w:lang w:val="fr-FR" w:eastAsia="fr-FR" w:bidi="ar-SA"/>
              </w:rPr>
              <w:t>1995</w:t>
            </w:r>
          </w:p>
        </w:tc>
        <w:tc>
          <w:tcPr>
            <w:tcW w:w="1536" w:type="dxa"/>
            <w:tcBorders/>
            <w:shd w:color="auto" w:fill="auto" w:val="clear"/>
            <w:vAlign w:val="center"/>
          </w:tcPr>
          <w:p>
            <w:pPr>
              <w:pStyle w:val="Normal"/>
              <w:widowControl/>
              <w:spacing w:lineRule="auto" w:line="276" w:beforeAutospacing="1"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fr-FR"/>
              </w:rPr>
            </w:pPr>
            <w:r>
              <w:rPr>
                <w:rFonts w:eastAsia="Times New Roman" w:cs="Times New Roman" w:ascii="Times New Roman" w:hAnsi="Times New Roman"/>
                <w:kern w:val="0"/>
                <w:sz w:val="22"/>
                <w:szCs w:val="22"/>
                <w:lang w:val="fr-FR" w:eastAsia="fr-FR" w:bidi="ar-SA"/>
              </w:rPr>
              <w:t>2013</w:t>
            </w:r>
          </w:p>
        </w:tc>
        <w:tc>
          <w:tcPr>
            <w:tcW w:w="1178" w:type="dxa"/>
            <w:tcBorders/>
            <w:shd w:color="auto" w:fill="auto" w:val="clear"/>
            <w:vAlign w:val="center"/>
          </w:tcPr>
          <w:p>
            <w:pPr>
              <w:pStyle w:val="Normal"/>
              <w:widowControl/>
              <w:spacing w:lineRule="auto" w:line="276" w:beforeAutospacing="1"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lang w:eastAsia="fr-FR"/>
              </w:rPr>
            </w:pPr>
            <w:r>
              <w:rPr>
                <w:rFonts w:eastAsia="Times New Roman" w:cs="Times New Roman" w:ascii="Times New Roman" w:hAnsi="Times New Roman"/>
                <w:kern w:val="0"/>
                <w:sz w:val="22"/>
                <w:szCs w:val="22"/>
                <w:lang w:val="fr-FR" w:eastAsia="fr-FR" w:bidi="ar-SA"/>
              </w:rPr>
              <w:t>2020</w:t>
            </w:r>
          </w:p>
        </w:tc>
      </w:tr>
    </w:tbl>
    <w:p>
      <w:pPr>
        <w:pStyle w:val="Normal"/>
        <w:spacing w:lineRule="auto" w:line="276"/>
        <w:jc w:val="both"/>
        <w:rPr>
          <w:rFonts w:ascii="Times New Roman" w:hAnsi="Times New Roman" w:cs="Times New Roman"/>
        </w:rPr>
      </w:pPr>
      <w:r>
        <w:rPr>
          <w:rFonts w:cs="Times New Roman" w:ascii="Times New Roman" w:hAnsi="Times New Roman"/>
        </w:rPr>
      </w:r>
    </w:p>
    <w:p>
      <w:pPr>
        <w:pStyle w:val="Normal"/>
        <w:spacing w:lineRule="auto" w:line="276"/>
        <w:jc w:val="center"/>
        <w:rPr>
          <w:rFonts w:ascii="Times New Roman" w:hAnsi="Times New Roman" w:cs="Times New Roman"/>
          <w:b/>
          <w:bCs/>
        </w:rPr>
      </w:pPr>
      <w:r>
        <w:rPr>
          <w:rFonts w:cs="Times New Roman" w:ascii="Times New Roman" w:hAnsi="Times New Roman"/>
          <w:b/>
          <w:bCs/>
        </w:rPr>
        <w:t>Tableau 2 : Personnels et membres des groupes politiques du CdR</w:t>
      </w:r>
    </w:p>
    <w:tbl>
      <w:tblPr>
        <w:tblStyle w:val="Grilledutableau"/>
        <w:tblW w:w="906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77"/>
        <w:gridCol w:w="1169"/>
        <w:gridCol w:w="851"/>
        <w:gridCol w:w="1701"/>
        <w:gridCol w:w="897"/>
        <w:gridCol w:w="950"/>
        <w:gridCol w:w="949"/>
        <w:gridCol w:w="1172"/>
      </w:tblGrid>
      <w:tr>
        <w:trPr>
          <w:trHeight w:val="663" w:hRule="atLeast"/>
        </w:trPr>
        <w:tc>
          <w:tcPr>
            <w:tcW w:w="1377" w:type="dxa"/>
            <w:tcBorders/>
          </w:tcPr>
          <w:p>
            <w:pPr>
              <w:pStyle w:val="Normal"/>
              <w:widowControl/>
              <w:spacing w:lineRule="auto" w:line="276" w:before="0" w:after="0"/>
              <w:jc w:val="center"/>
              <w:rPr>
                <w:rFonts w:ascii="Times New Roman" w:hAnsi="Times New Roman" w:cs="Times New Roman"/>
                <w:b/>
                <w:bCs/>
              </w:rPr>
            </w:pPr>
            <w:r>
              <w:rPr>
                <w:rFonts w:eastAsia="Calibri" w:cs="Times New Roman" w:ascii="Times New Roman" w:hAnsi="Times New Roman"/>
                <w:b/>
                <w:bCs/>
                <w:kern w:val="0"/>
                <w:sz w:val="22"/>
                <w:szCs w:val="22"/>
                <w:lang w:val="fr-FR" w:eastAsia="en-US" w:bidi="ar-SA"/>
              </w:rPr>
              <w:t>Groupe politique</w:t>
            </w:r>
          </w:p>
        </w:tc>
        <w:tc>
          <w:tcPr>
            <w:tcW w:w="1169" w:type="dxa"/>
            <w:tcBorders/>
          </w:tcPr>
          <w:p>
            <w:pPr>
              <w:pStyle w:val="Normal"/>
              <w:widowControl/>
              <w:spacing w:lineRule="auto" w:line="276" w:before="0" w:after="0"/>
              <w:jc w:val="center"/>
              <w:rPr>
                <w:rFonts w:ascii="Times New Roman" w:hAnsi="Times New Roman" w:cs="Times New Roman"/>
                <w:b/>
                <w:bCs/>
              </w:rPr>
            </w:pPr>
            <w:r>
              <w:rPr>
                <w:rFonts w:eastAsia="Calibri" w:cs="Times New Roman" w:ascii="Times New Roman" w:hAnsi="Times New Roman"/>
                <w:b/>
                <w:bCs/>
                <w:kern w:val="0"/>
                <w:sz w:val="22"/>
                <w:szCs w:val="22"/>
                <w:lang w:val="fr-FR" w:eastAsia="en-US" w:bidi="ar-SA"/>
              </w:rPr>
              <w:t>PPE</w:t>
            </w:r>
          </w:p>
        </w:tc>
        <w:tc>
          <w:tcPr>
            <w:tcW w:w="851" w:type="dxa"/>
            <w:tcBorders/>
          </w:tcPr>
          <w:p>
            <w:pPr>
              <w:pStyle w:val="Normal"/>
              <w:widowControl/>
              <w:spacing w:lineRule="auto" w:line="276" w:before="0" w:after="0"/>
              <w:jc w:val="center"/>
              <w:rPr>
                <w:rFonts w:ascii="Times New Roman" w:hAnsi="Times New Roman" w:cs="Times New Roman"/>
                <w:b/>
                <w:bCs/>
              </w:rPr>
            </w:pPr>
            <w:r>
              <w:rPr>
                <w:rFonts w:eastAsia="Calibri" w:cs="Times New Roman" w:ascii="Times New Roman" w:hAnsi="Times New Roman"/>
                <w:b/>
                <w:bCs/>
                <w:kern w:val="0"/>
                <w:sz w:val="22"/>
                <w:szCs w:val="22"/>
                <w:lang w:val="fr-FR" w:eastAsia="en-US" w:bidi="ar-SA"/>
              </w:rPr>
              <w:t>PSE</w:t>
            </w:r>
          </w:p>
        </w:tc>
        <w:tc>
          <w:tcPr>
            <w:tcW w:w="1701" w:type="dxa"/>
            <w:tcBorders/>
          </w:tcPr>
          <w:p>
            <w:pPr>
              <w:pStyle w:val="Normal"/>
              <w:widowControl/>
              <w:spacing w:lineRule="auto" w:line="276" w:before="0" w:after="0"/>
              <w:jc w:val="center"/>
              <w:rPr>
                <w:rFonts w:ascii="Times New Roman" w:hAnsi="Times New Roman" w:cs="Times New Roman"/>
                <w:b/>
                <w:bCs/>
              </w:rPr>
            </w:pPr>
            <w:r>
              <w:rPr>
                <w:rFonts w:eastAsia="Calibri" w:cs="Times New Roman" w:ascii="Times New Roman" w:hAnsi="Times New Roman"/>
                <w:b/>
                <w:bCs/>
                <w:kern w:val="0"/>
                <w:sz w:val="22"/>
                <w:szCs w:val="22"/>
                <w:lang w:val="fr-FR" w:eastAsia="en-US" w:bidi="ar-SA"/>
              </w:rPr>
              <w:t>Renew</w:t>
            </w:r>
          </w:p>
        </w:tc>
        <w:tc>
          <w:tcPr>
            <w:tcW w:w="897" w:type="dxa"/>
            <w:tcBorders/>
          </w:tcPr>
          <w:p>
            <w:pPr>
              <w:pStyle w:val="Normal"/>
              <w:widowControl/>
              <w:spacing w:lineRule="auto" w:line="276" w:before="0" w:after="0"/>
              <w:jc w:val="center"/>
              <w:rPr>
                <w:rFonts w:ascii="Times New Roman" w:hAnsi="Times New Roman" w:cs="Times New Roman"/>
                <w:b/>
                <w:bCs/>
              </w:rPr>
            </w:pPr>
            <w:r>
              <w:rPr>
                <w:rFonts w:eastAsia="Calibri" w:cs="Times New Roman" w:ascii="Times New Roman" w:hAnsi="Times New Roman"/>
                <w:b/>
                <w:bCs/>
                <w:kern w:val="0"/>
                <w:sz w:val="22"/>
                <w:szCs w:val="22"/>
                <w:lang w:val="fr-FR" w:eastAsia="en-US" w:bidi="ar-SA"/>
              </w:rPr>
              <w:t>EA</w:t>
            </w:r>
          </w:p>
        </w:tc>
        <w:tc>
          <w:tcPr>
            <w:tcW w:w="950" w:type="dxa"/>
            <w:tcBorders/>
          </w:tcPr>
          <w:p>
            <w:pPr>
              <w:pStyle w:val="Normal"/>
              <w:widowControl/>
              <w:spacing w:lineRule="auto" w:line="276" w:before="0" w:after="0"/>
              <w:jc w:val="center"/>
              <w:rPr>
                <w:rFonts w:ascii="Times New Roman" w:hAnsi="Times New Roman" w:cs="Times New Roman"/>
                <w:b/>
                <w:bCs/>
              </w:rPr>
            </w:pPr>
            <w:r>
              <w:rPr>
                <w:rFonts w:eastAsia="Calibri" w:cs="Times New Roman" w:ascii="Times New Roman" w:hAnsi="Times New Roman"/>
                <w:b/>
                <w:bCs/>
                <w:kern w:val="0"/>
                <w:sz w:val="22"/>
                <w:szCs w:val="22"/>
                <w:lang w:val="fr-FR" w:eastAsia="en-US" w:bidi="ar-SA"/>
              </w:rPr>
              <w:t>ECR</w:t>
            </w:r>
          </w:p>
        </w:tc>
        <w:tc>
          <w:tcPr>
            <w:tcW w:w="949" w:type="dxa"/>
            <w:tcBorders/>
          </w:tcPr>
          <w:p>
            <w:pPr>
              <w:pStyle w:val="Normal"/>
              <w:widowControl/>
              <w:spacing w:lineRule="auto" w:line="276" w:before="0" w:after="0"/>
              <w:jc w:val="center"/>
              <w:rPr>
                <w:rFonts w:ascii="Times New Roman" w:hAnsi="Times New Roman" w:cs="Times New Roman"/>
                <w:b/>
                <w:bCs/>
              </w:rPr>
            </w:pPr>
            <w:r>
              <w:rPr>
                <w:rFonts w:eastAsia="Calibri" w:cs="Times New Roman" w:ascii="Times New Roman" w:hAnsi="Times New Roman"/>
                <w:b/>
                <w:bCs/>
                <w:kern w:val="0"/>
                <w:sz w:val="22"/>
                <w:szCs w:val="22"/>
                <w:lang w:val="fr-FR" w:eastAsia="en-US" w:bidi="ar-SA"/>
              </w:rPr>
              <w:t>Les Verts</w:t>
            </w:r>
          </w:p>
        </w:tc>
        <w:tc>
          <w:tcPr>
            <w:tcW w:w="1172" w:type="dxa"/>
            <w:tcBorders/>
          </w:tcPr>
          <w:p>
            <w:pPr>
              <w:pStyle w:val="Normal"/>
              <w:widowControl/>
              <w:spacing w:lineRule="auto" w:line="276" w:before="0" w:after="0"/>
              <w:jc w:val="center"/>
              <w:rPr>
                <w:rFonts w:ascii="Times New Roman" w:hAnsi="Times New Roman" w:cs="Times New Roman"/>
                <w:b/>
                <w:bCs/>
              </w:rPr>
            </w:pPr>
            <w:r>
              <w:rPr>
                <w:rFonts w:eastAsia="Calibri" w:cs="Times New Roman" w:ascii="Times New Roman" w:hAnsi="Times New Roman"/>
                <w:b/>
                <w:bCs/>
                <w:kern w:val="0"/>
                <w:sz w:val="22"/>
                <w:szCs w:val="22"/>
                <w:lang w:val="fr-FR" w:eastAsia="en-US" w:bidi="ar-SA"/>
              </w:rPr>
              <w:t>Non-affilié</w:t>
            </w:r>
          </w:p>
        </w:tc>
      </w:tr>
      <w:tr>
        <w:trPr>
          <w:trHeight w:val="651" w:hRule="atLeast"/>
        </w:trPr>
        <w:tc>
          <w:tcPr>
            <w:tcW w:w="1377" w:type="dxa"/>
            <w:tcBorders/>
          </w:tcPr>
          <w:p>
            <w:pPr>
              <w:pStyle w:val="Normal"/>
              <w:widowControl/>
              <w:spacing w:lineRule="auto" w:line="276" w:before="0" w:after="0"/>
              <w:jc w:val="center"/>
              <w:rPr>
                <w:rFonts w:ascii="Times New Roman" w:hAnsi="Times New Roman" w:cs="Times New Roman"/>
                <w:b/>
                <w:bCs/>
              </w:rPr>
            </w:pPr>
            <w:r>
              <w:rPr>
                <w:rFonts w:eastAsia="Calibri" w:cs="Times New Roman" w:ascii="Times New Roman" w:hAnsi="Times New Roman"/>
                <w:b/>
                <w:bCs/>
                <w:kern w:val="0"/>
                <w:sz w:val="22"/>
                <w:szCs w:val="22"/>
                <w:lang w:val="fr-FR" w:eastAsia="en-US" w:bidi="ar-SA"/>
              </w:rPr>
              <w:t>Secrétaires politiques (n = 55)</w:t>
            </w:r>
            <w:r>
              <w:rPr>
                <w:rStyle w:val="FootnoteReference"/>
                <w:rFonts w:eastAsia="Calibri" w:cs="Times New Roman" w:ascii="Times New Roman" w:hAnsi="Times New Roman"/>
                <w:b/>
                <w:bCs/>
                <w:kern w:val="0"/>
                <w:sz w:val="22"/>
                <w:szCs w:val="22"/>
                <w:lang w:val="fr-FR" w:eastAsia="en-US" w:bidi="ar-SA"/>
              </w:rPr>
              <w:footnoteReference w:id="11"/>
            </w:r>
          </w:p>
        </w:tc>
        <w:tc>
          <w:tcPr>
            <w:tcW w:w="1169"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13 + 2</w:t>
            </w:r>
            <w:r>
              <w:rPr>
                <w:rStyle w:val="FootnoteReference"/>
                <w:rFonts w:eastAsia="Calibri" w:cs="Times New Roman" w:ascii="Times New Roman" w:hAnsi="Times New Roman"/>
                <w:kern w:val="0"/>
                <w:sz w:val="22"/>
                <w:szCs w:val="22"/>
                <w:lang w:val="fr-FR" w:eastAsia="en-US" w:bidi="ar-SA"/>
              </w:rPr>
              <w:footnoteReference w:id="12"/>
            </w:r>
          </w:p>
        </w:tc>
        <w:tc>
          <w:tcPr>
            <w:tcW w:w="851"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15</w:t>
            </w:r>
          </w:p>
        </w:tc>
        <w:tc>
          <w:tcPr>
            <w:tcW w:w="1701"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10</w:t>
            </w:r>
          </w:p>
        </w:tc>
        <w:tc>
          <w:tcPr>
            <w:tcW w:w="897"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5</w:t>
            </w:r>
          </w:p>
        </w:tc>
        <w:tc>
          <w:tcPr>
            <w:tcW w:w="950"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6</w:t>
            </w:r>
          </w:p>
        </w:tc>
        <w:tc>
          <w:tcPr>
            <w:tcW w:w="949"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4</w:t>
            </w:r>
          </w:p>
        </w:tc>
        <w:tc>
          <w:tcPr>
            <w:tcW w:w="1172"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w:t>
            </w:r>
          </w:p>
        </w:tc>
      </w:tr>
      <w:tr>
        <w:trPr>
          <w:trHeight w:val="663" w:hRule="atLeast"/>
        </w:trPr>
        <w:tc>
          <w:tcPr>
            <w:tcW w:w="1377" w:type="dxa"/>
            <w:tcBorders/>
          </w:tcPr>
          <w:p>
            <w:pPr>
              <w:pStyle w:val="Normal"/>
              <w:widowControl/>
              <w:spacing w:lineRule="auto" w:line="276" w:before="0" w:after="0"/>
              <w:jc w:val="center"/>
              <w:rPr>
                <w:rFonts w:ascii="Times New Roman" w:hAnsi="Times New Roman" w:cs="Times New Roman"/>
                <w:b/>
                <w:bCs/>
              </w:rPr>
            </w:pPr>
            <w:r>
              <w:rPr>
                <w:rFonts w:eastAsia="Calibri" w:cs="Times New Roman" w:ascii="Times New Roman" w:hAnsi="Times New Roman"/>
                <w:b/>
                <w:bCs/>
                <w:kern w:val="0"/>
                <w:sz w:val="22"/>
                <w:szCs w:val="22"/>
                <w:lang w:val="fr-FR" w:eastAsia="en-US" w:bidi="ar-SA"/>
              </w:rPr>
              <w:t>Membres du CdR affiliés</w:t>
            </w:r>
            <w:r>
              <w:rPr>
                <w:rStyle w:val="FootnoteReference"/>
                <w:rFonts w:eastAsia="Calibri" w:cs="Times New Roman" w:ascii="Times New Roman" w:hAnsi="Times New Roman"/>
                <w:b/>
                <w:bCs/>
                <w:kern w:val="0"/>
                <w:sz w:val="22"/>
                <w:szCs w:val="22"/>
                <w:lang w:val="fr-FR" w:eastAsia="en-US" w:bidi="ar-SA"/>
              </w:rPr>
              <w:footnoteReference w:id="13"/>
            </w:r>
          </w:p>
        </w:tc>
        <w:tc>
          <w:tcPr>
            <w:tcW w:w="1169"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111</w:t>
            </w:r>
          </w:p>
        </w:tc>
        <w:tc>
          <w:tcPr>
            <w:tcW w:w="851"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93</w:t>
            </w:r>
          </w:p>
        </w:tc>
        <w:tc>
          <w:tcPr>
            <w:tcW w:w="1701"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50</w:t>
            </w:r>
          </w:p>
        </w:tc>
        <w:tc>
          <w:tcPr>
            <w:tcW w:w="897"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14</w:t>
            </w:r>
          </w:p>
        </w:tc>
        <w:tc>
          <w:tcPr>
            <w:tcW w:w="950"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36</w:t>
            </w:r>
          </w:p>
        </w:tc>
        <w:tc>
          <w:tcPr>
            <w:tcW w:w="949"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13</w:t>
            </w:r>
          </w:p>
        </w:tc>
        <w:tc>
          <w:tcPr>
            <w:tcW w:w="1172" w:type="dxa"/>
            <w:tcBorders/>
          </w:tcPr>
          <w:p>
            <w:pPr>
              <w:pStyle w:val="Normal"/>
              <w:widowControl/>
              <w:spacing w:lineRule="auto" w:line="276" w:before="0" w:after="0"/>
              <w:jc w:val="center"/>
              <w:rPr>
                <w:rFonts w:ascii="Times New Roman" w:hAnsi="Times New Roman" w:cs="Times New Roman"/>
              </w:rPr>
            </w:pPr>
            <w:r>
              <w:rPr>
                <w:rFonts w:eastAsia="Calibri" w:cs="Times New Roman" w:ascii="Times New Roman" w:hAnsi="Times New Roman"/>
                <w:kern w:val="0"/>
                <w:sz w:val="22"/>
                <w:szCs w:val="22"/>
                <w:lang w:val="fr-FR" w:eastAsia="en-US" w:bidi="ar-SA"/>
              </w:rPr>
              <w:t>4</w:t>
            </w:r>
          </w:p>
        </w:tc>
      </w:tr>
    </w:tbl>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rPr>
      </w:pPr>
      <w:r>
        <w:rPr>
          <w:rFonts w:cs="Times New Roman" w:ascii="Times New Roman" w:hAnsi="Times New Roman"/>
          <w:sz w:val="24"/>
          <w:szCs w:val="24"/>
        </w:rPr>
        <w:t>Par rapport aux chiffres recensés par Dobbels et Neuhold (2013)</w:t>
      </w:r>
      <w:r>
        <w:rPr>
          <w:rStyle w:val="FootnoteReference"/>
          <w:rFonts w:cs="Times New Roman" w:ascii="Times New Roman" w:hAnsi="Times New Roman"/>
          <w:sz w:val="24"/>
          <w:szCs w:val="24"/>
        </w:rPr>
        <w:footnoteReference w:id="14"/>
      </w:r>
      <w:r>
        <w:rPr>
          <w:rFonts w:cs="Times New Roman" w:ascii="Times New Roman" w:hAnsi="Times New Roman"/>
          <w:sz w:val="24"/>
          <w:szCs w:val="24"/>
        </w:rPr>
        <w:t>, les groupes politiques du CdR constituent de petits effectifs. Ils varient de quatre à une quinzaine d'employés, avec plus ou moins de parité selon les groupes</w:t>
      </w:r>
      <w:r>
        <w:rPr>
          <w:rStyle w:val="FootnoteReference"/>
          <w:rFonts w:cs="Times New Roman" w:ascii="Times New Roman" w:hAnsi="Times New Roman"/>
          <w:sz w:val="24"/>
          <w:szCs w:val="24"/>
        </w:rPr>
        <w:footnoteReference w:id="15"/>
      </w:r>
      <w:r>
        <w:rPr>
          <w:rFonts w:cs="Times New Roman" w:ascii="Times New Roman" w:hAnsi="Times New Roman"/>
          <w:sz w:val="24"/>
          <w:szCs w:val="24"/>
        </w:rPr>
        <w: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Au sein de chaque secrétariat, il existe plusieurs fonctions. </w:t>
      </w:r>
      <w:r>
        <w:rPr>
          <w:rFonts w:cs="Times New Roman" w:ascii="Times New Roman" w:hAnsi="Times New Roman"/>
          <w:sz w:val="24"/>
          <w:szCs w:val="24"/>
          <w:lang w:val="en-US"/>
        </w:rPr>
        <w:t xml:space="preserve">La première est celle du Secrétaire général (SG), qui est « the spokesperson for one secretariat, defender of the budgetary interests of the political group which he represents in internal arbitrations with the other political groups inside the CoR, and an ambassador to the other EU institutions » (entretien avec un secrétaire socialiste, le 23 juin 2021). </w:t>
      </w:r>
      <w:r>
        <w:rPr>
          <w:rFonts w:cs="Times New Roman" w:ascii="Times New Roman" w:hAnsi="Times New Roman"/>
          <w:sz w:val="24"/>
          <w:szCs w:val="24"/>
        </w:rPr>
        <w:t>Il négocie le budget alloué au groupe et au secrétariat politique, se positionne, avec le Président du groupe politique (qui est un membre du CdR), sur les principales stratégies du CdR, en concertation avec le Président du CdR et son cabinet. On se répartit également au bureau les rapporteurs et on décide des avis d’autosaisine pour les avis non obligatoires. Ensuite, il (plus qu'elle) est souvent assisté d'un Secrétaire général adjoint (SGA). Le SGA s'occupe de la Conférence des Présidents du CdR, assiste le Président du groupe politique, et s'occupe des relations générales avec le Parlement. Troisièmement, il y a les secrétaires politiques, qui sont responsables d'une ou plusieurs commissions thématiques du CdR, assistés par des assistants politiques (PSE, Verts) en fonction des ressources des secrétariats. Par exemple, le secrétariat du PPE affecte un secrétaire politique au suivi de chaque commission. Pour le PSE, comme Renew, EA, ou ECR, un secrétaire politique suit plusieurs commissions (généralement deux). Comme les Verts sont encore trop récents, leur secrétariat ne peut affecter qu’un secrétaire pour toutes les commissions thématiques, n'ayant qu'une secrétaire politique et une assistante politique (entretien avec une secrétaire politique des Verts, le 12 novembre 2020). Comme on va le voir, les secrétaires politiques sont les acteurs donnant à voir le rôle politique le plus proactif au sein des secrétariats, moins dans les tâches de représentation par rapport au SG et au SGA. Quant aux assistants, ils occupent plutôt un rôle de production (Dobbels et Neuhold, 2013) à l’égard des secrétaires politiques.</w:t>
      </w:r>
    </w:p>
    <w:p>
      <w:pPr>
        <w:pStyle w:val="Normal"/>
        <w:spacing w:lineRule="auto" w:line="276"/>
        <w:jc w:val="both"/>
        <w:rPr>
          <w:rFonts w:ascii="Times New Roman" w:hAnsi="Times New Roman" w:cs="Times New Roman"/>
          <w:sz w:val="24"/>
          <w:szCs w:val="24"/>
        </w:rPr>
      </w:pPr>
      <w:r>
        <w:rPr>
          <w:rFonts w:eastAsia="Times New Roman" w:cs="Times New Roman" w:ascii="Times New Roman" w:hAnsi="Times New Roman"/>
          <w:sz w:val="24"/>
          <w:szCs w:val="24"/>
          <w:lang w:eastAsia="fr-FR"/>
        </w:rPr>
        <w:t>Pour sonder le sens politique qu’ils accordent à leur métier (il ne s’agit pas là d’un poste de fonctionnaire où il est possible de faire valoir son sens de la neutralité), on a demandé aux secrétaires politiques pourquoi ils avaient choisi un groupe politique plutôt qu'un autre. Leurs réponses ont varié (comme dans le cas des assistants parlementaires étudiés par Michon, 2008) : de ceux formellement engagés dans un parti politique national lié à la famille politique européenne à ceux qui s’identifient sans appartenance formelle aux valeurs de la famille politique. Dans tous les cas, la dimension politique du travail du secrétariat est un aspect de leur profession qu'ils valorisent.</w:t>
      </w:r>
    </w:p>
    <w:p>
      <w:pPr>
        <w:pStyle w:val="Normal"/>
        <w:spacing w:lineRule="auto" w:line="276"/>
        <w:jc w:val="both"/>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Il convient désormais d’analyser le travail politique des secrétaires politiques, pour contribuer autant à la littérature sur le CdR qu’à celle sur le conseil politique au sein des institutions européennes.</w:t>
      </w:r>
    </w:p>
    <w:p>
      <w:pPr>
        <w:pStyle w:val="Normal"/>
        <w:spacing w:lineRule="auto" w:line="276"/>
        <w:jc w:val="both"/>
        <w:rPr>
          <w:rFonts w:ascii="Times New Roman" w:hAnsi="Times New Roman" w:eastAsia="Times New Roman" w:cs="Times New Roman"/>
          <w:b/>
          <w:bCs/>
          <w:sz w:val="24"/>
          <w:szCs w:val="24"/>
          <w:lang w:eastAsia="fr-FR"/>
        </w:rPr>
      </w:pPr>
      <w:r>
        <w:rPr>
          <w:rFonts w:eastAsia="Times New Roman" w:cs="Times New Roman" w:ascii="Times New Roman" w:hAnsi="Times New Roman"/>
          <w:b/>
          <w:bCs/>
          <w:sz w:val="24"/>
          <w:szCs w:val="24"/>
          <w:lang w:eastAsia="fr-FR"/>
        </w:rPr>
      </w:r>
    </w:p>
    <w:p>
      <w:pPr>
        <w:pStyle w:val="Normal"/>
        <w:spacing w:lineRule="auto" w:line="276"/>
        <w:jc w:val="both"/>
        <w:rPr>
          <w:rFonts w:ascii="Times New Roman" w:hAnsi="Times New Roman" w:eastAsia="Times New Roman" w:cs="Times New Roman"/>
          <w:b/>
          <w:bCs/>
          <w:sz w:val="24"/>
          <w:szCs w:val="24"/>
          <w:lang w:eastAsia="fr-FR"/>
        </w:rPr>
      </w:pPr>
      <w:r>
        <w:rPr>
          <w:rFonts w:eastAsia="Times New Roman" w:cs="Times New Roman" w:ascii="Times New Roman" w:hAnsi="Times New Roman"/>
          <w:b/>
          <w:bCs/>
          <w:sz w:val="24"/>
          <w:szCs w:val="24"/>
          <w:lang w:eastAsia="fr-FR"/>
        </w:rPr>
        <w:t>Éléments de méthode : une étude sur les secrétaires politiques du Comité des Régions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En 2020, on a commencé à mener une enquête sur le CdR, sans question de recherche prédéfinie, avec différents membres du Comité : des membres, des administrateurs (fonctionnaires) et des groupes politiques. Des entretiens avec des députés européens de la commission du développement régional ont aussi été réalisés. Après un tour d'horizon, on a réalisé que les secrétariats politiques jouaient un rôle important dans les activités du CdR (ainsi que dans les contacts avec certains eurodéputés), mais peu exploré dans la littérature. Des administrateurs (fonctionnaires du CdR) nous avaient par ailleurs conseillé de discuter avec des secrétaires politiques, pour bien saisir l’écosystème du CdR.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En effet, certains secrétariats et les groupes politiques correspondants existent depuis les premiers pas de l’institution, dès 1995. Ils ont pour objectif de : « préparer les réunions de coordination avant les sessions plénières, fournir aux membres des groupes les informations nécessaires sur les réunions des différents organes du Comité des régions, les assister dans la défense politique des avis et la présentation des amendements » (Wassenberg, 2019). Ensuite, certains secrétaires ont exercé la majeure partie de leur carrière professionnelle au sein des secrétariats.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Afin d’étudier comment ces secrétaires peuvent renseigner à nouveaux frais sur le CdR, on a réalisé 18 entretiens – parfois à plusieurs reprises, voir l’annexe n° 1 – avec des membres de secrétariats politiques : quatre socialistes (PSE), deux libéraux (Renew), un chrétien-démocrate (PPE), un écologiste (Vert), un du groupe régionaliste (</w:t>
      </w:r>
      <w:r>
        <w:rPr>
          <w:rFonts w:cs="Times New Roman" w:ascii="Times New Roman" w:hAnsi="Times New Roman"/>
          <w:i/>
          <w:iCs/>
          <w:sz w:val="24"/>
          <w:szCs w:val="24"/>
        </w:rPr>
        <w:t>European Alliance</w:t>
      </w:r>
      <w:r>
        <w:rPr>
          <w:rFonts w:cs="Times New Roman" w:ascii="Times New Roman" w:hAnsi="Times New Roman"/>
          <w:sz w:val="24"/>
          <w:szCs w:val="24"/>
        </w:rPr>
        <w:t>), et aucun avec les conservateurs (ECR)</w:t>
      </w:r>
      <w:r>
        <w:rPr>
          <w:rStyle w:val="FootnoteReference"/>
          <w:rFonts w:cs="Times New Roman" w:ascii="Times New Roman" w:hAnsi="Times New Roman"/>
          <w:sz w:val="24"/>
          <w:szCs w:val="24"/>
        </w:rPr>
        <w:footnoteReference w:id="16"/>
      </w:r>
      <w:r>
        <w:rPr>
          <w:rFonts w:cs="Times New Roman" w:ascii="Times New Roman" w:hAnsi="Times New Roman"/>
          <w:sz w:val="24"/>
          <w:szCs w:val="24"/>
        </w:rPr>
        <w:t xml:space="preserve">. Le travail de terrain a été réalisé entre juillet 2020 et août 2021, une période relativement importante en matière de reconfiguration des politiques européennes (Pacte vert pour l’Europe, crise de la COVID, </w:t>
      </w:r>
      <w:r>
        <w:rPr>
          <w:rFonts w:cs="Times New Roman" w:ascii="Times New Roman" w:hAnsi="Times New Roman"/>
          <w:i/>
          <w:iCs/>
          <w:sz w:val="24"/>
          <w:szCs w:val="24"/>
        </w:rPr>
        <w:t>Next Generation EU</w:t>
      </w:r>
      <w:r>
        <w:rPr>
          <w:rFonts w:cs="Times New Roman" w:ascii="Times New Roman" w:hAnsi="Times New Roman"/>
          <w:sz w:val="24"/>
          <w:szCs w:val="24"/>
        </w:rPr>
        <w:t xml:space="preserve">, et négociations du </w:t>
      </w:r>
      <w:r>
        <w:rPr>
          <w:rFonts w:cs="Times New Roman" w:ascii="Times New Roman" w:hAnsi="Times New Roman"/>
          <w:i/>
          <w:iCs/>
          <w:sz w:val="24"/>
          <w:szCs w:val="24"/>
        </w:rPr>
        <w:t>multiannual financial framework - MFF</w:t>
      </w:r>
      <w:r>
        <w:rPr>
          <w:rFonts w:cs="Times New Roman" w:ascii="Times New Roman" w:hAnsi="Times New Roman"/>
          <w:sz w:val="24"/>
          <w:szCs w:val="24"/>
        </w:rPr>
        <w:t>, 2021-2027).</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On leur a posé plusieurs types de questions : sur leur biographie (pays d'origine, études, emplois avant de rejoindre le Comité, dans l'UE ou non), sur les raisons pour lesquelles ils avaient choisi de travailler au CdR et non dans d'autres institutions de l'UE, sur leurs routines professionnelles au CdR, ainsi que sur leurs relations avec les membres de leurs groupes politiques au CdR, avec les administrateurs de l'institution, et avec d'autres conseillers politiques. On les a également interrogés sur leurs liens avec les partis politiques auxquels ils étaient rattachés au niveau européen, avec les groupes parlementaires au sein du Parlement, et avec les personnes de la Commission ou du Conseil.</w:t>
      </w:r>
      <w:r>
        <w:rPr>
          <w:rFonts w:cs="Times New Roman" w:ascii="Times New Roman" w:hAnsi="Times New Roman"/>
        </w:rPr>
        <w:t xml:space="preserve"> </w:t>
      </w:r>
      <w:r>
        <w:rPr>
          <w:rFonts w:cs="Times New Roman" w:ascii="Times New Roman" w:hAnsi="Times New Roman"/>
          <w:sz w:val="24"/>
          <w:szCs w:val="24"/>
        </w:rPr>
        <w:t>On a soumis les mêmes questions aux secrétaires politiques afin de trianguler un maximum d'informations sur les pratiques des secrétariats (voir l’annexe n° 2). D’abord, on a regroupé les réponses des différents secrétaires, par catégories (profils, tâches vis-à-vis des membres du groupe, tâches vis-à-vis des rapporteurs, relations avec les administrateurs, interactions avec le Parlement, le Conseil ou la Commission). Dans un second temps, on a analysé les données collectées à partir des catégories développées dans la littérature sur les « non-elected assistants » au PE (voir ci-dessous).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On est évidemment conscient des limites de l’étude. Il y a une surreprésentation du groupe socialiste, car les secrétaires du groupe ont été les plus disponibles et coopératifs à notre égard. Cela peut ainsi biaiser nos résultats. Toutefois, pour vérifier si le groupe socialiste avait un style politique distinctif des autres secrétariats politiques, on a interrogé ces derniers pour confirmer la généralité de ces pratiques. Malgré quelques variations, il semble que les secrétaires politiques les plus installés (en dehors des Verts encore dans leur genèse ou ECR sur lequel on n’a pas pu enquêter) ont un univers commun de pratiques. Une autre limite renvoie à la période particulière de l’étude, très intense (</w:t>
      </w:r>
      <w:r>
        <w:rPr>
          <w:rFonts w:cs="Times New Roman" w:ascii="Times New Roman" w:hAnsi="Times New Roman"/>
          <w:i/>
          <w:iCs/>
          <w:sz w:val="24"/>
          <w:szCs w:val="24"/>
        </w:rPr>
        <w:t>MFF</w:t>
      </w:r>
      <w:r>
        <w:rPr>
          <w:rFonts w:cs="Times New Roman" w:ascii="Times New Roman" w:hAnsi="Times New Roman"/>
          <w:sz w:val="24"/>
          <w:szCs w:val="24"/>
        </w:rPr>
        <w:t xml:space="preserve"> et </w:t>
      </w:r>
      <w:r>
        <w:rPr>
          <w:rFonts w:cs="Times New Roman" w:ascii="Times New Roman" w:hAnsi="Times New Roman"/>
          <w:i/>
          <w:iCs/>
          <w:sz w:val="24"/>
          <w:szCs w:val="24"/>
        </w:rPr>
        <w:t>Next Generation EU</w:t>
      </w:r>
      <w:r>
        <w:rPr>
          <w:rFonts w:cs="Times New Roman" w:ascii="Times New Roman" w:hAnsi="Times New Roman"/>
          <w:sz w:val="24"/>
          <w:szCs w:val="24"/>
        </w:rPr>
        <w:t>). Pour ne pas analyser seulement les pratiques des secrétaires dans la période exceptionnelle que constitue la temporalité de l’étude, les secrétaires politiques ont été questionnés sur l’évolution de leurs prérogatives au cours de leur activité au CdR. Il ne semble pas y avoir de distinction majeure, si ce n’est le poids des interactions numériques, notamment lors des confinements (ce qui facilite logistiquement les réunions), par rapport à un temps plus ordinaire.</w:t>
      </w:r>
    </w:p>
    <w:p>
      <w:pPr>
        <w:pStyle w:val="Normal"/>
        <w:spacing w:lineRule="auto" w:line="276"/>
        <w:jc w:val="both"/>
        <w:rPr>
          <w:rFonts w:ascii="Times New Roman" w:hAnsi="Times New Roman" w:eastAsia="Times New Roman" w:cs="Times New Roman"/>
          <w:b/>
          <w:bCs/>
          <w:sz w:val="24"/>
          <w:szCs w:val="24"/>
          <w:lang w:eastAsia="fr-FR"/>
        </w:rPr>
      </w:pPr>
      <w:r>
        <w:rPr>
          <w:rFonts w:eastAsia="Times New Roman" w:cs="Times New Roman" w:ascii="Times New Roman" w:hAnsi="Times New Roman"/>
          <w:b/>
          <w:bCs/>
          <w:sz w:val="24"/>
          <w:szCs w:val="24"/>
          <w:lang w:eastAsia="fr-FR"/>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Les secrétaires politiques et leurs membres : subsidiaires ou discrétionnaires ?</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Lorsque l’on interroge les secrétaires politiques sur leurs tâches quotidiennes, ils mentionnent spontanément : </w:t>
      </w:r>
    </w:p>
    <w:p>
      <w:pPr>
        <w:pStyle w:val="Normal"/>
        <w:spacing w:lineRule="auto" w:line="276"/>
        <w:ind w:left="708"/>
        <w:jc w:val="both"/>
        <w:rPr>
          <w:rFonts w:ascii="Times New Roman" w:hAnsi="Times New Roman" w:cs="Times New Roman"/>
          <w:lang w:val="en-US"/>
        </w:rPr>
      </w:pPr>
      <w:r>
        <w:rPr>
          <w:rFonts w:cs="Times New Roman" w:ascii="Times New Roman" w:hAnsi="Times New Roman"/>
          <w:lang w:val="en-US"/>
        </w:rPr>
        <w:t>« We are at the service of our members. They come with requests for information. We do briefings for them, for the meetings they have. We write speeches for them. There are a lot of meetings at the CoR: group coordination, task forces, preparation of committee meetings » (entretien avec un secrétaire d’</w:t>
      </w:r>
      <w:r>
        <w:rPr>
          <w:rFonts w:cs="Times New Roman" w:ascii="Times New Roman" w:hAnsi="Times New Roman"/>
          <w:i/>
          <w:iCs/>
          <w:lang w:val="en-US"/>
        </w:rPr>
        <w:t>European Alliance</w:t>
      </w:r>
      <w:r>
        <w:rPr>
          <w:rFonts w:cs="Times New Roman" w:ascii="Times New Roman" w:hAnsi="Times New Roman"/>
          <w:lang w:val="en-US"/>
        </w:rPr>
        <w:t xml:space="preserve">, le 9 septembre 2020). </w:t>
      </w:r>
    </w:p>
    <w:p>
      <w:pPr>
        <w:pStyle w:val="Normal"/>
        <w:spacing w:lineRule="auto" w:line="276"/>
        <w:ind w:left="708"/>
        <w:jc w:val="both"/>
        <w:rPr>
          <w:rFonts w:ascii="Times New Roman" w:hAnsi="Times New Roman" w:cs="Times New Roman"/>
          <w:lang w:val="en-US"/>
        </w:rPr>
      </w:pPr>
      <w:r>
        <w:rPr>
          <w:rFonts w:cs="Times New Roman" w:ascii="Times New Roman" w:hAnsi="Times New Roman"/>
          <w:lang w:val="en-US"/>
        </w:rPr>
        <w:t>« We contribute to the drafting process, regarding Renew rapporteurs’ opinions. [In the Renew group], each political advisor has his or her areas of expertise [and thematic commissions]. We organise meetings with lots of people, we do research » (entretien avec un secrétaire de Renew, le 6 août 2021).</w:t>
      </w:r>
    </w:p>
    <w:p>
      <w:pPr>
        <w:pStyle w:val="Normal"/>
        <w:spacing w:lineRule="auto" w:line="276"/>
        <w:jc w:val="both"/>
        <w:rPr>
          <w:rFonts w:ascii="Times New Roman" w:hAnsi="Times New Roman" w:cs="Times New Roman"/>
          <w:sz w:val="24"/>
          <w:szCs w:val="24"/>
          <w:u w:val="single"/>
        </w:rPr>
      </w:pPr>
      <w:r>
        <w:rPr>
          <w:rFonts w:cs="Times New Roman" w:ascii="Times New Roman" w:hAnsi="Times New Roman"/>
          <w:sz w:val="24"/>
          <w:szCs w:val="24"/>
        </w:rPr>
        <w:t xml:space="preserve">Ces éléments renvoient à un rôle assistanciel des secrétaires politiques, ou ce que Ruiter appelle des rôles routiniers (Ruiter, 2022). Le premier entretien insiste sur le fait que les secrétaires doivent préparer les réunions auxquelles les membres participent. Si l'on prend l'exemple du groupe PPE, un membre interrogé du secrétariat dit organiser à la fois les réunions avec tous les membres du groupe PPE avant les plénières du CdR et les réunions des membres PPE du CdR qui siègent dans chaque commission thématique (entretien le 25 août 2021). En outre, le premier entretien mentionne que les secrétaires fournissent des informations à leurs membres, à propos des sujets inscrits à l'ordre du jour du CdR, qui est négocié au niveau du bureau du CdR. Le second extrait fait référence à un rôle plus « réactif » (avec une certaine improvisation pour le secrétaire politique, comme l’évoque Ruiter, 2022). En effet, la contribution des secrétaires au processus de </w:t>
      </w:r>
      <w:r>
        <w:rPr>
          <w:rFonts w:cs="Times New Roman" w:ascii="Times New Roman" w:hAnsi="Times New Roman"/>
          <w:i/>
          <w:iCs/>
          <w:sz w:val="24"/>
          <w:szCs w:val="24"/>
        </w:rPr>
        <w:t>drafting</w:t>
      </w:r>
      <w:r>
        <w:rPr>
          <w:rFonts w:cs="Times New Roman" w:ascii="Times New Roman" w:hAnsi="Times New Roman"/>
          <w:sz w:val="24"/>
          <w:szCs w:val="24"/>
        </w:rPr>
        <w:t xml:space="preserve"> des avis du CdR passe par l’élaboration de notes d’analyse et d’informations, aux rapporteurs ou aux membres de leurs groupes, pour les travaux en commission. Dès lors, les secrétaires façonnent la « base informationnelle » (Winzen, 2011) sur laquelle les membres du groupe, siégeant par intermittence, s’appuieront pour intervenir et voter en commission un avis du CdR.</w:t>
      </w:r>
    </w:p>
    <w:p>
      <w:pPr>
        <w:pStyle w:val="Normal"/>
        <w:spacing w:lineRule="auto" w:line="276"/>
        <w:jc w:val="both"/>
        <w:rPr>
          <w:rFonts w:ascii="Times New Roman" w:hAnsi="Times New Roman" w:cs="Times New Roman"/>
          <w:sz w:val="24"/>
          <w:szCs w:val="24"/>
          <w:lang w:val="en-US"/>
        </w:rPr>
      </w:pPr>
      <w:r>
        <w:rPr>
          <w:rFonts w:cs="Times New Roman" w:ascii="Times New Roman" w:hAnsi="Times New Roman"/>
          <w:sz w:val="24"/>
          <w:szCs w:val="24"/>
        </w:rPr>
        <w:t xml:space="preserve">Toutefois, les secrétaires disent ne pas avoir la capacité à travailler de manière égale avec tous les membres de leurs groupes (d’autant que certains ont tendance à davantage siéger que d’autres, comme le montre </w:t>
      </w:r>
      <w:r>
        <w:rPr>
          <w:rStyle w:val="Fontstyle01"/>
          <w:rFonts w:cs="Times New Roman" w:ascii="Times New Roman" w:hAnsi="Times New Roman"/>
          <w:color w:val="auto"/>
          <w:sz w:val="24"/>
          <w:szCs w:val="24"/>
        </w:rPr>
        <w:t xml:space="preserve">Domorenok, 2009). </w:t>
      </w:r>
      <w:r>
        <w:rPr>
          <w:rStyle w:val="Q4iawc"/>
          <w:rFonts w:cs="Times New Roman" w:ascii="Times New Roman" w:hAnsi="Times New Roman"/>
          <w:sz w:val="24"/>
          <w:szCs w:val="24"/>
        </w:rPr>
        <w:t>Les entretiens ont révélé que les secrétariats travailleraient principalement avec les membres qui ont des responsabilités politiques (le rapporteur ou le coordinateur du groupe pour chaque commission).</w:t>
      </w:r>
      <w:r>
        <w:rPr>
          <w:rFonts w:cs="Times New Roman" w:ascii="Times New Roman" w:hAnsi="Times New Roman"/>
          <w:sz w:val="24"/>
          <w:szCs w:val="24"/>
        </w:rPr>
        <w:t xml:space="preserve"> C’est le cas d’un secrétaire du groupe libéral (entretien le 5 août 2019), la trentaine, ayant travaillé préalablement comme assistant parlementaire, recruté en 2018 dans le secrétariat. Il est doublement responsable des commissions « développement régional » (COTER) et « économie » (ECON). Quand on l’interroge sur son travail quotidien, il dit cibler ses interventions par rapport aux membres du groupe siégeant dans la commission. Il s’agit de membres qui ont obtenu d’avoir un rapport pour un avis donné, ou de coordinateurs des groupes dans chaque commission, ou encore de membres provenant d’autorités locales et régionales influentes. Par exemple, il évoque l’importance pour son groupe d’avoir, dans la commission ECON, le Vice-Président de la Wallonie, une région belge disposant de larges prérogatives législatives : « as a Vice President of the government of Wallonia, and as former Prime Minister of Wallonia, he represents Wallonia in Belgium. </w:t>
      </w:r>
      <w:r>
        <w:rPr>
          <w:rFonts w:cs="Times New Roman" w:ascii="Times New Roman" w:hAnsi="Times New Roman"/>
          <w:sz w:val="24"/>
          <w:szCs w:val="24"/>
          <w:lang w:val="en-US"/>
        </w:rPr>
        <w:t>He has access to Belgium internal negotiations and to the Council</w:t>
      </w:r>
      <w:r>
        <w:rPr>
          <w:rStyle w:val="FootnoteReference"/>
          <w:rFonts w:cs="Times New Roman" w:ascii="Times New Roman" w:hAnsi="Times New Roman"/>
          <w:sz w:val="24"/>
          <w:szCs w:val="24"/>
          <w:lang w:val="en-US"/>
        </w:rPr>
        <w:footnoteReference w:id="17"/>
      </w:r>
      <w:r>
        <w:rPr>
          <w:rFonts w:cs="Times New Roman" w:ascii="Times New Roman" w:hAnsi="Times New Roman"/>
          <w:sz w:val="24"/>
          <w:szCs w:val="24"/>
          <w:lang w:val="en-US"/>
        </w:rPr>
        <w:t>. He is a figure who can talk directly to the Commissioners » (</w:t>
      </w:r>
      <w:r>
        <w:rPr>
          <w:rFonts w:cs="Times New Roman" w:ascii="Times New Roman" w:hAnsi="Times New Roman"/>
          <w:i/>
          <w:iCs/>
          <w:sz w:val="24"/>
          <w:szCs w:val="24"/>
          <w:lang w:val="en-US"/>
        </w:rPr>
        <w:t>ibid</w:t>
      </w:r>
      <w:r>
        <w:rPr>
          <w:rFonts w:cs="Times New Roman" w:ascii="Times New Roman" w:hAnsi="Times New Roman"/>
          <w:sz w:val="24"/>
          <w:szCs w:val="24"/>
          <w:lang w:val="en-US"/>
        </w:rPr>
        <w:t>.).</w:t>
      </w:r>
    </w:p>
    <w:p>
      <w:pPr>
        <w:pStyle w:val="Normal"/>
        <w:pBdr>
          <w:top w:val="single" w:sz="4" w:space="1" w:color="000000"/>
          <w:left w:val="single" w:sz="4" w:space="4" w:color="000000"/>
          <w:bottom w:val="single" w:sz="4" w:space="1" w:color="000000"/>
          <w:right w:val="single" w:sz="4" w:space="4" w:color="000000"/>
        </w:pBdr>
        <w:spacing w:lineRule="auto" w:line="276"/>
        <w:jc w:val="center"/>
        <w:rPr>
          <w:rFonts w:ascii="Times New Roman" w:hAnsi="Times New Roman" w:cs="Times New Roman"/>
          <w:b/>
          <w:bCs/>
          <w:sz w:val="24"/>
          <w:szCs w:val="24"/>
        </w:rPr>
      </w:pPr>
      <w:r>
        <w:rPr>
          <w:rFonts w:cs="Times New Roman" w:ascii="Times New Roman" w:hAnsi="Times New Roman"/>
          <w:b/>
          <w:bCs/>
          <w:sz w:val="24"/>
          <w:szCs w:val="24"/>
        </w:rPr>
        <w:t>Antécédents universitaires et professionnels des secrétaires politiques</w:t>
      </w:r>
    </w:p>
    <w:p>
      <w:pPr>
        <w:pStyle w:val="Normal"/>
        <w:pBdr>
          <w:top w:val="single" w:sz="4" w:space="1" w:color="000000"/>
          <w:left w:val="single" w:sz="4" w:space="4" w:color="000000"/>
          <w:bottom w:val="single" w:sz="4" w:space="1" w:color="000000"/>
          <w:right w:val="single" w:sz="4" w:space="4" w:color="000000"/>
        </w:pBdr>
        <w:spacing w:lineRule="auto" w:line="276"/>
        <w:jc w:val="both"/>
        <w:rPr>
          <w:rStyle w:val="Q4iawc"/>
          <w:rFonts w:ascii="Times New Roman" w:hAnsi="Times New Roman" w:cs="Times New Roman"/>
        </w:rPr>
      </w:pPr>
      <w:r>
        <w:rPr>
          <w:rStyle w:val="Q4iawc"/>
          <w:rFonts w:cs="Times New Roman" w:ascii="Times New Roman" w:hAnsi="Times New Roman"/>
        </w:rPr>
        <w:t>Les employés des secrétariats politiques, très souvent diplômés d’un Master (comme dans l’étude de Ruiter, 2019), sont souvent passés par plusieurs universités (dans différents pays, principalement en Europe).</w:t>
      </w:r>
      <w:r>
        <w:rPr>
          <w:rStyle w:val="Viiyi"/>
          <w:rFonts w:cs="Times New Roman" w:ascii="Times New Roman" w:hAnsi="Times New Roman"/>
        </w:rPr>
        <w:t xml:space="preserve"> </w:t>
      </w:r>
      <w:r>
        <w:rPr>
          <w:rStyle w:val="Q4iawc"/>
          <w:rFonts w:cs="Times New Roman" w:ascii="Times New Roman" w:hAnsi="Times New Roman"/>
        </w:rPr>
        <w:t>Beaucoup d'entre eux ont étudié dans leur pays d'origine avant d'obtenir un deuxième master en Belgique (8 personnes sur 55), en Allemagne (3), en France (3), aux Pays-Bas (2) ou en Angleterre (2).</w:t>
      </w:r>
      <w:r>
        <w:rPr>
          <w:rStyle w:val="Viiyi"/>
          <w:rFonts w:cs="Times New Roman" w:ascii="Times New Roman" w:hAnsi="Times New Roman"/>
        </w:rPr>
        <w:t xml:space="preserve"> </w:t>
      </w:r>
      <w:r>
        <w:rPr>
          <w:rStyle w:val="Q4iawc"/>
          <w:rFonts w:cs="Times New Roman" w:ascii="Times New Roman" w:hAnsi="Times New Roman"/>
        </w:rPr>
        <w:t>La plupart des membres du personnel du secrétariat ont une formation universitaire en science politique, en études européennes ou en études internationales. Les universités les plus courantes sont, sans surprise, le Collège d'Europe de Bruges (qui revient 5 fois) ou de Natolin (2 fois).</w:t>
      </w:r>
      <w:r>
        <w:rPr>
          <w:rStyle w:val="Viiyi"/>
          <w:rFonts w:cs="Times New Roman" w:ascii="Times New Roman" w:hAnsi="Times New Roman"/>
        </w:rPr>
        <w:t xml:space="preserve"> </w:t>
      </w:r>
      <w:r>
        <w:rPr>
          <w:rStyle w:val="Q4iawc"/>
          <w:rFonts w:cs="Times New Roman" w:ascii="Times New Roman" w:hAnsi="Times New Roman"/>
        </w:rPr>
        <w:t xml:space="preserve">D'autres sont passés par des universités belges (comme la </w:t>
      </w:r>
      <w:r>
        <w:rPr>
          <w:rStyle w:val="Q4iawc"/>
          <w:rFonts w:cs="Times New Roman" w:ascii="Times New Roman" w:hAnsi="Times New Roman"/>
          <w:i/>
          <w:iCs/>
        </w:rPr>
        <w:t>Katholieke Universiteit</w:t>
      </w:r>
      <w:r>
        <w:rPr>
          <w:rStyle w:val="Q4iawc"/>
          <w:rFonts w:cs="Times New Roman" w:ascii="Times New Roman" w:hAnsi="Times New Roman"/>
        </w:rPr>
        <w:t xml:space="preserve"> de Leuven) ou la </w:t>
      </w:r>
      <w:r>
        <w:rPr>
          <w:rStyle w:val="Q4iawc"/>
          <w:rFonts w:cs="Times New Roman" w:ascii="Times New Roman" w:hAnsi="Times New Roman"/>
          <w:i/>
          <w:iCs/>
        </w:rPr>
        <w:t>London School of Economics</w:t>
      </w:r>
      <w:r>
        <w:rPr>
          <w:rStyle w:val="Q4iawc"/>
          <w:rFonts w:cs="Times New Roman" w:ascii="Times New Roman" w:hAnsi="Times New Roman"/>
        </w:rPr>
        <w:t>. Ces formations académiques sont une ressource valorisable dans les professions européennes, où la pratique de différentes langues est courante (Michon, 2008).</w:t>
      </w:r>
      <w:r>
        <w:rPr>
          <w:rStyle w:val="Viiyi"/>
          <w:rFonts w:cs="Times New Roman" w:ascii="Times New Roman" w:hAnsi="Times New Roman"/>
        </w:rPr>
        <w:t xml:space="preserve"> </w:t>
      </w:r>
      <w:r>
        <w:rPr>
          <w:rStyle w:val="Q4iawc"/>
          <w:rFonts w:cs="Times New Roman" w:ascii="Times New Roman" w:hAnsi="Times New Roman"/>
        </w:rPr>
        <w:t>Au vu des données disponibles sur les sites des secrétariats du PSE ou d’EA, il est possible de mesurer ce multilinguisme.</w:t>
      </w:r>
      <w:r>
        <w:rPr>
          <w:rStyle w:val="Viiyi"/>
          <w:rFonts w:cs="Times New Roman" w:ascii="Times New Roman" w:hAnsi="Times New Roman"/>
        </w:rPr>
        <w:t xml:space="preserve"> </w:t>
      </w:r>
      <w:r>
        <w:rPr>
          <w:rStyle w:val="Q4iawc"/>
          <w:rFonts w:cs="Times New Roman" w:ascii="Times New Roman" w:hAnsi="Times New Roman"/>
        </w:rPr>
        <w:t>Au secrétariat du PSE (sur 15 personnes), les quinze parlent anglais et français, 9 italien, 6 espagnol, 5 allemand et 2 néerlandais, par exemple.</w:t>
      </w:r>
      <w:r>
        <w:rPr>
          <w:rStyle w:val="Viiyi"/>
          <w:rFonts w:cs="Times New Roman" w:ascii="Times New Roman" w:hAnsi="Times New Roman"/>
        </w:rPr>
        <w:t xml:space="preserve"> </w:t>
      </w:r>
      <w:r>
        <w:rPr>
          <w:rStyle w:val="Q4iawc"/>
          <w:rFonts w:cs="Times New Roman" w:ascii="Times New Roman" w:hAnsi="Times New Roman"/>
        </w:rPr>
        <w:t>La plupart parlent plusieurs langues, ce qui n’est pas surprenant pour des personnes qui travaillent dans un environnement multinational.</w:t>
      </w:r>
      <w:r>
        <w:rPr>
          <w:rStyle w:val="Viiyi"/>
          <w:rFonts w:cs="Times New Roman" w:ascii="Times New Roman" w:hAnsi="Times New Roman"/>
        </w:rPr>
        <w:t xml:space="preserve"> </w:t>
      </w:r>
      <w:r>
        <w:rPr>
          <w:rStyle w:val="Q4iawc"/>
          <w:rFonts w:cs="Times New Roman" w:ascii="Times New Roman" w:hAnsi="Times New Roman"/>
        </w:rPr>
        <w:t>Pour le secrétariat d’EA (sur 5 personnes), 5 parlent français, 5 anglais et 2 italien.</w:t>
      </w:r>
      <w:r>
        <w:rPr>
          <w:rStyle w:val="Viiyi"/>
          <w:rFonts w:cs="Times New Roman" w:ascii="Times New Roman" w:hAnsi="Times New Roman"/>
        </w:rPr>
        <w:t xml:space="preserve"> </w:t>
      </w:r>
      <w:r>
        <w:rPr>
          <w:rStyle w:val="Q4iawc"/>
          <w:rFonts w:cs="Times New Roman" w:ascii="Times New Roman" w:hAnsi="Times New Roman"/>
        </w:rPr>
        <w:t>Par conséquent, les langues les plus utilisées sont l'anglais, le français et l'italien dans une moindre mesure.</w:t>
      </w:r>
      <w:r>
        <w:rPr>
          <w:rStyle w:val="Viiyi"/>
          <w:rFonts w:cs="Times New Roman" w:ascii="Times New Roman" w:hAnsi="Times New Roman"/>
        </w:rPr>
        <w:t xml:space="preserve"> </w:t>
      </w:r>
      <w:r>
        <w:rPr>
          <w:rStyle w:val="Q4iawc"/>
          <w:rFonts w:cs="Times New Roman" w:ascii="Times New Roman" w:hAnsi="Times New Roman"/>
        </w:rPr>
        <w:t>La plupart des membres du groupe maîtrisent trois langues au moins.</w:t>
      </w:r>
    </w:p>
    <w:p>
      <w:pPr>
        <w:pStyle w:val="Normal"/>
        <w:pBdr>
          <w:top w:val="single" w:sz="4" w:space="1" w:color="000000"/>
          <w:left w:val="single" w:sz="4" w:space="4" w:color="000000"/>
          <w:bottom w:val="single" w:sz="4" w:space="1" w:color="000000"/>
          <w:right w:val="single" w:sz="4" w:space="4" w:color="000000"/>
        </w:pBdr>
        <w:spacing w:lineRule="auto" w:line="276"/>
        <w:jc w:val="both"/>
        <w:rPr>
          <w:rStyle w:val="Q4iawc"/>
          <w:rFonts w:ascii="Times New Roman" w:hAnsi="Times New Roman" w:cs="Times New Roman"/>
        </w:rPr>
      </w:pPr>
      <w:r>
        <w:rPr>
          <w:rStyle w:val="Q4iawc"/>
          <w:rFonts w:cs="Times New Roman" w:ascii="Times New Roman" w:hAnsi="Times New Roman"/>
        </w:rPr>
        <w:t>Leur profil n’est pas si distinct de celui d’autres professionnels de l’UE</w:t>
      </w:r>
      <w:r>
        <w:rPr>
          <w:rStyle w:val="FootnoteReference"/>
          <w:rFonts w:cs="Times New Roman" w:ascii="Times New Roman" w:hAnsi="Times New Roman"/>
        </w:rPr>
        <w:footnoteReference w:id="18"/>
      </w:r>
      <w:r>
        <w:rPr>
          <w:rStyle w:val="Q4iawc"/>
          <w:rFonts w:cs="Times New Roman" w:ascii="Times New Roman" w:hAnsi="Times New Roman"/>
        </w:rPr>
        <w:t>. Sur le plan professionnel, on pourrait légitimement s’imaginer qu’ils ont une forte expertise au niveau local ou régional, qui justifierait leur place dans les secrétariats politiques du CdR. Tel n’est que partiellement le cas. La plus grande tendance que l’on retrouve est le fait d’avoir fréquenté des institutions européennes avant de rejoindre le CdR. C’est particulièrement le cas pour le Parlement européen (en tant que stagiaires, conseillers politiques ou assistants parlementaires). Dans une moindre mesure, d’autres secrétaires ont travaillé pour la Commission, certains dans les représentations permanentes au Conseil. Une deuxième tendance consiste à avoir exercé dans des professions européennes en dehors des institutions formelles de l'UE. Au moins sept personnes des secrétariats ont travaillé pour des bureaux de représentation régionale à Bruxelles ou des associations représentant les intérêts régionaux. D'autres sont passés par des associations ou fédérations européennes (telles que le Réseau social européen, l'Association de l'industrie européenne du chauffage et le Réseau européen des organismes de promotion de l'égalité). Seulement quelques-uns des employés des secrétariats travaillaient initialement dans des entités périphériques des partis politiques européens (comme les Jeunes libéraux ou la Fondation pour les études progressistes européennes). Ainsi, la plupart des employés des secrétariats ont une expérience antérieure dans les institutions européennes ou au niveau des associations/fédérations présentes à Bruxelles. Lors des entretiens, on a demandé aux enquêtés pourquoi ils avaient choisi de travailler au CdR plutôt que dans une institution considérée comme plus prestigieuse (par exemple, celles appartenant au triangle institutionnel). Les réponses ont varié : soit par contingence, un poste s’ouvrait au CdR au moment de leur recherche d’emploi ; soit par le fait que le CdR renvoie à un contexte institutionnel stimulant, où il est possible pour ces secrétaires de travailler sur plusieurs thématiques, sans en venir à être hyper-spécialisés (comme cela peut être le cas au Parlement). Pour le dire autrement, ce second type de réponse relativise la dévalorisation du capital symbolique liée à leur arrivée au CdR, en mettant en avant le capital technique européen (Michon, 2008), sous une forme diversifiée (extensive), qu’ils peuvent acquérir au sein d’un tel organe.</w:t>
      </w:r>
    </w:p>
    <w:p>
      <w:pPr>
        <w:pStyle w:val="Normal"/>
        <w:pBdr>
          <w:top w:val="single" w:sz="4" w:space="1" w:color="000000"/>
          <w:left w:val="single" w:sz="4" w:space="4" w:color="000000"/>
          <w:bottom w:val="single" w:sz="4" w:space="1" w:color="000000"/>
          <w:right w:val="single" w:sz="4" w:space="4" w:color="000000"/>
        </w:pBdr>
        <w:spacing w:lineRule="auto" w:line="276"/>
        <w:jc w:val="both"/>
        <w:rPr>
          <w:rFonts w:ascii="Times New Roman" w:hAnsi="Times New Roman" w:cs="Times New Roman"/>
        </w:rPr>
      </w:pPr>
      <w:r>
        <w:rPr>
          <w:rStyle w:val="Q4iawc"/>
          <w:rFonts w:cs="Times New Roman" w:ascii="Times New Roman" w:hAnsi="Times New Roman"/>
        </w:rPr>
        <w:t>On a enfin repéré plusieurs secrétaires ayant exercé, comme élus ou fonctionnaires, au niveau local (deux membres du secrétariat libéral). Il semble donc y avoir une surreprésentation d’individus provenant du « centre » de l’UE, plutôt que provenant des administrations locales et régionales. C’est donc majoritairement au cours de leur socialisation au CdR et au fil des rencontres avec tout un ensemble d’acteurs qu’ils rencontrent dans le cadre de leurs prérogatives (bureaux de représentation régionale, associations de collectivités locales) qu’ils se socialisent aux savoirs relatifs aux collectivités locales et à la gouvernance multi-niveau, qui s’ajoutent souvent à leurs savoirs acquis dans des expériences européennes antérieures.</w:t>
      </w:r>
    </w:p>
    <w:p>
      <w:pPr>
        <w:pStyle w:val="Normal"/>
        <w:spacing w:lineRule="auto" w:line="276"/>
        <w:jc w:val="both"/>
        <w:rPr>
          <w:rStyle w:val="Q4iawc"/>
          <w:rFonts w:ascii="Times New Roman" w:hAnsi="Times New Roman" w:cs="Times New Roman"/>
          <w:sz w:val="24"/>
          <w:szCs w:val="24"/>
        </w:rPr>
      </w:pPr>
      <w:r>
        <w:rPr>
          <w:rFonts w:cs="Times New Roman" w:ascii="Times New Roman" w:hAnsi="Times New Roman"/>
          <w:sz w:val="24"/>
          <w:szCs w:val="24"/>
        </w:rPr>
        <w:t>Il faut désormais mettre en valeur les rôles plus proactifs (Ruiter, 2019) de ces secrétaires politiques, dont le mandat n’est pas véritablement fixé par les membres du groupe. Comme on va le montrer, l</w:t>
      </w:r>
      <w:r>
        <w:rPr>
          <w:rStyle w:val="Q4iawc"/>
          <w:rFonts w:cs="Times New Roman" w:ascii="Times New Roman" w:hAnsi="Times New Roman"/>
          <w:sz w:val="24"/>
          <w:szCs w:val="24"/>
        </w:rPr>
        <w:t>es secrétariats politiques jouent un rôle décisif dans la production et la valorisation des avis du CdR.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En effet, l</w:t>
      </w:r>
      <w:r>
        <w:rPr>
          <w:rStyle w:val="Q4iawc"/>
          <w:rFonts w:cs="Times New Roman" w:ascii="Times New Roman" w:hAnsi="Times New Roman"/>
          <w:sz w:val="24"/>
          <w:szCs w:val="24"/>
        </w:rPr>
        <w:t>es secrétaires politiques aident à négocier quel membre du CdR sera rapporteur pour chaque avis (obligatoire ou autosaisine).</w:t>
      </w:r>
      <w:r>
        <w:rPr>
          <w:rStyle w:val="Viiyi"/>
          <w:rFonts w:cs="Times New Roman" w:ascii="Times New Roman" w:hAnsi="Times New Roman"/>
          <w:sz w:val="24"/>
          <w:szCs w:val="24"/>
        </w:rPr>
        <w:t xml:space="preserve"> </w:t>
      </w:r>
      <w:r>
        <w:rPr>
          <w:rStyle w:val="Q4iawc"/>
          <w:rFonts w:cs="Times New Roman" w:ascii="Times New Roman" w:hAnsi="Times New Roman"/>
          <w:sz w:val="24"/>
          <w:szCs w:val="24"/>
        </w:rPr>
        <w:t>La nomination d'un rapporteur est stratégique.</w:t>
      </w:r>
      <w:r>
        <w:rPr>
          <w:rStyle w:val="Viiyi"/>
          <w:rFonts w:cs="Times New Roman" w:ascii="Times New Roman" w:hAnsi="Times New Roman"/>
          <w:sz w:val="24"/>
          <w:szCs w:val="24"/>
        </w:rPr>
        <w:t xml:space="preserve"> </w:t>
      </w:r>
      <w:r>
        <w:rPr>
          <w:rStyle w:val="Q4iawc"/>
          <w:rFonts w:cs="Times New Roman" w:ascii="Times New Roman" w:hAnsi="Times New Roman"/>
          <w:sz w:val="24"/>
          <w:szCs w:val="24"/>
        </w:rPr>
        <w:t>Comme au PE (Kaeding, 2004), tous les groupes politiques, en fonction du nombre d’élus locaux ou régionaux qu'ils accueillent, disposent d'un système de points (renouvelé tous les 2 ans et demi) qui leur permet de désigner des rapporteurs. En disposant d’un nombre limité, les secrétariats politiques s’assurent d'avoir des rapporteurs sur les questions stratégiques (un rôle analogue est évoqué pour les secrétariats politiques du PE : Neunreither, 2002).</w:t>
      </w:r>
      <w:r>
        <w:rPr>
          <w:rStyle w:val="Viiyi"/>
          <w:rFonts w:cs="Times New Roman" w:ascii="Times New Roman" w:hAnsi="Times New Roman"/>
          <w:sz w:val="24"/>
          <w:szCs w:val="24"/>
        </w:rPr>
        <w:t xml:space="preserve"> </w:t>
      </w:r>
      <w:r>
        <w:rPr>
          <w:rStyle w:val="Q4iawc"/>
          <w:rFonts w:cs="Times New Roman" w:ascii="Times New Roman" w:hAnsi="Times New Roman"/>
          <w:sz w:val="24"/>
          <w:szCs w:val="24"/>
        </w:rPr>
        <w:t>Par exemple, le groupe socialiste (PSE) essaie régulièrement d'obtenir des avis sur les « questions sociales », tandis que le groupe ECR se focalise sur des avis concernant les services publics.</w:t>
      </w:r>
      <w:r>
        <w:rPr>
          <w:rStyle w:val="Viiyi"/>
          <w:rFonts w:cs="Times New Roman" w:ascii="Times New Roman" w:hAnsi="Times New Roman"/>
          <w:sz w:val="24"/>
          <w:szCs w:val="24"/>
        </w:rPr>
        <w:t xml:space="preserve"> </w:t>
      </w:r>
      <w:r>
        <w:rPr>
          <w:rStyle w:val="Q4iawc"/>
          <w:rFonts w:cs="Times New Roman" w:ascii="Times New Roman" w:hAnsi="Times New Roman"/>
          <w:sz w:val="24"/>
          <w:szCs w:val="24"/>
        </w:rPr>
        <w:t>Lorsqu'un groupe n’y parvient pas, il peut désigner un rapporteur fictif, comme au PE, sans engager de points. Pour le rapporteur (fictif), les secrétaires politiques identifient dans leur groupe quel membre du groupe politique pourrait être en mesure d'assurer cette tâche, selon plusieurs critères (expertise dans le domaine de l’avis, crédibilité, appui administratif) :</w:t>
      </w:r>
    </w:p>
    <w:p>
      <w:pPr>
        <w:pStyle w:val="Normal"/>
        <w:spacing w:lineRule="auto" w:line="276"/>
        <w:ind w:left="708"/>
        <w:jc w:val="both"/>
        <w:rPr>
          <w:rFonts w:ascii="Times New Roman" w:hAnsi="Times New Roman" w:cs="Times New Roman"/>
          <w:vertAlign w:val="superscript"/>
          <w:lang w:val="en-US"/>
        </w:rPr>
      </w:pPr>
      <w:r>
        <w:rPr>
          <w:rFonts w:cs="Times New Roman" w:ascii="Times New Roman" w:hAnsi="Times New Roman"/>
          <w:lang w:val="en-US"/>
        </w:rPr>
        <w:t>« […] if we manage to get the opinion, either we already have a rapporteur in mind in terms of skills. If we don't have one, we open the game. We ask the members if anyone is interested. We try to filter as little as possible, because you have world champions of the opinion, who always want to be rapporteur » (entretien avec un secrétaire socialiste, le 22 avril 2021).</w:t>
      </w:r>
    </w:p>
    <w:p>
      <w:pPr>
        <w:pStyle w:val="Normal"/>
        <w:spacing w:lineRule="auto" w:line="276"/>
        <w:ind w:left="708"/>
        <w:jc w:val="both"/>
        <w:rPr>
          <w:rFonts w:ascii="Times New Roman" w:hAnsi="Times New Roman" w:cs="Times New Roman"/>
          <w:lang w:val="en-US"/>
        </w:rPr>
      </w:pPr>
      <w:r>
        <w:rPr>
          <w:rFonts w:cs="Times New Roman" w:ascii="Times New Roman" w:hAnsi="Times New Roman"/>
          <w:lang w:val="en-US"/>
        </w:rPr>
        <w:t>« If you take a CoR member who is an elected representative of a municipality with 10,000 inhabitants, there is a poor ability to provide expertise on the ground. If you are the President of a Region with legislative power, with an administration of 1,000 people behind, we are not in the same category » (entretien avec un secrétaire socialiste, le 7 mai 2021).</w:t>
      </w:r>
    </w:p>
    <w:p>
      <w:pPr>
        <w:pStyle w:val="Normal"/>
        <w:spacing w:lineRule="auto" w:line="276"/>
        <w:jc w:val="both"/>
        <w:rPr>
          <w:rFonts w:ascii="Times New Roman" w:hAnsi="Times New Roman" w:cs="Times New Roman"/>
          <w:sz w:val="24"/>
          <w:szCs w:val="24"/>
        </w:rPr>
      </w:pPr>
      <w:r>
        <w:rPr>
          <w:rStyle w:val="Q4iawc"/>
          <w:rFonts w:cs="Times New Roman" w:ascii="Times New Roman" w:hAnsi="Times New Roman"/>
          <w:sz w:val="24"/>
          <w:szCs w:val="24"/>
        </w:rPr>
        <w:t>Lorsqu'un groupe politique se voit confier la fonction de rapporteur, ce dernier désigne un expert pour l'aider à élaborer l'avis.</w:t>
      </w:r>
      <w:r>
        <w:rPr>
          <w:rStyle w:val="Viiyi"/>
          <w:rFonts w:cs="Times New Roman" w:ascii="Times New Roman" w:hAnsi="Times New Roman"/>
          <w:sz w:val="24"/>
          <w:szCs w:val="24"/>
        </w:rPr>
        <w:t xml:space="preserve"> </w:t>
      </w:r>
      <w:r>
        <w:rPr>
          <w:rStyle w:val="Q4iawc"/>
          <w:rFonts w:cs="Times New Roman" w:ascii="Times New Roman" w:hAnsi="Times New Roman"/>
          <w:sz w:val="24"/>
          <w:szCs w:val="24"/>
        </w:rPr>
        <w:t>L'expert peut être proposé par l'administration du CdR ou par les secrétariats politiques.</w:t>
      </w:r>
      <w:r>
        <w:rPr>
          <w:rFonts w:cs="Times New Roman" w:ascii="Times New Roman" w:hAnsi="Times New Roman"/>
          <w:sz w:val="24"/>
          <w:szCs w:val="24"/>
        </w:rPr>
        <w:t xml:space="preserve"> Lors des entretiens, plusieurs secrétaires (socialistes/PSE, libéraux/Renew et chrétiens-démocrates/PPE) ont affirmé avoir déjà agi en tant qu’experts pour aider les rapporteurs de leur groupe à produire un avis. Si cette pratique est minoritaire, elle montre bien la relative indétermination du rôle des secrétaires politiques (et la large autonomie relative de leur mandat par rapport à leurs membres).</w:t>
      </w:r>
      <w:r>
        <w:rPr>
          <w:rStyle w:val="Viiyi"/>
          <w:rFonts w:cs="Times New Roman" w:ascii="Times New Roman" w:hAnsi="Times New Roman"/>
          <w:sz w:val="24"/>
          <w:szCs w:val="24"/>
        </w:rPr>
        <w:t xml:space="preserve"> </w:t>
      </w:r>
      <w:r>
        <w:rPr>
          <w:rStyle w:val="Q4iawc"/>
          <w:rFonts w:cs="Times New Roman" w:ascii="Times New Roman" w:hAnsi="Times New Roman"/>
          <w:sz w:val="24"/>
          <w:szCs w:val="24"/>
        </w:rPr>
        <w:t>Lors du processus de production de l'avis entre le rapporteur et l’expert, le secrétariat politique est toujours présent :</w:t>
      </w:r>
    </w:p>
    <w:p>
      <w:pPr>
        <w:pStyle w:val="Normal"/>
        <w:spacing w:lineRule="auto" w:line="276"/>
        <w:ind w:left="708"/>
        <w:jc w:val="both"/>
        <w:rPr>
          <w:rFonts w:ascii="Times New Roman" w:hAnsi="Times New Roman" w:cs="Times New Roman"/>
          <w:lang w:val="en-US"/>
        </w:rPr>
      </w:pPr>
      <w:r>
        <w:rPr>
          <w:rFonts w:cs="Times New Roman" w:ascii="Times New Roman" w:hAnsi="Times New Roman"/>
          <w:lang w:val="en-US"/>
        </w:rPr>
        <w:t>« Once we have someone who is appointed rapporteur, we prepare. Sometimes we go to the complete preparation of the opinion. In general, I prefer to give my elements. Afterwards, we do a briefing. If they need to express themselves in the press, we do the press releases. We do all the substantive stuff. We are the ones who are there to guide them » (entretien avec un secrétaire socialiste, le 25 septembre 2020).</w:t>
      </w:r>
    </w:p>
    <w:p>
      <w:pPr>
        <w:pStyle w:val="Normal"/>
        <w:spacing w:lineRule="auto" w:line="276"/>
        <w:jc w:val="both"/>
        <w:rPr>
          <w:rStyle w:val="Q4iawc"/>
          <w:rFonts w:ascii="Times New Roman" w:hAnsi="Times New Roman" w:cs="Times New Roman"/>
          <w:sz w:val="24"/>
          <w:szCs w:val="24"/>
        </w:rPr>
      </w:pPr>
      <w:r>
        <w:rPr>
          <w:rStyle w:val="Q4iawc"/>
          <w:rFonts w:cs="Times New Roman" w:ascii="Times New Roman" w:hAnsi="Times New Roman"/>
          <w:sz w:val="24"/>
          <w:szCs w:val="24"/>
        </w:rPr>
        <w:t>En parallèle, un administrateur (fonctionnaire) assiste le rapporteur dans l'élaboration de l'avis.</w:t>
      </w:r>
      <w:r>
        <w:rPr>
          <w:rStyle w:val="Viiyi"/>
          <w:rFonts w:cs="Times New Roman" w:ascii="Times New Roman" w:hAnsi="Times New Roman"/>
          <w:sz w:val="24"/>
          <w:szCs w:val="24"/>
        </w:rPr>
        <w:t xml:space="preserve"> </w:t>
      </w:r>
      <w:r>
        <w:rPr>
          <w:rStyle w:val="Q4iawc"/>
          <w:rFonts w:cs="Times New Roman" w:ascii="Times New Roman" w:hAnsi="Times New Roman"/>
          <w:sz w:val="24"/>
          <w:szCs w:val="24"/>
        </w:rPr>
        <w:t>Cet administrateur doit présenter une « background analysis »</w:t>
      </w:r>
      <w:r>
        <w:rPr>
          <w:rStyle w:val="FootnoteReference"/>
          <w:rFonts w:cs="Times New Roman" w:ascii="Times New Roman" w:hAnsi="Times New Roman"/>
          <w:sz w:val="24"/>
          <w:szCs w:val="24"/>
        </w:rPr>
        <w:footnoteReference w:id="19"/>
      </w:r>
      <w:r>
        <w:rPr>
          <w:rStyle w:val="Q4iawc"/>
          <w:rFonts w:cs="Times New Roman" w:ascii="Times New Roman" w:hAnsi="Times New Roman"/>
          <w:sz w:val="24"/>
          <w:szCs w:val="24"/>
        </w:rPr>
        <w:t xml:space="preserve"> qui consiste à « highlight problems, points that should be emphasised in the opinion » (</w:t>
      </w:r>
      <w:r>
        <w:rPr>
          <w:rStyle w:val="Q4iawc"/>
          <w:rFonts w:cs="Times New Roman" w:ascii="Times New Roman" w:hAnsi="Times New Roman"/>
          <w:i/>
          <w:iCs/>
          <w:sz w:val="24"/>
          <w:szCs w:val="24"/>
        </w:rPr>
        <w:t>ibid.</w:t>
      </w:r>
      <w:r>
        <w:rPr>
          <w:rStyle w:val="Q4iawc"/>
          <w:rFonts w:cs="Times New Roman" w:ascii="Times New Roman" w:hAnsi="Times New Roman"/>
          <w:sz w:val="24"/>
          <w:szCs w:val="24"/>
        </w:rPr>
        <w:t>), ensuite mise à la disposition de tous les membres d'une commission thématique.</w:t>
      </w:r>
      <w:r>
        <w:rPr>
          <w:rStyle w:val="Viiyi"/>
          <w:rFonts w:cs="Times New Roman" w:ascii="Times New Roman" w:hAnsi="Times New Roman"/>
          <w:sz w:val="24"/>
          <w:szCs w:val="24"/>
        </w:rPr>
        <w:t xml:space="preserve"> </w:t>
      </w:r>
      <w:r>
        <w:rPr>
          <w:rStyle w:val="Q4iawc"/>
          <w:rFonts w:cs="Times New Roman" w:ascii="Times New Roman" w:hAnsi="Times New Roman"/>
          <w:sz w:val="24"/>
          <w:szCs w:val="24"/>
        </w:rPr>
        <w:t>L'expert utilise également ce document pour rédiger l'avis avec le rapporteur.</w:t>
      </w:r>
      <w:r>
        <w:rPr>
          <w:rFonts w:cs="Times New Roman" w:ascii="Times New Roman" w:hAnsi="Times New Roman"/>
          <w:sz w:val="24"/>
          <w:szCs w:val="24"/>
        </w:rPr>
        <w:t xml:space="preserve"> </w:t>
      </w:r>
      <w:r>
        <w:rPr>
          <w:rStyle w:val="Q4iawc"/>
          <w:rFonts w:cs="Times New Roman" w:ascii="Times New Roman" w:hAnsi="Times New Roman"/>
          <w:sz w:val="24"/>
          <w:szCs w:val="24"/>
          <w:lang w:val="en-US"/>
        </w:rPr>
        <w:t>Ce document est éminemment stratégique, des mots du même secrétaire socialiste : « </w:t>
      </w:r>
      <w:r>
        <w:rPr>
          <w:rFonts w:cs="Times New Roman" w:ascii="Times New Roman" w:hAnsi="Times New Roman"/>
          <w:sz w:val="24"/>
          <w:szCs w:val="24"/>
          <w:lang w:val="en-GB"/>
        </w:rPr>
        <w:t>depending on how he or she does it, even if he or she tries to do it in a neutral way, it leads to different things </w:t>
      </w:r>
      <w:r>
        <w:rPr>
          <w:rStyle w:val="Q4iawc"/>
          <w:rFonts w:cs="Times New Roman" w:ascii="Times New Roman" w:hAnsi="Times New Roman"/>
          <w:sz w:val="24"/>
          <w:szCs w:val="24"/>
          <w:lang w:val="en-US"/>
        </w:rPr>
        <w:t>» (</w:t>
      </w:r>
      <w:r>
        <w:rPr>
          <w:rStyle w:val="Q4iawc"/>
          <w:rFonts w:cs="Times New Roman" w:ascii="Times New Roman" w:hAnsi="Times New Roman"/>
          <w:i/>
          <w:iCs/>
          <w:sz w:val="24"/>
          <w:szCs w:val="24"/>
          <w:lang w:val="en-US"/>
        </w:rPr>
        <w:t>ibid.</w:t>
      </w:r>
      <w:r>
        <w:rPr>
          <w:rStyle w:val="Q4iawc"/>
          <w:rFonts w:cs="Times New Roman" w:ascii="Times New Roman" w:hAnsi="Times New Roman"/>
          <w:sz w:val="24"/>
          <w:szCs w:val="24"/>
          <w:lang w:val="en-US"/>
        </w:rPr>
        <w:t xml:space="preserve">). </w:t>
      </w:r>
      <w:r>
        <w:rPr>
          <w:rStyle w:val="Q4iawc"/>
          <w:rFonts w:cs="Times New Roman" w:ascii="Times New Roman" w:hAnsi="Times New Roman"/>
          <w:sz w:val="24"/>
          <w:szCs w:val="24"/>
        </w:rPr>
        <w:t>Dès lors, les secrétaires chercheraient à influencer cette « background analysis », pour la rendre conforme aux intérêts politiques du groupe qu’ils représentent. Un secrétaire socialiste assume explicitement chercher à façonner le travail de l’administrateur :</w:t>
      </w:r>
    </w:p>
    <w:p>
      <w:pPr>
        <w:pStyle w:val="Yiv0135561599ydp56ef44e6msonormal"/>
        <w:spacing w:lineRule="auto" w:line="276" w:before="280" w:after="280"/>
        <w:ind w:left="708"/>
        <w:jc w:val="both"/>
        <w:rPr>
          <w:sz w:val="22"/>
          <w:szCs w:val="22"/>
          <w:lang w:val="fr-FR"/>
        </w:rPr>
      </w:pPr>
      <w:r>
        <w:rPr>
          <w:sz w:val="22"/>
          <w:szCs w:val="22"/>
          <w:lang w:val="en-US"/>
        </w:rPr>
        <w:t>« </w:t>
      </w:r>
      <w:r>
        <w:rPr>
          <w:sz w:val="22"/>
          <w:szCs w:val="22"/>
          <w:lang w:val="en-GB"/>
        </w:rPr>
        <w:t xml:space="preserve">I work at thematic level with the administrators to know where they are going, to inform them about what I am doing, about transport. I informally informed them about what I was doing with the socialist group in the EP, so that they knew where I was going, to defend my arguments. </w:t>
      </w:r>
      <w:r>
        <w:rPr>
          <w:sz w:val="22"/>
          <w:szCs w:val="22"/>
          <w:lang w:val="fr-FR"/>
        </w:rPr>
        <w:t xml:space="preserve">I try to influence their writing » (entretien avec un secrétaire socialiste, le 29 </w:t>
      </w:r>
      <w:bookmarkStart w:id="1" w:name="_Hlk101963668"/>
      <w:r>
        <w:rPr>
          <w:sz w:val="22"/>
          <w:szCs w:val="22"/>
          <w:lang w:val="fr-FR"/>
        </w:rPr>
        <w:t>septembre, 2021</w:t>
      </w:r>
      <w:bookmarkEnd w:id="1"/>
      <w:r>
        <w:rPr>
          <w:sz w:val="22"/>
          <w:szCs w:val="22"/>
          <w:lang w:val="fr-FR"/>
        </w:rPr>
        <w:t>).</w:t>
      </w:r>
    </w:p>
    <w:p>
      <w:pPr>
        <w:pStyle w:val="Yiv0135561599ydp56ef44e6msonormal"/>
        <w:spacing w:lineRule="auto" w:line="276" w:before="280" w:after="280"/>
        <w:jc w:val="both"/>
        <w:rPr>
          <w:rStyle w:val="Q4iawc"/>
        </w:rPr>
      </w:pPr>
      <w:r>
        <w:rPr>
          <w:rStyle w:val="Q4iawc"/>
        </w:rPr>
        <w:t>Par la suite, un avant-projet est esquissé par l’expert, avant d'être discuté en commission et soumis pour amendements par les autres groupes politiques.</w:t>
      </w:r>
      <w:r>
        <w:rPr>
          <w:rStyle w:val="Viiyi"/>
        </w:rPr>
        <w:t xml:space="preserve"> </w:t>
      </w:r>
      <w:r>
        <w:rPr>
          <w:rStyle w:val="Q4iawc"/>
        </w:rPr>
        <w:t>Avant le passage en commission, les secrétariats politiques peuvent proposer des ajouts et des modifications.</w:t>
      </w:r>
      <w:r>
        <w:rPr>
          <w:rStyle w:val="Viiyi"/>
        </w:rPr>
        <w:t xml:space="preserve"> Ceux-ci </w:t>
      </w:r>
      <w:r>
        <w:rPr>
          <w:rStyle w:val="Q4iawc"/>
        </w:rPr>
        <w:t>se fondent notamment sur les consultations qu’ils organisent avec un ensemble de partenaires locaux et régionaux ou des « stakeholders »</w:t>
      </w:r>
      <w:r>
        <w:rPr>
          <w:rStyle w:val="FootnoteReference"/>
          <w:lang w:val="en-GB"/>
        </w:rPr>
        <w:footnoteReference w:id="20"/>
      </w:r>
      <w:r>
        <w:rPr>
          <w:rStyle w:val="Q4iawc"/>
        </w:rPr>
        <w:t xml:space="preserve">. Cette pratique est évoquée en entretien tant du côté des socialistes, des chrétiens-démocrates que des secrétaires d’EA (Decoster </w:t>
      </w:r>
      <w:r>
        <w:rPr>
          <w:rStyle w:val="Q4iawc"/>
          <w:i/>
          <w:iCs/>
        </w:rPr>
        <w:t>et al</w:t>
      </w:r>
      <w:r>
        <w:rPr>
          <w:rStyle w:val="Q4iawc"/>
        </w:rPr>
        <w:t>., 2019 évoquent ce rôle pour le groupe libéral). Cela servirait à légitimer les positions des groupes du CdR, en faisant remonter des éléments « du terrain ». Comme au sein du PE analysé par Ruiter (2022), les secrétaires politiques sont au cœur de réseaux où il y a du partage de l’information, qu’ils peuvent réinvestir lorsqu’ils accompagnent les rapporteurs et les membres de leur groupe, et qui leur confèrent une certaine autorité dans les prises de position.</w:t>
      </w:r>
    </w:p>
    <w:p>
      <w:pPr>
        <w:pStyle w:val="Yiv0135561599ydp56ef44e6msonormal"/>
        <w:spacing w:lineRule="auto" w:line="276" w:before="280" w:after="280"/>
        <w:jc w:val="both"/>
        <w:rPr>
          <w:rStyle w:val="Viiyi"/>
        </w:rPr>
      </w:pPr>
      <w:r>
        <w:rPr>
          <w:rStyle w:val="Q4iawc"/>
        </w:rPr>
        <w:t xml:space="preserve">De plus, la temporalité contrainte de production des avis du CdR semble favoriser le rôle des secrétaires politiques. Pour avoir des chances d’influencer les positions du Parlement (Decoster </w:t>
      </w:r>
      <w:r>
        <w:rPr>
          <w:rStyle w:val="Q4iawc"/>
          <w:i/>
          <w:iCs/>
        </w:rPr>
        <w:t>et al</w:t>
      </w:r>
      <w:r>
        <w:rPr>
          <w:rStyle w:val="Q4iawc"/>
        </w:rPr>
        <w:t>., 2019 ; Hönnige et Panke, 2013 ; entretien avec un membre d’EA, le 17 septembre 2020), les membres du CdR doivent produire leurs avis dans un délai de quelques semaines. Pour être crédibles, ces avis doivent reposer sur des formes d’expertise locale ou régionale, afin d’être repris par certains eurodéputés (Hönnige et Panke, 2013). Justement, plusieurs entretiens révèlent que les secrétaires politiques consolident les avis votés en commission, sur la base du travail de chambres législatives nationales. En ce sens, les secrétariats politiques regardent souvent les positions prises par le Bundesrat ou, jusqu'à récemment, la Chambre des Lords avant la première lecture du PE</w:t>
      </w:r>
      <w:r>
        <w:rPr>
          <w:rStyle w:val="FootnoteReference"/>
        </w:rPr>
        <w:footnoteReference w:id="21"/>
      </w:r>
      <w:r>
        <w:rPr>
          <w:rStyle w:val="Q4iawc"/>
        </w:rPr>
        <w:t>.</w:t>
      </w:r>
    </w:p>
    <w:p>
      <w:pPr>
        <w:pStyle w:val="Yiv0135561599ydp56ef44e6msonormal"/>
        <w:spacing w:lineRule="auto" w:line="276" w:before="280" w:after="280"/>
        <w:jc w:val="both"/>
        <w:rPr>
          <w:rStyle w:val="Viiyi"/>
        </w:rPr>
      </w:pPr>
      <w:r>
        <w:rPr>
          <w:rStyle w:val="Viiyi"/>
        </w:rPr>
        <w:t>Ce temps contraint, de la même manière que l’intermittence des membres du CdR, semble laisser une latitude à ces secrétaires politiques qui agissent certes selon un mandat (et des orientations politiques qu’ils contribuent à façonner), mais qui n’est pas explicite</w:t>
      </w:r>
      <w:r>
        <w:rPr>
          <w:rStyle w:val="FootnoteReference"/>
        </w:rPr>
        <w:footnoteReference w:id="22"/>
      </w:r>
      <w:r>
        <w:rPr>
          <w:rStyle w:val="Viiyi"/>
        </w:rPr>
        <w:t>.</w:t>
      </w:r>
    </w:p>
    <w:p>
      <w:pPr>
        <w:pStyle w:val="Normal"/>
        <w:spacing w:lineRule="auto" w:line="276"/>
        <w:jc w:val="both"/>
        <w:rPr>
          <w:rFonts w:ascii="Times New Roman" w:hAnsi="Times New Roman" w:cs="Times New Roman"/>
        </w:rPr>
      </w:pPr>
      <w:r>
        <w:rPr>
          <w:rFonts w:cs="Times New Roman" w:ascii="Times New Roman" w:hAnsi="Times New Roman"/>
          <w:sz w:val="24"/>
          <w:szCs w:val="24"/>
        </w:rPr>
        <w:t>Ainsi, ces éléments vont à l’encontre de la lecture « aérienne » de Domorenok (2009) sur le rôle des secrétaires politiques, qui met en valeur que leur activité n’interfère pas véritablement dans les activités des membres élus du CdR. De ce fait, cela revient à réduire lessecrétaires à un rôle de « service » (Dobbels et Neuhold, 2013) ou « réactif » (Ruiter, 2022). On a, pour notre part, recensé et analysé des prérogatives correspondant à un rôle proactif. Mais cela dépend en réalité de certains secrétariats politiques, en vertu des ressources dont ils disposent et de leur expérience dans l’institution. Par exemple, au moment de l’enquête, le groupe des Verts se met en place. Avec trois employés, il est difficile d’envisager, selon les dires d’une secrétaire (entretien le 12 novembre 2020), d'autres tâches que celles explicitement exprimées par les membres. Dès lors, le rôle du secrétariat des Verts est plutôt assistanciel et réactif (comme celui d’EA, disposant de peu de membres, donc de moins de moyens pour le secrétariat), alors que les secrétariats socialiste, libéral et chrétien-démocrate semblent davantage proactifs.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Au-delà des contributions que les secrétaires sont susceptibles d’offrir individuellement aux membres de leur groupe, l’article insiste désormais sur les effets du travail des secrétariats politiques au niveau des groupes politiques.</w:t>
      </w:r>
    </w:p>
    <w:p>
      <w:pPr>
        <w:pStyle w:val="Normal"/>
        <w:spacing w:lineRule="auto" w:line="276"/>
        <w:rPr>
          <w:rFonts w:ascii="Times New Roman" w:hAnsi="Times New Roman" w:cs="Times New Roman"/>
          <w:sz w:val="24"/>
          <w:szCs w:val="24"/>
          <w:u w:val="single"/>
        </w:rPr>
      </w:pPr>
      <w:r>
        <w:rPr>
          <w:rFonts w:cs="Times New Roman" w:ascii="Times New Roman" w:hAnsi="Times New Roman"/>
          <w:sz w:val="24"/>
          <w:szCs w:val="24"/>
          <w:u w:val="single"/>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Les secrétaires politiques et leurs groupes : dénationalisation des positions et mise en scène symbolique des oppositions politiques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L’article revient enfin sur les prérogatives collectives des secrétaires vis-à-vis de leurs membres telles qu’abordées dans les entretiens. On montre, d’une part, que les secrétaires estiment forger une identité de groupe politique, qui passe par la dénationalisation des positions des membres du groupe. D’autre part, ils disent contribuer à dessiner les principes d’opposition entre les différents groupes politiques, au sein de l’assemblée du CdR.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À partir des entretiens, on a repéré que les secrétaires politiques travaillaient en interne à construire un compromis entre les membres de chaque groupe politique, qui viennent parfois de pays très différents. De cette façon, ils s'efforcent de créer un esprit de corps, ce qui n'est pas évident pour une institution créée à l'origine sur la base de délégations nationales (Christiansen, 1997). C’est le cas du secrétariat écologiste en gestation au moment de l’enquête. L’entretien avec la secrétaire met en évidence que la majorité du travail, qui ne se focalise pas encore tant sur la production des avis en commission, consiste à « faire groupe ». D’une part, de nouveaux membres « Verts » ont été élus en 2019, sans avoir aucune expérience préalable au sein du CdR. D’autre part, un certain nombre d’élus « Verts » siégeaient historiquement au sein du groupe socialiste. Dès lors, il convient, pour la secrétaire, de réussir à faire travailler ensemble ces deux groupes (entretien le 12 novembre 2020). Cela peut passer par la production d’une communication du groupe politique qui donne à voir des groupes soudés et unanimes (entretien avec un secrétaire d’EA, le 9 septembre 2020). C’est aussi le cas lorsque des secrétaires disent produire des notes introductives pour les différentes réunions des groupes politiques. Comme l'explique un employé du secrétariat politique, créer des positions communes n'est pas toujours évident :</w:t>
      </w:r>
    </w:p>
    <w:p>
      <w:pPr>
        <w:pStyle w:val="Normal"/>
        <w:spacing w:lineRule="auto" w:line="276"/>
        <w:ind w:left="708"/>
        <w:jc w:val="both"/>
        <w:rPr>
          <w:rFonts w:ascii="Times New Roman" w:hAnsi="Times New Roman" w:cs="Times New Roman"/>
          <w:lang w:val="en-US"/>
        </w:rPr>
      </w:pPr>
      <w:r>
        <w:rPr>
          <w:rFonts w:cs="Times New Roman" w:ascii="Times New Roman" w:hAnsi="Times New Roman"/>
          <w:lang w:val="en-US"/>
        </w:rPr>
        <w:t>« The national delegations still have an important role. On certain issues, members prefer to have the position of their countries rather than that of the political group. In the PES, we manage to channel this, which is not always the case in the other groups » (entretien avec un secrétaire socialiste, le 22 avril 2021).</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Faisant référence à la difficulté de créer des positions communes au sein d'un groupe politique, l’enquêté poursuit :</w:t>
      </w:r>
    </w:p>
    <w:p>
      <w:pPr>
        <w:pStyle w:val="Normal"/>
        <w:spacing w:lineRule="auto" w:line="276"/>
        <w:ind w:left="708"/>
        <w:jc w:val="both"/>
        <w:rPr>
          <w:rFonts w:ascii="Times New Roman" w:hAnsi="Times New Roman" w:cs="Times New Roman"/>
          <w:lang w:val="en-US"/>
        </w:rPr>
      </w:pPr>
      <w:r>
        <w:rPr>
          <w:rFonts w:cs="Times New Roman" w:ascii="Times New Roman" w:hAnsi="Times New Roman"/>
          <w:sz w:val="24"/>
          <w:szCs w:val="24"/>
          <w:lang w:val="en-US"/>
        </w:rPr>
        <w:t>« </w:t>
      </w:r>
      <w:r>
        <w:rPr>
          <w:rFonts w:cs="Times New Roman" w:ascii="Times New Roman" w:hAnsi="Times New Roman"/>
          <w:lang w:val="en-US"/>
        </w:rPr>
        <w:t>On some issues it's complicated. Let's take the question of the minimum wage. Every time there is a vote, there are dissidents from Sweden and Finland who do not follow the [PSE] instructions because in their countries, they say that it already works very well. They have very strong trade unions, a very strong culture of social consultation » (</w:t>
      </w:r>
      <w:r>
        <w:rPr>
          <w:rFonts w:cs="Times New Roman" w:ascii="Times New Roman" w:hAnsi="Times New Roman"/>
          <w:i/>
          <w:iCs/>
          <w:lang w:val="en-US"/>
        </w:rPr>
        <w:t>ibid.</w:t>
      </w:r>
      <w:r>
        <w:rPr>
          <w:rFonts w:cs="Times New Roman" w:ascii="Times New Roman" w:hAnsi="Times New Roman"/>
          <w:lang w:val="en-US"/>
        </w:rPr>
        <w: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Dans ce dossier précis, le rôle du secrétariat consiste à réussir à fédérer les membres du groupe socialiste, afin que celui-ci en vienne à soutenir la proposition de salaire minimum européen, malgré la réticence des élus locaux socialistes des pays nordiques, attachés à leur modèle social. Ce travail de coordination au-delà des prises de positions nationales a notamment été repéré du côté du secrétariat chrétien-démocrate/PPE et de Renew. Il ne va toutefois pas de soi. En effet, au moment de l’enquête, ces deux secrétariats cherchent à se positionner sur le projet de réforme du Semestre européen (quels types d’investissement faut-il exclure ou non du calcul des déficits ?), sans être encore parvenus à trouver une position unanime, entre plusieurs segments des membres du groupe. L’un des secrétaires du groupe libéral/Renew évoque par exemple des dissensions entre représentants de régions du Nord, qui souhaitent maintenir un relatif statu quo, lorsque leurs homologues du Sud promeuvent l’exclusion de certains investissements écologiques et sociaux</w:t>
      </w:r>
      <w:r>
        <w:rPr>
          <w:rStyle w:val="FootnoteReference"/>
          <w:rFonts w:cs="Times New Roman" w:ascii="Times New Roman" w:hAnsi="Times New Roman"/>
          <w:sz w:val="24"/>
          <w:szCs w:val="24"/>
        </w:rPr>
        <w:footnoteReference w:id="23"/>
      </w:r>
      <w:r>
        <w:rPr>
          <w:rFonts w:cs="Times New Roman" w:ascii="Times New Roman" w:hAnsi="Times New Roman"/>
          <w:sz w:val="24"/>
          <w:szCs w:val="24"/>
        </w:rPr>
        <w:t xml:space="preserve">. Cette prérogative de coordination a déjà été évoquée dans la littérature sur les assistants non élus du PE (Neunreither, 2002 ; Pegan, 2017 ; Ruiter, 2022 ; Winzen, 2011) ou encore au CdR (Domorenok, 2009). Ce travail renvoie à une dénationalisation des positions par les secrétaires politiques qui cherchent notamment à défendre des intérêts plus spécifiquement européens que nationaux (Egeberg </w:t>
      </w:r>
      <w:r>
        <w:rPr>
          <w:rFonts w:cs="Times New Roman" w:ascii="Times New Roman" w:hAnsi="Times New Roman"/>
          <w:i/>
          <w:iCs/>
          <w:sz w:val="24"/>
          <w:szCs w:val="24"/>
        </w:rPr>
        <w:t>et al</w:t>
      </w:r>
      <w:r>
        <w:rPr>
          <w:rFonts w:cs="Times New Roman" w:ascii="Times New Roman" w:hAnsi="Times New Roman"/>
          <w:sz w:val="24"/>
          <w:szCs w:val="24"/>
        </w:rPr>
        <w:t>., 2013).</w:t>
      </w:r>
    </w:p>
    <w:p>
      <w:pPr>
        <w:pStyle w:val="Normal"/>
        <w:spacing w:lineRule="auto" w:line="276"/>
        <w:jc w:val="center"/>
        <w:rPr>
          <w:rFonts w:ascii="Times New Roman" w:hAnsi="Times New Roman" w:cs="Times New Roman"/>
        </w:rPr>
      </w:pPr>
      <w:r>
        <w:rPr>
          <w:rFonts w:cs="Times New Roman" w:ascii="Times New Roman" w:hAnsi="Times New Roman"/>
          <w:b/>
          <w:bCs/>
        </w:rPr>
        <w:t>Tableau 3 : Longévité des secrétaires politiques (en tant qu’employés des secrétariats du CdR)</w:t>
      </w:r>
    </w:p>
    <w:tbl>
      <w:tblPr>
        <w:tblStyle w:val="TableauGrille1Clair"/>
        <w:tblW w:w="878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96"/>
        <w:gridCol w:w="992"/>
        <w:gridCol w:w="1134"/>
        <w:gridCol w:w="1134"/>
        <w:gridCol w:w="993"/>
        <w:gridCol w:w="1134"/>
        <w:gridCol w:w="1700"/>
      </w:tblGrid>
      <w:tr>
        <w:trPr>
          <w:cnfStyle w:val="100000000000" w:firstRow="1" w:lastRow="0" w:firstColumn="0" w:lastColumn="0" w:oddVBand="0" w:evenVBand="0" w:oddHBand="0" w:evenHBand="0" w:firstRowFirstColumn="0" w:firstRowLastColumn="0" w:lastRowFirstColumn="0" w:lastRowLastColumn="0"/>
        </w:trPr>
        <w:tc>
          <w:tcPr>
            <w:tcW w:w="1696" w:type="dxa"/>
            <w:cnfStyle w:val="001000000000" w:firstRow="0" w:lastRow="0" w:firstColumn="1" w:lastColumn="0" w:oddVBand="0" w:evenVBand="0" w:oddHBand="0" w:evenHBand="0" w:firstRowFirstColumn="0" w:firstRowLastColumn="0" w:lastRowFirstColumn="0" w:lastRowLastColumn="0"/>
            <w:tcBorders>
              <w:bottom w:val="single" w:sz="12" w:space="0" w:color="666666"/>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rPr>
                <w:rFonts w:ascii="Times New Roman" w:hAnsi="Times New Roman" w:cs="Times New Roman"/>
              </w:rPr>
            </w:pPr>
            <w:r>
              <w:rPr>
                <w:rFonts w:eastAsia="Calibri" w:cs="Times New Roman" w:ascii="Times New Roman" w:hAnsi="Times New Roman"/>
                <w:b/>
                <w:bCs/>
                <w:kern w:val="0"/>
                <w:sz w:val="22"/>
                <w:szCs w:val="22"/>
                <w:lang w:val="fr-FR" w:eastAsia="en-US" w:bidi="ar-SA"/>
              </w:rPr>
              <w:t>Travaillant au secrétariat politique depuis…</w:t>
            </w:r>
          </w:p>
        </w:tc>
        <w:tc>
          <w:tcPr>
            <w:tcW w:w="992" w:type="dxa"/>
            <w:tcBorders>
              <w:bottom w:val="single" w:sz="12" w:space="0" w:color="666666"/>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bCs/>
                <w:kern w:val="0"/>
                <w:sz w:val="22"/>
                <w:szCs w:val="22"/>
                <w:lang w:val="fr-FR" w:eastAsia="en-US" w:bidi="ar-SA"/>
              </w:rPr>
              <w:t>PPE</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b/>
                <w:bCs/>
                <w:kern w:val="0"/>
                <w:sz w:val="22"/>
                <w:szCs w:val="22"/>
                <w:lang w:val="fr-FR" w:eastAsia="en-US" w:bidi="ar-SA"/>
              </w:rPr>
            </w:r>
          </w:p>
        </w:tc>
        <w:tc>
          <w:tcPr>
            <w:tcW w:w="1134" w:type="dxa"/>
            <w:tcBorders>
              <w:bottom w:val="single" w:sz="12" w:space="0" w:color="666666"/>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bCs/>
                <w:kern w:val="0"/>
                <w:sz w:val="22"/>
                <w:szCs w:val="22"/>
                <w:lang w:val="fr-FR" w:eastAsia="en-US" w:bidi="ar-SA"/>
              </w:rPr>
              <w:t>PSE</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b/>
                <w:bCs/>
                <w:kern w:val="0"/>
                <w:sz w:val="22"/>
                <w:szCs w:val="22"/>
                <w:lang w:val="fr-FR" w:eastAsia="en-US" w:bidi="ar-SA"/>
              </w:rPr>
            </w:r>
          </w:p>
        </w:tc>
        <w:tc>
          <w:tcPr>
            <w:tcW w:w="1134" w:type="dxa"/>
            <w:tcBorders>
              <w:bottom w:val="single" w:sz="12" w:space="0" w:color="666666"/>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bCs/>
                <w:kern w:val="0"/>
                <w:sz w:val="22"/>
                <w:szCs w:val="22"/>
                <w:lang w:val="fr-FR" w:eastAsia="en-US" w:bidi="ar-SA"/>
              </w:rPr>
              <w:t>Renew</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b/>
                <w:bCs/>
                <w:kern w:val="0"/>
                <w:sz w:val="22"/>
                <w:szCs w:val="22"/>
                <w:lang w:val="fr-FR" w:eastAsia="en-US" w:bidi="ar-SA"/>
              </w:rPr>
            </w:r>
          </w:p>
        </w:tc>
        <w:tc>
          <w:tcPr>
            <w:tcW w:w="993" w:type="dxa"/>
            <w:tcBorders>
              <w:bottom w:val="single" w:sz="12" w:space="0" w:color="666666"/>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bCs/>
                <w:kern w:val="0"/>
                <w:sz w:val="22"/>
                <w:szCs w:val="22"/>
                <w:lang w:val="fr-FR" w:eastAsia="en-US" w:bidi="ar-SA"/>
              </w:rPr>
              <w:t>ECR</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b/>
                <w:bCs/>
                <w:kern w:val="0"/>
                <w:sz w:val="22"/>
                <w:szCs w:val="22"/>
                <w:lang w:val="fr-FR" w:eastAsia="en-US" w:bidi="ar-SA"/>
              </w:rPr>
            </w:r>
          </w:p>
        </w:tc>
        <w:tc>
          <w:tcPr>
            <w:tcW w:w="1134" w:type="dxa"/>
            <w:tcBorders>
              <w:bottom w:val="single" w:sz="12" w:space="0" w:color="666666"/>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bCs/>
                <w:kern w:val="0"/>
                <w:sz w:val="22"/>
                <w:szCs w:val="22"/>
                <w:lang w:val="fr-FR" w:eastAsia="en-US" w:bidi="ar-SA"/>
              </w:rPr>
              <w:t>EA</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b/>
                <w:bCs/>
                <w:kern w:val="0"/>
                <w:sz w:val="22"/>
                <w:szCs w:val="22"/>
                <w:lang w:val="fr-FR" w:eastAsia="en-US" w:bidi="ar-SA"/>
              </w:rPr>
            </w:r>
          </w:p>
        </w:tc>
        <w:tc>
          <w:tcPr>
            <w:tcW w:w="1700" w:type="dxa"/>
            <w:tcBorders>
              <w:bottom w:val="single" w:sz="12" w:space="0" w:color="666666"/>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bCs/>
                <w:kern w:val="0"/>
                <w:sz w:val="22"/>
                <w:szCs w:val="22"/>
                <w:lang w:val="fr-FR" w:eastAsia="en-US" w:bidi="ar-SA"/>
              </w:rPr>
              <w:t>Les Verts</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false"/>
                <w:bCs w:val="false"/>
              </w:rPr>
            </w:pPr>
            <w:r>
              <w:rPr>
                <w:rFonts w:eastAsia="Calibri" w:cs="Times New Roman" w:ascii="Times New Roman" w:hAnsi="Times New Roman"/>
                <w:b w:val="false"/>
                <w:bCs w:val="false"/>
                <w:kern w:val="0"/>
                <w:sz w:val="22"/>
                <w:szCs w:val="22"/>
                <w:lang w:val="fr-FR" w:eastAsia="en-US" w:bidi="ar-SA"/>
              </w:rPr>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b/>
                <w:bCs/>
                <w:kern w:val="0"/>
                <w:sz w:val="22"/>
                <w:szCs w:val="22"/>
                <w:lang w:val="fr-FR" w:eastAsia="en-US" w:bidi="ar-SA"/>
              </w:rPr>
            </w:r>
          </w:p>
        </w:tc>
      </w:tr>
      <w:tr>
        <w:trPr/>
        <w:tc>
          <w:tcPr>
            <w:tcW w:w="1696" w:type="dxa"/>
            <w:cnfStyle w:val="001000000000" w:firstRow="0" w:lastRow="0" w:firstColumn="1" w:lastColumn="0" w:oddVBand="0" w:evenVBand="0" w:oddHBand="0" w:evenHBand="0" w:firstRowFirstColumn="0" w:firstRowLastColumn="0" w:lastRowFirstColumn="0" w:lastRowLastColumn="0"/>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rPr>
                <w:rFonts w:ascii="Times New Roman" w:hAnsi="Times New Roman" w:cs="Times New Roman"/>
              </w:rPr>
            </w:pPr>
            <w:r>
              <w:rPr>
                <w:rFonts w:eastAsia="Calibri" w:cs="Times New Roman" w:ascii="Times New Roman" w:hAnsi="Times New Roman"/>
                <w:b/>
                <w:bCs/>
                <w:kern w:val="0"/>
                <w:sz w:val="22"/>
                <w:szCs w:val="22"/>
                <w:lang w:val="fr-FR" w:eastAsia="en-US" w:bidi="ar-SA"/>
              </w:rPr>
              <w:t>Avant 2010</w:t>
            </w:r>
          </w:p>
        </w:tc>
        <w:tc>
          <w:tcPr>
            <w:tcW w:w="992"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3</w:t>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3</w:t>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3</w:t>
            </w:r>
          </w:p>
        </w:tc>
        <w:tc>
          <w:tcPr>
            <w:tcW w:w="993"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0</w:t>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2</w:t>
            </w:r>
          </w:p>
        </w:tc>
        <w:tc>
          <w:tcPr>
            <w:tcW w:w="1700"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0</w:t>
            </w:r>
          </w:p>
        </w:tc>
      </w:tr>
      <w:tr>
        <w:trPr/>
        <w:tc>
          <w:tcPr>
            <w:tcW w:w="1696" w:type="dxa"/>
            <w:cnfStyle w:val="001000000000" w:firstRow="0" w:lastRow="0" w:firstColumn="1" w:lastColumn="0" w:oddVBand="0" w:evenVBand="0" w:oddHBand="0" w:evenHBand="0" w:firstRowFirstColumn="0" w:firstRowLastColumn="0" w:lastRowFirstColumn="0" w:lastRowLastColumn="0"/>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rPr>
                <w:rFonts w:ascii="Times New Roman" w:hAnsi="Times New Roman" w:cs="Times New Roman"/>
              </w:rPr>
            </w:pPr>
            <w:r>
              <w:rPr>
                <w:rFonts w:eastAsia="Calibri" w:cs="Times New Roman" w:ascii="Times New Roman" w:hAnsi="Times New Roman"/>
                <w:b/>
                <w:bCs/>
                <w:kern w:val="0"/>
                <w:sz w:val="22"/>
                <w:szCs w:val="22"/>
                <w:lang w:val="fr-FR" w:eastAsia="en-US" w:bidi="ar-SA"/>
              </w:rPr>
              <w:t>Entre 2010 et 2015</w:t>
            </w:r>
          </w:p>
        </w:tc>
        <w:tc>
          <w:tcPr>
            <w:tcW w:w="992"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6</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4</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1</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c>
          <w:tcPr>
            <w:tcW w:w="993"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1</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1</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c>
          <w:tcPr>
            <w:tcW w:w="1700"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0</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r>
      <w:tr>
        <w:trPr/>
        <w:tc>
          <w:tcPr>
            <w:tcW w:w="1696" w:type="dxa"/>
            <w:cnfStyle w:val="001000000000" w:firstRow="0" w:lastRow="0" w:firstColumn="1" w:lastColumn="0" w:oddVBand="0" w:evenVBand="0" w:oddHBand="0" w:evenHBand="0" w:firstRowFirstColumn="0" w:firstRowLastColumn="0" w:lastRowFirstColumn="0" w:lastRowLastColumn="0"/>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rPr>
                <w:rFonts w:ascii="Times New Roman" w:hAnsi="Times New Roman" w:cs="Times New Roman"/>
              </w:rPr>
            </w:pPr>
            <w:r>
              <w:rPr>
                <w:rFonts w:eastAsia="Calibri" w:cs="Times New Roman" w:ascii="Times New Roman" w:hAnsi="Times New Roman"/>
                <w:b/>
                <w:bCs/>
                <w:kern w:val="0"/>
                <w:sz w:val="22"/>
                <w:szCs w:val="22"/>
                <w:lang w:val="fr-FR" w:eastAsia="en-US" w:bidi="ar-SA"/>
              </w:rPr>
              <w:t>Entre 2015 et 2020</w:t>
            </w:r>
          </w:p>
        </w:tc>
        <w:tc>
          <w:tcPr>
            <w:tcW w:w="992"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3</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3</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3</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c>
          <w:tcPr>
            <w:tcW w:w="993"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2</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NA</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c>
          <w:tcPr>
            <w:tcW w:w="1700"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0</w:t>
            </w:r>
          </w:p>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r>
          </w:p>
        </w:tc>
      </w:tr>
      <w:tr>
        <w:trPr>
          <w:trHeight w:val="68" w:hRule="atLeast"/>
        </w:trPr>
        <w:tc>
          <w:tcPr>
            <w:tcW w:w="1696" w:type="dxa"/>
            <w:cnfStyle w:val="001000000000" w:firstRow="0" w:lastRow="0" w:firstColumn="1" w:lastColumn="0" w:oddVBand="0" w:evenVBand="0" w:oddHBand="0" w:evenHBand="0" w:firstRowFirstColumn="0" w:firstRowLastColumn="0" w:lastRowFirstColumn="0" w:lastRowLastColumn="0"/>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rPr>
                <w:rFonts w:ascii="Times New Roman" w:hAnsi="Times New Roman" w:cs="Times New Roman"/>
              </w:rPr>
            </w:pPr>
            <w:r>
              <w:rPr>
                <w:rFonts w:eastAsia="Calibri" w:cs="Times New Roman" w:ascii="Times New Roman" w:hAnsi="Times New Roman"/>
                <w:b/>
                <w:bCs/>
                <w:kern w:val="0"/>
                <w:sz w:val="22"/>
                <w:szCs w:val="22"/>
                <w:lang w:val="fr-FR" w:eastAsia="en-US" w:bidi="ar-SA"/>
              </w:rPr>
              <w:t>Depuis 2020</w:t>
            </w:r>
          </w:p>
        </w:tc>
        <w:tc>
          <w:tcPr>
            <w:tcW w:w="992"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1</w:t>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5</w:t>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NA</w:t>
            </w:r>
          </w:p>
        </w:tc>
        <w:tc>
          <w:tcPr>
            <w:tcW w:w="993"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2</w:t>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1</w:t>
            </w:r>
          </w:p>
        </w:tc>
        <w:tc>
          <w:tcPr>
            <w:tcW w:w="1700"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4</w:t>
            </w:r>
          </w:p>
        </w:tc>
      </w:tr>
      <w:tr>
        <w:trPr/>
        <w:tc>
          <w:tcPr>
            <w:tcW w:w="1696" w:type="dxa"/>
            <w:cnfStyle w:val="001000000000" w:firstRow="0" w:lastRow="0" w:firstColumn="1" w:lastColumn="0" w:oddVBand="0" w:evenVBand="0" w:oddHBand="0" w:evenHBand="0" w:firstRowFirstColumn="0" w:firstRowLastColumn="0" w:lastRowFirstColumn="0" w:lastRowLastColumn="0"/>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rPr>
                <w:rFonts w:ascii="Times New Roman" w:hAnsi="Times New Roman" w:cs="Times New Roman"/>
              </w:rPr>
            </w:pPr>
            <w:r>
              <w:rPr>
                <w:rFonts w:eastAsia="Calibri" w:cs="Times New Roman" w:ascii="Times New Roman" w:hAnsi="Times New Roman"/>
                <w:b/>
                <w:bCs/>
                <w:kern w:val="0"/>
                <w:sz w:val="22"/>
                <w:szCs w:val="22"/>
                <w:lang w:val="fr-FR" w:eastAsia="en-US" w:bidi="ar-SA"/>
              </w:rPr>
              <w:t>Total (48</w:t>
            </w:r>
            <w:r>
              <w:rPr>
                <w:rStyle w:val="FootnoteReference"/>
                <w:rFonts w:eastAsia="Calibri" w:cs="Times New Roman" w:ascii="Times New Roman" w:hAnsi="Times New Roman"/>
                <w:b/>
                <w:bCs/>
                <w:kern w:val="0"/>
                <w:sz w:val="22"/>
                <w:szCs w:val="22"/>
                <w:lang w:val="fr-FR" w:eastAsia="en-US" w:bidi="ar-SA"/>
              </w:rPr>
              <w:footnoteReference w:id="24"/>
            </w:r>
            <w:r>
              <w:rPr>
                <w:rFonts w:eastAsia="Calibri" w:cs="Times New Roman" w:ascii="Times New Roman" w:hAnsi="Times New Roman"/>
                <w:b/>
                <w:bCs/>
                <w:kern w:val="0"/>
                <w:sz w:val="22"/>
                <w:szCs w:val="22"/>
                <w:lang w:val="fr-FR" w:eastAsia="en-US" w:bidi="ar-SA"/>
              </w:rPr>
              <w:t>)</w:t>
            </w:r>
          </w:p>
        </w:tc>
        <w:tc>
          <w:tcPr>
            <w:tcW w:w="992"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13</w:t>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15</w:t>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7</w:t>
            </w:r>
          </w:p>
        </w:tc>
        <w:tc>
          <w:tcPr>
            <w:tcW w:w="993"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5</w:t>
            </w:r>
          </w:p>
        </w:tc>
        <w:tc>
          <w:tcPr>
            <w:tcW w:w="1134"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4</w:t>
            </w:r>
          </w:p>
        </w:tc>
        <w:tc>
          <w:tcPr>
            <w:tcW w:w="1700" w:type="dxa"/>
            <w:tcBorders/>
          </w:tcPr>
          <w:p>
            <w:pPr>
              <w:pStyle w:val="Normal"/>
              <w:widowControl/>
              <w:pBdr>
                <w:top w:val="single" w:sz="4" w:space="1" w:color="000000"/>
                <w:left w:val="single" w:sz="4" w:space="4" w:color="000000"/>
                <w:bottom w:val="single" w:sz="4" w:space="1" w:color="000000"/>
                <w:right w:val="single" w:sz="4" w:space="4" w:color="000000"/>
              </w:pBdr>
              <w:spacing w:lineRule="auto" w:line="276" w:before="0"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eastAsia="Calibri" w:cs="Times New Roman" w:ascii="Times New Roman" w:hAnsi="Times New Roman"/>
                <w:kern w:val="0"/>
                <w:sz w:val="22"/>
                <w:szCs w:val="22"/>
                <w:lang w:val="fr-FR" w:eastAsia="en-US" w:bidi="ar-SA"/>
              </w:rPr>
              <w:t>4</w:t>
            </w:r>
          </w:p>
        </w:tc>
      </w:tr>
    </w:tbl>
    <w:p>
      <w:pPr>
        <w:pStyle w:val="Normal"/>
        <w:spacing w:lineRule="auto" w:line="276"/>
        <w:rPr>
          <w:rFonts w:ascii="Times New Roman" w:hAnsi="Times New Roman" w:cs="Times New Roman"/>
          <w:b/>
          <w:bCs/>
          <w:sz w:val="24"/>
          <w:szCs w:val="24"/>
        </w:rPr>
      </w:pPr>
      <w:r>
        <w:rPr>
          <w:rFonts w:cs="Times New Roman" w:ascii="Times New Roman" w:hAnsi="Times New Roman"/>
          <w:b/>
          <w:bCs/>
          <w:sz w:val="24"/>
          <w:szCs w:val="24"/>
        </w:rPr>
      </w:r>
    </w:p>
    <w:p>
      <w:pPr>
        <w:pStyle w:val="Normal"/>
        <w:pBdr>
          <w:top w:val="single" w:sz="4" w:space="1" w:color="000000"/>
          <w:left w:val="single" w:sz="4" w:space="4" w:color="000000"/>
          <w:bottom w:val="single" w:sz="4" w:space="0" w:color="000000"/>
          <w:right w:val="single" w:sz="4" w:space="4" w:color="000000"/>
        </w:pBdr>
        <w:spacing w:lineRule="auto" w:line="276"/>
        <w:jc w:val="center"/>
        <w:rPr>
          <w:rFonts w:ascii="Times New Roman" w:hAnsi="Times New Roman" w:cs="Times New Roman"/>
          <w:sz w:val="24"/>
          <w:szCs w:val="24"/>
        </w:rPr>
      </w:pPr>
      <w:r>
        <w:rPr>
          <w:rFonts w:cs="Times New Roman" w:ascii="Times New Roman" w:hAnsi="Times New Roman"/>
          <w:b/>
          <w:bCs/>
          <w:sz w:val="24"/>
          <w:szCs w:val="24"/>
        </w:rPr>
        <w:t>Plusieurs générations de secrétaires politiques ?</w:t>
      </w:r>
    </w:p>
    <w:p>
      <w:pPr>
        <w:pStyle w:val="Normal"/>
        <w:pBdr>
          <w:top w:val="single" w:sz="4" w:space="1" w:color="000000"/>
          <w:left w:val="single" w:sz="4" w:space="4" w:color="000000"/>
          <w:bottom w:val="single" w:sz="4" w:space="0" w:color="000000"/>
          <w:right w:val="single" w:sz="4" w:space="4" w:color="000000"/>
        </w:pBdr>
        <w:spacing w:lineRule="auto" w:line="276"/>
        <w:jc w:val="both"/>
        <w:rPr>
          <w:rFonts w:ascii="Times New Roman" w:hAnsi="Times New Roman" w:cs="Times New Roman"/>
          <w:sz w:val="24"/>
          <w:szCs w:val="24"/>
        </w:rPr>
      </w:pPr>
      <w:r>
        <w:rPr>
          <w:rFonts w:cs="Times New Roman" w:ascii="Times New Roman" w:hAnsi="Times New Roman"/>
          <w:sz w:val="24"/>
          <w:szCs w:val="24"/>
        </w:rPr>
        <w:t>Le tableau 3 montre qu’il existe plusieurs générations au sein des secrétariats. Il y a les expérimentés, qui ont passé la majeure partie de leur carrière professionnelle comme employés d'un secrétariat politique. Ensuite, il y a les plus jeunes générations, ce qui atteste d’une relative rotation des membres des secrétariats ces dernières années. En termes d'accès au secrétariat politique, la plupart y entrent jeunes. Certains d'abord comme stagiaires, puis comme assistants ou secrétaires. C’est le cas d’un secrétaire d’EA : après des études de langues à l’Université de Belgrade, il effectue un stage au CdR au sein du groupe EA, puis au PE. Il postule ensuite au secrétariat EA du CdR, avant d’effectuer diverses expériences de consultance en communication publique. Il revient en 2017 au secrétariat. Ainsi, il estime disposer non pas d’une expertise locale, mais de compétences de relations publiques utiles pour les membres du groupe.</w:t>
      </w:r>
    </w:p>
    <w:p>
      <w:pPr>
        <w:pStyle w:val="Normal"/>
        <w:pBdr>
          <w:top w:val="single" w:sz="4" w:space="1" w:color="000000"/>
          <w:left w:val="single" w:sz="4" w:space="4" w:color="000000"/>
          <w:bottom w:val="single" w:sz="4" w:space="0" w:color="000000"/>
          <w:right w:val="single" w:sz="4" w:space="4" w:color="000000"/>
        </w:pBdr>
        <w:spacing w:lineRule="auto" w:line="276"/>
        <w:jc w:val="both"/>
        <w:rPr>
          <w:rFonts w:ascii="Times New Roman" w:hAnsi="Times New Roman" w:cs="Times New Roman"/>
          <w:sz w:val="24"/>
          <w:szCs w:val="24"/>
        </w:rPr>
      </w:pPr>
      <w:r>
        <w:rPr>
          <w:rFonts w:cs="Times New Roman" w:ascii="Times New Roman" w:hAnsi="Times New Roman"/>
          <w:sz w:val="24"/>
          <w:szCs w:val="24"/>
        </w:rPr>
        <w:t>Ces différentes générations cohabitant dans un même secrétariat ne vont pas toujours sans tension. Lors d'un entretien, un jeune secrétaire politique libéral accuse les anciennes générations de vouloir se substituer au Parlement européen, alors qu’il estime que les secrétaires plus jeunes s’accommodent du rôle de complémentarité entre le CdR et le PE.</w:t>
      </w:r>
    </w:p>
    <w:p>
      <w:pPr>
        <w:pStyle w:val="Normal"/>
        <w:pBdr>
          <w:top w:val="single" w:sz="4" w:space="1" w:color="000000"/>
          <w:left w:val="single" w:sz="4" w:space="4" w:color="000000"/>
          <w:bottom w:val="single" w:sz="4" w:space="0" w:color="000000"/>
          <w:right w:val="single" w:sz="4" w:space="4" w:color="000000"/>
        </w:pBd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Néanmoins, en tant que secrétaires politiques, la tendance consiste à rester relativement longtemps. Cela fait écho à la littérature sur les acteurs non élus du PE, marqués par leur « seniority » (Egeberg </w:t>
      </w:r>
      <w:r>
        <w:rPr>
          <w:rFonts w:cs="Times New Roman" w:ascii="Times New Roman" w:hAnsi="Times New Roman"/>
          <w:i/>
          <w:iCs/>
          <w:sz w:val="24"/>
          <w:szCs w:val="24"/>
        </w:rPr>
        <w:t>et al</w:t>
      </w:r>
      <w:r>
        <w:rPr>
          <w:rFonts w:cs="Times New Roman" w:ascii="Times New Roman" w:hAnsi="Times New Roman"/>
          <w:sz w:val="24"/>
          <w:szCs w:val="24"/>
        </w:rPr>
        <w:t xml:space="preserve">., 2013 ; Ruiter, 2022). L’attractivité d’une longue expérienceau sein du CdR se justifierait par le fait de travailler sur une multiplicité de domaines politiques (alors que les personnes interrogées estiment que le travail au Parlement est souvent trop spécialisé), et par la possibilité de « gravir les échelons » plus rapidement </w:t>
      </w:r>
      <w:commentRangeStart w:id="0"/>
      <w:r>
        <w:rPr>
          <w:rFonts w:cs="Times New Roman" w:ascii="Times New Roman" w:hAnsi="Times New Roman"/>
          <w:sz w:val="24"/>
          <w:szCs w:val="24"/>
        </w:rPr>
        <w:t>dans</w:t>
      </w:r>
      <w:r>
        <w:rPr>
          <w:rFonts w:cs="Times New Roman" w:ascii="Times New Roman" w:hAnsi="Times New Roman"/>
          <w:sz w:val="24"/>
          <w:szCs w:val="24"/>
        </w:rPr>
      </w:r>
      <w:commentRangeEnd w:id="0"/>
      <w:r>
        <w:commentReference w:id="0"/>
      </w:r>
      <w:r>
        <w:rPr>
          <w:rFonts w:cs="Times New Roman" w:ascii="Times New Roman" w:hAnsi="Times New Roman"/>
          <w:sz w:val="24"/>
          <w:szCs w:val="24"/>
        </w:rPr>
        <w:t xml:space="preserve"> une institution européenne, en raison du marché moins concurrentiel des candidats. Ce temps long passé comme secrétaires politiques (et la structure propre de leurs capitaux professionnels proprement européens plus que nationaux ou régionaux/locaux) explique la propension de ces acteurs à intégrer le sens pratique consistant à produire des positions dénationalisées, afin de défendre les prérogatives des acteurs locaux et régionaux dans le régime politique de l’UE.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Cet effort de dénationalisation, qui vise à stimuler une identité de groupe politique, peut être mis en œuvre par les secrétaires les plus expérimentés. En effet, ceux-ci promeuvent, à travers de nouveaux avis, les positions historiques du CdR. C’est le cas de ce secrétaire socialiste ayant corédigé un avis sur la position du CdR vis-à-vis des plans de relance (</w:t>
      </w:r>
      <w:r>
        <w:rPr>
          <w:rFonts w:cs="Times New Roman" w:ascii="Times New Roman" w:hAnsi="Times New Roman"/>
          <w:i/>
          <w:iCs/>
          <w:sz w:val="24"/>
          <w:szCs w:val="24"/>
        </w:rPr>
        <w:t>Next Generation EU</w:t>
      </w:r>
      <w:r>
        <w:rPr>
          <w:rFonts w:cs="Times New Roman" w:ascii="Times New Roman" w:hAnsi="Times New Roman"/>
          <w:sz w:val="24"/>
          <w:szCs w:val="24"/>
        </w:rPr>
        <w:t xml:space="preserve">) : </w:t>
      </w:r>
    </w:p>
    <w:p>
      <w:pPr>
        <w:pStyle w:val="Normal"/>
        <w:spacing w:lineRule="auto" w:line="276"/>
        <w:ind w:left="708"/>
        <w:jc w:val="both"/>
        <w:rPr>
          <w:rFonts w:ascii="Times New Roman" w:hAnsi="Times New Roman" w:cs="Times New Roman"/>
          <w:sz w:val="20"/>
          <w:szCs w:val="20"/>
          <w:lang w:val="en-US"/>
        </w:rPr>
      </w:pPr>
      <w:r>
        <w:rPr>
          <w:rFonts w:cs="Times New Roman" w:ascii="Times New Roman" w:hAnsi="Times New Roman"/>
          <w:lang w:val="en-US"/>
        </w:rPr>
        <w:t>« On the recovery plan, I wrote the opinion, because I was the expert of a member of the group. I insisted on the involvement of local and regional authorities in the design and implementation of Member States' recovery plans. When you read Article 18Q of the adopted regulation, we managed to leave a mark on this aspect » (entretien avec un secrétaire socialiste, le 29 avril 2021).</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Ici, le secrétaire fait le lien entre la position que doit occuper le CdR (et les autorités locales et régionales plus largement) dans le pilotage des programmes soumis aux États-membres à la Commission au titre de </w:t>
      </w:r>
      <w:r>
        <w:rPr>
          <w:rFonts w:cs="Times New Roman" w:ascii="Times New Roman" w:hAnsi="Times New Roman"/>
          <w:i/>
          <w:iCs/>
          <w:sz w:val="24"/>
          <w:szCs w:val="24"/>
        </w:rPr>
        <w:t>Next Generation EU</w:t>
      </w:r>
      <w:r>
        <w:rPr>
          <w:rFonts w:cs="Times New Roman" w:ascii="Times New Roman" w:hAnsi="Times New Roman"/>
          <w:sz w:val="24"/>
          <w:szCs w:val="24"/>
        </w:rPr>
        <w:t>,</w:t>
      </w:r>
      <w:r>
        <w:rPr>
          <w:rFonts w:cs="Times New Roman" w:ascii="Times New Roman" w:hAnsi="Times New Roman"/>
          <w:i/>
          <w:iCs/>
          <w:sz w:val="24"/>
          <w:szCs w:val="24"/>
        </w:rPr>
        <w:t xml:space="preserve"> </w:t>
      </w:r>
      <w:r>
        <w:rPr>
          <w:rFonts w:cs="Times New Roman" w:ascii="Times New Roman" w:hAnsi="Times New Roman"/>
          <w:sz w:val="24"/>
          <w:szCs w:val="24"/>
        </w:rPr>
        <w:t>et la défense du concept de subsidiarité historiquement au centre des positions du CdR (Carroll, 2011) – qui a largement évolué dans le sens des intérêts du CdR au moment de la mise en place d’un groupe de travail entre la Commission et des membres du CdR, sur la « subsidiarité active »</w:t>
      </w:r>
      <w:r>
        <w:rPr>
          <w:rStyle w:val="FootnoteReference"/>
          <w:rFonts w:cs="Times New Roman" w:ascii="Times New Roman" w:hAnsi="Times New Roman"/>
          <w:sz w:val="24"/>
          <w:szCs w:val="24"/>
        </w:rPr>
        <w:footnoteReference w:id="25"/>
      </w:r>
      <w:r>
        <w:rPr>
          <w:rFonts w:cs="Times New Roman" w:ascii="Times New Roman" w:hAnsi="Times New Roman"/>
          <w:sz w:val="24"/>
          <w:szCs w:val="24"/>
        </w:rPr>
        <w:t xml:space="preserve">. En d’autres termes, ce secrétaire a opérationnalisé et actualisé la critique historique du CdR à l’égard de la « regional blindness » (pour un retour historique, lire Cygan, 2014), dans le contexte de </w:t>
      </w:r>
      <w:r>
        <w:rPr>
          <w:rFonts w:cs="Times New Roman" w:ascii="Times New Roman" w:hAnsi="Times New Roman"/>
          <w:i/>
          <w:iCs/>
          <w:sz w:val="24"/>
          <w:szCs w:val="24"/>
        </w:rPr>
        <w:t>Next Generation EU</w:t>
      </w:r>
      <w:r>
        <w:rPr>
          <w:rFonts w:cs="Times New Roman" w:ascii="Times New Roman" w:hAnsi="Times New Roman"/>
          <w:sz w:val="24"/>
          <w:szCs w:val="24"/>
        </w:rPr>
        <w:t xml:space="preserve">. Il convient ici de voir un rôle déjà repéré dans la littérature sur les fonctionnaires du PE : les secrétaires politiques ont la capacité d’influencer la position des membres de leur groupe, sur un dossier précis, en jouant de leur mémoire institutionnelle (Egeberg </w:t>
      </w:r>
      <w:r>
        <w:rPr>
          <w:rFonts w:cs="Times New Roman" w:ascii="Times New Roman" w:hAnsi="Times New Roman"/>
          <w:i/>
          <w:iCs/>
          <w:sz w:val="24"/>
          <w:szCs w:val="24"/>
        </w:rPr>
        <w:t>et al</w:t>
      </w:r>
      <w:r>
        <w:rPr>
          <w:rFonts w:cs="Times New Roman" w:ascii="Times New Roman" w:hAnsi="Times New Roman"/>
          <w:sz w:val="24"/>
          <w:szCs w:val="24"/>
        </w:rPr>
        <w:t>., 2013 ; Romanyshyn et Neuhold, 2013 ; Winzen, 2011).</w:t>
      </w:r>
    </w:p>
    <w:p>
      <w:pPr>
        <w:pStyle w:val="Normal"/>
        <w:spacing w:lineRule="auto" w:line="276"/>
        <w:jc w:val="both"/>
        <w:rPr>
          <w:rFonts w:ascii="Times New Roman" w:hAnsi="Times New Roman" w:eastAsia="Times New Roman" w:cs="Times New Roman"/>
          <w:sz w:val="24"/>
          <w:szCs w:val="24"/>
          <w:lang w:eastAsia="fr-FR"/>
        </w:rPr>
      </w:pPr>
      <w:r>
        <w:rPr>
          <w:rFonts w:cs="Times New Roman" w:ascii="Times New Roman" w:hAnsi="Times New Roman"/>
          <w:sz w:val="24"/>
          <w:szCs w:val="24"/>
        </w:rPr>
        <w:t xml:space="preserve">La deuxième contribution des secrétaires politiques à leur groupe est liée à la première. Pour faire groupe, </w:t>
      </w:r>
      <w:r>
        <w:rPr>
          <w:rFonts w:eastAsia="Times New Roman" w:cs="Times New Roman" w:ascii="Times New Roman" w:hAnsi="Times New Roman"/>
          <w:sz w:val="24"/>
          <w:szCs w:val="24"/>
          <w:lang w:eastAsia="fr-FR"/>
        </w:rPr>
        <w:t>les secrétariats politiques cherchent à développer des positions au sein des membres du groupe, en cultivant les divisions entre eux et les autres groupes politiques (en s’en distinguant)</w:t>
      </w:r>
      <w:r>
        <w:rPr>
          <w:rStyle w:val="FootnoteReference"/>
          <w:rFonts w:eastAsia="Times New Roman" w:cs="Times New Roman" w:ascii="Times New Roman" w:hAnsi="Times New Roman"/>
          <w:sz w:val="24"/>
          <w:szCs w:val="24"/>
          <w:lang w:eastAsia="fr-FR"/>
        </w:rPr>
        <w:footnoteReference w:id="26"/>
      </w:r>
      <w:r>
        <w:rPr>
          <w:rFonts w:eastAsia="Times New Roman" w:cs="Times New Roman" w:ascii="Times New Roman" w:hAnsi="Times New Roman"/>
          <w:sz w:val="24"/>
          <w:szCs w:val="24"/>
          <w:lang w:eastAsia="fr-FR"/>
        </w:rPr>
        <w:t>. Par exemple, lors de l’enquête, on a interrogé les différents secrétaires sur la réforme du Semestre européen. Cet instrument, peu connu au-delà des praticiens et spécialistes de l’UE, est spécifiquement pris en charge par les secrétaires politiques de différents groupes (socialiste, libéral, conservateur), sans que cela découle d’une demande préalable des membres du groupe. Rappelons que ces derniers sont souvent des intermittents au sein du CdR et que ce temps limité consacré au CdR les contraint à ne pas pouvoir prendre position sur tous les enjeux européens (y compris les plus techniques). Si tous les groupes politiques plaident pour un rôle plus affirmé des collectivités locales et régionales dans le pilotage du Semestre, l’un des secrétaires socialistes, chargé des questions économiques et financières, a contribué, selon ses propos tenus lors d’un entretien, à forger la position du groupe socialiste/PSE (entretien le 23 juin 2021). En tant qu’expert de l’avis d’un rapporteur-membre du groupe socialiste, il défendait l’exemption de certains investissements sociaux des règles de la rigueur budgétaire, ce qui est apparu dans les documents du groupe socialiste</w:t>
      </w:r>
      <w:r>
        <w:rPr>
          <w:rStyle w:val="FootnoteReference"/>
          <w:rFonts w:eastAsia="Times New Roman" w:cs="Times New Roman" w:ascii="Times New Roman" w:hAnsi="Times New Roman"/>
          <w:sz w:val="24"/>
          <w:szCs w:val="24"/>
          <w:lang w:eastAsia="fr-FR"/>
        </w:rPr>
        <w:footnoteReference w:id="27"/>
      </w:r>
      <w:r>
        <w:rPr>
          <w:rFonts w:eastAsia="Times New Roman" w:cs="Times New Roman" w:ascii="Times New Roman" w:hAnsi="Times New Roman"/>
          <w:sz w:val="24"/>
          <w:szCs w:val="24"/>
          <w:lang w:eastAsia="fr-FR"/>
        </w:rPr>
        <w:t xml:space="preserve">. Un second exemple dans la manière dont les secrétaires contribuent à façonner les positions politiques de leur groupe, et de fait, à se différencier des autres groupes, intervient du côté libéral. Dans le cas du « gender budgeting », un secrétaire Renew estime avoir réussi à influencer favorablement les positions du groupe PSE, tout en cristallisant l’opposition des groupes PPE et ECR. Lors d’un entretien (le 6 août 2021), le secrétaire avance que le groupe avait du mal à se différencier des deux « king players » du CdR, à savoir le PPE et le PSE. Ainsi, il s’agit pour le secrétaire et son groupe de se positionner, et de se démarquer, sur des enjeux qui n’ont pas été investis frontalement par les forces historiques de l’institution (sans qu’il y ait une </w:t>
      </w:r>
      <w:r>
        <w:rPr>
          <w:rFonts w:eastAsia="Times New Roman" w:cs="Times New Roman" w:ascii="Times New Roman" w:hAnsi="Times New Roman"/>
          <w:i/>
          <w:iCs/>
          <w:sz w:val="24"/>
          <w:szCs w:val="24"/>
          <w:lang w:eastAsia="fr-FR"/>
        </w:rPr>
        <w:t>issue ownership</w:t>
      </w:r>
      <w:r>
        <w:rPr>
          <w:rFonts w:eastAsia="Times New Roman" w:cs="Times New Roman" w:ascii="Times New Roman" w:hAnsi="Times New Roman"/>
          <w:sz w:val="24"/>
          <w:szCs w:val="24"/>
          <w:lang w:eastAsia="fr-FR"/>
        </w:rPr>
        <w:t xml:space="preserve"> préalable). Ici, le secrétaire libéral dit avoir utilisé les savoir-faire et les compétences au local des membres de son groupe, pour faire émerger des positions politiques au niveau du CdR. C’est notamment le cas de la mise à l’agenda du CdR, également par les secrétaires libéraux, de la prévention de la radicalisation, qui se fonde sur l’expérience d’un des membres du groupe, dans une commune belge</w:t>
      </w:r>
      <w:r>
        <w:rPr>
          <w:rStyle w:val="FootnoteReference"/>
          <w:rFonts w:eastAsia="Times New Roman" w:cs="Times New Roman" w:ascii="Times New Roman" w:hAnsi="Times New Roman"/>
          <w:sz w:val="24"/>
          <w:szCs w:val="24"/>
          <w:lang w:eastAsia="fr-FR"/>
        </w:rPr>
        <w:footnoteReference w:id="28"/>
      </w:r>
      <w:r>
        <w:rPr>
          <w:rFonts w:eastAsia="Times New Roman" w:cs="Times New Roman" w:ascii="Times New Roman" w:hAnsi="Times New Roman"/>
          <w:sz w:val="24"/>
          <w:szCs w:val="24"/>
          <w:lang w:eastAsia="fr-FR"/>
        </w:rPr>
        <w:t>. Ainsi, comme on le voit, la structuration de ces espaces de positions est rendue possible par le travail des secrétaires qui siègent en permanence dans l’institution.</w:t>
      </w:r>
    </w:p>
    <w:p>
      <w:pPr>
        <w:pStyle w:val="Normal"/>
        <w:spacing w:lineRule="auto" w:line="276"/>
        <w:jc w:val="both"/>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On voit ainsi comment les secrétaires politiques estiment jouer un rôle dans les prises de position de leurs groupes. Avec les tentatives de dénationalisation des positions nationales de leurs membres, les secrétaires cherchent donc à asseoir l’identité politique de leur groupe, jouant ainsi un rôle proactif dans le façonnement de l'espace des positions politiques des membres du CdR et de l’institution au niveau européen.</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Discussion et conclusion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Cet article a étudié le CdR à travers le rôle d’acteurs discrets, mais pourtant discrétionnaires, les secrétaires politiques. Pour ce faire, et en l’absence d’enquêtes empiriques sur ces derniers au CdR, on s’est appuyé sur les travaux sur les personnels non élus du Parlement européen, pour interroger leur importance dans la conduite des travaux du CdR. On a montré que les secrétaires politiques du CdR partagent un certain nombre de prérogatives avec ceux du Parlement, comme l’accompagnement de leurs membres élus, l’assistance technique et politique. On a aussi mis en valeur leur rôle dans la sélection des rapporteurs, de la préparation des avis des rapporteurs (et des administrateurs) ou, le cas échéant, des rapporteurs fictifs.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Au-delà des tâches renvoyant à l’assistance ou au rôle « réactif » (Ruiter, 2022), on a davantage insisté sur les rôles proactifs des secrétaires du CdR. À la différence des eurodéputés, les membres du CdR siègent par intermittence. Dès lors, les secrétaires sont amenés à faire vivre l’organe, au-delà des réunions en commission et des plénières. Ils possèdent une certaine marge de manœuvre, que l’on a essayé d’éclairer, au-delà du travail de coordination des membres de leur groupe politique : par leur travail de dénationalisation des positions de ces membres, et par la manière dont les secrétaires s’efforcent de dessiner des lignes de clivage politique entre les différents groupes, pour forger une identité politique propre à même de rassembler les membres de leur groupe. Plus généralement et dans le prolongement de Ruiter (2019 ; 2022), le travail sur les secrétaires politiques du CdR confirme l’importance et la discrétion (au double sens du terme) des acteurs non élus des assemblées représentatives au niveau de l’UE.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On peut toutefois mentionner plusieurs limites et des pistes de prolongement à cette étude. D’abord, il serait heuristique de travailler sur les administrateurs du CdR, pour voir en quoi ils constituent, en interaction avec les secrétaires ici étudiés, des rouages essentiels de l’institution, en quoi ils se rapprochent ou diffèrent des fonctionnaires du PE (Dobbels et Neuhold, 2013 ; Neunreither, 2002) et si leur travail révèle ou non une « compétence politisée » (Romanyshyn et Neuhold, 2013). Ensuite, vis-à-vis des secrétaires politiques, on pourrait aller plus loin, en étudiant notamment comment les secrétaires organisent tout un ensemble d’événements (à l’image de ce qui est évoqué par Descoster </w:t>
      </w:r>
      <w:r>
        <w:rPr>
          <w:rFonts w:cs="Times New Roman" w:ascii="Times New Roman" w:hAnsi="Times New Roman"/>
          <w:i/>
          <w:iCs/>
          <w:sz w:val="24"/>
          <w:szCs w:val="24"/>
        </w:rPr>
        <w:t>et al</w:t>
      </w:r>
      <w:r>
        <w:rPr>
          <w:rFonts w:cs="Times New Roman" w:ascii="Times New Roman" w:hAnsi="Times New Roman"/>
          <w:sz w:val="24"/>
          <w:szCs w:val="24"/>
        </w:rPr>
        <w:t>., 2019) pour influencer les positions d’eurodéputés, mais aussi de membres de la Commission ou du Conseil. Une autre piste d’approfondissement consisterait à analyser dans quelle mesure les secrétaires politiques du CdR parviennent à influencer les parlementaires, non pas à travers les relations interpersonnelles, pour un dossier législatif spécifique, mais au sein des partis politiques européens tels qu’étudiés par Roa Bastos (2009). Au sein des événements des familles européennes, les secrétaires politiques du CdR cherchent à influencer l’agenda politique de leur propre parti, et donc à la fois des secrétaires politiques du PE et des eurodéputés.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Bibliographie</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xml:space="preserve">Artigny, Marguerite (2019), </w:t>
      </w:r>
      <w:r>
        <w:rPr>
          <w:rFonts w:cs="Times New Roman" w:ascii="Times New Roman" w:hAnsi="Times New Roman"/>
          <w:i/>
          <w:iCs/>
          <w:sz w:val="20"/>
          <w:szCs w:val="20"/>
        </w:rPr>
        <w:t>The Empowerment of the Committee of the Regions: Towards a European Senate?</w:t>
      </w:r>
      <w:r>
        <w:rPr>
          <w:rFonts w:cs="Times New Roman" w:ascii="Times New Roman" w:hAnsi="Times New Roman"/>
          <w:sz w:val="20"/>
          <w:szCs w:val="20"/>
        </w:rPr>
        <w:t>,</w:t>
      </w:r>
      <w:r>
        <w:rPr>
          <w:rFonts w:cs="Times New Roman" w:ascii="Times New Roman" w:hAnsi="Times New Roman"/>
          <w:i/>
          <w:iCs/>
          <w:sz w:val="20"/>
          <w:szCs w:val="20"/>
        </w:rPr>
        <w:t xml:space="preserve"> </w:t>
      </w:r>
      <w:r>
        <w:rPr>
          <w:rFonts w:cs="Times New Roman" w:ascii="Times New Roman" w:hAnsi="Times New Roman"/>
          <w:sz w:val="20"/>
          <w:szCs w:val="20"/>
        </w:rPr>
        <w:t>mémoire de recherche en science politique, Institut d’Études Politiques de Grenoble et Universität Konstanz.</w:t>
      </w:r>
    </w:p>
    <w:p>
      <w:pPr>
        <w:pStyle w:val="Normal"/>
        <w:spacing w:lineRule="auto" w:line="276" w:before="0" w:after="0"/>
        <w:jc w:val="both"/>
        <w:rPr>
          <w:rStyle w:val="Fontstyle01"/>
          <w:rFonts w:ascii="Times New Roman" w:hAnsi="Times New Roman" w:cs="Times New Roman"/>
          <w:color w:val="auto"/>
          <w:lang w:val="en-US"/>
        </w:rPr>
      </w:pPr>
      <w:r>
        <w:rPr>
          <w:rStyle w:val="Nlmlpage"/>
          <w:rFonts w:cs="Times New Roman" w:ascii="Times New Roman" w:hAnsi="Times New Roman"/>
          <w:sz w:val="20"/>
          <w:szCs w:val="20"/>
          <w:lang w:val="en-US"/>
        </w:rPr>
        <w:t>Carroll, William E. (2011), « </w:t>
      </w:r>
      <w:r>
        <w:rPr>
          <w:rStyle w:val="Fontstyle01"/>
          <w:rFonts w:cs="Times New Roman" w:ascii="Times New Roman" w:hAnsi="Times New Roman"/>
          <w:color w:val="auto"/>
          <w:lang w:val="en-US"/>
        </w:rPr>
        <w:t>The Committee of the Regions: A</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Functional Analysis of the CoR's Institutional Capacity</w:t>
      </w:r>
      <w:r>
        <w:rPr>
          <w:rStyle w:val="Nlmlpage"/>
          <w:rFonts w:cs="Times New Roman" w:ascii="Times New Roman" w:hAnsi="Times New Roman"/>
          <w:sz w:val="20"/>
          <w:szCs w:val="20"/>
          <w:lang w:val="en-US"/>
        </w:rPr>
        <w:t xml:space="preserve"> », </w:t>
      </w:r>
      <w:r>
        <w:rPr>
          <w:rStyle w:val="Fontstyle01"/>
          <w:rFonts w:cs="Times New Roman" w:ascii="Times New Roman" w:hAnsi="Times New Roman"/>
          <w:i/>
          <w:iCs/>
          <w:color w:val="auto"/>
          <w:lang w:val="en-US"/>
        </w:rPr>
        <w:t>Regional &amp; Federal Studies</w:t>
      </w:r>
      <w:r>
        <w:rPr>
          <w:rStyle w:val="Fontstyle01"/>
          <w:rFonts w:cs="Times New Roman" w:ascii="Times New Roman" w:hAnsi="Times New Roman"/>
          <w:color w:val="auto"/>
          <w:lang w:val="en-US"/>
        </w:rPr>
        <w:t>, vol. 21 (3), p.</w:t>
      </w:r>
      <w:r>
        <w:rPr>
          <w:rFonts w:cs="Times New Roman" w:ascii="Times New Roman" w:hAnsi="Times New Roman"/>
          <w:sz w:val="20"/>
          <w:szCs w:val="20"/>
          <w:lang w:val="en-US"/>
        </w:rPr>
        <w:t> </w:t>
      </w:r>
      <w:r>
        <w:rPr>
          <w:rStyle w:val="Fontstyle01"/>
          <w:rFonts w:cs="Times New Roman" w:ascii="Times New Roman" w:hAnsi="Times New Roman"/>
          <w:color w:val="auto"/>
          <w:lang w:val="en-US"/>
        </w:rPr>
        <w:t>341-354.</w:t>
      </w:r>
    </w:p>
    <w:p>
      <w:pPr>
        <w:pStyle w:val="Normal"/>
        <w:spacing w:lineRule="auto" w:line="240" w:before="0" w:after="0"/>
        <w:jc w:val="both"/>
        <w:rPr>
          <w:rStyle w:val="Fontstyle01"/>
          <w:rFonts w:ascii="Times New Roman" w:hAnsi="Times New Roman" w:cs="Times New Roman"/>
          <w:color w:val="auto"/>
          <w:lang w:val="en-GB"/>
        </w:rPr>
      </w:pPr>
      <w:r>
        <w:rPr>
          <w:rStyle w:val="Fontstyle01"/>
          <w:rFonts w:cs="Times New Roman" w:ascii="Times New Roman" w:hAnsi="Times New Roman"/>
          <w:color w:val="auto"/>
          <w:lang w:val="en-US"/>
        </w:rPr>
        <w:t xml:space="preserve">Christiansen, Thomas (1997), </w:t>
      </w:r>
      <w:r>
        <w:rPr>
          <w:rStyle w:val="Nlmlpage"/>
          <w:rFonts w:cs="Times New Roman" w:ascii="Times New Roman" w:hAnsi="Times New Roman"/>
          <w:sz w:val="20"/>
          <w:szCs w:val="20"/>
          <w:lang w:val="en-US"/>
        </w:rPr>
        <w:t>« </w:t>
      </w:r>
      <w:r>
        <w:rPr>
          <w:rStyle w:val="Fontstyle21"/>
          <w:rFonts w:cs="Times New Roman" w:ascii="Times New Roman" w:hAnsi="Times New Roman"/>
          <w:i w:val="false"/>
          <w:iCs w:val="false"/>
          <w:color w:val="auto"/>
          <w:sz w:val="20"/>
          <w:szCs w:val="20"/>
          <w:lang w:val="en-US"/>
        </w:rPr>
        <w:t>Second Thoughts on Europe’s “Third Level”: The European Union’s Committee of Regions </w:t>
      </w:r>
      <w:r>
        <w:rPr>
          <w:rStyle w:val="Nlmlpage"/>
          <w:rFonts w:cs="Times New Roman" w:ascii="Times New Roman" w:hAnsi="Times New Roman"/>
          <w:sz w:val="20"/>
          <w:szCs w:val="20"/>
          <w:lang w:val="en-US"/>
        </w:rPr>
        <w:t>»</w:t>
      </w:r>
      <w:r>
        <w:rPr>
          <w:rStyle w:val="Fontstyle01"/>
          <w:rFonts w:cs="Times New Roman" w:ascii="Times New Roman" w:hAnsi="Times New Roman"/>
          <w:i/>
          <w:iCs/>
          <w:color w:val="auto"/>
          <w:lang w:val="en-US"/>
        </w:rPr>
        <w:t>,</w:t>
      </w:r>
      <w:r>
        <w:rPr>
          <w:rStyle w:val="Fontstyle01"/>
          <w:rFonts w:cs="Times New Roman" w:ascii="Times New Roman" w:hAnsi="Times New Roman"/>
          <w:color w:val="auto"/>
          <w:lang w:val="en-US"/>
        </w:rPr>
        <w:t xml:space="preserve"> </w:t>
      </w:r>
      <w:r>
        <w:rPr>
          <w:rStyle w:val="Fontstyle01"/>
          <w:rFonts w:cs="Times New Roman" w:ascii="Times New Roman" w:hAnsi="Times New Roman"/>
          <w:i/>
          <w:iCs/>
          <w:color w:val="auto"/>
          <w:lang w:val="en-US"/>
        </w:rPr>
        <w:t>The</w:t>
      </w:r>
      <w:r>
        <w:rPr>
          <w:rFonts w:cs="Times New Roman" w:ascii="Times New Roman" w:hAnsi="Times New Roman"/>
          <w:i/>
          <w:iCs/>
          <w:sz w:val="20"/>
          <w:szCs w:val="20"/>
          <w:lang w:val="en-US"/>
        </w:rPr>
        <w:t xml:space="preserve"> </w:t>
      </w:r>
      <w:r>
        <w:rPr>
          <w:rStyle w:val="Fontstyle01"/>
          <w:rFonts w:cs="Times New Roman" w:ascii="Times New Roman" w:hAnsi="Times New Roman"/>
          <w:i/>
          <w:iCs/>
          <w:color w:val="auto"/>
          <w:lang w:val="en-US"/>
        </w:rPr>
        <w:t>Journal of Federalism</w:t>
      </w:r>
      <w:r>
        <w:rPr>
          <w:rStyle w:val="Fontstyle01"/>
          <w:rFonts w:cs="Times New Roman" w:ascii="Times New Roman" w:hAnsi="Times New Roman"/>
          <w:color w:val="auto"/>
          <w:lang w:val="en-US"/>
        </w:rPr>
        <w:t>, vol. 26 (1), p. 93-110.</w:t>
      </w:r>
    </w:p>
    <w:p>
      <w:pPr>
        <w:pStyle w:val="Normal"/>
        <w:spacing w:lineRule="auto" w:line="240" w:before="0" w:after="0"/>
        <w:jc w:val="both"/>
        <w:rPr>
          <w:rFonts w:ascii="Times New Roman" w:hAnsi="Times New Roman" w:cs="Times New Roman"/>
          <w:sz w:val="20"/>
          <w:szCs w:val="20"/>
          <w:lang w:val="en-US"/>
        </w:rPr>
      </w:pPr>
      <w:r>
        <w:rPr>
          <w:rFonts w:cs="Times New Roman" w:ascii="Times New Roman" w:hAnsi="Times New Roman"/>
          <w:sz w:val="20"/>
          <w:szCs w:val="20"/>
          <w:lang w:val="en-US"/>
        </w:rPr>
        <w:t>Commission européenne (2018), « The principles of subsidiarity and proportionality: Strengthening their role in the EU's policymaking », COM(2018) 703 final, Strasbourg, 23 octobre.</w:t>
      </w:r>
    </w:p>
    <w:p>
      <w:pPr>
        <w:pStyle w:val="Normal"/>
        <w:spacing w:lineRule="auto" w:line="240" w:before="0" w:after="0"/>
        <w:jc w:val="both"/>
        <w:rPr>
          <w:rStyle w:val="Nlmlpage"/>
          <w:rFonts w:ascii="Times New Roman" w:hAnsi="Times New Roman" w:cs="Times New Roman"/>
          <w:sz w:val="20"/>
          <w:szCs w:val="20"/>
          <w:lang w:val="en-US"/>
        </w:rPr>
      </w:pPr>
      <w:r>
        <w:rPr>
          <w:rStyle w:val="Fontstyle01"/>
          <w:rFonts w:cs="Times New Roman" w:ascii="Times New Roman" w:hAnsi="Times New Roman"/>
          <w:color w:val="auto"/>
          <w:lang w:val="en-US"/>
        </w:rPr>
        <w:t>Cole, Tony (2005),</w:t>
      </w:r>
      <w:r>
        <w:rPr>
          <w:rFonts w:cs="Times New Roman" w:ascii="Times New Roman" w:hAnsi="Times New Roman"/>
          <w:sz w:val="20"/>
          <w:szCs w:val="20"/>
          <w:lang w:val="en-US"/>
        </w:rPr>
        <w:t xml:space="preserve"> </w:t>
      </w:r>
      <w:r>
        <w:rPr>
          <w:rStyle w:val="Nlmlpage"/>
          <w:rFonts w:cs="Times New Roman" w:ascii="Times New Roman" w:hAnsi="Times New Roman"/>
          <w:sz w:val="20"/>
          <w:szCs w:val="20"/>
          <w:lang w:val="en-US"/>
        </w:rPr>
        <w:t>« </w:t>
      </w:r>
      <w:r>
        <w:rPr>
          <w:rFonts w:cs="Times New Roman" w:ascii="Times New Roman" w:hAnsi="Times New Roman"/>
          <w:sz w:val="20"/>
          <w:szCs w:val="20"/>
          <w:lang w:val="en-US"/>
        </w:rPr>
        <w:t>The Committee of the Regions and subnational representation to the European Union </w:t>
      </w:r>
      <w:r>
        <w:rPr>
          <w:rStyle w:val="Nlmlpage"/>
          <w:rFonts w:cs="Times New Roman" w:ascii="Times New Roman" w:hAnsi="Times New Roman"/>
          <w:sz w:val="20"/>
          <w:szCs w:val="20"/>
          <w:lang w:val="en-US"/>
        </w:rPr>
        <w:t>»</w:t>
      </w:r>
      <w:r>
        <w:rPr>
          <w:rFonts w:cs="Times New Roman" w:ascii="Times New Roman" w:hAnsi="Times New Roman"/>
          <w:sz w:val="20"/>
          <w:szCs w:val="20"/>
          <w:lang w:val="en-US"/>
        </w:rPr>
        <w:t xml:space="preserve">, </w:t>
      </w:r>
      <w:r>
        <w:rPr>
          <w:rFonts w:cs="Times New Roman" w:ascii="Times New Roman" w:hAnsi="Times New Roman"/>
          <w:i/>
          <w:iCs/>
          <w:sz w:val="20"/>
          <w:szCs w:val="20"/>
          <w:lang w:val="en-US"/>
        </w:rPr>
        <w:t>Maastricht Journal of European and Comparative Law</w:t>
      </w:r>
      <w:r>
        <w:rPr>
          <w:rFonts w:cs="Times New Roman" w:ascii="Times New Roman" w:hAnsi="Times New Roman"/>
          <w:sz w:val="20"/>
          <w:szCs w:val="20"/>
          <w:lang w:val="en-US"/>
        </w:rPr>
        <w:t>, vol. 12 (1), p. 49-72.</w:t>
      </w:r>
    </w:p>
    <w:p>
      <w:pPr>
        <w:pStyle w:val="Normal"/>
        <w:spacing w:lineRule="auto" w:line="276" w:before="0" w:after="0"/>
        <w:jc w:val="both"/>
        <w:rPr>
          <w:rStyle w:val="Fontstyle01"/>
          <w:rFonts w:ascii="Times New Roman" w:hAnsi="Times New Roman" w:cs="Times New Roman"/>
          <w:b/>
          <w:color w:val="auto"/>
          <w:lang w:val="en-US"/>
        </w:rPr>
      </w:pPr>
      <w:r>
        <w:rPr>
          <w:rFonts w:cs="Times New Roman" w:ascii="Times New Roman" w:hAnsi="Times New Roman"/>
          <w:sz w:val="20"/>
          <w:szCs w:val="20"/>
        </w:rPr>
        <w:t xml:space="preserve">Costa, Olivier (2002), « Le travail parlementaire européen et la défense des intérêts locaux. Les députés européens dans la gouvernance multi-niveaux », </w:t>
      </w:r>
      <w:r>
        <w:rPr>
          <w:rFonts w:cs="Times New Roman" w:ascii="Times New Roman" w:hAnsi="Times New Roman"/>
          <w:i/>
          <w:iCs/>
          <w:sz w:val="20"/>
          <w:szCs w:val="20"/>
        </w:rPr>
        <w:t xml:space="preserve">in </w:t>
      </w:r>
      <w:r>
        <w:rPr>
          <w:rFonts w:cs="Times New Roman" w:ascii="Times New Roman" w:hAnsi="Times New Roman"/>
          <w:sz w:val="20"/>
          <w:szCs w:val="20"/>
        </w:rPr>
        <w:t xml:space="preserve">Olivier Nay et Andy Smith (dir.), </w:t>
      </w:r>
      <w:r>
        <w:rPr>
          <w:rFonts w:cs="Times New Roman" w:ascii="Times New Roman" w:hAnsi="Times New Roman"/>
          <w:i/>
          <w:sz w:val="20"/>
          <w:szCs w:val="20"/>
        </w:rPr>
        <w:t xml:space="preserve">Le gouvernement du compromis. </w:t>
      </w:r>
      <w:r>
        <w:rPr>
          <w:rFonts w:cs="Times New Roman" w:ascii="Times New Roman" w:hAnsi="Times New Roman"/>
          <w:i/>
          <w:sz w:val="20"/>
          <w:szCs w:val="20"/>
          <w:lang w:val="en-US"/>
        </w:rPr>
        <w:t>Courtiers et généralistes dans l’action politique</w:t>
      </w:r>
      <w:r>
        <w:rPr>
          <w:rFonts w:cs="Times New Roman" w:ascii="Times New Roman" w:hAnsi="Times New Roman"/>
          <w:iCs/>
          <w:sz w:val="20"/>
          <w:szCs w:val="20"/>
          <w:lang w:val="en-US"/>
        </w:rPr>
        <w:t>,</w:t>
      </w:r>
      <w:r>
        <w:rPr>
          <w:rFonts w:cs="Times New Roman" w:ascii="Times New Roman" w:hAnsi="Times New Roman"/>
          <w:i/>
          <w:sz w:val="20"/>
          <w:szCs w:val="20"/>
          <w:lang w:val="en-US"/>
        </w:rPr>
        <w:t xml:space="preserve"> </w:t>
      </w:r>
      <w:r>
        <w:rPr>
          <w:rFonts w:cs="Times New Roman" w:ascii="Times New Roman" w:hAnsi="Times New Roman"/>
          <w:sz w:val="20"/>
          <w:szCs w:val="20"/>
          <w:lang w:val="en-US"/>
        </w:rPr>
        <w:t>Paris, Economica, p. 195-225.</w:t>
      </w:r>
    </w:p>
    <w:p>
      <w:pPr>
        <w:pStyle w:val="Normal"/>
        <w:spacing w:lineRule="auto" w:line="240" w:before="0" w:after="0"/>
        <w:jc w:val="both"/>
        <w:rPr>
          <w:rFonts w:ascii="Times New Roman" w:hAnsi="Times New Roman" w:cs="Times New Roman"/>
          <w:sz w:val="20"/>
          <w:szCs w:val="20"/>
          <w:lang w:val="en-US"/>
        </w:rPr>
      </w:pPr>
      <w:r>
        <w:rPr>
          <w:rFonts w:cs="Times New Roman" w:ascii="Times New Roman" w:hAnsi="Times New Roman"/>
          <w:sz w:val="20"/>
          <w:szCs w:val="20"/>
          <w:lang w:val="en-US"/>
        </w:rPr>
        <w:t xml:space="preserve">Cygan, Adam (2014), « The Regions within multi-level governance: enhanced opportunities for improved accountability? », </w:t>
      </w:r>
      <w:r>
        <w:rPr>
          <w:rFonts w:cs="Times New Roman" w:ascii="Times New Roman" w:hAnsi="Times New Roman"/>
          <w:i/>
          <w:iCs/>
          <w:sz w:val="20"/>
          <w:szCs w:val="20"/>
          <w:lang w:val="en-US"/>
        </w:rPr>
        <w:t>Maastricht Journal of European and Comparative Law</w:t>
      </w:r>
      <w:r>
        <w:rPr>
          <w:rFonts w:cs="Times New Roman" w:ascii="Times New Roman" w:hAnsi="Times New Roman"/>
          <w:sz w:val="20"/>
          <w:szCs w:val="20"/>
          <w:lang w:val="en-US"/>
        </w:rPr>
        <w:t>, vol. 21 (2), p. 265-280.</w:t>
      </w:r>
    </w:p>
    <w:p>
      <w:pPr>
        <w:pStyle w:val="Normal"/>
        <w:spacing w:before="0" w:after="0"/>
        <w:jc w:val="both"/>
        <w:rPr>
          <w:rFonts w:ascii="Times New Roman" w:hAnsi="Times New Roman" w:cs="Times New Roman"/>
          <w:sz w:val="20"/>
          <w:szCs w:val="20"/>
          <w:lang w:val="en-US"/>
        </w:rPr>
      </w:pPr>
      <w:r>
        <w:rPr>
          <w:rFonts w:cs="Times New Roman" w:ascii="Times New Roman" w:hAnsi="Times New Roman"/>
          <w:sz w:val="20"/>
          <w:szCs w:val="20"/>
          <w:lang w:val="en-US"/>
        </w:rPr>
        <w:t xml:space="preserve">Decoster, François ; Delhomme, Vincent et Rousselle, Jennifer (2019), « The Committee of the Regions and the European Parliament: An Evolving Relationship? », </w:t>
      </w:r>
      <w:r>
        <w:rPr>
          <w:rFonts w:cs="Times New Roman" w:ascii="Times New Roman" w:hAnsi="Times New Roman"/>
          <w:i/>
          <w:iCs/>
          <w:sz w:val="20"/>
          <w:szCs w:val="20"/>
          <w:lang w:val="en-US"/>
        </w:rPr>
        <w:t>in</w:t>
      </w:r>
      <w:r>
        <w:rPr>
          <w:rFonts w:cs="Times New Roman" w:ascii="Times New Roman" w:hAnsi="Times New Roman"/>
          <w:sz w:val="20"/>
          <w:szCs w:val="20"/>
          <w:lang w:val="en-US"/>
        </w:rPr>
        <w:t xml:space="preserve"> Olivier Costa (dir.), </w:t>
      </w:r>
      <w:r>
        <w:rPr>
          <w:rFonts w:cs="Times New Roman" w:ascii="Times New Roman" w:hAnsi="Times New Roman"/>
          <w:i/>
          <w:iCs/>
          <w:sz w:val="20"/>
          <w:szCs w:val="20"/>
          <w:lang w:val="en-US"/>
        </w:rPr>
        <w:t>The European Parliament in Times of EU Crisis. Dynamics and Transformations</w:t>
      </w:r>
      <w:r>
        <w:rPr>
          <w:rFonts w:cs="Times New Roman" w:ascii="Times New Roman" w:hAnsi="Times New Roman"/>
          <w:sz w:val="20"/>
          <w:szCs w:val="20"/>
          <w:lang w:val="en-US"/>
        </w:rPr>
        <w:t>, Cham, Palgrave Macmillan, p. 99-119.</w:t>
      </w:r>
    </w:p>
    <w:p>
      <w:pPr>
        <w:pStyle w:val="Normal"/>
        <w:spacing w:lineRule="auto" w:line="276" w:before="0" w:after="0"/>
        <w:jc w:val="both"/>
        <w:rPr>
          <w:rFonts w:ascii="Times New Roman" w:hAnsi="Times New Roman" w:cs="Times New Roman"/>
          <w:sz w:val="20"/>
          <w:szCs w:val="20"/>
          <w:lang w:val="en-US"/>
        </w:rPr>
      </w:pPr>
      <w:r>
        <w:rPr>
          <w:rStyle w:val="Hlfld-contribauthor"/>
          <w:rFonts w:cs="Times New Roman" w:ascii="Times New Roman" w:hAnsi="Times New Roman"/>
          <w:sz w:val="20"/>
          <w:szCs w:val="20"/>
          <w:lang w:val="en-US"/>
        </w:rPr>
        <w:t xml:space="preserve">Dobbels, </w:t>
      </w:r>
      <w:r>
        <w:rPr>
          <w:rStyle w:val="Nlmgiven-names"/>
          <w:rFonts w:cs="Times New Roman" w:ascii="Times New Roman" w:hAnsi="Times New Roman"/>
          <w:sz w:val="20"/>
          <w:szCs w:val="20"/>
          <w:lang w:val="en-US"/>
        </w:rPr>
        <w:t>Mathias</w:t>
      </w:r>
      <w:r>
        <w:rPr>
          <w:rFonts w:cs="Times New Roman" w:ascii="Times New Roman" w:hAnsi="Times New Roman"/>
          <w:sz w:val="20"/>
          <w:szCs w:val="20"/>
          <w:lang w:val="en-US"/>
        </w:rPr>
        <w:t xml:space="preserve"> et </w:t>
      </w:r>
      <w:r>
        <w:rPr>
          <w:rStyle w:val="Hlfld-contribauthor"/>
          <w:rFonts w:cs="Times New Roman" w:ascii="Times New Roman" w:hAnsi="Times New Roman"/>
          <w:sz w:val="20"/>
          <w:szCs w:val="20"/>
          <w:lang w:val="en-US"/>
        </w:rPr>
        <w:t xml:space="preserve">Neuhold, </w:t>
      </w:r>
      <w:r>
        <w:rPr>
          <w:rStyle w:val="Nlmgiven-names"/>
          <w:rFonts w:cs="Times New Roman" w:ascii="Times New Roman" w:hAnsi="Times New Roman"/>
          <w:sz w:val="20"/>
          <w:szCs w:val="20"/>
          <w:lang w:val="en-US"/>
        </w:rPr>
        <w:t>Christine</w:t>
      </w:r>
      <w:r>
        <w:rPr>
          <w:rFonts w:cs="Times New Roman" w:ascii="Times New Roman" w:hAnsi="Times New Roman"/>
          <w:sz w:val="20"/>
          <w:szCs w:val="20"/>
          <w:lang w:val="en-US"/>
        </w:rPr>
        <w:t xml:space="preserve"> (</w:t>
      </w:r>
      <w:r>
        <w:rPr>
          <w:rStyle w:val="Nlmyear"/>
          <w:rFonts w:cs="Times New Roman" w:ascii="Times New Roman" w:hAnsi="Times New Roman"/>
          <w:sz w:val="20"/>
          <w:szCs w:val="20"/>
          <w:lang w:val="en-US"/>
        </w:rPr>
        <w:t>2013</w:t>
      </w:r>
      <w:r>
        <w:rPr>
          <w:rFonts w:cs="Times New Roman" w:ascii="Times New Roman" w:hAnsi="Times New Roman"/>
          <w:sz w:val="20"/>
          <w:szCs w:val="20"/>
          <w:lang w:val="en-US"/>
        </w:rPr>
        <w:t>), « </w:t>
      </w:r>
      <w:r>
        <w:rPr>
          <w:rStyle w:val="Nlmarticle-title"/>
          <w:rFonts w:cs="Times New Roman" w:ascii="Times New Roman" w:hAnsi="Times New Roman"/>
          <w:sz w:val="20"/>
          <w:szCs w:val="20"/>
          <w:lang w:val="en-US"/>
        </w:rPr>
        <w:t>The roles bureaucrats play. The input of European Parliament administrators into the ordinary legislative procedure: A case study approach »</w:t>
      </w:r>
      <w:r>
        <w:rPr>
          <w:rFonts w:cs="Times New Roman" w:ascii="Times New Roman" w:hAnsi="Times New Roman"/>
          <w:sz w:val="20"/>
          <w:szCs w:val="20"/>
          <w:lang w:val="en-US"/>
        </w:rPr>
        <w:t xml:space="preserve">, </w:t>
      </w:r>
      <w:r>
        <w:rPr>
          <w:rFonts w:cs="Times New Roman" w:ascii="Times New Roman" w:hAnsi="Times New Roman"/>
          <w:i/>
          <w:iCs/>
          <w:sz w:val="20"/>
          <w:szCs w:val="20"/>
          <w:lang w:val="en-US"/>
        </w:rPr>
        <w:t>Journal of European Integration</w:t>
      </w:r>
      <w:r>
        <w:rPr>
          <w:rFonts w:cs="Times New Roman" w:ascii="Times New Roman" w:hAnsi="Times New Roman"/>
          <w:sz w:val="20"/>
          <w:szCs w:val="20"/>
          <w:lang w:val="en-US"/>
        </w:rPr>
        <w:t>,</w:t>
      </w:r>
      <w:r>
        <w:rPr>
          <w:rFonts w:cs="Times New Roman" w:ascii="Times New Roman" w:hAnsi="Times New Roman"/>
          <w:i/>
          <w:iCs/>
          <w:sz w:val="20"/>
          <w:szCs w:val="20"/>
          <w:lang w:val="en-US"/>
        </w:rPr>
        <w:t xml:space="preserve"> </w:t>
      </w:r>
      <w:r>
        <w:rPr>
          <w:rFonts w:cs="Times New Roman" w:ascii="Times New Roman" w:hAnsi="Times New Roman"/>
          <w:sz w:val="20"/>
          <w:szCs w:val="20"/>
          <w:lang w:val="en-US"/>
        </w:rPr>
        <w:t>vol. 35 (4), p. </w:t>
      </w:r>
      <w:r>
        <w:rPr>
          <w:rStyle w:val="Nlmfpage"/>
          <w:rFonts w:cs="Times New Roman" w:ascii="Times New Roman" w:hAnsi="Times New Roman"/>
          <w:sz w:val="20"/>
          <w:szCs w:val="20"/>
          <w:lang w:val="en-US"/>
        </w:rPr>
        <w:t>375</w:t>
      </w:r>
      <w:r>
        <w:rPr>
          <w:rFonts w:cs="Times New Roman" w:ascii="Times New Roman" w:hAnsi="Times New Roman"/>
          <w:sz w:val="20"/>
          <w:szCs w:val="20"/>
          <w:lang w:val="en-US"/>
        </w:rPr>
        <w:t>-</w:t>
      </w:r>
      <w:r>
        <w:rPr>
          <w:rStyle w:val="Nlmlpage"/>
          <w:rFonts w:cs="Times New Roman" w:ascii="Times New Roman" w:hAnsi="Times New Roman"/>
          <w:sz w:val="20"/>
          <w:szCs w:val="20"/>
          <w:lang w:val="en-US"/>
        </w:rPr>
        <w:t>390</w:t>
      </w:r>
      <w:r>
        <w:rPr>
          <w:rFonts w:cs="Times New Roman" w:ascii="Times New Roman" w:hAnsi="Times New Roman"/>
          <w:sz w:val="20"/>
          <w:szCs w:val="20"/>
          <w:lang w:val="en-US"/>
        </w:rPr>
        <w:t>.</w:t>
      </w:r>
      <w:r>
        <w:rPr>
          <w:rStyle w:val="Fontstyle01"/>
          <w:rFonts w:cs="Times New Roman" w:ascii="Times New Roman" w:hAnsi="Times New Roman"/>
          <w:color w:val="auto"/>
          <w:lang w:val="en-US"/>
        </w:rPr>
        <w:t xml:space="preserve"> </w:t>
      </w:r>
    </w:p>
    <w:p>
      <w:pPr>
        <w:pStyle w:val="Normal"/>
        <w:spacing w:lineRule="auto" w:line="276" w:before="0" w:after="0"/>
        <w:jc w:val="both"/>
        <w:rPr>
          <w:rStyle w:val="Fontstyle01"/>
          <w:rFonts w:ascii="Times New Roman" w:hAnsi="Times New Roman" w:cs="Times New Roman"/>
          <w:color w:val="auto"/>
          <w:lang w:val="en-US"/>
        </w:rPr>
      </w:pPr>
      <w:r>
        <w:rPr>
          <w:rFonts w:cs="Times New Roman" w:ascii="Times New Roman" w:hAnsi="Times New Roman"/>
          <w:sz w:val="20"/>
          <w:szCs w:val="20"/>
          <w:lang w:val="en-US"/>
        </w:rPr>
        <w:t>Domorenok, Ekaterina (2009), « </w:t>
      </w:r>
      <w:r>
        <w:rPr>
          <w:rStyle w:val="Fontstyle01"/>
          <w:rFonts w:cs="Times New Roman" w:ascii="Times New Roman" w:hAnsi="Times New Roman"/>
          <w:color w:val="auto"/>
          <w:lang w:val="en-US"/>
        </w:rPr>
        <w:t>The Committee of the</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Regions: in Search of Identity </w:t>
      </w:r>
      <w:r>
        <w:rPr>
          <w:rFonts w:cs="Times New Roman" w:ascii="Times New Roman" w:hAnsi="Times New Roman"/>
          <w:sz w:val="20"/>
          <w:szCs w:val="20"/>
          <w:lang w:val="en-US"/>
        </w:rPr>
        <w:t xml:space="preserve">», </w:t>
      </w:r>
      <w:r>
        <w:rPr>
          <w:rStyle w:val="Fontstyle01"/>
          <w:rFonts w:cs="Times New Roman" w:ascii="Times New Roman" w:hAnsi="Times New Roman"/>
          <w:i/>
          <w:iCs/>
          <w:color w:val="auto"/>
          <w:lang w:val="en-US"/>
        </w:rPr>
        <w:t>Regional &amp; Federal Studies</w:t>
      </w:r>
      <w:r>
        <w:rPr>
          <w:rStyle w:val="Fontstyle01"/>
          <w:rFonts w:cs="Times New Roman" w:ascii="Times New Roman" w:hAnsi="Times New Roman"/>
          <w:color w:val="auto"/>
          <w:lang w:val="en-US"/>
        </w:rPr>
        <w:t>, vol. 19 (1), p. 143-163.</w:t>
      </w:r>
    </w:p>
    <w:p>
      <w:pPr>
        <w:pStyle w:val="Normal"/>
        <w:spacing w:lineRule="auto" w:line="276" w:before="0" w:after="0"/>
        <w:jc w:val="both"/>
        <w:rPr>
          <w:rFonts w:ascii="Times New Roman" w:hAnsi="Times New Roman" w:cs="Times New Roman"/>
          <w:sz w:val="20"/>
          <w:szCs w:val="20"/>
          <w:lang w:val="en-US"/>
        </w:rPr>
      </w:pPr>
      <w:r>
        <w:rPr>
          <w:rStyle w:val="Hlfld-contribauthor"/>
          <w:rFonts w:cs="Times New Roman" w:ascii="Times New Roman" w:hAnsi="Times New Roman"/>
          <w:sz w:val="20"/>
          <w:szCs w:val="20"/>
          <w:lang w:val="en-US"/>
        </w:rPr>
        <w:t xml:space="preserve">Egeberg, </w:t>
      </w:r>
      <w:r>
        <w:rPr>
          <w:rStyle w:val="Nlmgiven-names"/>
          <w:rFonts w:cs="Times New Roman" w:ascii="Times New Roman" w:hAnsi="Times New Roman"/>
          <w:sz w:val="20"/>
          <w:szCs w:val="20"/>
          <w:lang w:val="en-US"/>
        </w:rPr>
        <w:t xml:space="preserve">Morten </w:t>
      </w:r>
      <w:r>
        <w:rPr>
          <w:rStyle w:val="Nlmgiven-names"/>
          <w:rFonts w:cs="Times New Roman" w:ascii="Times New Roman" w:hAnsi="Times New Roman"/>
          <w:i/>
          <w:iCs/>
          <w:sz w:val="20"/>
          <w:szCs w:val="20"/>
          <w:lang w:val="en-US"/>
        </w:rPr>
        <w:t>et al.</w:t>
      </w:r>
      <w:r>
        <w:rPr>
          <w:rStyle w:val="Nlmgiven-names"/>
          <w:rFonts w:cs="Times New Roman" w:ascii="Times New Roman" w:hAnsi="Times New Roman"/>
          <w:sz w:val="20"/>
          <w:szCs w:val="20"/>
          <w:lang w:val="en-US"/>
        </w:rPr>
        <w:t xml:space="preserve"> (2013),</w:t>
      </w:r>
      <w:r>
        <w:rPr>
          <w:rFonts w:cs="Times New Roman" w:ascii="Times New Roman" w:hAnsi="Times New Roman"/>
          <w:sz w:val="20"/>
          <w:szCs w:val="20"/>
          <w:lang w:val="en-US"/>
        </w:rPr>
        <w:t xml:space="preserve"> « </w:t>
      </w:r>
      <w:r>
        <w:rPr>
          <w:rStyle w:val="Nlmarticle-title"/>
          <w:rFonts w:cs="Times New Roman" w:ascii="Times New Roman" w:hAnsi="Times New Roman"/>
          <w:sz w:val="20"/>
          <w:szCs w:val="20"/>
          <w:lang w:val="en-US"/>
        </w:rPr>
        <w:t>Parliament staff: unpacking the behaviour of officials in the European Parliament</w:t>
      </w:r>
      <w:r>
        <w:rPr>
          <w:rFonts w:cs="Times New Roman" w:ascii="Times New Roman" w:hAnsi="Times New Roman"/>
          <w:sz w:val="20"/>
          <w:szCs w:val="20"/>
          <w:lang w:val="en-US"/>
        </w:rPr>
        <w:t xml:space="preserve"> », </w:t>
      </w:r>
      <w:r>
        <w:rPr>
          <w:rFonts w:cs="Times New Roman" w:ascii="Times New Roman" w:hAnsi="Times New Roman"/>
          <w:i/>
          <w:iCs/>
          <w:sz w:val="20"/>
          <w:szCs w:val="20"/>
          <w:lang w:val="en-US"/>
        </w:rPr>
        <w:t>Journal of European Public Policy</w:t>
      </w:r>
      <w:r>
        <w:rPr>
          <w:rFonts w:cs="Times New Roman" w:ascii="Times New Roman" w:hAnsi="Times New Roman"/>
          <w:sz w:val="20"/>
          <w:szCs w:val="20"/>
          <w:lang w:val="en-US"/>
        </w:rPr>
        <w:t>, vol. 20 (4), p. </w:t>
      </w:r>
      <w:r>
        <w:rPr>
          <w:rStyle w:val="Nlmfpage"/>
          <w:rFonts w:cs="Times New Roman" w:ascii="Times New Roman" w:hAnsi="Times New Roman"/>
          <w:sz w:val="20"/>
          <w:szCs w:val="20"/>
          <w:lang w:val="en-US"/>
        </w:rPr>
        <w:t>495</w:t>
      </w:r>
      <w:r>
        <w:rPr>
          <w:rFonts w:cs="Times New Roman" w:ascii="Times New Roman" w:hAnsi="Times New Roman"/>
          <w:sz w:val="20"/>
          <w:szCs w:val="20"/>
          <w:lang w:val="en-US"/>
        </w:rPr>
        <w:t>-</w:t>
      </w:r>
      <w:r>
        <w:rPr>
          <w:rStyle w:val="Nlmlpage"/>
          <w:rFonts w:cs="Times New Roman" w:ascii="Times New Roman" w:hAnsi="Times New Roman"/>
          <w:sz w:val="20"/>
          <w:szCs w:val="20"/>
          <w:lang w:val="en-US"/>
        </w:rPr>
        <w:t>514</w:t>
      </w:r>
      <w:r>
        <w:rPr>
          <w:rFonts w:cs="Times New Roman" w:ascii="Times New Roman" w:hAnsi="Times New Roman"/>
          <w:sz w:val="20"/>
          <w:szCs w:val="20"/>
          <w:lang w:val="en-US"/>
        </w:rPr>
        <w:t>.</w:t>
      </w:r>
    </w:p>
    <w:p>
      <w:pPr>
        <w:pStyle w:val="Yiv0135561599ydp56ef44e6msonormal"/>
        <w:spacing w:beforeAutospacing="0" w:before="0" w:afterAutospacing="0" w:after="0"/>
        <w:jc w:val="both"/>
        <w:rPr>
          <w:sz w:val="20"/>
          <w:szCs w:val="20"/>
          <w:lang w:val="en-US"/>
        </w:rPr>
      </w:pPr>
      <w:r>
        <w:rPr>
          <w:sz w:val="20"/>
          <w:szCs w:val="20"/>
          <w:lang w:val="en-US"/>
        </w:rPr>
        <w:t xml:space="preserve">Gattermann, Katjana et Hefftler, Claudia (2015), « Beyond Institutional Capacity: Political Motivation and Parliamentary Behaviour in the Early Warning System », </w:t>
      </w:r>
      <w:r>
        <w:rPr>
          <w:i/>
          <w:iCs/>
          <w:sz w:val="20"/>
          <w:szCs w:val="20"/>
          <w:lang w:val="en-US"/>
        </w:rPr>
        <w:t>West European Politics</w:t>
      </w:r>
      <w:r>
        <w:rPr>
          <w:sz w:val="20"/>
          <w:szCs w:val="20"/>
          <w:lang w:val="en-US"/>
        </w:rPr>
        <w:t>, vol. 38 (2), p. 305-334.</w:t>
      </w:r>
    </w:p>
    <w:p>
      <w:pPr>
        <w:pStyle w:val="Normal"/>
        <w:spacing w:lineRule="auto" w:line="240" w:before="0" w:after="0"/>
        <w:jc w:val="both"/>
        <w:rPr>
          <w:rStyle w:val="Fontstyle01"/>
          <w:rFonts w:ascii="Times New Roman" w:hAnsi="Times New Roman" w:cs="Times New Roman"/>
          <w:color w:val="auto"/>
          <w:lang w:val="en-US"/>
        </w:rPr>
      </w:pPr>
      <w:r>
        <w:rPr>
          <w:rStyle w:val="Fontstyle21"/>
          <w:rFonts w:cs="Times New Roman" w:ascii="Times New Roman" w:hAnsi="Times New Roman"/>
          <w:i w:val="false"/>
          <w:iCs w:val="false"/>
          <w:color w:val="auto"/>
          <w:sz w:val="20"/>
          <w:szCs w:val="20"/>
          <w:lang w:val="en-US"/>
        </w:rPr>
        <w:t>Hönnige, Christoph et Kaiser, André (2003),</w:t>
      </w:r>
      <w:r>
        <w:rPr>
          <w:rStyle w:val="Fontstyle21"/>
          <w:rFonts w:cs="Times New Roman" w:ascii="Times New Roman" w:hAnsi="Times New Roman"/>
          <w:color w:val="auto"/>
          <w:sz w:val="20"/>
          <w:szCs w:val="20"/>
          <w:lang w:val="en-US"/>
        </w:rPr>
        <w:t xml:space="preserve"> </w:t>
      </w:r>
      <w:r>
        <w:rPr>
          <w:rStyle w:val="Fontstyle21"/>
          <w:rFonts w:cs="Times New Roman" w:ascii="Times New Roman" w:hAnsi="Times New Roman"/>
          <w:i w:val="false"/>
          <w:iCs w:val="false"/>
          <w:color w:val="auto"/>
          <w:sz w:val="20"/>
          <w:szCs w:val="20"/>
          <w:lang w:val="en-US"/>
        </w:rPr>
        <w:t>« </w:t>
      </w:r>
      <w:r>
        <w:rPr>
          <w:rStyle w:val="Fontstyle01"/>
          <w:rFonts w:cs="Times New Roman" w:ascii="Times New Roman" w:hAnsi="Times New Roman"/>
          <w:color w:val="auto"/>
          <w:lang w:val="en-US"/>
        </w:rPr>
        <w:t>Opening the Black Box:</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Decision-Making in the Committee of the Regions</w:t>
      </w:r>
      <w:r>
        <w:rPr>
          <w:rStyle w:val="Fontstyle21"/>
          <w:rFonts w:cs="Times New Roman" w:ascii="Times New Roman" w:hAnsi="Times New Roman"/>
          <w:i w:val="false"/>
          <w:iCs w:val="false"/>
          <w:color w:val="auto"/>
          <w:sz w:val="20"/>
          <w:szCs w:val="20"/>
          <w:lang w:val="en-US"/>
        </w:rPr>
        <w:t> »</w:t>
      </w:r>
      <w:r>
        <w:rPr>
          <w:rStyle w:val="Fontstyle21"/>
          <w:rFonts w:cs="Times New Roman" w:ascii="Times New Roman" w:hAnsi="Times New Roman"/>
          <w:color w:val="auto"/>
          <w:sz w:val="20"/>
          <w:szCs w:val="20"/>
          <w:lang w:val="en-US"/>
        </w:rPr>
        <w:t xml:space="preserve">, </w:t>
      </w:r>
      <w:r>
        <w:rPr>
          <w:rStyle w:val="Fontstyle01"/>
          <w:rFonts w:cs="Times New Roman" w:ascii="Times New Roman" w:hAnsi="Times New Roman"/>
          <w:i/>
          <w:iCs/>
          <w:color w:val="auto"/>
          <w:lang w:val="en-US"/>
        </w:rPr>
        <w:t>Regional &amp; Federal Studies</w:t>
      </w:r>
      <w:r>
        <w:rPr>
          <w:rStyle w:val="Fontstyle01"/>
          <w:rFonts w:cs="Times New Roman" w:ascii="Times New Roman" w:hAnsi="Times New Roman"/>
          <w:color w:val="auto"/>
          <w:lang w:val="en-US"/>
        </w:rPr>
        <w:t>, vol. 13 (2), p. 1-29.</w:t>
      </w:r>
    </w:p>
    <w:p>
      <w:pPr>
        <w:pStyle w:val="Normal"/>
        <w:spacing w:lineRule="auto" w:line="240" w:before="0" w:after="0"/>
        <w:jc w:val="both"/>
        <w:rPr>
          <w:rStyle w:val="Fontstyle21"/>
          <w:rFonts w:ascii="Times New Roman" w:hAnsi="Times New Roman" w:cs="Times New Roman"/>
          <w:i w:val="false"/>
          <w:i w:val="false"/>
          <w:iCs w:val="false"/>
          <w:color w:val="auto"/>
          <w:sz w:val="20"/>
          <w:szCs w:val="20"/>
          <w:lang w:val="en-US"/>
        </w:rPr>
      </w:pPr>
      <w:r>
        <w:rPr>
          <w:rStyle w:val="Fontstyle21"/>
          <w:rFonts w:cs="Times New Roman" w:ascii="Times New Roman" w:hAnsi="Times New Roman"/>
          <w:i w:val="false"/>
          <w:iCs w:val="false"/>
          <w:color w:val="auto"/>
          <w:sz w:val="20"/>
          <w:szCs w:val="20"/>
          <w:lang w:val="en-US"/>
        </w:rPr>
        <w:t>Hönnige, Christoph et Panke, Diana (2013),</w:t>
      </w:r>
      <w:r>
        <w:rPr>
          <w:rStyle w:val="Fontstyle21"/>
          <w:rFonts w:cs="Times New Roman" w:ascii="Times New Roman" w:hAnsi="Times New Roman"/>
          <w:color w:val="auto"/>
          <w:sz w:val="20"/>
          <w:szCs w:val="20"/>
          <w:lang w:val="en-US"/>
        </w:rPr>
        <w:t xml:space="preserve"> </w:t>
      </w:r>
      <w:r>
        <w:rPr>
          <w:rFonts w:cs="Times New Roman" w:ascii="Times New Roman" w:hAnsi="Times New Roman"/>
          <w:sz w:val="20"/>
          <w:szCs w:val="20"/>
          <w:lang w:val="en-US"/>
        </w:rPr>
        <w:t>« </w:t>
      </w:r>
      <w:r>
        <w:rPr>
          <w:rStyle w:val="Fontstyle01"/>
          <w:rFonts w:cs="Times New Roman" w:ascii="Times New Roman" w:hAnsi="Times New Roman"/>
          <w:color w:val="auto"/>
          <w:lang w:val="en-US"/>
        </w:rPr>
        <w:t>The Committee of the Regions and the European Economic</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and Social Committee: How Influential are Consultative</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Committees in the European Union? </w:t>
      </w:r>
      <w:r>
        <w:rPr>
          <w:rFonts w:cs="Times New Roman" w:ascii="Times New Roman" w:hAnsi="Times New Roman"/>
          <w:sz w:val="20"/>
          <w:szCs w:val="20"/>
          <w:lang w:val="en-US"/>
        </w:rPr>
        <w:t xml:space="preserve">», </w:t>
      </w:r>
      <w:r>
        <w:rPr>
          <w:rFonts w:cs="Times New Roman" w:ascii="Times New Roman" w:hAnsi="Times New Roman"/>
          <w:i/>
          <w:iCs/>
          <w:sz w:val="20"/>
          <w:szCs w:val="20"/>
          <w:lang w:val="en-US"/>
        </w:rPr>
        <w:t>Journal of Common Market Studies</w:t>
      </w:r>
      <w:r>
        <w:rPr>
          <w:rFonts w:cs="Times New Roman" w:ascii="Times New Roman" w:hAnsi="Times New Roman"/>
          <w:sz w:val="20"/>
          <w:szCs w:val="20"/>
          <w:lang w:val="en-US"/>
        </w:rPr>
        <w:t>,</w:t>
      </w:r>
      <w:r>
        <w:rPr>
          <w:rFonts w:cs="Times New Roman" w:ascii="Times New Roman" w:hAnsi="Times New Roman"/>
          <w:i/>
          <w:iCs/>
          <w:sz w:val="20"/>
          <w:szCs w:val="20"/>
          <w:lang w:val="en-US"/>
        </w:rPr>
        <w:t xml:space="preserve"> </w:t>
      </w:r>
      <w:r>
        <w:rPr>
          <w:rFonts w:cs="Times New Roman" w:ascii="Times New Roman" w:hAnsi="Times New Roman"/>
          <w:sz w:val="20"/>
          <w:szCs w:val="20"/>
          <w:lang w:val="en-US"/>
        </w:rPr>
        <w:t>vol. 51 (3), p. 452-471.</w:t>
      </w:r>
    </w:p>
    <w:p>
      <w:pPr>
        <w:pStyle w:val="Normal"/>
        <w:spacing w:lineRule="auto" w:line="240" w:before="0" w:after="0"/>
        <w:jc w:val="both"/>
        <w:rPr>
          <w:rFonts w:ascii="Times New Roman" w:hAnsi="Times New Roman" w:cs="Times New Roman"/>
          <w:sz w:val="20"/>
          <w:szCs w:val="20"/>
          <w:lang w:val="en-US"/>
        </w:rPr>
      </w:pPr>
      <w:r>
        <w:rPr>
          <w:rStyle w:val="Fontstyle21"/>
          <w:rFonts w:cs="Times New Roman" w:ascii="Times New Roman" w:hAnsi="Times New Roman"/>
          <w:i w:val="false"/>
          <w:iCs w:val="false"/>
          <w:color w:val="auto"/>
          <w:sz w:val="20"/>
          <w:szCs w:val="20"/>
          <w:lang w:val="en-US"/>
        </w:rPr>
        <w:t>Hönnige, Christoph et Panke, Diana (2016),</w:t>
      </w:r>
      <w:r>
        <w:rPr>
          <w:rStyle w:val="Fontstyle21"/>
          <w:rFonts w:cs="Times New Roman" w:ascii="Times New Roman" w:hAnsi="Times New Roman"/>
          <w:color w:val="auto"/>
          <w:sz w:val="20"/>
          <w:szCs w:val="20"/>
          <w:lang w:val="en-US"/>
        </w:rPr>
        <w:t xml:space="preserve"> </w:t>
      </w:r>
      <w:r>
        <w:rPr>
          <w:rStyle w:val="Fontstyle21"/>
          <w:rFonts w:cs="Times New Roman" w:ascii="Times New Roman" w:hAnsi="Times New Roman"/>
          <w:i w:val="false"/>
          <w:iCs w:val="false"/>
          <w:color w:val="auto"/>
          <w:sz w:val="20"/>
          <w:szCs w:val="20"/>
          <w:lang w:val="en-US"/>
        </w:rPr>
        <w:t>«</w:t>
      </w:r>
      <w:r>
        <w:rPr>
          <w:rStyle w:val="Fontstyle21"/>
          <w:rFonts w:cs="Times New Roman" w:ascii="Times New Roman" w:hAnsi="Times New Roman"/>
          <w:color w:val="auto"/>
          <w:sz w:val="20"/>
          <w:szCs w:val="20"/>
          <w:lang w:val="en-US"/>
        </w:rPr>
        <w:t> </w:t>
      </w:r>
      <w:r>
        <w:rPr>
          <w:rStyle w:val="Fontstyle01"/>
          <w:rFonts w:cs="Times New Roman" w:ascii="Times New Roman" w:hAnsi="Times New Roman"/>
          <w:color w:val="auto"/>
          <w:lang w:val="en-US"/>
        </w:rPr>
        <w:t>Is anybody listening? The Committee</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of the Regions and the European</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Economic and Social Committee and</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their quest for awareness </w:t>
      </w:r>
      <w:r>
        <w:rPr>
          <w:rStyle w:val="Fontstyle21"/>
          <w:rFonts w:cs="Times New Roman" w:ascii="Times New Roman" w:hAnsi="Times New Roman"/>
          <w:i w:val="false"/>
          <w:iCs w:val="false"/>
          <w:color w:val="auto"/>
          <w:sz w:val="20"/>
          <w:szCs w:val="20"/>
          <w:lang w:val="en-US"/>
        </w:rPr>
        <w:t>»</w:t>
      </w:r>
      <w:r>
        <w:rPr>
          <w:rStyle w:val="Fontstyle01"/>
          <w:rFonts w:cs="Times New Roman" w:ascii="Times New Roman" w:hAnsi="Times New Roman"/>
          <w:color w:val="auto"/>
          <w:lang w:val="en-US"/>
        </w:rPr>
        <w:t xml:space="preserve">, </w:t>
      </w:r>
      <w:r>
        <w:rPr>
          <w:rFonts w:cs="Times New Roman" w:ascii="Times New Roman" w:hAnsi="Times New Roman"/>
          <w:i/>
          <w:iCs/>
          <w:sz w:val="20"/>
          <w:szCs w:val="20"/>
          <w:lang w:val="en-US"/>
        </w:rPr>
        <w:t>Journal of European Public Policy</w:t>
      </w:r>
      <w:r>
        <w:rPr>
          <w:rFonts w:cs="Times New Roman" w:ascii="Times New Roman" w:hAnsi="Times New Roman"/>
          <w:sz w:val="20"/>
          <w:szCs w:val="20"/>
          <w:lang w:val="en-US"/>
        </w:rPr>
        <w:t>, vol. 23 (4), p. 624-642.</w:t>
      </w:r>
    </w:p>
    <w:p>
      <w:pPr>
        <w:pStyle w:val="Normal"/>
        <w:spacing w:lineRule="auto" w:line="240" w:before="0" w:after="0"/>
        <w:jc w:val="both"/>
        <w:rPr>
          <w:rFonts w:ascii="Times New Roman" w:hAnsi="Times New Roman" w:cs="Times New Roman"/>
          <w:sz w:val="20"/>
          <w:szCs w:val="20"/>
          <w:lang w:val="en-US"/>
        </w:rPr>
      </w:pPr>
      <w:r>
        <w:rPr>
          <w:rFonts w:cs="Times New Roman" w:ascii="Times New Roman" w:hAnsi="Times New Roman"/>
          <w:sz w:val="20"/>
          <w:szCs w:val="20"/>
          <w:lang w:val="en-US"/>
        </w:rPr>
        <w:t xml:space="preserve">Kaeding, Michael (2004), « Rapporteurship Allocation in the European Parliament: Information or Distribution? », </w:t>
      </w:r>
      <w:r>
        <w:rPr>
          <w:rFonts w:cs="Times New Roman" w:ascii="Times New Roman" w:hAnsi="Times New Roman"/>
          <w:i/>
          <w:iCs/>
          <w:sz w:val="20"/>
          <w:szCs w:val="20"/>
          <w:lang w:val="en-US"/>
        </w:rPr>
        <w:t>European Union Politics</w:t>
      </w:r>
      <w:r>
        <w:rPr>
          <w:rFonts w:cs="Times New Roman" w:ascii="Times New Roman" w:hAnsi="Times New Roman"/>
          <w:sz w:val="20"/>
          <w:szCs w:val="20"/>
          <w:lang w:val="en-US"/>
        </w:rPr>
        <w:t>, vol. 5 (3), p. 353-371.</w:t>
      </w:r>
    </w:p>
    <w:p>
      <w:pPr>
        <w:pStyle w:val="Normal"/>
        <w:spacing w:before="0" w:after="0"/>
        <w:jc w:val="both"/>
        <w:rPr>
          <w:rFonts w:ascii="Times New Roman" w:hAnsi="Times New Roman" w:cs="Times New Roman"/>
          <w:sz w:val="20"/>
          <w:szCs w:val="20"/>
          <w:lang w:val="en-US"/>
        </w:rPr>
      </w:pPr>
      <w:r>
        <w:rPr>
          <w:rFonts w:cs="Times New Roman" w:ascii="Times New Roman" w:hAnsi="Times New Roman"/>
          <w:sz w:val="20"/>
          <w:szCs w:val="20"/>
          <w:lang w:val="en-US"/>
        </w:rPr>
        <w:t xml:space="preserve">Kaniok, Petr et Dadova, Lenka (2013), « Committee of the Regions: From Advisory Body to the Second Chamber of the European Parliament », </w:t>
      </w:r>
      <w:r>
        <w:rPr>
          <w:rStyle w:val="Fontstyle01"/>
          <w:rFonts w:cs="Times New Roman" w:ascii="Times New Roman" w:hAnsi="Times New Roman"/>
          <w:i/>
          <w:iCs/>
          <w:color w:val="auto"/>
          <w:lang w:val="en-US"/>
        </w:rPr>
        <w:t>Transylvanian Review</w:t>
      </w:r>
      <w:r>
        <w:rPr>
          <w:rFonts w:cs="Times New Roman" w:ascii="Times New Roman" w:hAnsi="Times New Roman"/>
          <w:i/>
          <w:iCs/>
          <w:sz w:val="20"/>
          <w:szCs w:val="20"/>
          <w:lang w:val="en-US"/>
        </w:rPr>
        <w:t xml:space="preserve"> </w:t>
      </w:r>
      <w:r>
        <w:rPr>
          <w:rStyle w:val="Fontstyle01"/>
          <w:rFonts w:cs="Times New Roman" w:ascii="Times New Roman" w:hAnsi="Times New Roman"/>
          <w:i/>
          <w:iCs/>
          <w:color w:val="auto"/>
          <w:lang w:val="en-US"/>
        </w:rPr>
        <w:t>of Administrative Sciences</w:t>
      </w:r>
      <w:r>
        <w:rPr>
          <w:rStyle w:val="Fontstyle01"/>
          <w:rFonts w:cs="Times New Roman" w:ascii="Times New Roman" w:hAnsi="Times New Roman"/>
          <w:color w:val="auto"/>
          <w:lang w:val="en-US"/>
        </w:rPr>
        <w:t>,</w:t>
      </w:r>
      <w:r>
        <w:rPr>
          <w:rFonts w:cs="Times New Roman" w:ascii="Times New Roman" w:hAnsi="Times New Roman"/>
          <w:i/>
          <w:iCs/>
          <w:sz w:val="20"/>
          <w:szCs w:val="20"/>
          <w:lang w:val="en-US"/>
        </w:rPr>
        <w:t xml:space="preserve"> </w:t>
      </w:r>
      <w:r>
        <w:rPr>
          <w:rStyle w:val="Fontstyle21"/>
          <w:rFonts w:cs="Times New Roman" w:ascii="Times New Roman" w:hAnsi="Times New Roman"/>
          <w:i w:val="false"/>
          <w:iCs w:val="false"/>
          <w:color w:val="auto"/>
          <w:sz w:val="20"/>
          <w:szCs w:val="20"/>
          <w:lang w:val="en-US"/>
        </w:rPr>
        <w:t>vol. 40, p. 114-136.</w:t>
      </w:r>
    </w:p>
    <w:p>
      <w:pPr>
        <w:pStyle w:val="Normal"/>
        <w:spacing w:before="0" w:after="0"/>
        <w:jc w:val="both"/>
        <w:rPr>
          <w:rStyle w:val="Fontstyle01"/>
          <w:rFonts w:ascii="Times New Roman" w:hAnsi="Times New Roman" w:cs="Times New Roman"/>
          <w:color w:val="auto"/>
          <w:lang w:val="en-US"/>
        </w:rPr>
      </w:pPr>
      <w:r>
        <w:rPr>
          <w:rStyle w:val="Fontstyle01"/>
          <w:rFonts w:cs="Times New Roman" w:ascii="Times New Roman" w:hAnsi="Times New Roman"/>
          <w:color w:val="auto"/>
          <w:lang w:val="en-US"/>
        </w:rPr>
        <w:t>Loughlin, John (1996), « Representing regions in Europe:</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The committee of the regions </w:t>
      </w:r>
      <w:r>
        <w:rPr>
          <w:rStyle w:val="Fontstyle01"/>
          <w:rFonts w:cs="Times New Roman" w:ascii="Times New Roman" w:hAnsi="Times New Roman"/>
          <w:i/>
          <w:iCs/>
          <w:color w:val="auto"/>
          <w:lang w:val="en-US"/>
        </w:rPr>
        <w:t>», Regional &amp; Federal Studies</w:t>
      </w:r>
      <w:r>
        <w:rPr>
          <w:rStyle w:val="Fontstyle01"/>
          <w:rFonts w:cs="Times New Roman" w:ascii="Times New Roman" w:hAnsi="Times New Roman"/>
          <w:color w:val="auto"/>
          <w:lang w:val="en-US"/>
        </w:rPr>
        <w:t>, vol. 6 (2), p. 147-165.</w:t>
      </w:r>
    </w:p>
    <w:p>
      <w:pPr>
        <w:pStyle w:val="Normal"/>
        <w:spacing w:before="0" w:after="0"/>
        <w:jc w:val="both"/>
        <w:rPr>
          <w:rStyle w:val="Fontstyle01"/>
          <w:rFonts w:ascii="Times New Roman" w:hAnsi="Times New Roman" w:cs="Times New Roman"/>
          <w:color w:val="auto"/>
          <w:lang w:val="en-US"/>
        </w:rPr>
      </w:pPr>
      <w:r>
        <w:rPr>
          <w:rFonts w:cs="Times New Roman" w:ascii="Times New Roman" w:hAnsi="Times New Roman"/>
          <w:sz w:val="20"/>
          <w:szCs w:val="20"/>
          <w:lang w:val="en-US"/>
        </w:rPr>
        <w:t>Martinico, Giuseppe (2018), « </w:t>
      </w:r>
      <w:r>
        <w:rPr>
          <w:rStyle w:val="Fontstyle01"/>
          <w:rFonts w:cs="Times New Roman" w:ascii="Times New Roman" w:hAnsi="Times New Roman"/>
          <w:color w:val="auto"/>
          <w:lang w:val="en-US"/>
        </w:rPr>
        <w:t>History of a (Limited) Success: Five Points on the</w:t>
      </w:r>
      <w:r>
        <w:rPr>
          <w:rFonts w:cs="Times New Roman" w:ascii="Times New Roman" w:hAnsi="Times New Roman"/>
          <w:b/>
          <w:bCs/>
          <w:sz w:val="20"/>
          <w:szCs w:val="20"/>
          <w:lang w:val="en-US"/>
        </w:rPr>
        <w:t xml:space="preserve"> </w:t>
      </w:r>
      <w:r>
        <w:rPr>
          <w:rStyle w:val="Fontstyle01"/>
          <w:rFonts w:cs="Times New Roman" w:ascii="Times New Roman" w:hAnsi="Times New Roman"/>
          <w:color w:val="auto"/>
          <w:lang w:val="en-US"/>
        </w:rPr>
        <w:t>Representativeness of the Committee of the Regions </w:t>
      </w:r>
      <w:r>
        <w:rPr>
          <w:rFonts w:cs="Times New Roman" w:ascii="Times New Roman" w:hAnsi="Times New Roman"/>
          <w:sz w:val="20"/>
          <w:szCs w:val="20"/>
          <w:lang w:val="en-US"/>
        </w:rPr>
        <w:t xml:space="preserve">», </w:t>
      </w:r>
      <w:r>
        <w:rPr>
          <w:rFonts w:cs="Times New Roman" w:ascii="Times New Roman" w:hAnsi="Times New Roman"/>
          <w:i/>
          <w:iCs/>
          <w:sz w:val="20"/>
          <w:szCs w:val="20"/>
          <w:lang w:val="en-US"/>
        </w:rPr>
        <w:t>Perspectives on Federalism</w:t>
      </w:r>
      <w:r>
        <w:rPr>
          <w:rFonts w:cs="Times New Roman" w:ascii="Times New Roman" w:hAnsi="Times New Roman"/>
          <w:sz w:val="20"/>
          <w:szCs w:val="20"/>
          <w:lang w:val="en-US"/>
        </w:rPr>
        <w:t>, vol. 10 (2), p. 96-116.</w:t>
      </w:r>
    </w:p>
    <w:p>
      <w:pPr>
        <w:pStyle w:val="Normal"/>
        <w:spacing w:lineRule="auto" w:line="240" w:before="0" w:after="0"/>
        <w:jc w:val="both"/>
        <w:rPr>
          <w:rFonts w:ascii="Times New Roman" w:hAnsi="Times New Roman" w:cs="Times New Roman"/>
          <w:sz w:val="20"/>
          <w:szCs w:val="20"/>
          <w:lang w:val="en-US"/>
        </w:rPr>
      </w:pPr>
      <w:r>
        <w:rPr>
          <w:rFonts w:cs="Times New Roman" w:ascii="Times New Roman" w:hAnsi="Times New Roman"/>
          <w:sz w:val="20"/>
          <w:szCs w:val="20"/>
          <w:lang w:val="en-US"/>
        </w:rPr>
        <w:t xml:space="preserve">McCarthy, Rosarie (1997), « The Committee of the Regions: an advisory body's tortuous path to influence », </w:t>
      </w:r>
      <w:r>
        <w:rPr>
          <w:rFonts w:cs="Times New Roman" w:ascii="Times New Roman" w:hAnsi="Times New Roman"/>
          <w:i/>
          <w:iCs/>
          <w:sz w:val="20"/>
          <w:szCs w:val="20"/>
          <w:lang w:val="en-US"/>
        </w:rPr>
        <w:t>Journal of European Public Policy</w:t>
      </w:r>
      <w:r>
        <w:rPr>
          <w:rFonts w:cs="Times New Roman" w:ascii="Times New Roman" w:hAnsi="Times New Roman"/>
          <w:sz w:val="20"/>
          <w:szCs w:val="20"/>
          <w:lang w:val="en-US"/>
        </w:rPr>
        <w:t>, vol. 4 (3), p. 439-454.</w:t>
      </w:r>
    </w:p>
    <w:p>
      <w:pPr>
        <w:pStyle w:val="Normal"/>
        <w:spacing w:lineRule="auto" w:line="276" w:before="0" w:after="0"/>
        <w:jc w:val="both"/>
        <w:rPr>
          <w:rStyle w:val="Fontstyle01"/>
          <w:rFonts w:ascii="Times New Roman" w:hAnsi="Times New Roman" w:cs="Times New Roman"/>
          <w:color w:val="auto"/>
          <w:lang w:val="en-US"/>
        </w:rPr>
      </w:pPr>
      <w:r>
        <w:rPr>
          <w:rFonts w:cs="Times New Roman" w:ascii="Times New Roman" w:hAnsi="Times New Roman"/>
          <w:sz w:val="20"/>
          <w:szCs w:val="20"/>
          <w:lang w:val="en-US"/>
        </w:rPr>
        <w:t>McCarthy, Rosarie et Farrows, Martyn (1997), « Opinion</w:t>
      </w:r>
      <w:r>
        <w:rPr>
          <w:rStyle w:val="Fontstyle01"/>
          <w:rFonts w:cs="Times New Roman" w:ascii="Times New Roman" w:hAnsi="Times New Roman"/>
          <w:color w:val="auto"/>
          <w:lang w:val="en-US"/>
        </w:rPr>
        <w:t xml:space="preserve"> Formulation and Impact in the</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 xml:space="preserve">Committee of the Regions », </w:t>
      </w:r>
      <w:r>
        <w:rPr>
          <w:rStyle w:val="Fontstyle21"/>
          <w:rFonts w:cs="Times New Roman" w:ascii="Times New Roman" w:hAnsi="Times New Roman"/>
          <w:color w:val="auto"/>
          <w:sz w:val="20"/>
          <w:szCs w:val="20"/>
          <w:lang w:val="en-US"/>
        </w:rPr>
        <w:t>Regional and Federal Studies</w:t>
      </w:r>
      <w:r>
        <w:rPr>
          <w:rStyle w:val="Fontstyle21"/>
          <w:rFonts w:cs="Times New Roman" w:ascii="Times New Roman" w:hAnsi="Times New Roman"/>
          <w:i w:val="false"/>
          <w:iCs w:val="false"/>
          <w:color w:val="auto"/>
          <w:sz w:val="20"/>
          <w:szCs w:val="20"/>
          <w:lang w:val="en-US"/>
        </w:rPr>
        <w:t>, vol.</w:t>
      </w:r>
      <w:r>
        <w:rPr>
          <w:rStyle w:val="Fontstyle21"/>
          <w:rFonts w:cs="Times New Roman" w:ascii="Times New Roman" w:hAnsi="Times New Roman"/>
          <w:color w:val="auto"/>
          <w:sz w:val="20"/>
          <w:szCs w:val="20"/>
          <w:lang w:val="en-US"/>
        </w:rPr>
        <w:t> </w:t>
      </w:r>
      <w:r>
        <w:rPr>
          <w:rStyle w:val="Fontstyle01"/>
          <w:rFonts w:cs="Times New Roman" w:ascii="Times New Roman" w:hAnsi="Times New Roman"/>
          <w:color w:val="auto"/>
          <w:lang w:val="en-US"/>
        </w:rPr>
        <w:t>17 (1), p. 23-49.</w:t>
      </w:r>
    </w:p>
    <w:p>
      <w:pPr>
        <w:pStyle w:val="Normal"/>
        <w:spacing w:lineRule="auto" w:line="276" w:before="0" w:after="0"/>
        <w:jc w:val="both"/>
        <w:rPr>
          <w:rStyle w:val="Fontstyle01"/>
          <w:rFonts w:ascii="Times New Roman" w:hAnsi="Times New Roman" w:cs="Times New Roman"/>
          <w:color w:val="auto"/>
        </w:rPr>
      </w:pPr>
      <w:r>
        <w:rPr>
          <w:rFonts w:cs="Times New Roman" w:ascii="Times New Roman" w:hAnsi="Times New Roman"/>
          <w:sz w:val="20"/>
          <w:szCs w:val="20"/>
        </w:rPr>
        <w:t>Michon, Sébastien (2008), « </w:t>
      </w:r>
      <w:r>
        <w:rPr>
          <w:rStyle w:val="Fontstyle01"/>
          <w:rFonts w:cs="Times New Roman" w:ascii="Times New Roman" w:hAnsi="Times New Roman"/>
          <w:color w:val="auto"/>
        </w:rPr>
        <w:t xml:space="preserve">Assistant parlementaire au Parlement européen : un tremplin pour une carrière européenne », </w:t>
      </w:r>
      <w:r>
        <w:rPr>
          <w:rStyle w:val="Fontstyle01"/>
          <w:rFonts w:cs="Times New Roman" w:ascii="Times New Roman" w:hAnsi="Times New Roman"/>
          <w:i/>
          <w:iCs/>
          <w:color w:val="auto"/>
        </w:rPr>
        <w:t>Sociologie du travail</w:t>
      </w:r>
      <w:r>
        <w:rPr>
          <w:rStyle w:val="Fontstyle01"/>
          <w:rFonts w:cs="Times New Roman" w:ascii="Times New Roman" w:hAnsi="Times New Roman"/>
          <w:color w:val="auto"/>
        </w:rPr>
        <w:t>, vol. 50 (2), p. 169-183.</w:t>
      </w:r>
    </w:p>
    <w:p>
      <w:pPr>
        <w:pStyle w:val="Normal"/>
        <w:spacing w:before="0" w:after="0"/>
        <w:jc w:val="both"/>
        <w:rPr>
          <w:rFonts w:ascii="Times New Roman" w:hAnsi="Times New Roman" w:cs="Times New Roman"/>
          <w:sz w:val="20"/>
          <w:szCs w:val="20"/>
          <w:lang w:val="en-GB"/>
        </w:rPr>
      </w:pPr>
      <w:r>
        <w:rPr>
          <w:rStyle w:val="Fontstyle21"/>
          <w:rFonts w:cs="Times New Roman" w:ascii="Times New Roman" w:hAnsi="Times New Roman"/>
          <w:i w:val="false"/>
          <w:iCs w:val="false"/>
          <w:color w:val="auto"/>
          <w:sz w:val="20"/>
          <w:szCs w:val="20"/>
          <w:lang w:val="en-GB"/>
        </w:rPr>
        <w:t>Neshkova, Milena (2010),</w:t>
      </w:r>
      <w:r>
        <w:rPr>
          <w:rFonts w:cs="Times New Roman" w:ascii="Times New Roman" w:hAnsi="Times New Roman"/>
          <w:sz w:val="20"/>
          <w:szCs w:val="20"/>
          <w:lang w:val="en-GB"/>
        </w:rPr>
        <w:t xml:space="preserve"> </w:t>
      </w:r>
      <w:r>
        <w:rPr>
          <w:rFonts w:cs="Times New Roman" w:ascii="Times New Roman" w:hAnsi="Times New Roman"/>
          <w:sz w:val="20"/>
          <w:szCs w:val="20"/>
          <w:lang w:val="en-US"/>
        </w:rPr>
        <w:t>« </w:t>
      </w:r>
      <w:r>
        <w:rPr>
          <w:rFonts w:cs="Times New Roman" w:ascii="Times New Roman" w:hAnsi="Times New Roman"/>
          <w:sz w:val="20"/>
          <w:szCs w:val="20"/>
          <w:lang w:val="en-GB"/>
        </w:rPr>
        <w:t>T</w:t>
      </w:r>
      <w:r>
        <w:rPr>
          <w:rStyle w:val="Fontstyle01"/>
          <w:rFonts w:cs="Times New Roman" w:ascii="Times New Roman" w:hAnsi="Times New Roman"/>
          <w:color w:val="auto"/>
          <w:lang w:val="en-GB"/>
        </w:rPr>
        <w:t>he impact of subnational interests</w:t>
      </w:r>
      <w:r>
        <w:rPr>
          <w:rFonts w:cs="Times New Roman" w:ascii="Times New Roman" w:hAnsi="Times New Roman"/>
          <w:sz w:val="20"/>
          <w:szCs w:val="20"/>
          <w:lang w:val="en-GB"/>
        </w:rPr>
        <w:t xml:space="preserve"> </w:t>
      </w:r>
      <w:r>
        <w:rPr>
          <w:rStyle w:val="Fontstyle01"/>
          <w:rFonts w:cs="Times New Roman" w:ascii="Times New Roman" w:hAnsi="Times New Roman"/>
          <w:color w:val="auto"/>
          <w:lang w:val="en-GB"/>
        </w:rPr>
        <w:t>on supranational regulation</w:t>
      </w:r>
      <w:r>
        <w:rPr>
          <w:rFonts w:cs="Times New Roman" w:ascii="Times New Roman" w:hAnsi="Times New Roman"/>
          <w:sz w:val="20"/>
          <w:szCs w:val="20"/>
          <w:lang w:val="en-US"/>
        </w:rPr>
        <w:t> »</w:t>
      </w:r>
      <w:r>
        <w:rPr>
          <w:rFonts w:cs="Times New Roman" w:ascii="Times New Roman" w:hAnsi="Times New Roman"/>
          <w:sz w:val="20"/>
          <w:szCs w:val="20"/>
          <w:lang w:val="en-GB"/>
        </w:rPr>
        <w:t xml:space="preserve">, </w:t>
      </w:r>
      <w:r>
        <w:rPr>
          <w:rFonts w:cs="Times New Roman" w:ascii="Times New Roman" w:hAnsi="Times New Roman"/>
          <w:i/>
          <w:iCs/>
          <w:sz w:val="20"/>
          <w:szCs w:val="20"/>
          <w:lang w:val="en-GB"/>
        </w:rPr>
        <w:t>Journal of European Public Policy</w:t>
      </w:r>
      <w:r>
        <w:rPr>
          <w:rFonts w:cs="Times New Roman" w:ascii="Times New Roman" w:hAnsi="Times New Roman"/>
          <w:sz w:val="20"/>
          <w:szCs w:val="20"/>
          <w:lang w:val="en-GB"/>
        </w:rPr>
        <w:t>, vol. 17 (8), p. 1193-1211.</w:t>
      </w:r>
    </w:p>
    <w:p>
      <w:pPr>
        <w:pStyle w:val="Normal"/>
        <w:spacing w:lineRule="auto" w:line="276" w:before="0" w:after="0"/>
        <w:jc w:val="both"/>
        <w:rPr>
          <w:rStyle w:val="Nlmlpage"/>
          <w:rFonts w:ascii="Times New Roman" w:hAnsi="Times New Roman" w:cs="Times New Roman"/>
          <w:sz w:val="20"/>
          <w:szCs w:val="20"/>
          <w:lang w:val="en-US"/>
        </w:rPr>
      </w:pPr>
      <w:r>
        <w:rPr>
          <w:rStyle w:val="Hlfld-contribauthor"/>
          <w:rFonts w:cs="Times New Roman" w:ascii="Times New Roman" w:hAnsi="Times New Roman"/>
          <w:sz w:val="20"/>
          <w:szCs w:val="20"/>
          <w:lang w:val="en-US"/>
        </w:rPr>
        <w:t>Neunreither,</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Karlheinz</w:t>
      </w:r>
      <w:r>
        <w:rPr>
          <w:rFonts w:cs="Times New Roman" w:ascii="Times New Roman" w:hAnsi="Times New Roman"/>
          <w:sz w:val="20"/>
          <w:szCs w:val="20"/>
          <w:lang w:val="en-US"/>
        </w:rPr>
        <w:t xml:space="preserve"> (</w:t>
      </w:r>
      <w:r>
        <w:rPr>
          <w:rStyle w:val="Nlmyear"/>
          <w:rFonts w:cs="Times New Roman" w:ascii="Times New Roman" w:hAnsi="Times New Roman"/>
          <w:sz w:val="20"/>
          <w:szCs w:val="20"/>
          <w:lang w:val="en-US"/>
        </w:rPr>
        <w:t>2002</w:t>
      </w:r>
      <w:r>
        <w:rPr>
          <w:rFonts w:cs="Times New Roman" w:ascii="Times New Roman" w:hAnsi="Times New Roman"/>
          <w:sz w:val="20"/>
          <w:szCs w:val="20"/>
          <w:lang w:val="en-US"/>
        </w:rPr>
        <w:t>), « </w:t>
      </w:r>
      <w:r>
        <w:rPr>
          <w:rStyle w:val="Nlmarticle-title"/>
          <w:rFonts w:cs="Times New Roman" w:ascii="Times New Roman" w:hAnsi="Times New Roman"/>
          <w:sz w:val="20"/>
          <w:szCs w:val="20"/>
          <w:lang w:val="en-US"/>
        </w:rPr>
        <w:t>Elected legislators and their unelected assistants in the European Parliament »,</w:t>
      </w:r>
      <w:r>
        <w:rPr>
          <w:rFonts w:cs="Times New Roman" w:ascii="Times New Roman" w:hAnsi="Times New Roman"/>
          <w:sz w:val="20"/>
          <w:szCs w:val="20"/>
          <w:lang w:val="en-US"/>
        </w:rPr>
        <w:t xml:space="preserve"> </w:t>
      </w:r>
      <w:r>
        <w:rPr>
          <w:rFonts w:cs="Times New Roman" w:ascii="Times New Roman" w:hAnsi="Times New Roman"/>
          <w:i/>
          <w:iCs/>
          <w:sz w:val="20"/>
          <w:szCs w:val="20"/>
          <w:lang w:val="en-US"/>
        </w:rPr>
        <w:t>The Journal of Legislative Studies</w:t>
      </w:r>
      <w:r>
        <w:rPr>
          <w:rFonts w:cs="Times New Roman" w:ascii="Times New Roman" w:hAnsi="Times New Roman"/>
          <w:sz w:val="20"/>
          <w:szCs w:val="20"/>
          <w:lang w:val="en-US"/>
        </w:rPr>
        <w:t>, vol. 8 (4), p. </w:t>
      </w:r>
      <w:r>
        <w:rPr>
          <w:rStyle w:val="Nlmfpage"/>
          <w:rFonts w:cs="Times New Roman" w:ascii="Times New Roman" w:hAnsi="Times New Roman"/>
          <w:sz w:val="20"/>
          <w:szCs w:val="20"/>
          <w:lang w:val="en-US"/>
        </w:rPr>
        <w:t>40</w:t>
      </w:r>
      <w:r>
        <w:rPr>
          <w:rFonts w:cs="Times New Roman" w:ascii="Times New Roman" w:hAnsi="Times New Roman"/>
          <w:sz w:val="20"/>
          <w:szCs w:val="20"/>
          <w:lang w:val="en-US"/>
        </w:rPr>
        <w:t>-</w:t>
      </w:r>
      <w:r>
        <w:rPr>
          <w:rStyle w:val="Nlmlpage"/>
          <w:rFonts w:cs="Times New Roman" w:ascii="Times New Roman" w:hAnsi="Times New Roman"/>
          <w:sz w:val="20"/>
          <w:szCs w:val="20"/>
          <w:lang w:val="en-US"/>
        </w:rPr>
        <w:t>60.</w:t>
      </w:r>
    </w:p>
    <w:p>
      <w:pPr>
        <w:pStyle w:val="Normal"/>
        <w:spacing w:lineRule="auto" w:line="240" w:before="0" w:after="0"/>
        <w:jc w:val="both"/>
        <w:rPr>
          <w:rFonts w:ascii="Times New Roman" w:hAnsi="Times New Roman" w:cs="Times New Roman"/>
          <w:sz w:val="20"/>
          <w:szCs w:val="20"/>
          <w:lang w:val="en-US"/>
        </w:rPr>
      </w:pPr>
      <w:r>
        <w:rPr>
          <w:rFonts w:cs="Times New Roman" w:ascii="Times New Roman" w:hAnsi="Times New Roman"/>
          <w:sz w:val="20"/>
          <w:szCs w:val="20"/>
          <w:lang w:val="en-US"/>
        </w:rPr>
        <w:t xml:space="preserve">Nicolosi, Salvatore Fabio et Mustert, Lisette (2020), « The European Committee of the Regions as a watchdog of the principle of subsidiarity », </w:t>
      </w:r>
      <w:r>
        <w:rPr>
          <w:rFonts w:cs="Times New Roman" w:ascii="Times New Roman" w:hAnsi="Times New Roman"/>
          <w:i/>
          <w:iCs/>
          <w:sz w:val="20"/>
          <w:szCs w:val="20"/>
          <w:lang w:val="en-US"/>
        </w:rPr>
        <w:t>Maastricht Journal of European and Comparative Law</w:t>
      </w:r>
      <w:r>
        <w:rPr>
          <w:rFonts w:cs="Times New Roman" w:ascii="Times New Roman" w:hAnsi="Times New Roman"/>
          <w:sz w:val="20"/>
          <w:szCs w:val="20"/>
          <w:lang w:val="en-US"/>
        </w:rPr>
        <w:t>, vol. 27 (3), p. 284-301.</w:t>
      </w:r>
    </w:p>
    <w:p>
      <w:pPr>
        <w:pStyle w:val="Normal"/>
        <w:spacing w:lineRule="auto" w:line="276" w:before="0" w:after="0"/>
        <w:jc w:val="both"/>
        <w:rPr>
          <w:rStyle w:val="Fontstyle01"/>
          <w:rFonts w:ascii="Times New Roman" w:hAnsi="Times New Roman" w:cs="Times New Roman"/>
          <w:color w:val="auto"/>
          <w:lang w:val="en-US"/>
        </w:rPr>
      </w:pPr>
      <w:r>
        <w:rPr>
          <w:rFonts w:cs="Times New Roman" w:ascii="Times New Roman" w:hAnsi="Times New Roman"/>
          <w:sz w:val="20"/>
          <w:szCs w:val="20"/>
          <w:lang w:val="en-US"/>
        </w:rPr>
        <w:t xml:space="preserve">Nielsen, François et Salk, Jane (1998), « The Ecology of Collective Action and Regional Representation in the European Union », </w:t>
      </w:r>
      <w:r>
        <w:rPr>
          <w:rFonts w:cs="Times New Roman" w:ascii="Times New Roman" w:hAnsi="Times New Roman"/>
          <w:i/>
          <w:iCs/>
          <w:sz w:val="20"/>
          <w:szCs w:val="20"/>
          <w:lang w:val="en-US"/>
        </w:rPr>
        <w:t>European Sociological Review</w:t>
      </w:r>
      <w:r>
        <w:rPr>
          <w:rFonts w:cs="Times New Roman" w:ascii="Times New Roman" w:hAnsi="Times New Roman"/>
          <w:sz w:val="20"/>
          <w:szCs w:val="20"/>
          <w:lang w:val="en-US"/>
        </w:rPr>
        <w:t>, vol. 14 (3), p. 231-254.</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 xml:space="preserve">Pasquier, Romain (2015), « La fin de "l’Europe des régions" ? », </w:t>
      </w:r>
      <w:r>
        <w:rPr>
          <w:rFonts w:cs="Times New Roman" w:ascii="Times New Roman" w:hAnsi="Times New Roman"/>
          <w:i/>
          <w:iCs/>
          <w:sz w:val="20"/>
          <w:szCs w:val="20"/>
        </w:rPr>
        <w:t>Politique européenne</w:t>
      </w:r>
      <w:r>
        <w:rPr>
          <w:rFonts w:cs="Times New Roman" w:ascii="Times New Roman" w:hAnsi="Times New Roman"/>
          <w:sz w:val="20"/>
          <w:szCs w:val="20"/>
        </w:rPr>
        <w:t>, vol. 50 (4), p. 150-159.</w:t>
      </w:r>
    </w:p>
    <w:p>
      <w:pPr>
        <w:pStyle w:val="Normal"/>
        <w:spacing w:lineRule="auto" w:line="276" w:before="0" w:after="0"/>
        <w:jc w:val="both"/>
        <w:rPr>
          <w:rFonts w:ascii="Times New Roman" w:hAnsi="Times New Roman" w:cs="Times New Roman"/>
          <w:sz w:val="20"/>
          <w:szCs w:val="20"/>
        </w:rPr>
      </w:pPr>
      <w:r>
        <w:rPr>
          <w:rStyle w:val="Uppercase"/>
          <w:rFonts w:cs="Times New Roman" w:ascii="Times New Roman" w:hAnsi="Times New Roman"/>
          <w:sz w:val="20"/>
          <w:szCs w:val="20"/>
        </w:rPr>
        <w:t>Payre,</w:t>
      </w:r>
      <w:r>
        <w:rPr>
          <w:rFonts w:cs="Times New Roman" w:ascii="Times New Roman" w:hAnsi="Times New Roman"/>
          <w:sz w:val="20"/>
          <w:szCs w:val="20"/>
        </w:rPr>
        <w:t xml:space="preserve"> Renaud et </w:t>
      </w:r>
      <w:r>
        <w:rPr>
          <w:rStyle w:val="Uppercase"/>
          <w:rFonts w:cs="Times New Roman" w:ascii="Times New Roman" w:hAnsi="Times New Roman"/>
          <w:sz w:val="20"/>
          <w:szCs w:val="20"/>
        </w:rPr>
        <w:t>Spahic,</w:t>
      </w:r>
      <w:r>
        <w:rPr>
          <w:rFonts w:cs="Times New Roman" w:ascii="Times New Roman" w:hAnsi="Times New Roman"/>
          <w:sz w:val="20"/>
          <w:szCs w:val="20"/>
        </w:rPr>
        <w:t xml:space="preserve"> Mili (2012), « Le tout petit monde des politiques urbaines européennes. Réseaux de villes et métiers urbains de l'Europe : le cas du CCRE et d'Eurocities », </w:t>
      </w:r>
      <w:r>
        <w:rPr>
          <w:rFonts w:cs="Times New Roman" w:ascii="Times New Roman" w:hAnsi="Times New Roman"/>
          <w:i/>
          <w:iCs/>
          <w:sz w:val="20"/>
          <w:szCs w:val="20"/>
        </w:rPr>
        <w:t>Pôle Sud</w:t>
      </w:r>
      <w:r>
        <w:rPr>
          <w:rFonts w:cs="Times New Roman" w:ascii="Times New Roman" w:hAnsi="Times New Roman"/>
          <w:sz w:val="20"/>
          <w:szCs w:val="20"/>
        </w:rPr>
        <w:t>, vol. 37 (2), p. 117-137.</w:t>
      </w:r>
    </w:p>
    <w:p>
      <w:pPr>
        <w:pStyle w:val="Normal"/>
        <w:spacing w:lineRule="auto" w:line="276" w:before="0" w:after="0"/>
        <w:jc w:val="both"/>
        <w:rPr>
          <w:rStyle w:val="Nlmlpage"/>
          <w:rFonts w:ascii="Times New Roman" w:hAnsi="Times New Roman" w:cs="Times New Roman"/>
          <w:sz w:val="20"/>
          <w:szCs w:val="20"/>
          <w:lang w:val="en-US"/>
        </w:rPr>
      </w:pPr>
      <w:r>
        <w:rPr>
          <w:rStyle w:val="Hlfld-contribauthor"/>
          <w:rFonts w:cs="Times New Roman" w:ascii="Times New Roman" w:hAnsi="Times New Roman"/>
          <w:sz w:val="20"/>
          <w:szCs w:val="20"/>
          <w:lang w:val="en-US"/>
        </w:rPr>
        <w:t xml:space="preserve">Pegan, </w:t>
      </w:r>
      <w:r>
        <w:rPr>
          <w:rStyle w:val="Nlmgiven-names"/>
          <w:rFonts w:cs="Times New Roman" w:ascii="Times New Roman" w:hAnsi="Times New Roman"/>
          <w:sz w:val="20"/>
          <w:szCs w:val="20"/>
          <w:lang w:val="en-US"/>
        </w:rPr>
        <w:t>Andreja</w:t>
      </w:r>
      <w:r>
        <w:rPr>
          <w:rFonts w:cs="Times New Roman" w:ascii="Times New Roman" w:hAnsi="Times New Roman"/>
          <w:sz w:val="20"/>
          <w:szCs w:val="20"/>
          <w:lang w:val="en-US"/>
        </w:rPr>
        <w:t xml:space="preserve"> (</w:t>
      </w:r>
      <w:r>
        <w:rPr>
          <w:rStyle w:val="Nlmyear"/>
          <w:rFonts w:cs="Times New Roman" w:ascii="Times New Roman" w:hAnsi="Times New Roman"/>
          <w:sz w:val="20"/>
          <w:szCs w:val="20"/>
          <w:lang w:val="en-US"/>
        </w:rPr>
        <w:t>2017</w:t>
      </w:r>
      <w:r>
        <w:rPr>
          <w:rFonts w:cs="Times New Roman" w:ascii="Times New Roman" w:hAnsi="Times New Roman"/>
          <w:sz w:val="20"/>
          <w:szCs w:val="20"/>
          <w:lang w:val="en-US"/>
        </w:rPr>
        <w:t>), « </w:t>
      </w:r>
      <w:r>
        <w:rPr>
          <w:rStyle w:val="Nlmarticle-title"/>
          <w:rFonts w:cs="Times New Roman" w:ascii="Times New Roman" w:hAnsi="Times New Roman"/>
          <w:sz w:val="20"/>
          <w:szCs w:val="20"/>
          <w:lang w:val="en-US"/>
        </w:rPr>
        <w:t>The role of personal parliamentary assistants in the European Parliament »,</w:t>
      </w:r>
      <w:r>
        <w:rPr>
          <w:rFonts w:cs="Times New Roman" w:ascii="Times New Roman" w:hAnsi="Times New Roman"/>
          <w:sz w:val="20"/>
          <w:szCs w:val="20"/>
          <w:lang w:val="en-US"/>
        </w:rPr>
        <w:t xml:space="preserve"> </w:t>
      </w:r>
      <w:r>
        <w:rPr>
          <w:rFonts w:cs="Times New Roman" w:ascii="Times New Roman" w:hAnsi="Times New Roman"/>
          <w:i/>
          <w:iCs/>
          <w:sz w:val="20"/>
          <w:szCs w:val="20"/>
          <w:lang w:val="en-US"/>
        </w:rPr>
        <w:t>West European Politics</w:t>
      </w:r>
      <w:r>
        <w:rPr>
          <w:rFonts w:cs="Times New Roman" w:ascii="Times New Roman" w:hAnsi="Times New Roman"/>
          <w:sz w:val="20"/>
          <w:szCs w:val="20"/>
          <w:lang w:val="en-US"/>
        </w:rPr>
        <w:t>, vol. 40 (2), p. </w:t>
      </w:r>
      <w:r>
        <w:rPr>
          <w:rStyle w:val="Nlmfpage"/>
          <w:rFonts w:cs="Times New Roman" w:ascii="Times New Roman" w:hAnsi="Times New Roman"/>
          <w:sz w:val="20"/>
          <w:szCs w:val="20"/>
          <w:lang w:val="en-US"/>
        </w:rPr>
        <w:t>295</w:t>
      </w:r>
      <w:r>
        <w:rPr>
          <w:rFonts w:cs="Times New Roman" w:ascii="Times New Roman" w:hAnsi="Times New Roman"/>
          <w:sz w:val="20"/>
          <w:szCs w:val="20"/>
          <w:lang w:val="en-US"/>
        </w:rPr>
        <w:t>-</w:t>
      </w:r>
      <w:r>
        <w:rPr>
          <w:rStyle w:val="Nlmlpage"/>
          <w:rFonts w:cs="Times New Roman" w:ascii="Times New Roman" w:hAnsi="Times New Roman"/>
          <w:sz w:val="20"/>
          <w:szCs w:val="20"/>
          <w:lang w:val="en-US"/>
        </w:rPr>
        <w:t>315.</w:t>
      </w:r>
    </w:p>
    <w:p>
      <w:pPr>
        <w:pStyle w:val="Normal"/>
        <w:spacing w:lineRule="auto" w:line="276" w:before="0" w:after="0"/>
        <w:jc w:val="both"/>
        <w:rPr>
          <w:rStyle w:val="Nlmlpage"/>
          <w:rFonts w:ascii="Times New Roman" w:hAnsi="Times New Roman" w:cs="Times New Roman"/>
          <w:sz w:val="20"/>
          <w:szCs w:val="20"/>
        </w:rPr>
      </w:pPr>
      <w:r>
        <w:rPr>
          <w:rStyle w:val="Nlmlpage"/>
          <w:rFonts w:cs="Times New Roman" w:ascii="Times New Roman" w:hAnsi="Times New Roman"/>
          <w:sz w:val="20"/>
          <w:szCs w:val="20"/>
        </w:rPr>
        <w:t>Roa Bastos, Francisco (2009)</w:t>
      </w:r>
      <w:r>
        <w:rPr>
          <w:rFonts w:cs="Times New Roman" w:ascii="Times New Roman" w:hAnsi="Times New Roman"/>
          <w:sz w:val="20"/>
          <w:szCs w:val="20"/>
        </w:rPr>
        <w:t xml:space="preserve">, « Entre autonomisation et légitimation : la structuration de la vie politique communautaire au prisme des partis politiques au niveau européen », </w:t>
      </w:r>
      <w:r>
        <w:rPr>
          <w:rFonts w:cs="Times New Roman" w:ascii="Times New Roman" w:hAnsi="Times New Roman"/>
          <w:i/>
          <w:iCs/>
          <w:sz w:val="20"/>
          <w:szCs w:val="20"/>
        </w:rPr>
        <w:t>Politique européenne</w:t>
      </w:r>
      <w:r>
        <w:rPr>
          <w:rFonts w:cs="Times New Roman" w:ascii="Times New Roman" w:hAnsi="Times New Roman"/>
          <w:sz w:val="20"/>
          <w:szCs w:val="20"/>
        </w:rPr>
        <w:t>, vol. 29 (3), p. 125-131.</w:t>
      </w:r>
    </w:p>
    <w:p>
      <w:pPr>
        <w:pStyle w:val="Normal"/>
        <w:spacing w:lineRule="auto" w:line="276" w:before="0" w:after="0"/>
        <w:jc w:val="both"/>
        <w:rPr>
          <w:rStyle w:val="Nlmlpage"/>
          <w:rFonts w:ascii="Times New Roman" w:hAnsi="Times New Roman" w:cs="Times New Roman"/>
          <w:sz w:val="20"/>
          <w:szCs w:val="20"/>
          <w:lang w:val="en-US"/>
        </w:rPr>
      </w:pPr>
      <w:r>
        <w:rPr>
          <w:rFonts w:cs="Times New Roman" w:ascii="Times New Roman" w:hAnsi="Times New Roman"/>
          <w:sz w:val="20"/>
          <w:szCs w:val="20"/>
          <w:lang w:val="en-US"/>
        </w:rPr>
        <w:t>Romanyshyn, Iulian et Neuhold, Christine (2013), «</w:t>
      </w:r>
      <w:r>
        <w:rPr>
          <w:rStyle w:val="Fontstyle01"/>
          <w:rFonts w:cs="Times New Roman" w:ascii="Times New Roman" w:hAnsi="Times New Roman"/>
          <w:color w:val="auto"/>
          <w:lang w:val="en-US"/>
        </w:rPr>
        <w:t> The European Parliament’s Administration:</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Between Neutral and Politicised Competence</w:t>
      </w:r>
      <w:r>
        <w:rPr>
          <w:rFonts w:cs="Times New Roman" w:ascii="Times New Roman" w:hAnsi="Times New Roman"/>
          <w:sz w:val="20"/>
          <w:szCs w:val="20"/>
          <w:lang w:val="en-US"/>
        </w:rPr>
        <w:t xml:space="preserve"> », </w:t>
      </w:r>
      <w:r>
        <w:rPr>
          <w:rStyle w:val="Fontstyle01"/>
          <w:rFonts w:cs="Times New Roman" w:ascii="Times New Roman" w:hAnsi="Times New Roman"/>
          <w:i/>
          <w:iCs/>
          <w:color w:val="auto"/>
          <w:lang w:val="en-US"/>
        </w:rPr>
        <w:t xml:space="preserve">in </w:t>
      </w:r>
      <w:r>
        <w:rPr>
          <w:rFonts w:cs="Times New Roman" w:ascii="Times New Roman" w:hAnsi="Times New Roman"/>
          <w:sz w:val="20"/>
          <w:szCs w:val="20"/>
          <w:lang w:val="en-US"/>
        </w:rPr>
        <w:t xml:space="preserve">Christine Neuhold, Sophie Vanhoonacker et Luc Verhey (dir.), </w:t>
      </w:r>
      <w:r>
        <w:rPr>
          <w:rFonts w:cs="Times New Roman" w:ascii="Times New Roman" w:hAnsi="Times New Roman"/>
          <w:i/>
          <w:iCs/>
          <w:sz w:val="20"/>
          <w:szCs w:val="20"/>
          <w:lang w:val="en-US"/>
        </w:rPr>
        <w:t>Civil Servants and Politics. A delicate balance</w:t>
      </w:r>
      <w:r>
        <w:rPr>
          <w:rFonts w:cs="Times New Roman" w:ascii="Times New Roman" w:hAnsi="Times New Roman"/>
          <w:sz w:val="20"/>
          <w:szCs w:val="20"/>
          <w:lang w:val="en-US"/>
        </w:rPr>
        <w:t>, Londres, Palgrave Macmillan, p. 205-228.</w:t>
      </w:r>
    </w:p>
    <w:p>
      <w:pPr>
        <w:pStyle w:val="Normal"/>
        <w:spacing w:lineRule="auto" w:line="276" w:before="0" w:after="0"/>
        <w:jc w:val="both"/>
        <w:rPr>
          <w:rFonts w:ascii="Times New Roman" w:hAnsi="Times New Roman" w:cs="Times New Roman"/>
          <w:sz w:val="20"/>
          <w:szCs w:val="20"/>
          <w:lang w:val="en-US"/>
        </w:rPr>
      </w:pPr>
      <w:r>
        <w:rPr>
          <w:rFonts w:cs="Times New Roman" w:ascii="Times New Roman" w:hAnsi="Times New Roman"/>
          <w:sz w:val="20"/>
          <w:szCs w:val="20"/>
          <w:lang w:val="en-US"/>
        </w:rPr>
        <w:t xml:space="preserve">Ruiter, Emmy (2019), </w:t>
      </w:r>
      <w:r>
        <w:rPr>
          <w:rFonts w:cs="Times New Roman" w:ascii="Times New Roman" w:hAnsi="Times New Roman"/>
          <w:i/>
          <w:iCs/>
          <w:sz w:val="20"/>
          <w:szCs w:val="20"/>
          <w:lang w:val="en-US"/>
        </w:rPr>
        <w:t>The politics of advice in the European Parliament: understanding the political role of group advisors</w:t>
      </w:r>
      <w:r>
        <w:rPr>
          <w:rFonts w:cs="Times New Roman" w:ascii="Times New Roman" w:hAnsi="Times New Roman"/>
          <w:sz w:val="20"/>
          <w:szCs w:val="20"/>
          <w:lang w:val="en-US"/>
        </w:rPr>
        <w:t>, thèse de science politique, Université de Maastricht.</w:t>
      </w:r>
    </w:p>
    <w:p>
      <w:pPr>
        <w:pStyle w:val="Normal"/>
        <w:spacing w:lineRule="auto" w:line="276" w:before="0" w:after="0"/>
        <w:jc w:val="both"/>
        <w:rPr>
          <w:rFonts w:ascii="Times New Roman" w:hAnsi="Times New Roman" w:cs="Times New Roman"/>
          <w:sz w:val="20"/>
          <w:szCs w:val="20"/>
          <w:lang w:val="en-US"/>
        </w:rPr>
      </w:pPr>
      <w:r>
        <w:rPr>
          <w:rFonts w:cs="Times New Roman" w:ascii="Times New Roman" w:hAnsi="Times New Roman"/>
          <w:sz w:val="20"/>
          <w:szCs w:val="20"/>
          <w:lang w:val="en-US"/>
        </w:rPr>
        <w:t xml:space="preserve">Ruiter, Emmy (2022), « The European Parliament’s mandate for trilogues: explaining the discretion of political group advisors », </w:t>
      </w:r>
      <w:r>
        <w:rPr>
          <w:rFonts w:cs="Times New Roman" w:ascii="Times New Roman" w:hAnsi="Times New Roman"/>
          <w:i/>
          <w:iCs/>
          <w:sz w:val="20"/>
          <w:szCs w:val="20"/>
          <w:lang w:val="en-US"/>
        </w:rPr>
        <w:t>Journal of European Public Policy</w:t>
      </w:r>
      <w:r>
        <w:rPr>
          <w:rFonts w:cs="Times New Roman" w:ascii="Times New Roman" w:hAnsi="Times New Roman"/>
          <w:sz w:val="20"/>
          <w:szCs w:val="20"/>
          <w:lang w:val="en-US"/>
        </w:rPr>
        <w:t>, vol. 29 (3), p. 363-382.</w:t>
      </w:r>
    </w:p>
    <w:p>
      <w:pPr>
        <w:pStyle w:val="Normal"/>
        <w:spacing w:lineRule="auto" w:line="276" w:before="0" w:after="0"/>
        <w:jc w:val="both"/>
        <w:rPr>
          <w:rFonts w:ascii="Times New Roman" w:hAnsi="Times New Roman" w:cs="Times New Roman"/>
          <w:sz w:val="20"/>
          <w:szCs w:val="20"/>
          <w:lang w:val="en-US"/>
        </w:rPr>
      </w:pPr>
      <w:r>
        <w:rPr>
          <w:rFonts w:cs="Times New Roman" w:ascii="Times New Roman" w:hAnsi="Times New Roman"/>
          <w:sz w:val="20"/>
          <w:szCs w:val="20"/>
          <w:lang w:val="en-US"/>
        </w:rPr>
        <w:t>Schönlau, Justus (2017), « </w:t>
      </w:r>
      <w:r>
        <w:rPr>
          <w:rStyle w:val="Fontstyle01"/>
          <w:rFonts w:cs="Times New Roman" w:ascii="Times New Roman" w:hAnsi="Times New Roman"/>
          <w:color w:val="auto"/>
          <w:lang w:val="en-US"/>
        </w:rPr>
        <w:t>Beyond mere "consultation": Expanding the</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European Committee of the Regions’ role</w:t>
      </w:r>
      <w:r>
        <w:rPr>
          <w:rFonts w:cs="Times New Roman" w:ascii="Times New Roman" w:hAnsi="Times New Roman"/>
          <w:lang w:val="en-US"/>
        </w:rPr>
        <w:t> </w:t>
      </w:r>
      <w:r>
        <w:rPr>
          <w:rFonts w:cs="Times New Roman" w:ascii="Times New Roman" w:hAnsi="Times New Roman"/>
          <w:sz w:val="20"/>
          <w:szCs w:val="20"/>
          <w:lang w:val="en-US"/>
        </w:rPr>
        <w:t xml:space="preserve">», </w:t>
      </w:r>
      <w:r>
        <w:rPr>
          <w:rFonts w:cs="Times New Roman" w:ascii="Times New Roman" w:hAnsi="Times New Roman"/>
          <w:i/>
          <w:iCs/>
          <w:sz w:val="20"/>
          <w:szCs w:val="20"/>
          <w:lang w:val="en-US"/>
        </w:rPr>
        <w:t>Journal of Contemporary European Research</w:t>
      </w:r>
      <w:r>
        <w:rPr>
          <w:rFonts w:cs="Times New Roman" w:ascii="Times New Roman" w:hAnsi="Times New Roman"/>
          <w:sz w:val="20"/>
          <w:szCs w:val="20"/>
          <w:lang w:val="en-US"/>
        </w:rPr>
        <w:t>,</w:t>
      </w:r>
      <w:r>
        <w:rPr>
          <w:rFonts w:cs="Times New Roman" w:ascii="Times New Roman" w:hAnsi="Times New Roman"/>
          <w:i/>
          <w:iCs/>
          <w:sz w:val="20"/>
          <w:szCs w:val="20"/>
          <w:lang w:val="en-US"/>
        </w:rPr>
        <w:t xml:space="preserve"> </w:t>
      </w:r>
      <w:r>
        <w:rPr>
          <w:rFonts w:cs="Times New Roman" w:ascii="Times New Roman" w:hAnsi="Times New Roman"/>
          <w:sz w:val="20"/>
          <w:szCs w:val="20"/>
          <w:lang w:val="en-US"/>
        </w:rPr>
        <w:t>vol. 13 (2), p. 1166-1184.</w:t>
      </w:r>
    </w:p>
    <w:p>
      <w:pPr>
        <w:pStyle w:val="Normal"/>
        <w:spacing w:lineRule="auto" w:line="276" w:before="0" w:after="0"/>
        <w:jc w:val="both"/>
        <w:rPr>
          <w:rStyle w:val="Fontstyle01"/>
          <w:rFonts w:ascii="Times New Roman" w:hAnsi="Times New Roman" w:cs="Times New Roman"/>
          <w:color w:val="auto"/>
          <w:lang w:val="en-US"/>
        </w:rPr>
      </w:pPr>
      <w:r>
        <w:rPr>
          <w:rStyle w:val="Fontstyle01"/>
          <w:rFonts w:cs="Times New Roman" w:ascii="Times New Roman" w:hAnsi="Times New Roman"/>
          <w:color w:val="auto"/>
          <w:lang w:val="en-US"/>
        </w:rPr>
        <w:t>Tatham, Michaël (2010), « "With or without you"? Revisiting territorial</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 xml:space="preserve">state-bypassing in EU interest representation », </w:t>
      </w:r>
      <w:r>
        <w:rPr>
          <w:rStyle w:val="Fontstyle01"/>
          <w:rFonts w:cs="Times New Roman" w:ascii="Times New Roman" w:hAnsi="Times New Roman"/>
          <w:i/>
          <w:iCs/>
          <w:color w:val="auto"/>
          <w:lang w:val="en-US"/>
        </w:rPr>
        <w:t>Journal of European Public Policy</w:t>
      </w:r>
      <w:r>
        <w:rPr>
          <w:rStyle w:val="Fontstyle01"/>
          <w:rFonts w:cs="Times New Roman" w:ascii="Times New Roman" w:hAnsi="Times New Roman"/>
          <w:color w:val="auto"/>
          <w:lang w:val="en-US"/>
        </w:rPr>
        <w:t>, vol. 17 (1), p.</w:t>
      </w:r>
      <w:r>
        <w:rPr>
          <w:rFonts w:cs="Times New Roman" w:ascii="Times New Roman" w:hAnsi="Times New Roman"/>
          <w:sz w:val="20"/>
          <w:szCs w:val="20"/>
          <w:lang w:val="en-US"/>
        </w:rPr>
        <w:t> </w:t>
      </w:r>
      <w:r>
        <w:rPr>
          <w:rStyle w:val="Fontstyle01"/>
          <w:rFonts w:cs="Times New Roman" w:ascii="Times New Roman" w:hAnsi="Times New Roman"/>
          <w:color w:val="auto"/>
          <w:lang w:val="en-US"/>
        </w:rPr>
        <w:t>76-99.</w:t>
      </w:r>
    </w:p>
    <w:p>
      <w:pPr>
        <w:pStyle w:val="Normal"/>
        <w:spacing w:lineRule="auto" w:line="276" w:before="0" w:after="0"/>
        <w:jc w:val="both"/>
        <w:rPr>
          <w:rStyle w:val="Fontstyle01"/>
          <w:rFonts w:ascii="Times New Roman" w:hAnsi="Times New Roman" w:cs="Times New Roman"/>
          <w:color w:val="auto"/>
          <w:lang w:val="en-US"/>
        </w:rPr>
      </w:pPr>
      <w:r>
        <w:rPr>
          <w:rStyle w:val="Fontstyle01"/>
          <w:rFonts w:cs="Times New Roman" w:ascii="Times New Roman" w:hAnsi="Times New Roman"/>
          <w:color w:val="auto"/>
          <w:lang w:val="en-US"/>
        </w:rPr>
        <w:t>Winzen, Thomas (2011), « Technical or Political? An Exploration of</w:t>
      </w:r>
      <w:r>
        <w:rPr>
          <w:rFonts w:cs="Times New Roman" w:ascii="Times New Roman" w:hAnsi="Times New Roman"/>
          <w:sz w:val="20"/>
          <w:szCs w:val="20"/>
          <w:lang w:val="en-US"/>
        </w:rPr>
        <w:t xml:space="preserve"> </w:t>
      </w:r>
      <w:r>
        <w:rPr>
          <w:rStyle w:val="Fontstyle01"/>
          <w:rFonts w:cs="Times New Roman" w:ascii="Times New Roman" w:hAnsi="Times New Roman"/>
          <w:color w:val="auto"/>
          <w:lang w:val="en-US"/>
        </w:rPr>
        <w:t xml:space="preserve">the Work of Officials in the Committees of the European Parliament », </w:t>
      </w:r>
      <w:r>
        <w:rPr>
          <w:rStyle w:val="Fontstyle01"/>
          <w:rFonts w:cs="Times New Roman" w:ascii="Times New Roman" w:hAnsi="Times New Roman"/>
          <w:i/>
          <w:iCs/>
          <w:color w:val="auto"/>
          <w:lang w:val="en-US"/>
        </w:rPr>
        <w:t>The Journal of</w:t>
      </w:r>
      <w:r>
        <w:rPr>
          <w:rFonts w:cs="Times New Roman" w:ascii="Times New Roman" w:hAnsi="Times New Roman"/>
          <w:i/>
          <w:iCs/>
          <w:sz w:val="20"/>
          <w:szCs w:val="20"/>
          <w:lang w:val="en-US"/>
        </w:rPr>
        <w:t xml:space="preserve"> </w:t>
      </w:r>
      <w:r>
        <w:rPr>
          <w:rStyle w:val="Fontstyle01"/>
          <w:rFonts w:cs="Times New Roman" w:ascii="Times New Roman" w:hAnsi="Times New Roman"/>
          <w:i/>
          <w:iCs/>
          <w:color w:val="auto"/>
          <w:lang w:val="en-US"/>
        </w:rPr>
        <w:t>Legislative Studies</w:t>
      </w:r>
      <w:r>
        <w:rPr>
          <w:rStyle w:val="Fontstyle01"/>
          <w:rFonts w:cs="Times New Roman" w:ascii="Times New Roman" w:hAnsi="Times New Roman"/>
          <w:color w:val="auto"/>
          <w:lang w:val="en-US"/>
        </w:rPr>
        <w:t>, vol. 17 (1), p. 27-44.</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Annexes</w:t>
      </w:r>
    </w:p>
    <w:p>
      <w:pPr>
        <w:pStyle w:val="ListParagraph"/>
        <w:numPr>
          <w:ilvl w:val="0"/>
          <w:numId w:val="2"/>
        </w:numPr>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 xml:space="preserve">Annexe 1 : </w:t>
      </w:r>
      <w:r>
        <w:rPr>
          <w:rFonts w:cs="Times New Roman" w:ascii="Times New Roman" w:hAnsi="Times New Roman"/>
          <w:sz w:val="24"/>
          <w:szCs w:val="24"/>
        </w:rPr>
        <w:t>liste des entretiens réalisés</w:t>
      </w:r>
    </w:p>
    <w:p>
      <w:pPr>
        <w:pStyle w:val="Normal"/>
        <w:jc w:val="both"/>
        <w:rPr>
          <w:rFonts w:ascii="Times New Roman" w:hAnsi="Times New Roman" w:cs="Times New Roman"/>
          <w:sz w:val="20"/>
          <w:szCs w:val="20"/>
        </w:rPr>
      </w:pPr>
      <w:r>
        <w:rPr>
          <w:rFonts w:cs="Times New Roman" w:ascii="Times New Roman" w:hAnsi="Times New Roman"/>
          <w:sz w:val="20"/>
          <w:szCs w:val="20"/>
        </w:rPr>
        <w:t>1/ Entretien avec un premier secrétaire du groupe PSE (socialiste), le 2 septembre 2020.</w:t>
      </w:r>
    </w:p>
    <w:p>
      <w:pPr>
        <w:pStyle w:val="Normal"/>
        <w:jc w:val="both"/>
        <w:rPr>
          <w:rFonts w:ascii="Times New Roman" w:hAnsi="Times New Roman" w:cs="Times New Roman"/>
          <w:sz w:val="20"/>
          <w:szCs w:val="20"/>
        </w:rPr>
      </w:pPr>
      <w:r>
        <w:rPr>
          <w:rFonts w:cs="Times New Roman" w:ascii="Times New Roman" w:hAnsi="Times New Roman"/>
          <w:sz w:val="20"/>
          <w:szCs w:val="20"/>
        </w:rPr>
        <w:t>2/ Entretien avec une deuxième secrétaire du groupe PSE (socialiste), le 2 septembre 2020.</w:t>
      </w:r>
    </w:p>
    <w:p>
      <w:pPr>
        <w:pStyle w:val="Normal"/>
        <w:jc w:val="both"/>
        <w:rPr>
          <w:rFonts w:ascii="Times New Roman" w:hAnsi="Times New Roman" w:cs="Times New Roman"/>
          <w:sz w:val="20"/>
          <w:szCs w:val="20"/>
        </w:rPr>
      </w:pPr>
      <w:r>
        <w:rPr>
          <w:rFonts w:cs="Times New Roman" w:ascii="Times New Roman" w:hAnsi="Times New Roman"/>
          <w:sz w:val="20"/>
          <w:szCs w:val="20"/>
        </w:rPr>
        <w:t xml:space="preserve">3/ Entretien avec un secrétaire du groupe </w:t>
      </w:r>
      <w:r>
        <w:rPr>
          <w:rFonts w:cs="Times New Roman" w:ascii="Times New Roman" w:hAnsi="Times New Roman"/>
          <w:i/>
          <w:iCs/>
          <w:sz w:val="20"/>
          <w:szCs w:val="20"/>
        </w:rPr>
        <w:t xml:space="preserve">European Alliance, </w:t>
      </w:r>
      <w:r>
        <w:rPr>
          <w:rFonts w:cs="Times New Roman" w:ascii="Times New Roman" w:hAnsi="Times New Roman"/>
          <w:sz w:val="20"/>
          <w:szCs w:val="20"/>
        </w:rPr>
        <w:t>le 9 septembre 2020, en ligne.</w:t>
      </w:r>
    </w:p>
    <w:p>
      <w:pPr>
        <w:pStyle w:val="Normal"/>
        <w:jc w:val="both"/>
        <w:rPr>
          <w:rFonts w:ascii="Times New Roman" w:hAnsi="Times New Roman" w:cs="Times New Roman"/>
          <w:sz w:val="20"/>
          <w:szCs w:val="20"/>
        </w:rPr>
      </w:pPr>
      <w:r>
        <w:rPr>
          <w:rFonts w:cs="Times New Roman" w:ascii="Times New Roman" w:hAnsi="Times New Roman"/>
          <w:sz w:val="20"/>
          <w:szCs w:val="20"/>
        </w:rPr>
        <w:t xml:space="preserve">3/ Entretien avec un secrétaire du groupe </w:t>
      </w:r>
      <w:r>
        <w:rPr>
          <w:rFonts w:cs="Times New Roman" w:ascii="Times New Roman" w:hAnsi="Times New Roman"/>
          <w:i/>
          <w:iCs/>
          <w:sz w:val="20"/>
          <w:szCs w:val="20"/>
        </w:rPr>
        <w:t xml:space="preserve">European Alliance, </w:t>
      </w:r>
      <w:r>
        <w:rPr>
          <w:rFonts w:cs="Times New Roman" w:ascii="Times New Roman" w:hAnsi="Times New Roman"/>
          <w:sz w:val="20"/>
          <w:szCs w:val="20"/>
        </w:rPr>
        <w:t>le 17 septembre 2020, en ligne.</w:t>
      </w:r>
    </w:p>
    <w:p>
      <w:pPr>
        <w:pStyle w:val="Normal"/>
        <w:jc w:val="both"/>
        <w:rPr>
          <w:rFonts w:ascii="Times New Roman" w:hAnsi="Times New Roman" w:cs="Times New Roman"/>
          <w:sz w:val="20"/>
          <w:szCs w:val="20"/>
        </w:rPr>
      </w:pPr>
      <w:r>
        <w:rPr>
          <w:rFonts w:cs="Times New Roman" w:ascii="Times New Roman" w:hAnsi="Times New Roman"/>
          <w:sz w:val="20"/>
          <w:szCs w:val="20"/>
        </w:rPr>
        <w:t>5/ Entretien avec un troisième secrétaire du groupe PSE (socialiste), le 25 septembre 2020, en ligne.</w:t>
      </w:r>
    </w:p>
    <w:p>
      <w:pPr>
        <w:pStyle w:val="Normal"/>
        <w:rPr>
          <w:rFonts w:ascii="Times New Roman" w:hAnsi="Times New Roman" w:cs="Times New Roman"/>
          <w:sz w:val="20"/>
          <w:szCs w:val="20"/>
        </w:rPr>
      </w:pPr>
      <w:r>
        <w:rPr>
          <w:rFonts w:cs="Times New Roman" w:ascii="Times New Roman" w:hAnsi="Times New Roman"/>
          <w:sz w:val="20"/>
          <w:szCs w:val="20"/>
        </w:rPr>
        <w:t>6/ Entretien avec un quatrième secrétaire du groupe PSE (socialiste), le 1</w:t>
      </w:r>
      <w:r>
        <w:rPr>
          <w:rFonts w:cs="Times New Roman" w:ascii="Times New Roman" w:hAnsi="Times New Roman"/>
          <w:sz w:val="20"/>
          <w:szCs w:val="20"/>
          <w:vertAlign w:val="superscript"/>
        </w:rPr>
        <w:t>er</w:t>
      </w:r>
      <w:r>
        <w:rPr>
          <w:rFonts w:cs="Times New Roman" w:ascii="Times New Roman" w:hAnsi="Times New Roman"/>
          <w:sz w:val="20"/>
          <w:szCs w:val="20"/>
        </w:rPr>
        <w:t xml:space="preserve"> octobre 2020, Bruxelles.</w:t>
      </w:r>
    </w:p>
    <w:p>
      <w:pPr>
        <w:pStyle w:val="Normal"/>
        <w:jc w:val="both"/>
        <w:rPr>
          <w:rFonts w:ascii="Times New Roman" w:hAnsi="Times New Roman" w:cs="Times New Roman"/>
          <w:sz w:val="20"/>
          <w:szCs w:val="20"/>
        </w:rPr>
      </w:pPr>
      <w:r>
        <w:rPr>
          <w:rFonts w:cs="Times New Roman" w:ascii="Times New Roman" w:hAnsi="Times New Roman"/>
          <w:sz w:val="20"/>
          <w:szCs w:val="20"/>
        </w:rPr>
        <w:t>7/ Entretien avec un troisième secrétaire du groupe PSE (socialiste), le 31 octobre 2020, en ligne.</w:t>
      </w:r>
    </w:p>
    <w:p>
      <w:pPr>
        <w:pStyle w:val="Normal"/>
        <w:jc w:val="both"/>
        <w:rPr>
          <w:rFonts w:ascii="Times New Roman" w:hAnsi="Times New Roman" w:cs="Times New Roman"/>
          <w:sz w:val="20"/>
          <w:szCs w:val="20"/>
        </w:rPr>
      </w:pPr>
      <w:r>
        <w:rPr>
          <w:rFonts w:cs="Times New Roman" w:ascii="Times New Roman" w:hAnsi="Times New Roman"/>
          <w:sz w:val="20"/>
          <w:szCs w:val="20"/>
        </w:rPr>
        <w:t>8/ Entretien avec une secrétaire du groupe des Verts</w:t>
      </w:r>
      <w:r>
        <w:rPr>
          <w:rFonts w:cs="Times New Roman" w:ascii="Times New Roman" w:hAnsi="Times New Roman"/>
          <w:i/>
          <w:iCs/>
          <w:sz w:val="20"/>
          <w:szCs w:val="20"/>
        </w:rPr>
        <w:t xml:space="preserve"> </w:t>
      </w:r>
      <w:r>
        <w:rPr>
          <w:rFonts w:cs="Times New Roman" w:ascii="Times New Roman" w:hAnsi="Times New Roman"/>
          <w:sz w:val="20"/>
          <w:szCs w:val="20"/>
        </w:rPr>
        <w:t>(écologiste), le 12 novembre 2020, en ligne.</w:t>
      </w:r>
    </w:p>
    <w:p>
      <w:pPr>
        <w:pStyle w:val="Normal"/>
        <w:jc w:val="both"/>
        <w:rPr>
          <w:rFonts w:ascii="Times New Roman" w:hAnsi="Times New Roman" w:cs="Times New Roman"/>
          <w:sz w:val="20"/>
          <w:szCs w:val="20"/>
        </w:rPr>
      </w:pPr>
      <w:r>
        <w:rPr>
          <w:rFonts w:cs="Times New Roman" w:ascii="Times New Roman" w:hAnsi="Times New Roman"/>
          <w:sz w:val="20"/>
          <w:szCs w:val="20"/>
        </w:rPr>
        <w:t>9/ Entretien avec le quatrième secrétaire du groupe PSE (socialiste), le 22 avril 2021, en ligne.</w:t>
      </w:r>
    </w:p>
    <w:p>
      <w:pPr>
        <w:pStyle w:val="Normal"/>
        <w:jc w:val="both"/>
        <w:rPr>
          <w:rFonts w:ascii="Times New Roman" w:hAnsi="Times New Roman" w:cs="Times New Roman"/>
          <w:sz w:val="20"/>
          <w:szCs w:val="20"/>
        </w:rPr>
      </w:pPr>
      <w:r>
        <w:rPr>
          <w:rFonts w:cs="Times New Roman" w:ascii="Times New Roman" w:hAnsi="Times New Roman"/>
          <w:sz w:val="20"/>
          <w:szCs w:val="20"/>
        </w:rPr>
        <w:t>10/ Entretien avec le premier secrétaire du groupe PSE (socialiste), le 29 avril 2021, en ligne.</w:t>
      </w:r>
    </w:p>
    <w:p>
      <w:pPr>
        <w:pStyle w:val="Normal"/>
        <w:jc w:val="both"/>
        <w:rPr>
          <w:rFonts w:ascii="Times New Roman" w:hAnsi="Times New Roman" w:cs="Times New Roman"/>
          <w:sz w:val="20"/>
          <w:szCs w:val="20"/>
        </w:rPr>
      </w:pPr>
      <w:r>
        <w:rPr>
          <w:rFonts w:cs="Times New Roman" w:ascii="Times New Roman" w:hAnsi="Times New Roman"/>
          <w:sz w:val="20"/>
          <w:szCs w:val="20"/>
        </w:rPr>
        <w:t>11/ Entretien avec le premier secrétaire du groupe PSE (socialiste), le 23 juin 2021, en ligne.</w:t>
      </w:r>
    </w:p>
    <w:p>
      <w:pPr>
        <w:pStyle w:val="Normal"/>
        <w:jc w:val="both"/>
        <w:rPr>
          <w:rFonts w:ascii="Times New Roman" w:hAnsi="Times New Roman" w:cs="Times New Roman"/>
          <w:sz w:val="20"/>
          <w:szCs w:val="20"/>
        </w:rPr>
      </w:pPr>
      <w:r>
        <w:rPr>
          <w:rFonts w:cs="Times New Roman" w:ascii="Times New Roman" w:hAnsi="Times New Roman"/>
          <w:sz w:val="20"/>
          <w:szCs w:val="20"/>
        </w:rPr>
        <w:t>12/ Entretien avec le troisième secrétaire du groupe PSE (socialiste), le 29 juillet 2021, en ligne.</w:t>
      </w:r>
    </w:p>
    <w:p>
      <w:pPr>
        <w:pStyle w:val="Normal"/>
        <w:spacing w:lineRule="auto" w:line="276"/>
        <w:jc w:val="both"/>
        <w:rPr>
          <w:rFonts w:ascii="Times New Roman" w:hAnsi="Times New Roman" w:cs="Times New Roman"/>
          <w:sz w:val="20"/>
          <w:szCs w:val="20"/>
        </w:rPr>
      </w:pPr>
      <w:r>
        <w:rPr>
          <w:rFonts w:cs="Times New Roman" w:ascii="Times New Roman" w:hAnsi="Times New Roman"/>
          <w:sz w:val="20"/>
          <w:szCs w:val="20"/>
        </w:rPr>
        <w:t>13/ Entretien avec un secrétaire du groupe Renew (libéral), le 5 août 2021, en ligne.</w:t>
      </w:r>
    </w:p>
    <w:p>
      <w:pPr>
        <w:pStyle w:val="Normal"/>
        <w:spacing w:lineRule="auto" w:line="276"/>
        <w:jc w:val="both"/>
        <w:rPr>
          <w:rFonts w:ascii="Times New Roman" w:hAnsi="Times New Roman" w:cs="Times New Roman"/>
          <w:sz w:val="20"/>
          <w:szCs w:val="20"/>
        </w:rPr>
      </w:pPr>
      <w:r>
        <w:rPr>
          <w:rFonts w:cs="Times New Roman" w:ascii="Times New Roman" w:hAnsi="Times New Roman"/>
          <w:sz w:val="20"/>
          <w:szCs w:val="20"/>
        </w:rPr>
        <w:t>14/ Entretien avec un secrétaire du groupe Renew (libéral), le 6 août 2021, en ligne.</w:t>
      </w:r>
    </w:p>
    <w:p>
      <w:pPr>
        <w:pStyle w:val="Normal"/>
        <w:spacing w:lineRule="auto" w:line="276"/>
        <w:jc w:val="both"/>
        <w:rPr>
          <w:rFonts w:ascii="Times New Roman" w:hAnsi="Times New Roman" w:cs="Times New Roman"/>
          <w:sz w:val="20"/>
          <w:szCs w:val="20"/>
        </w:rPr>
      </w:pPr>
      <w:r>
        <w:rPr>
          <w:rFonts w:cs="Times New Roman" w:ascii="Times New Roman" w:hAnsi="Times New Roman"/>
          <w:sz w:val="20"/>
          <w:szCs w:val="20"/>
        </w:rPr>
        <w:t>15/ Entretien avec une secrétaire du groupe Renew (libéral), le 20 août 2021, en ligne.</w:t>
      </w:r>
    </w:p>
    <w:p>
      <w:pPr>
        <w:pStyle w:val="Normal"/>
        <w:spacing w:lineRule="auto" w:line="276"/>
        <w:jc w:val="both"/>
        <w:rPr>
          <w:rFonts w:ascii="Times New Roman" w:hAnsi="Times New Roman" w:cs="Times New Roman"/>
          <w:sz w:val="20"/>
          <w:szCs w:val="20"/>
        </w:rPr>
      </w:pPr>
      <w:r>
        <w:rPr>
          <w:rFonts w:cs="Times New Roman" w:ascii="Times New Roman" w:hAnsi="Times New Roman"/>
          <w:sz w:val="20"/>
          <w:szCs w:val="20"/>
        </w:rPr>
        <w:t>16/ Entretien avec une secrétaire du groupe Renew (libéral), le 21 août 2021, en ligne.</w:t>
      </w:r>
    </w:p>
    <w:p>
      <w:pPr>
        <w:pStyle w:val="Normal"/>
        <w:spacing w:lineRule="auto" w:line="276"/>
        <w:jc w:val="both"/>
        <w:rPr>
          <w:rFonts w:ascii="Times New Roman" w:hAnsi="Times New Roman" w:cs="Times New Roman"/>
          <w:sz w:val="20"/>
          <w:szCs w:val="20"/>
        </w:rPr>
      </w:pPr>
      <w:r>
        <w:rPr>
          <w:rFonts w:cs="Times New Roman" w:ascii="Times New Roman" w:hAnsi="Times New Roman"/>
          <w:sz w:val="20"/>
          <w:szCs w:val="20"/>
        </w:rPr>
        <w:t>17/ Entretien avec un secrétaire du groupe PPE (chrétien-démocrate), le 24 août 2021, en ligne.</w:t>
      </w:r>
    </w:p>
    <w:p>
      <w:pPr>
        <w:pStyle w:val="Normal"/>
        <w:spacing w:lineRule="auto" w:line="276"/>
        <w:jc w:val="both"/>
        <w:rPr>
          <w:rFonts w:ascii="Times New Roman" w:hAnsi="Times New Roman" w:cs="Times New Roman"/>
          <w:sz w:val="20"/>
          <w:szCs w:val="20"/>
        </w:rPr>
      </w:pPr>
      <w:r>
        <w:rPr>
          <w:rFonts w:cs="Times New Roman" w:ascii="Times New Roman" w:hAnsi="Times New Roman"/>
          <w:sz w:val="20"/>
          <w:szCs w:val="20"/>
        </w:rPr>
        <w:t>18/ Entretien avec un secrétaire du groupe PPE (chrétien-démocrate), le 25 août 2021, en ligne.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pacing w:lineRule="auto" w:line="276"/>
        <w:jc w:val="both"/>
        <w:rPr>
          <w:rFonts w:ascii="Times New Roman" w:hAnsi="Times New Roman" w:cs="Times New Roman"/>
          <w:sz w:val="24"/>
          <w:szCs w:val="24"/>
        </w:rPr>
      </w:pPr>
      <w:r>
        <w:rPr>
          <w:rFonts w:cs="Times New Roman" w:ascii="Times New Roman" w:hAnsi="Times New Roman"/>
          <w:b/>
          <w:bCs/>
          <w:sz w:val="24"/>
          <w:szCs w:val="24"/>
        </w:rPr>
        <w:t>Annexe 2 : grille d’entretien standard pour les secrétaires politiques</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US"/>
        </w:rPr>
        <w:t xml:space="preserve">1/ </w:t>
      </w:r>
      <w:r>
        <w:rPr>
          <w:rFonts w:cs="Times New Roman" w:ascii="Times New Roman" w:hAnsi="Times New Roman"/>
          <w:sz w:val="20"/>
          <w:szCs w:val="20"/>
          <w:lang w:val="en-GB"/>
        </w:rPr>
        <w:t>How did you have the opportunity to work for XX secretariat in the Committee of Regions (CoR)? Why have you chosen to work for the CoR and not for another EU institution?</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 xml:space="preserve">2/ I saw you were responsible for </w:t>
      </w:r>
      <w:r>
        <w:rPr>
          <w:rFonts w:cs="Times New Roman" w:ascii="Times New Roman" w:hAnsi="Times New Roman"/>
          <w:sz w:val="20"/>
          <w:szCs w:val="20"/>
          <w:lang w:val="en-US"/>
        </w:rPr>
        <w:t>XX or XX</w:t>
      </w:r>
      <w:r>
        <w:rPr>
          <w:rFonts w:cs="Times New Roman" w:ascii="Times New Roman" w:hAnsi="Times New Roman"/>
          <w:sz w:val="20"/>
          <w:szCs w:val="20"/>
          <w:lang w:val="en-GB"/>
        </w:rPr>
        <w:t xml:space="preserve"> commissions in the CoR, why?</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3/ Who was the XX political advisor the most involved to negotiate the MFF &amp; Next generation EU?</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4/ Moreover, I would like to know if it is usual for you to interact with MEPs? Do you provide them amendments?</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5/ Do you interact more with assistants than with MEPs?</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6/ How much time do you spent on interacting with members of the European Parliament? Can you tell me for what recent drafts you had to send amendments to MEPs?</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7/ What about Commission or Council officials?</w:t>
      </w:r>
    </w:p>
    <w:p>
      <w:pPr>
        <w:pStyle w:val="Normal"/>
        <w:spacing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8/ Are there some events / assemblies with all members from [one political party] to discuss and coordinate positions between the different European institutions such as the MEPs and the CoR members?</w:t>
      </w:r>
    </w:p>
    <w:p>
      <w:pPr>
        <w:pStyle w:val="Normal"/>
        <w:spacing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 xml:space="preserve">9/ In XX CdR commission, who do you work with? </w:t>
      </w:r>
    </w:p>
    <w:p>
      <w:pPr>
        <w:pStyle w:val="Normal"/>
        <w:spacing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10/ In this commission, does your group defend some positions? Which ones?</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11 / What are your views on the reform of the European semester?</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12/ How do you consider [one political group’s] room for manoeuvre inside the CoR?</w:t>
      </w:r>
    </w:p>
    <w:p>
      <w:pPr>
        <w:pStyle w:val="Normal"/>
        <w:spacing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13/ Do you feel with a lot of possibilities for own initiative opinions? In which cases is it possible, inside the commissions related to your work?</w:t>
      </w:r>
    </w:p>
    <w:p>
      <w:pPr>
        <w:pStyle w:val="Normal"/>
        <w:spacing w:before="0" w:after="0"/>
        <w:jc w:val="both"/>
        <w:rPr>
          <w:rFonts w:ascii="Times New Roman" w:hAnsi="Times New Roman" w:cs="Times New Roman"/>
          <w:sz w:val="20"/>
          <w:szCs w:val="20"/>
          <w:lang w:val="en-GB"/>
        </w:rPr>
      </w:pPr>
      <w:r>
        <w:rPr>
          <w:rFonts w:cs="Times New Roman" w:ascii="Times New Roman" w:hAnsi="Times New Roman"/>
          <w:sz w:val="20"/>
          <w:szCs w:val="20"/>
          <w:lang w:val="en-GB"/>
        </w:rPr>
        <w:t>14/ Do you consider any difference between your current daily tasks and the ones before the arrival of the COVID19 health restrictions?</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15/ Have you already been, or do you plan to be an expert for a rapporteur?</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16/ How does it work with the other CoR political secretariats? Do you meet and exchange ideas?</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17/ What are your relations with the administrators in charge of the commission you personally follow for your political group?</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18/ When you prepare a note for a rapporteur from your group, how do you process?</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19/ Is your group used to organising events to invite important personalities and possibly influence them?</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US"/>
        </w:rPr>
        <w:t xml:space="preserve">20 / </w:t>
      </w:r>
      <w:r>
        <w:rPr>
          <w:rFonts w:cs="Times New Roman" w:ascii="Times New Roman" w:hAnsi="Times New Roman"/>
          <w:sz w:val="20"/>
          <w:szCs w:val="20"/>
          <w:lang w:val="en-GB"/>
        </w:rPr>
        <w:t>Do you know if there is some turnover in the secretariat? Are some people there for a long time?</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 xml:space="preserve">21/ Could you give me your native country? What kind of studies did you follow (and where)? </w:t>
      </w:r>
    </w:p>
    <w:p>
      <w:pPr>
        <w:pStyle w:val="Normal"/>
        <w:spacing w:before="0" w:after="0"/>
        <w:rPr>
          <w:rFonts w:ascii="Times New Roman" w:hAnsi="Times New Roman" w:cs="Times New Roman"/>
          <w:sz w:val="20"/>
          <w:szCs w:val="20"/>
          <w:lang w:val="en-GB"/>
        </w:rPr>
      </w:pPr>
      <w:r>
        <w:rPr>
          <w:rFonts w:cs="Times New Roman" w:ascii="Times New Roman" w:hAnsi="Times New Roman"/>
          <w:sz w:val="20"/>
          <w:szCs w:val="20"/>
          <w:lang w:val="en-GB"/>
        </w:rPr>
        <w:t>22/ Where did you work before integrating the CoR? Did you use to work at the EU level?</w:t>
      </w:r>
    </w:p>
    <w:p>
      <w:pPr>
        <w:pStyle w:val="Normal"/>
        <w:spacing w:before="0" w:after="0"/>
        <w:rPr>
          <w:rFonts w:ascii="Times New Roman" w:hAnsi="Times New Roman" w:cs="Times New Roman"/>
          <w:sz w:val="20"/>
          <w:szCs w:val="20"/>
          <w:lang w:val="en-US"/>
        </w:rPr>
      </w:pPr>
      <w:r>
        <w:rPr>
          <w:rFonts w:cs="Times New Roman" w:ascii="Times New Roman" w:hAnsi="Times New Roman"/>
          <w:sz w:val="20"/>
          <w:szCs w:val="20"/>
          <w:lang w:val="en-US"/>
        </w:rPr>
      </w:r>
    </w:p>
    <w:p>
      <w:pPr>
        <w:pStyle w:val="Normal"/>
        <w:spacing w:before="0" w:after="160"/>
        <w:rPr>
          <w:rFonts w:ascii="Times New Roman" w:hAnsi="Times New Roman" w:cs="Times New Roman"/>
        </w:rPr>
      </w:pPr>
      <w:r>
        <w:rPr>
          <w:rFonts w:cs="Times New Roman" w:ascii="Times New Roman" w:hAnsi="Times New Roman"/>
        </w:rPr>
      </w:r>
    </w:p>
    <w:sectPr>
      <w:footnotePr>
        <w:numFmt w:val="decimal"/>
      </w:footnote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Cécile Grossel" w:date="2023-06-22T15:58:00Z" w:initials="CG">
    <w:p>
      <w:pPr>
        <w:overflowPunct w:val="false"/>
        <w:spacing w:before="0" w:after="0" w:lineRule="auto" w:line="240"/>
        <w:rPr/>
      </w:pPr>
      <w:r>
        <w:rPr>
          <w:rFonts w:ascii="Liberation Serif" w:hAnsi="Liberation Serif" w:eastAsia="Segoe UI" w:cs="Tahoma"/>
          <w:sz w:val="24"/>
          <w:szCs w:val="24"/>
          <w:lang w:val="en-US" w:eastAsia="en-US" w:bidi="en-US"/>
        </w:rPr>
        <w:t>"que dans une institution européenne" ?</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toneSerifStd-MediumItalic">
    <w:charset w:val="00"/>
    <w:family w:val="roman"/>
    <w:pitch w:val="variable"/>
  </w:font>
  <w:font w:name="OpenSans">
    <w:charset w:val="00"/>
    <w:family w:val="roman"/>
    <w:pitch w:val="variable"/>
  </w:font>
  <w:font w:name="TimesNewRomanPS-BoldMT">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L’auteur tient à remercier vivement David E. Picquart et les deux évaluateur·trices pour leurs relectures attentives.</w:t>
      </w:r>
    </w:p>
  </w:footnote>
  <w:footnote w:id="3">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 xml:space="preserve">Dobbels et Neuhold (2013) recensent plusieurs rôles : un rôle de production (où les fonctionnaires produisent des notes de </w:t>
      </w:r>
      <w:r>
        <w:rPr>
          <w:rFonts w:cs="Times New Roman" w:ascii="Times New Roman" w:hAnsi="Times New Roman"/>
          <w:i/>
          <w:iCs/>
        </w:rPr>
        <w:t>briefing</w:t>
      </w:r>
      <w:r>
        <w:rPr>
          <w:rFonts w:cs="Times New Roman" w:ascii="Times New Roman" w:hAnsi="Times New Roman"/>
        </w:rPr>
        <w:t xml:space="preserve"> et d’information aux parlementaires, sur la base d’instructions claires de ces derniers), un rôle de service (où les fonctionnaires produisent des amendements sur la base de leur propre expertise, avec des instructions moins directives de la part des parlementaires) et un « steering role », plus discrétionnaire.</w:t>
      </w:r>
    </w:p>
  </w:footnote>
  <w:footnote w:id="4">
    <w:p>
      <w:pPr>
        <w:pStyle w:val="FootnoteText"/>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On parle d’institution au sens sociologique.</w:t>
      </w:r>
    </w:p>
  </w:footnote>
  <w:footnote w:id="5">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Depuis le Traité de Nice (2001), les membres du CdR doivent être représentatifs des collectivités régionales et locales : soit en étant titulaires d'un mandat électoral dans une collectivité régionale ou locale, soit politiquement responsables devant une assemblée élue.</w:t>
      </w:r>
    </w:p>
  </w:footnote>
  <w:footnote w:id="6">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On a écarté l’étude des administrateurs, malgré plusieurs entretiens avec des administrateurs de différentes commissions thématiques, qui s’en tenaient à une posture « technique ». Si une enquête auprès de ce type d’acteurs révélerait sûrement des tâches proprement politiques, on a préféré se concentrer sur les secrétaires politiques qui bien que non élus, assument fondamentalement réaliser un travail politique.</w:t>
      </w:r>
    </w:p>
  </w:footnote>
  <w:footnote w:id="7">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D’après le Traité sur le Fonctionnement de l’UE : cohésion économique, sociale et territoriale ; emploi et affaires sociales ; éducation, jeunesse, formation professionnelle, culture et sport ; environnement, énergie et changement climatique ; transports ; réseaux transeuropéens ; santé publique.</w:t>
      </w:r>
    </w:p>
  </w:footnote>
  <w:footnote w:id="8">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Ils sont nommés par le Conseil de l’UE sur proposition des gouvernements nationaux.</w:t>
      </w:r>
    </w:p>
  </w:footnote>
  <w:footnote w:id="9">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La Commission de la politique de cohésion territoriale et du budget de l’UE (COTER), la Commission de la politique économique (ECON), la Commission de la citoyenneté, de la gouvernance, des affaires institutionnelles et extérieures (CIVEX), la Commission de la politique sociale, de l’éducation, de l’emploi, de la recherche et de la culture (SEDEC), la Commission des ressources naturelles (NAT), la Commission de l’environnement, du changement climatique et de l’énergie (ENVE).</w:t>
      </w:r>
    </w:p>
  </w:footnote>
  <w:footnote w:id="10">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 xml:space="preserve">Ce groupe politique a changé de nom à plusieurs reprises : </w:t>
      </w:r>
      <w:r>
        <w:rPr>
          <w:rFonts w:cs="Times New Roman" w:ascii="Times New Roman" w:hAnsi="Times New Roman"/>
          <w:i/>
          <w:iCs/>
        </w:rPr>
        <w:t>European Liberal Democrat and Reform Party Group</w:t>
      </w:r>
      <w:r>
        <w:rPr>
          <w:rFonts w:cs="Times New Roman" w:ascii="Times New Roman" w:hAnsi="Times New Roman"/>
        </w:rPr>
        <w:t xml:space="preserve"> ; </w:t>
      </w:r>
      <w:r>
        <w:rPr>
          <w:rFonts w:cs="Times New Roman" w:ascii="Times New Roman" w:hAnsi="Times New Roman"/>
          <w:i/>
          <w:iCs/>
        </w:rPr>
        <w:t>Alliance of Liberals and Democrats for Europe Party</w:t>
      </w:r>
      <w:r>
        <w:rPr>
          <w:rFonts w:cs="Times New Roman" w:ascii="Times New Roman" w:hAnsi="Times New Roman"/>
        </w:rPr>
        <w:t>.</w:t>
      </w:r>
    </w:p>
  </w:footnote>
  <w:footnote w:id="11">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En 2021. On s’est appuyé sur la liste du « Who's who », ainsi que sur les sites web des secrétariats politiques. En comparaison, en 2014, les groupes parlementaires du PE ont des effectifs bien supérieurs (62 conseillers pour le PPE, 58 pour le groupe socialiste, 41 pour le groupe libéral, 30 pour ECR, 47 pour les Verts ; Ruiter, 2019).</w:t>
      </w:r>
    </w:p>
  </w:footnote>
  <w:footnote w:id="12">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Deux membres du groupe ont été affectés au cabinet de celui qui était à l’époque président du CdR, Apóstolos Tzitzikóstas (2020-2022). Ils restent formellement liés au secrétariat politique du PPE au CdR, même s'ils travaillent au quotidien pour le cabinet du président.</w:t>
      </w:r>
    </w:p>
  </w:footnote>
  <w:footnote w:id="13">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En 2021, sur le site officiel du CdR, seuls 318 membres sont répertoriés : &lt;</w:t>
      </w:r>
      <w:r>
        <w:rPr/>
        <w:t>https://memberspage.cor.europa.eu/#/?mandate=mem&amp;language=en&amp;politicalgroup=0&amp;v=1649939329285</w:t>
      </w:r>
      <w:r>
        <w:rPr>
          <w:rFonts w:cs="Times New Roman" w:ascii="Times New Roman" w:hAnsi="Times New Roman"/>
        </w:rPr>
        <w:t>&gt;.</w:t>
      </w:r>
    </w:p>
  </w:footnote>
  <w:footnote w:id="14">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290 pour le PPE, 215 pour le PES, 97 pour les Libéraux, 80 pour les Verts, ou encore 70 pour ECR.</w:t>
      </w:r>
    </w:p>
  </w:footnote>
  <w:footnote w:id="15">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Le groupe écologiste est le plus féminin avec quatre femmes pour quatre salariés. Viennent ensuite le groupe PES/socialiste (avec neuf femmes sur quinze, dont la DGA), libéral/Renew (cinq femmes sur dix, dont la DGA), et ECR avec trois femmes sur six (dont trois conseillères politiques sur quatre). Les groupes les moins féminins sont EA et surtout le PPE (avec une conseillère politique sur sept). Au-delà des chiffres, les femmes ont souvent tendance à ne pas être SG (sauf pour les Verts), plus rarement que les hommes à des postes de conseillers politiques (ou d'assistants politiques), mais elles sont surtout chargées de communication ou d'administration.</w:t>
      </w:r>
    </w:p>
  </w:footnote>
  <w:footnote w:id="16">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Nos demandes auprès du personnel d'ECR ont été rejetées. Il a également été difficile d'obtenir un entretien avec le PPE.</w:t>
      </w:r>
    </w:p>
  </w:footnote>
  <w:footnote w:id="17">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Certaines régions à pouvoir législatif se voient octroyer le droit de siéger au sein du Conseil de l’UE. C’est le cas des régions belges, ou espagnoles.</w:t>
      </w:r>
    </w:p>
  </w:footnote>
  <w:footnote w:id="18">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 xml:space="preserve">Par rapport à des aspirants fonctionnaires à la Commission, par exemple : Georgakakis Didier (2019), </w:t>
      </w:r>
      <w:r>
        <w:rPr>
          <w:rFonts w:cs="Times New Roman" w:ascii="Times New Roman" w:hAnsi="Times New Roman"/>
          <w:i/>
          <w:iCs/>
        </w:rPr>
        <w:t>Au service de l’Europe</w:t>
      </w:r>
      <w:r>
        <w:rPr>
          <w:rFonts w:cs="Times New Roman" w:ascii="Times New Roman" w:hAnsi="Times New Roman"/>
        </w:rPr>
        <w:t>, Paris, Éditions de la Sorbonne.</w:t>
      </w:r>
    </w:p>
  </w:footnote>
  <w:footnote w:id="19">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Il y a ici un indice potentiel de prérogatives politiques attachées aux administrateurs du CdR, comme l’a montré Winzen (2011) à propos des fonctionnaires du Parlement européen.</w:t>
      </w:r>
    </w:p>
  </w:footnote>
  <w:footnote w:id="20">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Style w:val="Q4iawc"/>
          <w:rFonts w:cs="Times New Roman" w:ascii="Times New Roman" w:hAnsi="Times New Roman"/>
        </w:rPr>
        <w:t>Souvent des associations représentant des intérêts régionaux, des bureaux de représentation régionaux ou des autorités locales et régionales, voire des acteurs régionaux et locaux, non représentées au CdR.</w:t>
      </w:r>
    </w:p>
  </w:footnote>
  <w:footnote w:id="21">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On voit ici comment les secrétaires bénéficient des mécanismes de contrôle de subsidiarité, pour consolider leurs suggestions et amendements vis-à-vis d’un rapport élaboré en commission du CdR.</w:t>
      </w:r>
    </w:p>
  </w:footnote>
  <w:footnote w:id="22">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Si les secrétaires n’agissent pas en totale indétermination, en dehors des préférences des membres, ils disposent quand même d’une relative autonomie et de fait, d’un pouvoir discrétionnaire.</w:t>
      </w:r>
    </w:p>
  </w:footnote>
  <w:footnote w:id="23">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Ces clivages sont aussi visibles (notamment médiatiquement) au niveau des gouvernements des États-membres.</w:t>
      </w:r>
    </w:p>
  </w:footnote>
  <w:footnote w:id="24">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Profils reconstitués à partir des entretiens et des données disponibles sur Internet.</w:t>
      </w:r>
    </w:p>
  </w:footnote>
  <w:footnote w:id="25">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 xml:space="preserve">Cette « task-force » (« Task force on subsidiarity, proportionality and doing less, more efficiently », 2017-2018) a posé les bases du programme copiloté, entre la Commission et le CdR, </w:t>
      </w:r>
      <w:r>
        <w:rPr>
          <w:rFonts w:cs="Times New Roman" w:ascii="Times New Roman" w:hAnsi="Times New Roman"/>
          <w:i/>
          <w:iCs/>
        </w:rPr>
        <w:t>Regional Hubs</w:t>
      </w:r>
      <w:r>
        <w:rPr>
          <w:rFonts w:cs="Times New Roman" w:ascii="Times New Roman" w:hAnsi="Times New Roman"/>
        </w:rPr>
        <w:t>. Il s’agit d’un dispositif permettant à certaines autorités locales et régionales d’évaluer la mise en œuvre de certaines directives ou règlements européens, au niveau local.</w:t>
      </w:r>
    </w:p>
  </w:footnote>
  <w:footnote w:id="26">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On s’oppose ainsi au constat du manque de clivage idéologique au sein du CdR repéré par McCarthy et Farrows (1997).</w:t>
      </w:r>
    </w:p>
  </w:footnote>
  <w:footnote w:id="27">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Les formations socialistes européennes ne se revendiquent pas toujours d’une posture keynésienne.</w:t>
      </w:r>
    </w:p>
  </w:footnote>
  <w:footnote w:id="28">
    <w:p>
      <w:pPr>
        <w:pStyle w:val="FootnoteText"/>
        <w:jc w:val="both"/>
        <w:rPr>
          <w:rFonts w:ascii="Times New Roman" w:hAnsi="Times New Roman" w:cs="Times New Roman"/>
        </w:rPr>
      </w:pPr>
      <w:r>
        <w:rPr>
          <w:rStyle w:val="Caractresdenotedebasdepage"/>
        </w:rPr>
        <w:footnoteRef/>
      </w:r>
      <w:r>
        <w:rPr>
          <w:rFonts w:cs="Times New Roman" w:ascii="Times New Roman" w:hAnsi="Times New Roman"/>
        </w:rPr>
        <w:t xml:space="preserve"> </w:t>
      </w:r>
      <w:r>
        <w:rPr>
          <w:rFonts w:cs="Times New Roman" w:ascii="Times New Roman" w:hAnsi="Times New Roman"/>
        </w:rPr>
        <w:t xml:space="preserve">Cela ne relève </w:t>
      </w:r>
      <w:r>
        <w:rPr>
          <w:rFonts w:cs="Times New Roman" w:ascii="Times New Roman" w:hAnsi="Times New Roman"/>
          <w:i/>
          <w:iCs/>
        </w:rPr>
        <w:t xml:space="preserve">a priori </w:t>
      </w:r>
      <w:r>
        <w:rPr>
          <w:rFonts w:cs="Times New Roman" w:ascii="Times New Roman" w:hAnsi="Times New Roman"/>
        </w:rPr>
        <w:t>pas du domaine de compétences (reconnues par les Traités) du CdR.</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011"/>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6"/>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f4fd8"/>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paragraph" w:styleId="Heading2">
    <w:name w:val="Heading 2"/>
    <w:basedOn w:val="Normal"/>
    <w:next w:val="Normal"/>
    <w:link w:val="Titre2Car"/>
    <w:uiPriority w:val="9"/>
    <w:unhideWhenUsed/>
    <w:qFormat/>
    <w:rsid w:val="009e3600"/>
    <w:pPr>
      <w:keepNext w:val="true"/>
      <w:keepLines/>
      <w:spacing w:before="40" w:after="0"/>
      <w:outlineLvl w:val="1"/>
    </w:pPr>
    <w:rPr>
      <w:rFonts w:ascii="Times New Roman" w:hAnsi="Times New Roman" w:eastAsia="" w:cs="" w:cstheme="majorBidi" w:eastAsiaTheme="majorEastAsia"/>
      <w:b/>
      <w:i/>
      <w:sz w:val="24"/>
      <w:szCs w:val="26"/>
      <w:lang w:val="en-GB"/>
    </w:rPr>
  </w:style>
  <w:style w:type="character" w:styleId="DefaultParagraphFont" w:default="1">
    <w:name w:val="Default Paragraph Font"/>
    <w:uiPriority w:val="1"/>
    <w:semiHidden/>
    <w:unhideWhenUsed/>
    <w:qFormat/>
    <w:rPr/>
  </w:style>
  <w:style w:type="character" w:styleId="NotedebasdepageCar" w:customStyle="1">
    <w:name w:val="Note de bas de page Car"/>
    <w:basedOn w:val="DefaultParagraphFont"/>
    <w:uiPriority w:val="99"/>
    <w:qFormat/>
    <w:rsid w:val="00350e00"/>
    <w:rPr>
      <w:sz w:val="20"/>
      <w:szCs w:val="20"/>
    </w:rPr>
  </w:style>
  <w:style w:type="character" w:styleId="Caractresdenotedebasdepage">
    <w:name w:val="Caractères de note de bas de page"/>
    <w:basedOn w:val="DefaultParagraphFont"/>
    <w:uiPriority w:val="99"/>
    <w:semiHidden/>
    <w:unhideWhenUsed/>
    <w:qFormat/>
    <w:rsid w:val="00350e00"/>
    <w:rPr>
      <w:vertAlign w:val="superscript"/>
    </w:rPr>
  </w:style>
  <w:style w:type="character" w:styleId="FootnoteReference">
    <w:name w:val="Footnote Reference"/>
    <w:rPr>
      <w:vertAlign w:val="superscript"/>
    </w:rPr>
  </w:style>
  <w:style w:type="character" w:styleId="Fontstyle21" w:customStyle="1">
    <w:name w:val="fontstyle21"/>
    <w:basedOn w:val="DefaultParagraphFont"/>
    <w:qFormat/>
    <w:rsid w:val="005522db"/>
    <w:rPr>
      <w:rFonts w:ascii="StoneSerifStd-MediumItalic" w:hAnsi="StoneSerifStd-MediumItalic"/>
      <w:b w:val="false"/>
      <w:bCs w:val="false"/>
      <w:i/>
      <w:iCs/>
      <w:color w:val="000000"/>
      <w:sz w:val="18"/>
      <w:szCs w:val="18"/>
    </w:rPr>
  </w:style>
  <w:style w:type="character" w:styleId="Fontstyle01" w:customStyle="1">
    <w:name w:val="fontstyle01"/>
    <w:basedOn w:val="DefaultParagraphFont"/>
    <w:qFormat/>
    <w:rsid w:val="005a5bd8"/>
    <w:rPr>
      <w:rFonts w:ascii="OpenSans" w:hAnsi="OpenSans"/>
      <w:b w:val="false"/>
      <w:bCs w:val="false"/>
      <w:i w:val="false"/>
      <w:iCs w:val="false"/>
      <w:color w:val="000000"/>
      <w:sz w:val="20"/>
      <w:szCs w:val="20"/>
    </w:rPr>
  </w:style>
  <w:style w:type="character" w:styleId="Markedcontent" w:customStyle="1">
    <w:name w:val="markedcontent"/>
    <w:basedOn w:val="DefaultParagraphFont"/>
    <w:qFormat/>
    <w:rsid w:val="00f56fa2"/>
    <w:rPr/>
  </w:style>
  <w:style w:type="character" w:styleId="Highlight" w:customStyle="1">
    <w:name w:val="highlight"/>
    <w:basedOn w:val="DefaultParagraphFont"/>
    <w:qFormat/>
    <w:rsid w:val="00f56fa2"/>
    <w:rPr/>
  </w:style>
  <w:style w:type="character" w:styleId="Titre2Car" w:customStyle="1">
    <w:name w:val="Titre 2 Car"/>
    <w:basedOn w:val="DefaultParagraphFont"/>
    <w:uiPriority w:val="9"/>
    <w:qFormat/>
    <w:rsid w:val="009e3600"/>
    <w:rPr>
      <w:rFonts w:ascii="Times New Roman" w:hAnsi="Times New Roman" w:eastAsia="" w:cs="" w:cstheme="majorBidi" w:eastAsiaTheme="majorEastAsia"/>
      <w:b/>
      <w:i/>
      <w:sz w:val="24"/>
      <w:szCs w:val="26"/>
      <w:lang w:val="en-GB"/>
    </w:rPr>
  </w:style>
  <w:style w:type="character" w:styleId="Hyperlink">
    <w:name w:val="Hyperlink"/>
    <w:basedOn w:val="DefaultParagraphFont"/>
    <w:uiPriority w:val="99"/>
    <w:unhideWhenUsed/>
    <w:rsid w:val="001a69ea"/>
    <w:rPr>
      <w:color w:val="0000FF"/>
      <w:u w:val="single"/>
    </w:rPr>
  </w:style>
  <w:style w:type="character" w:styleId="Lang-en" w:customStyle="1">
    <w:name w:val="lang-en"/>
    <w:basedOn w:val="DefaultParagraphFont"/>
    <w:qFormat/>
    <w:rsid w:val="00eb424b"/>
    <w:rPr/>
  </w:style>
  <w:style w:type="character" w:styleId="Q4iawc" w:customStyle="1">
    <w:name w:val="q4iawc"/>
    <w:basedOn w:val="DefaultParagraphFont"/>
    <w:qFormat/>
    <w:rsid w:val="00167409"/>
    <w:rPr/>
  </w:style>
  <w:style w:type="character" w:styleId="Hlfld-contribauthor" w:customStyle="1">
    <w:name w:val="hlfld-contribauthor"/>
    <w:basedOn w:val="DefaultParagraphFont"/>
    <w:qFormat/>
    <w:rsid w:val="004158e2"/>
    <w:rPr/>
  </w:style>
  <w:style w:type="character" w:styleId="Nlmgiven-names" w:customStyle="1">
    <w:name w:val="nlm_given-names"/>
    <w:basedOn w:val="DefaultParagraphFont"/>
    <w:qFormat/>
    <w:rsid w:val="004158e2"/>
    <w:rPr/>
  </w:style>
  <w:style w:type="character" w:styleId="Nlmyear" w:customStyle="1">
    <w:name w:val="nlm_year"/>
    <w:basedOn w:val="DefaultParagraphFont"/>
    <w:qFormat/>
    <w:rsid w:val="004158e2"/>
    <w:rPr/>
  </w:style>
  <w:style w:type="character" w:styleId="Nlmarticle-title" w:customStyle="1">
    <w:name w:val="nlm_article-title"/>
    <w:basedOn w:val="DefaultParagraphFont"/>
    <w:qFormat/>
    <w:rsid w:val="004158e2"/>
    <w:rPr/>
  </w:style>
  <w:style w:type="character" w:styleId="Nlmfpage" w:customStyle="1">
    <w:name w:val="nlm_fpage"/>
    <w:basedOn w:val="DefaultParagraphFont"/>
    <w:qFormat/>
    <w:rsid w:val="004158e2"/>
    <w:rPr/>
  </w:style>
  <w:style w:type="character" w:styleId="Nlmlpage" w:customStyle="1">
    <w:name w:val="nlm_lpage"/>
    <w:basedOn w:val="DefaultParagraphFont"/>
    <w:qFormat/>
    <w:rsid w:val="004158e2"/>
    <w:rPr/>
  </w:style>
  <w:style w:type="character" w:styleId="Nlmpublisher-name" w:customStyle="1">
    <w:name w:val="nlm_publisher-name"/>
    <w:basedOn w:val="DefaultParagraphFont"/>
    <w:qFormat/>
    <w:rsid w:val="004158e2"/>
    <w:rPr/>
  </w:style>
  <w:style w:type="character" w:styleId="Uppercase" w:customStyle="1">
    <w:name w:val="uppercase"/>
    <w:basedOn w:val="DefaultParagraphFont"/>
    <w:qFormat/>
    <w:rsid w:val="00d42645"/>
    <w:rPr/>
  </w:style>
  <w:style w:type="character" w:styleId="Annotationreference">
    <w:name w:val="annotation reference"/>
    <w:basedOn w:val="DefaultParagraphFont"/>
    <w:uiPriority w:val="99"/>
    <w:semiHidden/>
    <w:unhideWhenUsed/>
    <w:qFormat/>
    <w:rsid w:val="00a12d91"/>
    <w:rPr>
      <w:sz w:val="16"/>
      <w:szCs w:val="16"/>
    </w:rPr>
  </w:style>
  <w:style w:type="character" w:styleId="CommentaireCar" w:customStyle="1">
    <w:name w:val="Commentaire Car"/>
    <w:basedOn w:val="DefaultParagraphFont"/>
    <w:link w:val="Annotationtext"/>
    <w:uiPriority w:val="99"/>
    <w:qFormat/>
    <w:rsid w:val="00a12d91"/>
    <w:rPr>
      <w:sz w:val="20"/>
      <w:szCs w:val="20"/>
    </w:rPr>
  </w:style>
  <w:style w:type="character" w:styleId="ObjetducommentaireCar" w:customStyle="1">
    <w:name w:val="Objet du commentaire Car"/>
    <w:basedOn w:val="CommentaireCar"/>
    <w:link w:val="Annotationsubject"/>
    <w:uiPriority w:val="99"/>
    <w:semiHidden/>
    <w:qFormat/>
    <w:rsid w:val="00a12d91"/>
    <w:rPr>
      <w:b/>
      <w:bCs/>
      <w:sz w:val="20"/>
      <w:szCs w:val="20"/>
    </w:rPr>
  </w:style>
  <w:style w:type="character" w:styleId="Viiyi" w:customStyle="1">
    <w:name w:val="viiyi"/>
    <w:basedOn w:val="DefaultParagraphFont"/>
    <w:qFormat/>
    <w:rsid w:val="00dc0f31"/>
    <w:rPr/>
  </w:style>
  <w:style w:type="character" w:styleId="Titleauthoretc" w:customStyle="1">
    <w:name w:val="titleauthoretc"/>
    <w:basedOn w:val="DefaultParagraphFont"/>
    <w:qFormat/>
    <w:rsid w:val="003b5a37"/>
    <w:rPr/>
  </w:style>
  <w:style w:type="character" w:styleId="UnresolvedMention">
    <w:name w:val="Unresolved Mention"/>
    <w:basedOn w:val="DefaultParagraphFont"/>
    <w:uiPriority w:val="99"/>
    <w:semiHidden/>
    <w:unhideWhenUsed/>
    <w:qFormat/>
    <w:rsid w:val="00be53dd"/>
    <w:rPr>
      <w:color w:val="605E5C"/>
      <w:shd w:fill="E1DFDD" w:val="clear"/>
    </w:rPr>
  </w:style>
  <w:style w:type="character" w:styleId="Fontstyle31" w:customStyle="1">
    <w:name w:val="fontstyle31"/>
    <w:basedOn w:val="DefaultParagraphFont"/>
    <w:qFormat/>
    <w:rsid w:val="007c5554"/>
    <w:rPr>
      <w:rFonts w:ascii="TimesNewRomanPS-BoldMT" w:hAnsi="TimesNewRomanPS-BoldMT"/>
      <w:b/>
      <w:bCs/>
      <w:i w:val="false"/>
      <w:iCs w:val="false"/>
      <w:color w:val="000000"/>
      <w:sz w:val="22"/>
      <w:szCs w:val="22"/>
    </w:rPr>
  </w:style>
  <w:style w:type="character" w:styleId="FollowedHyperlink">
    <w:name w:val="FollowedHyperlink"/>
    <w:basedOn w:val="DefaultParagraphFont"/>
    <w:uiPriority w:val="99"/>
    <w:semiHidden/>
    <w:unhideWhenUsed/>
    <w:rsid w:val="00a76f8d"/>
    <w:rPr>
      <w:color w:themeColor="followedHyperlink" w:val="954F72"/>
      <w:u w:val="single"/>
    </w:rPr>
  </w:style>
  <w:style w:type="character" w:styleId="Puces">
    <w:name w:val="Puces"/>
    <w:qFormat/>
    <w:rPr>
      <w:rFonts w:ascii="OpenSymbol" w:hAnsi="OpenSymbol" w:eastAsia="OpenSymbol" w:cs="OpenSymbol"/>
    </w:rPr>
  </w:style>
  <w:style w:type="character" w:styleId="EndnoteReference">
    <w:name w:val="Endnote Reference"/>
    <w:rPr>
      <w:vertAlign w:val="superscript"/>
    </w:rPr>
  </w:style>
  <w:style w:type="character" w:styleId="Caractresdenotedefin">
    <w:name w:val="Caractères de note de fin"/>
    <w:qFormat/>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FootnoteText">
    <w:name w:val="Footnote Text"/>
    <w:basedOn w:val="Normal"/>
    <w:link w:val="NotedebasdepageCar"/>
    <w:uiPriority w:val="99"/>
    <w:unhideWhenUsed/>
    <w:rsid w:val="00350e00"/>
    <w:pPr>
      <w:spacing w:lineRule="auto" w:line="240" w:before="0" w:after="0"/>
    </w:pPr>
    <w:rPr>
      <w:sz w:val="20"/>
      <w:szCs w:val="20"/>
    </w:rPr>
  </w:style>
  <w:style w:type="paragraph" w:styleId="ListParagraph">
    <w:name w:val="List Paragraph"/>
    <w:basedOn w:val="Normal"/>
    <w:uiPriority w:val="34"/>
    <w:qFormat/>
    <w:rsid w:val="00ce4134"/>
    <w:pPr>
      <w:spacing w:before="0" w:after="160"/>
      <w:ind w:left="720"/>
      <w:contextualSpacing/>
    </w:pPr>
    <w:rPr/>
  </w:style>
  <w:style w:type="paragraph" w:styleId="NormalWeb">
    <w:name w:val="Normal (Web)"/>
    <w:basedOn w:val="Normal"/>
    <w:uiPriority w:val="99"/>
    <w:unhideWhenUsed/>
    <w:qFormat/>
    <w:rsid w:val="006158d5"/>
    <w:pPr>
      <w:spacing w:lineRule="auto" w:line="240" w:beforeAutospacing="1" w:afterAutospacing="1"/>
    </w:pPr>
    <w:rPr>
      <w:rFonts w:ascii="Times New Roman" w:hAnsi="Times New Roman" w:eastAsia="Times New Roman" w:cs="Times New Roman"/>
      <w:sz w:val="24"/>
      <w:szCs w:val="24"/>
      <w:lang w:eastAsia="fr-FR"/>
    </w:rPr>
  </w:style>
  <w:style w:type="paragraph" w:styleId="Yiv0135561599ydp56ef44e6msonormal" w:customStyle="1">
    <w:name w:val="yiv0135561599ydp56ef44e6msonormal"/>
    <w:basedOn w:val="Normal"/>
    <w:qFormat/>
    <w:rsid w:val="00ad17d3"/>
    <w:pPr>
      <w:spacing w:lineRule="auto" w:line="240" w:beforeAutospacing="1" w:afterAutospacing="1"/>
    </w:pPr>
    <w:rPr>
      <w:rFonts w:ascii="Times New Roman" w:hAnsi="Times New Roman" w:eastAsia="Times New Roman" w:cs="Times New Roman"/>
      <w:sz w:val="24"/>
      <w:szCs w:val="24"/>
      <w:lang w:val="fr-BE" w:eastAsia="fr-BE"/>
    </w:rPr>
  </w:style>
  <w:style w:type="paragraph" w:styleId="Annotationtext">
    <w:name w:val="annotation text"/>
    <w:basedOn w:val="Normal"/>
    <w:link w:val="CommentaireCar"/>
    <w:uiPriority w:val="99"/>
    <w:unhideWhenUsed/>
    <w:qFormat/>
    <w:rsid w:val="00a12d91"/>
    <w:pPr>
      <w:spacing w:lineRule="auto" w:line="240"/>
    </w:pPr>
    <w:rPr>
      <w:sz w:val="20"/>
      <w:szCs w:val="20"/>
    </w:rPr>
  </w:style>
  <w:style w:type="paragraph" w:styleId="Annotationsubject">
    <w:name w:val="annotation subject"/>
    <w:basedOn w:val="Annotationtext"/>
    <w:next w:val="Annotationtext"/>
    <w:link w:val="ObjetducommentaireCar"/>
    <w:uiPriority w:val="99"/>
    <w:semiHidden/>
    <w:unhideWhenUsed/>
    <w:qFormat/>
    <w:rsid w:val="00a12d91"/>
    <w:pPr/>
    <w:rPr>
      <w:b/>
      <w:bCs/>
    </w:rPr>
  </w:style>
  <w:style w:type="paragraph" w:styleId="Revision">
    <w:name w:val="Revision"/>
    <w:uiPriority w:val="99"/>
    <w:semiHidden/>
    <w:qFormat/>
    <w:rsid w:val="00c96e6b"/>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TableauGrille4-Accentuation3">
    <w:name w:val="Grid Table 4 Accent 3"/>
    <w:basedOn w:val="TableauNormal"/>
    <w:uiPriority w:val="49"/>
    <w:rsid w:val="00eb424b"/>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Pr/>
    </w:tblStylePr>
    <w:tblStylePr w:type="lastCol">
      <w:rPr>
        <w:b/>
        <w:bCs/>
      </w:rPr>
      <w:tbl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4-Accentuation1">
    <w:name w:val="Grid Table 4 Accent 1"/>
    <w:basedOn w:val="TableauNormal"/>
    <w:uiPriority w:val="49"/>
    <w:rsid w:val="000b29dd"/>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Pr/>
    </w:tblStylePr>
    <w:tblStylePr w:type="lastCol">
      <w:rPr>
        <w:b/>
        <w:bCs/>
      </w:rPr>
      <w:tbl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1Clair">
    <w:name w:val="Grid Table 1 Light"/>
    <w:basedOn w:val="TableauNormal"/>
    <w:uiPriority w:val="46"/>
    <w:rsid w:val="001774c5"/>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sz="12" w:space="0"/>
        </w:tcBorders>
      </w:tcPr>
    </w:tblStylePr>
    <w:tblStylePr w:type="lastRow">
      <w:rPr>
        <w:b/>
        <w:bCs/>
      </w:rPr>
      <w:tblPr/>
      <w:tcPr>
        <w:tcBorders>
          <w:top w:val="double" w:color="666666" w:themeColor="text1" w:sz="2" w:space="0"/>
        </w:tcBorders>
      </w:tcPr>
    </w:tblStylePr>
    <w:tblStylePr w:type="firstCol">
      <w:rPr>
        <w:b/>
        <w:bCs/>
      </w:rPr>
      <w:tblPr/>
    </w:tblStylePr>
    <w:tblStylePr w:type="lastCol">
      <w:rPr>
        <w:b/>
        <w:bCs/>
      </w:rPr>
      <w:tblPr/>
    </w:tblStylePr>
  </w:style>
  <w:style w:type="table" w:styleId="Grilledutableau">
    <w:name w:val="Table Grid"/>
    <w:basedOn w:val="TableauNormal"/>
    <w:uiPriority w:val="39"/>
    <w:rsid w:val="00cd0bf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comments" Target="comment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2D24F-44ED-4AA9-9590-36A16E5FA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1543</TotalTime>
  <Application>LibreOffice/7.6.0.3$Windows_X86_64 LibreOffice_project/69edd8b8ebc41d00b4de3915dc82f8f0fc3b6265</Application>
  <AppVersion>15.0000</AppVersion>
  <Pages>22</Pages>
  <Words>11338</Words>
  <Characters>61867</Characters>
  <CharactersWithSpaces>72971</CharactersWithSpaces>
  <Paragraphs>273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2022-09-15T13:48:00Z</dcterms:created>
  <dc:creator>Jessy Bailly</dc:creator>
  <dc:description/>
  <dc:language>fr-FR</dc:language>
  <cp:lastModifiedBy/>
  <dcterms:modified xsi:type="dcterms:W3CDTF">2023-09-18T13:20:59Z</dcterms:modified>
  <cp:revision>2611</cp:revision>
  <dc:subject/>
  <dc:title/>
</cp:coreProperties>
</file>

<file path=docProps/custom.xml><?xml version="1.0" encoding="utf-8"?>
<Properties xmlns="http://schemas.openxmlformats.org/officeDocument/2006/custom-properties" xmlns:vt="http://schemas.openxmlformats.org/officeDocument/2006/docPropsVTypes"/>
</file>