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908D1" w14:textId="77777777" w:rsidR="00C2518B" w:rsidRDefault="00C2518B" w:rsidP="001D1A8B">
      <w:pPr>
        <w:pStyle w:val="paragraph"/>
        <w:spacing w:before="0" w:beforeAutospacing="0" w:after="0" w:afterAutospacing="0"/>
        <w:jc w:val="both"/>
        <w:textAlignment w:val="baseline"/>
        <w:rPr>
          <w:i/>
          <w:iCs/>
          <w:lang w:val="fr-FR"/>
        </w:rPr>
      </w:pPr>
    </w:p>
    <w:p w14:paraId="2A161735" w14:textId="77777777" w:rsidR="00D85E56" w:rsidRPr="00D85E56" w:rsidRDefault="00D85E56" w:rsidP="001D1A8B">
      <w:pPr>
        <w:autoSpaceDE w:val="0"/>
        <w:autoSpaceDN w:val="0"/>
        <w:adjustRightInd w:val="0"/>
        <w:jc w:val="both"/>
        <w:rPr>
          <w:rFonts w:eastAsiaTheme="minorEastAsia"/>
          <w:b/>
          <w:bCs/>
          <w:color w:val="191918"/>
          <w:sz w:val="22"/>
          <w:szCs w:val="22"/>
          <w:lang w:val="fr-FR"/>
        </w:rPr>
      </w:pPr>
      <w:r w:rsidRPr="00D85E56">
        <w:rPr>
          <w:rFonts w:eastAsiaTheme="minorEastAsia"/>
          <w:b/>
          <w:bCs/>
          <w:color w:val="191918"/>
          <w:sz w:val="22"/>
          <w:szCs w:val="22"/>
          <w:lang w:val="fr-FR"/>
        </w:rPr>
        <w:t>3</w:t>
      </w:r>
      <w:r w:rsidRPr="00D85E56">
        <w:rPr>
          <w:rFonts w:eastAsiaTheme="minorEastAsia"/>
          <w:b/>
          <w:bCs/>
          <w:color w:val="191918"/>
          <w:sz w:val="13"/>
          <w:szCs w:val="13"/>
          <w:lang w:val="fr-FR"/>
        </w:rPr>
        <w:t xml:space="preserve">e </w:t>
      </w:r>
      <w:r w:rsidRPr="00D85E56">
        <w:rPr>
          <w:rFonts w:eastAsiaTheme="minorEastAsia"/>
          <w:b/>
          <w:bCs/>
          <w:color w:val="191918"/>
          <w:sz w:val="22"/>
          <w:szCs w:val="22"/>
          <w:lang w:val="fr-FR"/>
        </w:rPr>
        <w:t>PARTIE : LES INFRACTIONS PRÉVUES PAR LES LOIS PARTICULIÈRES</w:t>
      </w:r>
    </w:p>
    <w:p w14:paraId="0ABC164A" w14:textId="77777777" w:rsidR="00D85E56" w:rsidRDefault="00D85E56" w:rsidP="001D1A8B">
      <w:pPr>
        <w:pStyle w:val="paragraph"/>
        <w:spacing w:before="0" w:beforeAutospacing="0" w:after="0" w:afterAutospacing="0"/>
        <w:jc w:val="both"/>
        <w:textAlignment w:val="baseline"/>
        <w:rPr>
          <w:rFonts w:eastAsiaTheme="minorEastAsia"/>
          <w:color w:val="191918"/>
          <w:sz w:val="22"/>
          <w:szCs w:val="22"/>
          <w:lang w:val="fr-FR"/>
        </w:rPr>
      </w:pPr>
    </w:p>
    <w:p w14:paraId="04115687" w14:textId="2866CC65" w:rsidR="005B4FB2" w:rsidRPr="005B4FB2" w:rsidRDefault="005B4FB2" w:rsidP="001D1A8B">
      <w:pPr>
        <w:pStyle w:val="paragraph"/>
        <w:spacing w:before="0" w:beforeAutospacing="0" w:after="0" w:afterAutospacing="0"/>
        <w:jc w:val="both"/>
        <w:textAlignment w:val="baseline"/>
        <w:rPr>
          <w:i/>
          <w:iCs/>
          <w:lang w:val="fr-FR"/>
        </w:rPr>
      </w:pPr>
      <w:r w:rsidRPr="005B4FB2">
        <w:rPr>
          <w:i/>
          <w:iCs/>
          <w:lang w:val="fr-FR"/>
        </w:rPr>
        <w:t>AIDE AUX VICTIMES</w:t>
      </w:r>
    </w:p>
    <w:p w14:paraId="027FD0BE" w14:textId="77777777" w:rsidR="005B4FB2" w:rsidRPr="00530BD2" w:rsidRDefault="005B4FB2" w:rsidP="001D1A8B">
      <w:pPr>
        <w:jc w:val="both"/>
        <w:rPr>
          <w:b/>
          <w:bCs/>
          <w:color w:val="000000"/>
          <w:shd w:val="clear" w:color="auto" w:fill="FFFFFF"/>
          <w:lang w:val="fr-FR"/>
        </w:rPr>
      </w:pPr>
    </w:p>
    <w:p w14:paraId="7C77AEC9" w14:textId="6E5A93AA" w:rsidR="005B4FB2" w:rsidRPr="00530BD2" w:rsidRDefault="005B4FB2" w:rsidP="001D1A8B">
      <w:pPr>
        <w:jc w:val="both"/>
        <w:rPr>
          <w:b/>
          <w:bCs/>
          <w:color w:val="000000"/>
          <w:shd w:val="clear" w:color="auto" w:fill="FFFFFF"/>
          <w:lang w:val="fr-FR"/>
        </w:rPr>
      </w:pPr>
      <w:r w:rsidRPr="00530BD2">
        <w:rPr>
          <w:b/>
          <w:bCs/>
          <w:color w:val="000000"/>
          <w:shd w:val="clear" w:color="auto" w:fill="FFFFFF"/>
          <w:lang w:val="fr-FR"/>
        </w:rPr>
        <w:t>Aide aux victimes d’actes de violence – Solidarité collective – Implication de la victime dans les faits à l’origine de sa demande – Comportement délictueux – Réaction disproportionnée – Risque assumé – Refus de l’aide</w:t>
      </w:r>
    </w:p>
    <w:p w14:paraId="167943D8" w14:textId="77777777" w:rsidR="005B4FB2" w:rsidRPr="00530BD2" w:rsidRDefault="005B4FB2" w:rsidP="001D1A8B">
      <w:pPr>
        <w:jc w:val="both"/>
        <w:rPr>
          <w:b/>
          <w:bCs/>
          <w:color w:val="000000"/>
          <w:shd w:val="clear" w:color="auto" w:fill="FFFFFF"/>
          <w:lang w:val="fr-FR"/>
        </w:rPr>
      </w:pPr>
    </w:p>
    <w:p w14:paraId="3C63BB1B" w14:textId="73DC2BC1" w:rsidR="005B4FB2" w:rsidRPr="005B4FB2" w:rsidRDefault="005B4FB2" w:rsidP="001D1A8B">
      <w:pPr>
        <w:jc w:val="both"/>
        <w:rPr>
          <w:color w:val="000000"/>
          <w:lang w:val="fr-FR"/>
        </w:rPr>
      </w:pPr>
      <w:r w:rsidRPr="00530BD2">
        <w:rPr>
          <w:color w:val="000000"/>
          <w:lang w:val="fr-FR"/>
        </w:rPr>
        <w:t>Il semble peu équitable, dans un système fondé sur le principe de solidarité collective entre les membres d'une même nation et sur la notion de risque social anormal entraînant une rupture de l'égalité des citoyens devant les charges publiques, qu'il ne soit pas permis de tenir compte de l'implication de la victime dans les faits à l'origine de sa demande d'aide financière. Dès lors que le demandeur d'aide adoptait, tout à fait consciemment et sciemment, un comportement délictueux, il acceptait un risque inhérent à ce comportement, en ce compris la réaction disproportionnée de la victime dudit comportement. En pareil cas, l'octroi du bénéfice de la solidarité collective en raison d'un risque social anormal et d'un comportement volontairement préjudiciable à autrui, heurterait l'équité</w:t>
      </w:r>
      <w:r>
        <w:rPr>
          <w:color w:val="000000"/>
          <w:lang w:val="fr-FR"/>
        </w:rPr>
        <w:t xml:space="preserve"> </w:t>
      </w:r>
      <w:r w:rsidRPr="00530BD2">
        <w:rPr>
          <w:color w:val="000000"/>
          <w:shd w:val="clear" w:color="auto" w:fill="FFFFFF"/>
          <w:lang w:val="fr-FR"/>
        </w:rPr>
        <w:t>(Commission pour l'aide financière aux victimes d'actes intentionnels de violence (4</w:t>
      </w:r>
      <w:r w:rsidRPr="00530BD2">
        <w:rPr>
          <w:color w:val="000000"/>
          <w:shd w:val="clear" w:color="auto" w:fill="FFFFFF"/>
          <w:vertAlign w:val="superscript"/>
          <w:lang w:val="fr-FR"/>
        </w:rPr>
        <w:t>e</w:t>
      </w:r>
      <w:r w:rsidRPr="00530BD2">
        <w:rPr>
          <w:color w:val="000000"/>
          <w:shd w:val="clear" w:color="auto" w:fill="FFFFFF"/>
          <w:lang w:val="fr-FR"/>
        </w:rPr>
        <w:t xml:space="preserve"> ch.), 3 janvier 2023,</w:t>
      </w:r>
      <w:r w:rsidRPr="00530BD2">
        <w:rPr>
          <w:rStyle w:val="apple-converted-space"/>
          <w:color w:val="000000"/>
          <w:shd w:val="clear" w:color="auto" w:fill="FFFFFF"/>
          <w:lang w:val="fr-FR"/>
        </w:rPr>
        <w:t> </w:t>
      </w:r>
      <w:r w:rsidRPr="00530BD2">
        <w:rPr>
          <w:i/>
          <w:iCs/>
          <w:color w:val="000000"/>
          <w:lang w:val="fr-FR"/>
        </w:rPr>
        <w:t>J.L.M.B.</w:t>
      </w:r>
      <w:r w:rsidRPr="00530BD2">
        <w:rPr>
          <w:color w:val="000000"/>
          <w:shd w:val="clear" w:color="auto" w:fill="FFFFFF"/>
          <w:lang w:val="fr-FR"/>
        </w:rPr>
        <w:t>, 2023/4, pp. 182-184).</w:t>
      </w:r>
    </w:p>
    <w:p w14:paraId="628FDEFE" w14:textId="77777777" w:rsidR="005B4FB2" w:rsidRPr="00530BD2" w:rsidRDefault="005B4FB2" w:rsidP="001D1A8B">
      <w:pPr>
        <w:jc w:val="both"/>
        <w:rPr>
          <w:color w:val="000000"/>
          <w:shd w:val="clear" w:color="auto" w:fill="FFFFFF"/>
          <w:lang w:val="fr-FR"/>
        </w:rPr>
      </w:pPr>
    </w:p>
    <w:p w14:paraId="1FD9DD73" w14:textId="77777777" w:rsidR="005B4FB2" w:rsidRDefault="005B4FB2" w:rsidP="001D1A8B">
      <w:pPr>
        <w:autoSpaceDE w:val="0"/>
        <w:autoSpaceDN w:val="0"/>
        <w:adjustRightInd w:val="0"/>
        <w:jc w:val="both"/>
        <w:rPr>
          <w:rFonts w:eastAsia="MS Mincho"/>
          <w:i/>
          <w:iCs/>
          <w:color w:val="000000"/>
          <w:lang w:val="fr-FR"/>
        </w:rPr>
      </w:pPr>
    </w:p>
    <w:p w14:paraId="23A52DE7" w14:textId="7798113A" w:rsidR="003F6A89" w:rsidRPr="00A96EE8" w:rsidRDefault="003F6A89" w:rsidP="001D1A8B">
      <w:pPr>
        <w:autoSpaceDE w:val="0"/>
        <w:autoSpaceDN w:val="0"/>
        <w:adjustRightInd w:val="0"/>
        <w:jc w:val="both"/>
        <w:rPr>
          <w:rFonts w:eastAsia="MS Mincho"/>
          <w:i/>
          <w:iCs/>
          <w:color w:val="000000"/>
          <w:lang w:val="fr-FR"/>
        </w:rPr>
      </w:pPr>
      <w:r w:rsidRPr="00A96EE8">
        <w:rPr>
          <w:rFonts w:eastAsia="MS Mincho"/>
          <w:i/>
          <w:iCs/>
          <w:color w:val="000000"/>
          <w:lang w:val="fr-FR"/>
        </w:rPr>
        <w:t xml:space="preserve">COVID-19 </w:t>
      </w:r>
    </w:p>
    <w:p w14:paraId="32D40863" w14:textId="77777777" w:rsidR="005B4FB2" w:rsidRPr="00A96EE8" w:rsidRDefault="005B4FB2" w:rsidP="001D1A8B">
      <w:pPr>
        <w:autoSpaceDE w:val="0"/>
        <w:autoSpaceDN w:val="0"/>
        <w:adjustRightInd w:val="0"/>
        <w:jc w:val="both"/>
        <w:rPr>
          <w:rFonts w:eastAsia="MS Mincho"/>
          <w:color w:val="000000"/>
          <w:lang w:val="fr-FR"/>
        </w:rPr>
      </w:pPr>
    </w:p>
    <w:p w14:paraId="0785C4F7" w14:textId="77777777" w:rsidR="003F6A89" w:rsidRPr="00A96EE8" w:rsidRDefault="003F6A89" w:rsidP="001D1A8B">
      <w:pPr>
        <w:jc w:val="both"/>
        <w:rPr>
          <w:b/>
          <w:bCs/>
          <w:color w:val="000000"/>
          <w:shd w:val="clear" w:color="auto" w:fill="FFFFFF"/>
        </w:rPr>
      </w:pPr>
      <w:r w:rsidRPr="00A96EE8">
        <w:rPr>
          <w:b/>
          <w:bCs/>
          <w:color w:val="000000"/>
          <w:shd w:val="clear" w:color="auto" w:fill="FFFFFF"/>
        </w:rPr>
        <w:t xml:space="preserve">Covid-19 – Arrêtés ministériels – Art. 181, 182 et 187 de la loi relative à la sécurité civile du 15 mai 2007 – Infractions – Principe de légalité – Interprétation stricte de la loi pénale – Recevabilité des poursuites – Irrecevabilité des poursuites  </w:t>
      </w:r>
    </w:p>
    <w:p w14:paraId="31E1E969" w14:textId="77777777" w:rsidR="003F6A89" w:rsidRPr="00A96EE8" w:rsidRDefault="003F6A89" w:rsidP="001D1A8B">
      <w:pPr>
        <w:jc w:val="both"/>
        <w:rPr>
          <w:b/>
          <w:bCs/>
          <w:color w:val="000000"/>
          <w:shd w:val="clear" w:color="auto" w:fill="FFFFFF"/>
        </w:rPr>
      </w:pPr>
    </w:p>
    <w:p w14:paraId="42C42508" w14:textId="77777777" w:rsidR="003F6A89" w:rsidRPr="00A96EE8" w:rsidRDefault="003F6A89" w:rsidP="001D1A8B">
      <w:pPr>
        <w:jc w:val="both"/>
        <w:rPr>
          <w:color w:val="000000"/>
          <w:shd w:val="clear" w:color="auto" w:fill="FFFFFF"/>
        </w:rPr>
      </w:pPr>
      <w:r w:rsidRPr="00A96EE8">
        <w:rPr>
          <w:color w:val="000000"/>
          <w:shd w:val="clear" w:color="auto" w:fill="FFFFFF"/>
        </w:rPr>
        <w:t>Deux décisions, l’une du tribunal de police de Bruxelles, l’autre du tribunal de police du Brabant wallon (division de Nivelles), rendues à deux jours d’intervalle, illustrent la controverse judiciaire qui a entouré la légalité des infractions « Covid », contenues dans les arrêtés ministériels successifs adoptés entre mars 2020 et octobre 2021 sur la base de la loi relative à la sécurité civile du 15 mai 2007</w:t>
      </w:r>
      <w:r>
        <w:rPr>
          <w:rStyle w:val="Appelnotedebasdep"/>
          <w:color w:val="000000"/>
          <w:shd w:val="clear" w:color="auto" w:fill="FFFFFF"/>
        </w:rPr>
        <w:footnoteReference w:id="1"/>
      </w:r>
      <w:r>
        <w:rPr>
          <w:color w:val="000000"/>
          <w:shd w:val="clear" w:color="auto" w:fill="FFFFFF"/>
        </w:rPr>
        <w:t>.</w:t>
      </w:r>
    </w:p>
    <w:p w14:paraId="79CD6D1C" w14:textId="77777777" w:rsidR="003F6A89" w:rsidRPr="00A96EE8" w:rsidRDefault="003F6A89" w:rsidP="001D1A8B">
      <w:pPr>
        <w:jc w:val="both"/>
        <w:rPr>
          <w:color w:val="000000"/>
          <w:shd w:val="clear" w:color="auto" w:fill="FFFFFF"/>
        </w:rPr>
      </w:pPr>
    </w:p>
    <w:p w14:paraId="58DFB6C5" w14:textId="77777777" w:rsidR="003F6A89" w:rsidRPr="00A96EE8" w:rsidRDefault="003F6A89" w:rsidP="001D1A8B">
      <w:pPr>
        <w:jc w:val="both"/>
        <w:rPr>
          <w:color w:val="000000"/>
          <w:shd w:val="clear" w:color="auto" w:fill="FFFFFF"/>
        </w:rPr>
      </w:pPr>
      <w:r w:rsidRPr="00A96EE8">
        <w:rPr>
          <w:color w:val="000000"/>
          <w:shd w:val="clear" w:color="auto" w:fill="FFFFFF"/>
        </w:rPr>
        <w:t>Dans la première décision, qui date du 15 mars 2022, le juge conclut à la recevabilité des poursuites du chef de rassemblement illégal à plus de 4 personnes en intérieur, dès lors qu’il estime que la pandémie constitue bien une circonstance dangereuse au sens de la loi du 15 mai 2007, et que le ministre de l’Intérieur tire son pouvoir réglementaire de la loi du 31 décembre 1963. La prévenue indique</w:t>
      </w:r>
      <w:r>
        <w:rPr>
          <w:color w:val="000000"/>
          <w:shd w:val="clear" w:color="auto" w:fill="FFFFFF"/>
        </w:rPr>
        <w:t>,</w:t>
      </w:r>
      <w:r w:rsidRPr="00A96EE8">
        <w:rPr>
          <w:color w:val="000000"/>
          <w:shd w:val="clear" w:color="auto" w:fill="FFFFFF"/>
        </w:rPr>
        <w:t xml:space="preserve"> dans ses conclusions, que les arrêtés ministériels sur la base desquels l’infraction est constatée, ne relèvent pas de la condition d’urgence prévue par la loi du 15 mai 2007, puisqu’ils datent du mois d’avril 2021, soit plus d’un an après le début de la déclaration de la pandémie de Covid-19. Le juge répond que la situation pandémique est aussi grave qu’à ses début</w:t>
      </w:r>
      <w:r>
        <w:rPr>
          <w:color w:val="000000"/>
          <w:shd w:val="clear" w:color="auto" w:fill="FFFFFF"/>
        </w:rPr>
        <w:t>s</w:t>
      </w:r>
      <w:r w:rsidRPr="00A96EE8">
        <w:rPr>
          <w:color w:val="000000"/>
          <w:shd w:val="clear" w:color="auto" w:fill="FFFFFF"/>
        </w:rPr>
        <w:t>, en mars 2020, et que prétendre le contraire s’assimile à un déni de la réalité pandémique (Pol. Bruxelles (36</w:t>
      </w:r>
      <w:r w:rsidRPr="00A96EE8">
        <w:rPr>
          <w:color w:val="000000"/>
          <w:shd w:val="clear" w:color="auto" w:fill="FFFFFF"/>
          <w:vertAlign w:val="superscript"/>
        </w:rPr>
        <w:t>e</w:t>
      </w:r>
      <w:r w:rsidRPr="00A96EE8">
        <w:rPr>
          <w:color w:val="000000"/>
          <w:shd w:val="clear" w:color="auto" w:fill="FFFFFF"/>
        </w:rPr>
        <w:t xml:space="preserve"> </w:t>
      </w:r>
      <w:proofErr w:type="spellStart"/>
      <w:r w:rsidRPr="00A96EE8">
        <w:rPr>
          <w:color w:val="000000"/>
          <w:shd w:val="clear" w:color="auto" w:fill="FFFFFF"/>
        </w:rPr>
        <w:t>ch</w:t>
      </w:r>
      <w:proofErr w:type="spellEnd"/>
      <w:r w:rsidRPr="00A96EE8">
        <w:rPr>
          <w:color w:val="000000"/>
          <w:shd w:val="clear" w:color="auto" w:fill="FFFFFF"/>
        </w:rPr>
        <w:t> .), 15 mars 2022,</w:t>
      </w:r>
      <w:r w:rsidRPr="00A96EE8">
        <w:rPr>
          <w:rStyle w:val="apple-converted-space"/>
          <w:color w:val="000000"/>
          <w:shd w:val="clear" w:color="auto" w:fill="FFFFFF"/>
        </w:rPr>
        <w:t> </w:t>
      </w:r>
      <w:r w:rsidRPr="00A96EE8">
        <w:rPr>
          <w:i/>
          <w:iCs/>
          <w:color w:val="000000"/>
        </w:rPr>
        <w:t>J.L.M.B.</w:t>
      </w:r>
      <w:r w:rsidRPr="00A96EE8">
        <w:rPr>
          <w:color w:val="000000"/>
          <w:shd w:val="clear" w:color="auto" w:fill="FFFFFF"/>
        </w:rPr>
        <w:t xml:space="preserve">, 2023/5, p. 216 ; </w:t>
      </w:r>
      <w:r w:rsidRPr="00A96EE8">
        <w:rPr>
          <w:i/>
          <w:iCs/>
          <w:color w:val="000000"/>
        </w:rPr>
        <w:t>C.R.A.</w:t>
      </w:r>
      <w:r w:rsidRPr="00A96EE8">
        <w:rPr>
          <w:color w:val="000000"/>
          <w:shd w:val="clear" w:color="auto" w:fill="FFFFFF"/>
        </w:rPr>
        <w:t xml:space="preserve">, 2022/3, p. 48). </w:t>
      </w:r>
    </w:p>
    <w:p w14:paraId="1973771D" w14:textId="77777777" w:rsidR="003F6A89" w:rsidRPr="00A96EE8" w:rsidRDefault="003F6A89" w:rsidP="001D1A8B">
      <w:pPr>
        <w:jc w:val="both"/>
        <w:rPr>
          <w:color w:val="000000"/>
          <w:shd w:val="clear" w:color="auto" w:fill="FFFFFF"/>
        </w:rPr>
      </w:pPr>
    </w:p>
    <w:p w14:paraId="7DAD5B50" w14:textId="77777777" w:rsidR="003F6A89" w:rsidRPr="00A96EE8" w:rsidRDefault="003F6A89" w:rsidP="001D1A8B">
      <w:pPr>
        <w:jc w:val="both"/>
        <w:rPr>
          <w:color w:val="000000"/>
          <w:shd w:val="clear" w:color="auto" w:fill="FFFFFF"/>
        </w:rPr>
      </w:pPr>
      <w:r w:rsidRPr="00A96EE8">
        <w:rPr>
          <w:color w:val="000000"/>
          <w:shd w:val="clear" w:color="auto" w:fill="FFFFFF"/>
        </w:rPr>
        <w:t xml:space="preserve">La seconde décision, datée du 17 mars 2022, concerne des poursuites pour infractions aux dispositions sanitaires pour le secteur HoReCa. Le tribunal, faisant droit aux arguments du prévenu, conclut à l’irrecevabilité des poursuites au motif que l’habilitation donnée au ministre de l’Intérieur par l’article 187 de la loi du 15 mai 2007 se limite à des mesures de réquisition </w:t>
      </w:r>
      <w:r w:rsidRPr="00A96EE8">
        <w:rPr>
          <w:color w:val="000000"/>
          <w:shd w:val="clear" w:color="auto" w:fill="FFFFFF"/>
        </w:rPr>
        <w:lastRenderedPageBreak/>
        <w:t>des personnes et des choses (art. 181 de la loi) et d’évacuation de certains lieux dangereux (art. 182 de la loi). S’appuyant sur les principes de légalité et de sécurité juridique, le tribunal estime que les restrictions et mesures imposées au secteur de l’HoReCa sont incompatibles avec les mesures visées aux articles 181 et 182 et sanctionnées pénalement par l’article 187 de la loi, l’habilitation qu’elles contiennent devant s’interpréter strictement (Pol. Brabant wallon, div. Nivelles (3</w:t>
      </w:r>
      <w:r w:rsidRPr="00A96EE8">
        <w:rPr>
          <w:color w:val="000000"/>
          <w:shd w:val="clear" w:color="auto" w:fill="FFFFFF"/>
          <w:vertAlign w:val="superscript"/>
        </w:rPr>
        <w:t>e</w:t>
      </w:r>
      <w:r w:rsidRPr="00A96EE8">
        <w:rPr>
          <w:color w:val="000000"/>
          <w:shd w:val="clear" w:color="auto" w:fill="FFFFFF"/>
        </w:rPr>
        <w:t xml:space="preserve"> ch.), 17 mars 2022, </w:t>
      </w:r>
      <w:r w:rsidRPr="00A96EE8">
        <w:rPr>
          <w:i/>
          <w:iCs/>
          <w:color w:val="000000"/>
        </w:rPr>
        <w:t>J.L.M.B.</w:t>
      </w:r>
      <w:r w:rsidRPr="00A96EE8">
        <w:rPr>
          <w:color w:val="000000"/>
          <w:shd w:val="clear" w:color="auto" w:fill="FFFFFF"/>
        </w:rPr>
        <w:t xml:space="preserve">, 2023/5, p. 219, note F. </w:t>
      </w:r>
      <w:proofErr w:type="spellStart"/>
      <w:r w:rsidRPr="00A96EE8">
        <w:rPr>
          <w:smallCaps/>
          <w:color w:val="000000"/>
          <w:shd w:val="clear" w:color="auto" w:fill="FFFFFF"/>
        </w:rPr>
        <w:t>Bouhon</w:t>
      </w:r>
      <w:proofErr w:type="spellEnd"/>
      <w:r w:rsidRPr="00A96EE8">
        <w:rPr>
          <w:color w:val="000000"/>
          <w:shd w:val="clear" w:color="auto" w:fill="FFFFFF"/>
        </w:rPr>
        <w:t>).</w:t>
      </w:r>
    </w:p>
    <w:p w14:paraId="37159DAD" w14:textId="77777777" w:rsidR="003F6A89" w:rsidRPr="00A96EE8" w:rsidRDefault="003F6A89" w:rsidP="001D1A8B">
      <w:pPr>
        <w:jc w:val="both"/>
        <w:rPr>
          <w:b/>
          <w:bCs/>
          <w:color w:val="000000"/>
          <w:shd w:val="clear" w:color="auto" w:fill="FFFFFF"/>
        </w:rPr>
      </w:pPr>
    </w:p>
    <w:p w14:paraId="534EBD8E" w14:textId="77777777" w:rsidR="003F6A89" w:rsidRPr="00A96EE8" w:rsidRDefault="003F6A89" w:rsidP="001D1A8B">
      <w:pPr>
        <w:autoSpaceDE w:val="0"/>
        <w:autoSpaceDN w:val="0"/>
        <w:adjustRightInd w:val="0"/>
        <w:spacing w:after="280"/>
        <w:jc w:val="both"/>
        <w:rPr>
          <w:b/>
          <w:bCs/>
          <w:color w:val="000000"/>
          <w:lang w:val="fr-FR"/>
        </w:rPr>
      </w:pPr>
      <w:r w:rsidRPr="00A96EE8">
        <w:rPr>
          <w:b/>
          <w:bCs/>
          <w:color w:val="000000"/>
          <w:shd w:val="clear" w:color="auto" w:fill="FFFFFF"/>
        </w:rPr>
        <w:t xml:space="preserve">Covid-19 – Arrêtés ministériels – Art. 182 et 187 de la loi du 15 mai 2007 relative à la sécurité civile – Principe de légalité – Interprétation stricte de la loi pénale – Art. 12, al. 2 et 14 de la Constitution– Non violation – Circonstances atténuantes – Art. 85 et 100 </w:t>
      </w:r>
      <w:r>
        <w:rPr>
          <w:b/>
          <w:bCs/>
          <w:color w:val="000000"/>
          <w:shd w:val="clear" w:color="auto" w:fill="FFFFFF"/>
        </w:rPr>
        <w:t>du Code pénal</w:t>
      </w:r>
      <w:r w:rsidRPr="00A96EE8">
        <w:rPr>
          <w:b/>
          <w:bCs/>
          <w:color w:val="000000"/>
          <w:shd w:val="clear" w:color="auto" w:fill="FFFFFF"/>
        </w:rPr>
        <w:t xml:space="preserve"> – Art. 10 et 11 de la Constitution – Violation </w:t>
      </w:r>
    </w:p>
    <w:p w14:paraId="0ECAC3E9" w14:textId="77777777" w:rsidR="003F6A89" w:rsidRDefault="003F6A89" w:rsidP="001D1A8B">
      <w:pPr>
        <w:autoSpaceDE w:val="0"/>
        <w:autoSpaceDN w:val="0"/>
        <w:adjustRightInd w:val="0"/>
        <w:jc w:val="both"/>
        <w:rPr>
          <w:color w:val="000000"/>
          <w:lang w:val="fr-FR"/>
        </w:rPr>
      </w:pPr>
      <w:r w:rsidRPr="00A96EE8">
        <w:rPr>
          <w:color w:val="000000"/>
          <w:lang w:val="fr-FR"/>
        </w:rPr>
        <w:t>Par deux arrêts, datés respectivement du 22 septembre 2022 et du 22 décembre 2022, la Cour constitutionnelle répond à des questions préjudicielles concernant la compatibilité des articles 182 et 187, al</w:t>
      </w:r>
      <w:r>
        <w:rPr>
          <w:color w:val="000000"/>
          <w:lang w:val="fr-FR"/>
        </w:rPr>
        <w:t>inéa</w:t>
      </w:r>
      <w:r w:rsidRPr="00A96EE8">
        <w:rPr>
          <w:color w:val="000000"/>
          <w:lang w:val="fr-FR"/>
        </w:rPr>
        <w:t xml:space="preserve"> 1</w:t>
      </w:r>
      <w:r w:rsidRPr="00A96EE8">
        <w:rPr>
          <w:color w:val="000000"/>
          <w:vertAlign w:val="superscript"/>
          <w:lang w:val="fr-FR"/>
        </w:rPr>
        <w:t>er</w:t>
      </w:r>
      <w:r w:rsidRPr="00A96EE8">
        <w:rPr>
          <w:color w:val="000000"/>
          <w:lang w:val="fr-FR"/>
        </w:rPr>
        <w:t>, de la loi du 15 mai 2007 relative à la sécurité civile avec les articles 12, al</w:t>
      </w:r>
      <w:r>
        <w:rPr>
          <w:color w:val="000000"/>
          <w:lang w:val="fr-FR"/>
        </w:rPr>
        <w:t>inéa</w:t>
      </w:r>
      <w:r w:rsidRPr="00A96EE8">
        <w:rPr>
          <w:color w:val="000000"/>
          <w:lang w:val="fr-FR"/>
        </w:rPr>
        <w:t xml:space="preserve"> 2, et 14 de la Constitution. Une question préjudicielle portait également sur la compatibilité de l’article 187 de la loi avec les articles 10 et 11 de la Constitution, dès lors que cette disposition, ni aucune autre de la loi relative à la sécurité civile, ne prévoit la possibilité, pour le juge, de tenir compte de circonstances atténuantes. Les deux décisions sont examinées ensemble puisqu’elles apportent les mêmes réponses aux questions posées par les juridictions pénales.</w:t>
      </w:r>
    </w:p>
    <w:p w14:paraId="13CA7486" w14:textId="77777777" w:rsidR="003F6A89" w:rsidRPr="00A96EE8" w:rsidRDefault="003F6A89" w:rsidP="001D1A8B">
      <w:pPr>
        <w:autoSpaceDE w:val="0"/>
        <w:autoSpaceDN w:val="0"/>
        <w:adjustRightInd w:val="0"/>
        <w:jc w:val="both"/>
        <w:rPr>
          <w:color w:val="000000"/>
          <w:lang w:val="fr-FR"/>
        </w:rPr>
      </w:pPr>
    </w:p>
    <w:p w14:paraId="58E4F8F8" w14:textId="77777777" w:rsidR="003F6A89" w:rsidRPr="00A96EE8" w:rsidRDefault="003F6A89" w:rsidP="001D1A8B">
      <w:pPr>
        <w:autoSpaceDE w:val="0"/>
        <w:autoSpaceDN w:val="0"/>
        <w:adjustRightInd w:val="0"/>
        <w:jc w:val="both"/>
        <w:rPr>
          <w:color w:val="000000"/>
          <w:lang w:val="fr-FR"/>
        </w:rPr>
      </w:pPr>
      <w:r w:rsidRPr="00A96EE8">
        <w:rPr>
          <w:color w:val="000000"/>
          <w:lang w:val="fr-FR"/>
        </w:rPr>
        <w:t>S’agissant de la compatibilité de l’article 187, al</w:t>
      </w:r>
      <w:r>
        <w:rPr>
          <w:color w:val="000000"/>
          <w:lang w:val="fr-FR"/>
        </w:rPr>
        <w:t>inéa</w:t>
      </w:r>
      <w:r w:rsidRPr="00A96EE8">
        <w:rPr>
          <w:color w:val="000000"/>
          <w:lang w:val="fr-FR"/>
        </w:rPr>
        <w:t xml:space="preserve"> 1</w:t>
      </w:r>
      <w:r w:rsidRPr="00A96EE8">
        <w:rPr>
          <w:color w:val="000000"/>
          <w:vertAlign w:val="superscript"/>
          <w:lang w:val="fr-FR"/>
        </w:rPr>
        <w:t>er</w:t>
      </w:r>
      <w:r w:rsidRPr="00A96EE8">
        <w:rPr>
          <w:color w:val="000000"/>
          <w:lang w:val="fr-FR"/>
        </w:rPr>
        <w:t xml:space="preserve"> de la loi du 15 mai 2007 relative à la sécurité civile avec l’article 14 de la Constitution, la Cour constate que la disposition érige en infraction le « refus » ou la « négligence » de se conformer, en temps de paix, aux « mesures ordonnées » par le ministre compétent ou son délégué en application de l’article 182 de la loi, et que le non-respect des mesures ordonnées est puni des peines prévues à l</w:t>
      </w:r>
      <w:r>
        <w:rPr>
          <w:color w:val="000000"/>
          <w:lang w:val="fr-FR"/>
        </w:rPr>
        <w:t>’article 187, alinéa 1</w:t>
      </w:r>
      <w:r w:rsidRPr="006D576D">
        <w:rPr>
          <w:color w:val="000000"/>
          <w:vertAlign w:val="superscript"/>
          <w:lang w:val="fr-FR"/>
        </w:rPr>
        <w:t>er</w:t>
      </w:r>
      <w:r>
        <w:rPr>
          <w:color w:val="000000"/>
          <w:lang w:val="fr-FR"/>
        </w:rPr>
        <w:t>.</w:t>
      </w:r>
      <w:r w:rsidRPr="00A96EE8">
        <w:rPr>
          <w:color w:val="000000"/>
          <w:lang w:val="fr-FR"/>
        </w:rPr>
        <w:t xml:space="preserve"> Dès lors que les peines se trouvent fixées dans une disposition législative, elle estime que l’article 14 de la Constitution, qui consacre le principe de légalité des peines, n’est pas violé.</w:t>
      </w:r>
    </w:p>
    <w:p w14:paraId="63301616" w14:textId="77777777" w:rsidR="003F6A89" w:rsidRPr="00A96EE8" w:rsidRDefault="003F6A89" w:rsidP="001D1A8B">
      <w:pPr>
        <w:autoSpaceDE w:val="0"/>
        <w:autoSpaceDN w:val="0"/>
        <w:adjustRightInd w:val="0"/>
        <w:jc w:val="both"/>
        <w:rPr>
          <w:color w:val="000000"/>
          <w:lang w:val="fr-FR"/>
        </w:rPr>
      </w:pPr>
    </w:p>
    <w:p w14:paraId="46CC3B95" w14:textId="77777777" w:rsidR="003F6A89" w:rsidRPr="00A96EE8" w:rsidRDefault="003F6A89" w:rsidP="001D1A8B">
      <w:pPr>
        <w:autoSpaceDE w:val="0"/>
        <w:autoSpaceDN w:val="0"/>
        <w:adjustRightInd w:val="0"/>
        <w:jc w:val="both"/>
        <w:rPr>
          <w:color w:val="000000"/>
          <w:lang w:val="fr-FR"/>
        </w:rPr>
      </w:pPr>
      <w:r w:rsidRPr="00A96EE8">
        <w:rPr>
          <w:color w:val="000000"/>
          <w:lang w:val="fr-FR"/>
        </w:rPr>
        <w:t>Ensuite, la Cour examine la comptabilité de l’article 182 de la loi du 15 mai 2007 relative à la sécurité civile avec l’article 12, al</w:t>
      </w:r>
      <w:r>
        <w:rPr>
          <w:color w:val="000000"/>
          <w:lang w:val="fr-FR"/>
        </w:rPr>
        <w:t>inéa</w:t>
      </w:r>
      <w:r w:rsidRPr="00A96EE8">
        <w:rPr>
          <w:color w:val="000000"/>
          <w:lang w:val="fr-FR"/>
        </w:rPr>
        <w:t xml:space="preserve"> 2 de la Constitution. Elle constate que la disposition confère au ministre compétent, à son délégué ou au bourgmestre un pouvoir étendu pour prendre des mesures de police administrative en matière de sécurité civile, lorsque les conditions fixées par cette disposition sont réunies. Les termes « circonstances dangereuses » et « protection de la population » qui sont employés à l’article confèrent notamment au ministre une habilitation étendue. Dès lors que le législateur a précisé lui-même le but et les limites dans lesquels l’habilitation a été accordée, ainsi que le comportement jugé infractionnel, les composantes essentielles de l’incrimination ont été fixées par la loi et il est, de ce fait, satisfait au principe de légalité contenu dans l’article 12, al</w:t>
      </w:r>
      <w:r>
        <w:rPr>
          <w:color w:val="000000"/>
          <w:lang w:val="fr-FR"/>
        </w:rPr>
        <w:t>inéa</w:t>
      </w:r>
      <w:r w:rsidRPr="00A96EE8">
        <w:rPr>
          <w:color w:val="000000"/>
          <w:lang w:val="fr-FR"/>
        </w:rPr>
        <w:t xml:space="preserve"> 2 de la Constitution.</w:t>
      </w:r>
    </w:p>
    <w:p w14:paraId="2416AB0E" w14:textId="77777777" w:rsidR="003F6A89" w:rsidRPr="00A96EE8" w:rsidRDefault="003F6A89" w:rsidP="001D1A8B">
      <w:pPr>
        <w:autoSpaceDE w:val="0"/>
        <w:autoSpaceDN w:val="0"/>
        <w:adjustRightInd w:val="0"/>
        <w:jc w:val="both"/>
        <w:rPr>
          <w:color w:val="000000"/>
          <w:lang w:val="fr-FR"/>
        </w:rPr>
      </w:pPr>
    </w:p>
    <w:p w14:paraId="14AD0F75" w14:textId="77777777" w:rsidR="003F6A89" w:rsidRPr="00A96EE8" w:rsidRDefault="003F6A89" w:rsidP="001D1A8B">
      <w:pPr>
        <w:autoSpaceDE w:val="0"/>
        <w:autoSpaceDN w:val="0"/>
        <w:adjustRightInd w:val="0"/>
        <w:jc w:val="both"/>
        <w:rPr>
          <w:color w:val="000000"/>
          <w:lang w:val="fr-FR"/>
        </w:rPr>
      </w:pPr>
      <w:r w:rsidRPr="00A96EE8">
        <w:rPr>
          <w:color w:val="000000"/>
          <w:lang w:val="fr-FR"/>
        </w:rPr>
        <w:t xml:space="preserve">Dans les deux arrêts, la Cour conclut enfin à la violation des articles 10 et 11 de la Constitution par l’article 187 de la loi du 15 mai 2007, dès lors que la disposition ne permet pas de tenir compte des circonstances atténuantes, l’article 85 du Code pénal n’ayant pas été rendu applicable par une disposition particulière de la loi, et rend donc impossible la réduction des peines correctionnelles (C.C., arrêt n° 109/2022, 22 septembre 2022, </w:t>
      </w:r>
      <w:r w:rsidRPr="006D576D">
        <w:rPr>
          <w:i/>
          <w:iCs/>
          <w:color w:val="000000"/>
          <w:lang w:val="fr-FR"/>
        </w:rPr>
        <w:t>J.L.M.B</w:t>
      </w:r>
      <w:r w:rsidRPr="00A96EE8">
        <w:rPr>
          <w:color w:val="000000"/>
          <w:lang w:val="fr-FR"/>
        </w:rPr>
        <w:t xml:space="preserve">., p. 1597, note N. </w:t>
      </w:r>
      <w:r w:rsidRPr="00A96EE8">
        <w:rPr>
          <w:smallCaps/>
          <w:color w:val="000000"/>
          <w:lang w:val="fr-FR"/>
        </w:rPr>
        <w:t>Thirion</w:t>
      </w:r>
      <w:r w:rsidRPr="00A96EE8">
        <w:rPr>
          <w:color w:val="000000"/>
          <w:lang w:val="fr-FR"/>
        </w:rPr>
        <w:t xml:space="preserve"> et C.C., arrêt n° 170/2022, 22 décembre 2022</w:t>
      </w:r>
      <w:r>
        <w:rPr>
          <w:color w:val="000000"/>
          <w:lang w:val="fr-FR"/>
        </w:rPr>
        <w:t>).</w:t>
      </w:r>
      <w:r w:rsidRPr="00A96EE8">
        <w:rPr>
          <w:color w:val="000000"/>
          <w:lang w:val="fr-FR"/>
        </w:rPr>
        <w:t xml:space="preserve"> </w:t>
      </w:r>
    </w:p>
    <w:p w14:paraId="4E36A709" w14:textId="77777777" w:rsidR="003F6A89" w:rsidRPr="00A96EE8" w:rsidRDefault="003F6A89" w:rsidP="001D1A8B">
      <w:pPr>
        <w:autoSpaceDE w:val="0"/>
        <w:autoSpaceDN w:val="0"/>
        <w:adjustRightInd w:val="0"/>
        <w:jc w:val="both"/>
        <w:rPr>
          <w:rFonts w:eastAsia="MS Mincho"/>
          <w:i/>
          <w:iCs/>
          <w:color w:val="000000"/>
          <w:highlight w:val="yellow"/>
        </w:rPr>
      </w:pPr>
    </w:p>
    <w:p w14:paraId="4CB168B0" w14:textId="77777777" w:rsidR="00C2518B" w:rsidRDefault="00C2518B" w:rsidP="001D1A8B">
      <w:pPr>
        <w:pStyle w:val="paragraph"/>
        <w:spacing w:before="0" w:beforeAutospacing="0" w:after="0" w:afterAutospacing="0"/>
        <w:jc w:val="both"/>
        <w:textAlignment w:val="baseline"/>
        <w:rPr>
          <w:b/>
          <w:bCs/>
          <w:i/>
          <w:iCs/>
          <w:lang w:val="fr-FR"/>
        </w:rPr>
      </w:pPr>
    </w:p>
    <w:p w14:paraId="172DDCF8" w14:textId="26740A07" w:rsidR="0010567B" w:rsidRPr="00C2518B" w:rsidRDefault="0010567B" w:rsidP="001D1A8B">
      <w:pPr>
        <w:pStyle w:val="paragraph"/>
        <w:spacing w:before="0" w:beforeAutospacing="0" w:after="0" w:afterAutospacing="0"/>
        <w:jc w:val="both"/>
        <w:textAlignment w:val="baseline"/>
        <w:rPr>
          <w:i/>
          <w:iCs/>
          <w:lang w:val="fr-FR"/>
        </w:rPr>
      </w:pPr>
      <w:r w:rsidRPr="00C2518B">
        <w:rPr>
          <w:i/>
          <w:iCs/>
          <w:lang w:val="fr-FR"/>
        </w:rPr>
        <w:t>DISCRIMINATION, RACISME ET XENOPHOBIE</w:t>
      </w:r>
    </w:p>
    <w:p w14:paraId="5582CB97" w14:textId="77777777" w:rsidR="0010567B" w:rsidRPr="00530BD2" w:rsidRDefault="0010567B" w:rsidP="001D1A8B">
      <w:pPr>
        <w:autoSpaceDE w:val="0"/>
        <w:autoSpaceDN w:val="0"/>
        <w:adjustRightInd w:val="0"/>
        <w:jc w:val="both"/>
        <w:rPr>
          <w:color w:val="000000"/>
          <w:lang w:val="fr-FR"/>
        </w:rPr>
      </w:pPr>
    </w:p>
    <w:p w14:paraId="15C95439" w14:textId="0589562B" w:rsidR="0010567B" w:rsidRPr="00530BD2" w:rsidRDefault="00000000" w:rsidP="001D1A8B">
      <w:pPr>
        <w:autoSpaceDE w:val="0"/>
        <w:autoSpaceDN w:val="0"/>
        <w:adjustRightInd w:val="0"/>
        <w:jc w:val="both"/>
        <w:rPr>
          <w:color w:val="000000"/>
          <w:lang w:val="fr-FR"/>
        </w:rPr>
      </w:pPr>
      <w:dir w:val="ltr">
        <w:r w:rsidR="0010567B" w:rsidRPr="00530BD2">
          <w:rPr>
            <w:b/>
            <w:bCs/>
            <w:color w:val="000000"/>
            <w:lang w:val="fr-FR"/>
          </w:rPr>
          <w:t>Liberté d’expression (art</w:t>
        </w:r>
        <w:r w:rsidR="001D1A8B">
          <w:rPr>
            <w:b/>
            <w:bCs/>
            <w:color w:val="000000"/>
            <w:lang w:val="fr-FR"/>
          </w:rPr>
          <w:t>.</w:t>
        </w:r>
        <w:r w:rsidR="0010567B" w:rsidRPr="00530BD2">
          <w:rPr>
            <w:b/>
            <w:bCs/>
            <w:color w:val="000000"/>
            <w:lang w:val="fr-FR"/>
          </w:rPr>
          <w:t xml:space="preserve"> 10 C</w:t>
        </w:r>
        <w:dir w:val="ltr">
          <w:r w:rsidR="0010567B" w:rsidRPr="00530BD2">
            <w:rPr>
              <w:b/>
              <w:bCs/>
              <w:color w:val="000000"/>
              <w:lang w:val="fr-FR"/>
            </w:rPr>
            <w:t>EDH) – Internet – Site Internet – Réseaux sociaux – Incitation à la violence ou à la</w:t>
          </w:r>
          <w:r w:rsidR="0010567B" w:rsidRPr="00530BD2">
            <w:rPr>
              <w:rFonts w:eastAsia="MS Mincho"/>
              <w:b/>
              <w:bCs/>
              <w:color w:val="000000"/>
              <w:lang w:val="fr-FR"/>
            </w:rPr>
            <w:t>‬</w:t>
          </w:r>
          <w:r w:rsidR="0010567B" w:rsidRPr="00530BD2">
            <w:rPr>
              <w:b/>
              <w:bCs/>
              <w:color w:val="000000"/>
              <w:lang w:val="fr-FR"/>
            </w:rPr>
            <w:t xml:space="preserve"> </w:t>
          </w:r>
          <w:dir w:val="ltr">
            <w:r w:rsidR="0010567B" w:rsidRPr="00530BD2">
              <w:rPr>
                <w:b/>
                <w:bCs/>
                <w:color w:val="000000"/>
                <w:lang w:val="fr-FR"/>
              </w:rPr>
              <w:t>haine – Participation à un groupe prônant</w:t>
            </w:r>
            <w:r w:rsidR="0010567B" w:rsidRPr="00530BD2">
              <w:rPr>
                <w:rFonts w:eastAsia="MS Mincho"/>
                <w:b/>
                <w:bCs/>
                <w:color w:val="000000"/>
                <w:lang w:val="fr-FR"/>
              </w:rPr>
              <w:t xml:space="preserve"> </w:t>
            </w:r>
            <w:r w:rsidR="0010567B" w:rsidRPr="00530BD2">
              <w:rPr>
                <w:b/>
                <w:bCs/>
                <w:color w:val="000000"/>
                <w:lang w:val="fr-FR"/>
              </w:rPr>
              <w:t xml:space="preserve">la discrimination ou la ségrégation </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t>‬</w:t>
            </w:r>
            <w:r w:rsidR="0010567B">
              <w:t>‬</w:t>
            </w:r>
            <w:r w:rsidR="0010567B">
              <w:t>‬</w:t>
            </w:r>
            <w:r w:rsidR="0010567B">
              <w:t>‬</w:t>
            </w:r>
            <w:r w:rsidR="0010567B">
              <w:t>‬</w:t>
            </w:r>
            <w:r w:rsidR="0010567B">
              <w:t>‬</w:t>
            </w:r>
            <w:r w:rsidR="0010567B">
              <w:t>‬</w:t>
            </w:r>
            <w:r w:rsidR="0010567B">
              <w:t>‬</w:t>
            </w:r>
            <w:r w:rsidR="0010567B">
              <w:t>‬</w:t>
            </w:r>
            <w:r>
              <w:t>‬</w:t>
            </w:r>
            <w:r>
              <w:t>‬</w:t>
            </w:r>
            <w:r>
              <w:t>‬</w:t>
            </w:r>
            <w:r>
              <w:t>‬</w:t>
            </w:r>
            <w:r>
              <w:t>‬</w:t>
            </w:r>
            <w:r>
              <w:t>‬</w:t>
            </w:r>
            <w:r>
              <w:t>‬</w:t>
            </w:r>
            <w:r>
              <w:t>‬</w:t>
            </w:r>
            <w:r>
              <w:t>‬</w:t>
            </w:r>
            <w:r>
              <w:t>‬</w:t>
            </w:r>
            <w:r>
              <w:t>‬</w:t>
            </w:r>
            <w:r>
              <w:t>‬</w:t>
            </w:r>
            <w:r>
              <w:t>‬</w:t>
            </w:r>
            <w:r>
              <w:t>‬</w:t>
            </w:r>
            <w:r>
              <w:t>‬</w:t>
            </w:r>
            <w:r>
              <w:t>‬</w:t>
            </w:r>
            <w:r>
              <w:t>‬</w:t>
            </w:r>
            <w:r>
              <w:t>‬</w:t>
            </w:r>
          </w:dir>
        </w:dir>
      </w:dir>
    </w:p>
    <w:p w14:paraId="67B0C58D" w14:textId="77777777" w:rsidR="0010567B" w:rsidRPr="00530BD2" w:rsidRDefault="0010567B" w:rsidP="001D1A8B">
      <w:pPr>
        <w:autoSpaceDE w:val="0"/>
        <w:autoSpaceDN w:val="0"/>
        <w:adjustRightInd w:val="0"/>
        <w:jc w:val="both"/>
        <w:rPr>
          <w:color w:val="000000"/>
          <w:lang w:val="fr-FR"/>
        </w:rPr>
      </w:pPr>
    </w:p>
    <w:p w14:paraId="0397B0EE" w14:textId="77777777" w:rsidR="0010567B" w:rsidRPr="00530BD2" w:rsidRDefault="00000000" w:rsidP="001D1A8B">
      <w:pPr>
        <w:autoSpaceDE w:val="0"/>
        <w:autoSpaceDN w:val="0"/>
        <w:adjustRightInd w:val="0"/>
        <w:jc w:val="both"/>
        <w:rPr>
          <w:color w:val="000000"/>
          <w:lang w:val="fr-FR"/>
        </w:rPr>
      </w:pPr>
      <w:dir w:val="ltr">
        <w:r w:rsidR="0010567B" w:rsidRPr="00530BD2">
          <w:rPr>
            <w:lang w:val="fr-FR"/>
          </w:rPr>
          <w:t>Si les</w:t>
        </w:r>
        <w:r w:rsidR="0010567B" w:rsidRPr="00530BD2">
          <w:rPr>
            <w:color w:val="000000"/>
            <w:lang w:val="fr-FR"/>
          </w:rPr>
          <w:t xml:space="preserve"> comportements érigés en infraction pénale</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par les lois du 10 mai 2007 tendant à lutter</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contre certaines formes de discriminations et du</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30 juillet 1981 tendant à réprimer certains actes</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inspirés par le racisme ou la xénophobie constituent des ingérences dans le droit à la liberté</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d’expression, ce dernier principe n’est cependant pas sans</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limites, tout spécialement lorsqu’est en cause le</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respect de la dignité de la personne humaine. Dans cette affaire, les publications faisaient état de propos incitant à la violence ou à la haine.</w:t>
                      </w:r>
                      <w:r w:rsidR="0010567B" w:rsidRPr="00530BD2">
                        <w:rPr>
                          <w:rFonts w:eastAsia="MS Mincho"/>
                          <w:color w:val="000000"/>
                          <w:lang w:val="fr-FR"/>
                        </w:rPr>
                        <w:t>‬</w:t>
                      </w:r>
                      <w:r w:rsidR="0010567B" w:rsidRPr="00530BD2">
                        <w:rPr>
                          <w:color w:val="000000"/>
                          <w:lang w:val="fr-FR"/>
                        </w:rPr>
                        <w:t xml:space="preserve"> </w:t>
                      </w:r>
                      <w:dir w:val="lt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p>
    <w:p w14:paraId="6D6B53DB" w14:textId="77777777" w:rsidR="0010567B" w:rsidRPr="00530BD2" w:rsidRDefault="0010567B" w:rsidP="001D1A8B">
      <w:pPr>
        <w:autoSpaceDE w:val="0"/>
        <w:autoSpaceDN w:val="0"/>
        <w:adjustRightInd w:val="0"/>
        <w:jc w:val="both"/>
        <w:rPr>
          <w:color w:val="000000"/>
          <w:lang w:val="fr-FR"/>
        </w:rPr>
      </w:pPr>
    </w:p>
    <w:p w14:paraId="497CD7A4" w14:textId="77777777" w:rsidR="0010567B" w:rsidRPr="00530BD2" w:rsidRDefault="0010567B" w:rsidP="001D1A8B">
      <w:pPr>
        <w:autoSpaceDE w:val="0"/>
        <w:autoSpaceDN w:val="0"/>
        <w:adjustRightInd w:val="0"/>
        <w:contextualSpacing/>
        <w:jc w:val="both"/>
        <w:rPr>
          <w:color w:val="000000"/>
          <w:lang w:val="fr-FR"/>
        </w:rPr>
      </w:pPr>
      <w:r w:rsidRPr="00530BD2">
        <w:rPr>
          <w:color w:val="000000"/>
          <w:lang w:val="fr-FR"/>
        </w:rPr>
        <w:t>La cour d’appel de Liège a dès lors eu l’occasion de se prononcer sur la qualité d’administrateur et de modérateur</w:t>
      </w:r>
      <w:r w:rsidRPr="00530BD2">
        <w:rPr>
          <w:rFonts w:eastAsia="MS Mincho"/>
          <w:color w:val="000000"/>
          <w:lang w:val="fr-FR"/>
        </w:rPr>
        <w:t>‬</w:t>
      </w:r>
      <w:r w:rsidRPr="00530BD2">
        <w:rPr>
          <w:color w:val="000000"/>
          <w:lang w:val="fr-FR"/>
        </w:rPr>
        <w:t xml:space="preserve"> </w:t>
      </w:r>
      <w:dir w:val="ltr">
        <w:r w:rsidRPr="00530BD2">
          <w:rPr>
            <w:color w:val="000000"/>
            <w:lang w:val="fr-FR"/>
          </w:rPr>
          <w:t>d’un groupe Facebook. Cette qualité permet de modifier le</w:t>
        </w:r>
        <w:r w:rsidRPr="00530BD2">
          <w:rPr>
            <w:rFonts w:eastAsia="MS Mincho"/>
            <w:color w:val="000000"/>
            <w:lang w:val="fr-FR"/>
          </w:rPr>
          <w:t>‬</w:t>
        </w:r>
        <w:r w:rsidRPr="00530BD2">
          <w:rPr>
            <w:color w:val="000000"/>
            <w:lang w:val="fr-FR"/>
          </w:rPr>
          <w:t xml:space="preserve"> </w:t>
        </w:r>
        <w:dir w:val="ltr">
          <w:r w:rsidRPr="00530BD2">
            <w:rPr>
              <w:color w:val="000000"/>
              <w:lang w:val="fr-FR"/>
            </w:rPr>
            <w:t>contenu de ce groupe, de supprimer certains</w:t>
          </w:r>
          <w:r w:rsidRPr="00530BD2">
            <w:rPr>
              <w:rFonts w:eastAsia="MS Mincho"/>
              <w:color w:val="000000"/>
              <w:lang w:val="fr-FR"/>
            </w:rPr>
            <w:t>‬</w:t>
          </w:r>
          <w:r w:rsidRPr="00530BD2">
            <w:rPr>
              <w:color w:val="000000"/>
              <w:lang w:val="fr-FR"/>
            </w:rPr>
            <w:t xml:space="preserve"> </w:t>
          </w:r>
          <w:dir w:val="ltr">
            <w:r w:rsidRPr="00530BD2">
              <w:rPr>
                <w:color w:val="000000"/>
                <w:lang w:val="fr-FR"/>
              </w:rPr>
              <w:t xml:space="preserve">commentaires postés par des </w:t>
            </w:r>
            <w:r w:rsidRPr="00530BD2">
              <w:rPr>
                <w:i/>
                <w:iCs/>
                <w:color w:val="000000"/>
                <w:lang w:val="fr-FR"/>
              </w:rPr>
              <w:t>followers</w:t>
            </w:r>
            <w:r w:rsidRPr="00530BD2">
              <w:rPr>
                <w:color w:val="000000"/>
                <w:lang w:val="fr-FR"/>
              </w:rPr>
              <w:t>, de les</w:t>
            </w:r>
            <w:r w:rsidRPr="00530BD2">
              <w:rPr>
                <w:rFonts w:eastAsia="MS Mincho"/>
                <w:color w:val="000000"/>
                <w:lang w:val="fr-FR"/>
              </w:rPr>
              <w:t>‬</w:t>
            </w:r>
            <w:r w:rsidRPr="00530BD2">
              <w:rPr>
                <w:color w:val="000000"/>
                <w:lang w:val="fr-FR"/>
              </w:rPr>
              <w:t xml:space="preserve"> </w:t>
            </w:r>
            <w:dir w:val="ltr">
              <w:r w:rsidRPr="00530BD2">
                <w:rPr>
                  <w:color w:val="000000"/>
                  <w:lang w:val="fr-FR"/>
                </w:rPr>
                <w:t>laisser simplement en place, ou de réagir à ces</w:t>
              </w:r>
              <w:r w:rsidRPr="00530BD2">
                <w:rPr>
                  <w:rFonts w:eastAsia="MS Mincho"/>
                  <w:color w:val="000000"/>
                  <w:lang w:val="fr-FR"/>
                </w:rPr>
                <w:t>‬</w:t>
              </w:r>
              <w:r w:rsidRPr="00530BD2">
                <w:rPr>
                  <w:color w:val="000000"/>
                  <w:lang w:val="fr-FR"/>
                </w:rPr>
                <w:t xml:space="preserve"> </w:t>
              </w:r>
              <w:dir w:val="ltr">
                <w:r w:rsidRPr="00530BD2">
                  <w:rPr>
                    <w:color w:val="000000"/>
                    <w:lang w:val="fr-FR"/>
                  </w:rPr>
                  <w:t>commentaires. Lorsqu’il s’agit de propos incitant à la violence ou à la haine, les soutenir et</w:t>
                </w:r>
                <w:r w:rsidRPr="00530BD2">
                  <w:rPr>
                    <w:rFonts w:eastAsia="MS Mincho"/>
                    <w:color w:val="000000"/>
                    <w:lang w:val="fr-FR"/>
                  </w:rPr>
                  <w:t>‬</w:t>
                </w:r>
                <w:r w:rsidRPr="00530BD2">
                  <w:rPr>
                    <w:color w:val="000000"/>
                    <w:lang w:val="fr-FR"/>
                  </w:rPr>
                  <w:t xml:space="preserve"> </w:t>
                </w:r>
                <w:dir w:val="ltr">
                  <w:r w:rsidRPr="00530BD2">
                    <w:rPr>
                      <w:color w:val="000000"/>
                      <w:lang w:val="fr-FR"/>
                    </w:rPr>
                    <w:t>stimuler d’autres réactions haineuses ou racistes</w:t>
                  </w:r>
                  <w:r w:rsidRPr="00530BD2">
                    <w:rPr>
                      <w:rFonts w:eastAsia="MS Mincho"/>
                      <w:color w:val="000000"/>
                      <w:lang w:val="fr-FR"/>
                    </w:rPr>
                    <w:t>‬</w:t>
                  </w:r>
                  <w:r w:rsidRPr="00530BD2">
                    <w:rPr>
                      <w:color w:val="000000"/>
                      <w:lang w:val="fr-FR"/>
                    </w:rPr>
                    <w:t xml:space="preserve"> </w:t>
                  </w:r>
                  <w:dir w:val="ltr">
                    <w:r w:rsidRPr="00530BD2">
                      <w:rPr>
                        <w:color w:val="000000"/>
                        <w:lang w:val="fr-FR"/>
                      </w:rPr>
                      <w:t>correspond à un acte de participation, au sens de</w:t>
                    </w:r>
                    <w:r w:rsidRPr="00530BD2">
                      <w:rPr>
                        <w:rFonts w:eastAsia="MS Mincho"/>
                        <w:color w:val="000000"/>
                        <w:lang w:val="fr-FR"/>
                      </w:rPr>
                      <w:t>‬</w:t>
                    </w:r>
                    <w:r w:rsidRPr="00530BD2">
                      <w:rPr>
                        <w:color w:val="000000"/>
                        <w:lang w:val="fr-FR"/>
                      </w:rPr>
                      <w:t xml:space="preserve"> </w:t>
                    </w:r>
                    <w:dir w:val="ltr">
                      <w:r w:rsidRPr="00530BD2">
                        <w:rPr>
                          <w:color w:val="000000"/>
                          <w:lang w:val="fr-FR"/>
                        </w:rPr>
                        <w:t>l’article 66 du Code pénal.</w:t>
                      </w:r>
                      <w:r w:rsidRPr="00530BD2">
                        <w:rPr>
                          <w:rFonts w:eastAsia="MS Mincho"/>
                          <w:color w:val="000000"/>
                          <w:lang w:val="fr-FR"/>
                        </w:rPr>
                        <w:t>‬</w:t>
                      </w:r>
                      <w:r w:rsidRPr="00530BD2">
                        <w:rPr>
                          <w:color w:val="000000"/>
                          <w:lang w:val="fr-FR"/>
                        </w:rPr>
                        <w:t xml:space="preserve"> Le fait de </w:t>
                      </w:r>
                      <w:r w:rsidRPr="00530BD2">
                        <w:rPr>
                          <w:i/>
                          <w:iCs/>
                          <w:color w:val="000000"/>
                          <w:lang w:val="fr-FR"/>
                        </w:rPr>
                        <w:t>liker</w:t>
                      </w:r>
                      <w:r w:rsidRPr="00530BD2">
                        <w:rPr>
                          <w:color w:val="000000"/>
                          <w:lang w:val="fr-FR"/>
                        </w:rPr>
                        <w:t xml:space="preserve"> des commentaires clairement</w:t>
                      </w:r>
                      <w:r w:rsidRPr="00530BD2">
                        <w:rPr>
                          <w:rFonts w:eastAsia="MS Mincho"/>
                          <w:color w:val="000000"/>
                          <w:lang w:val="fr-FR"/>
                        </w:rPr>
                        <w:t>‬</w:t>
                      </w:r>
                      <w:r w:rsidRPr="00530BD2">
                        <w:rPr>
                          <w:color w:val="000000"/>
                          <w:lang w:val="fr-FR"/>
                        </w:rPr>
                        <w:t xml:space="preserve"> </w:t>
                      </w:r>
                      <w:dir w:val="ltr">
                        <w:r w:rsidRPr="00530BD2">
                          <w:rPr>
                            <w:color w:val="000000"/>
                            <w:lang w:val="fr-FR"/>
                          </w:rPr>
                          <w:t xml:space="preserve">racistes de </w:t>
                        </w:r>
                        <w:r w:rsidRPr="00530BD2">
                          <w:rPr>
                            <w:i/>
                            <w:iCs/>
                            <w:color w:val="000000"/>
                            <w:lang w:val="fr-FR"/>
                          </w:rPr>
                          <w:t>followers</w:t>
                        </w:r>
                        <w:r w:rsidRPr="00530BD2">
                          <w:rPr>
                            <w:color w:val="000000"/>
                            <w:lang w:val="fr-FR"/>
                          </w:rPr>
                          <w:t xml:space="preserve"> ne peut être compris que</w:t>
                        </w:r>
                        <w:r w:rsidRPr="00530BD2">
                          <w:rPr>
                            <w:rFonts w:eastAsia="MS Mincho"/>
                            <w:color w:val="000000"/>
                            <w:lang w:val="fr-FR"/>
                          </w:rPr>
                          <w:t>‬</w:t>
                        </w:r>
                        <w:r w:rsidRPr="00530BD2">
                          <w:rPr>
                            <w:color w:val="000000"/>
                            <w:lang w:val="fr-FR"/>
                          </w:rPr>
                          <w:t xml:space="preserve"> </w:t>
                        </w:r>
                        <w:dir w:val="ltr">
                          <w:r w:rsidRPr="00530BD2">
                            <w:rPr>
                              <w:color w:val="000000"/>
                              <w:lang w:val="fr-FR"/>
                            </w:rPr>
                            <w:t>comme une incitation à la haine contre des personnes d’un autre origine ou communauté</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 (L</w:t>
                          </w:r>
                          <w:r w:rsidRPr="00530BD2">
                            <w:rPr>
                              <w:color w:val="000000"/>
                              <w:lang w:val="fr-FR"/>
                            </w:rPr>
                            <w:t>iège (4</w:t>
                          </w:r>
                          <w:r w:rsidRPr="00530BD2">
                            <w:rPr>
                              <w:color w:val="000000"/>
                              <w:vertAlign w:val="superscript"/>
                              <w:lang w:val="fr-FR"/>
                            </w:rPr>
                            <w:t>e</w:t>
                          </w:r>
                          <w:r w:rsidRPr="00530BD2">
                            <w:rPr>
                              <w:color w:val="000000"/>
                              <w:lang w:val="fr-FR"/>
                            </w:rPr>
                            <w:t xml:space="preserve"> ch.)</w:t>
                          </w:r>
                          <w:r w:rsidRPr="00530BD2">
                            <w:rPr>
                              <w:rFonts w:eastAsia="MS Mincho"/>
                              <w:color w:val="000000"/>
                              <w:lang w:val="fr-FR"/>
                            </w:rPr>
                            <w:t>‬</w:t>
                          </w:r>
                          <w:r w:rsidRPr="00530BD2">
                            <w:rPr>
                              <w:color w:val="000000"/>
                              <w:lang w:val="fr-FR"/>
                            </w:rPr>
                            <w:t xml:space="preserve">, </w:t>
                          </w:r>
                          <w:dir w:val="ltr">
                            <w:r w:rsidRPr="00530BD2">
                              <w:rPr>
                                <w:color w:val="000000"/>
                                <w:lang w:val="fr-FR"/>
                              </w:rPr>
                              <w:t>30 juin 2021</w:t>
                            </w:r>
                            <w:r w:rsidRPr="00530BD2">
                              <w:rPr>
                                <w:rFonts w:eastAsia="MS Mincho"/>
                                <w:color w:val="000000"/>
                                <w:lang w:val="fr-FR"/>
                              </w:rPr>
                              <w:t xml:space="preserve">‬, </w:t>
                            </w:r>
                            <w:r w:rsidRPr="00530BD2">
                              <w:rPr>
                                <w:rFonts w:eastAsia="MS Mincho"/>
                                <w:i/>
                                <w:iCs/>
                                <w:color w:val="000000"/>
                                <w:lang w:val="fr-FR"/>
                              </w:rPr>
                              <w:t xml:space="preserve">Auteurs &amp; </w:t>
                            </w:r>
                            <w:proofErr w:type="spellStart"/>
                            <w:r w:rsidRPr="00530BD2">
                              <w:rPr>
                                <w:rFonts w:eastAsia="MS Mincho"/>
                                <w:i/>
                                <w:iCs/>
                                <w:color w:val="000000"/>
                                <w:lang w:val="fr-FR"/>
                              </w:rPr>
                              <w:t>Medias</w:t>
                            </w:r>
                            <w:proofErr w:type="spellEnd"/>
                            <w:r w:rsidRPr="00530BD2">
                              <w:rPr>
                                <w:rFonts w:eastAsia="MS Mincho"/>
                                <w:color w:val="000000"/>
                                <w:lang w:val="fr-FR"/>
                              </w:rPr>
                              <w:t>, 2022/1-3, p. 93).</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rsidRPr="00530BD2">
                              <w:rPr>
                                <w:lang w:val="fr-FR"/>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r w:rsidR="00000000">
                              <w:t>‬</w:t>
                            </w:r>
                            <w:r w:rsidR="00000000">
                              <w:t>‬</w:t>
                            </w:r>
                            <w:r w:rsidR="00000000">
                              <w:t>‬</w:t>
                            </w:r>
                            <w:r w:rsidR="00000000">
                              <w:t>‬</w:t>
                            </w:r>
                            <w:r w:rsidR="00000000">
                              <w:t>‬</w:t>
                            </w:r>
                            <w:r w:rsidR="00000000">
                              <w:t>‬</w:t>
                            </w:r>
                            <w:r w:rsidR="00000000">
                              <w:t>‬</w:t>
                            </w:r>
                            <w:r w:rsidR="00000000">
                              <w:t>‬</w:t>
                            </w:r>
                            <w:r w:rsidR="00000000">
                              <w:t>‬</w:t>
                            </w:r>
                            <w:r w:rsidR="00000000">
                              <w:t>‬</w:t>
                            </w:r>
                          </w:dir>
                        </w:dir>
                      </w:dir>
                    </w:dir>
                  </w:dir>
                </w:dir>
              </w:dir>
            </w:dir>
          </w:dir>
        </w:dir>
      </w:dir>
    </w:p>
    <w:p w14:paraId="55699BBF" w14:textId="77777777" w:rsidR="0010567B" w:rsidRPr="00530BD2" w:rsidRDefault="0010567B" w:rsidP="001D1A8B">
      <w:pPr>
        <w:autoSpaceDE w:val="0"/>
        <w:autoSpaceDN w:val="0"/>
        <w:adjustRightInd w:val="0"/>
        <w:contextualSpacing/>
        <w:jc w:val="both"/>
        <w:rPr>
          <w:b/>
          <w:bCs/>
          <w:color w:val="000000"/>
          <w:lang w:val="fr-FR"/>
        </w:rPr>
      </w:pPr>
    </w:p>
    <w:p w14:paraId="4F88E12D" w14:textId="297A41C2" w:rsidR="0010567B" w:rsidRPr="00530BD2" w:rsidRDefault="00000000" w:rsidP="001D1A8B">
      <w:pPr>
        <w:autoSpaceDE w:val="0"/>
        <w:autoSpaceDN w:val="0"/>
        <w:adjustRightInd w:val="0"/>
        <w:jc w:val="both"/>
        <w:rPr>
          <w:b/>
          <w:bCs/>
          <w:color w:val="000000"/>
          <w:lang w:val="fr-FR"/>
        </w:rPr>
      </w:pPr>
      <w:dir w:val="ltr">
        <w:r w:rsidR="0010567B" w:rsidRPr="00530BD2">
          <w:rPr>
            <w:b/>
            <w:bCs/>
            <w:color w:val="000000"/>
            <w:lang w:val="fr-FR"/>
          </w:rPr>
          <w:t xml:space="preserve">Incitation à la haine – </w:t>
        </w:r>
        <w:r w:rsidR="0010567B">
          <w:rPr>
            <w:b/>
            <w:bCs/>
            <w:color w:val="000000"/>
            <w:lang w:val="fr-FR"/>
          </w:rPr>
          <w:t>Mème</w:t>
        </w:r>
        <w:r w:rsidR="0010567B" w:rsidRPr="00530BD2">
          <w:rPr>
            <w:b/>
            <w:bCs/>
            <w:color w:val="000000"/>
            <w:lang w:val="fr-FR"/>
          </w:rPr>
          <w:t xml:space="preserve"> Internet –Islam – Approbation du génocide par les nazis</w:t>
        </w:r>
        <w:r w:rsidR="0010567B" w:rsidRPr="00530BD2">
          <w:rPr>
            <w:rFonts w:eastAsia="MS Mincho"/>
            <w:b/>
            <w:bCs/>
            <w:color w:val="000000"/>
            <w:lang w:val="fr-FR"/>
          </w:rPr>
          <w:t>‬</w:t>
        </w:r>
        <w:r w:rsidR="0010567B" w:rsidRPr="00530BD2">
          <w:rPr>
            <w:b/>
            <w:bCs/>
            <w:color w:val="000000"/>
            <w:lang w:val="fr-FR"/>
          </w:rPr>
          <w:t xml:space="preserve"> </w:t>
        </w:r>
        <w:dir w:val="ltr">
          <w:r w:rsidR="0010567B" w:rsidRPr="00530BD2">
            <w:rPr>
              <w:b/>
              <w:bCs/>
              <w:color w:val="000000"/>
              <w:lang w:val="fr-FR"/>
            </w:rPr>
            <w:t>pendant la Seconde Guerre mondiale – Satire</w:t>
          </w:r>
          <w:r w:rsidR="0010567B" w:rsidRPr="00530BD2">
            <w:rPr>
              <w:rFonts w:eastAsia="MS Mincho"/>
              <w:b/>
              <w:bCs/>
              <w:color w:val="000000"/>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t>‬</w:t>
          </w:r>
          <w:r w:rsidR="0010567B">
            <w:t>‬</w:t>
          </w:r>
          <w:r w:rsidR="0010567B">
            <w:t>‬</w:t>
          </w:r>
          <w:r w:rsidR="0010567B">
            <w:t>‬</w:t>
          </w:r>
          <w:r>
            <w:t>‬</w:t>
          </w:r>
          <w:r>
            <w:t>‬</w:t>
          </w:r>
          <w:r>
            <w:t>‬</w:t>
          </w:r>
          <w:r>
            <w:t>‬</w:t>
          </w:r>
          <w:r>
            <w:t>‬</w:t>
          </w:r>
          <w:r>
            <w:t>‬</w:t>
          </w:r>
          <w:r>
            <w:t>‬</w:t>
          </w:r>
          <w:r>
            <w:t>‬</w:t>
          </w:r>
        </w:dir>
      </w:dir>
    </w:p>
    <w:p w14:paraId="51335FAD" w14:textId="77777777" w:rsidR="0010567B" w:rsidRPr="00530BD2" w:rsidRDefault="0010567B" w:rsidP="001D1A8B">
      <w:pPr>
        <w:autoSpaceDE w:val="0"/>
        <w:autoSpaceDN w:val="0"/>
        <w:adjustRightInd w:val="0"/>
        <w:jc w:val="both"/>
        <w:rPr>
          <w:color w:val="000000"/>
          <w:lang w:val="fr-FR"/>
        </w:rPr>
      </w:pPr>
    </w:p>
    <w:p w14:paraId="3AEA5201" w14:textId="015F7664" w:rsidR="0010567B" w:rsidRDefault="00000000" w:rsidP="001D1A8B">
      <w:pPr>
        <w:autoSpaceDE w:val="0"/>
        <w:autoSpaceDN w:val="0"/>
        <w:adjustRightInd w:val="0"/>
        <w:jc w:val="both"/>
      </w:pPr>
      <w:dir w:val="ltr">
        <w:r w:rsidR="0010567B" w:rsidRPr="00530BD2">
          <w:rPr>
            <w:lang w:val="fr-FR"/>
          </w:rPr>
          <w:t xml:space="preserve">Cette affaire concernait un prévenu poursuivi </w:t>
        </w:r>
        <w:r w:rsidR="0010567B" w:rsidRPr="00530BD2">
          <w:rPr>
            <w:color w:val="000000"/>
            <w:lang w:val="fr-FR"/>
          </w:rPr>
          <w:t>pour incitation à la</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haine et/ou à la violence à l’égard d’un groupe</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et pour avoir approuvé le génocide perpétré par</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les nazis pendant la Seconde Guerre mondiale.</w:t>
              </w:r>
              <w:r w:rsidR="0010567B" w:rsidRPr="00530BD2">
                <w:rPr>
                  <w:rFonts w:eastAsia="MS Mincho"/>
                  <w:color w:val="000000"/>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p>
    <w:p w14:paraId="464D96A5" w14:textId="77777777" w:rsidR="00187F8A" w:rsidRPr="00530BD2" w:rsidRDefault="00187F8A" w:rsidP="001D1A8B">
      <w:pPr>
        <w:autoSpaceDE w:val="0"/>
        <w:autoSpaceDN w:val="0"/>
        <w:adjustRightInd w:val="0"/>
        <w:jc w:val="both"/>
        <w:rPr>
          <w:color w:val="000000"/>
          <w:lang w:val="fr-FR"/>
        </w:rPr>
      </w:pPr>
    </w:p>
    <w:p w14:paraId="4A58C841" w14:textId="77777777" w:rsidR="0010567B" w:rsidRPr="00530BD2" w:rsidRDefault="00000000" w:rsidP="001D1A8B">
      <w:pPr>
        <w:autoSpaceDE w:val="0"/>
        <w:autoSpaceDN w:val="0"/>
        <w:adjustRightInd w:val="0"/>
        <w:jc w:val="both"/>
        <w:rPr>
          <w:color w:val="000000"/>
          <w:lang w:val="fr-FR"/>
        </w:rPr>
      </w:pPr>
      <w:dir w:val="ltr">
        <w:r w:rsidR="0010567B" w:rsidRPr="00530BD2">
          <w:rPr>
            <w:color w:val="000000"/>
            <w:lang w:val="fr-FR"/>
          </w:rPr>
          <w:t xml:space="preserve">Ce sont des messages et des </w:t>
        </w:r>
        <w:r w:rsidR="0010567B" w:rsidRPr="006E3C76">
          <w:rPr>
            <w:color w:val="000000"/>
            <w:lang w:val="fr-FR"/>
          </w:rPr>
          <w:t>mèmes</w:t>
        </w:r>
        <w:r w:rsidR="0010567B">
          <w:rPr>
            <w:color w:val="000000"/>
            <w:lang w:val="fr-FR"/>
          </w:rPr>
          <w:t xml:space="preserve"> </w:t>
        </w:r>
        <w:r w:rsidR="0010567B" w:rsidRPr="00530BD2">
          <w:rPr>
            <w:color w:val="000000"/>
            <w:lang w:val="fr-FR"/>
          </w:rPr>
          <w:t>sur Internet,</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dont la teneur visait l’Islam, qui ont servi de base à la condamnation, le tribunal n’ayant pas suivi la défense du prévenu selon laquelle il s’agissait d’une satire (</w:t>
          </w:r>
          <w:dir w:val="ltr">
            <w:r w:rsidR="0010567B" w:rsidRPr="00530BD2">
              <w:rPr>
                <w:color w:val="000000"/>
                <w:lang w:val="fr-FR"/>
              </w:rPr>
              <w:t>Corr. Antwerpen (</w:t>
            </w:r>
            <w:proofErr w:type="spellStart"/>
            <w:r w:rsidR="0010567B" w:rsidRPr="00530BD2">
              <w:rPr>
                <w:color w:val="000000"/>
                <w:lang w:val="fr-FR"/>
              </w:rPr>
              <w:t>Afd</w:t>
            </w:r>
            <w:proofErr w:type="spellEnd"/>
            <w:r w:rsidR="0010567B" w:rsidRPr="00530BD2">
              <w:rPr>
                <w:color w:val="000000"/>
                <w:lang w:val="fr-FR"/>
              </w:rPr>
              <w:t>. Turnhout)</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11 octobre 2021</w:t>
              </w:r>
              <w:r w:rsidR="0010567B" w:rsidRPr="00530BD2">
                <w:rPr>
                  <w:rFonts w:eastAsia="MS Mincho"/>
                  <w:color w:val="000000"/>
                  <w:lang w:val="fr-FR"/>
                </w:rPr>
                <w:t>‬</w:t>
              </w:r>
              <w:r w:rsidR="0010567B" w:rsidRPr="00530BD2">
                <w:rPr>
                  <w:color w:val="000000"/>
                  <w:lang w:val="fr-FR"/>
                </w:rPr>
                <w:t xml:space="preserve">, </w:t>
              </w:r>
              <w:r w:rsidR="0010567B" w:rsidRPr="00530BD2">
                <w:rPr>
                  <w:i/>
                  <w:iCs/>
                  <w:color w:val="000000"/>
                  <w:lang w:val="fr-FR"/>
                </w:rPr>
                <w:t xml:space="preserve">Auteurs &amp; </w:t>
              </w:r>
              <w:proofErr w:type="spellStart"/>
              <w:r w:rsidR="0010567B" w:rsidRPr="00530BD2">
                <w:rPr>
                  <w:i/>
                  <w:iCs/>
                  <w:color w:val="000000"/>
                  <w:lang w:val="fr-FR"/>
                </w:rPr>
                <w:t>Medias</w:t>
              </w:r>
              <w:proofErr w:type="spellEnd"/>
              <w:r w:rsidR="0010567B" w:rsidRPr="00530BD2">
                <w:rPr>
                  <w:color w:val="000000"/>
                  <w:lang w:val="fr-FR"/>
                </w:rPr>
                <w:t>, 2022-1/3, p. 100).</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p>
    <w:p w14:paraId="4B0741ED" w14:textId="77777777" w:rsidR="0010567B" w:rsidRPr="00530BD2" w:rsidRDefault="0010567B" w:rsidP="001D1A8B">
      <w:pPr>
        <w:autoSpaceDE w:val="0"/>
        <w:autoSpaceDN w:val="0"/>
        <w:adjustRightInd w:val="0"/>
        <w:jc w:val="both"/>
        <w:rPr>
          <w:lang w:val="fr-FR"/>
        </w:rPr>
      </w:pPr>
    </w:p>
    <w:p w14:paraId="7078F28B" w14:textId="5D052571" w:rsidR="0010567B" w:rsidRPr="00530BD2" w:rsidRDefault="00000000" w:rsidP="001D1A8B">
      <w:pPr>
        <w:autoSpaceDE w:val="0"/>
        <w:autoSpaceDN w:val="0"/>
        <w:adjustRightInd w:val="0"/>
        <w:jc w:val="both"/>
        <w:rPr>
          <w:b/>
          <w:bCs/>
          <w:color w:val="000000"/>
          <w:lang w:val="fr-FR"/>
        </w:rPr>
      </w:pPr>
      <w:dir w:val="ltr">
        <w:r w:rsidR="0010567B" w:rsidRPr="00530BD2">
          <w:rPr>
            <w:b/>
            <w:bCs/>
            <w:color w:val="000000"/>
            <w:lang w:val="fr-FR"/>
          </w:rPr>
          <w:t>Liberté d’expression – Incitation à la</w:t>
        </w:r>
        <w:r w:rsidR="0010567B" w:rsidRPr="00530BD2">
          <w:rPr>
            <w:rFonts w:eastAsia="MS Mincho"/>
            <w:b/>
            <w:bCs/>
            <w:color w:val="000000"/>
            <w:lang w:val="fr-FR"/>
          </w:rPr>
          <w:t>‬</w:t>
        </w:r>
        <w:r w:rsidR="0010567B" w:rsidRPr="00530BD2">
          <w:rPr>
            <w:b/>
            <w:bCs/>
            <w:color w:val="000000"/>
            <w:lang w:val="fr-FR"/>
          </w:rPr>
          <w:t xml:space="preserve"> </w:t>
        </w:r>
        <w:dir w:val="ltr">
          <w:r w:rsidR="0010567B" w:rsidRPr="00530BD2">
            <w:rPr>
              <w:b/>
              <w:bCs/>
              <w:color w:val="000000"/>
              <w:lang w:val="fr-FR"/>
            </w:rPr>
            <w:t>discrimination, à la ségrégation, à la haine, à</w:t>
          </w:r>
          <w:r w:rsidR="0010567B" w:rsidRPr="00530BD2">
            <w:rPr>
              <w:rFonts w:eastAsia="MS Mincho"/>
              <w:b/>
              <w:bCs/>
              <w:color w:val="000000"/>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 xml:space="preserve">‬ </w:t>
          </w:r>
          <w:dir w:val="ltr">
            <w:r w:rsidR="0010567B" w:rsidRPr="00530BD2">
              <w:rPr>
                <w:b/>
                <w:bCs/>
                <w:color w:val="000000"/>
                <w:lang w:val="fr-FR"/>
              </w:rPr>
              <w:t>la violence – Sexisme – Discours de haine –</w:t>
            </w:r>
            <w:r w:rsidR="0010567B" w:rsidRPr="00530BD2">
              <w:rPr>
                <w:rFonts w:eastAsia="MS Mincho"/>
                <w:b/>
                <w:bCs/>
                <w:color w:val="000000"/>
                <w:lang w:val="fr-FR"/>
              </w:rPr>
              <w:t>‬</w:t>
            </w:r>
            <w:r w:rsidR="0010567B" w:rsidRPr="00530BD2">
              <w:rPr>
                <w:b/>
                <w:bCs/>
                <w:color w:val="000000"/>
                <w:lang w:val="fr-FR"/>
              </w:rPr>
              <w:t xml:space="preserve"> </w:t>
            </w:r>
            <w:dir w:val="ltr">
              <w:r w:rsidR="0010567B" w:rsidRPr="00530BD2">
                <w:rPr>
                  <w:b/>
                  <w:bCs/>
                  <w:color w:val="000000"/>
                  <w:lang w:val="fr-FR"/>
                </w:rPr>
                <w:t>Conférence pour un groupe d’étudiants</w:t>
              </w:r>
              <w:r w:rsidR="0010567B" w:rsidRPr="00530BD2">
                <w:rPr>
                  <w:rFonts w:eastAsia="MS Mincho"/>
                  <w:b/>
                  <w:bCs/>
                  <w:color w:val="000000"/>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b/>
                  <w:bCs/>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t>‬</w:t>
              </w:r>
              <w:r>
                <w:t>‬</w:t>
              </w:r>
              <w:r>
                <w:t>‬</w:t>
              </w:r>
              <w:r>
                <w:t>‬</w:t>
              </w:r>
              <w:r>
                <w:t>‬</w:t>
              </w:r>
              <w:r>
                <w:t>‬</w:t>
              </w:r>
              <w:r>
                <w:t>‬</w:t>
              </w:r>
              <w:r>
                <w:t>‬</w:t>
              </w:r>
              <w:r>
                <w:t>‬</w:t>
              </w:r>
              <w:r>
                <w:t>‬</w:t>
              </w:r>
              <w:r>
                <w:t>‬</w:t>
              </w:r>
              <w:r>
                <w:t>‬</w:t>
              </w:r>
              <w:r>
                <w:t>‬</w:t>
              </w:r>
              <w:r>
                <w:t>‬</w:t>
              </w:r>
              <w:r>
                <w:t>‬</w:t>
              </w:r>
              <w:r>
                <w:t>‬</w:t>
              </w:r>
              <w:r>
                <w:t>‬</w:t>
              </w:r>
              <w:r>
                <w:t>‬</w:t>
              </w:r>
              <w:r>
                <w:t>‬</w:t>
              </w:r>
              <w:r>
                <w:t>‬</w:t>
              </w:r>
              <w:r>
                <w:t>‬</w:t>
              </w:r>
              <w:r>
                <w:t>‬</w:t>
              </w:r>
            </w:dir>
          </w:dir>
        </w:dir>
      </w:dir>
    </w:p>
    <w:p w14:paraId="6AFDA957" w14:textId="77777777" w:rsidR="0010567B" w:rsidRPr="00530BD2" w:rsidRDefault="0010567B" w:rsidP="001D1A8B">
      <w:pPr>
        <w:autoSpaceDE w:val="0"/>
        <w:autoSpaceDN w:val="0"/>
        <w:adjustRightInd w:val="0"/>
        <w:jc w:val="both"/>
        <w:rPr>
          <w:color w:val="000000"/>
          <w:lang w:val="fr-FR"/>
        </w:rPr>
      </w:pPr>
    </w:p>
    <w:p w14:paraId="20566FB6" w14:textId="77777777" w:rsidR="0010567B" w:rsidRPr="00530BD2" w:rsidRDefault="00000000" w:rsidP="001D1A8B">
      <w:pPr>
        <w:autoSpaceDE w:val="0"/>
        <w:autoSpaceDN w:val="0"/>
        <w:adjustRightInd w:val="0"/>
        <w:jc w:val="both"/>
        <w:rPr>
          <w:color w:val="000000"/>
          <w:lang w:val="fr-FR"/>
        </w:rPr>
      </w:pPr>
      <w:dir w:val="ltr">
        <w:r w:rsidR="0010567B" w:rsidRPr="00530BD2">
          <w:rPr>
            <w:lang w:val="fr-FR"/>
          </w:rPr>
          <w:t>Cette affaire concerne la condamnation d’un médecin pour avoir tenu, l</w:t>
        </w:r>
        <w:r w:rsidR="0010567B" w:rsidRPr="00530BD2">
          <w:rPr>
            <w:color w:val="000000"/>
            <w:lang w:val="fr-FR"/>
          </w:rPr>
          <w:t>ors d’une conférence donnée pour une association d’étudiants de l’Université de Gand, un</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 témoignage inspirant », lequel consistait en réalité en une longue série de déclarations vulgaires et offensantes, visant principalement les</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 xml:space="preserve">femmes. Une plainte fut déposée contre le prévenu sur la base de la loi </w:t>
            </w:r>
            <w:proofErr w:type="spellStart"/>
            <w:r w:rsidR="0010567B" w:rsidRPr="00530BD2">
              <w:rPr>
                <w:color w:val="000000"/>
                <w:lang w:val="fr-FR"/>
              </w:rPr>
              <w:t>anti-sexisme</w:t>
            </w:r>
            <w:proofErr w:type="spellEnd"/>
            <w:r w:rsidR="0010567B" w:rsidRPr="00530BD2">
              <w:rPr>
                <w:color w:val="000000"/>
                <w:lang w:val="fr-FR"/>
              </w:rPr>
              <w:t xml:space="preserve"> et de la loi</w:t>
            </w:r>
            <w:r w:rsidR="0010567B" w:rsidRPr="00530BD2">
              <w:rPr>
                <w:rFonts w:eastAsia="MS Mincho"/>
                <w:color w:val="000000"/>
                <w:lang w:val="fr-FR"/>
              </w:rPr>
              <w:t>‬</w:t>
            </w:r>
            <w:r w:rsidR="0010567B" w:rsidRPr="00530BD2">
              <w:rPr>
                <w:color w:val="000000"/>
                <w:lang w:val="fr-FR"/>
              </w:rPr>
              <w:t xml:space="preserve"> </w:t>
            </w:r>
            <w:dir w:val="ltr">
              <w:r w:rsidR="0010567B" w:rsidRPr="00530BD2">
                <w:rPr>
                  <w:color w:val="000000"/>
                  <w:lang w:val="fr-FR"/>
                </w:rPr>
                <w:t>sur l’égalité entre les femmes et les hommes.</w:t>
              </w:r>
              <w:r w:rsidR="0010567B" w:rsidRPr="00530BD2">
                <w:rPr>
                  <w:rFonts w:eastAsia="MS Mincho"/>
                  <w:color w:val="000000"/>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rsidR="0010567B">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p>
    <w:p w14:paraId="2F084B65" w14:textId="77777777" w:rsidR="0010567B" w:rsidRPr="00530BD2" w:rsidRDefault="00000000" w:rsidP="001D1A8B">
      <w:pPr>
        <w:jc w:val="both"/>
        <w:rPr>
          <w:rFonts w:eastAsia="MS Mincho"/>
          <w:color w:val="000000"/>
          <w:lang w:val="fr-FR"/>
        </w:rPr>
      </w:pPr>
      <w:dir w:val="lt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rsidRPr="00530BD2">
          <w:rPr>
            <w:lang w:val="fr-FR"/>
          </w:rPr>
          <w:t>‬</w:t>
        </w:r>
        <w:r w:rsidR="0010567B">
          <w:t>‬</w:t>
        </w:r>
        <w:r w:rsidR="0010567B">
          <w:t>‬</w:t>
        </w:r>
        <w:r w:rsidR="0010567B">
          <w:t>‬</w:t>
        </w:r>
        <w:r>
          <w:t>‬</w:t>
        </w:r>
        <w:r>
          <w:t>‬</w:t>
        </w:r>
        <w:r>
          <w:t>‬</w:t>
        </w:r>
        <w:r>
          <w:t>‬</w:t>
        </w:r>
        <w:r>
          <w:t>‬</w:t>
        </w:r>
        <w:r>
          <w:t>‬</w:t>
        </w:r>
      </w:dir>
    </w:p>
    <w:p w14:paraId="6C4136F5" w14:textId="77777777" w:rsidR="0010567B" w:rsidRPr="00530BD2" w:rsidRDefault="0010567B" w:rsidP="001D1A8B">
      <w:pPr>
        <w:jc w:val="both"/>
        <w:rPr>
          <w:lang w:val="fr-FR"/>
        </w:rPr>
      </w:pPr>
      <w:r w:rsidRPr="00530BD2">
        <w:rPr>
          <w:color w:val="000000"/>
          <w:lang w:val="fr-FR"/>
        </w:rPr>
        <w:t>Le tribunal condamna le médecin à une peine de 10 mois d’emprisonnement (dont la moitié avec sursis), à une amende de 8.000 euros et</w:t>
      </w:r>
      <w:r w:rsidRPr="00530BD2">
        <w:rPr>
          <w:rFonts w:eastAsia="MS Mincho"/>
          <w:color w:val="000000"/>
          <w:lang w:val="fr-FR"/>
        </w:rPr>
        <w:t>‬</w:t>
      </w:r>
      <w:r w:rsidRPr="00530BD2">
        <w:rPr>
          <w:color w:val="000000"/>
          <w:lang w:val="fr-FR"/>
        </w:rPr>
        <w:t xml:space="preserve"> </w:t>
      </w:r>
      <w:dir w:val="ltr">
        <w:r w:rsidRPr="00530BD2">
          <w:rPr>
            <w:color w:val="000000"/>
            <w:lang w:val="fr-FR"/>
          </w:rPr>
          <w:t>à une interdiction d’exercice des droits civils et</w:t>
        </w:r>
        <w:r w:rsidRPr="00530BD2">
          <w:rPr>
            <w:rFonts w:eastAsia="MS Mincho"/>
            <w:color w:val="000000"/>
            <w:lang w:val="fr-FR"/>
          </w:rPr>
          <w:t>‬</w:t>
        </w:r>
        <w:r w:rsidRPr="00530BD2">
          <w:rPr>
            <w:color w:val="000000"/>
            <w:lang w:val="fr-FR"/>
          </w:rPr>
          <w:t xml:space="preserve">, </w:t>
        </w:r>
        <w:dir w:val="ltr">
          <w:r w:rsidRPr="00530BD2">
            <w:rPr>
              <w:color w:val="000000"/>
              <w:lang w:val="fr-FR"/>
            </w:rPr>
            <w:t>politiques pour une durée de 5 ans</w:t>
          </w:r>
          <w:r w:rsidRPr="00530BD2">
            <w:rPr>
              <w:lang w:val="fr-FR"/>
            </w:rPr>
            <w:t>,</w:t>
          </w:r>
          <w:r w:rsidRPr="00530BD2">
            <w:rPr>
              <w:color w:val="000000"/>
              <w:lang w:val="fr-FR"/>
            </w:rPr>
            <w:t xml:space="preserve"> considérant notamment la gravité des faits et l’absence de sentiment de culpabilité dans le chef du médecin (</w:t>
          </w:r>
          <w:r w:rsidRPr="00530BD2">
            <w:rPr>
              <w:lang w:val="fr-FR"/>
            </w:rPr>
            <w:t xml:space="preserve">Rb </w:t>
          </w:r>
          <w:proofErr w:type="spellStart"/>
          <w:r w:rsidRPr="00530BD2">
            <w:rPr>
              <w:lang w:val="fr-FR"/>
            </w:rPr>
            <w:t>Oost-Vlaanderen</w:t>
          </w:r>
          <w:proofErr w:type="spellEnd"/>
          <w:r w:rsidRPr="00530BD2">
            <w:rPr>
              <w:lang w:val="fr-FR"/>
            </w:rPr>
            <w:t xml:space="preserve">, </w:t>
          </w:r>
          <w:proofErr w:type="spellStart"/>
          <w:r w:rsidRPr="00530BD2">
            <w:rPr>
              <w:lang w:val="fr-FR"/>
            </w:rPr>
            <w:t>afdeling</w:t>
          </w:r>
          <w:proofErr w:type="spellEnd"/>
          <w:r w:rsidRPr="00530BD2">
            <w:rPr>
              <w:lang w:val="fr-FR"/>
            </w:rPr>
            <w:t xml:space="preserve"> Gent (30ste corr. k.), 4 janvier 2022, </w:t>
          </w:r>
          <w:r w:rsidRPr="00530BD2">
            <w:rPr>
              <w:i/>
              <w:iCs/>
              <w:lang w:val="fr-FR"/>
            </w:rPr>
            <w:t xml:space="preserve">Auteurs &amp; </w:t>
          </w:r>
          <w:proofErr w:type="spellStart"/>
          <w:r w:rsidRPr="00530BD2">
            <w:rPr>
              <w:i/>
              <w:iCs/>
              <w:lang w:val="fr-FR"/>
            </w:rPr>
            <w:t>Medias</w:t>
          </w:r>
          <w:proofErr w:type="spellEnd"/>
          <w:r w:rsidRPr="00530BD2">
            <w:rPr>
              <w:lang w:val="fr-FR"/>
            </w:rPr>
            <w:t>, 2022/1-3, p. 88).</w:t>
          </w:r>
          <w:r w:rsidRPr="00530BD2">
            <w:rPr>
              <w:lang w:val="fr-FR"/>
            </w:rPr>
            <w:t>‬</w:t>
          </w:r>
          <w:r w:rsidRPr="00530BD2">
            <w:rPr>
              <w:lang w:val="fr-FR"/>
            </w:rPr>
            <w:t>‬</w:t>
          </w:r>
          <w:r w:rsidRPr="00530BD2">
            <w:rPr>
              <w:lang w:val="fr-FR"/>
            </w:rPr>
            <w:t>‬</w:t>
          </w:r>
          <w:r w:rsidRPr="00530BD2">
            <w:rPr>
              <w:lang w:val="fr-FR"/>
            </w:rPr>
            <w:t>‬</w:t>
          </w:r>
          <w:r>
            <w:t>‬</w:t>
          </w:r>
          <w:r>
            <w:t>‬</w:t>
          </w:r>
          <w:r>
            <w:t>‬</w:t>
          </w:r>
          <w:r>
            <w:t>‬</w:t>
          </w:r>
          <w:r>
            <w:t>‬</w:t>
          </w:r>
          <w:r>
            <w:t>‬</w:t>
          </w:r>
          <w:r>
            <w:t>‬</w:t>
          </w:r>
          <w:r>
            <w:t>‬</w:t>
          </w:r>
          <w:r>
            <w:t>‬</w:t>
          </w:r>
          <w:r>
            <w:t>‬</w:t>
          </w:r>
          <w:r>
            <w:t>‬</w:t>
          </w:r>
          <w:r>
            <w:t>‬</w:t>
          </w:r>
          <w:r>
            <w:t>‬</w:t>
          </w:r>
          <w:r>
            <w:t>‬</w:t>
          </w:r>
          <w:r>
            <w:t>‬</w:t>
          </w:r>
          <w:r>
            <w:t>‬</w:t>
          </w:r>
          <w:r w:rsidR="00000000">
            <w:t>‬</w:t>
          </w:r>
          <w:r w:rsidR="00000000">
            <w:t>‬</w:t>
          </w:r>
        </w:dir>
      </w:dir>
    </w:p>
    <w:p w14:paraId="1CE649F8" w14:textId="77777777" w:rsidR="0010567B" w:rsidRPr="00530BD2" w:rsidRDefault="0010567B" w:rsidP="001D1A8B">
      <w:pPr>
        <w:jc w:val="both"/>
        <w:rPr>
          <w:b/>
          <w:bCs/>
          <w:color w:val="000000"/>
          <w:lang w:val="fr-FR"/>
        </w:rPr>
      </w:pPr>
    </w:p>
    <w:p w14:paraId="49B07766" w14:textId="44BE08CD" w:rsidR="0010567B" w:rsidRPr="00530BD2" w:rsidRDefault="0010567B" w:rsidP="001D1A8B">
      <w:pPr>
        <w:jc w:val="both"/>
        <w:rPr>
          <w:b/>
          <w:bCs/>
          <w:color w:val="000000"/>
          <w:lang w:val="fr-FR"/>
        </w:rPr>
      </w:pPr>
      <w:r w:rsidRPr="00530BD2">
        <w:rPr>
          <w:b/>
          <w:bCs/>
          <w:color w:val="000000"/>
          <w:lang w:val="fr-FR"/>
        </w:rPr>
        <w:lastRenderedPageBreak/>
        <w:t xml:space="preserve">Sexisme – </w:t>
      </w:r>
      <w:r w:rsidR="0057253E" w:rsidRPr="00530BD2">
        <w:rPr>
          <w:b/>
          <w:bCs/>
          <w:color w:val="000000"/>
          <w:lang w:val="fr-FR"/>
        </w:rPr>
        <w:t>Éléments</w:t>
      </w:r>
      <w:r w:rsidRPr="00530BD2">
        <w:rPr>
          <w:b/>
          <w:bCs/>
          <w:color w:val="000000"/>
          <w:lang w:val="fr-FR"/>
        </w:rPr>
        <w:t xml:space="preserve"> constitutifs de l’infraction – </w:t>
      </w:r>
      <w:r w:rsidR="0057253E" w:rsidRPr="00530BD2">
        <w:rPr>
          <w:b/>
          <w:bCs/>
          <w:color w:val="000000"/>
          <w:lang w:val="fr-FR"/>
        </w:rPr>
        <w:t>Élément</w:t>
      </w:r>
      <w:r w:rsidRPr="00530BD2">
        <w:rPr>
          <w:b/>
          <w:bCs/>
          <w:color w:val="000000"/>
          <w:lang w:val="fr-FR"/>
        </w:rPr>
        <w:t xml:space="preserve"> matériel – </w:t>
      </w:r>
      <w:r w:rsidR="0057253E" w:rsidRPr="00530BD2">
        <w:rPr>
          <w:b/>
          <w:bCs/>
          <w:color w:val="000000"/>
          <w:lang w:val="fr-FR"/>
        </w:rPr>
        <w:t>A</w:t>
      </w:r>
      <w:r w:rsidRPr="00530BD2">
        <w:rPr>
          <w:b/>
          <w:bCs/>
          <w:color w:val="000000"/>
          <w:lang w:val="fr-FR"/>
        </w:rPr>
        <w:t xml:space="preserve">tteinte grave à la dignité de la personne – </w:t>
      </w:r>
      <w:r w:rsidR="0057253E" w:rsidRPr="00530BD2">
        <w:rPr>
          <w:b/>
          <w:bCs/>
          <w:color w:val="000000"/>
          <w:lang w:val="fr-FR"/>
        </w:rPr>
        <w:t>A</w:t>
      </w:r>
      <w:r w:rsidRPr="00530BD2">
        <w:rPr>
          <w:b/>
          <w:bCs/>
          <w:color w:val="000000"/>
          <w:lang w:val="fr-FR"/>
        </w:rPr>
        <w:t xml:space="preserve">ppréciation – </w:t>
      </w:r>
      <w:r w:rsidR="0057253E" w:rsidRPr="00530BD2">
        <w:rPr>
          <w:b/>
          <w:bCs/>
          <w:color w:val="000000"/>
          <w:lang w:val="fr-FR"/>
        </w:rPr>
        <w:t>C</w:t>
      </w:r>
      <w:r w:rsidRPr="00530BD2">
        <w:rPr>
          <w:b/>
          <w:bCs/>
          <w:color w:val="000000"/>
          <w:lang w:val="fr-FR"/>
        </w:rPr>
        <w:t>onscience collective d’une société déterminée à une époque déterminée</w:t>
      </w:r>
    </w:p>
    <w:p w14:paraId="11E168C3" w14:textId="77777777" w:rsidR="0010567B" w:rsidRPr="00530BD2" w:rsidRDefault="0010567B" w:rsidP="001D1A8B">
      <w:pPr>
        <w:jc w:val="both"/>
        <w:rPr>
          <w:b/>
          <w:bCs/>
          <w:color w:val="000000"/>
          <w:lang w:val="fr-FR"/>
        </w:rPr>
      </w:pPr>
    </w:p>
    <w:p w14:paraId="0F7CB91D" w14:textId="77777777" w:rsidR="0010567B" w:rsidRPr="00530BD2" w:rsidRDefault="0010567B" w:rsidP="001D1A8B">
      <w:pPr>
        <w:pStyle w:val="NormalWeb"/>
        <w:jc w:val="both"/>
        <w:rPr>
          <w:color w:val="000000"/>
          <w:shd w:val="clear" w:color="auto" w:fill="FFFFFF"/>
          <w:lang w:val="fr-FR"/>
        </w:rPr>
      </w:pPr>
      <w:r w:rsidRPr="00530BD2">
        <w:rPr>
          <w:color w:val="000000"/>
          <w:lang w:val="fr-FR"/>
        </w:rPr>
        <w:t>La Cour de cassation rappelle qu’en matière de sexisme, l'atteinte à la dignité n'est pas abandonnée à l'appréciation subjective de la victime ou de l'auteur du fait. Le critère est le respect du sentiment de dignité humaine tel qu'il est perçu à un moment donné par la conscience collective d'une société déterminée à une époque déterminée. D’autre part, en ce qui concerne l'élément moral de l’infraction de sexisme, aucun dol spécial n’est requis. L’élément moral se définit par l'intention d'exprimer un mépris à l'égard d'une personne ou de la considérer comme inférieure en sachant que le geste ou le comportement est susceptible d'entraîner une atteinte grave à la dignité de cette personne (</w:t>
      </w:r>
      <w:r w:rsidRPr="00530BD2">
        <w:rPr>
          <w:color w:val="000000"/>
          <w:shd w:val="clear" w:color="auto" w:fill="FFFFFF"/>
          <w:lang w:val="fr-FR"/>
        </w:rPr>
        <w:t>Cour de cassation, 8 juin 2022,</w:t>
      </w:r>
      <w:r w:rsidRPr="00530BD2">
        <w:rPr>
          <w:rStyle w:val="apple-converted-space"/>
          <w:color w:val="000000"/>
          <w:shd w:val="clear" w:color="auto" w:fill="FFFFFF"/>
          <w:lang w:val="fr-FR"/>
        </w:rPr>
        <w:t> </w:t>
      </w:r>
      <w:proofErr w:type="spellStart"/>
      <w:r w:rsidRPr="00530BD2">
        <w:rPr>
          <w:i/>
          <w:iCs/>
          <w:color w:val="000000"/>
          <w:lang w:val="fr-FR"/>
        </w:rPr>
        <w:t>Rev</w:t>
      </w:r>
      <w:proofErr w:type="spellEnd"/>
      <w:r w:rsidRPr="00530BD2">
        <w:rPr>
          <w:i/>
          <w:iCs/>
          <w:color w:val="000000"/>
          <w:lang w:val="fr-FR"/>
        </w:rPr>
        <w:t xml:space="preserve">. </w:t>
      </w:r>
      <w:proofErr w:type="spellStart"/>
      <w:r w:rsidRPr="00530BD2">
        <w:rPr>
          <w:i/>
          <w:iCs/>
          <w:color w:val="000000"/>
          <w:lang w:val="fr-FR"/>
        </w:rPr>
        <w:t>dr</w:t>
      </w:r>
      <w:proofErr w:type="spellEnd"/>
      <w:r w:rsidRPr="00530BD2">
        <w:rPr>
          <w:i/>
          <w:iCs/>
          <w:color w:val="000000"/>
          <w:lang w:val="fr-FR"/>
        </w:rPr>
        <w:t xml:space="preserve">. </w:t>
      </w:r>
      <w:proofErr w:type="spellStart"/>
      <w:r w:rsidRPr="00530BD2">
        <w:rPr>
          <w:i/>
          <w:iCs/>
          <w:color w:val="000000"/>
          <w:lang w:val="fr-FR"/>
        </w:rPr>
        <w:t>pén</w:t>
      </w:r>
      <w:proofErr w:type="spellEnd"/>
      <w:r w:rsidRPr="00530BD2">
        <w:rPr>
          <w:i/>
          <w:iCs/>
          <w:color w:val="000000"/>
          <w:lang w:val="fr-FR"/>
        </w:rPr>
        <w:t>.</w:t>
      </w:r>
      <w:r w:rsidRPr="00530BD2">
        <w:rPr>
          <w:color w:val="000000"/>
          <w:shd w:val="clear" w:color="auto" w:fill="FFFFFF"/>
          <w:lang w:val="fr-FR"/>
        </w:rPr>
        <w:t>, 2022/11, pp. 1011-1020).</w:t>
      </w:r>
    </w:p>
    <w:p w14:paraId="69F97FB5" w14:textId="77777777" w:rsidR="003F6A89" w:rsidRDefault="003F6A89" w:rsidP="001D1A8B">
      <w:pPr>
        <w:pStyle w:val="paragraph"/>
        <w:spacing w:before="0" w:beforeAutospacing="0" w:after="0" w:afterAutospacing="0"/>
        <w:jc w:val="both"/>
        <w:textAlignment w:val="baseline"/>
        <w:rPr>
          <w:rFonts w:asciiTheme="majorBidi" w:hAnsiTheme="majorBidi" w:cstheme="majorBidi"/>
          <w:b/>
          <w:bCs/>
          <w:i/>
          <w:iCs/>
          <w:color w:val="000000" w:themeColor="text1"/>
        </w:rPr>
      </w:pPr>
    </w:p>
    <w:p w14:paraId="6248FCB3" w14:textId="497D60DB" w:rsidR="00EE707F" w:rsidRPr="003F6A89" w:rsidRDefault="00EE707F" w:rsidP="001D1A8B">
      <w:pPr>
        <w:pStyle w:val="paragraph"/>
        <w:spacing w:before="0" w:beforeAutospacing="0" w:after="0" w:afterAutospacing="0"/>
        <w:jc w:val="both"/>
        <w:textAlignment w:val="baseline"/>
        <w:rPr>
          <w:rFonts w:asciiTheme="majorBidi" w:hAnsiTheme="majorBidi" w:cstheme="majorBidi"/>
          <w:i/>
          <w:iCs/>
          <w:color w:val="000000" w:themeColor="text1"/>
        </w:rPr>
      </w:pPr>
      <w:r w:rsidRPr="003F6A89">
        <w:rPr>
          <w:rFonts w:asciiTheme="majorBidi" w:hAnsiTheme="majorBidi" w:cstheme="majorBidi"/>
          <w:i/>
          <w:iCs/>
          <w:color w:val="000000" w:themeColor="text1"/>
        </w:rPr>
        <w:t>DROIT À LA VIE</w:t>
      </w:r>
    </w:p>
    <w:p w14:paraId="7167810E" w14:textId="77777777" w:rsidR="00EE707F" w:rsidRDefault="00EE707F" w:rsidP="001D1A8B">
      <w:pPr>
        <w:pStyle w:val="paragraph"/>
        <w:spacing w:before="0" w:beforeAutospacing="0" w:after="0" w:afterAutospacing="0"/>
        <w:jc w:val="both"/>
        <w:textAlignment w:val="baseline"/>
        <w:rPr>
          <w:rFonts w:asciiTheme="majorBidi" w:hAnsiTheme="majorBidi" w:cstheme="majorBidi"/>
          <w:b/>
          <w:bCs/>
          <w:color w:val="000000" w:themeColor="text1"/>
        </w:rPr>
      </w:pPr>
    </w:p>
    <w:p w14:paraId="79AE0DE8" w14:textId="0DA764F5" w:rsidR="00A148F4" w:rsidRPr="00304303" w:rsidRDefault="007A5E6A" w:rsidP="001D1A8B">
      <w:pPr>
        <w:pStyle w:val="paragraph"/>
        <w:spacing w:before="0" w:beforeAutospacing="0" w:after="0" w:afterAutospacing="0"/>
        <w:jc w:val="both"/>
        <w:textAlignment w:val="baseline"/>
        <w:rPr>
          <w:rFonts w:asciiTheme="majorBidi" w:hAnsiTheme="majorBidi" w:cstheme="majorBidi"/>
          <w:b/>
          <w:bCs/>
        </w:rPr>
      </w:pPr>
      <w:r w:rsidRPr="00EE707F">
        <w:rPr>
          <w:rFonts w:asciiTheme="majorBidi" w:hAnsiTheme="majorBidi" w:cstheme="majorBidi"/>
          <w:b/>
          <w:bCs/>
          <w:color w:val="000000" w:themeColor="text1"/>
        </w:rPr>
        <w:t xml:space="preserve">Transfèrement interétatique </w:t>
      </w:r>
      <w:r w:rsidR="00304303">
        <w:rPr>
          <w:rFonts w:asciiTheme="majorBidi" w:hAnsiTheme="majorBidi" w:cstheme="majorBidi"/>
          <w:b/>
          <w:bCs/>
          <w:color w:val="000000" w:themeColor="text1"/>
        </w:rPr>
        <w:t xml:space="preserve">de </w:t>
      </w:r>
      <w:r w:rsidRPr="00EE707F">
        <w:rPr>
          <w:rFonts w:asciiTheme="majorBidi" w:hAnsiTheme="majorBidi" w:cstheme="majorBidi"/>
          <w:b/>
          <w:bCs/>
          <w:color w:val="000000" w:themeColor="text1"/>
        </w:rPr>
        <w:t xml:space="preserve"> condamnées – Traité belgo-iranien </w:t>
      </w:r>
      <w:r w:rsidR="00304303">
        <w:rPr>
          <w:rFonts w:asciiTheme="majorBidi" w:hAnsiTheme="majorBidi" w:cstheme="majorBidi"/>
          <w:b/>
          <w:bCs/>
          <w:color w:val="000000" w:themeColor="text1"/>
        </w:rPr>
        <w:t>–</w:t>
      </w:r>
      <w:r w:rsidRPr="00EE707F">
        <w:rPr>
          <w:rFonts w:asciiTheme="majorBidi" w:hAnsiTheme="majorBidi" w:cstheme="majorBidi"/>
          <w:b/>
          <w:bCs/>
          <w:color w:val="000000" w:themeColor="text1"/>
        </w:rPr>
        <w:t xml:space="preserve"> </w:t>
      </w:r>
      <w:r w:rsidR="00587BF0" w:rsidRPr="00EE707F">
        <w:rPr>
          <w:rFonts w:asciiTheme="majorBidi" w:hAnsiTheme="majorBidi" w:cstheme="majorBidi"/>
          <w:b/>
          <w:bCs/>
          <w:color w:val="000000" w:themeColor="text1"/>
        </w:rPr>
        <w:t xml:space="preserve">Droit à la vie </w:t>
      </w:r>
      <w:r w:rsidR="00EE707F" w:rsidRPr="00EE707F">
        <w:rPr>
          <w:rFonts w:asciiTheme="majorBidi" w:hAnsiTheme="majorBidi" w:cstheme="majorBidi"/>
          <w:b/>
          <w:bCs/>
          <w:color w:val="000000" w:themeColor="text1"/>
        </w:rPr>
        <w:t xml:space="preserve">– </w:t>
      </w:r>
      <w:r w:rsidR="00EE707F" w:rsidRPr="00EE707F">
        <w:rPr>
          <w:rFonts w:asciiTheme="majorBidi" w:hAnsiTheme="majorBidi" w:cstheme="majorBidi"/>
          <w:b/>
          <w:bCs/>
        </w:rPr>
        <w:t>Art</w:t>
      </w:r>
      <w:r w:rsidR="00CE0657">
        <w:rPr>
          <w:rFonts w:asciiTheme="majorBidi" w:hAnsiTheme="majorBidi" w:cstheme="majorBidi"/>
          <w:b/>
          <w:bCs/>
        </w:rPr>
        <w:t>.</w:t>
      </w:r>
      <w:r w:rsidR="00EE707F" w:rsidRPr="00EE707F">
        <w:rPr>
          <w:rFonts w:asciiTheme="majorBidi" w:hAnsiTheme="majorBidi" w:cstheme="majorBidi"/>
          <w:b/>
          <w:bCs/>
        </w:rPr>
        <w:t xml:space="preserve"> 2 CEDH </w:t>
      </w:r>
      <w:r w:rsidR="00304303">
        <w:rPr>
          <w:rFonts w:asciiTheme="majorBidi" w:hAnsiTheme="majorBidi" w:cstheme="majorBidi"/>
          <w:b/>
          <w:bCs/>
        </w:rPr>
        <w:t>–</w:t>
      </w:r>
      <w:r w:rsidR="00EE707F" w:rsidRPr="00EE707F">
        <w:rPr>
          <w:rFonts w:asciiTheme="majorBidi" w:hAnsiTheme="majorBidi" w:cstheme="majorBidi"/>
          <w:b/>
          <w:bCs/>
        </w:rPr>
        <w:t xml:space="preserve"> </w:t>
      </w:r>
      <w:r w:rsidR="00EE707F" w:rsidRPr="00EE707F">
        <w:rPr>
          <w:rFonts w:asciiTheme="majorBidi" w:hAnsiTheme="majorBidi" w:cstheme="majorBidi"/>
          <w:b/>
          <w:bCs/>
          <w:color w:val="000000" w:themeColor="text1"/>
        </w:rPr>
        <w:t>Suspension (oui) – Annulation (non)</w:t>
      </w:r>
    </w:p>
    <w:p w14:paraId="56AC96C0" w14:textId="65646A5D" w:rsidR="00587BF0" w:rsidRPr="007A5E6A" w:rsidRDefault="00587BF0" w:rsidP="001D1A8B">
      <w:pPr>
        <w:pStyle w:val="paragraph"/>
        <w:spacing w:before="0" w:beforeAutospacing="0" w:after="0" w:afterAutospacing="0"/>
        <w:jc w:val="both"/>
        <w:textAlignment w:val="baseline"/>
        <w:rPr>
          <w:rFonts w:asciiTheme="majorBidi" w:hAnsiTheme="majorBidi" w:cstheme="majorBidi"/>
          <w:b/>
          <w:bCs/>
          <w:color w:val="000000" w:themeColor="text1"/>
          <w:highlight w:val="yellow"/>
        </w:rPr>
      </w:pPr>
    </w:p>
    <w:p w14:paraId="4ADBA407" w14:textId="7F52D487" w:rsidR="007A5E6A" w:rsidRPr="007A5E6A" w:rsidRDefault="007A5E6A" w:rsidP="001D1A8B">
      <w:pPr>
        <w:pStyle w:val="paragraph"/>
        <w:spacing w:before="0" w:beforeAutospacing="0" w:after="0" w:afterAutospacing="0"/>
        <w:jc w:val="both"/>
        <w:textAlignment w:val="baseline"/>
        <w:rPr>
          <w:rFonts w:asciiTheme="majorBidi" w:hAnsiTheme="majorBidi" w:cstheme="majorBidi"/>
          <w:color w:val="000000" w:themeColor="text1"/>
          <w:bdr w:val="none" w:sz="0" w:space="0" w:color="auto" w:frame="1"/>
        </w:rPr>
      </w:pPr>
      <w:r w:rsidRPr="007A5E6A">
        <w:rPr>
          <w:rFonts w:asciiTheme="majorBidi" w:hAnsiTheme="majorBidi" w:cstheme="majorBidi"/>
          <w:color w:val="000000" w:themeColor="text1"/>
          <w:lang w:val="fr-FR"/>
        </w:rPr>
        <w:t xml:space="preserve">La loi du 30 juillet 2022 porte, notamment, assentiment, </w:t>
      </w:r>
      <w:r w:rsidRPr="007A5E6A">
        <w:rPr>
          <w:rFonts w:asciiTheme="majorBidi" w:hAnsiTheme="majorBidi" w:cstheme="majorBidi"/>
          <w:color w:val="000000" w:themeColor="text1"/>
          <w:bdr w:val="none" w:sz="0" w:space="0" w:color="auto" w:frame="1"/>
        </w:rPr>
        <w:t>au</w:t>
      </w:r>
      <w:r w:rsidRPr="007A5E6A">
        <w:rPr>
          <w:rStyle w:val="apple-converted-space"/>
          <w:rFonts w:asciiTheme="majorBidi" w:hAnsiTheme="majorBidi" w:cstheme="majorBidi"/>
          <w:color w:val="000000" w:themeColor="text1"/>
          <w:bdr w:val="none" w:sz="0" w:space="0" w:color="auto" w:frame="1"/>
        </w:rPr>
        <w:t> </w:t>
      </w:r>
      <w:hyperlink r:id="rId7" w:tgtFrame="_blank" w:history="1">
        <w:r w:rsidRPr="007A5E6A">
          <w:rPr>
            <w:rStyle w:val="Lienhypertexte"/>
            <w:rFonts w:asciiTheme="majorBidi" w:hAnsiTheme="majorBidi" w:cstheme="majorBidi"/>
            <w:color w:val="000000" w:themeColor="text1"/>
            <w:u w:val="none"/>
            <w:bdr w:val="none" w:sz="0" w:space="0" w:color="auto" w:frame="1"/>
          </w:rPr>
          <w:t>traité belgo-iranien</w:t>
        </w:r>
      </w:hyperlink>
      <w:r w:rsidRPr="007A5E6A">
        <w:rPr>
          <w:rFonts w:asciiTheme="majorBidi" w:hAnsiTheme="majorBidi" w:cstheme="majorBidi"/>
          <w:color w:val="000000" w:themeColor="text1"/>
        </w:rPr>
        <w:t xml:space="preserve"> </w:t>
      </w:r>
      <w:r w:rsidRPr="007A5E6A">
        <w:rPr>
          <w:rFonts w:asciiTheme="majorBidi" w:hAnsiTheme="majorBidi" w:cstheme="majorBidi"/>
          <w:color w:val="000000" w:themeColor="text1"/>
          <w:bdr w:val="none" w:sz="0" w:space="0" w:color="auto" w:frame="1"/>
        </w:rPr>
        <w:t>organisant le transfèrement de personnes condamnées entre les deux pays</w:t>
      </w:r>
      <w:r w:rsidRPr="007A5E6A">
        <w:rPr>
          <w:rStyle w:val="Appelnotedebasdep"/>
          <w:rFonts w:asciiTheme="majorBidi" w:hAnsiTheme="majorBidi" w:cstheme="majorBidi"/>
          <w:color w:val="000000" w:themeColor="text1"/>
          <w:lang w:val="fr-FR"/>
        </w:rPr>
        <w:footnoteReference w:id="2"/>
      </w:r>
      <w:r w:rsidRPr="007A5E6A">
        <w:rPr>
          <w:rFonts w:asciiTheme="majorBidi" w:hAnsiTheme="majorBidi" w:cstheme="majorBidi"/>
          <w:color w:val="000000" w:themeColor="text1"/>
          <w:lang w:val="fr-FR"/>
        </w:rPr>
        <w:t xml:space="preserve"> </w:t>
      </w:r>
      <w:r w:rsidR="00304303">
        <w:rPr>
          <w:rFonts w:asciiTheme="majorBidi" w:hAnsiTheme="majorBidi" w:cstheme="majorBidi"/>
          <w:color w:val="000000" w:themeColor="text1"/>
          <w:lang w:val="fr-FR"/>
        </w:rPr>
        <w:t>et</w:t>
      </w:r>
      <w:r w:rsidRPr="007A5E6A">
        <w:rPr>
          <w:rFonts w:asciiTheme="majorBidi" w:hAnsiTheme="majorBidi" w:cstheme="majorBidi"/>
          <w:color w:val="000000" w:themeColor="text1"/>
        </w:rPr>
        <w:t xml:space="preserve"> vise à « faciliter la coopération en matière pénale afin que la criminalité transfrontalière puisse être détectée, poursuivie et punie de manière plus efficace »</w:t>
      </w:r>
      <w:r w:rsidRPr="007A5E6A">
        <w:rPr>
          <w:rStyle w:val="Appelnotedebasdep"/>
          <w:rFonts w:asciiTheme="majorBidi" w:hAnsiTheme="majorBidi" w:cstheme="majorBidi"/>
          <w:color w:val="000000" w:themeColor="text1"/>
        </w:rPr>
        <w:footnoteReference w:id="3"/>
      </w:r>
      <w:r w:rsidRPr="007A5E6A">
        <w:rPr>
          <w:rFonts w:asciiTheme="majorBidi" w:hAnsiTheme="majorBidi" w:cstheme="majorBidi"/>
          <w:color w:val="000000" w:themeColor="text1"/>
        </w:rPr>
        <w:t xml:space="preserve">. </w:t>
      </w:r>
    </w:p>
    <w:p w14:paraId="19591708" w14:textId="09D55923" w:rsidR="007A5E6A" w:rsidRPr="007A5E6A" w:rsidRDefault="007A5E6A" w:rsidP="001D1A8B">
      <w:pPr>
        <w:pStyle w:val="paragraph"/>
        <w:spacing w:before="0" w:beforeAutospacing="0" w:after="0" w:afterAutospacing="0"/>
        <w:jc w:val="both"/>
        <w:textAlignment w:val="baseline"/>
        <w:rPr>
          <w:rFonts w:asciiTheme="majorBidi" w:hAnsiTheme="majorBidi" w:cstheme="majorBidi"/>
          <w:color w:val="000000" w:themeColor="text1"/>
          <w:bdr w:val="none" w:sz="0" w:space="0" w:color="auto" w:frame="1"/>
        </w:rPr>
      </w:pPr>
    </w:p>
    <w:p w14:paraId="3ED95C29" w14:textId="27B04DDC" w:rsidR="007A5E6A" w:rsidRPr="007A5E6A" w:rsidRDefault="007A5E6A" w:rsidP="001D1A8B">
      <w:pPr>
        <w:pStyle w:val="paragraph"/>
        <w:spacing w:before="0" w:beforeAutospacing="0" w:after="0" w:afterAutospacing="0"/>
        <w:jc w:val="both"/>
        <w:textAlignment w:val="baseline"/>
        <w:rPr>
          <w:rFonts w:asciiTheme="majorBidi" w:hAnsiTheme="majorBidi" w:cstheme="majorBidi"/>
          <w:color w:val="000000" w:themeColor="text1"/>
          <w:bdr w:val="none" w:sz="0" w:space="0" w:color="auto" w:frame="1"/>
        </w:rPr>
      </w:pPr>
      <w:r w:rsidRPr="007A5E6A">
        <w:rPr>
          <w:rFonts w:asciiTheme="majorBidi" w:hAnsiTheme="majorBidi" w:cstheme="majorBidi"/>
          <w:color w:val="000000" w:themeColor="text1"/>
          <w:bdr w:val="none" w:sz="0" w:space="0" w:color="auto" w:frame="1"/>
        </w:rPr>
        <w:t xml:space="preserve">La loi s’inscrit dans un contexte particulier. D’un côté, </w:t>
      </w:r>
      <w:proofErr w:type="spellStart"/>
      <w:r w:rsidRPr="007A5E6A">
        <w:rPr>
          <w:rFonts w:asciiTheme="majorBidi" w:hAnsiTheme="majorBidi" w:cstheme="majorBidi"/>
          <w:color w:val="000000" w:themeColor="text1"/>
          <w:bdr w:val="none" w:sz="0" w:space="0" w:color="auto" w:frame="1"/>
        </w:rPr>
        <w:t>Assadollah</w:t>
      </w:r>
      <w:proofErr w:type="spellEnd"/>
      <w:r w:rsidRPr="007A5E6A">
        <w:rPr>
          <w:rFonts w:asciiTheme="majorBidi" w:hAnsiTheme="majorBidi" w:cstheme="majorBidi"/>
          <w:color w:val="000000" w:themeColor="text1"/>
          <w:bdr w:val="none" w:sz="0" w:space="0" w:color="auto" w:frame="1"/>
        </w:rPr>
        <w:t xml:space="preserve"> </w:t>
      </w:r>
      <w:proofErr w:type="spellStart"/>
      <w:r w:rsidRPr="007A5E6A">
        <w:rPr>
          <w:rFonts w:asciiTheme="majorBidi" w:hAnsiTheme="majorBidi" w:cstheme="majorBidi"/>
          <w:color w:val="000000" w:themeColor="text1"/>
          <w:bdr w:val="none" w:sz="0" w:space="0" w:color="auto" w:frame="1"/>
        </w:rPr>
        <w:t>Assadi</w:t>
      </w:r>
      <w:proofErr w:type="spellEnd"/>
      <w:r w:rsidRPr="007A5E6A">
        <w:rPr>
          <w:rFonts w:asciiTheme="majorBidi" w:hAnsiTheme="majorBidi" w:cstheme="majorBidi"/>
          <w:color w:val="000000" w:themeColor="text1"/>
          <w:bdr w:val="none" w:sz="0" w:space="0" w:color="auto" w:frame="1"/>
        </w:rPr>
        <w:t>, de nationalité iranienne, a été jugé coupable de terrorisme par le tribunal d’Anvers et est incarcéré en Belgique depuis 2021. De l’autre, Oliver Vandecasteele, de nationalité belge, est retenu en Iran depuis plus de huit mois.</w:t>
      </w:r>
      <w:r w:rsidRPr="007A5E6A">
        <w:rPr>
          <w:rStyle w:val="apple-converted-space"/>
          <w:rFonts w:asciiTheme="majorBidi" w:hAnsiTheme="majorBidi" w:cstheme="majorBidi"/>
          <w:color w:val="000000" w:themeColor="text1"/>
          <w:bdr w:val="none" w:sz="0" w:space="0" w:color="auto" w:frame="1"/>
        </w:rPr>
        <w:t> </w:t>
      </w:r>
      <w:hyperlink r:id="rId8" w:anchor=":~:text=Une%20arrestation%20pour%20des%20raisons,charge%20ne%20repose%20contre%20lui." w:tgtFrame="_blank" w:history="1">
        <w:r w:rsidRPr="007A5E6A">
          <w:rPr>
            <w:rStyle w:val="Lienhypertexte"/>
            <w:rFonts w:asciiTheme="majorBidi" w:hAnsiTheme="majorBidi" w:cstheme="majorBidi"/>
            <w:color w:val="000000" w:themeColor="text1"/>
            <w:u w:val="none"/>
            <w:bdr w:val="none" w:sz="0" w:space="0" w:color="auto" w:frame="1"/>
          </w:rPr>
          <w:t>Les raisons de son arrestation restent inconnues et aucune charge ne semble peser contre lui</w:t>
        </w:r>
      </w:hyperlink>
      <w:r w:rsidRPr="007A5E6A">
        <w:rPr>
          <w:rFonts w:asciiTheme="majorBidi" w:hAnsiTheme="majorBidi" w:cstheme="majorBidi"/>
          <w:color w:val="000000" w:themeColor="text1"/>
          <w:bdr w:val="none" w:sz="0" w:space="0" w:color="auto" w:frame="1"/>
        </w:rPr>
        <w:t>.</w:t>
      </w:r>
      <w:r w:rsidRPr="007A5E6A">
        <w:rPr>
          <w:rStyle w:val="apple-converted-space"/>
          <w:rFonts w:asciiTheme="majorBidi" w:hAnsiTheme="majorBidi" w:cstheme="majorBidi"/>
          <w:color w:val="000000" w:themeColor="text1"/>
          <w:bdr w:val="none" w:sz="0" w:space="0" w:color="auto" w:frame="1"/>
        </w:rPr>
        <w:t> </w:t>
      </w:r>
      <w:r w:rsidRPr="007A5E6A">
        <w:rPr>
          <w:rFonts w:asciiTheme="majorBidi" w:hAnsiTheme="majorBidi" w:cstheme="majorBidi"/>
          <w:color w:val="000000" w:themeColor="text1"/>
          <w:bdr w:val="none" w:sz="0" w:space="0" w:color="auto" w:frame="1"/>
        </w:rPr>
        <w:t> </w:t>
      </w:r>
    </w:p>
    <w:p w14:paraId="58C95547" w14:textId="77777777" w:rsidR="007A5E6A" w:rsidRPr="007A5E6A" w:rsidRDefault="007A5E6A" w:rsidP="001D1A8B">
      <w:pPr>
        <w:pStyle w:val="paragraph"/>
        <w:spacing w:before="0" w:beforeAutospacing="0" w:after="0" w:afterAutospacing="0"/>
        <w:jc w:val="both"/>
        <w:textAlignment w:val="baseline"/>
        <w:rPr>
          <w:rFonts w:asciiTheme="majorBidi" w:hAnsiTheme="majorBidi" w:cstheme="majorBidi"/>
          <w:color w:val="000000" w:themeColor="text1"/>
          <w:bdr w:val="none" w:sz="0" w:space="0" w:color="auto" w:frame="1"/>
        </w:rPr>
      </w:pPr>
    </w:p>
    <w:p w14:paraId="67307DC0" w14:textId="0C837AF4" w:rsidR="007A5E6A" w:rsidRPr="007A5E6A" w:rsidRDefault="007A5E6A" w:rsidP="001D1A8B">
      <w:pPr>
        <w:pStyle w:val="NormalWeb"/>
        <w:jc w:val="both"/>
        <w:rPr>
          <w:rFonts w:asciiTheme="majorBidi" w:hAnsiTheme="majorBidi" w:cstheme="majorBidi"/>
          <w:color w:val="000000" w:themeColor="text1"/>
        </w:rPr>
      </w:pPr>
      <w:r w:rsidRPr="007A5E6A">
        <w:rPr>
          <w:rStyle w:val="text"/>
          <w:rFonts w:asciiTheme="majorBidi" w:hAnsiTheme="majorBidi" w:cstheme="majorBidi"/>
          <w:color w:val="000000" w:themeColor="text1"/>
        </w:rPr>
        <w:t xml:space="preserve">La Cour constitutionnelle, par son arrêt </w:t>
      </w:r>
      <w:r w:rsidRPr="007A5E6A">
        <w:rPr>
          <w:rFonts w:asciiTheme="majorBidi" w:hAnsiTheme="majorBidi" w:cstheme="majorBidi"/>
          <w:color w:val="000000" w:themeColor="text1"/>
        </w:rPr>
        <w:t>du 8 décembre 2022</w:t>
      </w:r>
      <w:r w:rsidRPr="007A5E6A">
        <w:rPr>
          <w:rStyle w:val="text"/>
          <w:rFonts w:asciiTheme="majorBidi" w:hAnsiTheme="majorBidi" w:cstheme="majorBidi"/>
          <w:color w:val="000000" w:themeColor="text1"/>
        </w:rPr>
        <w:t>, a suspendu</w:t>
      </w:r>
      <w:r w:rsidRPr="007A5E6A">
        <w:rPr>
          <w:rFonts w:asciiTheme="majorBidi" w:hAnsiTheme="majorBidi" w:cstheme="majorBidi"/>
          <w:color w:val="000000" w:themeColor="text1"/>
        </w:rPr>
        <w:t xml:space="preserve"> l’article 5 de la loi du 30 juillet 2022 « en ce que le traité du 11 mars 2022 entre le Royaume de Belgique et la République islamique d’Iran sur le transfèrement de personnes condamnées permet le transfèrement vers l’Iran d’une personne qui a été condamnée par les cours et tribunaux pour avoir commis, avec le soutien de l’Iran, une infraction terroriste »</w:t>
      </w:r>
      <w:r w:rsidR="00EE707F">
        <w:rPr>
          <w:rFonts w:asciiTheme="majorBidi" w:hAnsiTheme="majorBidi" w:cstheme="majorBidi"/>
          <w:color w:val="000000" w:themeColor="text1"/>
        </w:rPr>
        <w:t xml:space="preserve"> (</w:t>
      </w:r>
      <w:r w:rsidR="00EE707F" w:rsidRPr="006040A4">
        <w:t>C.</w:t>
      </w:r>
      <w:r w:rsidR="00EE707F">
        <w:t>C.</w:t>
      </w:r>
      <w:r w:rsidR="00EE707F" w:rsidRPr="006040A4">
        <w:t>, n° 163/2022, 8 décembre 2022</w:t>
      </w:r>
      <w:r w:rsidR="00EE707F">
        <w:t>)</w:t>
      </w:r>
      <w:r w:rsidRPr="007A5E6A">
        <w:rPr>
          <w:rFonts w:asciiTheme="majorBidi" w:hAnsiTheme="majorBidi" w:cstheme="majorBidi"/>
          <w:color w:val="000000" w:themeColor="text1"/>
        </w:rPr>
        <w:t xml:space="preserve">. </w:t>
      </w:r>
    </w:p>
    <w:p w14:paraId="58517176" w14:textId="77777777" w:rsidR="007A5E6A" w:rsidRPr="007A5E6A" w:rsidRDefault="007A5E6A" w:rsidP="001D1A8B">
      <w:pPr>
        <w:pStyle w:val="paragraph"/>
        <w:spacing w:before="0" w:beforeAutospacing="0" w:after="0" w:afterAutospacing="0"/>
        <w:jc w:val="both"/>
        <w:textAlignment w:val="baseline"/>
        <w:rPr>
          <w:rFonts w:asciiTheme="majorBidi" w:hAnsiTheme="majorBidi" w:cstheme="majorBidi"/>
          <w:b/>
          <w:bCs/>
          <w:color w:val="000000" w:themeColor="text1"/>
          <w:highlight w:val="yellow"/>
        </w:rPr>
      </w:pPr>
    </w:p>
    <w:p w14:paraId="3A2AB892" w14:textId="74BB323A" w:rsidR="00587BF0" w:rsidRDefault="007A5E6A" w:rsidP="001D1A8B">
      <w:pPr>
        <w:pStyle w:val="NormalWeb"/>
        <w:jc w:val="both"/>
        <w:textAlignment w:val="baseline"/>
        <w:rPr>
          <w:rFonts w:asciiTheme="majorBidi" w:hAnsiTheme="majorBidi" w:cstheme="majorBidi"/>
          <w:color w:val="000000" w:themeColor="text1"/>
          <w:bdr w:val="none" w:sz="0" w:space="0" w:color="auto" w:frame="1"/>
        </w:rPr>
      </w:pPr>
      <w:r w:rsidRPr="007A5E6A">
        <w:rPr>
          <w:rFonts w:asciiTheme="majorBidi" w:hAnsiTheme="majorBidi" w:cstheme="majorBidi"/>
          <w:color w:val="000000" w:themeColor="text1"/>
          <w:bdr w:val="none" w:sz="0" w:space="0" w:color="auto" w:frame="1"/>
        </w:rPr>
        <w:t>Par son arrêt du</w:t>
      </w:r>
      <w:r w:rsidR="00587BF0" w:rsidRPr="007A5E6A">
        <w:rPr>
          <w:rFonts w:asciiTheme="majorBidi" w:hAnsiTheme="majorBidi" w:cstheme="majorBidi"/>
          <w:color w:val="000000" w:themeColor="text1"/>
          <w:bdr w:val="none" w:sz="0" w:space="0" w:color="auto" w:frame="1"/>
        </w:rPr>
        <w:t xml:space="preserve"> 3 mars 2023, </w:t>
      </w:r>
      <w:r w:rsidRPr="007A5E6A">
        <w:rPr>
          <w:rFonts w:asciiTheme="majorBidi" w:hAnsiTheme="majorBidi" w:cstheme="majorBidi"/>
          <w:color w:val="000000" w:themeColor="text1"/>
          <w:bdr w:val="none" w:sz="0" w:space="0" w:color="auto" w:frame="1"/>
        </w:rPr>
        <w:t xml:space="preserve">la Cour a </w:t>
      </w:r>
      <w:r w:rsidR="00EE707F">
        <w:rPr>
          <w:rFonts w:asciiTheme="majorBidi" w:hAnsiTheme="majorBidi" w:cstheme="majorBidi"/>
          <w:color w:val="000000" w:themeColor="text1"/>
          <w:bdr w:val="none" w:sz="0" w:space="0" w:color="auto" w:frame="1"/>
        </w:rPr>
        <w:t>rejeté le recours en annulation à l’encontre de</w:t>
      </w:r>
      <w:r w:rsidRPr="007A5E6A">
        <w:rPr>
          <w:rFonts w:asciiTheme="majorBidi" w:hAnsiTheme="majorBidi" w:cstheme="majorBidi"/>
          <w:color w:val="000000" w:themeColor="text1"/>
          <w:bdr w:val="none" w:sz="0" w:space="0" w:color="auto" w:frame="1"/>
        </w:rPr>
        <w:t xml:space="preserve"> ladite disposition.</w:t>
      </w:r>
      <w:r w:rsidRPr="007A5E6A">
        <w:rPr>
          <w:rFonts w:asciiTheme="majorBidi" w:hAnsiTheme="majorBidi" w:cstheme="majorBidi"/>
          <w:color w:val="000000" w:themeColor="text1"/>
        </w:rPr>
        <w:t xml:space="preserve"> </w:t>
      </w:r>
      <w:r w:rsidR="00587BF0" w:rsidRPr="007A5E6A">
        <w:rPr>
          <w:rFonts w:asciiTheme="majorBidi" w:hAnsiTheme="majorBidi" w:cstheme="majorBidi"/>
          <w:color w:val="000000" w:themeColor="text1"/>
          <w:bdr w:val="none" w:sz="0" w:space="0" w:color="auto" w:frame="1"/>
        </w:rPr>
        <w:t>Les parties à l’origine du recours invoquaient une violation du droit à la vie, consacré par l’</w:t>
      </w:r>
      <w:hyperlink r:id="rId9" w:anchor="page=5" w:tgtFrame="_blank" w:history="1">
        <w:r w:rsidR="00587BF0" w:rsidRPr="007A5E6A">
          <w:rPr>
            <w:rStyle w:val="Lienhypertexte"/>
            <w:rFonts w:asciiTheme="majorBidi" w:hAnsiTheme="majorBidi" w:cstheme="majorBidi"/>
            <w:color w:val="000000" w:themeColor="text1"/>
            <w:u w:val="none"/>
            <w:bdr w:val="none" w:sz="0" w:space="0" w:color="auto" w:frame="1"/>
          </w:rPr>
          <w:t>article 2 de la Convention européenne des droits de l’homme</w:t>
        </w:r>
      </w:hyperlink>
      <w:r w:rsidR="00587BF0" w:rsidRPr="007A5E6A">
        <w:rPr>
          <w:rStyle w:val="apple-converted-space"/>
          <w:rFonts w:asciiTheme="majorBidi" w:hAnsiTheme="majorBidi" w:cstheme="majorBidi"/>
          <w:color w:val="000000" w:themeColor="text1"/>
          <w:bdr w:val="none" w:sz="0" w:space="0" w:color="auto" w:frame="1"/>
        </w:rPr>
        <w:t> </w:t>
      </w:r>
      <w:r w:rsidR="00587BF0" w:rsidRPr="007A5E6A">
        <w:rPr>
          <w:rFonts w:asciiTheme="majorBidi" w:hAnsiTheme="majorBidi" w:cstheme="majorBidi"/>
          <w:color w:val="000000" w:themeColor="text1"/>
          <w:bdr w:val="none" w:sz="0" w:space="0" w:color="auto" w:frame="1"/>
        </w:rPr>
        <w:t>et l’</w:t>
      </w:r>
      <w:hyperlink r:id="rId10" w:tgtFrame="_blank" w:history="1">
        <w:r w:rsidR="00587BF0" w:rsidRPr="007A5E6A">
          <w:rPr>
            <w:rStyle w:val="Lienhypertexte"/>
            <w:rFonts w:asciiTheme="majorBidi" w:hAnsiTheme="majorBidi" w:cstheme="majorBidi"/>
            <w:color w:val="000000" w:themeColor="text1"/>
            <w:u w:val="none"/>
            <w:bdr w:val="none" w:sz="0" w:space="0" w:color="auto" w:frame="1"/>
          </w:rPr>
          <w:t>article 6 du Pacte international relatif aux droits civils et politiques</w:t>
        </w:r>
      </w:hyperlink>
      <w:r w:rsidR="00587BF0" w:rsidRPr="007A5E6A">
        <w:rPr>
          <w:rFonts w:asciiTheme="majorBidi" w:hAnsiTheme="majorBidi" w:cstheme="majorBidi"/>
          <w:color w:val="000000" w:themeColor="text1"/>
          <w:bdr w:val="none" w:sz="0" w:space="0" w:color="auto" w:frame="1"/>
        </w:rPr>
        <w:t>, en ce que la loi attaquée permettrait</w:t>
      </w:r>
      <w:r w:rsidR="00587BF0" w:rsidRPr="007A5E6A">
        <w:rPr>
          <w:rStyle w:val="apple-converted-space"/>
          <w:rFonts w:asciiTheme="majorBidi" w:hAnsiTheme="majorBidi" w:cstheme="majorBidi"/>
          <w:color w:val="000000" w:themeColor="text1"/>
          <w:bdr w:val="none" w:sz="0" w:space="0" w:color="auto" w:frame="1"/>
        </w:rPr>
        <w:t> </w:t>
      </w:r>
      <w:r w:rsidRPr="007A5E6A">
        <w:rPr>
          <w:rStyle w:val="apple-converted-space"/>
          <w:rFonts w:asciiTheme="majorBidi" w:hAnsiTheme="majorBidi" w:cstheme="majorBidi"/>
          <w:color w:val="000000" w:themeColor="text1"/>
          <w:bdr w:val="none" w:sz="0" w:space="0" w:color="auto" w:frame="1"/>
        </w:rPr>
        <w:t>« </w:t>
      </w:r>
      <w:r w:rsidR="00587BF0" w:rsidRPr="00304303">
        <w:rPr>
          <w:rFonts w:asciiTheme="majorBidi" w:hAnsiTheme="majorBidi" w:cstheme="majorBidi"/>
          <w:bdr w:val="none" w:sz="0" w:space="0" w:color="auto" w:frame="1"/>
        </w:rPr>
        <w:t>le transfèrement […] d’une personne qui a été condamnée pour avoir commis des infractions terroristes avec le soutien de l’Iran</w:t>
      </w:r>
      <w:r w:rsidR="00304303">
        <w:rPr>
          <w:rFonts w:asciiTheme="majorBidi" w:hAnsiTheme="majorBidi" w:cstheme="majorBidi"/>
          <w:bdr w:val="none" w:sz="0" w:space="0" w:color="auto" w:frame="1"/>
        </w:rPr>
        <w:t> »</w:t>
      </w:r>
      <w:r w:rsidR="00587BF0" w:rsidRPr="00304303">
        <w:rPr>
          <w:rFonts w:asciiTheme="majorBidi" w:hAnsiTheme="majorBidi" w:cstheme="majorBidi"/>
          <w:bdr w:val="none" w:sz="0" w:space="0" w:color="auto" w:frame="1"/>
        </w:rPr>
        <w:t xml:space="preserve">, alors que </w:t>
      </w:r>
      <w:r w:rsidR="00304303">
        <w:rPr>
          <w:rFonts w:asciiTheme="majorBidi" w:hAnsiTheme="majorBidi" w:cstheme="majorBidi"/>
          <w:bdr w:val="none" w:sz="0" w:space="0" w:color="auto" w:frame="1"/>
        </w:rPr>
        <w:t>« </w:t>
      </w:r>
      <w:r w:rsidR="00587BF0" w:rsidRPr="00304303">
        <w:rPr>
          <w:rFonts w:asciiTheme="majorBidi" w:hAnsiTheme="majorBidi" w:cstheme="majorBidi"/>
          <w:bdr w:val="none" w:sz="0" w:space="0" w:color="auto" w:frame="1"/>
        </w:rPr>
        <w:t>la Belgique sait ou devrait savoir que le transfèrement […] sera suivi de sa grâce et de sa libération dès son arrivée sur le territoire iranien</w:t>
      </w:r>
      <w:r w:rsidRPr="00304303">
        <w:rPr>
          <w:rFonts w:asciiTheme="majorBidi" w:hAnsiTheme="majorBidi" w:cstheme="majorBidi"/>
          <w:bdr w:val="none" w:sz="0" w:space="0" w:color="auto" w:frame="1"/>
        </w:rPr>
        <w:t> ».</w:t>
      </w:r>
      <w:r w:rsidR="00304303">
        <w:rPr>
          <w:rFonts w:asciiTheme="majorBidi" w:hAnsiTheme="majorBidi" w:cstheme="majorBidi"/>
          <w:bdr w:val="none" w:sz="0" w:space="0" w:color="auto" w:frame="1"/>
        </w:rPr>
        <w:t xml:space="preserve"> </w:t>
      </w:r>
      <w:r w:rsidR="00587BF0" w:rsidRPr="007A5E6A">
        <w:rPr>
          <w:rFonts w:asciiTheme="majorBidi" w:hAnsiTheme="majorBidi" w:cstheme="majorBidi"/>
          <w:color w:val="000000" w:themeColor="text1"/>
          <w:bdr w:val="none" w:sz="0" w:space="0" w:color="auto" w:frame="1"/>
        </w:rPr>
        <w:t>La Cour rappelle les limites de sa juridiction</w:t>
      </w:r>
      <w:r w:rsidR="0050286C">
        <w:rPr>
          <w:rFonts w:asciiTheme="majorBidi" w:hAnsiTheme="majorBidi" w:cstheme="majorBidi"/>
          <w:color w:val="000000" w:themeColor="text1"/>
          <w:bdr w:val="none" w:sz="0" w:space="0" w:color="auto" w:frame="1"/>
        </w:rPr>
        <w:t xml:space="preserve"> </w:t>
      </w:r>
      <w:r w:rsidR="00587BF0" w:rsidRPr="007A5E6A">
        <w:rPr>
          <w:rFonts w:asciiTheme="majorBidi" w:hAnsiTheme="majorBidi" w:cstheme="majorBidi"/>
          <w:color w:val="000000" w:themeColor="text1"/>
          <w:bdr w:val="none" w:sz="0" w:space="0" w:color="auto" w:frame="1"/>
        </w:rPr>
        <w:t>: elle ne peut se prononcer que sur la constitutionnalité d’une norme de droit. Or, le recours en annulation ne porte pas sur la loi elle-même, mais sur son application. La Cour se déclare dès lors incompétente</w:t>
      </w:r>
      <w:r w:rsidR="00304303">
        <w:rPr>
          <w:rFonts w:asciiTheme="majorBidi" w:hAnsiTheme="majorBidi" w:cstheme="majorBidi"/>
          <w:color w:val="000000" w:themeColor="text1"/>
          <w:bdr w:val="none" w:sz="0" w:space="0" w:color="auto" w:frame="1"/>
        </w:rPr>
        <w:t xml:space="preserve">, </w:t>
      </w:r>
      <w:r w:rsidR="00587BF0" w:rsidRPr="007A5E6A">
        <w:rPr>
          <w:rFonts w:asciiTheme="majorBidi" w:hAnsiTheme="majorBidi" w:cstheme="majorBidi"/>
          <w:color w:val="000000" w:themeColor="text1"/>
          <w:bdr w:val="none" w:sz="0" w:space="0" w:color="auto" w:frame="1"/>
        </w:rPr>
        <w:t>s’agissant de la prérogative d’un juge.</w:t>
      </w:r>
    </w:p>
    <w:p w14:paraId="29A80622" w14:textId="77777777" w:rsidR="007A5E6A" w:rsidRPr="007A5E6A" w:rsidRDefault="007A5E6A" w:rsidP="001D1A8B">
      <w:pPr>
        <w:pStyle w:val="NormalWeb"/>
        <w:jc w:val="both"/>
        <w:textAlignment w:val="baseline"/>
        <w:rPr>
          <w:rFonts w:asciiTheme="majorBidi" w:hAnsiTheme="majorBidi" w:cstheme="majorBidi"/>
          <w:color w:val="000000" w:themeColor="text1"/>
        </w:rPr>
      </w:pPr>
    </w:p>
    <w:p w14:paraId="0A281997" w14:textId="7CA720D7" w:rsidR="00587BF0" w:rsidRPr="007A5E6A" w:rsidRDefault="00587BF0" w:rsidP="001D1A8B">
      <w:pPr>
        <w:pStyle w:val="NormalWeb"/>
        <w:jc w:val="both"/>
        <w:textAlignment w:val="baseline"/>
        <w:rPr>
          <w:rFonts w:asciiTheme="majorBidi" w:hAnsiTheme="majorBidi" w:cstheme="majorBidi"/>
          <w:color w:val="000000" w:themeColor="text1"/>
        </w:rPr>
      </w:pPr>
      <w:r w:rsidRPr="007A5E6A">
        <w:rPr>
          <w:rFonts w:asciiTheme="majorBidi" w:hAnsiTheme="majorBidi" w:cstheme="majorBidi"/>
          <w:color w:val="000000" w:themeColor="text1"/>
          <w:bdr w:val="none" w:sz="0" w:space="0" w:color="auto" w:frame="1"/>
        </w:rPr>
        <w:t xml:space="preserve">Deux autres moyens ont été soulevés par les requérants qui ont également été rejetés par la Cour constitutionnelle. D’une part, l’autorité de la chose jugée des condamnations ne serait pas préservée. Les parties requérantes </w:t>
      </w:r>
      <w:r w:rsidR="00EE707F">
        <w:rPr>
          <w:rFonts w:asciiTheme="majorBidi" w:hAnsiTheme="majorBidi" w:cstheme="majorBidi"/>
          <w:color w:val="000000" w:themeColor="text1"/>
          <w:bdr w:val="none" w:sz="0" w:space="0" w:color="auto" w:frame="1"/>
        </w:rPr>
        <w:t>« </w:t>
      </w:r>
      <w:hyperlink r:id="rId11" w:anchor="page=15" w:tgtFrame="_blank" w:history="1">
        <w:r w:rsidRPr="007A5E6A">
          <w:rPr>
            <w:rStyle w:val="Lienhypertexte"/>
            <w:rFonts w:asciiTheme="majorBidi" w:hAnsiTheme="majorBidi" w:cstheme="majorBidi"/>
            <w:color w:val="000000" w:themeColor="text1"/>
            <w:u w:val="none"/>
            <w:bdr w:val="none" w:sz="0" w:space="0" w:color="auto" w:frame="1"/>
          </w:rPr>
          <w:t>font grief au traité du 11 mars 2022 de ne pas prévoir, d’une part, que les autorités compétentes de l’État d’exécution [à savoir l’Iran] sont tenues de respecter les constatations de faits auxquelles ont abouti les juridictions de l’État de condamnation [à savoir la Belgique] et, d’autre part, que la peine d’emprisonnement ne peut être convertie en une simple peine pécuniaire</w:t>
        </w:r>
      </w:hyperlink>
      <w:r w:rsidR="00EE707F">
        <w:rPr>
          <w:rFonts w:asciiTheme="majorBidi" w:hAnsiTheme="majorBidi" w:cstheme="majorBidi"/>
          <w:color w:val="000000" w:themeColor="text1"/>
          <w:bdr w:val="none" w:sz="0" w:space="0" w:color="auto" w:frame="1"/>
        </w:rPr>
        <w:t> »</w:t>
      </w:r>
      <w:r w:rsidRPr="007A5E6A">
        <w:rPr>
          <w:rFonts w:asciiTheme="majorBidi" w:hAnsiTheme="majorBidi" w:cstheme="majorBidi"/>
          <w:color w:val="000000" w:themeColor="text1"/>
          <w:bdr w:val="none" w:sz="0" w:space="0" w:color="auto" w:frame="1"/>
        </w:rPr>
        <w:t>. À ce sujet, la Cour constitutionnelle rappelle que les transfèrements interétatiques n’ont pas pour objectif de modifier la nature ou la durée de la condamnation ou de remettre en question la culpabilité du condamné. D’autre part, les victimes ne disposeraient pas d’un droit à un recours effectif quant à la décision de transfèrement. Bien que la Cour admette qu’il n’y ait aucun recours actuellement prévu, contrairement à ce qui est prévu</w:t>
      </w:r>
      <w:r w:rsidRPr="007A5E6A">
        <w:rPr>
          <w:rStyle w:val="apple-converted-space"/>
          <w:rFonts w:asciiTheme="majorBidi" w:hAnsiTheme="majorBidi" w:cstheme="majorBidi"/>
          <w:color w:val="000000" w:themeColor="text1"/>
          <w:bdr w:val="none" w:sz="0" w:space="0" w:color="auto" w:frame="1"/>
        </w:rPr>
        <w:t> </w:t>
      </w:r>
      <w:hyperlink r:id="rId12" w:anchor="Art.3" w:tgtFrame="_blank" w:history="1">
        <w:r w:rsidRPr="007A5E6A">
          <w:rPr>
            <w:rStyle w:val="Lienhypertexte"/>
            <w:rFonts w:asciiTheme="majorBidi" w:hAnsiTheme="majorBidi" w:cstheme="majorBidi"/>
            <w:color w:val="000000" w:themeColor="text1"/>
            <w:u w:val="none"/>
            <w:bdr w:val="none" w:sz="0" w:space="0" w:color="auto" w:frame="1"/>
          </w:rPr>
          <w:t>pour les</w:t>
        </w:r>
        <w:r w:rsidRPr="007A5E6A">
          <w:rPr>
            <w:rStyle w:val="apple-converted-space"/>
            <w:rFonts w:asciiTheme="majorBidi" w:hAnsiTheme="majorBidi" w:cstheme="majorBidi"/>
            <w:color w:val="000000" w:themeColor="text1"/>
            <w:bdr w:val="none" w:sz="0" w:space="0" w:color="auto" w:frame="1"/>
          </w:rPr>
          <w:t> </w:t>
        </w:r>
      </w:hyperlink>
      <w:r w:rsidRPr="007A5E6A">
        <w:rPr>
          <w:rFonts w:asciiTheme="majorBidi" w:hAnsiTheme="majorBidi" w:cstheme="majorBidi"/>
          <w:color w:val="000000" w:themeColor="text1"/>
          <w:bdr w:val="none" w:sz="0" w:space="0" w:color="auto" w:frame="1"/>
        </w:rPr>
        <w:t>victimes en matière d’exécution des peines, elle précise qu’il s’agit d’une lacune dans la législation belge et non d’une inconstitutionnalité découlant du traité belgo-iranien.</w:t>
      </w:r>
      <w:r w:rsidRPr="007A5E6A">
        <w:rPr>
          <w:rStyle w:val="apple-converted-space"/>
          <w:rFonts w:asciiTheme="majorBidi" w:hAnsiTheme="majorBidi" w:cstheme="majorBidi"/>
          <w:color w:val="000000" w:themeColor="text1"/>
          <w:bdr w:val="none" w:sz="0" w:space="0" w:color="auto" w:frame="1"/>
        </w:rPr>
        <w:t> </w:t>
      </w:r>
      <w:r w:rsidRPr="007A5E6A">
        <w:rPr>
          <w:rFonts w:asciiTheme="majorBidi" w:hAnsiTheme="majorBidi" w:cstheme="majorBidi"/>
          <w:color w:val="000000" w:themeColor="text1"/>
        </w:rPr>
        <w:t>Évoquant</w:t>
      </w:r>
      <w:r w:rsidRPr="007A5E6A">
        <w:rPr>
          <w:rStyle w:val="apple-converted-space"/>
          <w:rFonts w:asciiTheme="majorBidi" w:hAnsiTheme="majorBidi" w:cstheme="majorBidi"/>
          <w:color w:val="000000" w:themeColor="text1"/>
        </w:rPr>
        <w:t> </w:t>
      </w:r>
      <w:r w:rsidRPr="007A5E6A">
        <w:rPr>
          <w:rFonts w:asciiTheme="majorBidi" w:hAnsiTheme="majorBidi" w:cstheme="majorBidi"/>
          <w:color w:val="000000" w:themeColor="text1"/>
          <w:bdr w:val="none" w:sz="0" w:space="0" w:color="auto" w:frame="1"/>
        </w:rPr>
        <w:t>l’</w:t>
      </w:r>
      <w:hyperlink r:id="rId13" w:anchor="page=8" w:tgtFrame="_blank" w:history="1">
        <w:r w:rsidRPr="007A5E6A">
          <w:rPr>
            <w:rStyle w:val="Lienhypertexte"/>
            <w:rFonts w:asciiTheme="majorBidi" w:hAnsiTheme="majorBidi" w:cstheme="majorBidi"/>
            <w:color w:val="000000" w:themeColor="text1"/>
            <w:u w:val="none"/>
            <w:bdr w:val="none" w:sz="0" w:space="0" w:color="auto" w:frame="1"/>
          </w:rPr>
          <w:t>article 13 de la Convention européenne des droits de l’homme</w:t>
        </w:r>
      </w:hyperlink>
      <w:r w:rsidRPr="007A5E6A">
        <w:rPr>
          <w:rStyle w:val="apple-converted-space"/>
          <w:rFonts w:asciiTheme="majorBidi" w:hAnsiTheme="majorBidi" w:cstheme="majorBidi"/>
          <w:color w:val="000000" w:themeColor="text1"/>
          <w:bdr w:val="none" w:sz="0" w:space="0" w:color="auto" w:frame="1"/>
        </w:rPr>
        <w:t> </w:t>
      </w:r>
      <w:r w:rsidRPr="007A5E6A">
        <w:rPr>
          <w:rFonts w:asciiTheme="majorBidi" w:hAnsiTheme="majorBidi" w:cstheme="majorBidi"/>
          <w:color w:val="000000" w:themeColor="text1"/>
          <w:bdr w:val="none" w:sz="0" w:space="0" w:color="auto" w:frame="1"/>
        </w:rPr>
        <w:t>sur le droit à un recours effectif, la Cour invite le Gouvernement belge à veiller à ce que les victimes soient informées d’une décision de transfèrement.  </w:t>
      </w:r>
    </w:p>
    <w:p w14:paraId="0B9E6110" w14:textId="77777777" w:rsidR="00587BF0" w:rsidRPr="007A5E6A" w:rsidRDefault="00587BF0" w:rsidP="001D1A8B">
      <w:pPr>
        <w:pStyle w:val="NormalWeb"/>
        <w:jc w:val="both"/>
        <w:textAlignment w:val="baseline"/>
        <w:rPr>
          <w:rFonts w:asciiTheme="majorBidi" w:hAnsiTheme="majorBidi" w:cstheme="majorBidi"/>
          <w:b/>
          <w:bCs/>
          <w:color w:val="000000" w:themeColor="text1"/>
          <w:bdr w:val="none" w:sz="0" w:space="0" w:color="auto" w:frame="1"/>
        </w:rPr>
      </w:pPr>
    </w:p>
    <w:p w14:paraId="718E2595" w14:textId="430729BD" w:rsidR="00587BF0" w:rsidRDefault="00587BF0" w:rsidP="001D1A8B">
      <w:pPr>
        <w:pStyle w:val="NormalWeb"/>
        <w:jc w:val="both"/>
        <w:textAlignment w:val="baseline"/>
        <w:rPr>
          <w:rFonts w:asciiTheme="majorBidi" w:hAnsiTheme="majorBidi" w:cstheme="majorBidi"/>
          <w:color w:val="000000" w:themeColor="text1"/>
          <w:bdr w:val="none" w:sz="0" w:space="0" w:color="auto" w:frame="1"/>
        </w:rPr>
      </w:pPr>
      <w:r w:rsidRPr="007A5E6A">
        <w:rPr>
          <w:rFonts w:asciiTheme="majorBidi" w:hAnsiTheme="majorBidi" w:cstheme="majorBidi"/>
          <w:color w:val="000000" w:themeColor="text1"/>
          <w:bdr w:val="none" w:sz="0" w:space="0" w:color="auto" w:frame="1"/>
        </w:rPr>
        <w:t>Si le recours en annulation a été rejeté par la Cour constitutionnelle, elle assortit cependant sa décision d’une</w:t>
      </w:r>
      <w:r w:rsidRPr="007A5E6A">
        <w:rPr>
          <w:rStyle w:val="apple-converted-space"/>
          <w:rFonts w:asciiTheme="majorBidi" w:hAnsiTheme="majorBidi" w:cstheme="majorBidi"/>
          <w:color w:val="000000" w:themeColor="text1"/>
          <w:bdr w:val="none" w:sz="0" w:space="0" w:color="auto" w:frame="1"/>
        </w:rPr>
        <w:t> </w:t>
      </w:r>
      <w:hyperlink r:id="rId14" w:anchor="page=36" w:tgtFrame="_blank" w:history="1">
        <w:r w:rsidRPr="007A5E6A">
          <w:rPr>
            <w:rStyle w:val="Lienhypertexte"/>
            <w:rFonts w:asciiTheme="majorBidi" w:hAnsiTheme="majorBidi" w:cstheme="majorBidi"/>
            <w:color w:val="000000" w:themeColor="text1"/>
            <w:u w:val="none"/>
            <w:bdr w:val="none" w:sz="0" w:space="0" w:color="auto" w:frame="1"/>
          </w:rPr>
          <w:t>réserve</w:t>
        </w:r>
      </w:hyperlink>
      <w:r w:rsidRPr="007A5E6A">
        <w:rPr>
          <w:rStyle w:val="apple-converted-space"/>
          <w:rFonts w:asciiTheme="majorBidi" w:hAnsiTheme="majorBidi" w:cstheme="majorBidi"/>
          <w:color w:val="000000" w:themeColor="text1"/>
          <w:bdr w:val="none" w:sz="0" w:space="0" w:color="auto" w:frame="1"/>
        </w:rPr>
        <w:t> </w:t>
      </w:r>
      <w:r w:rsidRPr="007A5E6A">
        <w:rPr>
          <w:rFonts w:asciiTheme="majorBidi" w:hAnsiTheme="majorBidi" w:cstheme="majorBidi"/>
          <w:color w:val="000000" w:themeColor="text1"/>
          <w:bdr w:val="none" w:sz="0" w:space="0" w:color="auto" w:frame="1"/>
        </w:rPr>
        <w:t>imposant au Gouvernement belge</w:t>
      </w:r>
      <w:r w:rsidRPr="007A5E6A">
        <w:rPr>
          <w:rStyle w:val="apple-converted-space"/>
          <w:rFonts w:asciiTheme="majorBidi" w:hAnsiTheme="majorBidi" w:cstheme="majorBidi"/>
          <w:color w:val="000000" w:themeColor="text1"/>
          <w:bdr w:val="none" w:sz="0" w:space="0" w:color="auto" w:frame="1"/>
        </w:rPr>
        <w:t> </w:t>
      </w:r>
      <w:r w:rsidRPr="007A5E6A">
        <w:rPr>
          <w:rFonts w:asciiTheme="majorBidi" w:hAnsiTheme="majorBidi" w:cstheme="majorBidi"/>
          <w:color w:val="000000" w:themeColor="text1"/>
          <w:bdr w:val="none" w:sz="0" w:space="0" w:color="auto" w:frame="1"/>
        </w:rPr>
        <w:t>de veiller à ce que les victimes soient informées de toute décision concernant un transfèrement. Celle-ci</w:t>
      </w:r>
      <w:r w:rsidRPr="007A5E6A">
        <w:rPr>
          <w:rStyle w:val="apple-converted-space"/>
          <w:rFonts w:asciiTheme="majorBidi" w:hAnsiTheme="majorBidi" w:cstheme="majorBidi"/>
          <w:color w:val="000000" w:themeColor="text1"/>
          <w:bdr w:val="none" w:sz="0" w:space="0" w:color="auto" w:frame="1"/>
        </w:rPr>
        <w:t> </w:t>
      </w:r>
      <w:r w:rsidRPr="007A5E6A">
        <w:rPr>
          <w:rFonts w:asciiTheme="majorBidi" w:hAnsiTheme="majorBidi" w:cstheme="majorBidi"/>
          <w:color w:val="000000" w:themeColor="text1"/>
          <w:bdr w:val="none" w:sz="0" w:space="0" w:color="auto" w:frame="1"/>
        </w:rPr>
        <w:t>vise à permettre aux victimes de pouvoir exercer un recours effectif, en soumettant la décision au contrôle de légalité d’un juge</w:t>
      </w:r>
      <w:r w:rsidR="00EE707F">
        <w:rPr>
          <w:rFonts w:asciiTheme="majorBidi" w:hAnsiTheme="majorBidi" w:cstheme="majorBidi"/>
          <w:color w:val="000000" w:themeColor="text1"/>
          <w:bdr w:val="none" w:sz="0" w:space="0" w:color="auto" w:frame="1"/>
        </w:rPr>
        <w:t xml:space="preserve"> (C.C.</w:t>
      </w:r>
      <w:r w:rsidR="00EE707F" w:rsidRPr="00587BF0">
        <w:rPr>
          <w:rFonts w:asciiTheme="majorBidi" w:hAnsiTheme="majorBidi" w:cstheme="majorBidi"/>
          <w:color w:val="000000"/>
          <w:bdr w:val="none" w:sz="0" w:space="0" w:color="auto" w:frame="1"/>
        </w:rPr>
        <w:t>, n° 13</w:t>
      </w:r>
      <w:r w:rsidR="00EE707F">
        <w:rPr>
          <w:rFonts w:asciiTheme="majorBidi" w:hAnsiTheme="majorBidi" w:cstheme="majorBidi"/>
          <w:color w:val="000000"/>
          <w:bdr w:val="none" w:sz="0" w:space="0" w:color="auto" w:frame="1"/>
        </w:rPr>
        <w:t>6</w:t>
      </w:r>
      <w:r w:rsidR="00EE707F" w:rsidRPr="00587BF0">
        <w:rPr>
          <w:rFonts w:asciiTheme="majorBidi" w:hAnsiTheme="majorBidi" w:cstheme="majorBidi"/>
          <w:color w:val="000000"/>
          <w:bdr w:val="none" w:sz="0" w:space="0" w:color="auto" w:frame="1"/>
        </w:rPr>
        <w:t>/2022</w:t>
      </w:r>
      <w:r w:rsidR="00EE707F">
        <w:rPr>
          <w:rFonts w:asciiTheme="majorBidi" w:hAnsiTheme="majorBidi" w:cstheme="majorBidi"/>
          <w:color w:val="000000"/>
          <w:bdr w:val="none" w:sz="0" w:space="0" w:color="auto" w:frame="1"/>
        </w:rPr>
        <w:t>3, 3 mars 2023)</w:t>
      </w:r>
      <w:r w:rsidRPr="007A5E6A">
        <w:rPr>
          <w:rFonts w:asciiTheme="majorBidi" w:hAnsiTheme="majorBidi" w:cstheme="majorBidi"/>
          <w:color w:val="000000" w:themeColor="text1"/>
          <w:bdr w:val="none" w:sz="0" w:space="0" w:color="auto" w:frame="1"/>
        </w:rPr>
        <w:t>. </w:t>
      </w:r>
    </w:p>
    <w:p w14:paraId="02AD815E" w14:textId="77777777" w:rsidR="00F8241E" w:rsidRPr="00A96EE8" w:rsidRDefault="00F8241E" w:rsidP="001D1A8B">
      <w:pPr>
        <w:autoSpaceDE w:val="0"/>
        <w:autoSpaceDN w:val="0"/>
        <w:adjustRightInd w:val="0"/>
        <w:jc w:val="both"/>
        <w:rPr>
          <w:rFonts w:eastAsia="MS Mincho"/>
          <w:color w:val="000000"/>
        </w:rPr>
      </w:pPr>
    </w:p>
    <w:p w14:paraId="27CF75A7" w14:textId="77777777" w:rsidR="00477F81" w:rsidRDefault="00477F81" w:rsidP="001D1A8B">
      <w:pPr>
        <w:jc w:val="both"/>
        <w:rPr>
          <w:b/>
          <w:bCs/>
          <w:i/>
          <w:iCs/>
        </w:rPr>
      </w:pPr>
    </w:p>
    <w:p w14:paraId="2A138F07" w14:textId="026CED12" w:rsidR="00477F81" w:rsidRPr="00F8241E" w:rsidRDefault="00477F81" w:rsidP="001D1A8B">
      <w:pPr>
        <w:jc w:val="both"/>
        <w:rPr>
          <w:i/>
          <w:iCs/>
        </w:rPr>
      </w:pPr>
      <w:r w:rsidRPr="00F8241E">
        <w:rPr>
          <w:i/>
          <w:iCs/>
        </w:rPr>
        <w:t xml:space="preserve">DROIT PÉNAL SOCIAL  </w:t>
      </w:r>
    </w:p>
    <w:p w14:paraId="289F48C5" w14:textId="77777777" w:rsidR="00477F81" w:rsidRPr="00335C08" w:rsidRDefault="00477F81" w:rsidP="001D1A8B">
      <w:pPr>
        <w:jc w:val="both"/>
        <w:rPr>
          <w:b/>
          <w:bCs/>
        </w:rPr>
      </w:pPr>
    </w:p>
    <w:p w14:paraId="01B76E75" w14:textId="77777777" w:rsidR="00477F81" w:rsidRPr="00335C08" w:rsidRDefault="00477F81" w:rsidP="001D1A8B">
      <w:pPr>
        <w:jc w:val="both"/>
        <w:rPr>
          <w:b/>
          <w:bCs/>
        </w:rPr>
      </w:pPr>
      <w:r w:rsidRPr="00335C08">
        <w:rPr>
          <w:b/>
          <w:bCs/>
        </w:rPr>
        <w:t>Art. 32</w:t>
      </w:r>
      <w:r w:rsidRPr="00D84E55">
        <w:rPr>
          <w:b/>
          <w:bCs/>
          <w:i/>
          <w:iCs/>
        </w:rPr>
        <w:t>ter</w:t>
      </w:r>
      <w:r w:rsidRPr="00335C08">
        <w:rPr>
          <w:b/>
          <w:bCs/>
        </w:rPr>
        <w:t xml:space="preserve"> de la loi du 4 août 1996 relative au bien-être des travailleurs – Violence au travail – Menace de violence au travail – Rappel des principes</w:t>
      </w:r>
    </w:p>
    <w:p w14:paraId="75153D84" w14:textId="77777777" w:rsidR="00477F81" w:rsidRPr="00335C08" w:rsidRDefault="00477F81" w:rsidP="001D1A8B">
      <w:pPr>
        <w:jc w:val="both"/>
      </w:pPr>
    </w:p>
    <w:p w14:paraId="4AE5E7F1" w14:textId="77777777" w:rsidR="00477F81" w:rsidRPr="003913A7" w:rsidRDefault="00477F81" w:rsidP="001D1A8B">
      <w:pPr>
        <w:pStyle w:val="NormalWeb"/>
        <w:jc w:val="both"/>
        <w:rPr>
          <w:shd w:val="clear" w:color="auto" w:fill="FFFFFF"/>
        </w:rPr>
      </w:pPr>
      <w:r w:rsidRPr="00335C08">
        <w:rPr>
          <w:shd w:val="clear" w:color="auto" w:fill="FFFFFF"/>
        </w:rPr>
        <w:t>L’article 32</w:t>
      </w:r>
      <w:r w:rsidRPr="00335C08">
        <w:rPr>
          <w:i/>
          <w:iCs/>
          <w:shd w:val="clear" w:color="auto" w:fill="FFFFFF"/>
        </w:rPr>
        <w:t>ter</w:t>
      </w:r>
      <w:r w:rsidRPr="00335C08">
        <w:rPr>
          <w:shd w:val="clear" w:color="auto" w:fill="FFFFFF"/>
        </w:rPr>
        <w:t>, I°, de la loi du 4</w:t>
      </w:r>
      <w:r>
        <w:rPr>
          <w:shd w:val="clear" w:color="auto" w:fill="FFFFFF"/>
        </w:rPr>
        <w:t xml:space="preserve"> </w:t>
      </w:r>
      <w:r w:rsidRPr="00335C08">
        <w:rPr>
          <w:shd w:val="clear" w:color="auto" w:fill="FFFFFF"/>
        </w:rPr>
        <w:t>août 1996 relative au bien-être des travailleurs définit la violence au travail comme « </w:t>
      </w:r>
      <w:r w:rsidRPr="00D84E55">
        <w:rPr>
          <w:shd w:val="clear" w:color="auto" w:fill="FFFFFF"/>
        </w:rPr>
        <w:t>chaque situation de fait où un travailleur est menacé ou agressé psychiquement ou physiquement lors de l’exécution de son travail</w:t>
      </w:r>
      <w:r w:rsidRPr="00335C08">
        <w:rPr>
          <w:i/>
          <w:iCs/>
          <w:shd w:val="clear" w:color="auto" w:fill="FFFFFF"/>
        </w:rPr>
        <w:t> </w:t>
      </w:r>
      <w:r w:rsidRPr="00D84E55">
        <w:rPr>
          <w:shd w:val="clear" w:color="auto" w:fill="FFFFFF"/>
        </w:rPr>
        <w:t>»</w:t>
      </w:r>
      <w:r w:rsidRPr="00335C08">
        <w:rPr>
          <w:i/>
          <w:iCs/>
          <w:shd w:val="clear" w:color="auto" w:fill="FFFFFF"/>
        </w:rPr>
        <w:t>.</w:t>
      </w:r>
      <w:r w:rsidRPr="00335C08">
        <w:rPr>
          <w:shd w:val="clear" w:color="auto" w:fill="FFFFFF"/>
        </w:rPr>
        <w:t xml:space="preserve">Saisie d’une affaire dans laquelle deux travailleurs étaient prévenus d’avoir attaché un de leurs collègues à un piquet de camionnette au moyen d’une sangle, la </w:t>
      </w:r>
      <w:r>
        <w:rPr>
          <w:shd w:val="clear" w:color="auto" w:fill="FFFFFF"/>
        </w:rPr>
        <w:t>c</w:t>
      </w:r>
      <w:r w:rsidRPr="00335C08">
        <w:rPr>
          <w:shd w:val="clear" w:color="auto" w:fill="FFFFFF"/>
        </w:rPr>
        <w:t xml:space="preserve">our </w:t>
      </w:r>
      <w:r>
        <w:rPr>
          <w:shd w:val="clear" w:color="auto" w:fill="FFFFFF"/>
        </w:rPr>
        <w:t xml:space="preserve">d’appel de Mons </w:t>
      </w:r>
      <w:r w:rsidRPr="00335C08">
        <w:rPr>
          <w:shd w:val="clear" w:color="auto" w:fill="FFFFFF"/>
        </w:rPr>
        <w:t xml:space="preserve">a eu l’occasion de rappeler que même si dans l’esprit des collègues il s’agissait d’un jeu, cela était constitutif d’un acte de violence au travail. La </w:t>
      </w:r>
      <w:r>
        <w:rPr>
          <w:shd w:val="clear" w:color="auto" w:fill="FFFFFF"/>
        </w:rPr>
        <w:t>c</w:t>
      </w:r>
      <w:r w:rsidRPr="00335C08">
        <w:rPr>
          <w:shd w:val="clear" w:color="auto" w:fill="FFFFFF"/>
        </w:rPr>
        <w:t>our a également rappelé que</w:t>
      </w:r>
      <w:r>
        <w:rPr>
          <w:shd w:val="clear" w:color="auto" w:fill="FFFFFF"/>
        </w:rPr>
        <w:t xml:space="preserve">, </w:t>
      </w:r>
      <w:r w:rsidRPr="00335C08">
        <w:rPr>
          <w:shd w:val="clear" w:color="auto" w:fill="FFFFFF"/>
        </w:rPr>
        <w:t>même dans l’hypothèse où les prévenus n’auraient pas effectivement attaché leur collègue, mais simplement menacé de le faire, cela aurait suffi à déclarer la prévention établie. En effet, le simple fait de menacer un travailleur et de porter ainsi atteinte à son intégrité psychique tombe sous le coup de la loi</w:t>
      </w:r>
      <w:r>
        <w:rPr>
          <w:shd w:val="clear" w:color="auto" w:fill="FFFFFF"/>
        </w:rPr>
        <w:t xml:space="preserve"> </w:t>
      </w:r>
      <w:r w:rsidRPr="003913A7">
        <w:rPr>
          <w:shd w:val="clear" w:color="auto" w:fill="FFFFFF"/>
        </w:rPr>
        <w:t>(Mons, 11 janvier 2022,</w:t>
      </w:r>
      <w:r w:rsidRPr="003913A7">
        <w:rPr>
          <w:rStyle w:val="apple-converted-space"/>
          <w:shd w:val="clear" w:color="auto" w:fill="FFFFFF"/>
        </w:rPr>
        <w:t> </w:t>
      </w:r>
      <w:r w:rsidRPr="003913A7">
        <w:rPr>
          <w:i/>
          <w:iCs/>
        </w:rPr>
        <w:t xml:space="preserve">Dr. </w:t>
      </w:r>
      <w:proofErr w:type="spellStart"/>
      <w:r w:rsidRPr="003913A7">
        <w:rPr>
          <w:i/>
          <w:iCs/>
        </w:rPr>
        <w:t>pén</w:t>
      </w:r>
      <w:proofErr w:type="spellEnd"/>
      <w:r w:rsidRPr="003913A7">
        <w:rPr>
          <w:i/>
          <w:iCs/>
        </w:rPr>
        <w:t xml:space="preserve">. </w:t>
      </w:r>
      <w:proofErr w:type="spellStart"/>
      <w:r w:rsidRPr="003913A7">
        <w:rPr>
          <w:i/>
          <w:iCs/>
        </w:rPr>
        <w:t>entr</w:t>
      </w:r>
      <w:proofErr w:type="spellEnd"/>
      <w:r w:rsidRPr="003913A7">
        <w:rPr>
          <w:i/>
          <w:iCs/>
        </w:rPr>
        <w:t>.</w:t>
      </w:r>
      <w:r w:rsidRPr="003913A7">
        <w:rPr>
          <w:shd w:val="clear" w:color="auto" w:fill="FFFFFF"/>
        </w:rPr>
        <w:t>, 2022/4, p. 403).</w:t>
      </w:r>
    </w:p>
    <w:p w14:paraId="23E1E4E6" w14:textId="77777777" w:rsidR="00477F81" w:rsidRPr="00335C08" w:rsidRDefault="00477F81" w:rsidP="001D1A8B">
      <w:pPr>
        <w:jc w:val="both"/>
        <w:rPr>
          <w:b/>
          <w:lang w:eastAsia="fr-BE"/>
        </w:rPr>
      </w:pPr>
    </w:p>
    <w:p w14:paraId="2C170EEB" w14:textId="77777777" w:rsidR="00477F81" w:rsidRPr="00335C08" w:rsidRDefault="00477F81" w:rsidP="001D1A8B">
      <w:pPr>
        <w:jc w:val="both"/>
        <w:rPr>
          <w:b/>
          <w:lang w:eastAsia="fr-BE"/>
        </w:rPr>
      </w:pPr>
      <w:r w:rsidRPr="00335C08">
        <w:rPr>
          <w:b/>
          <w:lang w:eastAsia="fr-BE"/>
        </w:rPr>
        <w:t>Code pénal social – Manquements à la déclaration immédiate de l’emploi par l’employeur – Condamnation d’une personne morale – Sanction de niveau 4 – Impossibilité de prononcer un sursis sur la peine d’amende – Discrimination</w:t>
      </w:r>
    </w:p>
    <w:p w14:paraId="0BA40C2A" w14:textId="77777777" w:rsidR="00477F81" w:rsidRPr="00335C08" w:rsidRDefault="00477F81" w:rsidP="001D1A8B">
      <w:pPr>
        <w:jc w:val="both"/>
        <w:rPr>
          <w:lang w:eastAsia="fr-BE"/>
        </w:rPr>
      </w:pPr>
    </w:p>
    <w:p w14:paraId="2F7362FA" w14:textId="77777777" w:rsidR="00477F81" w:rsidRDefault="00477F81" w:rsidP="001D1A8B">
      <w:pPr>
        <w:jc w:val="both"/>
        <w:rPr>
          <w:lang w:eastAsia="fr-BE"/>
        </w:rPr>
      </w:pPr>
      <w:r w:rsidRPr="00335C08">
        <w:rPr>
          <w:lang w:eastAsia="fr-BE"/>
        </w:rPr>
        <w:t xml:space="preserve">La </w:t>
      </w:r>
      <w:r>
        <w:rPr>
          <w:lang w:eastAsia="fr-BE"/>
        </w:rPr>
        <w:t>C</w:t>
      </w:r>
      <w:r w:rsidRPr="00335C08">
        <w:rPr>
          <w:lang w:eastAsia="fr-BE"/>
        </w:rPr>
        <w:t>our constitutionnelle a été saisie de plusieurs questions préjudicielles par la cour d’appel d’Anvers</w:t>
      </w:r>
      <w:r>
        <w:rPr>
          <w:lang w:eastAsia="fr-BE"/>
        </w:rPr>
        <w:t xml:space="preserve">, </w:t>
      </w:r>
      <w:r w:rsidRPr="00335C08">
        <w:rPr>
          <w:lang w:eastAsia="fr-BE"/>
        </w:rPr>
        <w:t xml:space="preserve">afin de savoir s’il était discriminatoire que plusieurs articles du Code pénal social ne permettent pas à une personne morale déclarée coupable de bénéficier d’un sursis total ou partiel sur l’amende lorsqu’elle est sanctionnée d’une sanction de niveau 4, alors que le sursis </w:t>
      </w:r>
      <w:r w:rsidRPr="00335C08">
        <w:rPr>
          <w:lang w:eastAsia="fr-BE"/>
        </w:rPr>
        <w:lastRenderedPageBreak/>
        <w:t xml:space="preserve">à l’exécution de la peine peut toujours être accordé aux personnes physiques qui commettent les mêmes infractions. </w:t>
      </w:r>
    </w:p>
    <w:p w14:paraId="78A8E1BD" w14:textId="77777777" w:rsidR="00477F81" w:rsidRPr="00335C08" w:rsidRDefault="00477F81" w:rsidP="001D1A8B">
      <w:pPr>
        <w:jc w:val="both"/>
        <w:rPr>
          <w:lang w:eastAsia="fr-BE"/>
        </w:rPr>
      </w:pPr>
    </w:p>
    <w:p w14:paraId="01E91676" w14:textId="77777777" w:rsidR="00477F81" w:rsidRPr="00335C08" w:rsidRDefault="00477F81" w:rsidP="001D1A8B">
      <w:pPr>
        <w:jc w:val="both"/>
        <w:rPr>
          <w:lang w:eastAsia="fr-BE"/>
        </w:rPr>
      </w:pPr>
      <w:r w:rsidRPr="00335C08">
        <w:rPr>
          <w:lang w:eastAsia="fr-BE"/>
        </w:rPr>
        <w:t xml:space="preserve">La </w:t>
      </w:r>
      <w:r>
        <w:rPr>
          <w:lang w:eastAsia="fr-BE"/>
        </w:rPr>
        <w:t>C</w:t>
      </w:r>
      <w:r w:rsidRPr="00335C08">
        <w:rPr>
          <w:lang w:eastAsia="fr-BE"/>
        </w:rPr>
        <w:t>our constitutionnelle a dit pour droit que l’article 18</w:t>
      </w:r>
      <w:r w:rsidRPr="00335C08">
        <w:rPr>
          <w:i/>
          <w:iCs/>
          <w:lang w:eastAsia="fr-BE"/>
        </w:rPr>
        <w:t>bis</w:t>
      </w:r>
      <w:r w:rsidRPr="00335C08">
        <w:rPr>
          <w:lang w:eastAsia="fr-BE"/>
        </w:rPr>
        <w:t xml:space="preserve"> de la loi du 29 juin 1964 concernant la suspension, le sursis et la probation, lu en combinaison avec l’article 41</w:t>
      </w:r>
      <w:r w:rsidRPr="00335C08">
        <w:rPr>
          <w:i/>
          <w:iCs/>
          <w:lang w:eastAsia="fr-BE"/>
        </w:rPr>
        <w:t>bis</w:t>
      </w:r>
      <w:r w:rsidRPr="00335C08">
        <w:rPr>
          <w:lang w:eastAsia="fr-BE"/>
        </w:rPr>
        <w:t xml:space="preserve"> du Code pénal et avec les articles 10, 103, 181, §</w:t>
      </w:r>
      <w:r>
        <w:rPr>
          <w:lang w:eastAsia="fr-BE"/>
        </w:rPr>
        <w:t xml:space="preserve"> </w:t>
      </w:r>
      <w:r w:rsidRPr="00335C08">
        <w:rPr>
          <w:lang w:eastAsia="fr-BE"/>
        </w:rPr>
        <w:t>1</w:t>
      </w:r>
      <w:r w:rsidRPr="00335C08">
        <w:rPr>
          <w:vertAlign w:val="superscript"/>
          <w:lang w:eastAsia="fr-BE"/>
        </w:rPr>
        <w:t>er</w:t>
      </w:r>
      <w:r w:rsidRPr="00335C08">
        <w:rPr>
          <w:lang w:eastAsia="fr-BE"/>
        </w:rPr>
        <w:t>, alinéa 1</w:t>
      </w:r>
      <w:r w:rsidRPr="00335C08">
        <w:rPr>
          <w:vertAlign w:val="superscript"/>
          <w:lang w:eastAsia="fr-BE"/>
        </w:rPr>
        <w:t>er</w:t>
      </w:r>
      <w:r w:rsidRPr="00335C08">
        <w:rPr>
          <w:lang w:eastAsia="fr-BE"/>
        </w:rPr>
        <w:t>, 3°</w:t>
      </w:r>
      <w:r>
        <w:rPr>
          <w:lang w:eastAsia="fr-BE"/>
        </w:rPr>
        <w:t xml:space="preserve">, </w:t>
      </w:r>
      <w:r w:rsidRPr="00335C08">
        <w:rPr>
          <w:lang w:eastAsia="fr-BE"/>
        </w:rPr>
        <w:t>et alinéa 2</w:t>
      </w:r>
      <w:r>
        <w:rPr>
          <w:lang w:eastAsia="fr-BE"/>
        </w:rPr>
        <w:t>,</w:t>
      </w:r>
      <w:r w:rsidRPr="00335C08">
        <w:rPr>
          <w:lang w:eastAsia="fr-BE"/>
        </w:rPr>
        <w:t xml:space="preserve"> du Code pénal social viole les articles 10 et 11 de la Constitution. Compte tenu de l’objectif du législateur d’éviter des discriminations entre personnes physiques et personnes morales et de poursuivre le parallélisme le plus étroit possible entre les deux, il n’est ni pertinent, ni raisonnablement justifié que la même infraction soit traitée différemment selon que cette infraction est commises par une personne physique ou par une personne morale</w:t>
      </w:r>
      <w:r>
        <w:rPr>
          <w:lang w:eastAsia="fr-BE"/>
        </w:rPr>
        <w:t xml:space="preserve"> </w:t>
      </w:r>
      <w:r w:rsidRPr="00335C08">
        <w:rPr>
          <w:lang w:eastAsia="fr-BE"/>
        </w:rPr>
        <w:t>(</w:t>
      </w:r>
      <w:r>
        <w:rPr>
          <w:lang w:eastAsia="fr-BE"/>
        </w:rPr>
        <w:t>C.C.</w:t>
      </w:r>
      <w:r w:rsidRPr="00335C08">
        <w:rPr>
          <w:lang w:eastAsia="fr-BE"/>
        </w:rPr>
        <w:t>, arrêt n° 84/2022</w:t>
      </w:r>
      <w:r>
        <w:rPr>
          <w:lang w:eastAsia="fr-BE"/>
        </w:rPr>
        <w:t xml:space="preserve">, </w:t>
      </w:r>
      <w:r w:rsidRPr="00335C08">
        <w:rPr>
          <w:lang w:eastAsia="fr-BE"/>
        </w:rPr>
        <w:t>23 juin 2022)</w:t>
      </w:r>
      <w:r>
        <w:rPr>
          <w:lang w:eastAsia="fr-BE"/>
        </w:rPr>
        <w:t>.</w:t>
      </w:r>
    </w:p>
    <w:p w14:paraId="660F57A6" w14:textId="7ADAFCE2" w:rsidR="00477F81" w:rsidRDefault="00477F81" w:rsidP="001D1A8B">
      <w:pPr>
        <w:jc w:val="both"/>
      </w:pPr>
    </w:p>
    <w:p w14:paraId="3E24601D" w14:textId="77777777" w:rsidR="005303FF" w:rsidRPr="00335C08" w:rsidRDefault="005303FF" w:rsidP="001D1A8B">
      <w:pPr>
        <w:jc w:val="both"/>
      </w:pPr>
    </w:p>
    <w:p w14:paraId="133C5140" w14:textId="77777777" w:rsidR="00F8241E" w:rsidRPr="00A96EE8" w:rsidRDefault="00F8241E" w:rsidP="001D1A8B">
      <w:pPr>
        <w:autoSpaceDE w:val="0"/>
        <w:autoSpaceDN w:val="0"/>
        <w:adjustRightInd w:val="0"/>
        <w:jc w:val="both"/>
        <w:rPr>
          <w:rFonts w:eastAsia="MS Mincho"/>
          <w:i/>
          <w:iCs/>
          <w:color w:val="000000"/>
        </w:rPr>
      </w:pPr>
      <w:r w:rsidRPr="00A96EE8">
        <w:rPr>
          <w:rFonts w:eastAsia="MS Mincho"/>
          <w:i/>
          <w:iCs/>
          <w:color w:val="000000"/>
        </w:rPr>
        <w:t>ENVIRONNEMENT</w:t>
      </w:r>
    </w:p>
    <w:p w14:paraId="0C05BC4D" w14:textId="77777777" w:rsidR="00F8241E" w:rsidRPr="00A96EE8" w:rsidRDefault="00F8241E" w:rsidP="001D1A8B">
      <w:pPr>
        <w:jc w:val="both"/>
        <w:rPr>
          <w:b/>
          <w:bCs/>
          <w:color w:val="000000"/>
          <w:shd w:val="clear" w:color="auto" w:fill="FFFFFF"/>
        </w:rPr>
      </w:pPr>
    </w:p>
    <w:p w14:paraId="5315845A" w14:textId="77777777" w:rsidR="00F8241E" w:rsidRPr="00A96EE8" w:rsidRDefault="00F8241E" w:rsidP="001D1A8B">
      <w:pPr>
        <w:jc w:val="both"/>
        <w:rPr>
          <w:b/>
          <w:bCs/>
        </w:rPr>
      </w:pPr>
      <w:r w:rsidRPr="00A96EE8">
        <w:rPr>
          <w:b/>
          <w:bCs/>
        </w:rPr>
        <w:t>Autorité flamande – Art. 7 de l’arrêté du gouvernement flamand du 23 juin 1998 – Décret « nature » du 21 octobre 1997 – Mesure coercitive</w:t>
      </w:r>
    </w:p>
    <w:p w14:paraId="7B835B3D" w14:textId="77777777" w:rsidR="00F8241E" w:rsidRPr="00A96EE8" w:rsidRDefault="00F8241E" w:rsidP="001D1A8B">
      <w:pPr>
        <w:jc w:val="both"/>
        <w:rPr>
          <w:color w:val="000000"/>
          <w:lang w:eastAsia="fr-BE"/>
        </w:rPr>
      </w:pPr>
    </w:p>
    <w:p w14:paraId="79503E99" w14:textId="77777777" w:rsidR="00F8241E" w:rsidRPr="00A96EE8" w:rsidRDefault="00F8241E" w:rsidP="001D1A8B">
      <w:pPr>
        <w:jc w:val="both"/>
        <w:rPr>
          <w:color w:val="000000"/>
        </w:rPr>
      </w:pPr>
      <w:r w:rsidRPr="00A96EE8">
        <w:rPr>
          <w:color w:val="000000"/>
        </w:rPr>
        <w:t xml:space="preserve">Deux prévenus sont condamnés pour avoir modifié la végétation d’une prairie historique </w:t>
      </w:r>
      <w:r w:rsidRPr="00A96EE8">
        <w:rPr>
          <w:lang w:val="fr-FR"/>
        </w:rPr>
        <w:t>en violation de l’article 7 de l’arrêté du gouvernement flamand du 23 juillet 1998 établissant les modalités d’application du décret sur la nature, et pour non-respect des mesures correctives administratives imposées par l’inspecteur de la nature.</w:t>
      </w:r>
      <w:r w:rsidRPr="00A96EE8">
        <w:rPr>
          <w:color w:val="000000"/>
          <w:lang w:val="fr-FR"/>
        </w:rPr>
        <w:t xml:space="preserve"> </w:t>
      </w:r>
      <w:r w:rsidRPr="00A96EE8">
        <w:rPr>
          <w:lang w:val="fr-FR"/>
        </w:rPr>
        <w:t xml:space="preserve">Outre une amende avec sursis, le tribunal condamne également les prévenus, au titre de mesure corrective, à gérer la prairie en tant que prairie historique, afin qu’une véritable restauration écologique puisse avoir lieu à terme sur le terrain. Le tribunal rappelle que, conformément à l’article 7 précité, la restauration vise non seulement le rétablissement du </w:t>
      </w:r>
      <w:proofErr w:type="spellStart"/>
      <w:r w:rsidRPr="00A96EE8">
        <w:rPr>
          <w:lang w:val="fr-FR"/>
        </w:rPr>
        <w:t>micro-relief</w:t>
      </w:r>
      <w:proofErr w:type="spellEnd"/>
      <w:r w:rsidRPr="00A96EE8">
        <w:rPr>
          <w:lang w:val="fr-FR"/>
        </w:rPr>
        <w:t xml:space="preserve"> par l’enlèvement des terres rapportées, mais doit aussi permettre à la végétation de se reconstituer, grâce à une gestion pérenne appropriée, et à l’absence d’utilisation d’herbicides </w:t>
      </w:r>
      <w:r w:rsidRPr="00A96EE8">
        <w:rPr>
          <w:color w:val="000000"/>
        </w:rPr>
        <w:t xml:space="preserve">(Corr. Flandre orientale (div. Oudenaarde), 23 novembre 2021, </w:t>
      </w:r>
      <w:r w:rsidRPr="00A96EE8">
        <w:rPr>
          <w:i/>
          <w:iCs/>
          <w:color w:val="000000"/>
          <w:lang w:eastAsia="fr-BE"/>
        </w:rPr>
        <w:t>N.J.W.</w:t>
      </w:r>
      <w:r w:rsidRPr="00A96EE8">
        <w:rPr>
          <w:color w:val="000000"/>
          <w:lang w:eastAsia="fr-BE"/>
        </w:rPr>
        <w:t>, 2022, n° 459, p. 282).</w:t>
      </w:r>
    </w:p>
    <w:p w14:paraId="167E7523" w14:textId="77777777" w:rsidR="00F8241E" w:rsidRPr="00A96EE8" w:rsidRDefault="00F8241E" w:rsidP="001D1A8B">
      <w:pPr>
        <w:jc w:val="both"/>
        <w:rPr>
          <w:color w:val="000000"/>
          <w:lang w:eastAsia="fr-BE"/>
        </w:rPr>
      </w:pPr>
    </w:p>
    <w:p w14:paraId="0C607571" w14:textId="77777777" w:rsidR="00F8241E" w:rsidRPr="006D576D" w:rsidRDefault="00F8241E" w:rsidP="001D1A8B">
      <w:pPr>
        <w:jc w:val="both"/>
        <w:rPr>
          <w:b/>
          <w:bCs/>
          <w:color w:val="000000"/>
          <w:lang w:eastAsia="fr-BE"/>
        </w:rPr>
      </w:pPr>
      <w:r w:rsidRPr="006D576D">
        <w:rPr>
          <w:b/>
          <w:bCs/>
          <w:color w:val="000000"/>
          <w:lang w:eastAsia="fr-BE"/>
        </w:rPr>
        <w:t>Autorité flamande – Collège administratif (</w:t>
      </w:r>
      <w:proofErr w:type="spellStart"/>
      <w:r w:rsidRPr="006D576D">
        <w:rPr>
          <w:b/>
          <w:bCs/>
          <w:i/>
          <w:iCs/>
          <w:color w:val="000000"/>
          <w:lang w:eastAsia="fr-BE"/>
        </w:rPr>
        <w:t>Hanhavingscollege</w:t>
      </w:r>
      <w:proofErr w:type="spellEnd"/>
      <w:r w:rsidRPr="006D576D">
        <w:rPr>
          <w:b/>
          <w:bCs/>
          <w:color w:val="000000"/>
          <w:lang w:eastAsia="fr-BE"/>
        </w:rPr>
        <w:t xml:space="preserve">) – </w:t>
      </w:r>
      <w:r w:rsidRPr="006D576D">
        <w:rPr>
          <w:b/>
          <w:bCs/>
          <w:lang w:val="fr-FR"/>
        </w:rPr>
        <w:t xml:space="preserve">Art. 16.3.25 du décret </w:t>
      </w:r>
      <w:r w:rsidRPr="006D576D">
        <w:rPr>
          <w:b/>
          <w:bCs/>
        </w:rPr>
        <w:t>contenant des dispositions générales concernant la politique de l’environnement</w:t>
      </w:r>
      <w:r w:rsidRPr="006D576D">
        <w:rPr>
          <w:b/>
          <w:bCs/>
          <w:lang w:val="fr-FR"/>
        </w:rPr>
        <w:t xml:space="preserve"> du 5 avril 1995 DBAM </w:t>
      </w:r>
      <w:r w:rsidRPr="006D576D">
        <w:rPr>
          <w:b/>
          <w:bCs/>
          <w:color w:val="000000"/>
          <w:lang w:eastAsia="fr-BE"/>
        </w:rPr>
        <w:t xml:space="preserve">– force probante des </w:t>
      </w:r>
      <w:r>
        <w:rPr>
          <w:b/>
          <w:bCs/>
          <w:color w:val="000000"/>
          <w:lang w:eastAsia="fr-BE"/>
        </w:rPr>
        <w:t>procès-verbaux</w:t>
      </w:r>
    </w:p>
    <w:p w14:paraId="6B862C97" w14:textId="77777777" w:rsidR="00F8241E" w:rsidRPr="00A96EE8" w:rsidRDefault="00F8241E" w:rsidP="001D1A8B">
      <w:pPr>
        <w:jc w:val="both"/>
        <w:rPr>
          <w:b/>
          <w:color w:val="000000"/>
        </w:rPr>
      </w:pPr>
    </w:p>
    <w:p w14:paraId="15699412" w14:textId="77777777" w:rsidR="00F8241E" w:rsidRPr="00A96EE8" w:rsidRDefault="00F8241E" w:rsidP="001D1A8B">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bCs/>
          <w:lang w:val="fr-FR"/>
        </w:rPr>
      </w:pPr>
      <w:r w:rsidRPr="00A96EE8">
        <w:rPr>
          <w:bCs/>
          <w:color w:val="000000"/>
        </w:rPr>
        <w:t xml:space="preserve">La requérante s’est vue infliger une amende administrative pour ne pas avoir respecté l’article </w:t>
      </w:r>
      <w:r w:rsidRPr="00A96EE8">
        <w:rPr>
          <w:bCs/>
          <w:lang w:val="fr-FR"/>
        </w:rPr>
        <w:t>6.4.0.1, § 3, al</w:t>
      </w:r>
      <w:r>
        <w:rPr>
          <w:bCs/>
          <w:lang w:val="fr-FR"/>
        </w:rPr>
        <w:t>inéa</w:t>
      </w:r>
      <w:r w:rsidRPr="00A96EE8">
        <w:rPr>
          <w:bCs/>
          <w:lang w:val="fr-FR"/>
        </w:rPr>
        <w:t xml:space="preserve"> 1</w:t>
      </w:r>
      <w:r w:rsidRPr="00A96EE8">
        <w:rPr>
          <w:bCs/>
          <w:vertAlign w:val="superscript"/>
          <w:lang w:val="fr-FR"/>
        </w:rPr>
        <w:t>er</w:t>
      </w:r>
      <w:r w:rsidRPr="00A96EE8">
        <w:rPr>
          <w:bCs/>
          <w:lang w:val="fr-FR"/>
        </w:rPr>
        <w:t>, 4°,</w:t>
      </w:r>
      <w:r w:rsidRPr="00A96EE8">
        <w:rPr>
          <w:bCs/>
          <w:color w:val="000000"/>
          <w:lang w:eastAsia="fr-BE"/>
        </w:rPr>
        <w:t xml:space="preserve"> du décret du gouvernement flamand du 1</w:t>
      </w:r>
      <w:r w:rsidRPr="00A96EE8">
        <w:rPr>
          <w:bCs/>
          <w:color w:val="000000"/>
          <w:vertAlign w:val="superscript"/>
          <w:lang w:eastAsia="fr-BE"/>
        </w:rPr>
        <w:t>er</w:t>
      </w:r>
      <w:r w:rsidRPr="00A96EE8">
        <w:rPr>
          <w:bCs/>
          <w:color w:val="000000"/>
          <w:lang w:eastAsia="fr-BE"/>
        </w:rPr>
        <w:t xml:space="preserve"> juin 1995 contenant des dispositions générales et sectorielles en matière d’hygiène du milieu (VLAREM II) qui impose un traitement particulier des déchets contenant de l’amiante. La simple négation des constats de l’agent verbalisant et l’absence de photographies de l’intérieur du conteneur utilisé ne sont pas</w:t>
      </w:r>
      <w:r w:rsidRPr="00A96EE8">
        <w:rPr>
          <w:bCs/>
          <w:lang w:val="fr-FR"/>
        </w:rPr>
        <w:t xml:space="preserve"> suffisantes à invalider les constatations consignées dans le procès-verbal qui, conformément à l’article 16.3.25 du décret </w:t>
      </w:r>
      <w:r w:rsidRPr="00A96EE8">
        <w:t>contenant des dispositions générales concernant la politique de l’environnement</w:t>
      </w:r>
      <w:r w:rsidRPr="00A96EE8">
        <w:rPr>
          <w:bCs/>
          <w:lang w:val="fr-FR"/>
        </w:rPr>
        <w:t xml:space="preserve"> du 5 avril 1995 (DABM), a force probante jusqu’à preuve du contraire </w:t>
      </w:r>
      <w:r w:rsidRPr="00A96EE8">
        <w:rPr>
          <w:bCs/>
          <w:color w:val="000000"/>
        </w:rPr>
        <w:t>(</w:t>
      </w:r>
      <w:proofErr w:type="spellStart"/>
      <w:r w:rsidRPr="00A96EE8">
        <w:rPr>
          <w:bCs/>
          <w:color w:val="000000"/>
        </w:rPr>
        <w:t>Handhavingscollege</w:t>
      </w:r>
      <w:proofErr w:type="spellEnd"/>
      <w:r w:rsidRPr="00A96EE8">
        <w:rPr>
          <w:bCs/>
          <w:color w:val="000000"/>
        </w:rPr>
        <w:t>, n°</w:t>
      </w:r>
      <w:r>
        <w:rPr>
          <w:bCs/>
          <w:color w:val="000000"/>
        </w:rPr>
        <w:t xml:space="preserve"> </w:t>
      </w:r>
      <w:r w:rsidRPr="00A96EE8">
        <w:rPr>
          <w:bCs/>
          <w:color w:val="000000"/>
        </w:rPr>
        <w:t xml:space="preserve">M-2122-0029, 10 février 2022, </w:t>
      </w:r>
      <w:r w:rsidRPr="00A96EE8">
        <w:rPr>
          <w:bCs/>
          <w:i/>
          <w:iCs/>
          <w:color w:val="000000"/>
        </w:rPr>
        <w:t>T.M.R.</w:t>
      </w:r>
      <w:r w:rsidRPr="00A96EE8">
        <w:rPr>
          <w:bCs/>
          <w:color w:val="000000"/>
        </w:rPr>
        <w:t>, 2022, n° 6, p.754).</w:t>
      </w:r>
    </w:p>
    <w:p w14:paraId="0E6229B8" w14:textId="77777777" w:rsidR="00F8241E" w:rsidRPr="00A96EE8" w:rsidRDefault="00F8241E" w:rsidP="001D1A8B">
      <w:pPr>
        <w:jc w:val="both"/>
        <w:rPr>
          <w:color w:val="000000"/>
          <w:shd w:val="clear" w:color="auto" w:fill="FFFFFF"/>
        </w:rPr>
      </w:pPr>
    </w:p>
    <w:p w14:paraId="66E72DA4" w14:textId="77777777" w:rsidR="00F8241E" w:rsidRPr="00A96EE8" w:rsidRDefault="00F8241E" w:rsidP="001D1A8B">
      <w:pPr>
        <w:jc w:val="both"/>
        <w:rPr>
          <w:b/>
          <w:bCs/>
          <w:color w:val="000000"/>
          <w:shd w:val="clear" w:color="auto" w:fill="FFFFFF"/>
        </w:rPr>
      </w:pPr>
      <w:r w:rsidRPr="00A96EE8">
        <w:rPr>
          <w:b/>
          <w:bCs/>
          <w:color w:val="000000"/>
          <w:shd w:val="clear" w:color="auto" w:fill="FFFFFF"/>
        </w:rPr>
        <w:t xml:space="preserve">Infraction environnementale – Région wallonne – </w:t>
      </w:r>
      <w:r>
        <w:rPr>
          <w:b/>
          <w:bCs/>
          <w:i/>
          <w:iCs/>
          <w:color w:val="000000"/>
          <w:shd w:val="clear" w:color="auto" w:fill="FFFFFF"/>
        </w:rPr>
        <w:t>N</w:t>
      </w:r>
      <w:r w:rsidRPr="00A96EE8">
        <w:rPr>
          <w:b/>
          <w:bCs/>
          <w:i/>
          <w:iCs/>
          <w:color w:val="000000"/>
          <w:shd w:val="clear" w:color="auto" w:fill="FFFFFF"/>
        </w:rPr>
        <w:t>e bis in idem</w:t>
      </w:r>
      <w:r w:rsidRPr="00A96EE8">
        <w:rPr>
          <w:b/>
          <w:bCs/>
          <w:color w:val="000000"/>
          <w:shd w:val="clear" w:color="auto" w:fill="FFFFFF"/>
        </w:rPr>
        <w:t xml:space="preserve"> – Application de l’art. 65, § 2 </w:t>
      </w:r>
      <w:r>
        <w:rPr>
          <w:b/>
          <w:bCs/>
          <w:color w:val="000000"/>
          <w:shd w:val="clear" w:color="auto" w:fill="FFFFFF"/>
        </w:rPr>
        <w:t>C</w:t>
      </w:r>
      <w:r w:rsidRPr="00A96EE8">
        <w:rPr>
          <w:b/>
          <w:bCs/>
          <w:color w:val="000000"/>
          <w:shd w:val="clear" w:color="auto" w:fill="FFFFFF"/>
        </w:rPr>
        <w:t>ode pénal – Étendue du recours contre une amende administrative</w:t>
      </w:r>
    </w:p>
    <w:p w14:paraId="4DCED674" w14:textId="77777777" w:rsidR="00F8241E" w:rsidRPr="00A96EE8" w:rsidRDefault="00F8241E" w:rsidP="001D1A8B">
      <w:pPr>
        <w:jc w:val="both"/>
        <w:rPr>
          <w:color w:val="000000"/>
          <w:shd w:val="clear" w:color="auto" w:fill="FFFFFF"/>
        </w:rPr>
      </w:pPr>
    </w:p>
    <w:p w14:paraId="1305ECDF" w14:textId="77777777" w:rsidR="00F8241E" w:rsidRPr="00A96EE8" w:rsidRDefault="00F8241E" w:rsidP="001D1A8B">
      <w:pPr>
        <w:jc w:val="both"/>
        <w:rPr>
          <w:color w:val="000000"/>
          <w:shd w:val="clear" w:color="auto" w:fill="FFFFFF"/>
        </w:rPr>
      </w:pPr>
      <w:r w:rsidRPr="00A96EE8">
        <w:rPr>
          <w:color w:val="000000"/>
          <w:shd w:val="clear" w:color="auto" w:fill="FFFFFF"/>
        </w:rPr>
        <w:t xml:space="preserve">Un particulier fait l’objet d’une perquisition à la suite de laquelle plusieurs </w:t>
      </w:r>
      <w:r>
        <w:rPr>
          <w:color w:val="000000"/>
          <w:shd w:val="clear" w:color="auto" w:fill="FFFFFF"/>
        </w:rPr>
        <w:t>procès-verbaux</w:t>
      </w:r>
      <w:r w:rsidRPr="00A96EE8">
        <w:rPr>
          <w:color w:val="000000"/>
          <w:shd w:val="clear" w:color="auto" w:fill="FFFFFF"/>
        </w:rPr>
        <w:t xml:space="preserve"> sont dressés. Un premier </w:t>
      </w:r>
      <w:r>
        <w:rPr>
          <w:color w:val="000000"/>
          <w:shd w:val="clear" w:color="auto" w:fill="FFFFFF"/>
        </w:rPr>
        <w:t>procès-verbal</w:t>
      </w:r>
      <w:r w:rsidRPr="00A96EE8">
        <w:rPr>
          <w:color w:val="000000"/>
          <w:shd w:val="clear" w:color="auto" w:fill="FFFFFF"/>
        </w:rPr>
        <w:t xml:space="preserve"> constate l’infraction de tenderie (capture et détention d’oiseaux sauvages), un second </w:t>
      </w:r>
      <w:r>
        <w:rPr>
          <w:color w:val="000000"/>
          <w:shd w:val="clear" w:color="auto" w:fill="FFFFFF"/>
        </w:rPr>
        <w:t>procès-verbal</w:t>
      </w:r>
      <w:r w:rsidRPr="00A96EE8">
        <w:rPr>
          <w:color w:val="000000"/>
          <w:shd w:val="clear" w:color="auto" w:fill="FFFFFF"/>
        </w:rPr>
        <w:t xml:space="preserve"> est dressé pour infractions à la loi du 14 août </w:t>
      </w:r>
      <w:r w:rsidRPr="00A96EE8">
        <w:rPr>
          <w:color w:val="000000"/>
          <w:shd w:val="clear" w:color="auto" w:fill="FFFFFF"/>
        </w:rPr>
        <w:lastRenderedPageBreak/>
        <w:t xml:space="preserve">1986 relative à la protection et au bien-être des animaux. Sur la base du premier </w:t>
      </w:r>
      <w:r>
        <w:rPr>
          <w:color w:val="000000"/>
          <w:shd w:val="clear" w:color="auto" w:fill="FFFFFF"/>
        </w:rPr>
        <w:t>procès-verbal</w:t>
      </w:r>
      <w:r w:rsidRPr="00A96EE8">
        <w:rPr>
          <w:color w:val="000000"/>
          <w:shd w:val="clear" w:color="auto" w:fill="FFFFFF"/>
        </w:rPr>
        <w:t>, il est condamné au pénal pour infraction à la loi du 12 juillet 1973 sur la conservation de la nature. Le parquet ayant décidé de ne pas poursuivre les infractions en matière de bien-être animal dans le cas d’espèce, le fonctionnaire sanctionnateur prend le relai</w:t>
      </w:r>
      <w:r>
        <w:rPr>
          <w:color w:val="000000"/>
          <w:shd w:val="clear" w:color="auto" w:fill="FFFFFF"/>
        </w:rPr>
        <w:t>s</w:t>
      </w:r>
      <w:r w:rsidRPr="00A96EE8">
        <w:rPr>
          <w:color w:val="000000"/>
          <w:shd w:val="clear" w:color="auto" w:fill="FFFFFF"/>
        </w:rPr>
        <w:t xml:space="preserve"> et prononce une amende administrative.</w:t>
      </w:r>
    </w:p>
    <w:p w14:paraId="655CDA7C" w14:textId="77777777" w:rsidR="00F8241E" w:rsidRPr="00A96EE8" w:rsidRDefault="00F8241E" w:rsidP="001D1A8B">
      <w:pPr>
        <w:jc w:val="both"/>
        <w:rPr>
          <w:color w:val="000000"/>
          <w:shd w:val="clear" w:color="auto" w:fill="FFFFFF"/>
        </w:rPr>
      </w:pPr>
    </w:p>
    <w:p w14:paraId="3636BF15" w14:textId="77777777" w:rsidR="00F8241E" w:rsidRPr="0004400D" w:rsidRDefault="00F8241E" w:rsidP="001D1A8B">
      <w:pPr>
        <w:jc w:val="both"/>
        <w:rPr>
          <w:color w:val="000000"/>
          <w:shd w:val="clear" w:color="auto" w:fill="FFFFFF"/>
          <w:lang w:val="de-DE"/>
        </w:rPr>
      </w:pPr>
      <w:r w:rsidRPr="00A96EE8">
        <w:rPr>
          <w:color w:val="000000"/>
          <w:shd w:val="clear" w:color="auto" w:fill="FFFFFF"/>
        </w:rPr>
        <w:t xml:space="preserve">Le tribunal correctionnel de Liège, saisi du recours contre l’amende administrative en vertu du Code wallon de l’environnement, constate que le requérant a déjà été condamné à des peines correctionnelles pour les faits de tenderie, et fait application de l’article 65, § 2 </w:t>
      </w:r>
      <w:r>
        <w:rPr>
          <w:color w:val="000000"/>
          <w:shd w:val="clear" w:color="auto" w:fill="FFFFFF"/>
        </w:rPr>
        <w:t>du Code pénal</w:t>
      </w:r>
      <w:r w:rsidRPr="00A96EE8">
        <w:rPr>
          <w:color w:val="000000"/>
          <w:shd w:val="clear" w:color="auto" w:fill="FFFFFF"/>
        </w:rPr>
        <w:t xml:space="preserve">. Considérant que les faits pour lesquels le requérant a été condamné sont liés par unité d’intention aux faits pour lesquels l’amende administrative est prononcée, le tribunal déclare que les peines antérieurement prononcées sont suffisantes pour sanctionner les faits qui lui sont soumis (Corr. </w:t>
      </w:r>
      <w:proofErr w:type="spellStart"/>
      <w:r w:rsidRPr="0004400D">
        <w:rPr>
          <w:color w:val="000000"/>
          <w:shd w:val="clear" w:color="auto" w:fill="FFFFFF"/>
          <w:lang w:val="de-DE"/>
        </w:rPr>
        <w:t>Liège</w:t>
      </w:r>
      <w:proofErr w:type="spellEnd"/>
      <w:r w:rsidRPr="0004400D">
        <w:rPr>
          <w:color w:val="000000"/>
          <w:shd w:val="clear" w:color="auto" w:fill="FFFFFF"/>
          <w:lang w:val="de-DE"/>
        </w:rPr>
        <w:t xml:space="preserve">, </w:t>
      </w:r>
      <w:proofErr w:type="spellStart"/>
      <w:r w:rsidRPr="0004400D">
        <w:rPr>
          <w:color w:val="000000"/>
          <w:shd w:val="clear" w:color="auto" w:fill="FFFFFF"/>
          <w:lang w:val="de-DE"/>
        </w:rPr>
        <w:t>division</w:t>
      </w:r>
      <w:proofErr w:type="spellEnd"/>
      <w:r w:rsidRPr="0004400D">
        <w:rPr>
          <w:color w:val="000000"/>
          <w:shd w:val="clear" w:color="auto" w:fill="FFFFFF"/>
          <w:lang w:val="de-DE"/>
        </w:rPr>
        <w:t xml:space="preserve"> </w:t>
      </w:r>
      <w:proofErr w:type="spellStart"/>
      <w:r w:rsidRPr="0004400D">
        <w:rPr>
          <w:color w:val="000000"/>
          <w:shd w:val="clear" w:color="auto" w:fill="FFFFFF"/>
          <w:lang w:val="de-DE"/>
        </w:rPr>
        <w:t>Huy</w:t>
      </w:r>
      <w:proofErr w:type="spellEnd"/>
      <w:r w:rsidRPr="0004400D">
        <w:rPr>
          <w:color w:val="000000"/>
          <w:shd w:val="clear" w:color="auto" w:fill="FFFFFF"/>
          <w:lang w:val="de-DE"/>
        </w:rPr>
        <w:t xml:space="preserve"> (16</w:t>
      </w:r>
      <w:r w:rsidRPr="0004400D">
        <w:rPr>
          <w:color w:val="000000"/>
          <w:shd w:val="clear" w:color="auto" w:fill="FFFFFF"/>
          <w:vertAlign w:val="superscript"/>
          <w:lang w:val="de-DE"/>
        </w:rPr>
        <w:t>e</w:t>
      </w:r>
      <w:r w:rsidRPr="0004400D">
        <w:rPr>
          <w:color w:val="000000"/>
          <w:shd w:val="clear" w:color="auto" w:fill="FFFFFF"/>
          <w:lang w:val="de-DE"/>
        </w:rPr>
        <w:t xml:space="preserve"> </w:t>
      </w:r>
      <w:proofErr w:type="spellStart"/>
      <w:r w:rsidRPr="0004400D">
        <w:rPr>
          <w:color w:val="000000"/>
          <w:shd w:val="clear" w:color="auto" w:fill="FFFFFF"/>
          <w:lang w:val="de-DE"/>
        </w:rPr>
        <w:t>ch</w:t>
      </w:r>
      <w:proofErr w:type="spellEnd"/>
      <w:r w:rsidRPr="0004400D">
        <w:rPr>
          <w:color w:val="000000"/>
          <w:shd w:val="clear" w:color="auto" w:fill="FFFFFF"/>
          <w:lang w:val="de-DE"/>
        </w:rPr>
        <w:t xml:space="preserve">.), 17 </w:t>
      </w:r>
      <w:proofErr w:type="spellStart"/>
      <w:r w:rsidRPr="0004400D">
        <w:rPr>
          <w:color w:val="000000"/>
          <w:shd w:val="clear" w:color="auto" w:fill="FFFFFF"/>
          <w:lang w:val="de-DE"/>
        </w:rPr>
        <w:t>mai</w:t>
      </w:r>
      <w:proofErr w:type="spellEnd"/>
      <w:r w:rsidRPr="0004400D">
        <w:rPr>
          <w:color w:val="000000"/>
          <w:shd w:val="clear" w:color="auto" w:fill="FFFFFF"/>
          <w:lang w:val="de-DE"/>
        </w:rPr>
        <w:t xml:space="preserve"> 2022,</w:t>
      </w:r>
      <w:r w:rsidRPr="0004400D">
        <w:rPr>
          <w:rStyle w:val="apple-converted-space"/>
          <w:color w:val="000000"/>
          <w:shd w:val="clear" w:color="auto" w:fill="FFFFFF"/>
          <w:lang w:val="de-DE"/>
        </w:rPr>
        <w:t> </w:t>
      </w:r>
      <w:r w:rsidRPr="0004400D">
        <w:rPr>
          <w:i/>
          <w:iCs/>
          <w:color w:val="000000"/>
          <w:lang w:val="de-DE"/>
        </w:rPr>
        <w:t xml:space="preserve">Dr. </w:t>
      </w:r>
      <w:proofErr w:type="spellStart"/>
      <w:r w:rsidRPr="0004400D">
        <w:rPr>
          <w:i/>
          <w:iCs/>
          <w:color w:val="000000"/>
          <w:lang w:val="de-DE"/>
        </w:rPr>
        <w:t>pén</w:t>
      </w:r>
      <w:proofErr w:type="spellEnd"/>
      <w:r w:rsidRPr="0004400D">
        <w:rPr>
          <w:i/>
          <w:iCs/>
          <w:color w:val="000000"/>
          <w:lang w:val="de-DE"/>
        </w:rPr>
        <w:t xml:space="preserve">. </w:t>
      </w:r>
      <w:proofErr w:type="spellStart"/>
      <w:r w:rsidRPr="0004400D">
        <w:rPr>
          <w:i/>
          <w:iCs/>
          <w:color w:val="000000"/>
          <w:lang w:val="de-DE"/>
        </w:rPr>
        <w:t>entr</w:t>
      </w:r>
      <w:proofErr w:type="spellEnd"/>
      <w:r w:rsidRPr="0004400D">
        <w:rPr>
          <w:i/>
          <w:iCs/>
          <w:color w:val="000000"/>
          <w:lang w:val="de-DE"/>
        </w:rPr>
        <w:t>.</w:t>
      </w:r>
      <w:r w:rsidRPr="0004400D">
        <w:rPr>
          <w:color w:val="000000"/>
          <w:shd w:val="clear" w:color="auto" w:fill="FFFFFF"/>
          <w:lang w:val="de-DE"/>
        </w:rPr>
        <w:t xml:space="preserve">, 2022/4, p. 411, </w:t>
      </w:r>
      <w:proofErr w:type="spellStart"/>
      <w:r w:rsidRPr="0004400D">
        <w:rPr>
          <w:color w:val="000000"/>
          <w:shd w:val="clear" w:color="auto" w:fill="FFFFFF"/>
          <w:lang w:val="de-DE"/>
        </w:rPr>
        <w:t>note</w:t>
      </w:r>
      <w:proofErr w:type="spellEnd"/>
      <w:r w:rsidRPr="0004400D">
        <w:rPr>
          <w:color w:val="000000"/>
          <w:shd w:val="clear" w:color="auto" w:fill="FFFFFF"/>
          <w:lang w:val="de-DE"/>
        </w:rPr>
        <w:t xml:space="preserve"> J.-N. </w:t>
      </w:r>
      <w:proofErr w:type="spellStart"/>
      <w:r w:rsidRPr="0004400D">
        <w:rPr>
          <w:smallCaps/>
          <w:color w:val="000000"/>
          <w:shd w:val="clear" w:color="auto" w:fill="FFFFFF"/>
          <w:lang w:val="de-DE"/>
        </w:rPr>
        <w:t>Kraewinkels</w:t>
      </w:r>
      <w:proofErr w:type="spellEnd"/>
      <w:r w:rsidRPr="0004400D">
        <w:rPr>
          <w:color w:val="000000"/>
          <w:shd w:val="clear" w:color="auto" w:fill="FFFFFF"/>
          <w:lang w:val="de-DE"/>
        </w:rPr>
        <w:t>).</w:t>
      </w:r>
    </w:p>
    <w:p w14:paraId="6D4D6204" w14:textId="77777777" w:rsidR="00F8241E" w:rsidRPr="0004400D" w:rsidRDefault="00F8241E" w:rsidP="001D1A8B">
      <w:pPr>
        <w:jc w:val="both"/>
        <w:rPr>
          <w:b/>
          <w:bCs/>
          <w:color w:val="000000"/>
          <w:shd w:val="clear" w:color="auto" w:fill="FFFFFF"/>
          <w:lang w:val="de-DE"/>
        </w:rPr>
      </w:pPr>
    </w:p>
    <w:p w14:paraId="4CB6280B" w14:textId="77777777" w:rsidR="00F8241E" w:rsidRPr="00A96EE8" w:rsidRDefault="00F8241E" w:rsidP="001D1A8B">
      <w:pPr>
        <w:jc w:val="both"/>
        <w:rPr>
          <w:b/>
          <w:bCs/>
          <w:color w:val="000000"/>
          <w:shd w:val="clear" w:color="auto" w:fill="FFFFFF"/>
        </w:rPr>
      </w:pPr>
      <w:r w:rsidRPr="00A96EE8">
        <w:rPr>
          <w:b/>
          <w:bCs/>
        </w:rPr>
        <w:t xml:space="preserve">Autorité flamande – Art. </w:t>
      </w:r>
      <w:r w:rsidRPr="00A96EE8">
        <w:rPr>
          <w:b/>
          <w:bCs/>
          <w:color w:val="000000"/>
        </w:rPr>
        <w:t>16.6.3, § 1, al. 1</w:t>
      </w:r>
      <w:r w:rsidRPr="00A96EE8">
        <w:rPr>
          <w:b/>
          <w:bCs/>
          <w:color w:val="000000"/>
          <w:vertAlign w:val="superscript"/>
        </w:rPr>
        <w:t>er</w:t>
      </w:r>
      <w:r w:rsidRPr="00A96EE8">
        <w:rPr>
          <w:b/>
          <w:bCs/>
          <w:color w:val="000000"/>
        </w:rPr>
        <w:t xml:space="preserve">, DABM – Exploitation d’une installation de stockage et traitement de déchets </w:t>
      </w:r>
      <w:r w:rsidRPr="00A96EE8">
        <w:rPr>
          <w:b/>
          <w:bCs/>
          <w:color w:val="000000"/>
          <w:shd w:val="clear" w:color="auto" w:fill="FFFFFF"/>
        </w:rPr>
        <w:t>–</w:t>
      </w:r>
      <w:r w:rsidRPr="00A96EE8">
        <w:rPr>
          <w:b/>
          <w:bCs/>
        </w:rPr>
        <w:t xml:space="preserve"> </w:t>
      </w:r>
      <w:r w:rsidRPr="00A96EE8">
        <w:rPr>
          <w:b/>
          <w:bCs/>
          <w:color w:val="000000"/>
        </w:rPr>
        <w:t xml:space="preserve"> Autorisation </w:t>
      </w:r>
      <w:r w:rsidRPr="00A96EE8">
        <w:rPr>
          <w:b/>
          <w:bCs/>
          <w:color w:val="000000"/>
          <w:shd w:val="clear" w:color="auto" w:fill="FFFFFF"/>
        </w:rPr>
        <w:t>–</w:t>
      </w:r>
      <w:r w:rsidRPr="00A96EE8">
        <w:rPr>
          <w:b/>
          <w:bCs/>
        </w:rPr>
        <w:t xml:space="preserve"> </w:t>
      </w:r>
      <w:r w:rsidRPr="00A96EE8">
        <w:rPr>
          <w:b/>
          <w:bCs/>
          <w:color w:val="000000"/>
          <w:shd w:val="clear" w:color="auto" w:fill="FFFFFF"/>
        </w:rPr>
        <w:t xml:space="preserve">Infraction environnementale </w:t>
      </w:r>
    </w:p>
    <w:p w14:paraId="032AF9C1" w14:textId="77777777" w:rsidR="00F8241E" w:rsidRPr="00A96EE8" w:rsidRDefault="00F8241E" w:rsidP="001D1A8B">
      <w:pPr>
        <w:jc w:val="both"/>
        <w:rPr>
          <w:b/>
          <w:bCs/>
          <w:color w:val="000000"/>
          <w:shd w:val="clear" w:color="auto" w:fill="FFFFFF"/>
        </w:rPr>
      </w:pPr>
    </w:p>
    <w:p w14:paraId="22BC06BB" w14:textId="77777777" w:rsidR="00F8241E" w:rsidRPr="00A96EE8" w:rsidRDefault="00F8241E" w:rsidP="001D1A8B">
      <w:pPr>
        <w:jc w:val="both"/>
        <w:rPr>
          <w:color w:val="000000"/>
        </w:rPr>
      </w:pPr>
      <w:r w:rsidRPr="00A96EE8">
        <w:rPr>
          <w:color w:val="000000"/>
        </w:rPr>
        <w:t>Le fait que l’exploitant d’une installation de stockage et de traitement de déchets dispose d’une autorisation d’exploitation sous certaines conditions n’a pas pour effet qu’il ne puisse pas se rendre coupable de l’infraction visée à l’article 16.6.3, § 1, al</w:t>
      </w:r>
      <w:r>
        <w:rPr>
          <w:color w:val="000000"/>
        </w:rPr>
        <w:t>inéa</w:t>
      </w:r>
      <w:r w:rsidRPr="00A96EE8">
        <w:rPr>
          <w:color w:val="000000"/>
        </w:rPr>
        <w:t xml:space="preserve"> 1</w:t>
      </w:r>
      <w:r w:rsidRPr="00A96EE8">
        <w:rPr>
          <w:color w:val="000000"/>
          <w:vertAlign w:val="superscript"/>
        </w:rPr>
        <w:t>er</w:t>
      </w:r>
      <w:r w:rsidRPr="00A96EE8">
        <w:rPr>
          <w:color w:val="000000"/>
        </w:rPr>
        <w:t xml:space="preserve">, </w:t>
      </w:r>
      <w:r w:rsidRPr="00A96EE8">
        <w:rPr>
          <w:bCs/>
          <w:lang w:val="fr-FR"/>
        </w:rPr>
        <w:t xml:space="preserve">du décret </w:t>
      </w:r>
      <w:r w:rsidRPr="00A96EE8">
        <w:t>contenant des dispositions générales concernant la politique de l’environnement</w:t>
      </w:r>
      <w:r w:rsidRPr="00A96EE8">
        <w:rPr>
          <w:bCs/>
          <w:lang w:val="fr-FR"/>
        </w:rPr>
        <w:t xml:space="preserve"> du 5 avril 1995 (DABM)</w:t>
      </w:r>
      <w:r w:rsidRPr="00A96EE8">
        <w:rPr>
          <w:color w:val="000000"/>
        </w:rPr>
        <w:t xml:space="preserve"> en ce qui concerne ce site. En effet, l’existence d’une telle autorisation n’est pas nécessairement incompatible avec la commission de l’infraction d’abandon ou de transport délibéré de déchets contrairement aux prescriptions environnementales (Cass. (2</w:t>
      </w:r>
      <w:r w:rsidRPr="00A96EE8">
        <w:rPr>
          <w:color w:val="000000"/>
          <w:vertAlign w:val="superscript"/>
        </w:rPr>
        <w:t>e</w:t>
      </w:r>
      <w:r w:rsidRPr="00A96EE8">
        <w:rPr>
          <w:color w:val="000000"/>
        </w:rPr>
        <w:t xml:space="preserve"> ch.), R.G. P.22.0812.N, 8 novembre 2022, </w:t>
      </w:r>
      <w:r w:rsidRPr="00A96EE8">
        <w:rPr>
          <w:i/>
          <w:iCs/>
          <w:color w:val="000000"/>
        </w:rPr>
        <w:t>Pas.</w:t>
      </w:r>
      <w:r w:rsidRPr="00A96EE8">
        <w:rPr>
          <w:color w:val="000000"/>
        </w:rPr>
        <w:t>, à sa date).</w:t>
      </w:r>
    </w:p>
    <w:p w14:paraId="225AEE75" w14:textId="77777777" w:rsidR="00F8241E" w:rsidRPr="00A96EE8" w:rsidRDefault="00F8241E" w:rsidP="001D1A8B">
      <w:pPr>
        <w:autoSpaceDE w:val="0"/>
        <w:autoSpaceDN w:val="0"/>
        <w:adjustRightInd w:val="0"/>
        <w:jc w:val="both"/>
        <w:rPr>
          <w:color w:val="000000"/>
        </w:rPr>
      </w:pPr>
    </w:p>
    <w:p w14:paraId="157AC3AA" w14:textId="77777777" w:rsidR="00F8241E" w:rsidRPr="00A96EE8" w:rsidRDefault="00F8241E" w:rsidP="001D1A8B">
      <w:pPr>
        <w:autoSpaceDE w:val="0"/>
        <w:autoSpaceDN w:val="0"/>
        <w:adjustRightInd w:val="0"/>
        <w:jc w:val="both"/>
        <w:rPr>
          <w:b/>
          <w:bCs/>
          <w:color w:val="000000"/>
          <w:lang w:val="fr-FR"/>
        </w:rPr>
      </w:pPr>
      <w:r w:rsidRPr="00A96EE8">
        <w:rPr>
          <w:b/>
          <w:bCs/>
          <w:color w:val="000000"/>
          <w:lang w:val="fr-FR"/>
        </w:rPr>
        <w:t>Infraction environnementale – Région wallonne – Mesure de remise en état – Élément matériel – Abstention – Élément moral – Pas de dol spécial requis</w:t>
      </w:r>
    </w:p>
    <w:p w14:paraId="21B11D56" w14:textId="77777777" w:rsidR="00F8241E" w:rsidRPr="00A96EE8" w:rsidRDefault="00F8241E" w:rsidP="001D1A8B">
      <w:pPr>
        <w:autoSpaceDE w:val="0"/>
        <w:autoSpaceDN w:val="0"/>
        <w:adjustRightInd w:val="0"/>
        <w:jc w:val="both"/>
        <w:rPr>
          <w:b/>
          <w:bCs/>
          <w:color w:val="000000"/>
          <w:lang w:val="fr-FR"/>
        </w:rPr>
      </w:pPr>
    </w:p>
    <w:p w14:paraId="22BF3826" w14:textId="77777777" w:rsidR="00F8241E" w:rsidRPr="00A96EE8" w:rsidRDefault="00F8241E" w:rsidP="001D1A8B">
      <w:pPr>
        <w:autoSpaceDE w:val="0"/>
        <w:autoSpaceDN w:val="0"/>
        <w:adjustRightInd w:val="0"/>
        <w:jc w:val="both"/>
        <w:rPr>
          <w:color w:val="000000"/>
          <w:lang w:val="fr-FR"/>
        </w:rPr>
      </w:pPr>
      <w:r w:rsidRPr="00A96EE8">
        <w:rPr>
          <w:color w:val="000000"/>
          <w:lang w:val="fr-FR"/>
        </w:rPr>
        <w:t>L’article D.154, 4°, du livre I</w:t>
      </w:r>
      <w:r w:rsidRPr="00A96EE8">
        <w:rPr>
          <w:color w:val="000000"/>
          <w:vertAlign w:val="superscript"/>
          <w:lang w:val="fr-FR"/>
        </w:rPr>
        <w:t>er</w:t>
      </w:r>
      <w:r w:rsidRPr="00A96EE8">
        <w:rPr>
          <w:color w:val="000000"/>
          <w:lang w:val="fr-FR"/>
        </w:rPr>
        <w:t>, du Code de l’environnement sanctionne l’opposition ou l’entrave aux mesures de remise en état imposées par un fonctionnaire sanctionnateur en cas de procédure administrative intentée du chef d’infraction audit code. L’élément matériel du délit ne doit pas nécessairement s’identifier à une manœuvre positive ou à un acte de rébellion, mais peut consister dans le fait de rester, nonobstant les rappels et l’octroi de délais supplémentaires, en défaut de régulariser une situation environnementale que l’auteur sait délictueuse. L’opposition ou l’entrave ne requièrent pas, pour être punissables, que l’auteur ait agi avec méchanceté, dans une intention frauduleuse, à dessein de nuire, en vue de tirer profit de son acte, de faire du mal ou d’attenter aux droits de la société ou des particuliers, mais il suffit que l’auteur se soit volontairement et sciemment abstenu de réaliser l’acte prescrit (Cass. (2</w:t>
      </w:r>
      <w:r w:rsidRPr="00A96EE8">
        <w:rPr>
          <w:color w:val="000000"/>
          <w:vertAlign w:val="superscript"/>
          <w:lang w:val="fr-FR"/>
        </w:rPr>
        <w:t>e</w:t>
      </w:r>
      <w:r w:rsidRPr="00A96EE8">
        <w:rPr>
          <w:color w:val="000000"/>
          <w:lang w:val="fr-FR"/>
        </w:rPr>
        <w:t xml:space="preserve"> ch.), 23 novembre 2022, </w:t>
      </w:r>
      <w:r w:rsidRPr="00A96EE8">
        <w:rPr>
          <w:kern w:val="36"/>
          <w:lang w:eastAsia="fr-FR"/>
        </w:rPr>
        <w:t xml:space="preserve">R.G. </w:t>
      </w:r>
      <w:r w:rsidRPr="00A96EE8">
        <w:rPr>
          <w:rStyle w:val="markedcontent"/>
        </w:rPr>
        <w:t xml:space="preserve">P.22.1032.F., </w:t>
      </w:r>
      <w:r w:rsidRPr="00A96EE8">
        <w:rPr>
          <w:rStyle w:val="markedcontent"/>
          <w:i/>
          <w:iCs/>
        </w:rPr>
        <w:t>Pas.</w:t>
      </w:r>
      <w:r w:rsidRPr="00A96EE8">
        <w:rPr>
          <w:rStyle w:val="markedcontent"/>
        </w:rPr>
        <w:t>, à sa date).</w:t>
      </w:r>
    </w:p>
    <w:p w14:paraId="22FDCD51" w14:textId="13FBB489" w:rsidR="00587BF0" w:rsidRDefault="00587BF0" w:rsidP="001D1A8B">
      <w:pPr>
        <w:pStyle w:val="paragraph"/>
        <w:spacing w:before="0" w:beforeAutospacing="0" w:after="0" w:afterAutospacing="0"/>
        <w:jc w:val="both"/>
        <w:textAlignment w:val="baseline"/>
        <w:rPr>
          <w:rFonts w:asciiTheme="majorBidi" w:hAnsiTheme="majorBidi" w:cstheme="majorBidi"/>
          <w:b/>
          <w:bCs/>
          <w:i/>
          <w:iCs/>
          <w:highlight w:val="yellow"/>
        </w:rPr>
      </w:pPr>
    </w:p>
    <w:p w14:paraId="3A49A58A" w14:textId="36607AB2" w:rsidR="00B529DD" w:rsidRDefault="00B529DD" w:rsidP="001D1A8B">
      <w:pPr>
        <w:pStyle w:val="paragraph"/>
        <w:spacing w:before="0" w:beforeAutospacing="0" w:after="0" w:afterAutospacing="0"/>
        <w:jc w:val="both"/>
        <w:textAlignment w:val="baseline"/>
        <w:rPr>
          <w:rFonts w:asciiTheme="majorBidi" w:hAnsiTheme="majorBidi" w:cstheme="majorBidi"/>
          <w:b/>
          <w:bCs/>
          <w:i/>
          <w:iCs/>
          <w:highlight w:val="yellow"/>
        </w:rPr>
      </w:pPr>
    </w:p>
    <w:p w14:paraId="47FDE0DD" w14:textId="77777777" w:rsidR="00B529DD" w:rsidRPr="00A96EE8" w:rsidRDefault="00B529DD" w:rsidP="001D1A8B">
      <w:pPr>
        <w:autoSpaceDE w:val="0"/>
        <w:autoSpaceDN w:val="0"/>
        <w:adjustRightInd w:val="0"/>
        <w:jc w:val="both"/>
        <w:rPr>
          <w:rFonts w:eastAsia="MS Mincho"/>
          <w:i/>
          <w:iCs/>
          <w:color w:val="000000"/>
          <w:lang w:val="fr-FR"/>
        </w:rPr>
      </w:pPr>
      <w:r w:rsidRPr="00A96EE8">
        <w:rPr>
          <w:i/>
          <w:iCs/>
          <w:color w:val="000000"/>
          <w:lang w:val="fr-FR"/>
        </w:rPr>
        <w:t>É</w:t>
      </w:r>
      <w:r w:rsidRPr="00A96EE8">
        <w:rPr>
          <w:rFonts w:eastAsia="MS Mincho"/>
          <w:i/>
          <w:iCs/>
          <w:color w:val="000000"/>
          <w:lang w:val="fr-FR"/>
        </w:rPr>
        <w:t>TRANGERS</w:t>
      </w:r>
    </w:p>
    <w:p w14:paraId="71A85520" w14:textId="77777777" w:rsidR="00B529DD" w:rsidRPr="00A96EE8" w:rsidRDefault="00B529DD" w:rsidP="001D1A8B">
      <w:pPr>
        <w:autoSpaceDE w:val="0"/>
        <w:autoSpaceDN w:val="0"/>
        <w:adjustRightInd w:val="0"/>
        <w:jc w:val="both"/>
        <w:rPr>
          <w:color w:val="000000"/>
          <w:lang w:val="fr-FR"/>
        </w:rPr>
      </w:pPr>
    </w:p>
    <w:p w14:paraId="61D69A78" w14:textId="77777777" w:rsidR="00B529DD" w:rsidRPr="00A96EE8" w:rsidRDefault="00000000" w:rsidP="001D1A8B">
      <w:pPr>
        <w:autoSpaceDE w:val="0"/>
        <w:autoSpaceDN w:val="0"/>
        <w:adjustRightInd w:val="0"/>
        <w:jc w:val="both"/>
        <w:rPr>
          <w:color w:val="000000"/>
          <w:lang w:val="fr-FR"/>
        </w:rPr>
      </w:pPr>
      <w:dir w:val="ltr">
        <w:r w:rsidR="00B529DD" w:rsidRPr="00A96EE8">
          <w:rPr>
            <w:b/>
            <w:bCs/>
            <w:color w:val="000000"/>
            <w:lang w:val="fr-FR"/>
          </w:rPr>
          <w:t>Éloignement – Interdiction d’entrée – Ordre de quitter le territoire – Absence de</w:t>
        </w:r>
        <w:r w:rsidR="00B529DD" w:rsidRPr="00A96EE8">
          <w:rPr>
            <w:rFonts w:eastAsia="MS Mincho"/>
            <w:b/>
            <w:bCs/>
            <w:color w:val="000000"/>
            <w:lang w:val="fr-FR"/>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color w:val="000000"/>
            <w:lang w:val="fr-FR"/>
          </w:rPr>
          <w:t xml:space="preserve"> délai pour quitter le territoire – Art. 74/11, § 1</w:t>
        </w:r>
        <w:r w:rsidR="00B529DD" w:rsidRPr="00A96EE8">
          <w:rPr>
            <w:b/>
            <w:bCs/>
            <w:color w:val="000000"/>
            <w:vertAlign w:val="superscript"/>
            <w:lang w:val="fr-FR"/>
          </w:rPr>
          <w:t>er</w:t>
        </w:r>
        <w:r w:rsidR="00B529DD" w:rsidRPr="00A96EE8">
          <w:rPr>
            <w:b/>
            <w:bCs/>
            <w:color w:val="000000"/>
            <w:lang w:val="fr-FR"/>
          </w:rPr>
          <w:t>, al. 2, de la loi du 15 décembre 1980 – Examen incident –</w:t>
        </w:r>
        <w:r w:rsidR="00B529DD" w:rsidRPr="00A96EE8">
          <w:rPr>
            <w:rFonts w:eastAsia="MS Mincho"/>
            <w:b/>
            <w:bCs/>
            <w:color w:val="000000"/>
            <w:lang w:val="fr-FR"/>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color w:val="000000"/>
          </w:rPr>
          <w:t xml:space="preserve"> </w:t>
        </w:r>
        <w:r w:rsidR="00B529DD" w:rsidRPr="00A96EE8">
          <w:rPr>
            <w:b/>
            <w:bCs/>
            <w:color w:val="000000"/>
            <w:lang w:val="fr-FR"/>
          </w:rPr>
          <w:t>Ordre public – Absence de gravité des faits – Annulation</w:t>
        </w:r>
        <w:r w:rsidR="00B529DD" w:rsidRPr="00A96EE8">
          <w:rPr>
            <w:rFonts w:eastAsia="MS Mincho"/>
            <w:b/>
            <w:bCs/>
            <w:color w:val="000000"/>
            <w:lang w:val="fr-FR"/>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t>‬</w:t>
        </w:r>
        <w:r w:rsidR="00B529DD">
          <w:t>‬</w:t>
        </w:r>
        <w:r w:rsidR="00B529DD">
          <w:t>‬</w:t>
        </w:r>
        <w:r w:rsidR="00B529DD">
          <w:t>‬</w:t>
        </w:r>
        <w:r w:rsidR="00B529DD">
          <w:t>‬</w:t>
        </w:r>
        <w:r w:rsidR="00B529DD">
          <w:t>‬</w:t>
        </w:r>
        <w:r>
          <w:t>‬</w:t>
        </w:r>
        <w:r>
          <w:t>‬</w:t>
        </w:r>
        <w:r>
          <w:t>‬</w:t>
        </w:r>
        <w:r>
          <w:t>‬</w:t>
        </w:r>
        <w:r>
          <w:t>‬</w:t>
        </w:r>
        <w:r>
          <w:t>‬</w:t>
        </w:r>
        <w:r>
          <w:t>‬</w:t>
        </w:r>
        <w:r>
          <w:t>‬</w:t>
        </w:r>
        <w:r>
          <w:t>‬</w:t>
        </w:r>
        <w:r>
          <w:t>‬</w:t>
        </w:r>
      </w:dir>
    </w:p>
    <w:p w14:paraId="00F0D287" w14:textId="77777777" w:rsidR="00B529DD" w:rsidRPr="00A96EE8" w:rsidRDefault="00B529DD" w:rsidP="001D1A8B">
      <w:pPr>
        <w:autoSpaceDE w:val="0"/>
        <w:autoSpaceDN w:val="0"/>
        <w:adjustRightInd w:val="0"/>
        <w:jc w:val="both"/>
        <w:rPr>
          <w:color w:val="000000"/>
          <w:lang w:val="fr-FR"/>
        </w:rPr>
      </w:pPr>
    </w:p>
    <w:p w14:paraId="31C92BDB" w14:textId="77777777" w:rsidR="00B529DD" w:rsidRPr="00A96EE8" w:rsidRDefault="00000000" w:rsidP="001D1A8B">
      <w:pPr>
        <w:autoSpaceDE w:val="0"/>
        <w:autoSpaceDN w:val="0"/>
        <w:adjustRightInd w:val="0"/>
        <w:jc w:val="both"/>
        <w:rPr>
          <w:color w:val="000000"/>
          <w:lang w:val="fr-FR"/>
        </w:rPr>
      </w:pPr>
      <w:dir w:val="ltr">
        <w:r w:rsidR="00B529DD" w:rsidRPr="00A96EE8">
          <w:rPr>
            <w:color w:val="000000"/>
            <w:lang w:val="fr-FR"/>
          </w:rPr>
          <w:t>Le Conseil est saisi d’un recours contre un ordre de quitter le territoire avec maintien en vue de l’éloignement et assorti d’une interdiction d’entrée. Le requérant ayant été éloigné, l’ordre de quitter le territoire a été exécuté et a disparu de l’ordonnancement juridique. Dans son recours, le requérant conteste</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l’absence de délai pour quitter le territoire, sur laquelle repose l’interdiction d’entrée entreprise. Le Conseil opère un contrôle incident de ce point.</w:t>
          </w:r>
          <w:r w:rsidR="00B529DD" w:rsidRPr="00A96EE8">
            <w:rPr>
              <w:rFonts w:eastAsia="MS Mincho"/>
              <w:color w:val="000000"/>
              <w:lang w:val="fr-FR"/>
            </w:rPr>
            <w:t>‬</w:t>
          </w:r>
          <w:r w:rsidR="00B529DD" w:rsidRPr="00A96EE8">
            <w:rPr>
              <w:color w:val="000000"/>
              <w:lang w:val="fr-FR"/>
            </w:rPr>
            <w:t xml:space="preserve"> </w:t>
          </w:r>
          <w:r w:rsidR="00B529DD" w:rsidRPr="00A96EE8">
            <w:t>L</w:t>
          </w:r>
          <w:r w:rsidR="00B529DD" w:rsidRPr="00A96EE8">
            <w:rPr>
              <w:color w:val="000000"/>
              <w:lang w:val="fr-FR"/>
            </w:rPr>
            <w:t>’ordre de quitter le territoire adopté était notamment basé sur le fait que le requérant représenterait un danger</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pour l’ordre public. Or, le Conseil considère que l’Office des étrangers a commis une erreur manifeste d’appréciation en constatant la gravité des faits commis par le requérant, et donc implicitement le danger grave qu’il</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 xml:space="preserve">constituerait pour l’ordre public, notamment au regard du préjudice très limité qu’ont occasionné ces faits. </w:t>
              </w:r>
              <w:r w:rsidR="00B529DD" w:rsidRPr="00A96EE8">
                <w:t>Il</w:t>
              </w:r>
              <w:r w:rsidR="00B529DD" w:rsidRPr="00A96EE8">
                <w:rPr>
                  <w:color w:val="000000"/>
                  <w:lang w:val="fr-FR"/>
                </w:rPr>
                <w:t xml:space="preserve"> constate donc que la motivation selon laquelle aucun délai n’est laissé au requérant pour quitter le territoire – sur base de laquelle est prise l’interdiction d’entrée – n’est pas valablement justifiée, et annule l’interdiction d’entrée (Conseil du Contentieux des Étrangers, 24 janvier 2022, </w:t>
              </w:r>
              <w:r w:rsidR="00B529DD" w:rsidRPr="00A96EE8">
                <w:rPr>
                  <w:i/>
                  <w:iCs/>
                  <w:color w:val="000000"/>
                  <w:lang w:val="fr-FR"/>
                </w:rPr>
                <w:t>R.D.E.</w:t>
              </w:r>
              <w:r w:rsidR="00B529DD" w:rsidRPr="00A96EE8">
                <w:rPr>
                  <w:color w:val="000000"/>
                  <w:lang w:val="fr-FR"/>
                </w:rPr>
                <w:t>, 2022/1, n°213, p. 88).</w:t>
              </w:r>
              <w:r w:rsidR="00B529DD" w:rsidRPr="00A96EE8">
                <w:t>‬</w:t>
              </w:r>
              <w:r w:rsidR="00B529DD" w:rsidRPr="00A96EE8">
                <w:t>‬</w:t>
              </w:r>
              <w:r w:rsidR="00B529DD" w:rsidRPr="00A96EE8">
                <w:t>‬</w:t>
              </w:r>
              <w:r w:rsidR="00B529DD" w:rsidRPr="00A96EE8">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p>
    <w:p w14:paraId="0DA44DD9" w14:textId="77777777" w:rsidR="00B529DD" w:rsidRPr="00A96EE8" w:rsidRDefault="00B529DD" w:rsidP="001D1A8B">
      <w:pPr>
        <w:autoSpaceDE w:val="0"/>
        <w:autoSpaceDN w:val="0"/>
        <w:adjustRightInd w:val="0"/>
        <w:jc w:val="both"/>
        <w:rPr>
          <w:color w:val="000000"/>
          <w:lang w:val="fr-FR"/>
        </w:rPr>
      </w:pPr>
    </w:p>
    <w:p w14:paraId="734B4247" w14:textId="77777777" w:rsidR="00B529DD" w:rsidRPr="00A96EE8" w:rsidRDefault="00B529DD" w:rsidP="001D1A8B">
      <w:pPr>
        <w:autoSpaceDE w:val="0"/>
        <w:autoSpaceDN w:val="0"/>
        <w:adjustRightInd w:val="0"/>
        <w:jc w:val="both"/>
        <w:rPr>
          <w:b/>
          <w:bCs/>
          <w:color w:val="000000"/>
          <w:lang w:val="fr-FR"/>
        </w:rPr>
      </w:pPr>
      <w:r w:rsidRPr="00A96EE8">
        <w:rPr>
          <w:b/>
          <w:bCs/>
          <w:color w:val="000000"/>
          <w:lang w:val="fr-FR"/>
        </w:rPr>
        <w:t>Éloignement – Interdiction d’entrée – Art. 74/11, § 1</w:t>
      </w:r>
      <w:r w:rsidRPr="00A96EE8">
        <w:rPr>
          <w:b/>
          <w:bCs/>
          <w:color w:val="000000"/>
          <w:vertAlign w:val="superscript"/>
          <w:lang w:val="fr-FR"/>
        </w:rPr>
        <w:t>er</w:t>
      </w:r>
      <w:r w:rsidRPr="00A96EE8">
        <w:rPr>
          <w:b/>
          <w:bCs/>
          <w:color w:val="000000"/>
          <w:lang w:val="fr-FR"/>
        </w:rPr>
        <w:t>, al. 4, de la loi du 15 décembre 1980 – Ordre public –</w:t>
      </w:r>
      <w:r w:rsidRPr="00A96EE8">
        <w:rPr>
          <w:rFonts w:eastAsia="MS Mincho"/>
          <w:b/>
          <w:bCs/>
          <w:color w:val="000000"/>
          <w:lang w:val="fr-FR"/>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color w:val="000000"/>
        </w:rPr>
        <w:t xml:space="preserve"> </w:t>
      </w:r>
      <w:r w:rsidRPr="00A96EE8">
        <w:rPr>
          <w:b/>
          <w:bCs/>
          <w:color w:val="000000"/>
          <w:lang w:val="fr-FR"/>
        </w:rPr>
        <w:t>Gravité des faits – Balance de proportionnalité – Durée de</w:t>
      </w:r>
      <w:r w:rsidRPr="00A96EE8">
        <w:rPr>
          <w:rFonts w:eastAsia="MS Mincho"/>
          <w:b/>
          <w:bCs/>
          <w:color w:val="000000"/>
          <w:lang w:val="fr-FR"/>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color w:val="000000"/>
          <w:lang w:val="fr-FR"/>
        </w:rPr>
        <w:t xml:space="preserve"> l’interdiction d’entrée – Motivation – Annulation</w:t>
      </w:r>
      <w:r w:rsidRPr="00A96EE8">
        <w:rPr>
          <w:rFonts w:eastAsia="MS Mincho"/>
          <w:b/>
          <w:bCs/>
          <w:color w:val="000000"/>
          <w:lang w:val="fr-FR"/>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r w:rsidRPr="00A96EE8">
        <w:rPr>
          <w:b/>
          <w:bCs/>
        </w:rPr>
        <w:t>‬</w:t>
      </w:r>
    </w:p>
    <w:p w14:paraId="293A8815" w14:textId="77777777" w:rsidR="00B529DD" w:rsidRPr="00A96EE8" w:rsidRDefault="00B529DD" w:rsidP="001D1A8B">
      <w:pPr>
        <w:autoSpaceDE w:val="0"/>
        <w:autoSpaceDN w:val="0"/>
        <w:adjustRightInd w:val="0"/>
        <w:jc w:val="both"/>
      </w:pPr>
    </w:p>
    <w:p w14:paraId="45834740" w14:textId="77777777" w:rsidR="00B529DD" w:rsidRPr="00A96EE8" w:rsidRDefault="00B529DD" w:rsidP="001D1A8B">
      <w:pPr>
        <w:autoSpaceDE w:val="0"/>
        <w:autoSpaceDN w:val="0"/>
        <w:adjustRightInd w:val="0"/>
        <w:jc w:val="both"/>
        <w:rPr>
          <w:color w:val="000000"/>
          <w:lang w:val="fr-FR"/>
        </w:rPr>
      </w:pPr>
      <w:r w:rsidRPr="00A96EE8">
        <w:rPr>
          <w:color w:val="000000"/>
          <w:lang w:val="fr-FR"/>
        </w:rPr>
        <w:t>L’Office des étrangers qui prend une décision d’éloignement assortie d’une interdiction d’entrée, doit motiver la durée de celle-ci. En l’espèce, une interdiction d’entrée de huit ans a été prise à l’encontre du requérant. Cependant, la motivation de la décision attaquée ne permet pas de comprendre ce qui a été retenu par l’Office des étrangers comme éléments constitutifs de la gravité des faits, et ne permet pas de vérifier s’il a été procédé à une balance de proportionnalité entre la sanction pénale des faits, et la durée de l’interdiction d’entrée</w:t>
      </w:r>
      <w:r w:rsidRPr="00A96EE8">
        <w:rPr>
          <w:rFonts w:eastAsia="MS Mincho"/>
          <w:color w:val="000000"/>
          <w:lang w:val="fr-FR"/>
        </w:rPr>
        <w:t>‬</w:t>
      </w:r>
      <w:r w:rsidRPr="00A96EE8">
        <w:rPr>
          <w:color w:val="000000"/>
          <w:lang w:val="fr-FR"/>
        </w:rPr>
        <w:t xml:space="preserve"> </w:t>
      </w:r>
      <w:dir w:val="ltr">
        <w:r w:rsidRPr="00A96EE8">
          <w:rPr>
            <w:color w:val="000000"/>
            <w:lang w:val="fr-FR"/>
          </w:rPr>
          <w:t xml:space="preserve">de huit ans. La motivation de la durée de l’interdiction d’entrée est insuffisante, et la </w:t>
        </w:r>
        <w:dir w:val="ltr">
          <w:r w:rsidRPr="00A96EE8">
            <w:rPr>
              <w:color w:val="000000"/>
              <w:lang w:val="fr-FR"/>
            </w:rPr>
            <w:t>décision attaquée est annulée</w:t>
          </w:r>
          <w:r w:rsidRPr="00A96EE8">
            <w:rPr>
              <w:color w:val="000000"/>
              <w:lang w:val="fr-FR"/>
            </w:rPr>
            <w:t>‬ (Conseil du Contentieux des Étrangers, 1</w:t>
          </w:r>
          <w:r w:rsidRPr="00A96EE8">
            <w:rPr>
              <w:color w:val="000000"/>
              <w:vertAlign w:val="superscript"/>
              <w:lang w:val="fr-FR"/>
            </w:rPr>
            <w:t>er</w:t>
          </w:r>
          <w:r w:rsidRPr="00A96EE8">
            <w:rPr>
              <w:color w:val="000000"/>
              <w:lang w:val="fr-FR"/>
            </w:rPr>
            <w:t xml:space="preserve"> mars 2022, </w:t>
          </w:r>
          <w:r w:rsidRPr="00A96EE8">
            <w:rPr>
              <w:i/>
              <w:iCs/>
              <w:color w:val="000000"/>
              <w:lang w:val="fr-FR"/>
            </w:rPr>
            <w:t>R.D.E.</w:t>
          </w:r>
          <w:r w:rsidRPr="00A96EE8">
            <w:rPr>
              <w:color w:val="000000"/>
              <w:lang w:val="fr-FR"/>
            </w:rPr>
            <w:t>, 2022/1, n°213, p. 105).</w:t>
          </w:r>
          <w:r w:rsidRPr="00A96EE8">
            <w:t>‬</w:t>
          </w:r>
          <w:r w:rsidRPr="00A96EE8">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r w:rsidR="00000000">
            <w:t>‬</w:t>
          </w:r>
        </w:dir>
      </w:dir>
    </w:p>
    <w:p w14:paraId="58512FE0" w14:textId="77777777" w:rsidR="00B529DD" w:rsidRPr="00A96EE8" w:rsidRDefault="00B529DD" w:rsidP="001D1A8B">
      <w:pPr>
        <w:autoSpaceDE w:val="0"/>
        <w:autoSpaceDN w:val="0"/>
        <w:adjustRightInd w:val="0"/>
        <w:jc w:val="both"/>
        <w:rPr>
          <w:color w:val="000000"/>
          <w:lang w:val="fr-FR"/>
        </w:rPr>
      </w:pPr>
    </w:p>
    <w:p w14:paraId="3DA6851C" w14:textId="77777777" w:rsidR="00B529DD" w:rsidRPr="00A96EE8" w:rsidRDefault="00B529DD" w:rsidP="001D1A8B">
      <w:pPr>
        <w:autoSpaceDE w:val="0"/>
        <w:autoSpaceDN w:val="0"/>
        <w:adjustRightInd w:val="0"/>
        <w:jc w:val="both"/>
        <w:rPr>
          <w:color w:val="000000"/>
          <w:lang w:val="fr-FR"/>
        </w:rPr>
      </w:pPr>
    </w:p>
    <w:p w14:paraId="384D49C1" w14:textId="77777777" w:rsidR="00B529DD" w:rsidRPr="00A96EE8" w:rsidRDefault="00000000" w:rsidP="001D1A8B">
      <w:pPr>
        <w:autoSpaceDE w:val="0"/>
        <w:autoSpaceDN w:val="0"/>
        <w:adjustRightInd w:val="0"/>
        <w:jc w:val="both"/>
        <w:rPr>
          <w:b/>
          <w:bCs/>
          <w:color w:val="000000"/>
          <w:lang w:val="fr-FR"/>
        </w:rPr>
      </w:pPr>
      <w:dir w:val="ltr">
        <w:r w:rsidR="00B529DD" w:rsidRPr="00A96EE8">
          <w:rPr>
            <w:b/>
            <w:bCs/>
            <w:color w:val="000000"/>
            <w:lang w:val="fr-FR"/>
          </w:rPr>
          <w:t>Éloignement – Pénétration de la police dans le domicile en vue de l’arrestation – Droit</w:t>
        </w:r>
        <w:r w:rsidR="00B529DD" w:rsidRPr="00A96EE8">
          <w:rPr>
            <w:rFonts w:eastAsia="MS Mincho"/>
            <w:b/>
            <w:bCs/>
            <w:color w:val="000000"/>
            <w:lang w:val="fr-FR"/>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t>‬</w:t>
        </w:r>
        <w:r w:rsidR="00B529DD">
          <w:t>‬</w:t>
        </w:r>
        <w:r w:rsidR="00B529DD">
          <w:t>‬</w:t>
        </w:r>
        <w:r w:rsidR="00B529DD">
          <w:t>‬</w:t>
        </w:r>
        <w:r w:rsidR="00B529DD">
          <w:t>‬</w:t>
        </w:r>
        <w:r w:rsidR="00B529DD">
          <w:t>‬</w:t>
        </w:r>
        <w:r>
          <w:t>‬</w:t>
        </w:r>
        <w:r>
          <w:t>‬</w:t>
        </w:r>
        <w:r>
          <w:t>‬</w:t>
        </w:r>
        <w:r>
          <w:t>‬</w:t>
        </w:r>
        <w:r>
          <w:t>‬</w:t>
        </w:r>
        <w:r>
          <w:t>‬</w:t>
        </w:r>
        <w:r>
          <w:t>‬</w:t>
        </w:r>
        <w:r>
          <w:t>‬</w:t>
        </w:r>
        <w:r>
          <w:t>‬</w:t>
        </w:r>
        <w:r>
          <w:t>‬</w:t>
        </w:r>
      </w:dir>
    </w:p>
    <w:p w14:paraId="08134F01" w14:textId="77777777" w:rsidR="00B529DD" w:rsidRPr="00A96EE8" w:rsidRDefault="00000000" w:rsidP="001D1A8B">
      <w:pPr>
        <w:autoSpaceDE w:val="0"/>
        <w:autoSpaceDN w:val="0"/>
        <w:adjustRightInd w:val="0"/>
        <w:jc w:val="both"/>
        <w:rPr>
          <w:b/>
          <w:bCs/>
          <w:color w:val="000000"/>
          <w:lang w:val="fr-FR"/>
        </w:rPr>
      </w:pPr>
      <w:dir w:val="ltr">
        <w:r w:rsidR="00B529DD" w:rsidRPr="00A96EE8">
          <w:rPr>
            <w:b/>
            <w:bCs/>
            <w:color w:val="000000"/>
            <w:lang w:val="fr-FR"/>
          </w:rPr>
          <w:t>au respect de son domicile – Absence de renonciation libre et éclairée au droit à la protection de son domicile – Ingérence injustifiée – Art. 8 CEDH – Violation – Unanimité</w:t>
        </w:r>
        <w:r w:rsidR="00B529DD" w:rsidRPr="00A96EE8">
          <w:t>‬</w:t>
        </w:r>
        <w:r w:rsidR="00B529DD">
          <w:t>‬</w:t>
        </w:r>
        <w:r w:rsidR="00B529DD">
          <w:t>‬</w:t>
        </w:r>
        <w:r w:rsidR="00B529DD">
          <w:t>‬</w:t>
        </w:r>
        <w:r w:rsidR="00B529DD">
          <w:t>‬</w:t>
        </w:r>
        <w:r w:rsidR="00B529DD">
          <w:t>‬</w:t>
        </w:r>
        <w:r>
          <w:t>‬</w:t>
        </w:r>
        <w:r>
          <w:t>‬</w:t>
        </w:r>
        <w:r>
          <w:t>‬</w:t>
        </w:r>
        <w:r>
          <w:t>‬</w:t>
        </w:r>
        <w:r>
          <w:t>‬</w:t>
        </w:r>
        <w:r>
          <w:t>‬</w:t>
        </w:r>
        <w:r>
          <w:t>‬</w:t>
        </w:r>
        <w:r>
          <w:t>‬</w:t>
        </w:r>
        <w:r>
          <w:t>‬</w:t>
        </w:r>
        <w:r>
          <w:t>‬</w:t>
        </w:r>
      </w:dir>
    </w:p>
    <w:p w14:paraId="67CA7D54" w14:textId="77777777" w:rsidR="00B529DD" w:rsidRPr="00A96EE8" w:rsidRDefault="00B529DD" w:rsidP="001D1A8B">
      <w:pPr>
        <w:autoSpaceDE w:val="0"/>
        <w:autoSpaceDN w:val="0"/>
        <w:adjustRightInd w:val="0"/>
        <w:jc w:val="both"/>
        <w:rPr>
          <w:color w:val="000000"/>
          <w:lang w:val="fr-FR"/>
        </w:rPr>
      </w:pPr>
    </w:p>
    <w:p w14:paraId="5E36E08C" w14:textId="77777777" w:rsidR="00B529DD" w:rsidRPr="00A96EE8" w:rsidRDefault="00000000" w:rsidP="001D1A8B">
      <w:pPr>
        <w:autoSpaceDE w:val="0"/>
        <w:autoSpaceDN w:val="0"/>
        <w:adjustRightInd w:val="0"/>
        <w:jc w:val="both"/>
      </w:pPr>
      <w:dir w:val="ltr">
        <w:r w:rsidR="00B529DD" w:rsidRPr="00A96EE8">
          <w:t xml:space="preserve">Dans cette affaire, la requérante, qui avait fait l’objet d’un ordre de quitter le territoire assorti d’une décision de maintien dans un lieu déterminé sur la base de la loi du 15 décembre 1980, a été arrêtée et menottée par la police à l’intérieur de son domicile. </w:t>
        </w:r>
        <w:r w:rsidR="00B529DD" w:rsidRPr="00A96EE8">
          <w:t>‬</w:t>
        </w:r>
        <w:r w:rsidR="00B529DD">
          <w:t>‬</w:t>
        </w:r>
        <w:r w:rsidR="00B529DD">
          <w:t>‬</w:t>
        </w:r>
        <w:r w:rsidR="00B529DD">
          <w:t>‬</w:t>
        </w:r>
        <w:r w:rsidR="00B529DD">
          <w:t>‬</w:t>
        </w:r>
        <w:r w:rsidR="00B529DD">
          <w:t>‬</w:t>
        </w:r>
        <w:r>
          <w:t>‬</w:t>
        </w:r>
        <w:r>
          <w:t>‬</w:t>
        </w:r>
        <w:r>
          <w:t>‬</w:t>
        </w:r>
        <w:r>
          <w:t>‬</w:t>
        </w:r>
        <w:r>
          <w:t>‬</w:t>
        </w:r>
        <w:r>
          <w:t>‬</w:t>
        </w:r>
        <w:r>
          <w:t>‬</w:t>
        </w:r>
        <w:r>
          <w:t>‬</w:t>
        </w:r>
        <w:r>
          <w:t>‬</w:t>
        </w:r>
        <w:r>
          <w:t>‬</w:t>
        </w:r>
      </w:dir>
    </w:p>
    <w:p w14:paraId="7A513D50" w14:textId="77777777" w:rsidR="00B529DD" w:rsidRPr="00A96EE8" w:rsidRDefault="00B529DD" w:rsidP="001D1A8B">
      <w:pPr>
        <w:autoSpaceDE w:val="0"/>
        <w:autoSpaceDN w:val="0"/>
        <w:adjustRightInd w:val="0"/>
        <w:jc w:val="both"/>
      </w:pPr>
    </w:p>
    <w:p w14:paraId="19AA19D4" w14:textId="77777777" w:rsidR="00B529DD" w:rsidRPr="00A96EE8" w:rsidRDefault="00B529DD" w:rsidP="001D1A8B">
      <w:pPr>
        <w:autoSpaceDE w:val="0"/>
        <w:autoSpaceDN w:val="0"/>
        <w:adjustRightInd w:val="0"/>
        <w:jc w:val="both"/>
      </w:pPr>
      <w:r w:rsidRPr="00A96EE8">
        <w:t>La Cour EDH constate d’abord que la requérante n’a pas renoncé de manière libre et éclairée à la protection de son droit au respect de son domicile, de sorte que l’intervention de la police constitue bien une ingérence dans celui-ci. Ensuite, la Cour constate que l’ingérence litigieuse est dépourvue d’une base légale qui réponde aux exigences de l’article 8 CEDH, de sorte que l’intervention des policiers n’est pas « prévue par la loi » au sens de la disposition.</w:t>
      </w:r>
    </w:p>
    <w:p w14:paraId="2DADA5EB" w14:textId="77777777" w:rsidR="00B529DD" w:rsidRPr="00A96EE8" w:rsidRDefault="00B529DD" w:rsidP="001D1A8B">
      <w:pPr>
        <w:autoSpaceDE w:val="0"/>
        <w:autoSpaceDN w:val="0"/>
        <w:adjustRightInd w:val="0"/>
        <w:jc w:val="both"/>
        <w:rPr>
          <w:color w:val="000000"/>
          <w:lang w:val="fr-FR"/>
        </w:rPr>
      </w:pPr>
    </w:p>
    <w:p w14:paraId="79C30248" w14:textId="77777777" w:rsidR="00B529DD" w:rsidRPr="00A96EE8" w:rsidRDefault="00B529DD" w:rsidP="001D1A8B">
      <w:pPr>
        <w:autoSpaceDE w:val="0"/>
        <w:autoSpaceDN w:val="0"/>
        <w:adjustRightInd w:val="0"/>
        <w:jc w:val="both"/>
      </w:pPr>
      <w:r w:rsidRPr="00A96EE8">
        <w:rPr>
          <w:color w:val="000000"/>
          <w:lang w:val="fr-FR"/>
        </w:rPr>
        <w:t>La Cour conclut que la pénétration de la police dans le domicile, sans base légale ni consentement d’une personne étrangère lui</w:t>
      </w:r>
      <w:r w:rsidRPr="00A96EE8">
        <w:rPr>
          <w:rFonts w:eastAsia="MS Mincho"/>
          <w:color w:val="000000"/>
          <w:lang w:val="fr-FR"/>
        </w:rPr>
        <w:t>‬</w:t>
      </w:r>
      <w:r w:rsidRPr="00A96EE8">
        <w:rPr>
          <w:color w:val="000000"/>
          <w:lang w:val="fr-FR"/>
        </w:rPr>
        <w:t xml:space="preserve"> ayant ouvert la porte, dans le cadre du suivi d’une mesure d’éloignement, est une ingérence non prévue par la loi dans le droit au respect du domicile de la requérante et entraîne la violation de l’article 8</w:t>
      </w:r>
      <w:r w:rsidRPr="00A96EE8">
        <w:rPr>
          <w:rFonts w:eastAsia="MS Mincho"/>
          <w:color w:val="000000"/>
          <w:lang w:val="fr-FR"/>
        </w:rPr>
        <w:t>‬</w:t>
      </w:r>
      <w:r w:rsidRPr="00A96EE8">
        <w:rPr>
          <w:color w:val="000000"/>
          <w:lang w:val="fr-FR"/>
        </w:rPr>
        <w:t xml:space="preserve"> </w:t>
      </w:r>
      <w:dir w:val="ltr">
        <w:r w:rsidRPr="00A96EE8">
          <w:rPr>
            <w:color w:val="000000"/>
            <w:lang w:val="fr-FR"/>
          </w:rPr>
          <w:t>de la CEDH. La Cour termine en indiquant que la nécessité de l’usage des menottes lors de l’arrestation de la requérante n’a en outre</w:t>
        </w:r>
        <w:r w:rsidRPr="00A96EE8">
          <w:rPr>
            <w:rFonts w:eastAsia="MS Mincho"/>
            <w:color w:val="000000"/>
            <w:lang w:val="fr-FR"/>
          </w:rPr>
          <w:t>‬</w:t>
        </w:r>
        <w:r w:rsidRPr="00A96EE8">
          <w:rPr>
            <w:color w:val="000000"/>
            <w:lang w:val="fr-FR"/>
          </w:rPr>
          <w:t xml:space="preserve"> </w:t>
        </w:r>
        <w:dir w:val="ltr">
          <w:r w:rsidRPr="00A96EE8">
            <w:rPr>
              <w:color w:val="000000"/>
              <w:lang w:val="fr-FR"/>
            </w:rPr>
            <w:t>pas été établie, ce qui entraîne également la violation de l’article 8 CEDH</w:t>
          </w:r>
          <w:r w:rsidRPr="00A96EE8">
            <w:rPr>
              <w:color w:val="000000"/>
              <w:lang w:val="fr-FR"/>
            </w:rPr>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w:t>
          </w:r>
          <w:r w:rsidRPr="00A96EE8">
            <w:t xml:space="preserve">‬ </w:t>
          </w:r>
          <w:r w:rsidRPr="00A96EE8">
            <w:rPr>
              <w:color w:val="000000"/>
              <w:lang w:val="fr-FR"/>
            </w:rPr>
            <w:t xml:space="preserve">(Cour </w:t>
          </w:r>
          <w:r w:rsidRPr="00A96EE8">
            <w:rPr>
              <w:color w:val="000000"/>
              <w:lang w:val="fr-FR"/>
            </w:rPr>
            <w:lastRenderedPageBreak/>
            <w:t xml:space="preserve">européenne des droits de l’homme, </w:t>
          </w:r>
          <w:proofErr w:type="spellStart"/>
          <w:r w:rsidRPr="006D576D">
            <w:rPr>
              <w:i/>
              <w:iCs/>
              <w:color w:val="000000"/>
              <w:lang w:val="fr-FR"/>
            </w:rPr>
            <w:t>Sabani</w:t>
          </w:r>
          <w:proofErr w:type="spellEnd"/>
          <w:r w:rsidRPr="006D576D">
            <w:rPr>
              <w:i/>
              <w:iCs/>
              <w:color w:val="000000"/>
              <w:lang w:val="fr-FR"/>
            </w:rPr>
            <w:t xml:space="preserve"> c. Belgique</w:t>
          </w:r>
          <w:r w:rsidRPr="00A96EE8">
            <w:rPr>
              <w:color w:val="000000"/>
              <w:lang w:val="fr-FR"/>
            </w:rPr>
            <w:t xml:space="preserve">, 8 mars 2022, </w:t>
          </w:r>
          <w:r w:rsidRPr="00A96EE8">
            <w:rPr>
              <w:i/>
              <w:iCs/>
              <w:color w:val="000000"/>
              <w:lang w:val="fr-FR"/>
            </w:rPr>
            <w:t>R.D.E.</w:t>
          </w:r>
          <w:r w:rsidRPr="00A96EE8">
            <w:rPr>
              <w:color w:val="000000"/>
              <w:lang w:val="fr-FR"/>
            </w:rPr>
            <w:t xml:space="preserve">, 2022/1, n° 213, p. 56). </w:t>
          </w:r>
          <w:r w:rsidRPr="00A96EE8">
            <w:t>‬</w:t>
          </w:r>
          <w:r w:rsidRPr="00A96EE8">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r w:rsidR="00000000">
            <w:t>‬</w:t>
          </w:r>
        </w:dir>
      </w:dir>
    </w:p>
    <w:p w14:paraId="493B8329" w14:textId="77777777" w:rsidR="00B529DD" w:rsidRPr="00A96EE8" w:rsidRDefault="00B529DD" w:rsidP="001D1A8B">
      <w:pPr>
        <w:autoSpaceDE w:val="0"/>
        <w:autoSpaceDN w:val="0"/>
        <w:adjustRightInd w:val="0"/>
        <w:jc w:val="both"/>
        <w:rPr>
          <w:lang w:val="fr-FR"/>
        </w:rPr>
      </w:pPr>
    </w:p>
    <w:p w14:paraId="0B23913E" w14:textId="77777777" w:rsidR="00B529DD" w:rsidRPr="00A96EE8" w:rsidRDefault="00B529DD" w:rsidP="001D1A8B">
      <w:pPr>
        <w:jc w:val="both"/>
        <w:rPr>
          <w:b/>
          <w:bCs/>
        </w:rPr>
      </w:pPr>
      <w:r w:rsidRPr="00A96EE8">
        <w:rPr>
          <w:b/>
          <w:bCs/>
        </w:rPr>
        <w:t xml:space="preserve">Éloignement – Privation de liberté administrative – Perquisition – </w:t>
      </w:r>
      <w:r w:rsidRPr="00A96EE8">
        <w:rPr>
          <w:b/>
          <w:bCs/>
          <w:color w:val="000000"/>
          <w:lang w:val="fr-FR"/>
        </w:rPr>
        <w:t xml:space="preserve">Art. 8 CEDH — Absence de renonciation libre et éclairée au droit à la protection de son domicile – </w:t>
      </w:r>
      <w:r w:rsidRPr="00A96EE8">
        <w:rPr>
          <w:b/>
          <w:bCs/>
        </w:rPr>
        <w:t>Absence de consentement – Exigence d’un écrit – Art. 3 loi du 7 juin 1969 – Perquisition illégale – Remise en liberté</w:t>
      </w:r>
    </w:p>
    <w:p w14:paraId="6E87A6BA" w14:textId="77777777" w:rsidR="00B529DD" w:rsidRPr="00A96EE8" w:rsidRDefault="00B529DD" w:rsidP="001D1A8B">
      <w:pPr>
        <w:jc w:val="both"/>
        <w:rPr>
          <w:b/>
          <w:bCs/>
          <w:color w:val="000000"/>
          <w:shd w:val="clear" w:color="auto" w:fill="FFFFFF"/>
        </w:rPr>
      </w:pPr>
    </w:p>
    <w:p w14:paraId="6514180B" w14:textId="77777777" w:rsidR="00B529DD" w:rsidRPr="00A96EE8" w:rsidRDefault="00B529DD" w:rsidP="001D1A8B">
      <w:pPr>
        <w:autoSpaceDE w:val="0"/>
        <w:autoSpaceDN w:val="0"/>
        <w:adjustRightInd w:val="0"/>
        <w:spacing w:after="240"/>
        <w:jc w:val="both"/>
        <w:rPr>
          <w:color w:val="000000"/>
          <w:lang w:val="fr-FR"/>
        </w:rPr>
      </w:pPr>
      <w:r w:rsidRPr="00A96EE8">
        <w:rPr>
          <w:color w:val="000000"/>
          <w:lang w:val="fr-FR"/>
        </w:rPr>
        <w:t xml:space="preserve">La Cour de cassation a eu à connaître de la question de la base légale requise par l’article 8 CEDH en cas d’ingérence d’un fonctionnaire de police agissant pour l’exécution d’une décision administrative d’éloignement à l’encontre d’une personne étrangère en séjour illégal. La décision intervient quelques mois après la condamnation de la Belgique par la Cour européenne des droits de l’homme sur ce point (arrêt </w:t>
      </w:r>
      <w:proofErr w:type="spellStart"/>
      <w:r w:rsidRPr="006D576D">
        <w:rPr>
          <w:i/>
          <w:iCs/>
          <w:color w:val="000000"/>
          <w:lang w:val="fr-FR"/>
        </w:rPr>
        <w:t>Sabani</w:t>
      </w:r>
      <w:proofErr w:type="spellEnd"/>
      <w:r w:rsidRPr="006D576D">
        <w:rPr>
          <w:i/>
          <w:iCs/>
          <w:color w:val="000000"/>
          <w:lang w:val="fr-FR"/>
        </w:rPr>
        <w:t xml:space="preserve"> c. Belgique</w:t>
      </w:r>
      <w:r w:rsidRPr="00A96EE8">
        <w:rPr>
          <w:color w:val="000000"/>
          <w:lang w:val="fr-FR"/>
        </w:rPr>
        <w:t xml:space="preserve"> examiné ci-dessus).</w:t>
      </w:r>
    </w:p>
    <w:p w14:paraId="4EEB3C2E" w14:textId="77777777" w:rsidR="00B529DD" w:rsidRPr="00A96EE8" w:rsidRDefault="00B529DD" w:rsidP="001D1A8B">
      <w:pPr>
        <w:jc w:val="both"/>
        <w:rPr>
          <w:color w:val="000000"/>
          <w:shd w:val="clear" w:color="auto" w:fill="FFFFFF"/>
        </w:rPr>
      </w:pPr>
      <w:r w:rsidRPr="00A96EE8">
        <w:rPr>
          <w:color w:val="000000"/>
          <w:lang w:val="fr-FR"/>
        </w:rPr>
        <w:t>La Cour estime que la base légale requise par l’article 8 CEDH pour justifier l’ingérence d’une autorité publique dans l’exercice du droit au respect du domicile réside dans la loi du 7 juin 1969 fixant le temps pendant lequel il ne peut être procédé à des perquisitions, visites domiciliaires ou privations de liberté, laquelle ne prévoit pas d’autre consentement que celui donné par écrit. Partant, en vertu de l’article 3 de la loi, lorsqu’un service de police pénètre dans un lieu non ouvert au public en vue de procéder à la privation de liberté administrative d’un étranger en séjour illégal dans le cadre de l’application de la loi de 1980 sur les étrangers, le consentement préalable de la personne ayant la jouissance effective de ce lieu doit avoir été donné par écrit (Cass. (2</w:t>
      </w:r>
      <w:r w:rsidRPr="00A96EE8">
        <w:rPr>
          <w:color w:val="000000"/>
          <w:vertAlign w:val="superscript"/>
          <w:lang w:val="fr-FR"/>
        </w:rPr>
        <w:t>e</w:t>
      </w:r>
      <w:r w:rsidRPr="00A96EE8">
        <w:rPr>
          <w:color w:val="000000"/>
          <w:lang w:val="fr-FR"/>
        </w:rPr>
        <w:t xml:space="preserve"> ch.), 5 octobre 2022, </w:t>
      </w:r>
      <w:r w:rsidRPr="00A96EE8">
        <w:rPr>
          <w:i/>
          <w:iCs/>
          <w:color w:val="000000"/>
        </w:rPr>
        <w:t>J.L.M.B.</w:t>
      </w:r>
      <w:r w:rsidRPr="00A96EE8">
        <w:rPr>
          <w:color w:val="000000"/>
          <w:shd w:val="clear" w:color="auto" w:fill="FFFFFF"/>
        </w:rPr>
        <w:t xml:space="preserve">, 2023/5, p. 207, note S. </w:t>
      </w:r>
      <w:proofErr w:type="spellStart"/>
      <w:r w:rsidRPr="00A96EE8">
        <w:rPr>
          <w:smallCaps/>
          <w:color w:val="000000"/>
          <w:shd w:val="clear" w:color="auto" w:fill="FFFFFF"/>
        </w:rPr>
        <w:t>Vandroghenbroeck</w:t>
      </w:r>
      <w:proofErr w:type="spellEnd"/>
      <w:r w:rsidRPr="00A96EE8">
        <w:rPr>
          <w:color w:val="000000"/>
          <w:shd w:val="clear" w:color="auto" w:fill="FFFFFF"/>
        </w:rPr>
        <w:t xml:space="preserve"> et A. </w:t>
      </w:r>
      <w:proofErr w:type="spellStart"/>
      <w:r w:rsidRPr="00A96EE8">
        <w:rPr>
          <w:smallCaps/>
          <w:color w:val="000000"/>
          <w:shd w:val="clear" w:color="auto" w:fill="FFFFFF"/>
        </w:rPr>
        <w:t>Herinckx</w:t>
      </w:r>
      <w:proofErr w:type="spellEnd"/>
      <w:r w:rsidRPr="00A96EE8">
        <w:rPr>
          <w:color w:val="000000"/>
          <w:shd w:val="clear" w:color="auto" w:fill="FFFFFF"/>
        </w:rPr>
        <w:t>).</w:t>
      </w:r>
    </w:p>
    <w:p w14:paraId="317096EA" w14:textId="77777777" w:rsidR="00B529DD" w:rsidRPr="00A96EE8" w:rsidRDefault="00B529DD" w:rsidP="001D1A8B">
      <w:pPr>
        <w:autoSpaceDE w:val="0"/>
        <w:autoSpaceDN w:val="0"/>
        <w:adjustRightInd w:val="0"/>
        <w:jc w:val="both"/>
        <w:rPr>
          <w:color w:val="000000"/>
          <w:lang w:val="fr-FR"/>
        </w:rPr>
      </w:pPr>
    </w:p>
    <w:p w14:paraId="475A5F8E" w14:textId="77777777" w:rsidR="00B529DD" w:rsidRPr="00A96EE8" w:rsidRDefault="00000000" w:rsidP="001D1A8B">
      <w:pPr>
        <w:autoSpaceDE w:val="0"/>
        <w:autoSpaceDN w:val="0"/>
        <w:adjustRightInd w:val="0"/>
        <w:jc w:val="both"/>
        <w:rPr>
          <w:b/>
          <w:bCs/>
          <w:color w:val="000000"/>
          <w:lang w:val="fr-FR"/>
        </w:rPr>
      </w:pPr>
      <w:dir w:val="ltr">
        <w:r w:rsidR="00B529DD" w:rsidRPr="00A96EE8">
          <w:rPr>
            <w:b/>
            <w:bCs/>
            <w:color w:val="000000"/>
            <w:lang w:val="fr-FR"/>
          </w:rPr>
          <w:t>Protection internationale – Exclusion – Art. 1</w:t>
        </w:r>
        <w:r w:rsidR="00B529DD" w:rsidRPr="00A96EE8">
          <w:rPr>
            <w:b/>
            <w:bCs/>
            <w:color w:val="000000"/>
            <w:vertAlign w:val="superscript"/>
            <w:lang w:val="fr-FR"/>
          </w:rPr>
          <w:t>er</w:t>
        </w:r>
        <w:r w:rsidR="00B529DD" w:rsidRPr="00A96EE8">
          <w:rPr>
            <w:b/>
            <w:bCs/>
            <w:color w:val="000000"/>
            <w:lang w:val="fr-FR"/>
          </w:rPr>
          <w:t>, section F, c, Convention de Genève – PKK – Liste des personnes, groupes et entités impliqués dans des actes</w:t>
        </w:r>
        <w:r w:rsidR="00B529DD" w:rsidRPr="00A96EE8">
          <w:rPr>
            <w:rFonts w:eastAsia="MS Mincho"/>
            <w:b/>
            <w:bCs/>
            <w:color w:val="000000"/>
            <w:lang w:val="fr-FR"/>
          </w:rPr>
          <w:t>‬</w:t>
        </w:r>
        <w:r w:rsidR="00B529DD" w:rsidRPr="00A96EE8">
          <w:rPr>
            <w:b/>
            <w:bCs/>
            <w:color w:val="000000"/>
          </w:rPr>
          <w:t xml:space="preserve"> </w:t>
        </w:r>
        <w:r w:rsidR="00B529DD" w:rsidRPr="00A96EE8">
          <w:rPr>
            <w:b/>
            <w:bCs/>
            <w:color w:val="000000"/>
            <w:lang w:val="fr-FR"/>
          </w:rPr>
          <w:t>terroristes et faisant l’objet de mesures restrictives de l’UE – Caractère insuffisant –</w:t>
        </w:r>
        <w:r w:rsidR="00B529DD" w:rsidRPr="00A96EE8">
          <w:rPr>
            <w:rFonts w:eastAsia="MS Mincho"/>
            <w:b/>
            <w:bCs/>
            <w:color w:val="000000"/>
            <w:lang w:val="fr-FR"/>
          </w:rPr>
          <w:t>‬</w:t>
        </w:r>
        <w:r w:rsidR="00B529DD" w:rsidRPr="00A96EE8">
          <w:rPr>
            <w:b/>
            <w:bCs/>
            <w:color w:val="000000"/>
            <w:lang w:val="fr-FR"/>
          </w:rPr>
          <w:t xml:space="preserve"> Actes commis par le requérant – Requalification de la</w:t>
        </w:r>
        <w:r w:rsidR="00B529DD" w:rsidRPr="00A96EE8">
          <w:rPr>
            <w:rFonts w:eastAsia="MS Mincho"/>
            <w:b/>
            <w:bCs/>
            <w:color w:val="000000"/>
            <w:lang w:val="fr-FR"/>
          </w:rPr>
          <w:t>‬</w:t>
        </w:r>
        <w:r w:rsidR="00B529DD" w:rsidRPr="00A96EE8">
          <w:rPr>
            <w:b/>
            <w:bCs/>
            <w:color w:val="000000"/>
            <w:lang w:val="fr-FR"/>
          </w:rPr>
          <w:t xml:space="preserve"> </w:t>
        </w:r>
        <w:dir w:val="ltr">
          <w:r w:rsidR="00B529DD" w:rsidRPr="00A96EE8">
            <w:rPr>
              <w:b/>
              <w:bCs/>
              <w:color w:val="000000"/>
              <w:lang w:val="fr-FR"/>
            </w:rPr>
            <w:t>clause d’exclusion –</w:t>
          </w:r>
          <w:dir w:val="ltr">
            <w:r w:rsidR="00B529DD" w:rsidRPr="00A96EE8">
              <w:rPr>
                <w:b/>
                <w:bCs/>
                <w:color w:val="000000"/>
                <w:lang w:val="fr-FR"/>
              </w:rPr>
              <w:t>Annulation</w:t>
            </w:r>
            <w:r w:rsidR="00B529DD" w:rsidRPr="00A96EE8">
              <w:rPr>
                <w:b/>
                <w:bCs/>
                <w:color w:val="000000"/>
                <w:lang w:val="fr-FR"/>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rPr>
                <w:b/>
                <w:bCs/>
              </w:rPr>
              <w:t>‬</w:t>
            </w:r>
            <w:r w:rsidR="00B529DD" w:rsidRPr="00A96EE8">
              <w:t>‬</w:t>
            </w:r>
            <w:r w:rsidR="00B529DD" w:rsidRPr="00A96EE8">
              <w:t>‬</w:t>
            </w:r>
            <w:r w:rsidR="00B529DD" w:rsidRPr="00A96EE8">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p>
    <w:p w14:paraId="7110AE8A" w14:textId="77777777" w:rsidR="00B529DD" w:rsidRPr="00A96EE8" w:rsidRDefault="00B529DD" w:rsidP="001D1A8B">
      <w:pPr>
        <w:autoSpaceDE w:val="0"/>
        <w:autoSpaceDN w:val="0"/>
        <w:adjustRightInd w:val="0"/>
        <w:jc w:val="both"/>
        <w:rPr>
          <w:color w:val="000000"/>
          <w:lang w:val="fr-FR"/>
        </w:rPr>
      </w:pPr>
    </w:p>
    <w:p w14:paraId="2804C9D0" w14:textId="77777777" w:rsidR="00B529DD" w:rsidRPr="00A96EE8" w:rsidRDefault="00000000" w:rsidP="001D1A8B">
      <w:pPr>
        <w:autoSpaceDE w:val="0"/>
        <w:autoSpaceDN w:val="0"/>
        <w:adjustRightInd w:val="0"/>
        <w:jc w:val="both"/>
        <w:rPr>
          <w:color w:val="000000"/>
          <w:lang w:val="fr-FR"/>
        </w:rPr>
      </w:pPr>
      <w:dir w:val="ltr">
        <w:r w:rsidR="00B529DD" w:rsidRPr="00A96EE8">
          <w:rPr>
            <w:color w:val="000000"/>
            <w:lang w:val="fr-FR"/>
          </w:rPr>
          <w:t>Le requérant a été exclu de la protection du statut de réfugié en application de l’article 1</w:t>
        </w:r>
        <w:r w:rsidR="00B529DD" w:rsidRPr="00A96EE8">
          <w:rPr>
            <w:color w:val="000000"/>
            <w:vertAlign w:val="superscript"/>
            <w:lang w:val="fr-FR"/>
          </w:rPr>
          <w:t>er</w:t>
        </w:r>
        <w:r w:rsidR="00B529DD" w:rsidRPr="00A96EE8">
          <w:rPr>
            <w:color w:val="000000"/>
            <w:lang w:val="fr-FR"/>
          </w:rPr>
          <w:t>, section F, c, de la Convention de Genève, au motif qu’il a, par le passé, participé à des activités de financement du PKK, parti qui est repris sur la liste européenne des groupes</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et entités impliqués dans des actes de terrorisme et qui fait l’objet de mesures restrictives de</w:t>
          </w:r>
          <w:r w:rsidR="00B529DD" w:rsidRPr="00A96EE8">
            <w:rPr>
              <w:rFonts w:eastAsia="MS Mincho"/>
              <w:color w:val="000000"/>
              <w:lang w:val="fr-FR"/>
            </w:rPr>
            <w:t>‬</w:t>
          </w:r>
          <w:r w:rsidR="00B529DD" w:rsidRPr="00A96EE8">
            <w:rPr>
              <w:color w:val="000000"/>
              <w:lang w:val="fr-FR"/>
            </w:rPr>
            <w:t xml:space="preserve"> </w:t>
          </w:r>
          <w:dir w:val="ltr">
            <w:r w:rsidR="00B529DD" w:rsidRPr="00A96EE8">
              <w:t xml:space="preserve">la part de </w:t>
            </w:r>
            <w:r w:rsidR="00B529DD" w:rsidRPr="00A96EE8">
              <w:rPr>
                <w:color w:val="000000"/>
                <w:lang w:val="fr-FR"/>
              </w:rPr>
              <w:t>l’Union européenne. Le Conseil du contentieux estime que la circonstance que le PKK soit inscrit sur cette liste ne suffit pas à établir que le PKK est un groupe de nature terroriste. Après</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avoir considéré, en se fondant sur le contexte politique, économique et social dans lequel le PKK</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opérait durant la période incriminée ainsi que sur les différentes sources d’informations qui lui sont</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soumises concernant la nature, la structure, l’organisation, les activités et les méthodes de ladite</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organisation, le Conseil estime qu’il n’est pas permis de considérer que le PKK est une organisation terroriste.</w:t>
                    </w:r>
                    <w:r w:rsidR="00B529DD" w:rsidRPr="00A96EE8">
                      <w:rPr>
                        <w:rFonts w:eastAsia="MS Mincho"/>
                        <w:color w:val="000000"/>
                        <w:lang w:val="fr-FR"/>
                      </w:rPr>
                      <w:t>‬</w:t>
                    </w:r>
                    <w:r w:rsidR="00B529DD" w:rsidRPr="00A96EE8">
                      <w:rPr>
                        <w:color w:val="000000"/>
                        <w:lang w:val="fr-FR"/>
                      </w:rPr>
                      <w:t xml:space="preserve"> Le Conseil n’écarte pas l’idée qu’une autre clause d’exclusion puisse trouver à s’appliquer </w:t>
                    </w:r>
                    <w:r w:rsidR="00B529DD" w:rsidRPr="00A96EE8">
                      <w:rPr>
                        <w:i/>
                        <w:iCs/>
                        <w:color w:val="000000"/>
                        <w:lang w:val="fr-FR"/>
                      </w:rPr>
                      <w:t xml:space="preserve">in </w:t>
                    </w:r>
                    <w:proofErr w:type="spellStart"/>
                    <w:r w:rsidR="00B529DD" w:rsidRPr="00A96EE8">
                      <w:rPr>
                        <w:i/>
                        <w:iCs/>
                        <w:color w:val="000000"/>
                        <w:lang w:val="fr-FR"/>
                      </w:rPr>
                      <w:t>casu</w:t>
                    </w:r>
                    <w:proofErr w:type="spellEnd"/>
                    <w:r w:rsidR="00B529DD" w:rsidRPr="00A96EE8">
                      <w:rPr>
                        <w:rFonts w:eastAsia="MS Mincho"/>
                        <w:color w:val="000000"/>
                        <w:lang w:val="fr-FR"/>
                      </w:rPr>
                      <w:t>‬</w:t>
                    </w:r>
                    <w:r w:rsidR="00B529DD" w:rsidRPr="00A96EE8">
                      <w:rPr>
                        <w:color w:val="000000"/>
                        <w:lang w:val="fr-FR"/>
                      </w:rPr>
                      <w:t>. Il annule la décision attaquée afin de permettre au Commissariat général d’examiner s’il existe</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des raisons sérieuses de penser que la responsabilité individuelle du requérant est engagée dans</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d’éventuels crimes de guerre qu’aurait commis le PKK, au sens de l’article 1</w:t>
                        </w:r>
                        <w:r w:rsidR="00B529DD" w:rsidRPr="00A96EE8">
                          <w:rPr>
                            <w:color w:val="000000"/>
                            <w:vertAlign w:val="superscript"/>
                            <w:lang w:val="fr-FR"/>
                          </w:rPr>
                          <w:t>er</w:t>
                        </w:r>
                        <w:r w:rsidR="00B529DD" w:rsidRPr="00A96EE8">
                          <w:rPr>
                            <w:color w:val="000000"/>
                            <w:lang w:val="fr-FR"/>
                          </w:rPr>
                          <w:t>, F, a, de la Convention</w:t>
                        </w:r>
                        <w:r w:rsidR="00B529DD" w:rsidRPr="00A96EE8">
                          <w:rPr>
                            <w:rFonts w:eastAsia="MS Mincho"/>
                            <w:color w:val="000000"/>
                            <w:lang w:val="fr-FR"/>
                          </w:rPr>
                          <w:t>‬</w:t>
                        </w:r>
                        <w:r w:rsidR="00B529DD" w:rsidRPr="00A96EE8">
                          <w:rPr>
                            <w:color w:val="000000"/>
                            <w:lang w:val="fr-FR"/>
                          </w:rPr>
                          <w:t xml:space="preserve"> </w:t>
                        </w:r>
                        <w:dir w:val="ltr">
                          <w:r w:rsidR="00B529DD" w:rsidRPr="00A96EE8">
                            <w:rPr>
                              <w:color w:val="000000"/>
                              <w:lang w:val="fr-FR"/>
                            </w:rPr>
                            <w:t>de Genève</w:t>
                          </w:r>
                          <w:r w:rsidR="00B529DD" w:rsidRPr="00A96EE8">
                            <w:rPr>
                              <w:color w:val="000000"/>
                              <w:lang w:val="fr-FR"/>
                            </w:rPr>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 (</w:t>
                          </w:r>
                          <w:r w:rsidR="00B529DD" w:rsidRPr="00A96EE8">
                            <w:rPr>
                              <w:color w:val="000000"/>
                              <w:lang w:val="fr-FR"/>
                            </w:rPr>
                            <w:t xml:space="preserve">Conseil du Contentieux des Étrangers, 20 mai 2022, </w:t>
                          </w:r>
                          <w:r w:rsidR="00B529DD" w:rsidRPr="00A96EE8">
                            <w:rPr>
                              <w:i/>
                              <w:iCs/>
                              <w:color w:val="000000"/>
                              <w:lang w:val="fr-FR"/>
                            </w:rPr>
                            <w:t>R.D.E.</w:t>
                          </w:r>
                          <w:r w:rsidR="00B529DD" w:rsidRPr="00A96EE8">
                            <w:rPr>
                              <w:color w:val="000000"/>
                              <w:lang w:val="fr-FR"/>
                            </w:rPr>
                            <w:t>, 2022/2, n° 214, p. 100).</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rsidRPr="00A96EE8">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rsidR="00B529DD">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dir>
    </w:p>
    <w:p w14:paraId="6B0DC4F9" w14:textId="77777777" w:rsidR="00B529DD" w:rsidRPr="00A96EE8" w:rsidRDefault="00B529DD" w:rsidP="001D1A8B">
      <w:pPr>
        <w:jc w:val="both"/>
      </w:pPr>
    </w:p>
    <w:p w14:paraId="0A4A6365" w14:textId="77777777" w:rsidR="00B529DD" w:rsidRPr="00A96EE8" w:rsidRDefault="00B529DD" w:rsidP="001D1A8B">
      <w:pPr>
        <w:jc w:val="both"/>
        <w:rPr>
          <w:b/>
          <w:bCs/>
        </w:rPr>
      </w:pPr>
      <w:r w:rsidRPr="00A96EE8">
        <w:rPr>
          <w:b/>
          <w:bCs/>
        </w:rPr>
        <w:t xml:space="preserve">Mesure de détention – Prolongation – Légalité de la décision de prolongation – Pas de nouvelle mesure de détention indépendante – Examen par les juridictions d’instruction </w:t>
      </w:r>
    </w:p>
    <w:p w14:paraId="62D3D28F" w14:textId="77777777" w:rsidR="00B529DD" w:rsidRPr="00A96EE8" w:rsidRDefault="00B529DD" w:rsidP="001D1A8B">
      <w:pPr>
        <w:jc w:val="both"/>
      </w:pPr>
    </w:p>
    <w:p w14:paraId="7341B2FB" w14:textId="77777777" w:rsidR="00B529DD" w:rsidRPr="00A96EE8" w:rsidRDefault="00B529DD" w:rsidP="001D1A8B">
      <w:pPr>
        <w:jc w:val="both"/>
      </w:pPr>
      <w:r w:rsidRPr="00A96EE8">
        <w:lastRenderedPageBreak/>
        <w:t xml:space="preserve">Dans cet arrêt, sont joints les pourvois interjetés contre deux décisions rendues par la chambre des mises en accusation de Gand. La Cour de </w:t>
      </w:r>
      <w:r>
        <w:t>c</w:t>
      </w:r>
      <w:r w:rsidRPr="00A96EE8">
        <w:t>assation rappelle que lorsque la juridiction d’instruction connaît de l’appel formé par une personne étrangère en vertu de l’article 71, § 1</w:t>
      </w:r>
      <w:r w:rsidRPr="00A96EE8">
        <w:rPr>
          <w:vertAlign w:val="superscript"/>
        </w:rPr>
        <w:t>er</w:t>
      </w:r>
      <w:r w:rsidRPr="00A96EE8">
        <w:t>, de la loi du 15 décembre 1980 contre une mesure privative de liberté, à un moment où la durée de validité de cette mesure prorogée, le cas échéant, a expiré, mais qu’une nouvelle décision de prorogation a été prise, elle doit vérifier la régularité de la première décision de prorogation lors de l’appréciation de la légalité de la détention. Une nouvelle décision de prolongation d’une mesure privative de liberté ne constitue toutefois pas une nouvelle mesure privative de liberté indépendante, de sorte que, dans ce cas, la juridiction d’instruction reste tenue de vérifier également la légalité de la mesure ainsi prolongée (Cass. (2</w:t>
      </w:r>
      <w:r w:rsidRPr="00A96EE8">
        <w:rPr>
          <w:vertAlign w:val="superscript"/>
        </w:rPr>
        <w:t>e</w:t>
      </w:r>
      <w:r w:rsidRPr="00A96EE8">
        <w:t xml:space="preserve"> ch.), 13 septembre 2022, R.G. P.22.1120.N et P.22.1164.N, </w:t>
      </w:r>
      <w:r w:rsidRPr="00A96EE8">
        <w:rPr>
          <w:i/>
          <w:iCs/>
        </w:rPr>
        <w:t>Pas.</w:t>
      </w:r>
      <w:r w:rsidRPr="00A96EE8">
        <w:t>, à sa date).</w:t>
      </w:r>
    </w:p>
    <w:p w14:paraId="2E4FD728" w14:textId="148815AD" w:rsidR="00B529DD" w:rsidRDefault="00B529DD" w:rsidP="001D1A8B">
      <w:pPr>
        <w:pStyle w:val="paragraph"/>
        <w:spacing w:before="0" w:beforeAutospacing="0" w:after="0" w:afterAutospacing="0"/>
        <w:jc w:val="both"/>
        <w:textAlignment w:val="baseline"/>
        <w:rPr>
          <w:rFonts w:asciiTheme="majorBidi" w:hAnsiTheme="majorBidi" w:cstheme="majorBidi"/>
          <w:b/>
          <w:bCs/>
          <w:i/>
          <w:iCs/>
          <w:highlight w:val="yellow"/>
        </w:rPr>
      </w:pPr>
    </w:p>
    <w:p w14:paraId="43B438DB" w14:textId="77777777" w:rsidR="005303FF" w:rsidRDefault="005303FF" w:rsidP="001D1A8B">
      <w:pPr>
        <w:pStyle w:val="paragraph"/>
        <w:spacing w:before="0" w:beforeAutospacing="0" w:after="0" w:afterAutospacing="0"/>
        <w:jc w:val="both"/>
        <w:textAlignment w:val="baseline"/>
        <w:rPr>
          <w:rFonts w:asciiTheme="majorBidi" w:hAnsiTheme="majorBidi" w:cstheme="majorBidi"/>
          <w:b/>
          <w:bCs/>
          <w:i/>
          <w:iCs/>
          <w:highlight w:val="yellow"/>
        </w:rPr>
      </w:pPr>
    </w:p>
    <w:p w14:paraId="508A9BEE" w14:textId="0ABA2A84" w:rsidR="00A148F4" w:rsidRPr="00B529DD" w:rsidRDefault="00A148F4" w:rsidP="001D1A8B">
      <w:pPr>
        <w:pStyle w:val="paragraph"/>
        <w:spacing w:before="0" w:beforeAutospacing="0" w:after="0" w:afterAutospacing="0"/>
        <w:jc w:val="both"/>
        <w:textAlignment w:val="baseline"/>
        <w:rPr>
          <w:rFonts w:asciiTheme="majorBidi" w:hAnsiTheme="majorBidi" w:cstheme="majorBidi"/>
          <w:i/>
          <w:iCs/>
        </w:rPr>
      </w:pPr>
      <w:r w:rsidRPr="00B529DD">
        <w:rPr>
          <w:rFonts w:asciiTheme="majorBidi" w:hAnsiTheme="majorBidi" w:cstheme="majorBidi"/>
          <w:i/>
          <w:iCs/>
        </w:rPr>
        <w:t>EUTHANASIE</w:t>
      </w:r>
    </w:p>
    <w:p w14:paraId="4BB975E5" w14:textId="024081BA" w:rsidR="00A148F4" w:rsidRPr="00587BF0" w:rsidRDefault="00A148F4" w:rsidP="001D1A8B">
      <w:pPr>
        <w:pStyle w:val="paragraph"/>
        <w:spacing w:before="0" w:beforeAutospacing="0" w:after="0" w:afterAutospacing="0"/>
        <w:jc w:val="both"/>
        <w:textAlignment w:val="baseline"/>
        <w:rPr>
          <w:rFonts w:asciiTheme="majorBidi" w:hAnsiTheme="majorBidi" w:cstheme="majorBidi"/>
          <w:b/>
          <w:bCs/>
          <w:highlight w:val="yellow"/>
        </w:rPr>
      </w:pPr>
    </w:p>
    <w:p w14:paraId="1F3BA829" w14:textId="551DB078" w:rsidR="005A0A6A" w:rsidRPr="00587BF0" w:rsidRDefault="005A0A6A" w:rsidP="001D1A8B">
      <w:pPr>
        <w:autoSpaceDE w:val="0"/>
        <w:autoSpaceDN w:val="0"/>
        <w:adjustRightInd w:val="0"/>
        <w:jc w:val="both"/>
        <w:rPr>
          <w:rFonts w:asciiTheme="majorBidi" w:hAnsiTheme="majorBidi" w:cstheme="majorBidi"/>
          <w:b/>
          <w:bCs/>
        </w:rPr>
      </w:pPr>
      <w:r w:rsidRPr="00587BF0">
        <w:rPr>
          <w:rFonts w:asciiTheme="majorBidi" w:hAnsiTheme="majorBidi" w:cstheme="majorBidi"/>
          <w:b/>
          <w:bCs/>
        </w:rPr>
        <w:t xml:space="preserve">Euthanasie – </w:t>
      </w:r>
      <w:r w:rsidR="007A5E6A">
        <w:rPr>
          <w:rFonts w:asciiTheme="majorBidi" w:hAnsiTheme="majorBidi" w:cstheme="majorBidi"/>
          <w:b/>
          <w:bCs/>
        </w:rPr>
        <w:t xml:space="preserve">Droit à la vie </w:t>
      </w:r>
      <w:r w:rsidR="00304303">
        <w:rPr>
          <w:rFonts w:asciiTheme="majorBidi" w:hAnsiTheme="majorBidi" w:cstheme="majorBidi"/>
          <w:b/>
          <w:bCs/>
        </w:rPr>
        <w:t>–</w:t>
      </w:r>
      <w:r w:rsidR="007A5E6A">
        <w:rPr>
          <w:rFonts w:asciiTheme="majorBidi" w:hAnsiTheme="majorBidi" w:cstheme="majorBidi"/>
          <w:b/>
          <w:bCs/>
        </w:rPr>
        <w:t xml:space="preserve"> </w:t>
      </w:r>
      <w:r w:rsidRPr="00587BF0">
        <w:rPr>
          <w:rFonts w:asciiTheme="majorBidi" w:hAnsiTheme="majorBidi" w:cstheme="majorBidi"/>
          <w:b/>
          <w:bCs/>
        </w:rPr>
        <w:t>Art</w:t>
      </w:r>
      <w:r w:rsidR="00CE0657">
        <w:rPr>
          <w:rFonts w:asciiTheme="majorBidi" w:hAnsiTheme="majorBidi" w:cstheme="majorBidi"/>
          <w:b/>
          <w:bCs/>
        </w:rPr>
        <w:t>.</w:t>
      </w:r>
      <w:r w:rsidRPr="00587BF0">
        <w:rPr>
          <w:rFonts w:asciiTheme="majorBidi" w:hAnsiTheme="majorBidi" w:cstheme="majorBidi"/>
          <w:b/>
          <w:bCs/>
        </w:rPr>
        <w:t xml:space="preserve"> 2 CEDH (Violation) – Dépénalisation </w:t>
      </w:r>
      <w:r w:rsidR="00304303">
        <w:rPr>
          <w:rFonts w:asciiTheme="majorBidi" w:hAnsiTheme="majorBidi" w:cstheme="majorBidi"/>
          <w:b/>
          <w:bCs/>
        </w:rPr>
        <w:t>–</w:t>
      </w:r>
      <w:r w:rsidRPr="00587BF0">
        <w:rPr>
          <w:rFonts w:asciiTheme="majorBidi" w:hAnsiTheme="majorBidi" w:cstheme="majorBidi"/>
          <w:b/>
          <w:bCs/>
        </w:rPr>
        <w:t xml:space="preserve"> Conditions de procédure </w:t>
      </w:r>
      <w:r w:rsidR="00304303">
        <w:rPr>
          <w:rFonts w:asciiTheme="majorBidi" w:hAnsiTheme="majorBidi" w:cstheme="majorBidi"/>
          <w:b/>
          <w:bCs/>
        </w:rPr>
        <w:t>–</w:t>
      </w:r>
      <w:r w:rsidR="007A5E6A">
        <w:rPr>
          <w:rFonts w:asciiTheme="majorBidi" w:hAnsiTheme="majorBidi" w:cstheme="majorBidi"/>
          <w:b/>
          <w:bCs/>
        </w:rPr>
        <w:t xml:space="preserve"> </w:t>
      </w:r>
      <w:r w:rsidRPr="00587BF0">
        <w:rPr>
          <w:rFonts w:asciiTheme="majorBidi" w:hAnsiTheme="majorBidi" w:cstheme="majorBidi"/>
          <w:b/>
          <w:bCs/>
        </w:rPr>
        <w:t xml:space="preserve">Contrôle </w:t>
      </w:r>
      <w:r w:rsidR="00304303">
        <w:rPr>
          <w:rFonts w:asciiTheme="majorBidi" w:hAnsiTheme="majorBidi" w:cstheme="majorBidi"/>
          <w:b/>
          <w:bCs/>
        </w:rPr>
        <w:t xml:space="preserve">de la </w:t>
      </w:r>
      <w:r w:rsidRPr="00587BF0">
        <w:rPr>
          <w:rFonts w:asciiTheme="majorBidi" w:hAnsiTheme="majorBidi" w:cstheme="majorBidi"/>
          <w:b/>
          <w:bCs/>
        </w:rPr>
        <w:t xml:space="preserve">Commission – Enquête pénale effective </w:t>
      </w:r>
    </w:p>
    <w:p w14:paraId="7FBD60E8" w14:textId="77777777" w:rsidR="005A0A6A" w:rsidRPr="00587BF0" w:rsidRDefault="005A0A6A" w:rsidP="001D1A8B">
      <w:pPr>
        <w:pStyle w:val="paragraph"/>
        <w:spacing w:before="0" w:beforeAutospacing="0" w:after="0" w:afterAutospacing="0"/>
        <w:jc w:val="both"/>
        <w:textAlignment w:val="baseline"/>
        <w:rPr>
          <w:rFonts w:asciiTheme="majorBidi" w:hAnsiTheme="majorBidi" w:cstheme="majorBidi"/>
          <w:b/>
          <w:bCs/>
          <w:highlight w:val="yellow"/>
        </w:rPr>
      </w:pPr>
    </w:p>
    <w:p w14:paraId="09C56398" w14:textId="4984C168" w:rsidR="00DD1529" w:rsidRPr="00587BF0" w:rsidRDefault="00C345A9" w:rsidP="001D1A8B">
      <w:pPr>
        <w:autoSpaceDE w:val="0"/>
        <w:autoSpaceDN w:val="0"/>
        <w:adjustRightInd w:val="0"/>
        <w:jc w:val="both"/>
        <w:rPr>
          <w:rFonts w:asciiTheme="majorBidi" w:hAnsiTheme="majorBidi" w:cstheme="majorBidi"/>
          <w:lang w:val="fr-FR"/>
        </w:rPr>
      </w:pPr>
      <w:r w:rsidRPr="00587BF0">
        <w:rPr>
          <w:rFonts w:asciiTheme="majorBidi" w:hAnsiTheme="majorBidi" w:cstheme="majorBidi"/>
        </w:rPr>
        <w:t xml:space="preserve">L’affaire concerne l’euthanasie de la mère du requérant, pratiquée à l’insu de celui-ci et de sa sœur. Informé le lendemain par l’hôpital de l’euthanasie de sa mère, le requérant estime qu’il </w:t>
      </w:r>
      <w:r w:rsidR="0050286C" w:rsidRPr="004E2F5E">
        <w:rPr>
          <w:rFonts w:asciiTheme="majorBidi" w:hAnsiTheme="majorBidi" w:cstheme="majorBidi"/>
          <w:color w:val="000000" w:themeColor="text1"/>
        </w:rPr>
        <w:t xml:space="preserve">n’a </w:t>
      </w:r>
      <w:r w:rsidRPr="00587BF0">
        <w:rPr>
          <w:rFonts w:asciiTheme="majorBidi" w:hAnsiTheme="majorBidi" w:cstheme="majorBidi"/>
        </w:rPr>
        <w:t xml:space="preserve">pas eu la possibilité de </w:t>
      </w:r>
      <w:r w:rsidR="00DD1529" w:rsidRPr="00587BF0">
        <w:rPr>
          <w:rFonts w:asciiTheme="majorBidi" w:hAnsiTheme="majorBidi" w:cstheme="majorBidi"/>
        </w:rPr>
        <w:t xml:space="preserve">lui </w:t>
      </w:r>
      <w:r w:rsidRPr="00587BF0">
        <w:rPr>
          <w:rFonts w:asciiTheme="majorBidi" w:hAnsiTheme="majorBidi" w:cstheme="majorBidi"/>
        </w:rPr>
        <w:t>dire adieu, ce qui fut à l’origine de son deuil pathologique.</w:t>
      </w:r>
      <w:r w:rsidR="00DD1529" w:rsidRPr="00587BF0">
        <w:rPr>
          <w:rFonts w:asciiTheme="majorBidi" w:hAnsiTheme="majorBidi" w:cstheme="majorBidi"/>
        </w:rPr>
        <w:t xml:space="preserve"> Il déposa une plainte contre X auprès du procureur du Roi qui fut classée sans suite. </w:t>
      </w:r>
      <w:r w:rsidR="00DE280C" w:rsidRPr="00587BF0">
        <w:rPr>
          <w:rFonts w:asciiTheme="majorBidi" w:hAnsiTheme="majorBidi" w:cstheme="majorBidi"/>
        </w:rPr>
        <w:t>Par la suite, u</w:t>
      </w:r>
      <w:r w:rsidR="00DD1529" w:rsidRPr="00587BF0">
        <w:rPr>
          <w:rFonts w:asciiTheme="majorBidi" w:hAnsiTheme="majorBidi" w:cstheme="majorBidi"/>
        </w:rPr>
        <w:t>ne instruction fut ouverte qui déboucha sur une ordonnance de non-lieu. Invoquant l’article 2 de la Convention européenne des droits de l’homme, le requérant allègue que l’État belge a failli à ses obligations positives de protéger la vie de sa mère dans la mesure où la procédure prévue par la loi relative à l’euthanasie n’aurait pas été respectée. Sa mère n’aurait pas été pas dans une situation médicale sans issue et ses souffrances n’auraient pas été telles</w:t>
      </w:r>
      <w:r w:rsidR="00DE280C" w:rsidRPr="00587BF0">
        <w:rPr>
          <w:rFonts w:asciiTheme="majorBidi" w:hAnsiTheme="majorBidi" w:cstheme="majorBidi"/>
        </w:rPr>
        <w:t xml:space="preserve"> </w:t>
      </w:r>
      <w:r w:rsidR="00DD1529" w:rsidRPr="00587BF0">
        <w:rPr>
          <w:rFonts w:asciiTheme="majorBidi" w:hAnsiTheme="majorBidi" w:cstheme="majorBidi"/>
        </w:rPr>
        <w:t>qu’elles ne pouvaient être soulagées</w:t>
      </w:r>
      <w:r w:rsidR="000A7AC5" w:rsidRPr="00587BF0">
        <w:rPr>
          <w:rFonts w:asciiTheme="majorBidi" w:hAnsiTheme="majorBidi" w:cstheme="majorBidi"/>
        </w:rPr>
        <w:t xml:space="preserve"> autrement</w:t>
      </w:r>
      <w:r w:rsidR="00DD1529" w:rsidRPr="00587BF0">
        <w:rPr>
          <w:rFonts w:asciiTheme="majorBidi" w:hAnsiTheme="majorBidi" w:cstheme="majorBidi"/>
        </w:rPr>
        <w:t xml:space="preserve">. Invoquant l’article 13 de la Convention, il se plaint également de l’absence d’enquête approfondie et effective sur les faits qu’il </w:t>
      </w:r>
      <w:r w:rsidR="00DE280C" w:rsidRPr="00587BF0">
        <w:rPr>
          <w:rFonts w:asciiTheme="majorBidi" w:hAnsiTheme="majorBidi" w:cstheme="majorBidi"/>
        </w:rPr>
        <w:t>dénonce</w:t>
      </w:r>
      <w:r w:rsidR="00DD1529" w:rsidRPr="00587BF0">
        <w:rPr>
          <w:rFonts w:asciiTheme="majorBidi" w:hAnsiTheme="majorBidi" w:cstheme="majorBidi"/>
        </w:rPr>
        <w:t xml:space="preserve">. Une enquête </w:t>
      </w:r>
      <w:r w:rsidR="00DE280C" w:rsidRPr="00587BF0">
        <w:rPr>
          <w:rFonts w:asciiTheme="majorBidi" w:hAnsiTheme="majorBidi" w:cstheme="majorBidi"/>
        </w:rPr>
        <w:t>aurait dû</w:t>
      </w:r>
      <w:r w:rsidR="00DD1529" w:rsidRPr="00587BF0">
        <w:rPr>
          <w:rFonts w:asciiTheme="majorBidi" w:hAnsiTheme="majorBidi" w:cstheme="majorBidi"/>
        </w:rPr>
        <w:t xml:space="preserve"> être menée par des personnes indépendantes de celles qui étaient impliquées dans les événements concernés. Or</w:t>
      </w:r>
      <w:r w:rsidR="00DE280C" w:rsidRPr="00587BF0">
        <w:rPr>
          <w:rFonts w:asciiTheme="majorBidi" w:hAnsiTheme="majorBidi" w:cstheme="majorBidi"/>
        </w:rPr>
        <w:t>,</w:t>
      </w:r>
      <w:r w:rsidR="00DD1529" w:rsidRPr="00587BF0">
        <w:rPr>
          <w:rFonts w:asciiTheme="majorBidi" w:hAnsiTheme="majorBidi" w:cstheme="majorBidi"/>
        </w:rPr>
        <w:t xml:space="preserve"> tel n’aurait pas été le cas puisque le médecin ayant procédé à l’euthanasie de sa mère était le coprésident de la </w:t>
      </w:r>
      <w:r w:rsidR="009F0101" w:rsidRPr="00587BF0">
        <w:rPr>
          <w:rFonts w:asciiTheme="majorBidi" w:hAnsiTheme="majorBidi" w:cstheme="majorBidi"/>
        </w:rPr>
        <w:t>C</w:t>
      </w:r>
      <w:r w:rsidR="00DD1529" w:rsidRPr="00587BF0">
        <w:rPr>
          <w:rFonts w:asciiTheme="majorBidi" w:hAnsiTheme="majorBidi" w:cstheme="majorBidi"/>
        </w:rPr>
        <w:t xml:space="preserve">ommission </w:t>
      </w:r>
      <w:r w:rsidR="009F0101" w:rsidRPr="00587BF0">
        <w:rPr>
          <w:rFonts w:asciiTheme="majorBidi" w:hAnsiTheme="majorBidi" w:cstheme="majorBidi"/>
          <w:lang w:val="fr-FR"/>
        </w:rPr>
        <w:t xml:space="preserve">fédérale de contrôle et d’évaluation de l’euthanasie (ci-après « la Commission ») </w:t>
      </w:r>
      <w:r w:rsidR="00DD1529" w:rsidRPr="00587BF0">
        <w:rPr>
          <w:rFonts w:asciiTheme="majorBidi" w:hAnsiTheme="majorBidi" w:cstheme="majorBidi"/>
        </w:rPr>
        <w:t xml:space="preserve">chargée d’établir si l’acte en question avait respecté les prescrits </w:t>
      </w:r>
      <w:r w:rsidR="00404444" w:rsidRPr="00587BF0">
        <w:rPr>
          <w:rFonts w:asciiTheme="majorBidi" w:hAnsiTheme="majorBidi" w:cstheme="majorBidi"/>
        </w:rPr>
        <w:t>légaux</w:t>
      </w:r>
      <w:r w:rsidR="00DD1529" w:rsidRPr="00587BF0">
        <w:rPr>
          <w:rFonts w:asciiTheme="majorBidi" w:hAnsiTheme="majorBidi" w:cstheme="majorBidi"/>
        </w:rPr>
        <w:t>.</w:t>
      </w:r>
    </w:p>
    <w:p w14:paraId="14A67771" w14:textId="748A8626" w:rsidR="00DD1529" w:rsidRPr="00587BF0" w:rsidRDefault="00DD1529" w:rsidP="001D1A8B">
      <w:pPr>
        <w:autoSpaceDE w:val="0"/>
        <w:autoSpaceDN w:val="0"/>
        <w:adjustRightInd w:val="0"/>
        <w:jc w:val="both"/>
        <w:rPr>
          <w:rFonts w:asciiTheme="majorBidi" w:hAnsiTheme="majorBidi" w:cstheme="majorBidi"/>
        </w:rPr>
      </w:pPr>
    </w:p>
    <w:p w14:paraId="0FEA1A92" w14:textId="1A503ACB" w:rsidR="00DD1529" w:rsidRPr="00587BF0" w:rsidRDefault="00DD1529" w:rsidP="001D1A8B">
      <w:pPr>
        <w:autoSpaceDE w:val="0"/>
        <w:autoSpaceDN w:val="0"/>
        <w:adjustRightInd w:val="0"/>
        <w:jc w:val="both"/>
        <w:rPr>
          <w:rFonts w:asciiTheme="majorBidi" w:hAnsiTheme="majorBidi" w:cstheme="majorBidi"/>
        </w:rPr>
      </w:pPr>
      <w:r w:rsidRPr="00587BF0">
        <w:rPr>
          <w:rFonts w:asciiTheme="majorBidi" w:hAnsiTheme="majorBidi" w:cstheme="majorBidi"/>
        </w:rPr>
        <w:t xml:space="preserve">La Cour </w:t>
      </w:r>
      <w:r w:rsidRPr="00587BF0">
        <w:rPr>
          <w:rFonts w:asciiTheme="majorBidi" w:hAnsiTheme="majorBidi" w:cstheme="majorBidi"/>
          <w:lang w:val="fr-FR"/>
        </w:rPr>
        <w:t xml:space="preserve">estime que, s’il n’est pas possible de déduire de l’article 2 de la Convention un droit de mourir, le droit à la vie consacré par cette disposition ne saurait être interprété comme interdisant en soi la « dépénalisation » conditionnelle de l’euthanasie, mais pour être </w:t>
      </w:r>
      <w:r w:rsidRPr="00587BF0">
        <w:rPr>
          <w:rFonts w:asciiTheme="majorBidi" w:hAnsiTheme="majorBidi" w:cstheme="majorBidi"/>
        </w:rPr>
        <w:t xml:space="preserve">compatible </w:t>
      </w:r>
      <w:r w:rsidRPr="00587BF0">
        <w:rPr>
          <w:rFonts w:asciiTheme="majorBidi" w:hAnsiTheme="majorBidi" w:cstheme="majorBidi"/>
          <w:lang w:val="fr-FR"/>
        </w:rPr>
        <w:t xml:space="preserve">avec ledit article, </w:t>
      </w:r>
      <w:r w:rsidRPr="00587BF0">
        <w:rPr>
          <w:rFonts w:asciiTheme="majorBidi" w:hAnsiTheme="majorBidi" w:cstheme="majorBidi"/>
        </w:rPr>
        <w:t xml:space="preserve">la « dépénalisation » de l’euthanasie doit être encadrée par la mise en place de garanties adéquates et suffisantes visant à éviter les abus et, ainsi, à assurer le respect du droit à la vie. </w:t>
      </w:r>
      <w:r w:rsidR="00DE280C" w:rsidRPr="00587BF0">
        <w:rPr>
          <w:rFonts w:asciiTheme="majorBidi" w:hAnsiTheme="majorBidi" w:cstheme="majorBidi"/>
        </w:rPr>
        <w:t>Après avoir relevé que la loi relative à l’euthanasie du 28 mai 2022 a fait l’objet de plusieurs contrôles par les instances supérieures, tant a priori, par le Conseil d’État qu’a posteriori, par la Cour constitutionnelle, e</w:t>
      </w:r>
      <w:r w:rsidRPr="00587BF0">
        <w:rPr>
          <w:rFonts w:asciiTheme="majorBidi" w:hAnsiTheme="majorBidi" w:cstheme="majorBidi"/>
        </w:rPr>
        <w:t>lle considère</w:t>
      </w:r>
      <w:r w:rsidR="00DE280C" w:rsidRPr="00587BF0">
        <w:rPr>
          <w:rFonts w:asciiTheme="majorBidi" w:hAnsiTheme="majorBidi" w:cstheme="majorBidi"/>
        </w:rPr>
        <w:t>,</w:t>
      </w:r>
      <w:r w:rsidRPr="00587BF0">
        <w:rPr>
          <w:rFonts w:asciiTheme="majorBidi" w:hAnsiTheme="majorBidi" w:cstheme="majorBidi"/>
        </w:rPr>
        <w:t xml:space="preserve"> qu’en ce qui</w:t>
      </w:r>
      <w:r w:rsidR="00DE280C" w:rsidRPr="00587BF0">
        <w:rPr>
          <w:rFonts w:asciiTheme="majorBidi" w:hAnsiTheme="majorBidi" w:cstheme="majorBidi"/>
        </w:rPr>
        <w:t xml:space="preserve"> </w:t>
      </w:r>
      <w:r w:rsidRPr="00587BF0">
        <w:rPr>
          <w:rFonts w:asciiTheme="majorBidi" w:hAnsiTheme="majorBidi" w:cstheme="majorBidi"/>
        </w:rPr>
        <w:t>concerne les actes et la procédure préalables à l’euthanasie, les dispositions</w:t>
      </w:r>
      <w:r w:rsidR="00DE280C" w:rsidRPr="00587BF0">
        <w:rPr>
          <w:rFonts w:asciiTheme="majorBidi" w:hAnsiTheme="majorBidi" w:cstheme="majorBidi"/>
        </w:rPr>
        <w:t xml:space="preserve"> </w:t>
      </w:r>
      <w:r w:rsidRPr="00587BF0">
        <w:rPr>
          <w:rFonts w:asciiTheme="majorBidi" w:hAnsiTheme="majorBidi" w:cstheme="majorBidi"/>
        </w:rPr>
        <w:t>de la loi belge constituent en principe un cadre législatif</w:t>
      </w:r>
      <w:r w:rsidR="00DE280C" w:rsidRPr="00587BF0">
        <w:rPr>
          <w:rFonts w:asciiTheme="majorBidi" w:hAnsiTheme="majorBidi" w:cstheme="majorBidi"/>
        </w:rPr>
        <w:t xml:space="preserve"> </w:t>
      </w:r>
      <w:r w:rsidRPr="00587BF0">
        <w:rPr>
          <w:rFonts w:asciiTheme="majorBidi" w:hAnsiTheme="majorBidi" w:cstheme="majorBidi"/>
        </w:rPr>
        <w:t>propre à assurer la protection du droit à la vie des patients tel qu’exigé par</w:t>
      </w:r>
      <w:r w:rsidR="00DE280C" w:rsidRPr="00587BF0">
        <w:rPr>
          <w:rFonts w:asciiTheme="majorBidi" w:hAnsiTheme="majorBidi" w:cstheme="majorBidi"/>
        </w:rPr>
        <w:t xml:space="preserve"> l</w:t>
      </w:r>
      <w:r w:rsidRPr="00587BF0">
        <w:rPr>
          <w:rFonts w:asciiTheme="majorBidi" w:hAnsiTheme="majorBidi" w:cstheme="majorBidi"/>
        </w:rPr>
        <w:t>’article 2 de la Convention.</w:t>
      </w:r>
    </w:p>
    <w:p w14:paraId="457E26D1" w14:textId="13A40BC0" w:rsidR="00DE280C" w:rsidRPr="00587BF0" w:rsidRDefault="00DE280C" w:rsidP="001D1A8B">
      <w:pPr>
        <w:autoSpaceDE w:val="0"/>
        <w:autoSpaceDN w:val="0"/>
        <w:adjustRightInd w:val="0"/>
        <w:jc w:val="both"/>
        <w:rPr>
          <w:rFonts w:asciiTheme="majorBidi" w:hAnsiTheme="majorBidi" w:cstheme="majorBidi"/>
        </w:rPr>
      </w:pPr>
    </w:p>
    <w:p w14:paraId="77996D17" w14:textId="532A52EF" w:rsidR="00DE280C" w:rsidRPr="00587BF0" w:rsidRDefault="00DE280C" w:rsidP="001D1A8B">
      <w:pPr>
        <w:autoSpaceDE w:val="0"/>
        <w:autoSpaceDN w:val="0"/>
        <w:adjustRightInd w:val="0"/>
        <w:jc w:val="both"/>
        <w:rPr>
          <w:rFonts w:asciiTheme="majorBidi" w:hAnsiTheme="majorBidi" w:cstheme="majorBidi"/>
        </w:rPr>
      </w:pPr>
      <w:r w:rsidRPr="00587BF0">
        <w:rPr>
          <w:rFonts w:asciiTheme="majorBidi" w:hAnsiTheme="majorBidi" w:cstheme="majorBidi"/>
        </w:rPr>
        <w:t xml:space="preserve">Deux contrôles ont eu lieu pour vérifier si l’euthanasie de la mère du requérant avait été pratiquée conformément à la loi : le contrôle automatique effectué par la </w:t>
      </w:r>
      <w:r w:rsidR="009F0101" w:rsidRPr="00587BF0">
        <w:rPr>
          <w:rFonts w:asciiTheme="majorBidi" w:hAnsiTheme="majorBidi" w:cstheme="majorBidi"/>
        </w:rPr>
        <w:t>C</w:t>
      </w:r>
      <w:r w:rsidRPr="00587BF0">
        <w:rPr>
          <w:rFonts w:asciiTheme="majorBidi" w:hAnsiTheme="majorBidi" w:cstheme="majorBidi"/>
        </w:rPr>
        <w:t>ommission, puis l’enquête pénale ouverte à la suite de la plainte déposée par le requérant.</w:t>
      </w:r>
    </w:p>
    <w:p w14:paraId="53FAFC46" w14:textId="77777777" w:rsidR="00DE280C" w:rsidRPr="00587BF0" w:rsidRDefault="00DE280C" w:rsidP="001D1A8B">
      <w:pPr>
        <w:autoSpaceDE w:val="0"/>
        <w:autoSpaceDN w:val="0"/>
        <w:adjustRightInd w:val="0"/>
        <w:jc w:val="both"/>
        <w:rPr>
          <w:rFonts w:asciiTheme="majorBidi" w:hAnsiTheme="majorBidi" w:cstheme="majorBidi"/>
        </w:rPr>
      </w:pPr>
    </w:p>
    <w:p w14:paraId="68B6FC3C" w14:textId="12EC3DBD" w:rsidR="00DE280C" w:rsidRPr="00587BF0" w:rsidRDefault="00DE280C" w:rsidP="001D1A8B">
      <w:pPr>
        <w:autoSpaceDE w:val="0"/>
        <w:autoSpaceDN w:val="0"/>
        <w:adjustRightInd w:val="0"/>
        <w:jc w:val="both"/>
        <w:rPr>
          <w:rFonts w:asciiTheme="majorBidi" w:hAnsiTheme="majorBidi" w:cstheme="majorBidi"/>
        </w:rPr>
      </w:pPr>
      <w:r w:rsidRPr="00587BF0">
        <w:rPr>
          <w:rFonts w:asciiTheme="majorBidi" w:hAnsiTheme="majorBidi" w:cstheme="majorBidi"/>
        </w:rPr>
        <w:t>La Cour constate que la procédure prévue à l’article 8 de la loi relative à l’euthanasie n’empêche pas le médecin qui a pratiqué l’euthanasie de siéger dans la Commission et de voter sur la question de savoir si ses propres actes étaient compatibles avec les exigences matérielles et procédurales du droit interne. Par conséquent, et tenant compte du rôle crucial joué par la Commission dans le contrôle a posteriori de l’euthanasie, la Cour estime que le système de contrôle établi en l’espèce n’assurait pas son indépendance. Par ailleurs, eu égard à l’absence de devoirs entrepris au cours de la première enquête, l’enquête pénale n’a pas satisfait à l’exigence de promptitude requise par l’article 2 de la Convention.</w:t>
      </w:r>
    </w:p>
    <w:p w14:paraId="4EF77D7C" w14:textId="77777777" w:rsidR="00DE280C" w:rsidRPr="00587BF0" w:rsidRDefault="00DE280C" w:rsidP="001D1A8B">
      <w:pPr>
        <w:autoSpaceDE w:val="0"/>
        <w:autoSpaceDN w:val="0"/>
        <w:adjustRightInd w:val="0"/>
        <w:jc w:val="both"/>
        <w:rPr>
          <w:rFonts w:asciiTheme="majorBidi" w:hAnsiTheme="majorBidi" w:cstheme="majorBidi"/>
        </w:rPr>
      </w:pPr>
    </w:p>
    <w:p w14:paraId="26CCE4CF" w14:textId="748C7F6E" w:rsidR="00783C46" w:rsidRPr="00587BF0" w:rsidRDefault="00DE280C" w:rsidP="001D1A8B">
      <w:pPr>
        <w:shd w:val="clear" w:color="auto" w:fill="FFFFFF"/>
        <w:jc w:val="both"/>
        <w:rPr>
          <w:rFonts w:asciiTheme="majorBidi" w:hAnsiTheme="majorBidi" w:cstheme="majorBidi"/>
          <w:color w:val="000000"/>
        </w:rPr>
      </w:pPr>
      <w:r w:rsidRPr="00587BF0">
        <w:rPr>
          <w:rFonts w:asciiTheme="majorBidi" w:hAnsiTheme="majorBidi" w:cstheme="majorBidi"/>
        </w:rPr>
        <w:t>Eu égard à ce qui précède, la Cour conclut que l’État belge a manqué à son obligation positive procédurale tant en raison du manque d’indépendance de la Commission qu’à cause de la durée de l’enquête pénale menée en l’espèce. Partant, il y a eu violation de l’article 2 de la Convention</w:t>
      </w:r>
      <w:r w:rsidR="00645038" w:rsidRPr="00587BF0">
        <w:rPr>
          <w:rFonts w:asciiTheme="majorBidi" w:hAnsiTheme="majorBidi" w:cstheme="majorBidi"/>
        </w:rPr>
        <w:t xml:space="preserve"> (</w:t>
      </w:r>
      <w:r w:rsidR="00404444" w:rsidRPr="00587BF0">
        <w:rPr>
          <w:rFonts w:asciiTheme="majorBidi" w:hAnsiTheme="majorBidi" w:cstheme="majorBidi"/>
        </w:rPr>
        <w:t xml:space="preserve">Cour. </w:t>
      </w:r>
      <w:proofErr w:type="spellStart"/>
      <w:r w:rsidR="00404444" w:rsidRPr="00587BF0">
        <w:rPr>
          <w:rFonts w:asciiTheme="majorBidi" w:hAnsiTheme="majorBidi" w:cstheme="majorBidi"/>
        </w:rPr>
        <w:t>eur</w:t>
      </w:r>
      <w:proofErr w:type="spellEnd"/>
      <w:r w:rsidR="00404444" w:rsidRPr="00587BF0">
        <w:rPr>
          <w:rFonts w:asciiTheme="majorBidi" w:hAnsiTheme="majorBidi" w:cstheme="majorBidi"/>
        </w:rPr>
        <w:t xml:space="preserve">. D.H., arrêt </w:t>
      </w:r>
      <w:r w:rsidR="00404444" w:rsidRPr="00587BF0">
        <w:rPr>
          <w:rFonts w:asciiTheme="majorBidi" w:hAnsiTheme="majorBidi" w:cstheme="majorBidi"/>
          <w:i/>
          <w:iCs/>
        </w:rPr>
        <w:t>Mortier c. Belgique</w:t>
      </w:r>
      <w:r w:rsidR="00404444" w:rsidRPr="00587BF0">
        <w:rPr>
          <w:rFonts w:asciiTheme="majorBidi" w:hAnsiTheme="majorBidi" w:cstheme="majorBidi"/>
        </w:rPr>
        <w:t>, 4 octobre 2022</w:t>
      </w:r>
      <w:r w:rsidR="00783C46" w:rsidRPr="00587BF0">
        <w:rPr>
          <w:rFonts w:asciiTheme="majorBidi" w:hAnsiTheme="majorBidi" w:cstheme="majorBidi"/>
        </w:rPr>
        <w:t xml:space="preserve">, </w:t>
      </w:r>
      <w:r w:rsidR="00783C46" w:rsidRPr="00587BF0">
        <w:rPr>
          <w:rFonts w:asciiTheme="majorBidi" w:hAnsiTheme="majorBidi" w:cstheme="majorBidi"/>
          <w:i/>
          <w:iCs/>
          <w:color w:val="000000"/>
        </w:rPr>
        <w:t>J.L.M.B.</w:t>
      </w:r>
      <w:r w:rsidR="00783C46" w:rsidRPr="00587BF0">
        <w:rPr>
          <w:rFonts w:asciiTheme="majorBidi" w:hAnsiTheme="majorBidi" w:cstheme="majorBidi"/>
          <w:color w:val="000000"/>
        </w:rPr>
        <w:t xml:space="preserve">, 2023/5, p. 192 ; </w:t>
      </w:r>
      <w:r w:rsidR="00783C46" w:rsidRPr="00587BF0">
        <w:rPr>
          <w:rStyle w:val="apple-converted-space"/>
          <w:rFonts w:asciiTheme="majorBidi" w:hAnsiTheme="majorBidi" w:cstheme="majorBidi"/>
          <w:color w:val="000000"/>
          <w:shd w:val="clear" w:color="auto" w:fill="FFFFFF"/>
        </w:rPr>
        <w:t> </w:t>
      </w:r>
      <w:r w:rsidR="00783C46" w:rsidRPr="00587BF0">
        <w:rPr>
          <w:rFonts w:asciiTheme="majorBidi" w:hAnsiTheme="majorBidi" w:cstheme="majorBidi"/>
          <w:i/>
          <w:iCs/>
          <w:color w:val="000000"/>
        </w:rPr>
        <w:t>J.T.</w:t>
      </w:r>
      <w:r w:rsidR="00783C46" w:rsidRPr="00587BF0">
        <w:rPr>
          <w:rFonts w:asciiTheme="majorBidi" w:hAnsiTheme="majorBidi" w:cstheme="majorBidi"/>
          <w:color w:val="000000"/>
          <w:shd w:val="clear" w:color="auto" w:fill="FFFFFF"/>
        </w:rPr>
        <w:t>, 2022/40, p. 811-817).</w:t>
      </w:r>
    </w:p>
    <w:p w14:paraId="23583342" w14:textId="77777777" w:rsidR="005A0A6A" w:rsidRPr="00587BF0" w:rsidRDefault="005A0A6A" w:rsidP="001D1A8B">
      <w:pPr>
        <w:autoSpaceDE w:val="0"/>
        <w:autoSpaceDN w:val="0"/>
        <w:adjustRightInd w:val="0"/>
        <w:jc w:val="both"/>
        <w:rPr>
          <w:rFonts w:asciiTheme="majorBidi" w:hAnsiTheme="majorBidi" w:cstheme="majorBidi"/>
        </w:rPr>
      </w:pPr>
    </w:p>
    <w:p w14:paraId="09B32C3E" w14:textId="0F6FC2F3" w:rsidR="005A0A6A" w:rsidRPr="00587BF0" w:rsidRDefault="005A0A6A" w:rsidP="001D1A8B">
      <w:pPr>
        <w:autoSpaceDE w:val="0"/>
        <w:autoSpaceDN w:val="0"/>
        <w:adjustRightInd w:val="0"/>
        <w:jc w:val="both"/>
        <w:rPr>
          <w:rFonts w:asciiTheme="majorBidi" w:hAnsiTheme="majorBidi" w:cstheme="majorBidi"/>
          <w:b/>
          <w:bCs/>
        </w:rPr>
      </w:pPr>
      <w:r w:rsidRPr="00587BF0">
        <w:rPr>
          <w:rFonts w:asciiTheme="majorBidi" w:hAnsiTheme="majorBidi" w:cstheme="majorBidi"/>
          <w:b/>
          <w:bCs/>
        </w:rPr>
        <w:t>Euthanasie – Art</w:t>
      </w:r>
      <w:r w:rsidR="00960FB9">
        <w:rPr>
          <w:rFonts w:asciiTheme="majorBidi" w:hAnsiTheme="majorBidi" w:cstheme="majorBidi"/>
          <w:b/>
          <w:bCs/>
        </w:rPr>
        <w:t>.</w:t>
      </w:r>
      <w:r w:rsidRPr="00587BF0">
        <w:rPr>
          <w:rFonts w:asciiTheme="majorBidi" w:hAnsiTheme="majorBidi" w:cstheme="majorBidi"/>
          <w:b/>
          <w:bCs/>
        </w:rPr>
        <w:t xml:space="preserve"> 10 et 11 Constitution (Violation) </w:t>
      </w:r>
      <w:r w:rsidR="00304303">
        <w:rPr>
          <w:rFonts w:asciiTheme="majorBidi" w:hAnsiTheme="majorBidi" w:cstheme="majorBidi"/>
          <w:b/>
          <w:bCs/>
        </w:rPr>
        <w:t>–</w:t>
      </w:r>
      <w:r w:rsidRPr="00587BF0">
        <w:rPr>
          <w:rFonts w:asciiTheme="majorBidi" w:hAnsiTheme="majorBidi" w:cstheme="majorBidi"/>
          <w:b/>
          <w:bCs/>
        </w:rPr>
        <w:t xml:space="preserve"> Criminalisation </w:t>
      </w:r>
      <w:r w:rsidR="00304303">
        <w:rPr>
          <w:rFonts w:asciiTheme="majorBidi" w:hAnsiTheme="majorBidi" w:cstheme="majorBidi"/>
          <w:b/>
          <w:bCs/>
        </w:rPr>
        <w:t>–</w:t>
      </w:r>
      <w:r w:rsidRPr="00587BF0">
        <w:rPr>
          <w:rFonts w:asciiTheme="majorBidi" w:hAnsiTheme="majorBidi" w:cstheme="majorBidi"/>
          <w:b/>
          <w:bCs/>
        </w:rPr>
        <w:t xml:space="preserve"> Conditions de fond </w:t>
      </w:r>
      <w:r w:rsidR="00304303">
        <w:rPr>
          <w:rFonts w:asciiTheme="majorBidi" w:hAnsiTheme="majorBidi" w:cstheme="majorBidi"/>
          <w:b/>
          <w:bCs/>
        </w:rPr>
        <w:t>–</w:t>
      </w:r>
      <w:r w:rsidRPr="00587BF0">
        <w:rPr>
          <w:rFonts w:asciiTheme="majorBidi" w:hAnsiTheme="majorBidi" w:cstheme="majorBidi"/>
          <w:b/>
          <w:bCs/>
        </w:rPr>
        <w:t xml:space="preserve"> Conditions de procédure </w:t>
      </w:r>
      <w:r w:rsidR="00304303">
        <w:rPr>
          <w:rFonts w:asciiTheme="majorBidi" w:hAnsiTheme="majorBidi" w:cstheme="majorBidi"/>
          <w:b/>
          <w:bCs/>
        </w:rPr>
        <w:t>–</w:t>
      </w:r>
      <w:r w:rsidRPr="00587BF0">
        <w:rPr>
          <w:rFonts w:asciiTheme="majorBidi" w:hAnsiTheme="majorBidi" w:cstheme="majorBidi"/>
          <w:b/>
          <w:bCs/>
        </w:rPr>
        <w:t xml:space="preserve"> Proportionnalité de la peine </w:t>
      </w:r>
      <w:r w:rsidR="00505FF0">
        <w:rPr>
          <w:rFonts w:asciiTheme="majorBidi" w:hAnsiTheme="majorBidi" w:cstheme="majorBidi"/>
          <w:b/>
          <w:bCs/>
        </w:rPr>
        <w:t>(Non)</w:t>
      </w:r>
    </w:p>
    <w:p w14:paraId="6CE90CC9" w14:textId="439C6E8F" w:rsidR="00783C46" w:rsidRPr="00587BF0" w:rsidRDefault="00783C46" w:rsidP="001D1A8B">
      <w:pPr>
        <w:autoSpaceDE w:val="0"/>
        <w:autoSpaceDN w:val="0"/>
        <w:adjustRightInd w:val="0"/>
        <w:jc w:val="both"/>
        <w:rPr>
          <w:rFonts w:asciiTheme="majorBidi" w:hAnsiTheme="majorBidi" w:cstheme="majorBidi"/>
        </w:rPr>
      </w:pPr>
    </w:p>
    <w:p w14:paraId="18FBFE7A" w14:textId="49A54797" w:rsidR="00783C46" w:rsidRDefault="00783C46" w:rsidP="001D1A8B">
      <w:pPr>
        <w:jc w:val="both"/>
        <w:rPr>
          <w:rFonts w:asciiTheme="majorBidi" w:hAnsiTheme="majorBidi" w:cstheme="majorBidi"/>
          <w:color w:val="000000"/>
          <w:lang w:eastAsia="fr-BE"/>
        </w:rPr>
      </w:pPr>
      <w:r w:rsidRPr="00587BF0">
        <w:rPr>
          <w:rFonts w:asciiTheme="majorBidi" w:hAnsiTheme="majorBidi" w:cstheme="majorBidi"/>
          <w:color w:val="000000"/>
          <w:bdr w:val="none" w:sz="0" w:space="0" w:color="auto" w:frame="1"/>
        </w:rPr>
        <w:t>La Cour constitutionnelle a</w:t>
      </w:r>
      <w:r w:rsidR="00C74F99">
        <w:rPr>
          <w:rFonts w:asciiTheme="majorBidi" w:hAnsiTheme="majorBidi" w:cstheme="majorBidi"/>
          <w:color w:val="000000"/>
          <w:bdr w:val="none" w:sz="0" w:space="0" w:color="auto" w:frame="1"/>
        </w:rPr>
        <w:t xml:space="preserve"> </w:t>
      </w:r>
      <w:r w:rsidRPr="00587BF0">
        <w:rPr>
          <w:rFonts w:asciiTheme="majorBidi" w:hAnsiTheme="majorBidi" w:cstheme="majorBidi"/>
          <w:color w:val="000000"/>
          <w:bdr w:val="none" w:sz="0" w:space="0" w:color="auto" w:frame="1"/>
        </w:rPr>
        <w:t>considéré que</w:t>
      </w:r>
      <w:r w:rsidRPr="00587BF0">
        <w:rPr>
          <w:rStyle w:val="apple-converted-space"/>
          <w:rFonts w:asciiTheme="majorBidi" w:hAnsiTheme="majorBidi" w:cstheme="majorBidi"/>
          <w:color w:val="000000"/>
          <w:bdr w:val="none" w:sz="0" w:space="0" w:color="auto" w:frame="1"/>
        </w:rPr>
        <w:t> </w:t>
      </w:r>
      <w:r w:rsidRPr="00587BF0">
        <w:rPr>
          <w:rFonts w:asciiTheme="majorBidi" w:hAnsiTheme="majorBidi" w:cstheme="majorBidi"/>
          <w:color w:val="000000"/>
          <w:bdr w:val="none" w:sz="0" w:space="0" w:color="auto" w:frame="1"/>
        </w:rPr>
        <w:t>la loi relative à l’euthanasie</w:t>
      </w:r>
      <w:r w:rsidRPr="00587BF0">
        <w:rPr>
          <w:rStyle w:val="apple-converted-space"/>
          <w:rFonts w:asciiTheme="majorBidi" w:hAnsiTheme="majorBidi" w:cstheme="majorBidi"/>
          <w:color w:val="000000"/>
          <w:bdr w:val="none" w:sz="0" w:space="0" w:color="auto" w:frame="1"/>
        </w:rPr>
        <w:t> </w:t>
      </w:r>
      <w:r w:rsidRPr="00587BF0">
        <w:rPr>
          <w:rFonts w:asciiTheme="majorBidi" w:hAnsiTheme="majorBidi" w:cstheme="majorBidi"/>
          <w:color w:val="000000"/>
          <w:bdr w:val="none" w:sz="0" w:space="0" w:color="auto" w:frame="1"/>
        </w:rPr>
        <w:t>était discriminatoire (violation des</w:t>
      </w:r>
      <w:r w:rsidRPr="00587BF0">
        <w:rPr>
          <w:rStyle w:val="apple-converted-space"/>
          <w:rFonts w:asciiTheme="majorBidi" w:hAnsiTheme="majorBidi" w:cstheme="majorBidi"/>
          <w:color w:val="000000"/>
          <w:bdr w:val="none" w:sz="0" w:space="0" w:color="auto" w:frame="1"/>
        </w:rPr>
        <w:t> </w:t>
      </w:r>
      <w:hyperlink r:id="rId15" w:anchor="Art.11" w:tgtFrame="_blank" w:history="1">
        <w:r w:rsidRPr="00587BF0">
          <w:rPr>
            <w:rStyle w:val="Lienhypertexte"/>
            <w:rFonts w:asciiTheme="majorBidi" w:hAnsiTheme="majorBidi" w:cstheme="majorBidi"/>
            <w:color w:val="000000"/>
            <w:u w:val="none"/>
            <w:bdr w:val="none" w:sz="0" w:space="0" w:color="auto" w:frame="1"/>
          </w:rPr>
          <w:t>articles 10 et 11 de la Constitution</w:t>
        </w:r>
      </w:hyperlink>
      <w:r w:rsidRPr="00587BF0">
        <w:rPr>
          <w:rFonts w:asciiTheme="majorBidi" w:hAnsiTheme="majorBidi" w:cstheme="majorBidi"/>
          <w:color w:val="000000"/>
          <w:bdr w:val="none" w:sz="0" w:space="0" w:color="auto" w:frame="1"/>
        </w:rPr>
        <w:t>), dans la mesure où elle prévoit une peine identique quelle que soit l’importance du comportement illégal commis par le médecin qui pratique l’euthanasie. En effet, le médecin qui ne respecte pas les conditions de forme (par exemple en ne transmettant pas à temps</w:t>
      </w:r>
      <w:r w:rsidRPr="00587BF0">
        <w:rPr>
          <w:rStyle w:val="apple-converted-space"/>
          <w:rFonts w:asciiTheme="majorBidi" w:hAnsiTheme="majorBidi" w:cstheme="majorBidi"/>
          <w:color w:val="000000"/>
          <w:bdr w:val="none" w:sz="0" w:space="0" w:color="auto" w:frame="1"/>
        </w:rPr>
        <w:t> </w:t>
      </w:r>
      <w:r w:rsidRPr="00587BF0">
        <w:rPr>
          <w:rFonts w:asciiTheme="majorBidi" w:hAnsiTheme="majorBidi" w:cstheme="majorBidi"/>
          <w:color w:val="000000"/>
          <w:bdr w:val="none" w:sz="0" w:space="0" w:color="auto" w:frame="1"/>
        </w:rPr>
        <w:t>les documents à la commission fédérale de contrôle et d’évaluation) encourt les mêmes peines (soit la réclusion à perpétuité pour empoisonnement</w:t>
      </w:r>
      <w:r w:rsidR="00304303">
        <w:rPr>
          <w:rFonts w:asciiTheme="majorBidi" w:hAnsiTheme="majorBidi" w:cstheme="majorBidi"/>
          <w:color w:val="000000"/>
          <w:bdr w:val="none" w:sz="0" w:space="0" w:color="auto" w:frame="1"/>
        </w:rPr>
        <w:t xml:space="preserve">, </w:t>
      </w:r>
      <w:r w:rsidRPr="00587BF0">
        <w:rPr>
          <w:rFonts w:asciiTheme="majorBidi" w:hAnsiTheme="majorBidi" w:cstheme="majorBidi"/>
          <w:color w:val="000000"/>
          <w:bdr w:val="none" w:sz="0" w:space="0" w:color="auto" w:frame="1"/>
        </w:rPr>
        <w:t xml:space="preserve">prévue </w:t>
      </w:r>
      <w:r w:rsidR="00304303">
        <w:rPr>
          <w:rFonts w:asciiTheme="majorBidi" w:hAnsiTheme="majorBidi" w:cstheme="majorBidi"/>
          <w:color w:val="000000"/>
          <w:bdr w:val="none" w:sz="0" w:space="0" w:color="auto" w:frame="1"/>
        </w:rPr>
        <w:t>à l’article 397 d</w:t>
      </w:r>
      <w:r w:rsidR="00C74F99">
        <w:rPr>
          <w:rFonts w:asciiTheme="majorBidi" w:hAnsiTheme="majorBidi" w:cstheme="majorBidi"/>
          <w:color w:val="000000"/>
          <w:bdr w:val="none" w:sz="0" w:space="0" w:color="auto" w:frame="1"/>
        </w:rPr>
        <w:t>u</w:t>
      </w:r>
      <w:r w:rsidRPr="00587BF0">
        <w:rPr>
          <w:rStyle w:val="apple-converted-space"/>
          <w:rFonts w:asciiTheme="majorBidi" w:hAnsiTheme="majorBidi" w:cstheme="majorBidi"/>
          <w:color w:val="000000"/>
          <w:bdr w:val="none" w:sz="0" w:space="0" w:color="auto" w:frame="1"/>
        </w:rPr>
        <w:t> </w:t>
      </w:r>
      <w:hyperlink r:id="rId16" w:anchor="Art.397" w:tgtFrame="_blank" w:history="1">
        <w:r w:rsidRPr="00587BF0">
          <w:rPr>
            <w:rStyle w:val="Lienhypertexte"/>
            <w:rFonts w:asciiTheme="majorBidi" w:hAnsiTheme="majorBidi" w:cstheme="majorBidi"/>
            <w:color w:val="000000"/>
            <w:u w:val="none"/>
            <w:bdr w:val="none" w:sz="0" w:space="0" w:color="auto" w:frame="1"/>
          </w:rPr>
          <w:t>Code pénal</w:t>
        </w:r>
      </w:hyperlink>
      <w:r w:rsidRPr="00587BF0">
        <w:rPr>
          <w:rFonts w:asciiTheme="majorBidi" w:hAnsiTheme="majorBidi" w:cstheme="majorBidi"/>
          <w:color w:val="000000"/>
          <w:bdr w:val="none" w:sz="0" w:space="0" w:color="auto" w:frame="1"/>
        </w:rPr>
        <w:t>) que le médecin qui enfreint les conditions de fond</w:t>
      </w:r>
      <w:r w:rsidRPr="00587BF0">
        <w:rPr>
          <w:rStyle w:val="apple-converted-space"/>
          <w:rFonts w:asciiTheme="majorBidi" w:hAnsiTheme="majorBidi" w:cstheme="majorBidi"/>
          <w:color w:val="000000"/>
          <w:bdr w:val="none" w:sz="0" w:space="0" w:color="auto" w:frame="1"/>
        </w:rPr>
        <w:t> </w:t>
      </w:r>
      <w:r w:rsidRPr="00587BF0">
        <w:rPr>
          <w:rFonts w:asciiTheme="majorBidi" w:hAnsiTheme="majorBidi" w:cstheme="majorBidi"/>
          <w:color w:val="000000"/>
          <w:bdr w:val="none" w:sz="0" w:space="0" w:color="auto" w:frame="1"/>
        </w:rPr>
        <w:t>(pas d’alternatives proposées au patient, pas de constat que le patient se trouve dans un état de souffrance irréversible, …).</w:t>
      </w:r>
      <w:r w:rsidRPr="00587BF0">
        <w:rPr>
          <w:rStyle w:val="apple-converted-space"/>
          <w:rFonts w:asciiTheme="majorBidi" w:hAnsiTheme="majorBidi" w:cstheme="majorBidi"/>
          <w:color w:val="000000"/>
        </w:rPr>
        <w:t> </w:t>
      </w:r>
      <w:r w:rsidRPr="00587BF0">
        <w:rPr>
          <w:rFonts w:asciiTheme="majorBidi" w:hAnsiTheme="majorBidi" w:cstheme="majorBidi"/>
          <w:color w:val="000000"/>
        </w:rPr>
        <w:t>Selon la Cour constitutionnelle, « l</w:t>
      </w:r>
      <w:r w:rsidRPr="00587BF0">
        <w:rPr>
          <w:rFonts w:asciiTheme="majorBidi" w:hAnsiTheme="majorBidi" w:cstheme="majorBidi"/>
          <w:color w:val="000000"/>
          <w:bdr w:val="none" w:sz="0" w:space="0" w:color="auto" w:frame="1"/>
        </w:rPr>
        <w:t>’obligation positive incombant au législateur de prévoir des garanties efficaces en vue de prévenir les abus lorsqu’une euthanasie est pratiquée ne va pas jusqu’à nécessiter un système de sanctions à ce point sévère. Un tel système de sanctions a des effets disproportionnés au regard de l’objectif du législateur consistant à veiller à ce que le médecin concerné respecte strictement les conditions et procédures légales »</w:t>
      </w:r>
      <w:r w:rsidR="005A0A6A" w:rsidRPr="00587BF0">
        <w:rPr>
          <w:rFonts w:asciiTheme="majorBidi" w:hAnsiTheme="majorBidi" w:cstheme="majorBidi"/>
          <w:color w:val="000000"/>
          <w:bdr w:val="none" w:sz="0" w:space="0" w:color="auto" w:frame="1"/>
        </w:rPr>
        <w:t xml:space="preserve"> (</w:t>
      </w:r>
      <w:r w:rsidRPr="00587BF0">
        <w:rPr>
          <w:rFonts w:asciiTheme="majorBidi" w:hAnsiTheme="majorBidi" w:cstheme="majorBidi"/>
          <w:color w:val="000000"/>
          <w:bdr w:val="none" w:sz="0" w:space="0" w:color="auto" w:frame="1"/>
        </w:rPr>
        <w:t>C.C.,</w:t>
      </w:r>
      <w:r w:rsidR="00EE707F" w:rsidRPr="00587BF0">
        <w:rPr>
          <w:rFonts w:asciiTheme="majorBidi" w:hAnsiTheme="majorBidi" w:cstheme="majorBidi"/>
          <w:color w:val="000000"/>
          <w:bdr w:val="none" w:sz="0" w:space="0" w:color="auto" w:frame="1"/>
        </w:rPr>
        <w:t xml:space="preserve"> n° 134/2022</w:t>
      </w:r>
      <w:r w:rsidR="00EE707F">
        <w:rPr>
          <w:rFonts w:asciiTheme="majorBidi" w:hAnsiTheme="majorBidi" w:cstheme="majorBidi"/>
          <w:color w:val="000000"/>
          <w:bdr w:val="none" w:sz="0" w:space="0" w:color="auto" w:frame="1"/>
        </w:rPr>
        <w:t>,</w:t>
      </w:r>
      <w:r w:rsidRPr="00587BF0">
        <w:rPr>
          <w:rFonts w:asciiTheme="majorBidi" w:hAnsiTheme="majorBidi" w:cstheme="majorBidi"/>
          <w:color w:val="000000"/>
          <w:bdr w:val="none" w:sz="0" w:space="0" w:color="auto" w:frame="1"/>
        </w:rPr>
        <w:t xml:space="preserve"> 20 octobre 2022, </w:t>
      </w:r>
      <w:r w:rsidRPr="00587BF0">
        <w:rPr>
          <w:rFonts w:asciiTheme="majorBidi" w:hAnsiTheme="majorBidi" w:cstheme="majorBidi"/>
          <w:i/>
          <w:iCs/>
          <w:color w:val="000000"/>
          <w:lang w:eastAsia="fr-BE"/>
        </w:rPr>
        <w:t>R</w:t>
      </w:r>
      <w:r w:rsidR="005A0A6A" w:rsidRPr="00587BF0">
        <w:rPr>
          <w:rFonts w:asciiTheme="majorBidi" w:hAnsiTheme="majorBidi" w:cstheme="majorBidi"/>
          <w:i/>
          <w:iCs/>
          <w:color w:val="000000"/>
          <w:lang w:eastAsia="fr-BE"/>
        </w:rPr>
        <w:t>.</w:t>
      </w:r>
      <w:r w:rsidRPr="00587BF0">
        <w:rPr>
          <w:rFonts w:asciiTheme="majorBidi" w:hAnsiTheme="majorBidi" w:cstheme="majorBidi"/>
          <w:i/>
          <w:iCs/>
          <w:color w:val="000000"/>
          <w:lang w:eastAsia="fr-BE"/>
        </w:rPr>
        <w:t>W</w:t>
      </w:r>
      <w:r w:rsidR="005A0A6A" w:rsidRPr="00587BF0">
        <w:rPr>
          <w:rFonts w:asciiTheme="majorBidi" w:hAnsiTheme="majorBidi" w:cstheme="majorBidi"/>
          <w:color w:val="000000"/>
          <w:lang w:eastAsia="fr-BE"/>
        </w:rPr>
        <w:t>.</w:t>
      </w:r>
      <w:r w:rsidRPr="00587BF0">
        <w:rPr>
          <w:rFonts w:asciiTheme="majorBidi" w:hAnsiTheme="majorBidi" w:cstheme="majorBidi"/>
          <w:color w:val="000000"/>
          <w:lang w:eastAsia="fr-BE"/>
        </w:rPr>
        <w:t>, 2022-23</w:t>
      </w:r>
      <w:r w:rsidR="005A0A6A" w:rsidRPr="00587BF0">
        <w:rPr>
          <w:rFonts w:asciiTheme="majorBidi" w:hAnsiTheme="majorBidi" w:cstheme="majorBidi"/>
          <w:color w:val="000000"/>
          <w:lang w:eastAsia="fr-BE"/>
        </w:rPr>
        <w:t>/</w:t>
      </w:r>
      <w:r w:rsidRPr="00587BF0">
        <w:rPr>
          <w:rFonts w:asciiTheme="majorBidi" w:hAnsiTheme="majorBidi" w:cstheme="majorBidi"/>
          <w:color w:val="000000"/>
          <w:lang w:eastAsia="fr-BE"/>
        </w:rPr>
        <w:t xml:space="preserve">22, </w:t>
      </w:r>
      <w:r w:rsidR="005A0A6A" w:rsidRPr="00587BF0">
        <w:rPr>
          <w:rFonts w:asciiTheme="majorBidi" w:hAnsiTheme="majorBidi" w:cstheme="majorBidi"/>
          <w:color w:val="000000"/>
          <w:lang w:eastAsia="fr-BE"/>
        </w:rPr>
        <w:t xml:space="preserve">p. </w:t>
      </w:r>
      <w:r w:rsidRPr="00587BF0">
        <w:rPr>
          <w:rFonts w:asciiTheme="majorBidi" w:hAnsiTheme="majorBidi" w:cstheme="majorBidi"/>
          <w:color w:val="000000"/>
          <w:lang w:eastAsia="fr-BE"/>
        </w:rPr>
        <w:t>860-868</w:t>
      </w:r>
      <w:r w:rsidR="005A0A6A" w:rsidRPr="00587BF0">
        <w:rPr>
          <w:rFonts w:asciiTheme="majorBidi" w:hAnsiTheme="majorBidi" w:cstheme="majorBidi"/>
          <w:color w:val="000000"/>
          <w:lang w:eastAsia="fr-BE"/>
        </w:rPr>
        <w:t>).</w:t>
      </w:r>
    </w:p>
    <w:p w14:paraId="64B84B16" w14:textId="0D258607" w:rsidR="000C202B" w:rsidRDefault="000C202B" w:rsidP="001D1A8B">
      <w:pPr>
        <w:jc w:val="both"/>
        <w:rPr>
          <w:rFonts w:asciiTheme="majorBidi" w:hAnsiTheme="majorBidi" w:cstheme="majorBidi"/>
          <w:color w:val="000000"/>
          <w:lang w:eastAsia="fr-BE"/>
        </w:rPr>
      </w:pPr>
    </w:p>
    <w:p w14:paraId="7B6636AC" w14:textId="77777777" w:rsidR="000C202B" w:rsidRPr="00530BD2" w:rsidRDefault="000C202B" w:rsidP="001D1A8B">
      <w:pPr>
        <w:pStyle w:val="paragraph"/>
        <w:spacing w:before="0" w:beforeAutospacing="0" w:after="0" w:afterAutospacing="0"/>
        <w:jc w:val="both"/>
        <w:textAlignment w:val="baseline"/>
        <w:rPr>
          <w:b/>
          <w:bCs/>
          <w:highlight w:val="yellow"/>
          <w:lang w:val="fr-FR"/>
        </w:rPr>
      </w:pPr>
    </w:p>
    <w:p w14:paraId="1B4C6597" w14:textId="77777777" w:rsidR="000C202B" w:rsidRPr="00F2130F" w:rsidRDefault="000C202B" w:rsidP="001D1A8B">
      <w:pPr>
        <w:autoSpaceDE w:val="0"/>
        <w:autoSpaceDN w:val="0"/>
        <w:adjustRightInd w:val="0"/>
        <w:jc w:val="both"/>
        <w:rPr>
          <w:i/>
          <w:iCs/>
          <w:lang w:val="fr-FR"/>
        </w:rPr>
      </w:pPr>
      <w:r w:rsidRPr="00F2130F">
        <w:rPr>
          <w:i/>
          <w:iCs/>
          <w:lang w:val="fr-FR"/>
        </w:rPr>
        <w:t>HARCELEMENT</w:t>
      </w:r>
    </w:p>
    <w:p w14:paraId="5CE20422" w14:textId="77777777" w:rsidR="000C202B" w:rsidRPr="00530BD2" w:rsidRDefault="000C202B" w:rsidP="001D1A8B">
      <w:pPr>
        <w:autoSpaceDE w:val="0"/>
        <w:autoSpaceDN w:val="0"/>
        <w:adjustRightInd w:val="0"/>
        <w:jc w:val="both"/>
        <w:rPr>
          <w:b/>
          <w:bCs/>
          <w:i/>
          <w:iCs/>
          <w:lang w:val="fr-FR"/>
        </w:rPr>
      </w:pPr>
    </w:p>
    <w:p w14:paraId="65C5619E" w14:textId="77777777" w:rsidR="000C202B" w:rsidRPr="00530BD2" w:rsidRDefault="000C202B" w:rsidP="001D1A8B">
      <w:pPr>
        <w:autoSpaceDE w:val="0"/>
        <w:autoSpaceDN w:val="0"/>
        <w:adjustRightInd w:val="0"/>
        <w:jc w:val="both"/>
        <w:rPr>
          <w:b/>
          <w:bCs/>
          <w:lang w:val="fr-FR"/>
        </w:rPr>
      </w:pPr>
      <w:r w:rsidRPr="00530BD2">
        <w:rPr>
          <w:b/>
          <w:bCs/>
          <w:lang w:val="fr-FR"/>
        </w:rPr>
        <w:t>Harcèlement – Relations politiques conflictuelles – Liberté du débat politique – Tolérance du débat politique – Limite</w:t>
      </w:r>
    </w:p>
    <w:p w14:paraId="603EDF5C" w14:textId="77777777" w:rsidR="000C202B" w:rsidRPr="00530BD2" w:rsidRDefault="000C202B" w:rsidP="001D1A8B">
      <w:pPr>
        <w:jc w:val="both"/>
        <w:rPr>
          <w:b/>
          <w:bCs/>
          <w:color w:val="000000"/>
          <w:shd w:val="clear" w:color="auto" w:fill="FFFFFF"/>
          <w:lang w:val="fr-FR"/>
        </w:rPr>
      </w:pPr>
    </w:p>
    <w:p w14:paraId="670BBB04" w14:textId="77777777" w:rsidR="000C202B" w:rsidRDefault="000C202B" w:rsidP="001D1A8B">
      <w:pPr>
        <w:jc w:val="both"/>
        <w:rPr>
          <w:color w:val="000000"/>
          <w:lang w:val="fr-FR"/>
        </w:rPr>
      </w:pPr>
      <w:r w:rsidRPr="00530BD2">
        <w:rPr>
          <w:color w:val="000000"/>
          <w:lang w:val="fr-FR"/>
        </w:rPr>
        <w:t>L’affaire soumise à la Cour d’appel de Liège concernait des faits de harcèlement entre personnages politiques de partis différents. En première instance, le tribunal correctionnel s’était posé la question de savoir si un tel comportement était légitime dans le cadre de conflits de nature politique</w:t>
      </w:r>
      <w:r>
        <w:rPr>
          <w:color w:val="000000"/>
          <w:lang w:val="fr-FR"/>
        </w:rPr>
        <w:t>.</w:t>
      </w:r>
      <w:r w:rsidRPr="00530BD2">
        <w:rPr>
          <w:color w:val="000000"/>
          <w:lang w:val="fr-FR"/>
        </w:rPr>
        <w:t xml:space="preserve"> La loi pénale apporte la réponse, le comportement gênant ne pouvant provoquer chez la victime un dérangement objectivement et profondément perturbateur, ressenti par elle comme il le serait par toute autre personne raisonnable dans les mêmes circonstances.</w:t>
      </w:r>
    </w:p>
    <w:p w14:paraId="48126630" w14:textId="77777777" w:rsidR="000C202B" w:rsidRPr="00530BD2" w:rsidRDefault="000C202B" w:rsidP="001D1A8B">
      <w:pPr>
        <w:jc w:val="both"/>
        <w:rPr>
          <w:color w:val="000000"/>
          <w:lang w:val="fr-FR"/>
        </w:rPr>
      </w:pPr>
    </w:p>
    <w:p w14:paraId="04E72232" w14:textId="77777777" w:rsidR="000C202B" w:rsidRPr="00530BD2" w:rsidRDefault="000C202B" w:rsidP="001D1A8B">
      <w:pPr>
        <w:jc w:val="both"/>
        <w:rPr>
          <w:color w:val="000000"/>
          <w:lang w:val="fr-FR"/>
        </w:rPr>
      </w:pPr>
      <w:r w:rsidRPr="00530BD2">
        <w:rPr>
          <w:color w:val="000000"/>
          <w:lang w:val="fr-FR"/>
        </w:rPr>
        <w:t xml:space="preserve">La Cour relève donc que si les limites de la critique admissible sont éventuellement plus larges à l'égard d'un personnage politique, parce que chacun développe des projets ou des idées qui </w:t>
      </w:r>
      <w:r w:rsidRPr="00530BD2">
        <w:rPr>
          <w:color w:val="000000"/>
          <w:lang w:val="fr-FR"/>
        </w:rPr>
        <w:lastRenderedPageBreak/>
        <w:t>peuvent s'opposer, le harcèlement n'en demeure pas moins prohibé, chacun ayant le droit de mener une vie politique ou privée sereine, à l'abri de propos ou comportements agressifs, violents ou menaçants de façon récurrente, l'auteur sachant ou devant savoir qu'il affecte gravement la tranquillité de celui qu'il harcèle (</w:t>
      </w:r>
      <w:r w:rsidRPr="00530BD2">
        <w:rPr>
          <w:lang w:val="fr-FR"/>
        </w:rPr>
        <w:t>Liège (18</w:t>
      </w:r>
      <w:r w:rsidRPr="00530BD2">
        <w:rPr>
          <w:vertAlign w:val="superscript"/>
          <w:lang w:val="fr-FR"/>
        </w:rPr>
        <w:t>e</w:t>
      </w:r>
      <w:r w:rsidRPr="00530BD2">
        <w:rPr>
          <w:lang w:val="fr-FR"/>
        </w:rPr>
        <w:t xml:space="preserve"> ch.), 8 décembre 2022, </w:t>
      </w:r>
      <w:r w:rsidRPr="00530BD2">
        <w:rPr>
          <w:i/>
          <w:iCs/>
          <w:lang w:val="fr-FR"/>
        </w:rPr>
        <w:t>J.L.M.B.</w:t>
      </w:r>
      <w:r w:rsidRPr="00530BD2">
        <w:rPr>
          <w:lang w:val="fr-FR"/>
        </w:rPr>
        <w:t>, 2023/7, pp. 297-298).</w:t>
      </w:r>
    </w:p>
    <w:p w14:paraId="739377C2" w14:textId="77777777" w:rsidR="000C202B" w:rsidRPr="000C202B" w:rsidRDefault="000C202B" w:rsidP="001D1A8B">
      <w:pPr>
        <w:jc w:val="both"/>
        <w:rPr>
          <w:rFonts w:asciiTheme="majorBidi" w:hAnsiTheme="majorBidi" w:cstheme="majorBidi"/>
          <w:color w:val="000000"/>
          <w:lang w:val="fr-FR" w:eastAsia="fr-BE"/>
        </w:rPr>
      </w:pPr>
    </w:p>
    <w:p w14:paraId="3A090149" w14:textId="29815910" w:rsidR="00783C46" w:rsidRDefault="00783C46" w:rsidP="001D1A8B">
      <w:pPr>
        <w:pStyle w:val="NormalWeb"/>
        <w:jc w:val="both"/>
        <w:textAlignment w:val="baseline"/>
        <w:rPr>
          <w:rFonts w:ascii="MemphisLTStd-Medium" w:hAnsi="MemphisLTStd-Medium"/>
          <w:color w:val="000000"/>
          <w:sz w:val="23"/>
          <w:szCs w:val="23"/>
          <w:bdr w:val="none" w:sz="0" w:space="0" w:color="auto" w:frame="1"/>
        </w:rPr>
      </w:pPr>
    </w:p>
    <w:p w14:paraId="7154334C" w14:textId="17656FDE" w:rsidR="00750366" w:rsidRPr="00F2130F" w:rsidRDefault="00750366" w:rsidP="001D1A8B">
      <w:pPr>
        <w:pStyle w:val="NormalWeb"/>
        <w:jc w:val="both"/>
        <w:textAlignment w:val="baseline"/>
        <w:rPr>
          <w:rFonts w:asciiTheme="majorBidi" w:hAnsiTheme="majorBidi" w:cstheme="majorBidi"/>
          <w:i/>
          <w:iCs/>
          <w:color w:val="000000"/>
        </w:rPr>
      </w:pPr>
      <w:r w:rsidRPr="00F2130F">
        <w:rPr>
          <w:rFonts w:asciiTheme="majorBidi" w:hAnsiTheme="majorBidi" w:cstheme="majorBidi"/>
          <w:i/>
          <w:iCs/>
          <w:color w:val="000000"/>
          <w:bdr w:val="none" w:sz="0" w:space="0" w:color="auto" w:frame="1"/>
        </w:rPr>
        <w:t>JEUNESSE</w:t>
      </w:r>
    </w:p>
    <w:p w14:paraId="068326C3" w14:textId="77777777" w:rsidR="00783C46" w:rsidRPr="00750366" w:rsidRDefault="00783C46" w:rsidP="001D1A8B">
      <w:pPr>
        <w:jc w:val="both"/>
        <w:rPr>
          <w:rFonts w:asciiTheme="majorBidi" w:hAnsiTheme="majorBidi" w:cstheme="majorBidi"/>
        </w:rPr>
      </w:pPr>
    </w:p>
    <w:p w14:paraId="634A4162" w14:textId="28825CC1" w:rsidR="00783C46" w:rsidRPr="00505FF0" w:rsidRDefault="00750366" w:rsidP="001D1A8B">
      <w:pPr>
        <w:autoSpaceDE w:val="0"/>
        <w:autoSpaceDN w:val="0"/>
        <w:adjustRightInd w:val="0"/>
        <w:jc w:val="both"/>
        <w:rPr>
          <w:rFonts w:asciiTheme="majorBidi" w:hAnsiTheme="majorBidi" w:cstheme="majorBidi"/>
          <w:b/>
          <w:bCs/>
          <w:color w:val="000000"/>
          <w:shd w:val="clear" w:color="auto" w:fill="FFFFFF"/>
        </w:rPr>
      </w:pPr>
      <w:r w:rsidRPr="00750366">
        <w:rPr>
          <w:rFonts w:asciiTheme="majorBidi" w:hAnsiTheme="majorBidi" w:cstheme="majorBidi"/>
          <w:b/>
          <w:bCs/>
          <w:color w:val="000000"/>
          <w:shd w:val="clear" w:color="auto" w:fill="FFFFFF"/>
        </w:rPr>
        <w:t xml:space="preserve">Protection de la jeunesse </w:t>
      </w:r>
      <w:r w:rsidR="00505FF0">
        <w:rPr>
          <w:rFonts w:asciiTheme="majorBidi" w:hAnsiTheme="majorBidi" w:cstheme="majorBidi"/>
          <w:b/>
          <w:bCs/>
          <w:color w:val="000000"/>
          <w:shd w:val="clear" w:color="auto" w:fill="FFFFFF"/>
        </w:rPr>
        <w:t>–</w:t>
      </w:r>
      <w:r w:rsidRPr="00750366">
        <w:rPr>
          <w:rFonts w:asciiTheme="majorBidi" w:hAnsiTheme="majorBidi" w:cstheme="majorBidi"/>
          <w:b/>
          <w:bCs/>
          <w:color w:val="000000"/>
          <w:shd w:val="clear" w:color="auto" w:fill="FFFFFF"/>
        </w:rPr>
        <w:t xml:space="preserve"> Art</w:t>
      </w:r>
      <w:r w:rsidR="00E1108C">
        <w:rPr>
          <w:rFonts w:asciiTheme="majorBidi" w:hAnsiTheme="majorBidi" w:cstheme="majorBidi"/>
          <w:b/>
          <w:bCs/>
          <w:color w:val="000000"/>
          <w:shd w:val="clear" w:color="auto" w:fill="FFFFFF"/>
        </w:rPr>
        <w:t>.</w:t>
      </w:r>
      <w:r w:rsidRPr="00750366">
        <w:rPr>
          <w:rFonts w:asciiTheme="majorBidi" w:hAnsiTheme="majorBidi" w:cstheme="majorBidi"/>
          <w:b/>
          <w:bCs/>
          <w:color w:val="000000"/>
          <w:shd w:val="clear" w:color="auto" w:fill="FFFFFF"/>
        </w:rPr>
        <w:t xml:space="preserve"> 7 et 7/1 de la loi du 8 avril 1965 relative à la protection de la jeunesse </w:t>
      </w:r>
      <w:r w:rsidR="00505FF0">
        <w:rPr>
          <w:rFonts w:asciiTheme="majorBidi" w:hAnsiTheme="majorBidi" w:cstheme="majorBidi"/>
          <w:b/>
          <w:bCs/>
          <w:color w:val="000000"/>
          <w:shd w:val="clear" w:color="auto" w:fill="FFFFFF"/>
        </w:rPr>
        <w:t>–</w:t>
      </w:r>
      <w:r w:rsidRPr="00750366">
        <w:rPr>
          <w:rFonts w:asciiTheme="majorBidi" w:hAnsiTheme="majorBidi" w:cstheme="majorBidi"/>
          <w:b/>
          <w:bCs/>
          <w:color w:val="000000"/>
          <w:shd w:val="clear" w:color="auto" w:fill="FFFFFF"/>
        </w:rPr>
        <w:t xml:space="preserve"> Compétence concurrente du tribunal de la jeunesse </w:t>
      </w:r>
      <w:r>
        <w:rPr>
          <w:rFonts w:asciiTheme="majorBidi" w:hAnsiTheme="majorBidi" w:cstheme="majorBidi"/>
          <w:b/>
          <w:bCs/>
          <w:color w:val="000000"/>
          <w:shd w:val="clear" w:color="auto" w:fill="FFFFFF"/>
        </w:rPr>
        <w:t>et</w:t>
      </w:r>
      <w:r w:rsidRPr="00750366">
        <w:rPr>
          <w:rFonts w:asciiTheme="majorBidi" w:hAnsiTheme="majorBidi" w:cstheme="majorBidi"/>
          <w:b/>
          <w:bCs/>
          <w:color w:val="000000"/>
          <w:shd w:val="clear" w:color="auto" w:fill="FFFFFF"/>
        </w:rPr>
        <w:t xml:space="preserve"> du tribunal de la famille en matière d</w:t>
      </w:r>
      <w:r>
        <w:rPr>
          <w:rFonts w:asciiTheme="majorBidi" w:hAnsiTheme="majorBidi" w:cstheme="majorBidi"/>
          <w:b/>
          <w:bCs/>
          <w:color w:val="000000"/>
          <w:shd w:val="clear" w:color="auto" w:fill="FFFFFF"/>
        </w:rPr>
        <w:t>’</w:t>
      </w:r>
      <w:r w:rsidRPr="00750366">
        <w:rPr>
          <w:rFonts w:asciiTheme="majorBidi" w:hAnsiTheme="majorBidi" w:cstheme="majorBidi"/>
          <w:b/>
          <w:bCs/>
          <w:color w:val="000000"/>
          <w:shd w:val="clear" w:color="auto" w:fill="FFFFFF"/>
        </w:rPr>
        <w:t xml:space="preserve">autorité parentale </w:t>
      </w:r>
      <w:r w:rsidR="00505FF0">
        <w:rPr>
          <w:rFonts w:asciiTheme="majorBidi" w:hAnsiTheme="majorBidi" w:cstheme="majorBidi"/>
          <w:b/>
          <w:bCs/>
          <w:color w:val="000000"/>
          <w:shd w:val="clear" w:color="auto" w:fill="FFFFFF"/>
        </w:rPr>
        <w:t>–</w:t>
      </w:r>
      <w:r w:rsidRPr="00750366">
        <w:rPr>
          <w:rFonts w:asciiTheme="majorBidi" w:hAnsiTheme="majorBidi" w:cstheme="majorBidi"/>
          <w:b/>
          <w:bCs/>
          <w:color w:val="000000"/>
          <w:shd w:val="clear" w:color="auto" w:fill="FFFFFF"/>
        </w:rPr>
        <w:t xml:space="preserve"> Préséance des mesures ordonnées par le tribunal de la jeunesse</w:t>
      </w:r>
      <w:r>
        <w:rPr>
          <w:rFonts w:asciiTheme="majorBidi" w:hAnsiTheme="majorBidi" w:cstheme="majorBidi"/>
          <w:b/>
          <w:bCs/>
          <w:color w:val="000000"/>
          <w:shd w:val="clear" w:color="auto" w:fill="FFFFFF"/>
        </w:rPr>
        <w:t xml:space="preserve"> </w:t>
      </w:r>
    </w:p>
    <w:p w14:paraId="2950C0E5" w14:textId="77777777" w:rsidR="00A148F4" w:rsidRPr="00750366" w:rsidRDefault="00A148F4" w:rsidP="001D1A8B">
      <w:pPr>
        <w:pStyle w:val="paragraph"/>
        <w:spacing w:before="0" w:beforeAutospacing="0" w:after="0" w:afterAutospacing="0"/>
        <w:jc w:val="both"/>
        <w:textAlignment w:val="baseline"/>
        <w:rPr>
          <w:rFonts w:asciiTheme="majorBidi" w:hAnsiTheme="majorBidi" w:cstheme="majorBidi"/>
          <w:b/>
          <w:bCs/>
          <w:highlight w:val="yellow"/>
        </w:rPr>
      </w:pPr>
    </w:p>
    <w:p w14:paraId="5153FB85" w14:textId="6F95414F" w:rsidR="00750366" w:rsidRDefault="00750366" w:rsidP="001D1A8B">
      <w:pPr>
        <w:jc w:val="both"/>
        <w:rPr>
          <w:rFonts w:asciiTheme="majorBidi" w:hAnsiTheme="majorBidi" w:cstheme="majorBidi"/>
          <w:color w:val="000000"/>
        </w:rPr>
      </w:pPr>
      <w:r w:rsidRPr="00750366">
        <w:rPr>
          <w:rFonts w:asciiTheme="majorBidi" w:hAnsiTheme="majorBidi" w:cstheme="majorBidi"/>
          <w:color w:val="000000"/>
        </w:rPr>
        <w:t>Le tribunal de la jeunesse dispose, en vertu de l</w:t>
      </w:r>
      <w:r>
        <w:rPr>
          <w:rFonts w:asciiTheme="majorBidi" w:hAnsiTheme="majorBidi" w:cstheme="majorBidi"/>
          <w:color w:val="000000"/>
        </w:rPr>
        <w:t>’</w:t>
      </w:r>
      <w:r w:rsidRPr="00750366">
        <w:rPr>
          <w:rFonts w:asciiTheme="majorBidi" w:hAnsiTheme="majorBidi" w:cstheme="majorBidi"/>
          <w:color w:val="000000"/>
        </w:rPr>
        <w:t>article 7 de la loi du 8 avril 1965 relative à la protection de la jeunesse, d</w:t>
      </w:r>
      <w:r>
        <w:rPr>
          <w:rFonts w:asciiTheme="majorBidi" w:hAnsiTheme="majorBidi" w:cstheme="majorBidi"/>
          <w:color w:val="000000"/>
        </w:rPr>
        <w:t>’</w:t>
      </w:r>
      <w:r w:rsidRPr="00750366">
        <w:rPr>
          <w:rFonts w:asciiTheme="majorBidi" w:hAnsiTheme="majorBidi" w:cstheme="majorBidi"/>
          <w:color w:val="000000"/>
        </w:rPr>
        <w:t>une compétence concurrente à celle du tribunal de la famille en matière d</w:t>
      </w:r>
      <w:r>
        <w:rPr>
          <w:rFonts w:asciiTheme="majorBidi" w:hAnsiTheme="majorBidi" w:cstheme="majorBidi"/>
          <w:color w:val="000000"/>
        </w:rPr>
        <w:t>’</w:t>
      </w:r>
      <w:r w:rsidRPr="00750366">
        <w:rPr>
          <w:rFonts w:asciiTheme="majorBidi" w:hAnsiTheme="majorBidi" w:cstheme="majorBidi"/>
          <w:color w:val="000000"/>
        </w:rPr>
        <w:t>autorité parentale en cas de connexité avec les mesures de protection. Il en résulte un système de compétences parallèles en matière d</w:t>
      </w:r>
      <w:r>
        <w:rPr>
          <w:rFonts w:asciiTheme="majorBidi" w:hAnsiTheme="majorBidi" w:cstheme="majorBidi"/>
          <w:color w:val="000000"/>
        </w:rPr>
        <w:t>’</w:t>
      </w:r>
      <w:r w:rsidRPr="00750366">
        <w:rPr>
          <w:rFonts w:asciiTheme="majorBidi" w:hAnsiTheme="majorBidi" w:cstheme="majorBidi"/>
          <w:color w:val="000000"/>
        </w:rPr>
        <w:t xml:space="preserve">autorité parentale, </w:t>
      </w:r>
      <w:r w:rsidR="000F163F">
        <w:rPr>
          <w:rFonts w:asciiTheme="majorBidi" w:hAnsiTheme="majorBidi" w:cstheme="majorBidi"/>
          <w:color w:val="000000"/>
        </w:rPr>
        <w:t>attribuées à des tribunaux différents. L</w:t>
      </w:r>
      <w:r>
        <w:rPr>
          <w:rFonts w:asciiTheme="majorBidi" w:hAnsiTheme="majorBidi" w:cstheme="majorBidi"/>
          <w:color w:val="000000"/>
        </w:rPr>
        <w:t>’</w:t>
      </w:r>
      <w:r w:rsidRPr="00750366">
        <w:rPr>
          <w:rFonts w:asciiTheme="majorBidi" w:hAnsiTheme="majorBidi" w:cstheme="majorBidi"/>
          <w:color w:val="000000"/>
        </w:rPr>
        <w:t xml:space="preserve">exercice de cette compétence </w:t>
      </w:r>
      <w:r w:rsidR="000F163F">
        <w:rPr>
          <w:rFonts w:asciiTheme="majorBidi" w:hAnsiTheme="majorBidi" w:cstheme="majorBidi"/>
          <w:color w:val="000000"/>
        </w:rPr>
        <w:t>est</w:t>
      </w:r>
      <w:r w:rsidRPr="00750366">
        <w:rPr>
          <w:rFonts w:asciiTheme="majorBidi" w:hAnsiTheme="majorBidi" w:cstheme="majorBidi"/>
          <w:color w:val="000000"/>
        </w:rPr>
        <w:t xml:space="preserve"> facultatif tant pour le tribunal de la jeunesse que pour le tribunal de la famille.</w:t>
      </w:r>
    </w:p>
    <w:p w14:paraId="0DC715B2" w14:textId="77777777" w:rsidR="00750366" w:rsidRPr="00750366" w:rsidRDefault="00750366" w:rsidP="001D1A8B">
      <w:pPr>
        <w:jc w:val="both"/>
        <w:rPr>
          <w:rFonts w:asciiTheme="majorBidi" w:hAnsiTheme="majorBidi" w:cstheme="majorBidi"/>
          <w:color w:val="000000"/>
        </w:rPr>
      </w:pPr>
    </w:p>
    <w:p w14:paraId="68F79408" w14:textId="13BB8E4E" w:rsidR="000F163F" w:rsidRDefault="00750366" w:rsidP="001D1A8B">
      <w:pPr>
        <w:jc w:val="both"/>
        <w:rPr>
          <w:rFonts w:asciiTheme="majorBidi" w:hAnsiTheme="majorBidi" w:cstheme="majorBidi"/>
          <w:color w:val="000000"/>
          <w:shd w:val="clear" w:color="auto" w:fill="FFFFFF"/>
        </w:rPr>
      </w:pPr>
      <w:r w:rsidRPr="00750366">
        <w:rPr>
          <w:rFonts w:asciiTheme="majorBidi" w:hAnsiTheme="majorBidi" w:cstheme="majorBidi"/>
          <w:color w:val="000000"/>
          <w:shd w:val="clear" w:color="auto" w:fill="FFFFFF"/>
        </w:rPr>
        <w:t>L</w:t>
      </w:r>
      <w:r>
        <w:rPr>
          <w:rFonts w:asciiTheme="majorBidi" w:hAnsiTheme="majorBidi" w:cstheme="majorBidi"/>
          <w:color w:val="000000"/>
          <w:shd w:val="clear" w:color="auto" w:fill="FFFFFF"/>
        </w:rPr>
        <w:t>’</w:t>
      </w:r>
      <w:r w:rsidRPr="00750366">
        <w:rPr>
          <w:rFonts w:asciiTheme="majorBidi" w:hAnsiTheme="majorBidi" w:cstheme="majorBidi"/>
          <w:color w:val="000000"/>
          <w:shd w:val="clear" w:color="auto" w:fill="FFFFFF"/>
        </w:rPr>
        <w:t>article 7/1 de la loi du 8 avril 1965 consacre la préséance des mesures de protection ordonnées par le tribunal de la jeunesse sur les mesures en matière d</w:t>
      </w:r>
      <w:r>
        <w:rPr>
          <w:rFonts w:asciiTheme="majorBidi" w:hAnsiTheme="majorBidi" w:cstheme="majorBidi"/>
          <w:color w:val="000000"/>
          <w:shd w:val="clear" w:color="auto" w:fill="FFFFFF"/>
        </w:rPr>
        <w:t>’</w:t>
      </w:r>
      <w:r w:rsidRPr="00750366">
        <w:rPr>
          <w:rFonts w:asciiTheme="majorBidi" w:hAnsiTheme="majorBidi" w:cstheme="majorBidi"/>
          <w:color w:val="000000"/>
          <w:shd w:val="clear" w:color="auto" w:fill="FFFFFF"/>
        </w:rPr>
        <w:t>autorité parentale ordonnées par le tribunal de la famille en cas d</w:t>
      </w:r>
      <w:r>
        <w:rPr>
          <w:rFonts w:asciiTheme="majorBidi" w:hAnsiTheme="majorBidi" w:cstheme="majorBidi"/>
          <w:color w:val="000000"/>
          <w:shd w:val="clear" w:color="auto" w:fill="FFFFFF"/>
        </w:rPr>
        <w:t>’</w:t>
      </w:r>
      <w:r w:rsidRPr="00750366">
        <w:rPr>
          <w:rFonts w:asciiTheme="majorBidi" w:hAnsiTheme="majorBidi" w:cstheme="majorBidi"/>
          <w:color w:val="000000"/>
          <w:shd w:val="clear" w:color="auto" w:fill="FFFFFF"/>
        </w:rPr>
        <w:t>incompatibilité entre elles</w:t>
      </w:r>
      <w:r w:rsidR="000F163F">
        <w:rPr>
          <w:rFonts w:asciiTheme="majorBidi" w:hAnsiTheme="majorBidi" w:cstheme="majorBidi"/>
          <w:color w:val="000000"/>
          <w:shd w:val="clear" w:color="auto" w:fill="FFFFFF"/>
        </w:rPr>
        <w:t>.</w:t>
      </w:r>
    </w:p>
    <w:p w14:paraId="25AA0A6E" w14:textId="77777777" w:rsidR="000F163F" w:rsidRDefault="000F163F" w:rsidP="001D1A8B">
      <w:pPr>
        <w:jc w:val="both"/>
        <w:rPr>
          <w:rFonts w:asciiTheme="majorBidi" w:hAnsiTheme="majorBidi" w:cstheme="majorBidi"/>
          <w:color w:val="000000"/>
          <w:shd w:val="clear" w:color="auto" w:fill="FFFFFF"/>
        </w:rPr>
      </w:pPr>
    </w:p>
    <w:p w14:paraId="65903027" w14:textId="68077766" w:rsidR="00750366" w:rsidRPr="000F163F" w:rsidRDefault="000F163F" w:rsidP="001D1A8B">
      <w:pPr>
        <w:jc w:val="both"/>
        <w:rPr>
          <w:rFonts w:asciiTheme="majorBidi" w:hAnsiTheme="majorBidi" w:cstheme="majorBidi"/>
          <w:color w:val="000000"/>
          <w:shd w:val="clear" w:color="auto" w:fill="FFFFFF"/>
          <w:lang w:val="fr-FR"/>
        </w:rPr>
      </w:pPr>
      <w:r w:rsidRPr="000F163F">
        <w:rPr>
          <w:rFonts w:asciiTheme="majorBidi" w:hAnsiTheme="majorBidi" w:cstheme="majorBidi"/>
          <w:color w:val="000000"/>
          <w:shd w:val="clear" w:color="auto" w:fill="FFFFFF"/>
          <w:lang w:val="fr-FR"/>
        </w:rPr>
        <w:t xml:space="preserve">Si en l’absence de procédure </w:t>
      </w:r>
      <w:proofErr w:type="spellStart"/>
      <w:r w:rsidRPr="000F163F">
        <w:rPr>
          <w:rFonts w:asciiTheme="majorBidi" w:hAnsiTheme="majorBidi" w:cstheme="majorBidi"/>
          <w:color w:val="000000"/>
          <w:shd w:val="clear" w:color="auto" w:fill="FFFFFF"/>
          <w:lang w:val="fr-FR"/>
        </w:rPr>
        <w:t>protection</w:t>
      </w:r>
      <w:r w:rsidR="00DC18E5">
        <w:rPr>
          <w:rFonts w:asciiTheme="majorBidi" w:hAnsiTheme="majorBidi" w:cstheme="majorBidi"/>
          <w:color w:val="000000"/>
          <w:shd w:val="clear" w:color="auto" w:fill="FFFFFF"/>
          <w:lang w:val="fr-FR"/>
        </w:rPr>
        <w:t>n</w:t>
      </w:r>
      <w:r w:rsidRPr="000F163F">
        <w:rPr>
          <w:rFonts w:asciiTheme="majorBidi" w:hAnsiTheme="majorBidi" w:cstheme="majorBidi"/>
          <w:color w:val="000000"/>
          <w:shd w:val="clear" w:color="auto" w:fill="FFFFFF"/>
          <w:lang w:val="fr-FR"/>
        </w:rPr>
        <w:t>elle</w:t>
      </w:r>
      <w:proofErr w:type="spellEnd"/>
      <w:r w:rsidRPr="000F163F">
        <w:rPr>
          <w:rFonts w:asciiTheme="majorBidi" w:hAnsiTheme="majorBidi" w:cstheme="majorBidi"/>
          <w:color w:val="000000"/>
          <w:shd w:val="clear" w:color="auto" w:fill="FFFFFF"/>
          <w:lang w:val="fr-FR"/>
        </w:rPr>
        <w:t>, le tribunal de</w:t>
      </w:r>
      <w:r>
        <w:rPr>
          <w:rFonts w:asciiTheme="majorBidi" w:hAnsiTheme="majorBidi" w:cstheme="majorBidi"/>
          <w:color w:val="000000"/>
          <w:shd w:val="clear" w:color="auto" w:fill="FFFFFF"/>
          <w:lang w:val="fr-FR"/>
        </w:rPr>
        <w:t xml:space="preserve"> </w:t>
      </w:r>
      <w:r w:rsidRPr="000F163F">
        <w:rPr>
          <w:rFonts w:asciiTheme="majorBidi" w:hAnsiTheme="majorBidi" w:cstheme="majorBidi"/>
          <w:color w:val="000000"/>
          <w:shd w:val="clear" w:color="auto" w:fill="FFFFFF"/>
          <w:lang w:val="fr-FR"/>
        </w:rPr>
        <w:t>la famille demeure le juge naturel de l’autorité parentale, le</w:t>
      </w:r>
      <w:r>
        <w:rPr>
          <w:rFonts w:asciiTheme="majorBidi" w:hAnsiTheme="majorBidi" w:cstheme="majorBidi"/>
          <w:color w:val="000000"/>
          <w:shd w:val="clear" w:color="auto" w:fill="FFFFFF"/>
          <w:lang w:val="fr-FR"/>
        </w:rPr>
        <w:t xml:space="preserve"> </w:t>
      </w:r>
      <w:r w:rsidRPr="000F163F">
        <w:rPr>
          <w:rFonts w:asciiTheme="majorBidi" w:hAnsiTheme="majorBidi" w:cstheme="majorBidi"/>
          <w:color w:val="000000"/>
          <w:shd w:val="clear" w:color="auto" w:fill="FFFFFF"/>
          <w:lang w:val="fr-FR"/>
        </w:rPr>
        <w:t>tribunal de la jeunesse doit être préféré lorsqu</w:t>
      </w:r>
      <w:r>
        <w:rPr>
          <w:rFonts w:asciiTheme="majorBidi" w:hAnsiTheme="majorBidi" w:cstheme="majorBidi"/>
          <w:color w:val="000000"/>
          <w:shd w:val="clear" w:color="auto" w:fill="FFFFFF"/>
          <w:lang w:val="fr-FR"/>
        </w:rPr>
        <w:t xml:space="preserve">’il </w:t>
      </w:r>
      <w:r w:rsidRPr="000F163F">
        <w:rPr>
          <w:rFonts w:asciiTheme="majorBidi" w:hAnsiTheme="majorBidi" w:cstheme="majorBidi"/>
          <w:color w:val="000000"/>
          <w:shd w:val="clear" w:color="auto" w:fill="FFFFFF"/>
          <w:lang w:val="fr-FR"/>
        </w:rPr>
        <w:t>est mieux éclairé pour cerner l’intérêt de l’enfant</w:t>
      </w:r>
      <w:r>
        <w:rPr>
          <w:rFonts w:asciiTheme="majorBidi" w:hAnsiTheme="majorBidi" w:cstheme="majorBidi"/>
          <w:color w:val="000000"/>
          <w:shd w:val="clear" w:color="auto" w:fill="FFFFFF"/>
          <w:lang w:val="fr-FR"/>
        </w:rPr>
        <w:t xml:space="preserve"> </w:t>
      </w:r>
      <w:r w:rsidRPr="000F163F">
        <w:rPr>
          <w:rFonts w:asciiTheme="majorBidi" w:hAnsiTheme="majorBidi" w:cstheme="majorBidi"/>
          <w:color w:val="000000"/>
          <w:shd w:val="clear" w:color="auto" w:fill="FFFFFF"/>
          <w:lang w:val="fr-FR"/>
        </w:rPr>
        <w:t xml:space="preserve">et mieux outillé pour tenter de remédier </w:t>
      </w:r>
      <w:r>
        <w:rPr>
          <w:rFonts w:asciiTheme="majorBidi" w:hAnsiTheme="majorBidi" w:cstheme="majorBidi"/>
          <w:color w:val="000000"/>
          <w:shd w:val="clear" w:color="auto" w:fill="FFFFFF"/>
          <w:lang w:val="fr-FR"/>
        </w:rPr>
        <w:t xml:space="preserve">au cas d’espèce qui lui est soumis. </w:t>
      </w:r>
      <w:r w:rsidRPr="000F163F">
        <w:rPr>
          <w:rFonts w:asciiTheme="majorBidi" w:hAnsiTheme="majorBidi" w:cstheme="majorBidi"/>
          <w:color w:val="000000"/>
          <w:shd w:val="clear" w:color="auto" w:fill="FFFFFF"/>
          <w:lang w:val="fr-FR"/>
        </w:rPr>
        <w:t>La concentration des demandes</w:t>
      </w:r>
      <w:r>
        <w:rPr>
          <w:rFonts w:asciiTheme="majorBidi" w:hAnsiTheme="majorBidi" w:cstheme="majorBidi"/>
          <w:color w:val="000000"/>
          <w:shd w:val="clear" w:color="auto" w:fill="FFFFFF"/>
          <w:lang w:val="fr-FR"/>
        </w:rPr>
        <w:t xml:space="preserve"> </w:t>
      </w:r>
      <w:r w:rsidRPr="000F163F">
        <w:rPr>
          <w:rFonts w:asciiTheme="majorBidi" w:hAnsiTheme="majorBidi" w:cstheme="majorBidi"/>
          <w:color w:val="000000"/>
          <w:shd w:val="clear" w:color="auto" w:fill="FFFFFF"/>
          <w:lang w:val="fr-FR"/>
        </w:rPr>
        <w:t>devant un seul tribunal</w:t>
      </w:r>
      <w:r>
        <w:rPr>
          <w:rFonts w:asciiTheme="majorBidi" w:hAnsiTheme="majorBidi" w:cstheme="majorBidi"/>
          <w:color w:val="000000"/>
          <w:shd w:val="clear" w:color="auto" w:fill="FFFFFF"/>
          <w:lang w:val="fr-FR"/>
        </w:rPr>
        <w:t xml:space="preserve"> vise à rencontrer </w:t>
      </w:r>
      <w:r w:rsidRPr="000F163F">
        <w:rPr>
          <w:rFonts w:asciiTheme="majorBidi" w:hAnsiTheme="majorBidi" w:cstheme="majorBidi"/>
          <w:color w:val="000000"/>
          <w:shd w:val="clear" w:color="auto" w:fill="FFFFFF"/>
          <w:lang w:val="fr-FR"/>
        </w:rPr>
        <w:t>les impératifs de bonne administration de la justice, d’efficacité</w:t>
      </w:r>
      <w:r>
        <w:rPr>
          <w:rFonts w:asciiTheme="majorBidi" w:hAnsiTheme="majorBidi" w:cstheme="majorBidi"/>
          <w:color w:val="000000"/>
          <w:shd w:val="clear" w:color="auto" w:fill="FFFFFF"/>
          <w:lang w:val="fr-FR"/>
        </w:rPr>
        <w:t xml:space="preserve"> </w:t>
      </w:r>
      <w:r w:rsidRPr="000F163F">
        <w:rPr>
          <w:rFonts w:asciiTheme="majorBidi" w:hAnsiTheme="majorBidi" w:cstheme="majorBidi"/>
          <w:color w:val="000000"/>
          <w:shd w:val="clear" w:color="auto" w:fill="FFFFFF"/>
          <w:lang w:val="fr-FR"/>
        </w:rPr>
        <w:t>et de cohérence</w:t>
      </w:r>
      <w:r w:rsidR="00750366" w:rsidRPr="00750366">
        <w:rPr>
          <w:rFonts w:asciiTheme="majorBidi" w:hAnsiTheme="majorBidi" w:cstheme="majorBidi"/>
          <w:color w:val="000000"/>
          <w:shd w:val="clear" w:color="auto" w:fill="FFFFFF"/>
        </w:rPr>
        <w:t xml:space="preserve"> </w:t>
      </w:r>
      <w:r>
        <w:rPr>
          <w:rFonts w:asciiTheme="majorBidi" w:hAnsiTheme="majorBidi" w:cstheme="majorBidi"/>
          <w:color w:val="000000"/>
          <w:shd w:val="clear" w:color="auto" w:fill="FFFFFF"/>
        </w:rPr>
        <w:t xml:space="preserve">(Cour appel Bruxelles </w:t>
      </w:r>
      <w:r w:rsidR="00750366" w:rsidRPr="00750366">
        <w:rPr>
          <w:rFonts w:asciiTheme="majorBidi" w:hAnsiTheme="majorBidi" w:cstheme="majorBidi"/>
          <w:color w:val="000000"/>
          <w:shd w:val="clear" w:color="auto" w:fill="FFFFFF"/>
        </w:rPr>
        <w:t>(30e ch. jeun.), 21 juin 2022,</w:t>
      </w:r>
      <w:r w:rsidR="00750366" w:rsidRPr="00750366">
        <w:rPr>
          <w:rStyle w:val="apple-converted-space"/>
          <w:rFonts w:asciiTheme="majorBidi" w:hAnsiTheme="majorBidi" w:cstheme="majorBidi"/>
          <w:color w:val="000000"/>
          <w:shd w:val="clear" w:color="auto" w:fill="FFFFFF"/>
        </w:rPr>
        <w:t> </w:t>
      </w:r>
      <w:proofErr w:type="spellStart"/>
      <w:r w:rsidR="00750366" w:rsidRPr="00750366">
        <w:rPr>
          <w:rFonts w:asciiTheme="majorBidi" w:hAnsiTheme="majorBidi" w:cstheme="majorBidi"/>
          <w:i/>
          <w:iCs/>
          <w:color w:val="000000"/>
        </w:rPr>
        <w:t>Act</w:t>
      </w:r>
      <w:proofErr w:type="spellEnd"/>
      <w:r w:rsidR="00750366" w:rsidRPr="00750366">
        <w:rPr>
          <w:rFonts w:asciiTheme="majorBidi" w:hAnsiTheme="majorBidi" w:cstheme="majorBidi"/>
          <w:i/>
          <w:iCs/>
          <w:color w:val="000000"/>
        </w:rPr>
        <w:t xml:space="preserve">. </w:t>
      </w:r>
      <w:proofErr w:type="spellStart"/>
      <w:r w:rsidR="00750366" w:rsidRPr="00750366">
        <w:rPr>
          <w:rFonts w:asciiTheme="majorBidi" w:hAnsiTheme="majorBidi" w:cstheme="majorBidi"/>
          <w:i/>
          <w:iCs/>
          <w:color w:val="000000"/>
        </w:rPr>
        <w:t>dr</w:t>
      </w:r>
      <w:proofErr w:type="spellEnd"/>
      <w:r w:rsidR="00750366" w:rsidRPr="00750366">
        <w:rPr>
          <w:rFonts w:asciiTheme="majorBidi" w:hAnsiTheme="majorBidi" w:cstheme="majorBidi"/>
          <w:i/>
          <w:iCs/>
          <w:color w:val="000000"/>
        </w:rPr>
        <w:t xml:space="preserve">. </w:t>
      </w:r>
      <w:proofErr w:type="spellStart"/>
      <w:r w:rsidR="00750366" w:rsidRPr="00750366">
        <w:rPr>
          <w:rFonts w:asciiTheme="majorBidi" w:hAnsiTheme="majorBidi" w:cstheme="majorBidi"/>
          <w:i/>
          <w:iCs/>
          <w:color w:val="000000"/>
        </w:rPr>
        <w:t>fam</w:t>
      </w:r>
      <w:proofErr w:type="spellEnd"/>
      <w:r w:rsidR="00750366" w:rsidRPr="00750366">
        <w:rPr>
          <w:rFonts w:asciiTheme="majorBidi" w:hAnsiTheme="majorBidi" w:cstheme="majorBidi"/>
          <w:i/>
          <w:iCs/>
          <w:color w:val="000000"/>
        </w:rPr>
        <w:t>.</w:t>
      </w:r>
      <w:r w:rsidR="00750366" w:rsidRPr="00750366">
        <w:rPr>
          <w:rFonts w:asciiTheme="majorBidi" w:hAnsiTheme="majorBidi" w:cstheme="majorBidi"/>
          <w:color w:val="000000"/>
          <w:shd w:val="clear" w:color="auto" w:fill="FFFFFF"/>
        </w:rPr>
        <w:t>, 2022/5, p. 177-178)</w:t>
      </w:r>
      <w:r>
        <w:rPr>
          <w:rStyle w:val="Appelnotedebasdep"/>
          <w:rFonts w:asciiTheme="majorBidi" w:hAnsiTheme="majorBidi" w:cstheme="majorBidi"/>
          <w:color w:val="000000"/>
          <w:shd w:val="clear" w:color="auto" w:fill="FFFFFF"/>
        </w:rPr>
        <w:footnoteReference w:id="4"/>
      </w:r>
      <w:r w:rsidR="00750366" w:rsidRPr="00750366">
        <w:rPr>
          <w:rFonts w:asciiTheme="majorBidi" w:hAnsiTheme="majorBidi" w:cstheme="majorBidi"/>
          <w:color w:val="000000"/>
          <w:shd w:val="clear" w:color="auto" w:fill="FFFFFF"/>
        </w:rPr>
        <w:t>.</w:t>
      </w:r>
    </w:p>
    <w:p w14:paraId="1DE50A44" w14:textId="4E355A9B" w:rsidR="00750366" w:rsidRDefault="00750366" w:rsidP="001D1A8B">
      <w:pPr>
        <w:jc w:val="both"/>
        <w:rPr>
          <w:rFonts w:cstheme="minorHAnsi"/>
          <w:color w:val="000000"/>
          <w:shd w:val="clear" w:color="auto" w:fill="FFFFFF"/>
        </w:rPr>
      </w:pPr>
      <w:r w:rsidRPr="00A80103">
        <w:rPr>
          <w:rFonts w:cstheme="minorHAnsi"/>
          <w:color w:val="000000"/>
          <w:shd w:val="clear" w:color="auto" w:fill="FFFFFF"/>
        </w:rPr>
        <w:t xml:space="preserve"> </w:t>
      </w:r>
    </w:p>
    <w:p w14:paraId="6FE1C47F" w14:textId="5FD184BD" w:rsidR="001F1871" w:rsidRPr="00A144CD" w:rsidRDefault="001D4495" w:rsidP="001D1A8B">
      <w:pPr>
        <w:jc w:val="both"/>
        <w:rPr>
          <w:rFonts w:asciiTheme="majorBidi" w:hAnsiTheme="majorBidi" w:cstheme="majorBidi"/>
          <w:b/>
          <w:bCs/>
          <w:color w:val="000000"/>
          <w:shd w:val="clear" w:color="auto" w:fill="FFFFFF"/>
        </w:rPr>
      </w:pPr>
      <w:r w:rsidRPr="00750366">
        <w:rPr>
          <w:rFonts w:asciiTheme="majorBidi" w:hAnsiTheme="majorBidi" w:cstheme="majorBidi"/>
          <w:b/>
          <w:bCs/>
          <w:color w:val="000000"/>
          <w:shd w:val="clear" w:color="auto" w:fill="FFFFFF"/>
        </w:rPr>
        <w:t xml:space="preserve">Protection de la jeunesse </w:t>
      </w:r>
      <w:r>
        <w:rPr>
          <w:rFonts w:asciiTheme="majorBidi" w:hAnsiTheme="majorBidi" w:cstheme="majorBidi"/>
          <w:b/>
          <w:bCs/>
          <w:color w:val="000000"/>
          <w:shd w:val="clear" w:color="auto" w:fill="FFFFFF"/>
        </w:rPr>
        <w:t xml:space="preserve">– </w:t>
      </w:r>
      <w:r w:rsidR="001F1871" w:rsidRPr="00A144CD">
        <w:rPr>
          <w:rFonts w:asciiTheme="majorBidi" w:hAnsiTheme="majorBidi" w:cstheme="majorBidi"/>
          <w:b/>
          <w:bCs/>
          <w:i/>
          <w:iCs/>
          <w:color w:val="000000"/>
        </w:rPr>
        <w:t>Non bis in idem</w:t>
      </w:r>
      <w:r w:rsidR="001F1871" w:rsidRPr="00A144CD">
        <w:rPr>
          <w:rStyle w:val="apple-converted-space"/>
          <w:rFonts w:asciiTheme="majorBidi" w:hAnsiTheme="majorBidi" w:cstheme="majorBidi"/>
          <w:b/>
          <w:bCs/>
          <w:color w:val="000000"/>
          <w:shd w:val="clear" w:color="auto" w:fill="FFFFFF"/>
        </w:rPr>
        <w:t> </w:t>
      </w:r>
      <w:r w:rsidR="001F1871" w:rsidRPr="00A144CD">
        <w:rPr>
          <w:rFonts w:asciiTheme="majorBidi" w:hAnsiTheme="majorBidi" w:cstheme="majorBidi"/>
          <w:b/>
          <w:bCs/>
          <w:color w:val="000000"/>
          <w:shd w:val="clear" w:color="auto" w:fill="FFFFFF"/>
        </w:rPr>
        <w:t xml:space="preserve"> – </w:t>
      </w:r>
      <w:r w:rsidR="00A144CD" w:rsidRPr="00A144CD">
        <w:rPr>
          <w:rFonts w:asciiTheme="majorBidi" w:hAnsiTheme="majorBidi" w:cstheme="majorBidi"/>
          <w:b/>
          <w:bCs/>
          <w:color w:val="000000"/>
          <w:shd w:val="clear" w:color="auto" w:fill="FFFFFF"/>
        </w:rPr>
        <w:t>Art</w:t>
      </w:r>
      <w:r w:rsidR="00F8118B">
        <w:rPr>
          <w:rFonts w:asciiTheme="majorBidi" w:hAnsiTheme="majorBidi" w:cstheme="majorBidi"/>
          <w:b/>
          <w:bCs/>
          <w:color w:val="000000"/>
          <w:shd w:val="clear" w:color="auto" w:fill="FFFFFF"/>
        </w:rPr>
        <w:t>.</w:t>
      </w:r>
      <w:r w:rsidR="00A144CD" w:rsidRPr="00A144CD">
        <w:rPr>
          <w:rFonts w:asciiTheme="majorBidi" w:hAnsiTheme="majorBidi" w:cstheme="majorBidi"/>
          <w:b/>
          <w:bCs/>
          <w:color w:val="000000"/>
          <w:shd w:val="clear" w:color="auto" w:fill="FFFFFF"/>
        </w:rPr>
        <w:t xml:space="preserve"> 4.1 du Protocole n° 7 à la CEDH –  </w:t>
      </w:r>
      <w:r w:rsidR="001F1871" w:rsidRPr="00A144CD">
        <w:rPr>
          <w:rFonts w:asciiTheme="majorBidi" w:hAnsiTheme="majorBidi" w:cstheme="majorBidi"/>
          <w:b/>
          <w:bCs/>
          <w:color w:val="000000"/>
          <w:shd w:val="clear" w:color="auto" w:fill="FFFFFF"/>
        </w:rPr>
        <w:t xml:space="preserve">Identité de faits commis avant et après la majorité </w:t>
      </w:r>
      <w:r w:rsidR="00A144CD" w:rsidRPr="00A144CD">
        <w:rPr>
          <w:rFonts w:asciiTheme="majorBidi" w:hAnsiTheme="majorBidi" w:cstheme="majorBidi"/>
          <w:b/>
          <w:bCs/>
          <w:color w:val="000000"/>
          <w:shd w:val="clear" w:color="auto" w:fill="FFFFFF"/>
        </w:rPr>
        <w:t>–</w:t>
      </w:r>
      <w:r w:rsidR="001F1871" w:rsidRPr="00A144CD">
        <w:rPr>
          <w:rFonts w:asciiTheme="majorBidi" w:hAnsiTheme="majorBidi" w:cstheme="majorBidi"/>
          <w:b/>
          <w:bCs/>
          <w:color w:val="000000"/>
          <w:shd w:val="clear" w:color="auto" w:fill="FFFFFF"/>
        </w:rPr>
        <w:t xml:space="preserve"> </w:t>
      </w:r>
      <w:r w:rsidR="00A144CD" w:rsidRPr="00A144CD">
        <w:rPr>
          <w:rFonts w:asciiTheme="majorBidi" w:hAnsiTheme="majorBidi" w:cstheme="majorBidi"/>
          <w:b/>
          <w:bCs/>
          <w:color w:val="000000"/>
          <w:shd w:val="clear" w:color="auto" w:fill="FFFFFF"/>
        </w:rPr>
        <w:t xml:space="preserve">Irrecevabilité de l’action publique- Différence entre mesure de protection et peine </w:t>
      </w:r>
    </w:p>
    <w:p w14:paraId="1171986F" w14:textId="77777777" w:rsidR="00750366" w:rsidRPr="00750366" w:rsidRDefault="00750366" w:rsidP="001D1A8B">
      <w:pPr>
        <w:autoSpaceDE w:val="0"/>
        <w:autoSpaceDN w:val="0"/>
        <w:adjustRightInd w:val="0"/>
        <w:jc w:val="both"/>
        <w:rPr>
          <w:rFonts w:asciiTheme="majorBidi" w:eastAsiaTheme="minorHAnsi" w:hAnsiTheme="majorBidi" w:cstheme="majorBidi"/>
          <w:color w:val="000000"/>
          <w:lang w:eastAsia="en-US"/>
        </w:rPr>
      </w:pPr>
    </w:p>
    <w:p w14:paraId="7FAB42B2" w14:textId="411F82FE" w:rsidR="00592FE1" w:rsidRPr="00A144CD" w:rsidRDefault="00750366" w:rsidP="001D1A8B">
      <w:pPr>
        <w:jc w:val="both"/>
        <w:rPr>
          <w:rFonts w:asciiTheme="majorBidi" w:hAnsiTheme="majorBidi" w:cstheme="majorBidi"/>
          <w:color w:val="000000"/>
        </w:rPr>
      </w:pPr>
      <w:r w:rsidRPr="00A144CD">
        <w:rPr>
          <w:rFonts w:asciiTheme="majorBidi" w:eastAsiaTheme="minorHAnsi" w:hAnsiTheme="majorBidi" w:cstheme="majorBidi"/>
          <w:color w:val="000000"/>
          <w:lang w:eastAsia="en-US"/>
        </w:rPr>
        <w:t xml:space="preserve">Un mineur </w:t>
      </w:r>
      <w:r w:rsidR="005247FC" w:rsidRPr="00A144CD">
        <w:rPr>
          <w:rFonts w:asciiTheme="majorBidi" w:eastAsiaTheme="minorHAnsi" w:hAnsiTheme="majorBidi" w:cstheme="majorBidi"/>
          <w:color w:val="000000"/>
          <w:lang w:eastAsia="en-US"/>
        </w:rPr>
        <w:t xml:space="preserve">se voit </w:t>
      </w:r>
      <w:r w:rsidR="001F1871" w:rsidRPr="00A144CD">
        <w:rPr>
          <w:rFonts w:asciiTheme="majorBidi" w:eastAsiaTheme="minorHAnsi" w:hAnsiTheme="majorBidi" w:cstheme="majorBidi"/>
          <w:color w:val="000000"/>
          <w:lang w:eastAsia="en-US"/>
        </w:rPr>
        <w:t xml:space="preserve">imposer, par le tribunal de la jeunesse, </w:t>
      </w:r>
      <w:r w:rsidR="001F1871" w:rsidRPr="00A144CD">
        <w:rPr>
          <w:rFonts w:asciiTheme="majorBidi" w:hAnsiTheme="majorBidi" w:cstheme="majorBidi"/>
          <w:color w:val="000000"/>
        </w:rPr>
        <w:t>la réalisation de trente heures de prestations éducatives, pour avoir, avant sa majorité, vendu à des mineurs d’âge du cannabis.</w:t>
      </w:r>
      <w:r w:rsidR="007D40CA">
        <w:rPr>
          <w:rFonts w:asciiTheme="majorBidi" w:hAnsiTheme="majorBidi" w:cstheme="majorBidi"/>
          <w:color w:val="000000"/>
        </w:rPr>
        <w:t xml:space="preserve"> </w:t>
      </w:r>
      <w:r w:rsidR="00592FE1" w:rsidRPr="00A144CD">
        <w:rPr>
          <w:rFonts w:asciiTheme="majorBidi" w:hAnsiTheme="majorBidi" w:cstheme="majorBidi"/>
          <w:color w:val="000000"/>
        </w:rPr>
        <w:t>Il est ensuite p</w:t>
      </w:r>
      <w:r w:rsidR="001F1871" w:rsidRPr="00A144CD">
        <w:rPr>
          <w:rFonts w:asciiTheme="majorBidi" w:hAnsiTheme="majorBidi" w:cstheme="majorBidi"/>
          <w:color w:val="000000"/>
        </w:rPr>
        <w:t xml:space="preserve">oursuivi pour </w:t>
      </w:r>
      <w:r w:rsidR="00592FE1" w:rsidRPr="00A144CD">
        <w:rPr>
          <w:rFonts w:asciiTheme="majorBidi" w:hAnsiTheme="majorBidi" w:cstheme="majorBidi"/>
          <w:color w:val="000000"/>
        </w:rPr>
        <w:t xml:space="preserve">avoir, après sa majorité, </w:t>
      </w:r>
      <w:r w:rsidR="00592FE1" w:rsidRPr="00A144CD">
        <w:rPr>
          <w:rFonts w:asciiTheme="majorBidi" w:hAnsiTheme="majorBidi" w:cstheme="majorBidi"/>
          <w:color w:val="000000"/>
          <w:shd w:val="clear" w:color="auto" w:fill="FFFFFF"/>
        </w:rPr>
        <w:t>détenu et vendu une quantité indéterminée de cannabis avec la circonstance que l</w:t>
      </w:r>
      <w:r w:rsidR="00A144CD">
        <w:rPr>
          <w:rFonts w:asciiTheme="majorBidi" w:hAnsiTheme="majorBidi" w:cstheme="majorBidi"/>
          <w:color w:val="000000"/>
          <w:shd w:val="clear" w:color="auto" w:fill="FFFFFF"/>
        </w:rPr>
        <w:t>’</w:t>
      </w:r>
      <w:r w:rsidR="00592FE1" w:rsidRPr="00A144CD">
        <w:rPr>
          <w:rFonts w:asciiTheme="majorBidi" w:hAnsiTheme="majorBidi" w:cstheme="majorBidi"/>
          <w:color w:val="000000"/>
          <w:shd w:val="clear" w:color="auto" w:fill="FFFFFF"/>
        </w:rPr>
        <w:t>infraction constitue un acte de participation à l</w:t>
      </w:r>
      <w:r w:rsidR="00A144CD">
        <w:rPr>
          <w:rFonts w:asciiTheme="majorBidi" w:hAnsiTheme="majorBidi" w:cstheme="majorBidi"/>
          <w:color w:val="000000"/>
          <w:shd w:val="clear" w:color="auto" w:fill="FFFFFF"/>
        </w:rPr>
        <w:t>’</w:t>
      </w:r>
      <w:r w:rsidR="00592FE1" w:rsidRPr="00A144CD">
        <w:rPr>
          <w:rFonts w:asciiTheme="majorBidi" w:hAnsiTheme="majorBidi" w:cstheme="majorBidi"/>
          <w:color w:val="000000"/>
          <w:shd w:val="clear" w:color="auto" w:fill="FFFFFF"/>
        </w:rPr>
        <w:t>activité principale ou accessoire d</w:t>
      </w:r>
      <w:r w:rsidR="00A144CD">
        <w:rPr>
          <w:rFonts w:asciiTheme="majorBidi" w:hAnsiTheme="majorBidi" w:cstheme="majorBidi"/>
          <w:color w:val="000000"/>
          <w:shd w:val="clear" w:color="auto" w:fill="FFFFFF"/>
        </w:rPr>
        <w:t>’</w:t>
      </w:r>
      <w:r w:rsidR="00592FE1" w:rsidRPr="00A144CD">
        <w:rPr>
          <w:rFonts w:asciiTheme="majorBidi" w:hAnsiTheme="majorBidi" w:cstheme="majorBidi"/>
          <w:color w:val="000000"/>
          <w:shd w:val="clear" w:color="auto" w:fill="FFFFFF"/>
        </w:rPr>
        <w:t>une association. L</w:t>
      </w:r>
      <w:r w:rsidR="001F1871" w:rsidRPr="00A144CD">
        <w:rPr>
          <w:rFonts w:asciiTheme="majorBidi" w:hAnsiTheme="majorBidi" w:cstheme="majorBidi"/>
          <w:color w:val="000000"/>
        </w:rPr>
        <w:t xml:space="preserve">a Cour d’appel de Mons déclare les poursuites irrecevables, conformément </w:t>
      </w:r>
      <w:r w:rsidR="001F1871" w:rsidRPr="00A144CD">
        <w:rPr>
          <w:rFonts w:asciiTheme="majorBidi" w:hAnsiTheme="majorBidi" w:cstheme="majorBidi"/>
          <w:color w:val="000000"/>
          <w:shd w:val="clear" w:color="auto" w:fill="FFFFFF"/>
        </w:rPr>
        <w:t>au principe</w:t>
      </w:r>
      <w:r w:rsidR="001F1871" w:rsidRPr="00A144CD">
        <w:rPr>
          <w:rStyle w:val="apple-converted-space"/>
          <w:rFonts w:asciiTheme="majorBidi" w:hAnsiTheme="majorBidi" w:cstheme="majorBidi"/>
          <w:color w:val="000000"/>
          <w:shd w:val="clear" w:color="auto" w:fill="FFFFFF"/>
        </w:rPr>
        <w:t> </w:t>
      </w:r>
      <w:r w:rsidR="001F1871" w:rsidRPr="00A144CD">
        <w:rPr>
          <w:rFonts w:asciiTheme="majorBidi" w:hAnsiTheme="majorBidi" w:cstheme="majorBidi"/>
          <w:i/>
          <w:iCs/>
          <w:color w:val="000000"/>
        </w:rPr>
        <w:t>non bis in idem</w:t>
      </w:r>
      <w:r w:rsidR="001F1871" w:rsidRPr="00A144CD">
        <w:rPr>
          <w:rFonts w:asciiTheme="majorBidi" w:hAnsiTheme="majorBidi" w:cstheme="majorBidi"/>
          <w:color w:val="000000"/>
          <w:shd w:val="clear" w:color="auto" w:fill="FFFFFF"/>
        </w:rPr>
        <w:t xml:space="preserve">, </w:t>
      </w:r>
      <w:r w:rsidR="00592FE1" w:rsidRPr="00A144CD">
        <w:rPr>
          <w:rFonts w:asciiTheme="majorBidi" w:hAnsiTheme="majorBidi" w:cstheme="majorBidi"/>
          <w:color w:val="000000"/>
        </w:rPr>
        <w:t>considérant que</w:t>
      </w:r>
      <w:r w:rsidR="001F1871" w:rsidRPr="00A144CD">
        <w:rPr>
          <w:rFonts w:asciiTheme="majorBidi" w:hAnsiTheme="majorBidi" w:cstheme="majorBidi"/>
          <w:color w:val="000000"/>
        </w:rPr>
        <w:t xml:space="preserve"> les faits </w:t>
      </w:r>
      <w:r w:rsidR="001F1871" w:rsidRPr="00A144CD">
        <w:rPr>
          <w:rFonts w:asciiTheme="majorBidi" w:hAnsiTheme="majorBidi" w:cstheme="majorBidi"/>
          <w:color w:val="000000"/>
          <w:shd w:val="clear" w:color="auto" w:fill="FFFFFF"/>
        </w:rPr>
        <w:t>commis avant sa majorité, p</w:t>
      </w:r>
      <w:r w:rsidR="00592FE1" w:rsidRPr="00A144CD">
        <w:rPr>
          <w:rFonts w:asciiTheme="majorBidi" w:hAnsiTheme="majorBidi" w:cstheme="majorBidi"/>
          <w:color w:val="000000"/>
          <w:shd w:val="clear" w:color="auto" w:fill="FFFFFF"/>
        </w:rPr>
        <w:t>our lesquels il a déjà été sanctionné par le tribunal de la jeunesse, sont en substance les mêmes que ceux qu</w:t>
      </w:r>
      <w:r w:rsidR="00A144CD">
        <w:rPr>
          <w:rFonts w:asciiTheme="majorBidi" w:hAnsiTheme="majorBidi" w:cstheme="majorBidi"/>
          <w:color w:val="000000"/>
          <w:shd w:val="clear" w:color="auto" w:fill="FFFFFF"/>
        </w:rPr>
        <w:t>’</w:t>
      </w:r>
      <w:r w:rsidR="00592FE1" w:rsidRPr="00A144CD">
        <w:rPr>
          <w:rFonts w:asciiTheme="majorBidi" w:hAnsiTheme="majorBidi" w:cstheme="majorBidi"/>
          <w:color w:val="000000"/>
          <w:shd w:val="clear" w:color="auto" w:fill="FFFFFF"/>
        </w:rPr>
        <w:t xml:space="preserve">il a continué à commettre après sa majorité. La Cour d’appel se base, notamment, sur le fait </w:t>
      </w:r>
      <w:r w:rsidR="00A144CD">
        <w:rPr>
          <w:rFonts w:asciiTheme="majorBidi" w:hAnsiTheme="majorBidi" w:cstheme="majorBidi"/>
          <w:color w:val="000000"/>
          <w:shd w:val="clear" w:color="auto" w:fill="FFFFFF"/>
        </w:rPr>
        <w:t>qu’</w:t>
      </w:r>
      <w:r w:rsidR="00592FE1" w:rsidRPr="00A144CD">
        <w:rPr>
          <w:rFonts w:asciiTheme="majorBidi" w:hAnsiTheme="majorBidi" w:cstheme="majorBidi"/>
          <w:color w:val="000000"/>
        </w:rPr>
        <w:t>il s</w:t>
      </w:r>
      <w:r w:rsidR="00505FF0">
        <w:rPr>
          <w:rFonts w:asciiTheme="majorBidi" w:hAnsiTheme="majorBidi" w:cstheme="majorBidi"/>
          <w:color w:val="000000"/>
        </w:rPr>
        <w:t>’</w:t>
      </w:r>
      <w:r w:rsidR="00592FE1" w:rsidRPr="00A144CD">
        <w:rPr>
          <w:rFonts w:asciiTheme="majorBidi" w:hAnsiTheme="majorBidi" w:cstheme="majorBidi"/>
          <w:color w:val="000000"/>
        </w:rPr>
        <w:t xml:space="preserve">agit de la vente du même type de </w:t>
      </w:r>
      <w:r w:rsidR="00505FF0">
        <w:rPr>
          <w:rFonts w:asciiTheme="majorBidi" w:hAnsiTheme="majorBidi" w:cstheme="majorBidi"/>
          <w:color w:val="000000"/>
        </w:rPr>
        <w:t>drogues</w:t>
      </w:r>
      <w:r w:rsidR="00592FE1" w:rsidRPr="00A144CD">
        <w:rPr>
          <w:rFonts w:asciiTheme="majorBidi" w:hAnsiTheme="majorBidi" w:cstheme="majorBidi"/>
          <w:color w:val="000000"/>
        </w:rPr>
        <w:t>, au même endroit, pour le compte de la même personne, au profit des mêmes clients, et dans un laps de temps continu, soit une période globale de huit mois, dont sept écoulés alors que le prévenu était mineur d</w:t>
      </w:r>
      <w:r w:rsidR="00A144CD">
        <w:rPr>
          <w:rFonts w:asciiTheme="majorBidi" w:hAnsiTheme="majorBidi" w:cstheme="majorBidi"/>
          <w:color w:val="000000"/>
        </w:rPr>
        <w:t>’</w:t>
      </w:r>
      <w:r w:rsidR="00592FE1" w:rsidRPr="00A144CD">
        <w:rPr>
          <w:rFonts w:asciiTheme="majorBidi" w:hAnsiTheme="majorBidi" w:cstheme="majorBidi"/>
          <w:color w:val="000000"/>
        </w:rPr>
        <w:t>âge et un seul situé après sa majorité</w:t>
      </w:r>
      <w:r w:rsidR="009F76EA" w:rsidRPr="00A144CD">
        <w:rPr>
          <w:rFonts w:asciiTheme="majorBidi" w:hAnsiTheme="majorBidi" w:cstheme="majorBidi"/>
          <w:color w:val="000000"/>
        </w:rPr>
        <w:t>.</w:t>
      </w:r>
    </w:p>
    <w:p w14:paraId="365A7BF7" w14:textId="77777777" w:rsidR="007D40CA" w:rsidRDefault="007D40CA" w:rsidP="001D1A8B">
      <w:pPr>
        <w:autoSpaceDE w:val="0"/>
        <w:autoSpaceDN w:val="0"/>
        <w:adjustRightInd w:val="0"/>
        <w:jc w:val="both"/>
        <w:rPr>
          <w:rFonts w:asciiTheme="majorBidi" w:eastAsiaTheme="minorHAnsi" w:hAnsiTheme="majorBidi" w:cstheme="majorBidi"/>
          <w:color w:val="000000"/>
          <w:lang w:eastAsia="en-US"/>
        </w:rPr>
      </w:pPr>
    </w:p>
    <w:p w14:paraId="2B9CEEC2" w14:textId="23F86D08" w:rsidR="00833124" w:rsidRPr="00A80103" w:rsidRDefault="00592FE1" w:rsidP="001D1A8B">
      <w:pPr>
        <w:pStyle w:val="NormalWeb"/>
        <w:jc w:val="both"/>
        <w:rPr>
          <w:rFonts w:asciiTheme="minorHAnsi" w:hAnsiTheme="minorHAnsi" w:cstheme="minorHAnsi"/>
          <w:b/>
          <w:bCs/>
          <w:color w:val="000000"/>
          <w:shd w:val="clear" w:color="auto" w:fill="FFFFFF"/>
        </w:rPr>
      </w:pPr>
      <w:r w:rsidRPr="00A144CD">
        <w:rPr>
          <w:rFonts w:asciiTheme="majorBidi" w:eastAsiaTheme="minorHAnsi" w:hAnsiTheme="majorBidi" w:cstheme="majorBidi"/>
          <w:color w:val="000000"/>
          <w:lang w:eastAsia="en-US"/>
        </w:rPr>
        <w:t xml:space="preserve">Sur </w:t>
      </w:r>
      <w:r w:rsidR="00842A81">
        <w:rPr>
          <w:rFonts w:asciiTheme="majorBidi" w:eastAsiaTheme="minorHAnsi" w:hAnsiTheme="majorBidi" w:cstheme="majorBidi"/>
          <w:color w:val="000000"/>
          <w:lang w:eastAsia="en-US"/>
        </w:rPr>
        <w:t xml:space="preserve">le </w:t>
      </w:r>
      <w:r w:rsidRPr="00A144CD">
        <w:rPr>
          <w:rFonts w:asciiTheme="majorBidi" w:eastAsiaTheme="minorHAnsi" w:hAnsiTheme="majorBidi" w:cstheme="majorBidi"/>
          <w:color w:val="000000"/>
          <w:lang w:eastAsia="en-US"/>
        </w:rPr>
        <w:t>pou</w:t>
      </w:r>
      <w:r w:rsidR="00842A81">
        <w:rPr>
          <w:rFonts w:asciiTheme="majorBidi" w:eastAsiaTheme="minorHAnsi" w:hAnsiTheme="majorBidi" w:cstheme="majorBidi"/>
          <w:color w:val="000000"/>
          <w:lang w:eastAsia="en-US"/>
        </w:rPr>
        <w:t>r</w:t>
      </w:r>
      <w:r w:rsidRPr="00A144CD">
        <w:rPr>
          <w:rFonts w:asciiTheme="majorBidi" w:eastAsiaTheme="minorHAnsi" w:hAnsiTheme="majorBidi" w:cstheme="majorBidi"/>
          <w:color w:val="000000"/>
          <w:lang w:eastAsia="en-US"/>
        </w:rPr>
        <w:t xml:space="preserve">voi du procureur général de Mons pris de la violation </w:t>
      </w:r>
      <w:r w:rsidRPr="00A144CD">
        <w:rPr>
          <w:rFonts w:asciiTheme="majorBidi" w:hAnsiTheme="majorBidi" w:cstheme="majorBidi"/>
          <w:color w:val="000000"/>
          <w:shd w:val="clear" w:color="auto" w:fill="FFFFFF"/>
        </w:rPr>
        <w:t>de l</w:t>
      </w:r>
      <w:r w:rsidR="00A144CD">
        <w:rPr>
          <w:rFonts w:asciiTheme="majorBidi" w:hAnsiTheme="majorBidi" w:cstheme="majorBidi"/>
          <w:color w:val="000000"/>
          <w:shd w:val="clear" w:color="auto" w:fill="FFFFFF"/>
        </w:rPr>
        <w:t>’</w:t>
      </w:r>
      <w:r w:rsidRPr="00A144CD">
        <w:rPr>
          <w:rFonts w:asciiTheme="majorBidi" w:hAnsiTheme="majorBidi" w:cstheme="majorBidi"/>
          <w:color w:val="000000"/>
          <w:shd w:val="clear" w:color="auto" w:fill="FFFFFF"/>
        </w:rPr>
        <w:t xml:space="preserve">article 4.1 du Protocole n° 7 à la </w:t>
      </w:r>
      <w:r w:rsidR="00A144CD">
        <w:rPr>
          <w:rFonts w:asciiTheme="majorBidi" w:hAnsiTheme="majorBidi" w:cstheme="majorBidi"/>
          <w:color w:val="000000"/>
          <w:shd w:val="clear" w:color="auto" w:fill="FFFFFF"/>
        </w:rPr>
        <w:t>CEDH</w:t>
      </w:r>
      <w:r w:rsidRPr="00A144CD">
        <w:rPr>
          <w:rFonts w:asciiTheme="majorBidi" w:eastAsiaTheme="minorHAnsi" w:hAnsiTheme="majorBidi" w:cstheme="majorBidi"/>
          <w:color w:val="000000"/>
          <w:lang w:eastAsia="en-US"/>
        </w:rPr>
        <w:t>, la Cour de cassation considère que l</w:t>
      </w:r>
      <w:r w:rsidR="00A144CD">
        <w:rPr>
          <w:rFonts w:asciiTheme="majorBidi" w:hAnsiTheme="majorBidi" w:cstheme="majorBidi"/>
          <w:color w:val="000000"/>
          <w:shd w:val="clear" w:color="auto" w:fill="FFFFFF"/>
        </w:rPr>
        <w:t>’</w:t>
      </w:r>
      <w:r w:rsidRPr="00A144CD">
        <w:rPr>
          <w:rFonts w:asciiTheme="majorBidi" w:hAnsiTheme="majorBidi" w:cstheme="majorBidi"/>
          <w:color w:val="000000"/>
          <w:shd w:val="clear" w:color="auto" w:fill="FFFFFF"/>
        </w:rPr>
        <w:t>application de la fin de non-recevoir de l</w:t>
      </w:r>
      <w:r w:rsidR="00A144CD">
        <w:rPr>
          <w:rFonts w:asciiTheme="majorBidi" w:hAnsiTheme="majorBidi" w:cstheme="majorBidi"/>
          <w:color w:val="000000"/>
          <w:shd w:val="clear" w:color="auto" w:fill="FFFFFF"/>
        </w:rPr>
        <w:t>’</w:t>
      </w:r>
      <w:r w:rsidRPr="00A144CD">
        <w:rPr>
          <w:rFonts w:asciiTheme="majorBidi" w:hAnsiTheme="majorBidi" w:cstheme="majorBidi"/>
          <w:color w:val="000000"/>
          <w:shd w:val="clear" w:color="auto" w:fill="FFFFFF"/>
        </w:rPr>
        <w:t>action publique, déduite du principe</w:t>
      </w:r>
      <w:r w:rsidRPr="00A144CD">
        <w:rPr>
          <w:rStyle w:val="apple-converted-space"/>
          <w:rFonts w:asciiTheme="majorBidi" w:hAnsiTheme="majorBidi" w:cstheme="majorBidi"/>
          <w:color w:val="000000"/>
          <w:shd w:val="clear" w:color="auto" w:fill="FFFFFF"/>
        </w:rPr>
        <w:t> </w:t>
      </w:r>
      <w:r w:rsidRPr="00A144CD">
        <w:rPr>
          <w:rFonts w:asciiTheme="majorBidi" w:hAnsiTheme="majorBidi" w:cstheme="majorBidi"/>
          <w:i/>
          <w:iCs/>
          <w:color w:val="000000"/>
        </w:rPr>
        <w:t>non bis in idem</w:t>
      </w:r>
      <w:r w:rsidRPr="00A144CD">
        <w:rPr>
          <w:rFonts w:asciiTheme="majorBidi" w:hAnsiTheme="majorBidi" w:cstheme="majorBidi"/>
          <w:color w:val="000000"/>
          <w:shd w:val="clear" w:color="auto" w:fill="FFFFFF"/>
        </w:rPr>
        <w:t>, suppose l</w:t>
      </w:r>
      <w:r w:rsidR="00505FF0">
        <w:rPr>
          <w:rFonts w:asciiTheme="majorBidi" w:hAnsiTheme="majorBidi" w:cstheme="majorBidi"/>
          <w:color w:val="000000"/>
          <w:shd w:val="clear" w:color="auto" w:fill="FFFFFF"/>
        </w:rPr>
        <w:t>’</w:t>
      </w:r>
      <w:r w:rsidRPr="00A144CD">
        <w:rPr>
          <w:rFonts w:asciiTheme="majorBidi" w:hAnsiTheme="majorBidi" w:cstheme="majorBidi"/>
          <w:color w:val="000000"/>
          <w:shd w:val="clear" w:color="auto" w:fill="FFFFFF"/>
        </w:rPr>
        <w:t>existence d</w:t>
      </w:r>
      <w:r w:rsidR="00505FF0">
        <w:rPr>
          <w:rFonts w:asciiTheme="majorBidi" w:hAnsiTheme="majorBidi" w:cstheme="majorBidi"/>
          <w:color w:val="000000"/>
          <w:shd w:val="clear" w:color="auto" w:fill="FFFFFF"/>
        </w:rPr>
        <w:t>’</w:t>
      </w:r>
      <w:r w:rsidRPr="00A144CD">
        <w:rPr>
          <w:rFonts w:asciiTheme="majorBidi" w:hAnsiTheme="majorBidi" w:cstheme="majorBidi"/>
          <w:color w:val="000000"/>
          <w:shd w:val="clear" w:color="auto" w:fill="FFFFFF"/>
        </w:rPr>
        <w:t>une première condamnation définitive, prononcée à la suite d</w:t>
      </w:r>
      <w:r w:rsidR="00A144CD">
        <w:rPr>
          <w:rFonts w:asciiTheme="majorBidi" w:hAnsiTheme="majorBidi" w:cstheme="majorBidi"/>
          <w:color w:val="000000"/>
          <w:shd w:val="clear" w:color="auto" w:fill="FFFFFF"/>
        </w:rPr>
        <w:t>’</w:t>
      </w:r>
      <w:r w:rsidRPr="00A144CD">
        <w:rPr>
          <w:rFonts w:asciiTheme="majorBidi" w:hAnsiTheme="majorBidi" w:cstheme="majorBidi"/>
          <w:color w:val="000000"/>
          <w:shd w:val="clear" w:color="auto" w:fill="FFFFFF"/>
        </w:rPr>
        <w:t>une poursuite revêtant un caractère répressif.</w:t>
      </w:r>
      <w:r w:rsidRPr="00A144CD">
        <w:rPr>
          <w:rStyle w:val="apple-converted-space"/>
          <w:rFonts w:asciiTheme="majorBidi" w:hAnsiTheme="majorBidi" w:cstheme="majorBidi"/>
          <w:color w:val="000000"/>
          <w:shd w:val="clear" w:color="auto" w:fill="FFFFFF"/>
        </w:rPr>
        <w:t> </w:t>
      </w:r>
      <w:r w:rsidR="009F76EA" w:rsidRPr="00A144CD">
        <w:rPr>
          <w:rStyle w:val="apple-converted-space"/>
          <w:rFonts w:asciiTheme="majorBidi" w:hAnsiTheme="majorBidi" w:cstheme="majorBidi"/>
          <w:color w:val="000000"/>
          <w:shd w:val="clear" w:color="auto" w:fill="FFFFFF"/>
        </w:rPr>
        <w:t>Or, selon la Cour, l</w:t>
      </w:r>
      <w:r w:rsidR="009F76EA" w:rsidRPr="00A144CD">
        <w:rPr>
          <w:rFonts w:asciiTheme="majorBidi" w:hAnsiTheme="majorBidi" w:cstheme="majorBidi"/>
          <w:color w:val="000000"/>
        </w:rPr>
        <w:t>e comportement dont le tribunal de la jeunesse a eu à connaître n</w:t>
      </w:r>
      <w:r w:rsidR="00A144CD">
        <w:rPr>
          <w:rFonts w:asciiTheme="majorBidi" w:hAnsiTheme="majorBidi" w:cstheme="majorBidi"/>
          <w:color w:val="000000"/>
        </w:rPr>
        <w:t>’</w:t>
      </w:r>
      <w:r w:rsidR="009F76EA" w:rsidRPr="00A144CD">
        <w:rPr>
          <w:rFonts w:asciiTheme="majorBidi" w:hAnsiTheme="majorBidi" w:cstheme="majorBidi"/>
          <w:color w:val="000000"/>
        </w:rPr>
        <w:t>est pas constitutif d</w:t>
      </w:r>
      <w:r w:rsidR="00A144CD">
        <w:rPr>
          <w:rFonts w:asciiTheme="majorBidi" w:hAnsiTheme="majorBidi" w:cstheme="majorBidi"/>
          <w:color w:val="000000"/>
        </w:rPr>
        <w:t>’</w:t>
      </w:r>
      <w:r w:rsidR="009F76EA" w:rsidRPr="00A144CD">
        <w:rPr>
          <w:rFonts w:asciiTheme="majorBidi" w:hAnsiTheme="majorBidi" w:cstheme="majorBidi"/>
          <w:color w:val="000000"/>
        </w:rPr>
        <w:t xml:space="preserve">infractions, mais seulement de faits qualifiés tels et les mesures de protection sont </w:t>
      </w:r>
      <w:r w:rsidR="009F76EA" w:rsidRPr="00750366">
        <w:rPr>
          <w:rFonts w:asciiTheme="majorBidi" w:eastAsiaTheme="minorHAnsi" w:hAnsiTheme="majorBidi" w:cstheme="majorBidi"/>
          <w:color w:val="000000"/>
          <w:lang w:eastAsia="en-US"/>
        </w:rPr>
        <w:t>dépouillée</w:t>
      </w:r>
      <w:r w:rsidR="009F76EA" w:rsidRPr="00A144CD">
        <w:rPr>
          <w:rFonts w:asciiTheme="majorBidi" w:eastAsiaTheme="minorHAnsi" w:hAnsiTheme="majorBidi" w:cstheme="majorBidi"/>
          <w:color w:val="000000"/>
          <w:lang w:eastAsia="en-US"/>
        </w:rPr>
        <w:t>s</w:t>
      </w:r>
      <w:r w:rsidR="009F76EA" w:rsidRPr="00750366">
        <w:rPr>
          <w:rFonts w:asciiTheme="majorBidi" w:eastAsiaTheme="minorHAnsi" w:hAnsiTheme="majorBidi" w:cstheme="majorBidi"/>
          <w:color w:val="000000"/>
          <w:lang w:eastAsia="en-US"/>
        </w:rPr>
        <w:t xml:space="preserve"> </w:t>
      </w:r>
      <w:r w:rsidR="009F76EA" w:rsidRPr="00A144CD">
        <w:rPr>
          <w:rFonts w:asciiTheme="majorBidi" w:eastAsiaTheme="minorHAnsi" w:hAnsiTheme="majorBidi" w:cstheme="majorBidi"/>
          <w:color w:val="000000"/>
          <w:lang w:eastAsia="en-US"/>
        </w:rPr>
        <w:t>de tout</w:t>
      </w:r>
      <w:r w:rsidR="009F76EA" w:rsidRPr="00750366">
        <w:rPr>
          <w:rFonts w:asciiTheme="majorBidi" w:eastAsiaTheme="minorHAnsi" w:hAnsiTheme="majorBidi" w:cstheme="majorBidi"/>
          <w:color w:val="000000"/>
          <w:lang w:eastAsia="en-US"/>
        </w:rPr>
        <w:t xml:space="preserve"> caractère rétributif, afflictif et infamant propre à la peine</w:t>
      </w:r>
      <w:r w:rsidR="009F76EA" w:rsidRPr="00A144CD">
        <w:rPr>
          <w:rFonts w:asciiTheme="majorBidi" w:eastAsiaTheme="minorHAnsi" w:hAnsiTheme="majorBidi" w:cstheme="majorBidi"/>
          <w:color w:val="000000"/>
          <w:lang w:eastAsia="en-US"/>
        </w:rPr>
        <w:t xml:space="preserve">. En revanche, </w:t>
      </w:r>
      <w:r w:rsidR="009F76EA" w:rsidRPr="00A144CD">
        <w:rPr>
          <w:rFonts w:asciiTheme="majorBidi" w:hAnsiTheme="majorBidi" w:cstheme="majorBidi"/>
          <w:color w:val="000000"/>
        </w:rPr>
        <w:t>les faits déférés au tribunal correctionnel constituent des délits dont la sanction implique la culpabilité de celui qui les commet et sont susceptibles de donner lieu à une peine (Cass (</w:t>
      </w:r>
      <w:r w:rsidR="009F76EA" w:rsidRPr="004E2F5E">
        <w:rPr>
          <w:rFonts w:asciiTheme="majorBidi" w:hAnsiTheme="majorBidi" w:cstheme="majorBidi"/>
          <w:color w:val="000000" w:themeColor="text1"/>
        </w:rPr>
        <w:t>2</w:t>
      </w:r>
      <w:r w:rsidR="007D0293" w:rsidRPr="004E2F5E">
        <w:rPr>
          <w:rFonts w:asciiTheme="majorBidi" w:hAnsiTheme="majorBidi" w:cstheme="majorBidi"/>
          <w:color w:val="000000" w:themeColor="text1"/>
          <w:vertAlign w:val="superscript"/>
        </w:rPr>
        <w:t>e</w:t>
      </w:r>
      <w:r w:rsidR="009F76EA" w:rsidRPr="004E2F5E">
        <w:rPr>
          <w:rFonts w:asciiTheme="majorBidi" w:hAnsiTheme="majorBidi" w:cstheme="majorBidi"/>
          <w:color w:val="000000" w:themeColor="text1"/>
        </w:rPr>
        <w:t xml:space="preserve"> ch.), </w:t>
      </w:r>
      <w:r w:rsidR="00772F47" w:rsidRPr="004E2F5E">
        <w:rPr>
          <w:rFonts w:asciiTheme="majorBidi" w:hAnsiTheme="majorBidi" w:cstheme="majorBidi"/>
          <w:color w:val="000000" w:themeColor="text1"/>
        </w:rPr>
        <w:t>12 octobre 2022</w:t>
      </w:r>
      <w:r w:rsidR="007D0293" w:rsidRPr="004E2F5E">
        <w:rPr>
          <w:rFonts w:asciiTheme="majorBidi" w:hAnsiTheme="majorBidi" w:cstheme="majorBidi"/>
          <w:color w:val="000000" w:themeColor="text1"/>
        </w:rPr>
        <w:t xml:space="preserve">, </w:t>
      </w:r>
      <w:r w:rsidR="009F76EA" w:rsidRPr="004E2F5E">
        <w:rPr>
          <w:rFonts w:asciiTheme="majorBidi" w:eastAsiaTheme="minorHAnsi" w:hAnsiTheme="majorBidi" w:cstheme="majorBidi"/>
          <w:i/>
          <w:iCs/>
          <w:color w:val="000000" w:themeColor="text1"/>
          <w:lang w:eastAsia="en-US"/>
        </w:rPr>
        <w:t>J.</w:t>
      </w:r>
      <w:r w:rsidR="009F76EA" w:rsidRPr="00750366">
        <w:rPr>
          <w:rFonts w:asciiTheme="majorBidi" w:eastAsiaTheme="minorHAnsi" w:hAnsiTheme="majorBidi" w:cstheme="majorBidi"/>
          <w:i/>
          <w:iCs/>
          <w:color w:val="000000"/>
          <w:lang w:eastAsia="en-US"/>
        </w:rPr>
        <w:t>T</w:t>
      </w:r>
      <w:r w:rsidR="009F76EA" w:rsidRPr="00750366">
        <w:rPr>
          <w:rFonts w:asciiTheme="majorBidi" w:eastAsiaTheme="minorHAnsi" w:hAnsiTheme="majorBidi" w:cstheme="majorBidi"/>
          <w:color w:val="000000"/>
          <w:lang w:eastAsia="en-US"/>
        </w:rPr>
        <w:t>.</w:t>
      </w:r>
      <w:r w:rsidR="009F76EA" w:rsidRPr="00A144CD">
        <w:rPr>
          <w:rFonts w:asciiTheme="majorBidi" w:eastAsiaTheme="minorHAnsi" w:hAnsiTheme="majorBidi" w:cstheme="majorBidi"/>
          <w:color w:val="000000"/>
          <w:lang w:eastAsia="en-US"/>
        </w:rPr>
        <w:t>,</w:t>
      </w:r>
      <w:r w:rsidR="009F76EA" w:rsidRPr="00750366">
        <w:rPr>
          <w:rFonts w:asciiTheme="majorBidi" w:eastAsiaTheme="minorHAnsi" w:hAnsiTheme="majorBidi" w:cstheme="majorBidi"/>
          <w:color w:val="000000"/>
          <w:lang w:eastAsia="en-US"/>
        </w:rPr>
        <w:t xml:space="preserve"> 2022, </w:t>
      </w:r>
      <w:r w:rsidR="009F76EA" w:rsidRPr="00A144CD">
        <w:rPr>
          <w:rFonts w:asciiTheme="majorBidi" w:eastAsiaTheme="minorHAnsi" w:hAnsiTheme="majorBidi" w:cstheme="majorBidi"/>
          <w:color w:val="000000"/>
          <w:lang w:eastAsia="en-US"/>
        </w:rPr>
        <w:t xml:space="preserve">n° </w:t>
      </w:r>
      <w:r w:rsidR="009F76EA" w:rsidRPr="00750366">
        <w:rPr>
          <w:rFonts w:asciiTheme="majorBidi" w:eastAsiaTheme="minorHAnsi" w:hAnsiTheme="majorBidi" w:cstheme="majorBidi"/>
          <w:color w:val="000000"/>
          <w:lang w:eastAsia="en-US"/>
        </w:rPr>
        <w:t xml:space="preserve">6919, </w:t>
      </w:r>
      <w:r w:rsidR="009F76EA" w:rsidRPr="00A144CD">
        <w:rPr>
          <w:rFonts w:asciiTheme="majorBidi" w:eastAsiaTheme="minorHAnsi" w:hAnsiTheme="majorBidi" w:cstheme="majorBidi"/>
          <w:color w:val="000000"/>
          <w:lang w:eastAsia="en-US"/>
        </w:rPr>
        <w:t>p.</w:t>
      </w:r>
      <w:r w:rsidR="009F76EA" w:rsidRPr="00750366">
        <w:rPr>
          <w:rFonts w:asciiTheme="majorBidi" w:eastAsiaTheme="minorHAnsi" w:hAnsiTheme="majorBidi" w:cstheme="majorBidi"/>
          <w:color w:val="000000"/>
          <w:lang w:eastAsia="en-US"/>
        </w:rPr>
        <w:t>789</w:t>
      </w:r>
      <w:r w:rsidR="00833124">
        <w:rPr>
          <w:rFonts w:asciiTheme="majorBidi" w:eastAsiaTheme="minorHAnsi" w:hAnsiTheme="majorBidi" w:cstheme="majorBidi"/>
          <w:color w:val="000000"/>
          <w:lang w:eastAsia="en-US"/>
        </w:rPr>
        <w:t>-791</w:t>
      </w:r>
      <w:r w:rsidR="009F76EA" w:rsidRPr="00A144CD">
        <w:rPr>
          <w:rFonts w:asciiTheme="majorBidi" w:eastAsiaTheme="minorHAnsi" w:hAnsiTheme="majorBidi" w:cstheme="majorBidi"/>
          <w:color w:val="000000"/>
          <w:lang w:eastAsia="en-US"/>
        </w:rPr>
        <w:t xml:space="preserve"> et note</w:t>
      </w:r>
      <w:r w:rsidR="007D0293">
        <w:rPr>
          <w:rFonts w:asciiTheme="majorBidi" w:eastAsiaTheme="minorHAnsi" w:hAnsiTheme="majorBidi" w:cstheme="majorBidi"/>
          <w:color w:val="000000"/>
          <w:lang w:eastAsia="en-US"/>
        </w:rPr>
        <w:t> </w:t>
      </w:r>
      <w:r w:rsidR="009F76EA" w:rsidRPr="00A144CD">
        <w:rPr>
          <w:rFonts w:asciiTheme="majorBidi" w:eastAsiaTheme="minorHAnsi" w:hAnsiTheme="majorBidi" w:cstheme="majorBidi"/>
          <w:color w:val="000000"/>
          <w:lang w:eastAsia="en-US"/>
        </w:rPr>
        <w:t>;</w:t>
      </w:r>
      <w:r w:rsidR="009F76EA" w:rsidRPr="00750366">
        <w:rPr>
          <w:rFonts w:asciiTheme="majorBidi" w:eastAsiaTheme="minorHAnsi" w:hAnsiTheme="majorBidi" w:cstheme="majorBidi"/>
          <w:color w:val="000000"/>
          <w:lang w:eastAsia="en-US"/>
        </w:rPr>
        <w:t xml:space="preserve"> </w:t>
      </w:r>
      <w:r w:rsidR="009F76EA" w:rsidRPr="00750366">
        <w:rPr>
          <w:rFonts w:asciiTheme="majorBidi" w:eastAsiaTheme="minorHAnsi" w:hAnsiTheme="majorBidi" w:cstheme="majorBidi"/>
          <w:i/>
          <w:iCs/>
          <w:color w:val="000000"/>
          <w:lang w:eastAsia="en-US"/>
        </w:rPr>
        <w:t>J.L.M.B</w:t>
      </w:r>
      <w:r w:rsidR="009F76EA" w:rsidRPr="00750366">
        <w:rPr>
          <w:rFonts w:asciiTheme="majorBidi" w:eastAsiaTheme="minorHAnsi" w:hAnsiTheme="majorBidi" w:cstheme="majorBidi"/>
          <w:color w:val="000000"/>
          <w:lang w:eastAsia="en-US"/>
        </w:rPr>
        <w:t>.</w:t>
      </w:r>
      <w:r w:rsidR="007D0293">
        <w:rPr>
          <w:rFonts w:asciiTheme="majorBidi" w:eastAsiaTheme="minorHAnsi" w:hAnsiTheme="majorBidi" w:cstheme="majorBidi"/>
          <w:color w:val="FF0000"/>
          <w:lang w:eastAsia="en-US"/>
        </w:rPr>
        <w:t>,</w:t>
      </w:r>
      <w:r w:rsidR="009F76EA" w:rsidRPr="00750366">
        <w:rPr>
          <w:rFonts w:asciiTheme="majorBidi" w:eastAsiaTheme="minorHAnsi" w:hAnsiTheme="majorBidi" w:cstheme="majorBidi"/>
          <w:color w:val="000000"/>
          <w:lang w:eastAsia="en-US"/>
        </w:rPr>
        <w:t xml:space="preserve"> 2023</w:t>
      </w:r>
      <w:r w:rsidR="009F76EA" w:rsidRPr="00A144CD">
        <w:rPr>
          <w:rFonts w:asciiTheme="majorBidi" w:eastAsiaTheme="minorHAnsi" w:hAnsiTheme="majorBidi" w:cstheme="majorBidi"/>
          <w:color w:val="000000"/>
          <w:lang w:eastAsia="en-US"/>
        </w:rPr>
        <w:t>/</w:t>
      </w:r>
      <w:r w:rsidR="009F76EA" w:rsidRPr="00750366">
        <w:rPr>
          <w:rFonts w:asciiTheme="majorBidi" w:eastAsiaTheme="minorHAnsi" w:hAnsiTheme="majorBidi" w:cstheme="majorBidi"/>
          <w:color w:val="000000"/>
          <w:lang w:eastAsia="en-US"/>
        </w:rPr>
        <w:t xml:space="preserve">7, </w:t>
      </w:r>
      <w:r w:rsidR="009F76EA" w:rsidRPr="00A144CD">
        <w:rPr>
          <w:rFonts w:asciiTheme="majorBidi" w:eastAsiaTheme="minorHAnsi" w:hAnsiTheme="majorBidi" w:cstheme="majorBidi"/>
          <w:color w:val="000000"/>
          <w:lang w:eastAsia="en-US"/>
        </w:rPr>
        <w:t xml:space="preserve">p. </w:t>
      </w:r>
      <w:r w:rsidR="009F76EA" w:rsidRPr="00750366">
        <w:rPr>
          <w:rFonts w:asciiTheme="majorBidi" w:eastAsiaTheme="minorHAnsi" w:hAnsiTheme="majorBidi" w:cstheme="majorBidi"/>
          <w:color w:val="000000"/>
          <w:lang w:eastAsia="en-US"/>
        </w:rPr>
        <w:t>279</w:t>
      </w:r>
      <w:r w:rsidR="00833124">
        <w:rPr>
          <w:rFonts w:asciiTheme="majorBidi" w:eastAsiaTheme="minorHAnsi" w:hAnsiTheme="majorBidi" w:cstheme="majorBidi"/>
          <w:color w:val="000000"/>
          <w:lang w:eastAsia="en-US"/>
        </w:rPr>
        <w:t>-281</w:t>
      </w:r>
      <w:r w:rsidR="00A144CD" w:rsidRPr="00A144CD">
        <w:rPr>
          <w:rFonts w:asciiTheme="majorBidi" w:eastAsiaTheme="minorHAnsi" w:hAnsiTheme="majorBidi" w:cstheme="majorBidi"/>
          <w:color w:val="000000"/>
          <w:lang w:eastAsia="en-US"/>
        </w:rPr>
        <w:t>).</w:t>
      </w:r>
      <w:r w:rsidR="009F76EA" w:rsidRPr="00750366">
        <w:rPr>
          <w:rFonts w:asciiTheme="majorBidi" w:eastAsiaTheme="minorHAnsi" w:hAnsiTheme="majorBidi" w:cstheme="majorBidi"/>
          <w:b/>
          <w:bCs/>
          <w:color w:val="000000"/>
          <w:lang w:eastAsia="en-US"/>
        </w:rPr>
        <w:t xml:space="preserve"> </w:t>
      </w:r>
    </w:p>
    <w:p w14:paraId="317BA0FD" w14:textId="3E804C49" w:rsidR="009F76EA" w:rsidRPr="00750366" w:rsidRDefault="009F76EA" w:rsidP="001D1A8B">
      <w:pPr>
        <w:autoSpaceDE w:val="0"/>
        <w:autoSpaceDN w:val="0"/>
        <w:adjustRightInd w:val="0"/>
        <w:jc w:val="both"/>
        <w:rPr>
          <w:rFonts w:asciiTheme="majorBidi" w:eastAsiaTheme="minorHAnsi" w:hAnsiTheme="majorBidi" w:cstheme="majorBidi"/>
          <w:b/>
          <w:bCs/>
          <w:color w:val="000000"/>
          <w:lang w:eastAsia="en-US"/>
        </w:rPr>
      </w:pPr>
    </w:p>
    <w:p w14:paraId="2A90645A" w14:textId="7245B025" w:rsidR="001D174E" w:rsidRDefault="009F76EA" w:rsidP="001D1A8B">
      <w:pPr>
        <w:jc w:val="both"/>
      </w:pPr>
      <w:r w:rsidRPr="00A144CD">
        <w:rPr>
          <w:rFonts w:asciiTheme="majorBidi" w:eastAsiaTheme="minorHAnsi" w:hAnsiTheme="majorBidi" w:cstheme="majorBidi"/>
          <w:color w:val="000000"/>
          <w:lang w:eastAsia="en-US"/>
        </w:rPr>
        <w:t>L’arrêt nous semble critiquable</w:t>
      </w:r>
      <w:r w:rsidR="007D40CA">
        <w:rPr>
          <w:rFonts w:asciiTheme="majorBidi" w:eastAsiaTheme="minorHAnsi" w:hAnsiTheme="majorBidi" w:cstheme="majorBidi"/>
          <w:color w:val="000000"/>
          <w:lang w:eastAsia="en-US"/>
        </w:rPr>
        <w:t>, notamment,</w:t>
      </w:r>
      <w:r w:rsidRPr="00A144CD">
        <w:rPr>
          <w:rFonts w:asciiTheme="majorBidi" w:eastAsiaTheme="minorHAnsi" w:hAnsiTheme="majorBidi" w:cstheme="majorBidi"/>
          <w:color w:val="000000"/>
          <w:lang w:eastAsia="en-US"/>
        </w:rPr>
        <w:t xml:space="preserve"> </w:t>
      </w:r>
      <w:r w:rsidR="00842A81" w:rsidRPr="00A144CD">
        <w:rPr>
          <w:rFonts w:asciiTheme="majorBidi" w:eastAsiaTheme="minorHAnsi" w:hAnsiTheme="majorBidi" w:cstheme="majorBidi"/>
          <w:color w:val="000000"/>
          <w:lang w:eastAsia="en-US"/>
        </w:rPr>
        <w:t xml:space="preserve">aux yeux </w:t>
      </w:r>
      <w:r w:rsidRPr="00A144CD">
        <w:rPr>
          <w:rFonts w:asciiTheme="majorBidi" w:eastAsiaTheme="minorHAnsi" w:hAnsiTheme="majorBidi" w:cstheme="majorBidi"/>
          <w:color w:val="000000"/>
          <w:lang w:eastAsia="en-US"/>
        </w:rPr>
        <w:t xml:space="preserve">de la jurisprudence </w:t>
      </w:r>
      <w:r w:rsidR="007D40CA">
        <w:rPr>
          <w:rFonts w:asciiTheme="majorBidi" w:eastAsiaTheme="minorHAnsi" w:hAnsiTheme="majorBidi" w:cstheme="majorBidi"/>
          <w:color w:val="000000"/>
          <w:lang w:eastAsia="en-US"/>
        </w:rPr>
        <w:t xml:space="preserve">de la Cour de Justice de l’Union européenne qui </w:t>
      </w:r>
      <w:r w:rsidR="00B20FD3">
        <w:rPr>
          <w:rFonts w:asciiTheme="majorBidi" w:eastAsiaTheme="minorHAnsi" w:hAnsiTheme="majorBidi" w:cstheme="majorBidi"/>
          <w:color w:val="000000"/>
          <w:lang w:eastAsia="en-US"/>
        </w:rPr>
        <w:t xml:space="preserve">a </w:t>
      </w:r>
      <w:r w:rsidR="007D40CA">
        <w:rPr>
          <w:rFonts w:asciiTheme="majorBidi" w:eastAsiaTheme="minorHAnsi" w:hAnsiTheme="majorBidi" w:cstheme="majorBidi"/>
          <w:color w:val="000000"/>
          <w:lang w:eastAsia="en-US"/>
        </w:rPr>
        <w:t>estim</w:t>
      </w:r>
      <w:r w:rsidR="00B20FD3">
        <w:rPr>
          <w:rFonts w:asciiTheme="majorBidi" w:eastAsiaTheme="minorHAnsi" w:hAnsiTheme="majorBidi" w:cstheme="majorBidi"/>
          <w:color w:val="000000"/>
          <w:lang w:eastAsia="en-US"/>
        </w:rPr>
        <w:t>é</w:t>
      </w:r>
      <w:r w:rsidR="007D40CA">
        <w:rPr>
          <w:rFonts w:asciiTheme="majorBidi" w:eastAsiaTheme="minorHAnsi" w:hAnsiTheme="majorBidi" w:cstheme="majorBidi"/>
          <w:color w:val="000000"/>
          <w:lang w:eastAsia="en-US"/>
        </w:rPr>
        <w:t>, e</w:t>
      </w:r>
      <w:r w:rsidR="001D174E" w:rsidRPr="00C459A2">
        <w:t>n ce qui concerne l’</w:t>
      </w:r>
      <w:r w:rsidR="001D174E" w:rsidRPr="008B0821">
        <w:rPr>
          <w:i/>
          <w:iCs/>
        </w:rPr>
        <w:t>idem</w:t>
      </w:r>
      <w:r w:rsidR="001D174E" w:rsidRPr="00C459A2">
        <w:t xml:space="preserve">, </w:t>
      </w:r>
      <w:r w:rsidR="00B20FD3">
        <w:t xml:space="preserve">dans l’arrêt </w:t>
      </w:r>
      <w:r w:rsidR="00B20FD3" w:rsidRPr="00B20FD3">
        <w:rPr>
          <w:i/>
          <w:iCs/>
        </w:rPr>
        <w:t xml:space="preserve">Van </w:t>
      </w:r>
      <w:proofErr w:type="spellStart"/>
      <w:r w:rsidR="00B20FD3" w:rsidRPr="00B20FD3">
        <w:rPr>
          <w:i/>
          <w:iCs/>
        </w:rPr>
        <w:t>Esbroeck</w:t>
      </w:r>
      <w:proofErr w:type="spellEnd"/>
      <w:r w:rsidR="00B20FD3">
        <w:t xml:space="preserve">, </w:t>
      </w:r>
      <w:r w:rsidR="001D174E" w:rsidRPr="00C459A2">
        <w:t>que le seul critère pertinent aux fins de l</w:t>
      </w:r>
      <w:r w:rsidR="00F05659">
        <w:t>’</w:t>
      </w:r>
      <w:r w:rsidR="001D174E" w:rsidRPr="00C459A2">
        <w:t xml:space="preserve">application du principe est </w:t>
      </w:r>
      <w:r w:rsidR="00F05659">
        <w:t>« </w:t>
      </w:r>
      <w:r w:rsidR="001D174E" w:rsidRPr="00C459A2">
        <w:t>celui de l</w:t>
      </w:r>
      <w:r w:rsidR="00F05659">
        <w:t>’</w:t>
      </w:r>
      <w:r w:rsidR="001D174E" w:rsidRPr="00C459A2">
        <w:t>identité des faits matériels, compris comme l</w:t>
      </w:r>
      <w:r w:rsidR="00F05659">
        <w:t>’</w:t>
      </w:r>
      <w:r w:rsidR="001D174E" w:rsidRPr="00C459A2">
        <w:t>existence d</w:t>
      </w:r>
      <w:r w:rsidR="00F05659">
        <w:t>’</w:t>
      </w:r>
      <w:r w:rsidR="001D174E" w:rsidRPr="00C459A2">
        <w:t xml:space="preserve">un ensemble de circonstances indissociablement </w:t>
      </w:r>
      <w:r w:rsidR="001D174E" w:rsidRPr="00772F47">
        <w:rPr>
          <w:color w:val="000000" w:themeColor="text1"/>
        </w:rPr>
        <w:t>l</w:t>
      </w:r>
      <w:r w:rsidR="001D174E" w:rsidRPr="004E2F5E">
        <w:rPr>
          <w:color w:val="000000" w:themeColor="text1"/>
        </w:rPr>
        <w:t>ié</w:t>
      </w:r>
      <w:r w:rsidR="007D0293" w:rsidRPr="004E2F5E">
        <w:rPr>
          <w:color w:val="000000" w:themeColor="text1"/>
        </w:rPr>
        <w:t>e</w:t>
      </w:r>
      <w:r w:rsidR="001D174E" w:rsidRPr="004E2F5E">
        <w:rPr>
          <w:color w:val="000000" w:themeColor="text1"/>
        </w:rPr>
        <w:t>s</w:t>
      </w:r>
      <w:r w:rsidR="001D174E" w:rsidRPr="00772F47">
        <w:rPr>
          <w:color w:val="000000" w:themeColor="text1"/>
        </w:rPr>
        <w:t xml:space="preserve"> </w:t>
      </w:r>
      <w:r w:rsidR="001D174E" w:rsidRPr="00C459A2">
        <w:t>entre elles</w:t>
      </w:r>
      <w:r w:rsidR="00F05659">
        <w:t xml:space="preserve"> »</w:t>
      </w:r>
      <w:r w:rsidR="001D174E" w:rsidRPr="00C459A2">
        <w:t>, indépendamment de la qualification juridique de ceux-ci ou de l</w:t>
      </w:r>
      <w:r w:rsidR="00F05659">
        <w:t>’</w:t>
      </w:r>
      <w:r w:rsidR="001D174E" w:rsidRPr="00C459A2">
        <w:t xml:space="preserve">intérêt juridique </w:t>
      </w:r>
      <w:r w:rsidR="001D174E" w:rsidRPr="00DC18E5">
        <w:t>protégé</w:t>
      </w:r>
      <w:r w:rsidR="00B20FD3" w:rsidRPr="00DC18E5">
        <w:rPr>
          <w:rStyle w:val="Appelnotedebasdep"/>
        </w:rPr>
        <w:footnoteReference w:id="5"/>
      </w:r>
      <w:r w:rsidR="001D174E" w:rsidRPr="00DC18E5">
        <w:t>.</w:t>
      </w:r>
      <w:r w:rsidR="001D174E" w:rsidRPr="00C459A2">
        <w:t xml:space="preserve"> </w:t>
      </w:r>
      <w:r w:rsidR="00D976CB" w:rsidRPr="00C459A2">
        <w:t xml:space="preserve">Dans </w:t>
      </w:r>
      <w:r w:rsidR="00D976CB">
        <w:t>un</w:t>
      </w:r>
      <w:r w:rsidR="00D976CB" w:rsidRPr="00C459A2">
        <w:t xml:space="preserve"> arrêt de principe</w:t>
      </w:r>
      <w:r w:rsidR="00D976CB">
        <w:t xml:space="preserve"> </w:t>
      </w:r>
      <w:proofErr w:type="spellStart"/>
      <w:r w:rsidR="00D976CB" w:rsidRPr="008B0821">
        <w:rPr>
          <w:i/>
          <w:iCs/>
        </w:rPr>
        <w:t>Zolotoukhine</w:t>
      </w:r>
      <w:proofErr w:type="spellEnd"/>
      <w:r w:rsidR="00D976CB" w:rsidRPr="008B0821">
        <w:rPr>
          <w:i/>
          <w:iCs/>
        </w:rPr>
        <w:t xml:space="preserve"> c. Russie</w:t>
      </w:r>
      <w:r w:rsidR="00D976CB" w:rsidRPr="00C459A2">
        <w:t xml:space="preserve"> du 10 février 2009</w:t>
      </w:r>
      <w:r w:rsidR="00D976CB">
        <w:rPr>
          <w:rStyle w:val="Appelnotedebasdep"/>
        </w:rPr>
        <w:footnoteReference w:id="6"/>
      </w:r>
      <w:r w:rsidR="00D976CB">
        <w:t xml:space="preserve">, </w:t>
      </w:r>
      <w:r w:rsidR="001D174E" w:rsidRPr="00C459A2">
        <w:t>la Cour européenne des droits de l</w:t>
      </w:r>
      <w:r w:rsidR="00F05659">
        <w:t>’</w:t>
      </w:r>
      <w:r w:rsidR="001D174E" w:rsidRPr="00C459A2">
        <w:t>homme adopte elle aussi clairement l’approche fondée sur l</w:t>
      </w:r>
      <w:r w:rsidR="00F05659">
        <w:t>’</w:t>
      </w:r>
      <w:r w:rsidR="001D174E" w:rsidRPr="00C459A2">
        <w:t>identité des faits matériels (</w:t>
      </w:r>
      <w:r w:rsidR="001D174E" w:rsidRPr="008B0821">
        <w:rPr>
          <w:i/>
          <w:iCs/>
        </w:rPr>
        <w:t>idem</w:t>
      </w:r>
      <w:r w:rsidR="001D174E" w:rsidRPr="00C459A2">
        <w:t xml:space="preserve"> factuel) au détriment de l</w:t>
      </w:r>
      <w:r w:rsidR="00F05659">
        <w:t>’</w:t>
      </w:r>
      <w:r w:rsidR="001D174E" w:rsidRPr="00C459A2">
        <w:t>identité de la qualification juridique (</w:t>
      </w:r>
      <w:r w:rsidR="001D174E" w:rsidRPr="008B0821">
        <w:rPr>
          <w:i/>
          <w:iCs/>
        </w:rPr>
        <w:t>idem</w:t>
      </w:r>
      <w:r w:rsidR="001D174E" w:rsidRPr="00C459A2">
        <w:t xml:space="preserve"> légal), dans le souci de mieux protéger l</w:t>
      </w:r>
      <w:r w:rsidR="00F05659">
        <w:t>’</w:t>
      </w:r>
      <w:r w:rsidR="001D174E" w:rsidRPr="00C459A2">
        <w:t>auteur de l</w:t>
      </w:r>
      <w:r w:rsidR="00F05659">
        <w:t>’</w:t>
      </w:r>
      <w:r w:rsidR="001D174E" w:rsidRPr="00C459A2">
        <w:t xml:space="preserve">acte en cause. Elle estime en effet que </w:t>
      </w:r>
      <w:r w:rsidR="00F05659">
        <w:t>« </w:t>
      </w:r>
      <w:r w:rsidR="001D174E" w:rsidRPr="00C459A2">
        <w:t>l</w:t>
      </w:r>
      <w:r w:rsidR="00B20FD3">
        <w:t>’</w:t>
      </w:r>
      <w:r w:rsidR="001D174E" w:rsidRPr="00C459A2">
        <w:t>approche qui privilégie la qualification juridique des deux infractions est trop restrictive des droits de la personne</w:t>
      </w:r>
      <w:r w:rsidR="00F05659">
        <w:t> »</w:t>
      </w:r>
      <w:r w:rsidR="001D174E" w:rsidRPr="00C459A2">
        <w:t xml:space="preserve"> et que l</w:t>
      </w:r>
      <w:r w:rsidR="00F05659">
        <w:t>’</w:t>
      </w:r>
      <w:r w:rsidR="001D174E" w:rsidRPr="00C459A2">
        <w:t>article 4 du Protocole n° 7 à la Convention européenne des droits de l</w:t>
      </w:r>
      <w:r w:rsidR="00F05659">
        <w:t>’</w:t>
      </w:r>
      <w:r w:rsidR="001D174E" w:rsidRPr="00C459A2">
        <w:t>homme doit être compris comme interdisant de poursuivre ou de juger une personne pour une seconde infraction pour autant que celle-ci a pour origine « des faits identiques ou des faits qui sont en substance les mêmes »</w:t>
      </w:r>
      <w:r w:rsidR="001D174E">
        <w:rPr>
          <w:rStyle w:val="Appelnotedebasdep"/>
        </w:rPr>
        <w:footnoteReference w:id="7"/>
      </w:r>
      <w:r w:rsidR="001D174E" w:rsidRPr="00C459A2">
        <w:t>.</w:t>
      </w:r>
      <w:r w:rsidR="00D976CB">
        <w:t xml:space="preserve"> </w:t>
      </w:r>
      <w:r w:rsidR="001D174E" w:rsidRPr="00C459A2">
        <w:t>L’enjeu est d</w:t>
      </w:r>
      <w:r w:rsidR="00F05659">
        <w:t>’</w:t>
      </w:r>
      <w:r w:rsidR="001D174E" w:rsidRPr="00C459A2">
        <w:t xml:space="preserve">autant plus important que le </w:t>
      </w:r>
      <w:r w:rsidR="001D174E" w:rsidRPr="008B0821">
        <w:rPr>
          <w:i/>
          <w:iCs/>
        </w:rPr>
        <w:t>ne bis in idem</w:t>
      </w:r>
      <w:r w:rsidR="001D174E" w:rsidRPr="00C459A2">
        <w:t xml:space="preserve"> est inscrit à l'article 50 de la Charte des droits fondamentaux de l</w:t>
      </w:r>
      <w:r w:rsidR="00B20FD3">
        <w:t>’</w:t>
      </w:r>
      <w:r w:rsidR="001D174E" w:rsidRPr="00C459A2">
        <w:t xml:space="preserve">Union européenne </w:t>
      </w:r>
      <w:r w:rsidR="00D976CB">
        <w:t xml:space="preserve">et </w:t>
      </w:r>
      <w:r w:rsidR="001D174E" w:rsidRPr="00C459A2">
        <w:t>a désormais le statut de droit fondamental dans le droit de l</w:t>
      </w:r>
      <w:r w:rsidR="00505FF0">
        <w:t>’</w:t>
      </w:r>
      <w:r w:rsidR="001D174E" w:rsidRPr="00C459A2">
        <w:t>Union</w:t>
      </w:r>
      <w:r w:rsidR="001D174E">
        <w:rPr>
          <w:rStyle w:val="Appelnotedebasdep"/>
        </w:rPr>
        <w:footnoteReference w:id="8"/>
      </w:r>
      <w:r w:rsidR="001D174E" w:rsidRPr="00C459A2">
        <w:t xml:space="preserve">. </w:t>
      </w:r>
      <w:r w:rsidR="00D976CB">
        <w:t xml:space="preserve">Soulignons aussi </w:t>
      </w:r>
      <w:r w:rsidR="001D174E" w:rsidRPr="00C459A2">
        <w:t>que</w:t>
      </w:r>
      <w:r w:rsidR="00D976CB">
        <w:t>,</w:t>
      </w:r>
      <w:r w:rsidR="001D174E" w:rsidRPr="00C459A2">
        <w:t xml:space="preserve"> dans son arrêt </w:t>
      </w:r>
      <w:proofErr w:type="spellStart"/>
      <w:r w:rsidR="001D174E" w:rsidRPr="008B0821">
        <w:rPr>
          <w:i/>
          <w:iCs/>
        </w:rPr>
        <w:t>Aklagaren</w:t>
      </w:r>
      <w:proofErr w:type="spellEnd"/>
      <w:r w:rsidR="001D174E" w:rsidRPr="008B0821">
        <w:rPr>
          <w:i/>
          <w:iCs/>
        </w:rPr>
        <w:t xml:space="preserve"> c. </w:t>
      </w:r>
      <w:proofErr w:type="spellStart"/>
      <w:r w:rsidR="001D174E" w:rsidRPr="008B0821">
        <w:rPr>
          <w:i/>
          <w:iCs/>
        </w:rPr>
        <w:t>Akerberg</w:t>
      </w:r>
      <w:proofErr w:type="spellEnd"/>
      <w:r w:rsidR="001D174E" w:rsidRPr="008B0821">
        <w:rPr>
          <w:i/>
          <w:iCs/>
        </w:rPr>
        <w:t xml:space="preserve"> </w:t>
      </w:r>
      <w:proofErr w:type="spellStart"/>
      <w:r w:rsidR="001D174E" w:rsidRPr="008B0821">
        <w:rPr>
          <w:i/>
          <w:iCs/>
        </w:rPr>
        <w:t>Fransson</w:t>
      </w:r>
      <w:proofErr w:type="spellEnd"/>
      <w:r w:rsidR="001D174E" w:rsidRPr="00C459A2">
        <w:t xml:space="preserve"> du 26 février 2013, la Cour de justice a été amenée à préciser la portée du </w:t>
      </w:r>
      <w:r w:rsidR="001D174E" w:rsidRPr="008B0821">
        <w:rPr>
          <w:i/>
          <w:iCs/>
        </w:rPr>
        <w:t>bis</w:t>
      </w:r>
      <w:r w:rsidR="001D174E" w:rsidRPr="00C459A2">
        <w:t xml:space="preserve"> cette fois. La Cour a ici souligné que </w:t>
      </w:r>
      <w:r w:rsidR="00F05659">
        <w:t>« </w:t>
      </w:r>
      <w:r w:rsidR="001D174E" w:rsidRPr="00C459A2">
        <w:t xml:space="preserve">le principe </w:t>
      </w:r>
      <w:r w:rsidR="001D174E" w:rsidRPr="008B0821">
        <w:rPr>
          <w:i/>
          <w:iCs/>
        </w:rPr>
        <w:t>ne bis in idem</w:t>
      </w:r>
      <w:r w:rsidR="001D174E" w:rsidRPr="00C459A2">
        <w:t xml:space="preserve"> énoncé à l</w:t>
      </w:r>
      <w:r w:rsidR="00F05659">
        <w:t>’</w:t>
      </w:r>
      <w:r w:rsidR="001D174E" w:rsidRPr="00C459A2">
        <w:t>article 50 de la Charte des droits fondamentaux ne s</w:t>
      </w:r>
      <w:r w:rsidR="00F05659">
        <w:t>’</w:t>
      </w:r>
      <w:r w:rsidR="001D174E" w:rsidRPr="00C459A2">
        <w:t>oppose pas à ce qu</w:t>
      </w:r>
      <w:r w:rsidR="00F05659">
        <w:t>’</w:t>
      </w:r>
      <w:r w:rsidR="001D174E" w:rsidRPr="00C459A2">
        <w:t>un État membre impose, pour les mêmes faits de non-respect d</w:t>
      </w:r>
      <w:r w:rsidR="00F05659">
        <w:t>’</w:t>
      </w:r>
      <w:r w:rsidR="001D174E" w:rsidRPr="00C459A2">
        <w:t>obligations déclaratives dans le domaine de la taxe sur la valeur ajoutée, une sanction fiscale et une sanction pénale dans la mesure où la première sanction ne revêt pas un caractère pénal</w:t>
      </w:r>
      <w:r w:rsidR="00B20FD3">
        <w:t> »</w:t>
      </w:r>
      <w:r w:rsidR="001D174E">
        <w:rPr>
          <w:rStyle w:val="Appelnotedebasdep"/>
        </w:rPr>
        <w:footnoteReference w:id="9"/>
      </w:r>
      <w:r w:rsidR="001D174E" w:rsidRPr="00C459A2">
        <w:t xml:space="preserve">. Autrement dit, la Cour pose ici que le principe </w:t>
      </w:r>
      <w:r w:rsidR="001D174E" w:rsidRPr="00F05659">
        <w:rPr>
          <w:i/>
          <w:iCs/>
        </w:rPr>
        <w:t>ne bis in idem</w:t>
      </w:r>
      <w:r w:rsidR="001D174E" w:rsidRPr="00C459A2">
        <w:t xml:space="preserve"> trouve à s</w:t>
      </w:r>
      <w:r w:rsidR="00F05659">
        <w:t>’</w:t>
      </w:r>
      <w:r w:rsidR="001D174E" w:rsidRPr="00C459A2">
        <w:t xml:space="preserve">appliquer si </w:t>
      </w:r>
      <w:r w:rsidR="00D976CB">
        <w:t xml:space="preserve">une </w:t>
      </w:r>
      <w:r w:rsidR="001D174E" w:rsidRPr="00C459A2">
        <w:t>sanction</w:t>
      </w:r>
      <w:r w:rsidR="00D976CB">
        <w:t xml:space="preserve">, quel que soit sa nature, </w:t>
      </w:r>
      <w:r w:rsidR="001D174E" w:rsidRPr="00C459A2">
        <w:t>« revêt un caractère pénal, au sens de l'article 50 de la Charte ».</w:t>
      </w:r>
    </w:p>
    <w:p w14:paraId="7683757F" w14:textId="77777777" w:rsidR="004E2F5E" w:rsidRPr="00C459A2" w:rsidRDefault="004E2F5E" w:rsidP="001D1A8B">
      <w:pPr>
        <w:jc w:val="both"/>
      </w:pPr>
    </w:p>
    <w:p w14:paraId="7B9A0E62" w14:textId="10ADCB40" w:rsidR="00DE0E47" w:rsidRDefault="00842A81" w:rsidP="001D1A8B">
      <w:pPr>
        <w:pStyle w:val="jlmbnoclass"/>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La</w:t>
      </w:r>
      <w:r w:rsidR="00DE0E47" w:rsidRPr="00A144CD">
        <w:rPr>
          <w:rFonts w:asciiTheme="majorBidi" w:hAnsiTheme="majorBidi" w:cstheme="majorBidi"/>
          <w:color w:val="000000"/>
        </w:rPr>
        <w:t xml:space="preserve"> Cour d’appel de Mons</w:t>
      </w:r>
      <w:r>
        <w:rPr>
          <w:rFonts w:asciiTheme="majorBidi" w:hAnsiTheme="majorBidi" w:cstheme="majorBidi"/>
          <w:color w:val="000000"/>
        </w:rPr>
        <w:t xml:space="preserve"> souligne </w:t>
      </w:r>
      <w:r w:rsidR="00DE0E47" w:rsidRPr="00A144CD">
        <w:rPr>
          <w:rFonts w:asciiTheme="majorBidi" w:hAnsiTheme="majorBidi" w:cstheme="majorBidi"/>
          <w:color w:val="000000"/>
        </w:rPr>
        <w:t>que le jugement du tribunal de la jeunesse a infligé au mineur, une sanction de nature pénale puisqu</w:t>
      </w:r>
      <w:r w:rsidR="00505FF0">
        <w:rPr>
          <w:rFonts w:asciiTheme="majorBidi" w:hAnsiTheme="majorBidi" w:cstheme="majorBidi"/>
          <w:color w:val="000000"/>
        </w:rPr>
        <w:t>’</w:t>
      </w:r>
      <w:r w:rsidR="00DE0E47" w:rsidRPr="00A144CD">
        <w:rPr>
          <w:rFonts w:asciiTheme="majorBidi" w:hAnsiTheme="majorBidi" w:cstheme="majorBidi"/>
          <w:color w:val="000000"/>
        </w:rPr>
        <w:t xml:space="preserve">elle </w:t>
      </w:r>
      <w:r w:rsidR="00505FF0">
        <w:rPr>
          <w:rFonts w:asciiTheme="majorBidi" w:hAnsiTheme="majorBidi" w:cstheme="majorBidi"/>
          <w:color w:val="000000"/>
        </w:rPr>
        <w:t>vise</w:t>
      </w:r>
      <w:r w:rsidR="00DE0E47" w:rsidRPr="00A144CD">
        <w:rPr>
          <w:rFonts w:asciiTheme="majorBidi" w:hAnsiTheme="majorBidi" w:cstheme="majorBidi"/>
          <w:color w:val="000000"/>
        </w:rPr>
        <w:t xml:space="preserve"> des faits punissables pénalement et constitue une mesure à caractère répressif.</w:t>
      </w:r>
    </w:p>
    <w:p w14:paraId="765B024E" w14:textId="73928AF9" w:rsidR="00477F81" w:rsidRDefault="00477F81" w:rsidP="001D1A8B">
      <w:pPr>
        <w:pStyle w:val="jlmbnoclass"/>
        <w:spacing w:before="0" w:beforeAutospacing="0" w:after="0" w:afterAutospacing="0"/>
        <w:jc w:val="both"/>
        <w:rPr>
          <w:rFonts w:asciiTheme="majorBidi" w:hAnsiTheme="majorBidi" w:cstheme="majorBidi"/>
          <w:color w:val="000000"/>
        </w:rPr>
      </w:pPr>
    </w:p>
    <w:p w14:paraId="57EA6DB7" w14:textId="77777777" w:rsidR="00477F81" w:rsidRDefault="00477F81" w:rsidP="001D1A8B">
      <w:pPr>
        <w:pStyle w:val="jlmbnoclass"/>
        <w:spacing w:before="0" w:beforeAutospacing="0" w:after="0" w:afterAutospacing="0"/>
        <w:jc w:val="both"/>
        <w:rPr>
          <w:rFonts w:asciiTheme="majorBidi" w:hAnsiTheme="majorBidi" w:cstheme="majorBidi"/>
          <w:color w:val="000000"/>
        </w:rPr>
      </w:pPr>
    </w:p>
    <w:p w14:paraId="3B5B9808" w14:textId="77777777" w:rsidR="00477F81" w:rsidRPr="00D47FD8" w:rsidRDefault="00477F81" w:rsidP="001D1A8B">
      <w:pPr>
        <w:jc w:val="both"/>
        <w:rPr>
          <w:bCs/>
          <w:i/>
          <w:iCs/>
        </w:rPr>
      </w:pPr>
      <w:r w:rsidRPr="00D47FD8">
        <w:rPr>
          <w:bCs/>
          <w:i/>
          <w:iCs/>
        </w:rPr>
        <w:t>PRESSE</w:t>
      </w:r>
    </w:p>
    <w:p w14:paraId="24F4FEAB" w14:textId="77777777" w:rsidR="00477F81" w:rsidRPr="00335C08" w:rsidRDefault="00477F81" w:rsidP="001D1A8B">
      <w:pPr>
        <w:jc w:val="both"/>
      </w:pPr>
    </w:p>
    <w:p w14:paraId="65DAA37C" w14:textId="77777777" w:rsidR="00477F81" w:rsidRPr="00335C08" w:rsidRDefault="00477F81" w:rsidP="001D1A8B">
      <w:pPr>
        <w:jc w:val="both"/>
        <w:rPr>
          <w:b/>
        </w:rPr>
      </w:pPr>
      <w:r w:rsidRPr="00335C08">
        <w:rPr>
          <w:b/>
        </w:rPr>
        <w:t>Délit de presse – Calomnie et injure sur un profil public sur le réseau Facebook – Compétence</w:t>
      </w:r>
    </w:p>
    <w:p w14:paraId="0FBEC330" w14:textId="77777777" w:rsidR="00477F81" w:rsidRPr="00335C08" w:rsidRDefault="00477F81" w:rsidP="001D1A8B">
      <w:pPr>
        <w:jc w:val="both"/>
        <w:rPr>
          <w:b/>
        </w:rPr>
      </w:pPr>
    </w:p>
    <w:p w14:paraId="2452B493" w14:textId="77777777" w:rsidR="00477F81" w:rsidRPr="00335C08" w:rsidRDefault="00477F81" w:rsidP="001D1A8B">
      <w:pPr>
        <w:jc w:val="both"/>
      </w:pPr>
      <w:r w:rsidRPr="00335C08">
        <w:t xml:space="preserve">La Cour de cassation se positionne dans son arrêt du 11 janvier 2022 en confirmant que des messages injurieux et calomnieux postés sur un profil public sur le réseau social </w:t>
      </w:r>
      <w:r w:rsidRPr="00335C08">
        <w:rPr>
          <w:i/>
          <w:iCs/>
        </w:rPr>
        <w:t xml:space="preserve">Facebook </w:t>
      </w:r>
      <w:r w:rsidRPr="00335C08">
        <w:t xml:space="preserve">sont constitutifs d’un délit de presse. </w:t>
      </w:r>
      <w:r>
        <w:t>Elle</w:t>
      </w:r>
      <w:r w:rsidRPr="00335C08">
        <w:t xml:space="preserve"> précise que la même chose vaut pour des </w:t>
      </w:r>
      <w:r w:rsidRPr="00D84E55">
        <w:rPr>
          <w:i/>
          <w:iCs/>
        </w:rPr>
        <w:t>flyers</w:t>
      </w:r>
      <w:r w:rsidRPr="00335C08">
        <w:t xml:space="preserve"> contenant les mêmes messages</w:t>
      </w:r>
      <w:r>
        <w:t xml:space="preserve">, et </w:t>
      </w:r>
      <w:r w:rsidRPr="00335C08">
        <w:t>qui ont été déposé</w:t>
      </w:r>
      <w:r>
        <w:t>s</w:t>
      </w:r>
      <w:r w:rsidRPr="00335C08">
        <w:t xml:space="preserve"> sous les essuie-glaces de plusieurs voitures parquées en rue et dans les toilettes de divers établissements</w:t>
      </w:r>
      <w:r>
        <w:t xml:space="preserve"> </w:t>
      </w:r>
      <w:r w:rsidRPr="00335C08">
        <w:t xml:space="preserve">(Cass., 11 janvier 2022, </w:t>
      </w:r>
      <w:r w:rsidRPr="00335C08">
        <w:rPr>
          <w:i/>
          <w:iCs/>
        </w:rPr>
        <w:t xml:space="preserve">N.C., </w:t>
      </w:r>
      <w:r w:rsidRPr="00335C08">
        <w:t>2022, n° 4, p. 299).</w:t>
      </w:r>
    </w:p>
    <w:p w14:paraId="7E275050" w14:textId="77777777" w:rsidR="00477F81" w:rsidRPr="00335C08" w:rsidRDefault="00477F81" w:rsidP="001D1A8B">
      <w:pPr>
        <w:jc w:val="both"/>
        <w:rPr>
          <w:b/>
          <w:bCs/>
          <w:lang w:eastAsia="fr-BE"/>
        </w:rPr>
      </w:pPr>
    </w:p>
    <w:p w14:paraId="4541034D" w14:textId="77777777" w:rsidR="00477F81" w:rsidRPr="00335C08" w:rsidRDefault="00477F81" w:rsidP="001D1A8B">
      <w:pPr>
        <w:jc w:val="both"/>
        <w:rPr>
          <w:b/>
          <w:bCs/>
          <w:shd w:val="clear" w:color="auto" w:fill="FFFFFF"/>
        </w:rPr>
      </w:pPr>
      <w:r w:rsidRPr="00335C08">
        <w:rPr>
          <w:b/>
          <w:bCs/>
          <w:shd w:val="clear" w:color="auto" w:fill="FFFFFF"/>
        </w:rPr>
        <w:t xml:space="preserve">Irresponsabilité parlementaire – Opinions exprimées dans les médias – Opinions exprimées hors de l’exercice des fonctions – Responsabilité </w:t>
      </w:r>
    </w:p>
    <w:p w14:paraId="6A286CB9" w14:textId="77777777" w:rsidR="00477F81" w:rsidRPr="00335C08" w:rsidRDefault="00477F81" w:rsidP="001D1A8B">
      <w:pPr>
        <w:jc w:val="both"/>
        <w:rPr>
          <w:shd w:val="clear" w:color="auto" w:fill="FFFFFF"/>
        </w:rPr>
      </w:pPr>
    </w:p>
    <w:p w14:paraId="2BDFE78D" w14:textId="77777777" w:rsidR="00477F81" w:rsidRPr="00335C08" w:rsidRDefault="00477F81" w:rsidP="001D1A8B">
      <w:pPr>
        <w:jc w:val="both"/>
        <w:rPr>
          <w:shd w:val="clear" w:color="auto" w:fill="FFFFFF"/>
        </w:rPr>
      </w:pPr>
      <w:r w:rsidRPr="00335C08">
        <w:rPr>
          <w:shd w:val="clear" w:color="auto" w:fill="FFFFFF"/>
        </w:rPr>
        <w:t xml:space="preserve">Dans la présente affaire la Cour de cassation est amenée à se positionner sur la question de l’étendue de l’irresponsabilité parlementaire consacrée par l’article 58 de la Constitution. </w:t>
      </w:r>
    </w:p>
    <w:p w14:paraId="47C2C6BE" w14:textId="77777777" w:rsidR="00477F81" w:rsidRPr="00335C08" w:rsidRDefault="00477F81" w:rsidP="001D1A8B">
      <w:pPr>
        <w:jc w:val="both"/>
        <w:rPr>
          <w:shd w:val="clear" w:color="auto" w:fill="FFFFFF"/>
        </w:rPr>
      </w:pPr>
    </w:p>
    <w:p w14:paraId="164F3B8C" w14:textId="77777777" w:rsidR="00477F81" w:rsidRPr="00335C08" w:rsidRDefault="00477F81" w:rsidP="001D1A8B">
      <w:pPr>
        <w:jc w:val="both"/>
      </w:pPr>
      <w:r w:rsidRPr="00335C08">
        <w:rPr>
          <w:shd w:val="clear" w:color="auto" w:fill="FFFFFF"/>
        </w:rPr>
        <w:t xml:space="preserve">Après avoir rappelé le principe selon lequel aucun membre de l’une ou de l’autre chambre ne peut être poursuivi ou recherché à l’occasion des opinions et votes émis par lui dans l’exercice de ses fonctions, la Cour souligne que l’irresponsabilité parlementaire ne s’étend pas aux opinions émises par un membre d’un chambre dans les médias. </w:t>
      </w:r>
      <w:r w:rsidRPr="00335C08">
        <w:t>En effet, la responsabilité du parlementaire redevient entière lorsque celui-ci réaffirme ses opinions ou réitère son discours dans les médias</w:t>
      </w:r>
      <w:r>
        <w:t xml:space="preserve"> </w:t>
      </w:r>
      <w:r w:rsidRPr="00335C08">
        <w:t xml:space="preserve">(Cass., 24 novembre 2022, </w:t>
      </w:r>
      <w:r w:rsidRPr="00335C08">
        <w:rPr>
          <w:i/>
          <w:iCs/>
        </w:rPr>
        <w:t xml:space="preserve">J.L.M.B., </w:t>
      </w:r>
      <w:r w:rsidRPr="00335C08">
        <w:t>2023/3, p. 114)</w:t>
      </w:r>
      <w:r>
        <w:t>.</w:t>
      </w:r>
    </w:p>
    <w:p w14:paraId="38088ED0" w14:textId="77777777" w:rsidR="00477F81" w:rsidRDefault="00477F81" w:rsidP="001D1A8B">
      <w:pPr>
        <w:pStyle w:val="jlmbnoclass"/>
        <w:spacing w:before="0" w:beforeAutospacing="0" w:after="0" w:afterAutospacing="0"/>
        <w:jc w:val="both"/>
        <w:rPr>
          <w:rFonts w:asciiTheme="majorBidi" w:hAnsiTheme="majorBidi" w:cstheme="majorBidi"/>
          <w:color w:val="000000"/>
        </w:rPr>
      </w:pPr>
    </w:p>
    <w:p w14:paraId="27D49D69" w14:textId="77777777" w:rsidR="00477F81" w:rsidRPr="00D47FD8" w:rsidRDefault="00477F81" w:rsidP="001D1A8B">
      <w:pPr>
        <w:jc w:val="both"/>
        <w:rPr>
          <w:bCs/>
          <w:i/>
          <w:iCs/>
          <w:lang w:val="fr-FR"/>
        </w:rPr>
      </w:pPr>
      <w:r w:rsidRPr="00D47FD8">
        <w:rPr>
          <w:bCs/>
          <w:i/>
          <w:iCs/>
          <w:lang w:val="fr-FR"/>
        </w:rPr>
        <w:t>ROULAGE</w:t>
      </w:r>
    </w:p>
    <w:p w14:paraId="5F9E0BD3" w14:textId="36A836E6" w:rsidR="00477F81" w:rsidRPr="00335C08" w:rsidRDefault="00477F81" w:rsidP="001D1A8B">
      <w:pPr>
        <w:jc w:val="both"/>
      </w:pPr>
    </w:p>
    <w:p w14:paraId="6201C106" w14:textId="4B56575C" w:rsidR="00477F81" w:rsidRPr="00335C08" w:rsidRDefault="00477F81" w:rsidP="001D1A8B">
      <w:pPr>
        <w:jc w:val="both"/>
        <w:rPr>
          <w:b/>
        </w:rPr>
      </w:pPr>
      <w:r w:rsidRPr="00335C08">
        <w:rPr>
          <w:b/>
        </w:rPr>
        <w:t>Art. 33, §</w:t>
      </w:r>
      <w:r>
        <w:rPr>
          <w:b/>
        </w:rPr>
        <w:t xml:space="preserve"> </w:t>
      </w:r>
      <w:r w:rsidRPr="00335C08">
        <w:rPr>
          <w:b/>
        </w:rPr>
        <w:t>1</w:t>
      </w:r>
      <w:r w:rsidRPr="00335C08">
        <w:rPr>
          <w:b/>
          <w:vertAlign w:val="superscript"/>
        </w:rPr>
        <w:t>er</w:t>
      </w:r>
      <w:r w:rsidRPr="00335C08">
        <w:rPr>
          <w:b/>
        </w:rPr>
        <w:t>, 1°</w:t>
      </w:r>
      <w:r>
        <w:rPr>
          <w:b/>
        </w:rPr>
        <w:t>,</w:t>
      </w:r>
      <w:r w:rsidRPr="00335C08">
        <w:rPr>
          <w:b/>
        </w:rPr>
        <w:t xml:space="preserve"> de la loi </w:t>
      </w:r>
      <w:r w:rsidR="00D12B7C" w:rsidRPr="00530BD2">
        <w:rPr>
          <w:b/>
          <w:bCs/>
          <w:lang w:val="fr-FR"/>
        </w:rPr>
        <w:t xml:space="preserve">du 16 mars 1968 </w:t>
      </w:r>
      <w:r w:rsidRPr="00335C08">
        <w:rPr>
          <w:b/>
        </w:rPr>
        <w:t>relative à la police de la circulation routière – Délit de fuite – Constatations utiles – Appréciation souveraine du juge du fond</w:t>
      </w:r>
    </w:p>
    <w:p w14:paraId="7856E602" w14:textId="77777777" w:rsidR="00477F81" w:rsidRDefault="00477F81" w:rsidP="001D1A8B">
      <w:pPr>
        <w:jc w:val="both"/>
      </w:pPr>
    </w:p>
    <w:p w14:paraId="38C2CAF8" w14:textId="77777777" w:rsidR="00477F81" w:rsidRPr="00335C08" w:rsidRDefault="00477F81" w:rsidP="001D1A8B">
      <w:pPr>
        <w:jc w:val="both"/>
      </w:pPr>
      <w:r w:rsidRPr="00335C08">
        <w:t>L’article 33, §1</w:t>
      </w:r>
      <w:r w:rsidRPr="00335C08">
        <w:rPr>
          <w:vertAlign w:val="superscript"/>
        </w:rPr>
        <w:t>er</w:t>
      </w:r>
      <w:r w:rsidRPr="00335C08">
        <w:t>, 1°</w:t>
      </w:r>
      <w:r>
        <w:t>,</w:t>
      </w:r>
      <w:r w:rsidRPr="00335C08">
        <w:t xml:space="preserve"> de la loi relative à la police de la circulation routière sanctionne tout conducteur qui, sachant qu’il vient de causer ou d’occasionner un accident de la circulation dans un lieu public, prend la fuite pour échapper aux constatations utiles, même si l’accident n’est pas imputable à sa faute. La Cour précise que les constatations utiles auxquelles le conducteur a voulu échapper ne visent pas uniquement les constatations nécessaires à la détermination de la responsabilité de l’accident, mais également les constatations relatives à l’état du conducteur</w:t>
      </w:r>
      <w:r>
        <w:t xml:space="preserve"> </w:t>
      </w:r>
      <w:r w:rsidRPr="00335C08">
        <w:t>(Cass., P.22.0796.N,</w:t>
      </w:r>
      <w:r>
        <w:t xml:space="preserve"> </w:t>
      </w:r>
      <w:r w:rsidRPr="00335C08">
        <w:t xml:space="preserve">8 novembre 2022, </w:t>
      </w:r>
      <w:r w:rsidRPr="00D84E55">
        <w:rPr>
          <w:i/>
          <w:iCs/>
        </w:rPr>
        <w:t>Pas.</w:t>
      </w:r>
      <w:r>
        <w:t>, à sa date</w:t>
      </w:r>
      <w:r w:rsidRPr="00335C08">
        <w:t>)</w:t>
      </w:r>
      <w:r>
        <w:t>.</w:t>
      </w:r>
    </w:p>
    <w:p w14:paraId="6F7476E2" w14:textId="77777777" w:rsidR="00477F81" w:rsidRPr="00335C08" w:rsidRDefault="00477F81" w:rsidP="001D1A8B">
      <w:pPr>
        <w:jc w:val="both"/>
        <w:rPr>
          <w:lang w:eastAsia="fr-BE"/>
        </w:rPr>
      </w:pPr>
    </w:p>
    <w:p w14:paraId="0729B983" w14:textId="0C3A7DAD" w:rsidR="00477F81" w:rsidRPr="00335C08" w:rsidRDefault="00477F81" w:rsidP="001D1A8B">
      <w:pPr>
        <w:jc w:val="both"/>
        <w:rPr>
          <w:b/>
        </w:rPr>
      </w:pPr>
      <w:r w:rsidRPr="00335C08">
        <w:rPr>
          <w:b/>
        </w:rPr>
        <w:t>Art</w:t>
      </w:r>
      <w:r w:rsidR="00F8118B">
        <w:rPr>
          <w:b/>
        </w:rPr>
        <w:t>.</w:t>
      </w:r>
      <w:r w:rsidRPr="00335C08">
        <w:rPr>
          <w:b/>
        </w:rPr>
        <w:t xml:space="preserve"> 34</w:t>
      </w:r>
      <w:r>
        <w:rPr>
          <w:b/>
        </w:rPr>
        <w:t>,</w:t>
      </w:r>
      <w:r w:rsidRPr="00335C08">
        <w:rPr>
          <w:b/>
        </w:rPr>
        <w:t xml:space="preserve"> §</w:t>
      </w:r>
      <w:r>
        <w:rPr>
          <w:b/>
        </w:rPr>
        <w:t xml:space="preserve"> </w:t>
      </w:r>
      <w:r w:rsidRPr="00335C08">
        <w:rPr>
          <w:b/>
        </w:rPr>
        <w:t>2, 3°</w:t>
      </w:r>
      <w:r>
        <w:rPr>
          <w:b/>
        </w:rPr>
        <w:t>,</w:t>
      </w:r>
      <w:r w:rsidRPr="00335C08">
        <w:rPr>
          <w:b/>
        </w:rPr>
        <w:t xml:space="preserve"> de la loi relative à la police de la circulation routière – </w:t>
      </w:r>
      <w:r>
        <w:rPr>
          <w:b/>
        </w:rPr>
        <w:t>R</w:t>
      </w:r>
      <w:r w:rsidRPr="00335C08">
        <w:rPr>
          <w:b/>
        </w:rPr>
        <w:t xml:space="preserve">efus de procéder au prélèvement sanguin – Motif légitime – Motif non-médical </w:t>
      </w:r>
    </w:p>
    <w:p w14:paraId="66BE79E1" w14:textId="77777777" w:rsidR="00477F81" w:rsidRPr="00335C08" w:rsidRDefault="00477F81" w:rsidP="001D1A8B">
      <w:pPr>
        <w:jc w:val="both"/>
      </w:pPr>
    </w:p>
    <w:p w14:paraId="17A03A13" w14:textId="77777777" w:rsidR="00477F81" w:rsidRDefault="00477F81" w:rsidP="001D1A8B">
      <w:pPr>
        <w:jc w:val="both"/>
      </w:pPr>
      <w:r w:rsidRPr="00335C08">
        <w:t>La Cour de cassation a rappelé que le juge décide souverainement ce qui constitue le motif légitime pour lequel un prélèvement sanguin peut être refusé. Dans le cas d’espèce, le prévenu estimait avoir refusé le prélèvement sanguin en raison du comportement prétendument raciste du policier lors du contrôle initial lors duquel le prélèvement sanguin fut imposé. Le tribunal correctionnel de Dendermonde avait estimé qu’en raison de l’absence de tout élément appuyant les dires du prévenu, on ne pouvait retenir cela comme motif légitime au sens de l’article 34, §2, 3°</w:t>
      </w:r>
      <w:r>
        <w:t>,</w:t>
      </w:r>
      <w:r w:rsidRPr="00335C08">
        <w:t xml:space="preserve"> de la loi relative à la police de la circulation routière. La Cour de cassation concède que </w:t>
      </w:r>
      <w:r w:rsidRPr="00335C08">
        <w:lastRenderedPageBreak/>
        <w:t>le motif légitime ne doit pas être compris uniquement comme motif d’ordre purement médical, mais estime toutefois que le motif doit être objectif et vérifiable</w:t>
      </w:r>
      <w:r>
        <w:t>,</w:t>
      </w:r>
      <w:r w:rsidRPr="00335C08">
        <w:t xml:space="preserve"> et ne peut s’appuyer uniquement sur les impressions subjectives ou les sentiments personnels de la personne à qui on impose le prélèvement sanguin</w:t>
      </w:r>
      <w:r>
        <w:t xml:space="preserve"> </w:t>
      </w:r>
      <w:r w:rsidRPr="00335C08">
        <w:t>(Cass., P.22.0639.N,</w:t>
      </w:r>
      <w:r>
        <w:t xml:space="preserve"> </w:t>
      </w:r>
      <w:r w:rsidRPr="00335C08">
        <w:t>18 octobre 2022,</w:t>
      </w:r>
      <w:r>
        <w:t xml:space="preserve"> </w:t>
      </w:r>
      <w:r w:rsidRPr="00D84E55">
        <w:rPr>
          <w:i/>
          <w:iCs/>
        </w:rPr>
        <w:t>Pas.</w:t>
      </w:r>
      <w:r>
        <w:t>, à sa date).</w:t>
      </w:r>
      <w:r w:rsidRPr="00335C08">
        <w:t xml:space="preserve"> </w:t>
      </w:r>
    </w:p>
    <w:p w14:paraId="1BF547ED" w14:textId="5710EA2E" w:rsidR="00477F81" w:rsidRDefault="00477F81" w:rsidP="001D1A8B">
      <w:pPr>
        <w:jc w:val="both"/>
      </w:pPr>
    </w:p>
    <w:p w14:paraId="2BD51023" w14:textId="440CCEC3" w:rsidR="00477F81" w:rsidRDefault="00477F81" w:rsidP="001D1A8B">
      <w:pPr>
        <w:jc w:val="both"/>
        <w:rPr>
          <w:b/>
        </w:rPr>
      </w:pPr>
      <w:r w:rsidRPr="00335C08">
        <w:rPr>
          <w:b/>
        </w:rPr>
        <w:t xml:space="preserve">Art. 35 de la loi relative à la police de la circulation routière – Déchéance – Motivation de la déchéance en faisant référence à la période de retrait immédiat </w:t>
      </w:r>
    </w:p>
    <w:p w14:paraId="3A64E29C" w14:textId="77777777" w:rsidR="00D12B7C" w:rsidRPr="00335C08" w:rsidRDefault="00D12B7C" w:rsidP="001D1A8B">
      <w:pPr>
        <w:jc w:val="both"/>
        <w:rPr>
          <w:b/>
        </w:rPr>
      </w:pPr>
    </w:p>
    <w:p w14:paraId="27D8DBAB" w14:textId="77777777" w:rsidR="00477F81" w:rsidRPr="00335C08" w:rsidRDefault="00477F81" w:rsidP="001D1A8B">
      <w:pPr>
        <w:pStyle w:val="NormalWeb"/>
        <w:jc w:val="both"/>
      </w:pPr>
      <w:r w:rsidRPr="00335C08">
        <w:t>Lorsqu’un prévenu est condamné du chef d’une infraction à l’article 35 de la loi relative à la police de la circulation routière, le juge est tenu de prononcer une déchéance du droit de conduire d’une durée d’au moins un mois.</w:t>
      </w:r>
      <w:r>
        <w:t xml:space="preserve"> </w:t>
      </w:r>
      <w:r w:rsidRPr="00335C08">
        <w:t>Le juge apprécie souverainement la durée de la déchéance à prononcer. Il ne peut toutefois prendre en compte que les données factuelles qui peuvent raisonnablement être liées à la réalisation des objectifs de la fixation de la peine et il ne peut méconnaitre les droits fondamentaux d’un prévenu, tels que la présomption d’innocence.</w:t>
      </w:r>
      <w:r>
        <w:t xml:space="preserve"> </w:t>
      </w:r>
      <w:r w:rsidRPr="00335C08">
        <w:t>Le fait qu’un prévenu ait préalablement fait l’objet d’un retrait immédiat du permis de conduire, conformément à l’article 55 de la loi sur la circulation routière, n’est pas une donnée pouvant être liée raisonnablement à la réalisation des objectifs de la fixation de la peine</w:t>
      </w:r>
      <w:r>
        <w:t xml:space="preserve"> </w:t>
      </w:r>
      <w:r w:rsidRPr="00335C08">
        <w:t xml:space="preserve">(Cass., 8 novembre 2022, </w:t>
      </w:r>
      <w:r w:rsidRPr="00335C08">
        <w:rPr>
          <w:i/>
          <w:iCs/>
        </w:rPr>
        <w:t xml:space="preserve">R.W., </w:t>
      </w:r>
      <w:r w:rsidRPr="00335C08">
        <w:t>2022-23, n° 27, p. 1075).</w:t>
      </w:r>
    </w:p>
    <w:p w14:paraId="560A4557" w14:textId="77777777" w:rsidR="00477F81" w:rsidRPr="00335C08" w:rsidRDefault="00477F81" w:rsidP="001D1A8B">
      <w:pPr>
        <w:jc w:val="both"/>
        <w:rPr>
          <w:b/>
          <w:lang w:eastAsia="fr-BE"/>
        </w:rPr>
      </w:pPr>
    </w:p>
    <w:p w14:paraId="63130E71" w14:textId="77777777" w:rsidR="00477F81" w:rsidRPr="00335C08" w:rsidRDefault="00477F81" w:rsidP="001D1A8B">
      <w:pPr>
        <w:jc w:val="both"/>
        <w:rPr>
          <w:b/>
          <w:lang w:eastAsia="fr-BE"/>
        </w:rPr>
      </w:pPr>
      <w:r w:rsidRPr="00335C08">
        <w:rPr>
          <w:b/>
          <w:lang w:eastAsia="fr-BE"/>
        </w:rPr>
        <w:t xml:space="preserve">Art. 35 de la loi relative à la police de la circulation routière – Conduite en état d’ivresse – Appréciation souveraine par le juge du fond – Constatations des </w:t>
      </w:r>
      <w:r>
        <w:rPr>
          <w:b/>
          <w:lang w:eastAsia="fr-BE"/>
        </w:rPr>
        <w:t xml:space="preserve">agents </w:t>
      </w:r>
      <w:proofErr w:type="spellStart"/>
      <w:r w:rsidRPr="00335C08">
        <w:rPr>
          <w:b/>
          <w:lang w:eastAsia="fr-BE"/>
        </w:rPr>
        <w:t>verbalisants</w:t>
      </w:r>
      <w:proofErr w:type="spellEnd"/>
      <w:r w:rsidRPr="00335C08">
        <w:rPr>
          <w:b/>
          <w:lang w:eastAsia="fr-BE"/>
        </w:rPr>
        <w:t xml:space="preserve"> – Écoulement du temps entre la conduite et les constatations </w:t>
      </w:r>
    </w:p>
    <w:p w14:paraId="6D1DFE35" w14:textId="77777777" w:rsidR="00477F81" w:rsidRPr="00335C08" w:rsidRDefault="00477F81" w:rsidP="001D1A8B">
      <w:pPr>
        <w:jc w:val="both"/>
        <w:rPr>
          <w:lang w:eastAsia="fr-BE"/>
        </w:rPr>
      </w:pPr>
    </w:p>
    <w:p w14:paraId="32AE2C71" w14:textId="77777777" w:rsidR="00477F81" w:rsidRPr="00335C08" w:rsidRDefault="00477F81" w:rsidP="001D1A8B">
      <w:pPr>
        <w:jc w:val="both"/>
        <w:rPr>
          <w:lang w:eastAsia="fr-BE"/>
        </w:rPr>
      </w:pPr>
      <w:r w:rsidRPr="00335C08">
        <w:rPr>
          <w:lang w:eastAsia="fr-BE"/>
        </w:rPr>
        <w:t>La Cour de cassation a rappelé, dans son arrêt du 19 octobre 2021, le principe selon lequel le juge peut déduire l’état d’ivresse d’un conducteur de tous les éléments dont il dispose et qui sont soumis à la contradiction des parties.</w:t>
      </w:r>
      <w:r>
        <w:rPr>
          <w:lang w:eastAsia="fr-BE"/>
        </w:rPr>
        <w:t xml:space="preserve"> </w:t>
      </w:r>
      <w:r w:rsidRPr="00335C08">
        <w:rPr>
          <w:lang w:eastAsia="fr-BE"/>
        </w:rPr>
        <w:t>La Cour précise que pour retenir l’état d’ivresse, il n’est pas requis que le conducteur ait été interpellé en état d’intoxication alcoolique au sens de l’art</w:t>
      </w:r>
      <w:r>
        <w:rPr>
          <w:lang w:eastAsia="fr-BE"/>
        </w:rPr>
        <w:t>icle</w:t>
      </w:r>
      <w:r w:rsidRPr="00335C08">
        <w:rPr>
          <w:lang w:eastAsia="fr-BE"/>
        </w:rPr>
        <w:t xml:space="preserve"> 34 de la loi relative à la police de la circulation routière. </w:t>
      </w:r>
    </w:p>
    <w:p w14:paraId="5EEBC82F" w14:textId="77777777" w:rsidR="00477F81" w:rsidRPr="00335C08" w:rsidRDefault="00477F81" w:rsidP="001D1A8B">
      <w:pPr>
        <w:jc w:val="both"/>
        <w:rPr>
          <w:lang w:eastAsia="fr-BE"/>
        </w:rPr>
      </w:pPr>
    </w:p>
    <w:p w14:paraId="166BAAD0" w14:textId="2EA07081" w:rsidR="00477F81" w:rsidRDefault="00477F81" w:rsidP="001D1A8B">
      <w:pPr>
        <w:jc w:val="both"/>
        <w:rPr>
          <w:lang w:eastAsia="fr-BE"/>
        </w:rPr>
      </w:pPr>
      <w:r w:rsidRPr="00335C08">
        <w:rPr>
          <w:lang w:eastAsia="fr-BE"/>
        </w:rPr>
        <w:t>Elle précise encore qu’il n’est pas plus requis que l’état d’ivresse ait été constaté au moment de la conduite du véhicule par le conducteur.</w:t>
      </w:r>
      <w:r>
        <w:rPr>
          <w:lang w:eastAsia="fr-BE"/>
        </w:rPr>
        <w:t xml:space="preserve"> </w:t>
      </w:r>
      <w:r w:rsidRPr="00335C08">
        <w:rPr>
          <w:lang w:eastAsia="fr-BE"/>
        </w:rPr>
        <w:t xml:space="preserve">En effet, la Cour précise dans son arrêt que le juge peut déduire que le conducteur a conduit en état d’ivresse en se basant sur la description faite par les </w:t>
      </w:r>
      <w:r>
        <w:rPr>
          <w:lang w:eastAsia="fr-BE"/>
        </w:rPr>
        <w:t xml:space="preserve">agents </w:t>
      </w:r>
      <w:proofErr w:type="spellStart"/>
      <w:r w:rsidRPr="00335C08">
        <w:rPr>
          <w:lang w:eastAsia="fr-BE"/>
        </w:rPr>
        <w:t>verbalisants</w:t>
      </w:r>
      <w:proofErr w:type="spellEnd"/>
      <w:r w:rsidRPr="00335C08">
        <w:rPr>
          <w:lang w:eastAsia="fr-BE"/>
        </w:rPr>
        <w:t xml:space="preserve"> de l’état du conducteur, même si ce dernier n’a été interpellé qu’un certain temps après avoir conduit.</w:t>
      </w:r>
      <w:r>
        <w:rPr>
          <w:lang w:eastAsia="fr-BE"/>
        </w:rPr>
        <w:t xml:space="preserve"> </w:t>
      </w:r>
      <w:r w:rsidRPr="00335C08">
        <w:rPr>
          <w:lang w:eastAsia="fr-BE"/>
        </w:rPr>
        <w:t>Le fait qu’un laps de temps se soit écoulé entre le moment de la conduite et le moment où l’ivresse est constatée par les policiers est sans pertinence, si le juge peut exclure que lesdites constatations relatives à l’état d’ivresse trouvent leur origine dans un évènement postérieur à la conduite, tel que par exemple la consommation de boissons alcoolisées entre le moment de la conduite</w:t>
      </w:r>
      <w:r>
        <w:rPr>
          <w:lang w:eastAsia="fr-BE"/>
        </w:rPr>
        <w:t xml:space="preserve"> </w:t>
      </w:r>
      <w:r w:rsidRPr="00335C08">
        <w:rPr>
          <w:lang w:eastAsia="fr-BE"/>
        </w:rPr>
        <w:t>et le moment du contrôle</w:t>
      </w:r>
      <w:r>
        <w:rPr>
          <w:lang w:eastAsia="fr-BE"/>
        </w:rPr>
        <w:t xml:space="preserve"> </w:t>
      </w:r>
      <w:r w:rsidRPr="00335C08">
        <w:rPr>
          <w:lang w:eastAsia="fr-BE"/>
        </w:rPr>
        <w:t xml:space="preserve">(Cass., 19 octobre 2021, </w:t>
      </w:r>
      <w:r w:rsidRPr="00335C08">
        <w:rPr>
          <w:i/>
          <w:iCs/>
          <w:lang w:eastAsia="fr-BE"/>
        </w:rPr>
        <w:t xml:space="preserve">R.W., </w:t>
      </w:r>
      <w:r w:rsidRPr="00335C08">
        <w:rPr>
          <w:lang w:eastAsia="fr-BE"/>
        </w:rPr>
        <w:t>2022-23, n° 12, p. 469).</w:t>
      </w:r>
    </w:p>
    <w:p w14:paraId="5C08D03D" w14:textId="5929AA05" w:rsidR="00477F81" w:rsidRDefault="00477F81" w:rsidP="001D1A8B">
      <w:pPr>
        <w:jc w:val="both"/>
        <w:rPr>
          <w:lang w:eastAsia="fr-BE"/>
        </w:rPr>
      </w:pPr>
    </w:p>
    <w:p w14:paraId="1229BDFC" w14:textId="77777777" w:rsidR="00477F81" w:rsidRPr="00335C08" w:rsidRDefault="00477F81" w:rsidP="001D1A8B">
      <w:pPr>
        <w:jc w:val="both"/>
        <w:rPr>
          <w:b/>
          <w:shd w:val="clear" w:color="auto" w:fill="FFFFFF"/>
        </w:rPr>
      </w:pPr>
      <w:r w:rsidRPr="00335C08">
        <w:rPr>
          <w:b/>
          <w:shd w:val="clear" w:color="auto" w:fill="FFFFFF"/>
        </w:rPr>
        <w:t>Art. 37/1, §1</w:t>
      </w:r>
      <w:r w:rsidRPr="00335C08">
        <w:rPr>
          <w:b/>
          <w:shd w:val="clear" w:color="auto" w:fill="FFFFFF"/>
          <w:vertAlign w:val="superscript"/>
        </w:rPr>
        <w:t>er</w:t>
      </w:r>
      <w:r w:rsidRPr="00335C08">
        <w:rPr>
          <w:b/>
          <w:shd w:val="clear" w:color="auto" w:fill="FFFFFF"/>
        </w:rPr>
        <w:t xml:space="preserve"> al. 3</w:t>
      </w:r>
      <w:r>
        <w:rPr>
          <w:b/>
          <w:shd w:val="clear" w:color="auto" w:fill="FFFFFF"/>
        </w:rPr>
        <w:t>,</w:t>
      </w:r>
      <w:r w:rsidRPr="00335C08">
        <w:rPr>
          <w:b/>
          <w:shd w:val="clear" w:color="auto" w:fill="FFFFFF"/>
        </w:rPr>
        <w:t xml:space="preserve"> de la loi relative à la police de la circulation routière – Éthylotest anti-démarrage – Récidive – Application de la loi dans le temps </w:t>
      </w:r>
    </w:p>
    <w:p w14:paraId="666A2D6F" w14:textId="77777777" w:rsidR="00477F81" w:rsidRPr="00335C08" w:rsidRDefault="00477F81" w:rsidP="001D1A8B">
      <w:pPr>
        <w:jc w:val="both"/>
        <w:rPr>
          <w:shd w:val="clear" w:color="auto" w:fill="FFFFFF"/>
        </w:rPr>
      </w:pPr>
    </w:p>
    <w:p w14:paraId="125DE0B5" w14:textId="77777777" w:rsidR="00477F81" w:rsidRPr="00335C08" w:rsidRDefault="00477F81" w:rsidP="001D1A8B">
      <w:pPr>
        <w:jc w:val="both"/>
        <w:rPr>
          <w:shd w:val="clear" w:color="auto" w:fill="FFFFFF"/>
        </w:rPr>
      </w:pPr>
      <w:r w:rsidRPr="00335C08">
        <w:rPr>
          <w:shd w:val="clear" w:color="auto" w:fill="FFFFFF"/>
        </w:rPr>
        <w:t>L’article 37/1, §1</w:t>
      </w:r>
      <w:r w:rsidRPr="00335C08">
        <w:rPr>
          <w:shd w:val="clear" w:color="auto" w:fill="FFFFFF"/>
          <w:vertAlign w:val="superscript"/>
        </w:rPr>
        <w:t>er</w:t>
      </w:r>
      <w:r w:rsidRPr="00335C08">
        <w:rPr>
          <w:shd w:val="clear" w:color="auto" w:fill="FFFFFF"/>
        </w:rPr>
        <w:t>, alinéa 3</w:t>
      </w:r>
      <w:r>
        <w:rPr>
          <w:shd w:val="clear" w:color="auto" w:fill="FFFFFF"/>
        </w:rPr>
        <w:t>,</w:t>
      </w:r>
      <w:r w:rsidRPr="00335C08">
        <w:rPr>
          <w:shd w:val="clear" w:color="auto" w:fill="FFFFFF"/>
        </w:rPr>
        <w:t xml:space="preserve"> de la loi du 16 mars 1968 relative à la police de la circulation routière oblige le tribunal de police à limiter la validité d’un permis de conduire aux seuls véhicules munis d’un éthylotest anti-démarrage, lorsque le conducteur se trouve en état de récidive au sens de l’article 36 de la même loi</w:t>
      </w:r>
      <w:r>
        <w:rPr>
          <w:shd w:val="clear" w:color="auto" w:fill="FFFFFF"/>
        </w:rPr>
        <w:t>,</w:t>
      </w:r>
      <w:r w:rsidRPr="00335C08">
        <w:rPr>
          <w:shd w:val="clear" w:color="auto" w:fill="FFFFFF"/>
        </w:rPr>
        <w:t xml:space="preserve"> et si l’analyse de l’haleine mesure à chaque fois une concentration d’alcool d’au moins 0,50mg/l/AAE</w:t>
      </w:r>
      <w:r>
        <w:rPr>
          <w:shd w:val="clear" w:color="auto" w:fill="FFFFFF"/>
        </w:rPr>
        <w:t>,</w:t>
      </w:r>
      <w:r w:rsidRPr="00335C08">
        <w:rPr>
          <w:shd w:val="clear" w:color="auto" w:fill="FFFFFF"/>
        </w:rPr>
        <w:t xml:space="preserve"> ou si l’analyse sanguine révèle à chaque fois une concentration d’alcool d’au moins 1,2 pour mille. Le tribunal ne dispose d’aucun pouvoir d’appréciation quant à ce.</w:t>
      </w:r>
    </w:p>
    <w:p w14:paraId="36822A04" w14:textId="77777777" w:rsidR="00477F81" w:rsidRPr="00335C08" w:rsidRDefault="00477F81" w:rsidP="001D1A8B">
      <w:pPr>
        <w:jc w:val="both"/>
        <w:rPr>
          <w:shd w:val="clear" w:color="auto" w:fill="FFFFFF"/>
        </w:rPr>
      </w:pPr>
    </w:p>
    <w:p w14:paraId="3A92A003" w14:textId="228D36B2" w:rsidR="00477F81" w:rsidRDefault="00477F81" w:rsidP="001D1A8B">
      <w:pPr>
        <w:jc w:val="both"/>
        <w:rPr>
          <w:shd w:val="clear" w:color="auto" w:fill="FFFFFF"/>
        </w:rPr>
      </w:pPr>
      <w:r w:rsidRPr="00335C08">
        <w:rPr>
          <w:shd w:val="clear" w:color="auto" w:fill="FFFFFF"/>
        </w:rPr>
        <w:t>La question de l’application dans le temps s’est posée pour les situations dans lesquelles l’infraction du jugement servant de base à la récidive avait été commise avant le 30 juin 2018.</w:t>
      </w:r>
      <w:r>
        <w:rPr>
          <w:shd w:val="clear" w:color="auto" w:fill="FFFFFF"/>
        </w:rPr>
        <w:t xml:space="preserve"> </w:t>
      </w:r>
      <w:r w:rsidRPr="00335C08">
        <w:rPr>
          <w:shd w:val="clear" w:color="auto" w:fill="FFFFFF"/>
        </w:rPr>
        <w:t>La Cour de cassation a eu l’occasion de trancher la question dans ses arrêts du 13 avril 2021 (P.21.0025.N), du 8 juin 2021 (P.21.0371.N) et du 23 février 2022 (P.21.1638.F).</w:t>
      </w:r>
      <w:r>
        <w:rPr>
          <w:shd w:val="clear" w:color="auto" w:fill="FFFFFF"/>
        </w:rPr>
        <w:t xml:space="preserve"> </w:t>
      </w:r>
      <w:r w:rsidRPr="00335C08">
        <w:rPr>
          <w:shd w:val="clear" w:color="auto" w:fill="FFFFFF"/>
        </w:rPr>
        <w:t>La Cour de cassation a jugé dans ces trois arrêts qu’il résultait de la genèse législative des disposition</w:t>
      </w:r>
      <w:r>
        <w:rPr>
          <w:shd w:val="clear" w:color="auto" w:fill="FFFFFF"/>
        </w:rPr>
        <w:t>s</w:t>
      </w:r>
      <w:r w:rsidRPr="00335C08">
        <w:rPr>
          <w:shd w:val="clear" w:color="auto" w:fill="FFFFFF"/>
        </w:rPr>
        <w:t xml:space="preserve"> légales que le législateur avait voulu que l’article 37/1, §1</w:t>
      </w:r>
      <w:r w:rsidRPr="00335C08">
        <w:rPr>
          <w:shd w:val="clear" w:color="auto" w:fill="FFFFFF"/>
          <w:vertAlign w:val="superscript"/>
        </w:rPr>
        <w:t>er</w:t>
      </w:r>
      <w:r w:rsidRPr="00335C08">
        <w:rPr>
          <w:shd w:val="clear" w:color="auto" w:fill="FFFFFF"/>
        </w:rPr>
        <w:t>, alinéa 3</w:t>
      </w:r>
      <w:r>
        <w:rPr>
          <w:shd w:val="clear" w:color="auto" w:fill="FFFFFF"/>
        </w:rPr>
        <w:t>,</w:t>
      </w:r>
      <w:r w:rsidRPr="00335C08">
        <w:rPr>
          <w:shd w:val="clear" w:color="auto" w:fill="FFFFFF"/>
        </w:rPr>
        <w:t xml:space="preserve"> ne puisse être appliqué que si les faits de la cause et les faits du jugement servant de base à la récidive avaient été commis après le 30 juin 2018</w:t>
      </w:r>
      <w:r>
        <w:rPr>
          <w:shd w:val="clear" w:color="auto" w:fill="FFFFFF"/>
        </w:rPr>
        <w:t xml:space="preserve"> </w:t>
      </w:r>
      <w:r w:rsidRPr="00335C08">
        <w:rPr>
          <w:shd w:val="clear" w:color="auto" w:fill="FFFFFF"/>
        </w:rPr>
        <w:t xml:space="preserve">(Cass., 13 avril 2021, </w:t>
      </w:r>
      <w:r w:rsidRPr="00335C08">
        <w:rPr>
          <w:i/>
          <w:iCs/>
          <w:shd w:val="clear" w:color="auto" w:fill="FFFFFF"/>
        </w:rPr>
        <w:t xml:space="preserve">For. </w:t>
      </w:r>
      <w:proofErr w:type="spellStart"/>
      <w:r w:rsidRPr="00335C08">
        <w:rPr>
          <w:i/>
          <w:iCs/>
          <w:shd w:val="clear" w:color="auto" w:fill="FFFFFF"/>
        </w:rPr>
        <w:t>Ass</w:t>
      </w:r>
      <w:proofErr w:type="spellEnd"/>
      <w:r w:rsidRPr="00335C08">
        <w:rPr>
          <w:i/>
          <w:iCs/>
          <w:shd w:val="clear" w:color="auto" w:fill="FFFFFF"/>
        </w:rPr>
        <w:t xml:space="preserve">., </w:t>
      </w:r>
      <w:r w:rsidRPr="00335C08">
        <w:rPr>
          <w:shd w:val="clear" w:color="auto" w:fill="FFFFFF"/>
        </w:rPr>
        <w:t>2022/2, p. 21</w:t>
      </w:r>
      <w:r>
        <w:rPr>
          <w:shd w:val="clear" w:color="auto" w:fill="FFFFFF"/>
        </w:rPr>
        <w:t> ;</w:t>
      </w:r>
      <w:r w:rsidRPr="00335C08">
        <w:rPr>
          <w:shd w:val="clear" w:color="auto" w:fill="FFFFFF"/>
        </w:rPr>
        <w:t xml:space="preserve"> Cass., 8 juin 2021, </w:t>
      </w:r>
      <w:r w:rsidRPr="00335C08">
        <w:rPr>
          <w:i/>
          <w:iCs/>
          <w:shd w:val="clear" w:color="auto" w:fill="FFFFFF"/>
        </w:rPr>
        <w:t xml:space="preserve">C.R.A, </w:t>
      </w:r>
      <w:r w:rsidRPr="00335C08">
        <w:rPr>
          <w:shd w:val="clear" w:color="auto" w:fill="FFFFFF"/>
        </w:rPr>
        <w:t>2021/5, p. 6</w:t>
      </w:r>
      <w:r>
        <w:rPr>
          <w:shd w:val="clear" w:color="auto" w:fill="FFFFFF"/>
        </w:rPr>
        <w:t xml:space="preserve">1 ; </w:t>
      </w:r>
      <w:r w:rsidRPr="00335C08">
        <w:rPr>
          <w:shd w:val="clear" w:color="auto" w:fill="FFFFFF"/>
        </w:rPr>
        <w:t xml:space="preserve">Cass., </w:t>
      </w:r>
      <w:r>
        <w:rPr>
          <w:shd w:val="clear" w:color="auto" w:fill="FFFFFF"/>
        </w:rPr>
        <w:t xml:space="preserve">R.G. </w:t>
      </w:r>
      <w:r w:rsidRPr="00335C08">
        <w:rPr>
          <w:shd w:val="clear" w:color="auto" w:fill="FFFFFF"/>
        </w:rPr>
        <w:t>P.21.1638.F,</w:t>
      </w:r>
      <w:r w:rsidRPr="0065199A">
        <w:rPr>
          <w:shd w:val="clear" w:color="auto" w:fill="FFFFFF"/>
        </w:rPr>
        <w:t xml:space="preserve"> </w:t>
      </w:r>
      <w:r w:rsidRPr="00335C08">
        <w:rPr>
          <w:shd w:val="clear" w:color="auto" w:fill="FFFFFF"/>
        </w:rPr>
        <w:t>23 février 2022</w:t>
      </w:r>
      <w:r>
        <w:rPr>
          <w:shd w:val="clear" w:color="auto" w:fill="FFFFFF"/>
        </w:rPr>
        <w:t>,</w:t>
      </w:r>
      <w:r w:rsidRPr="00335C08">
        <w:rPr>
          <w:shd w:val="clear" w:color="auto" w:fill="FFFFFF"/>
        </w:rPr>
        <w:t xml:space="preserve"> </w:t>
      </w:r>
      <w:r w:rsidRPr="00D84E55">
        <w:rPr>
          <w:i/>
          <w:iCs/>
          <w:shd w:val="clear" w:color="auto" w:fill="FFFFFF"/>
        </w:rPr>
        <w:t>Pas.</w:t>
      </w:r>
      <w:r>
        <w:rPr>
          <w:shd w:val="clear" w:color="auto" w:fill="FFFFFF"/>
        </w:rPr>
        <w:t>, à sa date</w:t>
      </w:r>
      <w:r w:rsidRPr="00335C08">
        <w:rPr>
          <w:shd w:val="clear" w:color="auto" w:fill="FFFFFF"/>
        </w:rPr>
        <w:t>).</w:t>
      </w:r>
    </w:p>
    <w:p w14:paraId="1E780124" w14:textId="7CD07793" w:rsidR="00C6526A" w:rsidRDefault="00C6526A" w:rsidP="001D1A8B">
      <w:pPr>
        <w:jc w:val="both"/>
        <w:rPr>
          <w:shd w:val="clear" w:color="auto" w:fill="FFFFFF"/>
        </w:rPr>
      </w:pPr>
    </w:p>
    <w:p w14:paraId="58A9DA7D" w14:textId="42EE0A49" w:rsidR="00C6526A" w:rsidRDefault="00C6526A" w:rsidP="001D1A8B">
      <w:pPr>
        <w:autoSpaceDE w:val="0"/>
        <w:autoSpaceDN w:val="0"/>
        <w:adjustRightInd w:val="0"/>
        <w:jc w:val="both"/>
        <w:rPr>
          <w:b/>
          <w:bCs/>
          <w:lang w:val="fr-FR"/>
        </w:rPr>
      </w:pPr>
      <w:r w:rsidRPr="00530BD2">
        <w:rPr>
          <w:b/>
          <w:bCs/>
          <w:lang w:val="fr-FR"/>
        </w:rPr>
        <w:t>Art</w:t>
      </w:r>
      <w:r w:rsidR="00F8118B">
        <w:rPr>
          <w:b/>
          <w:bCs/>
          <w:lang w:val="fr-FR"/>
        </w:rPr>
        <w:t>.</w:t>
      </w:r>
      <w:r w:rsidRPr="00530BD2">
        <w:rPr>
          <w:b/>
          <w:bCs/>
          <w:lang w:val="fr-FR"/>
        </w:rPr>
        <w:t xml:space="preserve"> 38, §2</w:t>
      </w:r>
      <w:r w:rsidRPr="00530BD2">
        <w:rPr>
          <w:b/>
          <w:bCs/>
          <w:i/>
          <w:iCs/>
          <w:lang w:val="fr-FR"/>
        </w:rPr>
        <w:t xml:space="preserve">bis </w:t>
      </w:r>
      <w:r w:rsidRPr="00530BD2">
        <w:rPr>
          <w:b/>
          <w:bCs/>
          <w:lang w:val="fr-FR"/>
        </w:rPr>
        <w:t xml:space="preserve">de la loi relative à la police de la circulation routière </w:t>
      </w:r>
      <w:r w:rsidRPr="006E3C76">
        <w:rPr>
          <w:b/>
          <w:bCs/>
          <w:lang w:val="fr-FR"/>
        </w:rPr>
        <w:t>Déchéance</w:t>
      </w:r>
      <w:r w:rsidRPr="00283AFD">
        <w:rPr>
          <w:b/>
          <w:bCs/>
          <w:lang w:val="fr-FR"/>
        </w:rPr>
        <w:t xml:space="preserve"> </w:t>
      </w:r>
      <w:r w:rsidRPr="00530BD2">
        <w:rPr>
          <w:b/>
          <w:bCs/>
          <w:lang w:val="fr-FR"/>
        </w:rPr>
        <w:t xml:space="preserve">du droit de conduire limitée à certains jours </w:t>
      </w:r>
      <w:r>
        <w:rPr>
          <w:b/>
          <w:bCs/>
          <w:lang w:val="fr-FR"/>
        </w:rPr>
        <w:t>–</w:t>
      </w:r>
      <w:r w:rsidRPr="00530BD2">
        <w:rPr>
          <w:b/>
          <w:bCs/>
          <w:lang w:val="fr-FR"/>
        </w:rPr>
        <w:t xml:space="preserve"> Appréciation</w:t>
      </w:r>
    </w:p>
    <w:p w14:paraId="072FCCB9" w14:textId="77777777" w:rsidR="00C6526A" w:rsidRPr="00530BD2" w:rsidRDefault="00C6526A" w:rsidP="001D1A8B">
      <w:pPr>
        <w:autoSpaceDE w:val="0"/>
        <w:autoSpaceDN w:val="0"/>
        <w:adjustRightInd w:val="0"/>
        <w:jc w:val="both"/>
        <w:rPr>
          <w:b/>
          <w:bCs/>
          <w:lang w:val="fr-FR"/>
        </w:rPr>
      </w:pPr>
    </w:p>
    <w:p w14:paraId="4FCD8A7B" w14:textId="77777777" w:rsidR="00C6526A" w:rsidRPr="00530BD2" w:rsidRDefault="00C6526A" w:rsidP="001D1A8B">
      <w:pPr>
        <w:pStyle w:val="NormalWeb"/>
        <w:jc w:val="both"/>
        <w:rPr>
          <w:lang w:val="fr-FR"/>
        </w:rPr>
      </w:pPr>
      <w:r w:rsidRPr="00530BD2">
        <w:rPr>
          <w:lang w:val="fr-FR"/>
        </w:rPr>
        <w:t>L’article 38, §2</w:t>
      </w:r>
      <w:r w:rsidRPr="00530BD2">
        <w:rPr>
          <w:i/>
          <w:iCs/>
          <w:lang w:val="fr-FR"/>
        </w:rPr>
        <w:t>bis</w:t>
      </w:r>
      <w:r w:rsidRPr="00530BD2">
        <w:rPr>
          <w:lang w:val="fr-FR"/>
        </w:rPr>
        <w:t xml:space="preserve"> de la loi du 16 mars 1968 relative à la police de la circulation routière prévoit la possibilité pour le juge d’ordonner que la déchéance effective du droit de conduire soit mise à exécution uniquement du vendredi à 20 heures au dimanche à 20 heures, ainsi qu’à partir de 20 heures la veille d’un jour férié jusqu’à 20 heures le jour férié même. Cette faculté n’est pas possible en cas d’éthylotest anti-démarrage ou si le juge subordonne la réintégration dans le droit de conduire à la condition d’avoir satisfait un ou plusieurs examens. </w:t>
      </w:r>
    </w:p>
    <w:p w14:paraId="1B467025" w14:textId="65056CE0" w:rsidR="00C6526A" w:rsidRDefault="00C6526A" w:rsidP="001D1A8B">
      <w:pPr>
        <w:pStyle w:val="NormalWeb"/>
        <w:jc w:val="both"/>
        <w:rPr>
          <w:lang w:val="fr-FR"/>
        </w:rPr>
      </w:pPr>
      <w:r w:rsidRPr="00530BD2">
        <w:rPr>
          <w:lang w:val="fr-FR"/>
        </w:rPr>
        <w:t>Dans cet arrêt, la Cour de cassation rappelle que le juge est tenu de répondre au prévenu ayant formulé une telle demande. D’autre part, cette faculté ne constitue qu’un étalement dans le temps de l’exécution de la déchéance, sans que cet aménagement n’ait d’incidence sur la durée effective de la peine ; il s’ensuit que la cassation de la décision relative à la demande postulant ledit aménagement, n’entraîne pas l’annulation de la décision relative à l’infliction de la déchéance elle-même (Cass. (2</w:t>
      </w:r>
      <w:r w:rsidRPr="00530BD2">
        <w:rPr>
          <w:vertAlign w:val="superscript"/>
          <w:lang w:val="fr-FR"/>
        </w:rPr>
        <w:t>e</w:t>
      </w:r>
      <w:r w:rsidRPr="00530BD2">
        <w:rPr>
          <w:lang w:val="fr-FR"/>
        </w:rPr>
        <w:t xml:space="preserve"> ch.), 2 novembre 2022, RG P.22.0431.F, disponible sur </w:t>
      </w:r>
      <w:proofErr w:type="spellStart"/>
      <w:r w:rsidRPr="00530BD2">
        <w:rPr>
          <w:lang w:val="fr-FR"/>
        </w:rPr>
        <w:t>juportal</w:t>
      </w:r>
      <w:proofErr w:type="spellEnd"/>
      <w:r w:rsidRPr="00530BD2">
        <w:rPr>
          <w:lang w:val="fr-FR"/>
        </w:rPr>
        <w:t>).</w:t>
      </w:r>
    </w:p>
    <w:p w14:paraId="1C2EAD36" w14:textId="45B7B04E" w:rsidR="00FB7DB2" w:rsidRDefault="00FB7DB2" w:rsidP="001D1A8B">
      <w:pPr>
        <w:pStyle w:val="NormalWeb"/>
        <w:jc w:val="both"/>
        <w:rPr>
          <w:lang w:val="fr-FR"/>
        </w:rPr>
      </w:pPr>
    </w:p>
    <w:p w14:paraId="43E787E5" w14:textId="167A17E0" w:rsidR="00FB7DB2" w:rsidRPr="00530BD2" w:rsidRDefault="00FB7DB2" w:rsidP="001D1A8B">
      <w:pPr>
        <w:jc w:val="both"/>
        <w:rPr>
          <w:b/>
          <w:bCs/>
          <w:color w:val="000000"/>
          <w:shd w:val="clear" w:color="auto" w:fill="FFFFFF"/>
          <w:lang w:val="fr-FR"/>
        </w:rPr>
      </w:pPr>
      <w:r w:rsidRPr="00530BD2">
        <w:rPr>
          <w:b/>
          <w:bCs/>
          <w:color w:val="000000"/>
          <w:shd w:val="clear" w:color="auto" w:fill="FFFFFF"/>
          <w:lang w:val="fr-FR"/>
        </w:rPr>
        <w:t>Art</w:t>
      </w:r>
      <w:r>
        <w:rPr>
          <w:b/>
          <w:bCs/>
          <w:color w:val="000000"/>
          <w:shd w:val="clear" w:color="auto" w:fill="FFFFFF"/>
          <w:lang w:val="fr-FR"/>
        </w:rPr>
        <w:t>.</w:t>
      </w:r>
      <w:r w:rsidRPr="00530BD2">
        <w:rPr>
          <w:b/>
          <w:bCs/>
          <w:color w:val="000000"/>
          <w:shd w:val="clear" w:color="auto" w:fill="FFFFFF"/>
          <w:lang w:val="fr-FR"/>
        </w:rPr>
        <w:t xml:space="preserve"> 40, al</w:t>
      </w:r>
      <w:r>
        <w:rPr>
          <w:b/>
          <w:bCs/>
          <w:color w:val="000000"/>
          <w:shd w:val="clear" w:color="auto" w:fill="FFFFFF"/>
          <w:lang w:val="fr-FR"/>
        </w:rPr>
        <w:t>.</w:t>
      </w:r>
      <w:r w:rsidRPr="00530BD2">
        <w:rPr>
          <w:b/>
          <w:bCs/>
          <w:color w:val="000000"/>
          <w:shd w:val="clear" w:color="auto" w:fill="FFFFFF"/>
          <w:lang w:val="fr-FR"/>
        </w:rPr>
        <w:t xml:space="preserve"> 4, de la loi relative à la police de la circulation routière – Obligation de mentionner les voies de droit ouvertes contre un jugement rendu par défaut</w:t>
      </w:r>
    </w:p>
    <w:p w14:paraId="2455411F" w14:textId="77777777" w:rsidR="00FB7DB2" w:rsidRPr="00530BD2" w:rsidRDefault="00FB7DB2" w:rsidP="001D1A8B">
      <w:pPr>
        <w:jc w:val="both"/>
        <w:rPr>
          <w:b/>
          <w:bCs/>
          <w:color w:val="000000"/>
          <w:lang w:val="fr-FR"/>
        </w:rPr>
      </w:pPr>
    </w:p>
    <w:p w14:paraId="75B00F6F" w14:textId="77777777" w:rsidR="00FB7DB2" w:rsidRPr="00530BD2" w:rsidRDefault="00FB7DB2" w:rsidP="001D1A8B">
      <w:pPr>
        <w:pStyle w:val="NormalWeb"/>
        <w:jc w:val="both"/>
        <w:rPr>
          <w:color w:val="000000"/>
          <w:shd w:val="clear" w:color="auto" w:fill="FFFFFF"/>
          <w:lang w:val="fr-FR"/>
        </w:rPr>
      </w:pPr>
      <w:r w:rsidRPr="00530BD2">
        <w:rPr>
          <w:color w:val="000000"/>
          <w:shd w:val="clear" w:color="auto" w:fill="FFFFFF"/>
          <w:lang w:val="fr-FR"/>
        </w:rPr>
        <w:t xml:space="preserve">Le moyen est pris de la violation de la foi due aux actes. Il ressort de l’étude du dossier répressif que le défendeur, prévenu, a reçu, le 8 janvier 2021, la copie d’un avertissement ayant pour objet la mise </w:t>
      </w:r>
      <w:proofErr w:type="spellStart"/>
      <w:r w:rsidRPr="00530BD2">
        <w:rPr>
          <w:color w:val="000000"/>
          <w:shd w:val="clear" w:color="auto" w:fill="FFFFFF"/>
          <w:lang w:val="fr-FR"/>
        </w:rPr>
        <w:t>a</w:t>
      </w:r>
      <w:proofErr w:type="spellEnd"/>
      <w:r w:rsidRPr="00530BD2">
        <w:rPr>
          <w:color w:val="000000"/>
          <w:shd w:val="clear" w:color="auto" w:fill="FFFFFF"/>
          <w:lang w:val="fr-FR"/>
        </w:rPr>
        <w:t>̀ exécution d’une déchéance subsidiaire du droit de conduire un véhicule.</w:t>
      </w:r>
      <w:r w:rsidRPr="00530BD2">
        <w:rPr>
          <w:color w:val="000000"/>
          <w:shd w:val="clear" w:color="auto" w:fill="FFFFFF"/>
          <w:lang w:val="fr-FR"/>
        </w:rPr>
        <w:br/>
        <w:t xml:space="preserve">Le jugement énonce que, contrairement au prescrit de l’article 40, </w:t>
      </w:r>
      <w:proofErr w:type="spellStart"/>
      <w:r w:rsidRPr="00530BD2">
        <w:rPr>
          <w:color w:val="000000"/>
          <w:shd w:val="clear" w:color="auto" w:fill="FFFFFF"/>
          <w:lang w:val="fr-FR"/>
        </w:rPr>
        <w:t>alinéa</w:t>
      </w:r>
      <w:proofErr w:type="spellEnd"/>
      <w:r w:rsidRPr="00530BD2">
        <w:rPr>
          <w:color w:val="000000"/>
          <w:shd w:val="clear" w:color="auto" w:fill="FFFFFF"/>
          <w:lang w:val="fr-FR"/>
        </w:rPr>
        <w:t xml:space="preserve"> 4, de la loi du 16 mars 1968 relative à la police de la circulation routière, cet avertissement ne mentionne pas les voies de droit ouvertes contre un jugement rendu par défaut.</w:t>
      </w:r>
    </w:p>
    <w:p w14:paraId="7E4D18F8" w14:textId="77777777" w:rsidR="00FB7DB2" w:rsidRPr="00530BD2" w:rsidRDefault="00FB7DB2" w:rsidP="001D1A8B">
      <w:pPr>
        <w:pStyle w:val="NormalWeb"/>
        <w:jc w:val="both"/>
        <w:rPr>
          <w:color w:val="000000"/>
          <w:shd w:val="clear" w:color="auto" w:fill="FFFFFF"/>
          <w:lang w:val="fr-FR"/>
        </w:rPr>
      </w:pPr>
    </w:p>
    <w:p w14:paraId="6EC3E7D7" w14:textId="77777777" w:rsidR="00FB7DB2" w:rsidRPr="00530BD2" w:rsidRDefault="00FB7DB2" w:rsidP="001D1A8B">
      <w:pPr>
        <w:pStyle w:val="NormalWeb"/>
        <w:jc w:val="both"/>
        <w:rPr>
          <w:color w:val="000000"/>
          <w:shd w:val="clear" w:color="auto" w:fill="FFFFFF"/>
          <w:lang w:val="fr-FR"/>
        </w:rPr>
      </w:pPr>
      <w:r w:rsidRPr="00530BD2">
        <w:rPr>
          <w:color w:val="000000"/>
          <w:shd w:val="clear" w:color="auto" w:fill="FFFFFF"/>
          <w:lang w:val="fr-FR"/>
        </w:rPr>
        <w:t xml:space="preserve">Le document reçu le 8 janvier 2021 certifie pourtant qu’un exemplaire de la notification des droits de la personne ayant </w:t>
      </w:r>
      <w:r>
        <w:rPr>
          <w:color w:val="000000"/>
          <w:shd w:val="clear" w:color="auto" w:fill="FFFFFF"/>
          <w:lang w:val="fr-FR"/>
        </w:rPr>
        <w:t>é</w:t>
      </w:r>
      <w:r w:rsidRPr="00530BD2">
        <w:rPr>
          <w:color w:val="000000"/>
          <w:shd w:val="clear" w:color="auto" w:fill="FFFFFF"/>
          <w:lang w:val="fr-FR"/>
        </w:rPr>
        <w:t>t</w:t>
      </w:r>
      <w:r>
        <w:rPr>
          <w:color w:val="000000"/>
          <w:shd w:val="clear" w:color="auto" w:fill="FFFFFF"/>
          <w:lang w:val="fr-FR"/>
        </w:rPr>
        <w:t>é</w:t>
      </w:r>
      <w:r w:rsidRPr="00530BD2">
        <w:rPr>
          <w:color w:val="000000"/>
          <w:shd w:val="clear" w:color="auto" w:fill="FFFFFF"/>
          <w:lang w:val="fr-FR"/>
        </w:rPr>
        <w:t xml:space="preserve"> condamnée par défaut a </w:t>
      </w:r>
      <w:proofErr w:type="spellStart"/>
      <w:r w:rsidRPr="00530BD2">
        <w:rPr>
          <w:color w:val="000000"/>
          <w:shd w:val="clear" w:color="auto" w:fill="FFFFFF"/>
          <w:lang w:val="fr-FR"/>
        </w:rPr>
        <w:t>éte</w:t>
      </w:r>
      <w:proofErr w:type="spellEnd"/>
      <w:r w:rsidRPr="00530BD2">
        <w:rPr>
          <w:color w:val="000000"/>
          <w:shd w:val="clear" w:color="auto" w:fill="FFFFFF"/>
          <w:lang w:val="fr-FR"/>
        </w:rPr>
        <w:t xml:space="preserve">́ remis </w:t>
      </w:r>
      <w:proofErr w:type="spellStart"/>
      <w:r w:rsidRPr="00530BD2">
        <w:rPr>
          <w:color w:val="000000"/>
          <w:shd w:val="clear" w:color="auto" w:fill="FFFFFF"/>
          <w:lang w:val="fr-FR"/>
        </w:rPr>
        <w:t>a</w:t>
      </w:r>
      <w:proofErr w:type="spellEnd"/>
      <w:r w:rsidRPr="00530BD2">
        <w:rPr>
          <w:color w:val="000000"/>
          <w:shd w:val="clear" w:color="auto" w:fill="FFFFFF"/>
          <w:lang w:val="fr-FR"/>
        </w:rPr>
        <w:t>̀ la personne avertie.</w:t>
      </w:r>
    </w:p>
    <w:p w14:paraId="6CA205C9" w14:textId="77777777" w:rsidR="00FB7DB2" w:rsidRPr="00530BD2" w:rsidRDefault="00FB7DB2" w:rsidP="001D1A8B">
      <w:pPr>
        <w:pStyle w:val="NormalWeb"/>
        <w:jc w:val="both"/>
        <w:rPr>
          <w:color w:val="000000"/>
          <w:shd w:val="clear" w:color="auto" w:fill="FFFFFF"/>
          <w:lang w:val="fr-FR"/>
        </w:rPr>
      </w:pPr>
    </w:p>
    <w:p w14:paraId="1EC4D267" w14:textId="77777777" w:rsidR="00FB7DB2" w:rsidRPr="00530BD2" w:rsidRDefault="00FB7DB2" w:rsidP="001D1A8B">
      <w:pPr>
        <w:pStyle w:val="NormalWeb"/>
        <w:jc w:val="both"/>
        <w:rPr>
          <w:color w:val="000000"/>
          <w:shd w:val="clear" w:color="auto" w:fill="FFFFFF"/>
          <w:lang w:val="fr-FR"/>
        </w:rPr>
      </w:pPr>
      <w:r w:rsidRPr="00530BD2">
        <w:rPr>
          <w:color w:val="000000"/>
          <w:shd w:val="clear" w:color="auto" w:fill="FFFFFF"/>
          <w:lang w:val="fr-FR"/>
        </w:rPr>
        <w:t>Face à cette question, soit la possibilité pour le juge de considérer que l’avertissement notifié le 8 janvier 2021 ne mentionne pas cette voie de recours, alors que le document atteste que le défendeur a reçu la communication prescrite, la Cour de cassation considère que le jugement donne, de l’acte auquel il se réfère, une interprétation qui n’est pas conciliable avec ses termes.</w:t>
      </w:r>
    </w:p>
    <w:p w14:paraId="7FC87FEC" w14:textId="77777777" w:rsidR="00FB7DB2" w:rsidRPr="00530BD2" w:rsidRDefault="00FB7DB2" w:rsidP="001D1A8B">
      <w:pPr>
        <w:pStyle w:val="NormalWeb"/>
        <w:jc w:val="both"/>
        <w:rPr>
          <w:color w:val="000000"/>
          <w:shd w:val="clear" w:color="auto" w:fill="FFFFFF"/>
          <w:lang w:val="fr-FR"/>
        </w:rPr>
      </w:pPr>
      <w:r w:rsidRPr="00530BD2">
        <w:rPr>
          <w:color w:val="000000"/>
          <w:shd w:val="clear" w:color="auto" w:fill="FFFFFF"/>
          <w:lang w:val="fr-FR"/>
        </w:rPr>
        <w:br/>
        <w:t>Partant, le moyen développé par le ministère public, demandeur, est fondé et entraîne cassation (Cour de cassation (2e chambre), 25 mai 2022, P.22.0201.F,</w:t>
      </w:r>
      <w:r w:rsidRPr="00530BD2">
        <w:rPr>
          <w:rStyle w:val="apple-converted-space"/>
          <w:color w:val="000000"/>
          <w:shd w:val="clear" w:color="auto" w:fill="FFFFFF"/>
          <w:lang w:val="fr-FR"/>
        </w:rPr>
        <w:t> </w:t>
      </w:r>
      <w:r w:rsidRPr="00530BD2">
        <w:rPr>
          <w:i/>
          <w:iCs/>
          <w:color w:val="000000"/>
          <w:lang w:val="fr-FR"/>
        </w:rPr>
        <w:t>C.R.A.</w:t>
      </w:r>
      <w:r w:rsidRPr="00530BD2">
        <w:rPr>
          <w:color w:val="000000"/>
          <w:shd w:val="clear" w:color="auto" w:fill="FFFFFF"/>
          <w:lang w:val="fr-FR"/>
        </w:rPr>
        <w:t>, 2022/6, p. 14).</w:t>
      </w:r>
    </w:p>
    <w:p w14:paraId="261174A6" w14:textId="77777777" w:rsidR="00477F81" w:rsidRPr="00335C08" w:rsidRDefault="00477F81" w:rsidP="001D1A8B">
      <w:pPr>
        <w:jc w:val="both"/>
        <w:rPr>
          <w:b/>
          <w:lang w:eastAsia="fr-BE"/>
        </w:rPr>
      </w:pPr>
    </w:p>
    <w:p w14:paraId="2FC566BD" w14:textId="77777777" w:rsidR="00477F81" w:rsidRPr="00335C08" w:rsidRDefault="00477F81" w:rsidP="001D1A8B">
      <w:pPr>
        <w:jc w:val="both"/>
        <w:rPr>
          <w:b/>
          <w:lang w:eastAsia="fr-BE"/>
        </w:rPr>
      </w:pPr>
      <w:r w:rsidRPr="00335C08">
        <w:rPr>
          <w:b/>
          <w:lang w:eastAsia="fr-BE"/>
        </w:rPr>
        <w:lastRenderedPageBreak/>
        <w:t xml:space="preserve">Art. 42 de la loi relative à la police de la circulation routière – Déchéance du droit de conduire pour inaptitude physique ou psychique – Critères – Appréciation souveraine du juge du fond – Pas d’obligation de procéder à une expertise préalable </w:t>
      </w:r>
    </w:p>
    <w:p w14:paraId="43033DCC" w14:textId="77777777" w:rsidR="00477F81" w:rsidRPr="00335C08" w:rsidRDefault="00477F81" w:rsidP="001D1A8B">
      <w:pPr>
        <w:jc w:val="both"/>
        <w:rPr>
          <w:lang w:eastAsia="fr-BE"/>
        </w:rPr>
      </w:pPr>
    </w:p>
    <w:p w14:paraId="6E668C7B" w14:textId="77777777" w:rsidR="00477F81" w:rsidRDefault="00477F81" w:rsidP="001D1A8B">
      <w:pPr>
        <w:jc w:val="both"/>
        <w:rPr>
          <w:lang w:eastAsia="fr-BE"/>
        </w:rPr>
      </w:pPr>
      <w:r w:rsidRPr="00335C08">
        <w:rPr>
          <w:lang w:eastAsia="fr-BE"/>
        </w:rPr>
        <w:t xml:space="preserve">Régulièrement amenée à se prononcer sur des décisions faisant application de l’article 42 de la loi relative à la police de la circulation routière, la Cour de </w:t>
      </w:r>
      <w:r>
        <w:rPr>
          <w:lang w:eastAsia="fr-BE"/>
        </w:rPr>
        <w:t>c</w:t>
      </w:r>
      <w:r w:rsidRPr="00335C08">
        <w:rPr>
          <w:lang w:eastAsia="fr-BE"/>
        </w:rPr>
        <w:t>assation a rappelé une nouvelle fois</w:t>
      </w:r>
      <w:r>
        <w:rPr>
          <w:lang w:eastAsia="fr-BE"/>
        </w:rPr>
        <w:t>,</w:t>
      </w:r>
      <w:r w:rsidRPr="00335C08">
        <w:rPr>
          <w:lang w:eastAsia="fr-BE"/>
        </w:rPr>
        <w:t xml:space="preserve"> dans son arrêt du 31 mai 2022</w:t>
      </w:r>
      <w:r>
        <w:rPr>
          <w:lang w:eastAsia="fr-BE"/>
        </w:rPr>
        <w:t>,</w:t>
      </w:r>
      <w:r w:rsidRPr="00335C08">
        <w:rPr>
          <w:lang w:eastAsia="fr-BE"/>
        </w:rPr>
        <w:t xml:space="preserve"> que le juge du fond statue de manière souveraine sur base des éléments de faits soumis à son appréciation et à la contradiction des parties, afin de déterminer si un prévenu doit être déclaré physiquement ou psychologiquement inapte à conduire un véhicule à moteur, conformément à l’art. 42 al</w:t>
      </w:r>
      <w:r>
        <w:rPr>
          <w:lang w:eastAsia="fr-BE"/>
        </w:rPr>
        <w:t>inéa</w:t>
      </w:r>
      <w:r w:rsidRPr="00335C08">
        <w:rPr>
          <w:lang w:eastAsia="fr-BE"/>
        </w:rPr>
        <w:t>1</w:t>
      </w:r>
      <w:r w:rsidRPr="00D84E55">
        <w:rPr>
          <w:vertAlign w:val="superscript"/>
          <w:lang w:eastAsia="fr-BE"/>
        </w:rPr>
        <w:t>er</w:t>
      </w:r>
      <w:r>
        <w:rPr>
          <w:lang w:eastAsia="fr-BE"/>
        </w:rPr>
        <w:t>,</w:t>
      </w:r>
      <w:r w:rsidRPr="00335C08">
        <w:rPr>
          <w:lang w:eastAsia="fr-BE"/>
        </w:rPr>
        <w:t xml:space="preserve"> de la loi relative à la police de la circulation routière. La Cour de cassation rappelle qu’il n’est pas requis, pour déclarer un prévenu inapte à la conduite, qu’il ait été condamné pour des infractions relative à la conduite sous influence d’alcool ou de stupéfiants. La Cour précise qu’il n’est pas requis non plus qu’une expertise préalable ait été effectuée</w:t>
      </w:r>
      <w:r>
        <w:rPr>
          <w:lang w:eastAsia="fr-BE"/>
        </w:rPr>
        <w:t xml:space="preserve"> </w:t>
      </w:r>
      <w:r w:rsidRPr="00335C08">
        <w:rPr>
          <w:lang w:eastAsia="fr-BE"/>
        </w:rPr>
        <w:t xml:space="preserve">(Cass., 31 mai 2022, </w:t>
      </w:r>
      <w:r w:rsidRPr="00335C08">
        <w:rPr>
          <w:i/>
          <w:iCs/>
          <w:lang w:eastAsia="fr-BE"/>
        </w:rPr>
        <w:t>R.W.</w:t>
      </w:r>
      <w:r w:rsidRPr="00335C08">
        <w:rPr>
          <w:lang w:eastAsia="fr-BE"/>
        </w:rPr>
        <w:t>, 2022-2023, n°11, p. 418).</w:t>
      </w:r>
    </w:p>
    <w:p w14:paraId="6F282E8F" w14:textId="77777777" w:rsidR="00477F81" w:rsidRDefault="00477F81" w:rsidP="001D1A8B">
      <w:pPr>
        <w:jc w:val="both"/>
        <w:rPr>
          <w:lang w:eastAsia="fr-BE"/>
        </w:rPr>
      </w:pPr>
    </w:p>
    <w:p w14:paraId="738F2918" w14:textId="77777777" w:rsidR="00477F81" w:rsidRPr="00335C08" w:rsidRDefault="00477F81" w:rsidP="001D1A8B">
      <w:pPr>
        <w:jc w:val="both"/>
        <w:rPr>
          <w:b/>
          <w:lang w:eastAsia="fr-BE"/>
        </w:rPr>
      </w:pPr>
      <w:r w:rsidRPr="00335C08">
        <w:rPr>
          <w:b/>
          <w:lang w:eastAsia="fr-BE"/>
        </w:rPr>
        <w:t xml:space="preserve">Art. 42 de la loi relative à la circulation routière – Incapacité physique ou psychique – Révision – Autorité de chose jugée </w:t>
      </w:r>
    </w:p>
    <w:p w14:paraId="56287561" w14:textId="77777777" w:rsidR="00477F81" w:rsidRPr="00335C08" w:rsidRDefault="00477F81" w:rsidP="001D1A8B">
      <w:pPr>
        <w:jc w:val="both"/>
        <w:rPr>
          <w:lang w:eastAsia="fr-BE"/>
        </w:rPr>
      </w:pPr>
    </w:p>
    <w:p w14:paraId="692BE739" w14:textId="1D9702CC" w:rsidR="00477F81" w:rsidRDefault="00477F81" w:rsidP="001D1A8B">
      <w:pPr>
        <w:jc w:val="both"/>
      </w:pPr>
      <w:r w:rsidRPr="00335C08">
        <w:t>Le tribunal de police de Flandre-Orientale, division Alost, a eu l’occasion de rappeler dans un jugement du 5 septembre 2022 que le conducteur qui a fait l’objet d’une déchéance du droit de conduire pour incapacité physique ou psychique en vertu de l’article 42 de la loi relative à la police de la circulation routière, ne peut demander une révision qu’après un délai de minimum six mois à compter de la date du jugement passé en force de chose jugée.</w:t>
      </w:r>
      <w:r>
        <w:t xml:space="preserve"> </w:t>
      </w:r>
      <w:r w:rsidRPr="00335C08">
        <w:t>Le requérant qui introduit une requête après un délai de six mois, mais alors que le jugement a fait l’objet d’un appel sur le plan pénal, verra sa requête déclarée irrecevable en raison de l’absence de force de chose jugée attachée audit jugement</w:t>
      </w:r>
      <w:r>
        <w:t xml:space="preserve"> </w:t>
      </w:r>
      <w:r w:rsidRPr="00335C08">
        <w:t xml:space="preserve">(Pol. Flandre-Orientale, div. Alost, 5 septembre 2022, </w:t>
      </w:r>
      <w:r w:rsidRPr="00335C08">
        <w:rPr>
          <w:i/>
          <w:iCs/>
        </w:rPr>
        <w:t>J.J.Pol.-</w:t>
      </w:r>
      <w:proofErr w:type="spellStart"/>
      <w:r w:rsidRPr="00335C08">
        <w:rPr>
          <w:i/>
          <w:iCs/>
        </w:rPr>
        <w:t>T.Pol</w:t>
      </w:r>
      <w:proofErr w:type="spellEnd"/>
      <w:r w:rsidRPr="00335C08">
        <w:rPr>
          <w:i/>
          <w:iCs/>
        </w:rPr>
        <w:t xml:space="preserve">., </w:t>
      </w:r>
      <w:r w:rsidRPr="00335C08">
        <w:t xml:space="preserve">2022/4, p. 193). </w:t>
      </w:r>
    </w:p>
    <w:p w14:paraId="45531790" w14:textId="1FBBC5C8" w:rsidR="00D12B7C" w:rsidRDefault="00D12B7C" w:rsidP="001D1A8B">
      <w:pPr>
        <w:jc w:val="both"/>
      </w:pPr>
    </w:p>
    <w:p w14:paraId="587FAA6A" w14:textId="53677BFF" w:rsidR="00D12B7C" w:rsidRDefault="00D12B7C" w:rsidP="001D1A8B">
      <w:pPr>
        <w:pStyle w:val="NormalWeb"/>
        <w:jc w:val="both"/>
        <w:rPr>
          <w:b/>
          <w:bCs/>
          <w:lang w:val="fr-FR"/>
        </w:rPr>
      </w:pPr>
      <w:r w:rsidRPr="00530BD2">
        <w:rPr>
          <w:b/>
          <w:bCs/>
          <w:lang w:val="fr-FR"/>
        </w:rPr>
        <w:t>Art</w:t>
      </w:r>
      <w:r>
        <w:rPr>
          <w:b/>
          <w:bCs/>
          <w:lang w:val="fr-FR"/>
        </w:rPr>
        <w:t>.</w:t>
      </w:r>
      <w:r w:rsidRPr="00530BD2">
        <w:rPr>
          <w:b/>
          <w:bCs/>
          <w:lang w:val="fr-FR"/>
        </w:rPr>
        <w:t xml:space="preserve"> 62 et 67</w:t>
      </w:r>
      <w:r w:rsidRPr="00530BD2">
        <w:rPr>
          <w:b/>
          <w:bCs/>
          <w:i/>
          <w:iCs/>
          <w:lang w:val="fr-FR"/>
        </w:rPr>
        <w:t>bis</w:t>
      </w:r>
      <w:r w:rsidRPr="00530BD2">
        <w:rPr>
          <w:b/>
          <w:bCs/>
          <w:lang w:val="fr-FR"/>
        </w:rPr>
        <w:t xml:space="preserve"> de la loi relative à la police de la circulation routière - Défaut d’envoi du procès-verbal de constat - Force probante - Renversement de la présomption</w:t>
      </w:r>
    </w:p>
    <w:p w14:paraId="34B9883D" w14:textId="77777777" w:rsidR="00D12B7C" w:rsidRPr="00530BD2" w:rsidRDefault="00D12B7C" w:rsidP="001D1A8B">
      <w:pPr>
        <w:pStyle w:val="NormalWeb"/>
        <w:jc w:val="both"/>
        <w:rPr>
          <w:b/>
          <w:bCs/>
          <w:lang w:val="fr-FR"/>
        </w:rPr>
      </w:pPr>
    </w:p>
    <w:p w14:paraId="4CAC6865" w14:textId="0B2EAD9F" w:rsidR="00D12B7C" w:rsidRDefault="00D12B7C" w:rsidP="001D1A8B">
      <w:pPr>
        <w:autoSpaceDE w:val="0"/>
        <w:autoSpaceDN w:val="0"/>
        <w:adjustRightInd w:val="0"/>
        <w:jc w:val="both"/>
        <w:rPr>
          <w:color w:val="000000"/>
          <w:lang w:val="fr-FR"/>
        </w:rPr>
      </w:pPr>
      <w:r w:rsidRPr="00530BD2">
        <w:rPr>
          <w:color w:val="000000"/>
          <w:lang w:val="fr-FR"/>
        </w:rPr>
        <w:t xml:space="preserve">Dès lors que le procès-verbal constatant une infraction n’a pas été envoyé en copie au prévenu, il perd sa force probante spéciale visée à l’article 62 de la loi </w:t>
      </w:r>
      <w:r>
        <w:rPr>
          <w:color w:val="000000"/>
          <w:lang w:val="fr-FR"/>
        </w:rPr>
        <w:t xml:space="preserve">du 16 mars 1968 </w:t>
      </w:r>
      <w:r w:rsidRPr="00530BD2">
        <w:rPr>
          <w:color w:val="000000"/>
          <w:lang w:val="fr-FR"/>
        </w:rPr>
        <w:t>relative à la police de la circulation routière. Partant, l’article 67</w:t>
      </w:r>
      <w:r w:rsidRPr="00530BD2">
        <w:rPr>
          <w:i/>
          <w:iCs/>
          <w:color w:val="000000"/>
          <w:lang w:val="fr-FR"/>
        </w:rPr>
        <w:t>bis</w:t>
      </w:r>
      <w:r w:rsidRPr="00530BD2">
        <w:rPr>
          <w:color w:val="000000"/>
          <w:lang w:val="fr-FR"/>
        </w:rPr>
        <w:t>, alinéa 1</w:t>
      </w:r>
      <w:r w:rsidRPr="00530BD2">
        <w:rPr>
          <w:color w:val="000000"/>
          <w:vertAlign w:val="superscript"/>
          <w:lang w:val="fr-FR"/>
        </w:rPr>
        <w:t>er</w:t>
      </w:r>
      <w:r w:rsidRPr="00530BD2">
        <w:rPr>
          <w:color w:val="000000"/>
          <w:lang w:val="fr-FR"/>
        </w:rPr>
        <w:t xml:space="preserve"> de cette même loi, qui instaure une présomption selon laquelle le titulaire de la plaque d’immatriculation est celui qui a commis l’infraction, ne trouve pas à s’appliquer. Il appartient alors au ministère public de rapporter la preuve de la culpabilité du prévenu dans les faits de l’infraction ainsi constatée (Cass. (2</w:t>
      </w:r>
      <w:r w:rsidRPr="00530BD2">
        <w:rPr>
          <w:color w:val="000000"/>
          <w:vertAlign w:val="superscript"/>
          <w:lang w:val="fr-FR"/>
        </w:rPr>
        <w:t>e</w:t>
      </w:r>
      <w:r w:rsidRPr="00530BD2">
        <w:rPr>
          <w:color w:val="000000"/>
          <w:lang w:val="fr-FR"/>
        </w:rPr>
        <w:t xml:space="preserve"> ch.), 2 novembre 2022, RG P.22.0943.F, disponible sur </w:t>
      </w:r>
      <w:proofErr w:type="spellStart"/>
      <w:r w:rsidRPr="00530BD2">
        <w:rPr>
          <w:color w:val="000000"/>
          <w:lang w:val="fr-FR"/>
        </w:rPr>
        <w:t>juportal</w:t>
      </w:r>
      <w:proofErr w:type="spellEnd"/>
      <w:r w:rsidRPr="00530BD2">
        <w:rPr>
          <w:color w:val="000000"/>
          <w:lang w:val="fr-FR"/>
        </w:rPr>
        <w:t>).</w:t>
      </w:r>
    </w:p>
    <w:p w14:paraId="16C80A6F" w14:textId="77777777" w:rsidR="00FB7DB2" w:rsidRPr="00530BD2" w:rsidRDefault="00FB7DB2" w:rsidP="001D1A8B">
      <w:pPr>
        <w:jc w:val="both"/>
        <w:rPr>
          <w:b/>
          <w:bCs/>
          <w:color w:val="000000"/>
          <w:lang w:val="fr-FR"/>
        </w:rPr>
      </w:pPr>
    </w:p>
    <w:p w14:paraId="5B2A9F61" w14:textId="0A7A7A4A" w:rsidR="00FB7DB2" w:rsidRPr="00530BD2" w:rsidRDefault="00FB7DB2" w:rsidP="001D1A8B">
      <w:pPr>
        <w:jc w:val="both"/>
        <w:rPr>
          <w:b/>
          <w:bCs/>
          <w:color w:val="000000"/>
          <w:lang w:val="fr-FR"/>
        </w:rPr>
      </w:pPr>
      <w:r w:rsidRPr="00530BD2">
        <w:rPr>
          <w:b/>
          <w:bCs/>
          <w:color w:val="000000"/>
          <w:lang w:val="fr-FR"/>
        </w:rPr>
        <w:t>Art</w:t>
      </w:r>
      <w:r>
        <w:rPr>
          <w:b/>
          <w:bCs/>
          <w:color w:val="000000"/>
          <w:lang w:val="fr-FR"/>
        </w:rPr>
        <w:t>.</w:t>
      </w:r>
      <w:r w:rsidRPr="00530BD2">
        <w:rPr>
          <w:b/>
          <w:bCs/>
          <w:color w:val="000000"/>
          <w:lang w:val="fr-FR"/>
        </w:rPr>
        <w:t xml:space="preserve"> 62</w:t>
      </w:r>
      <w:r w:rsidRPr="00530BD2">
        <w:rPr>
          <w:b/>
          <w:bCs/>
          <w:i/>
          <w:iCs/>
          <w:color w:val="000000"/>
          <w:lang w:val="fr-FR"/>
        </w:rPr>
        <w:t xml:space="preserve">ter </w:t>
      </w:r>
      <w:r w:rsidRPr="00530BD2">
        <w:rPr>
          <w:b/>
          <w:bCs/>
          <w:color w:val="000000"/>
          <w:lang w:val="fr-FR"/>
        </w:rPr>
        <w:t>de la loi relative à la police de la circulation routière</w:t>
      </w:r>
      <w:r>
        <w:rPr>
          <w:b/>
          <w:bCs/>
          <w:color w:val="000000"/>
          <w:lang w:val="fr-FR"/>
        </w:rPr>
        <w:t xml:space="preserve"> – </w:t>
      </w:r>
      <w:r w:rsidRPr="00530BD2">
        <w:rPr>
          <w:b/>
          <w:bCs/>
          <w:color w:val="000000"/>
          <w:lang w:val="fr-FR"/>
        </w:rPr>
        <w:t xml:space="preserve">Test salivaire </w:t>
      </w:r>
      <w:r>
        <w:rPr>
          <w:b/>
          <w:bCs/>
          <w:color w:val="000000"/>
          <w:lang w:val="fr-FR"/>
        </w:rPr>
        <w:t>–</w:t>
      </w:r>
      <w:r w:rsidRPr="00530BD2">
        <w:rPr>
          <w:b/>
          <w:bCs/>
          <w:color w:val="000000"/>
          <w:lang w:val="fr-FR"/>
        </w:rPr>
        <w:t xml:space="preserve"> Force probante </w:t>
      </w:r>
    </w:p>
    <w:p w14:paraId="0D313DE8" w14:textId="77777777" w:rsidR="00FB7DB2" w:rsidRPr="00530BD2" w:rsidRDefault="00FB7DB2" w:rsidP="001D1A8B">
      <w:pPr>
        <w:autoSpaceDE w:val="0"/>
        <w:autoSpaceDN w:val="0"/>
        <w:adjustRightInd w:val="0"/>
        <w:jc w:val="both"/>
        <w:rPr>
          <w:color w:val="000000"/>
          <w:lang w:val="fr-FR"/>
        </w:rPr>
      </w:pPr>
    </w:p>
    <w:p w14:paraId="3520B5D0" w14:textId="77777777" w:rsidR="00FB7DB2" w:rsidRDefault="00FB7DB2" w:rsidP="001D1A8B">
      <w:pPr>
        <w:autoSpaceDE w:val="0"/>
        <w:autoSpaceDN w:val="0"/>
        <w:adjustRightInd w:val="0"/>
        <w:jc w:val="both"/>
        <w:rPr>
          <w:color w:val="000000"/>
          <w:lang w:val="fr-FR"/>
        </w:rPr>
      </w:pPr>
      <w:r w:rsidRPr="00530BD2">
        <w:rPr>
          <w:color w:val="000000"/>
          <w:lang w:val="fr-FR"/>
        </w:rPr>
        <w:t>La loi n’attribue aucune force probante spéciale aux conclusions du laboratoire agréé par le Roi, relatives à l’analyse salivaire visée à l’article 62</w:t>
      </w:r>
      <w:r w:rsidRPr="00530BD2">
        <w:rPr>
          <w:i/>
          <w:iCs/>
          <w:color w:val="000000"/>
          <w:lang w:val="fr-FR"/>
        </w:rPr>
        <w:t>ter</w:t>
      </w:r>
      <w:r w:rsidRPr="00530BD2">
        <w:rPr>
          <w:color w:val="000000"/>
          <w:lang w:val="fr-FR"/>
        </w:rPr>
        <w:t xml:space="preserve"> de la loi du 16 mars 1968 relative à la police de la circulation routière.</w:t>
      </w:r>
    </w:p>
    <w:p w14:paraId="42EBBFCF" w14:textId="77777777" w:rsidR="00FB7DB2" w:rsidRPr="00530BD2" w:rsidRDefault="00FB7DB2" w:rsidP="001D1A8B">
      <w:pPr>
        <w:autoSpaceDE w:val="0"/>
        <w:autoSpaceDN w:val="0"/>
        <w:adjustRightInd w:val="0"/>
        <w:jc w:val="both"/>
        <w:rPr>
          <w:color w:val="000000"/>
          <w:lang w:val="fr-FR"/>
        </w:rPr>
      </w:pPr>
    </w:p>
    <w:p w14:paraId="692A3A78" w14:textId="77777777" w:rsidR="00FB7DB2" w:rsidRPr="00530BD2" w:rsidRDefault="00FB7DB2" w:rsidP="001D1A8B">
      <w:pPr>
        <w:autoSpaceDE w:val="0"/>
        <w:autoSpaceDN w:val="0"/>
        <w:adjustRightInd w:val="0"/>
        <w:jc w:val="both"/>
        <w:rPr>
          <w:color w:val="000000"/>
          <w:lang w:val="fr-FR"/>
        </w:rPr>
      </w:pPr>
      <w:r w:rsidRPr="00530BD2">
        <w:rPr>
          <w:color w:val="000000"/>
          <w:lang w:val="fr-FR"/>
        </w:rPr>
        <w:t xml:space="preserve">En matière répressive, lorsque la loi n’établit pas un mode spécial de preuve, le juge du fond apprécie en fait la valeur probante des éléments sur lesquels il fonde sa conviction, qui lui ont été soumis et que les parties ont pu librement contredire. Dès lors, le juge peut notamment refuser le crédit du résultat d’une analyse salivaire en ayant égard à d’autres éléments, telles les </w:t>
      </w:r>
      <w:r w:rsidRPr="00530BD2">
        <w:rPr>
          <w:color w:val="000000"/>
          <w:lang w:val="fr-FR"/>
        </w:rPr>
        <w:lastRenderedPageBreak/>
        <w:t>constatations des policiers (Cass. (2</w:t>
      </w:r>
      <w:r w:rsidRPr="00530BD2">
        <w:rPr>
          <w:color w:val="000000"/>
          <w:vertAlign w:val="superscript"/>
          <w:lang w:val="fr-FR"/>
        </w:rPr>
        <w:t>e</w:t>
      </w:r>
      <w:r w:rsidRPr="00530BD2">
        <w:rPr>
          <w:color w:val="000000"/>
          <w:lang w:val="fr-FR"/>
        </w:rPr>
        <w:t xml:space="preserve"> ch.), 9 novembre 2022, RG P.22.0980.F, disponible sur </w:t>
      </w:r>
      <w:proofErr w:type="spellStart"/>
      <w:r w:rsidRPr="00530BD2">
        <w:rPr>
          <w:color w:val="000000"/>
          <w:lang w:val="fr-FR"/>
        </w:rPr>
        <w:t>juportal</w:t>
      </w:r>
      <w:proofErr w:type="spellEnd"/>
      <w:r w:rsidRPr="00530BD2">
        <w:rPr>
          <w:color w:val="000000"/>
          <w:lang w:val="fr-FR"/>
        </w:rPr>
        <w:t>).</w:t>
      </w:r>
    </w:p>
    <w:p w14:paraId="4104F14B" w14:textId="75A9B325" w:rsidR="00477F81" w:rsidRDefault="00477F81" w:rsidP="001D1A8B">
      <w:pPr>
        <w:jc w:val="both"/>
        <w:rPr>
          <w:lang w:eastAsia="fr-BE"/>
        </w:rPr>
      </w:pPr>
    </w:p>
    <w:p w14:paraId="65DDC43E" w14:textId="77777777" w:rsidR="00477F81" w:rsidRPr="00335C08" w:rsidRDefault="00477F81" w:rsidP="001D1A8B">
      <w:pPr>
        <w:jc w:val="both"/>
        <w:rPr>
          <w:b/>
          <w:lang w:eastAsia="fr-BE"/>
        </w:rPr>
      </w:pPr>
      <w:r w:rsidRPr="00335C08">
        <w:rPr>
          <w:b/>
          <w:lang w:eastAsia="fr-BE"/>
        </w:rPr>
        <w:t xml:space="preserve">Art. 65/1 de la loi relative à la police de la circulation routière – Ordre de paiement – Compétence du tribunal de police ou du tribunal correctionnel siégeant en degré d’appel </w:t>
      </w:r>
    </w:p>
    <w:p w14:paraId="07BE78A9" w14:textId="77777777" w:rsidR="00477F81" w:rsidRPr="00335C08" w:rsidRDefault="00477F81" w:rsidP="001D1A8B">
      <w:pPr>
        <w:jc w:val="both"/>
        <w:rPr>
          <w:lang w:eastAsia="fr-BE"/>
        </w:rPr>
      </w:pPr>
    </w:p>
    <w:p w14:paraId="3127A1B8" w14:textId="77777777" w:rsidR="00477F81" w:rsidRPr="00335C08" w:rsidRDefault="00477F81" w:rsidP="001D1A8B">
      <w:pPr>
        <w:jc w:val="both"/>
        <w:rPr>
          <w:lang w:eastAsia="fr-BE"/>
        </w:rPr>
      </w:pPr>
      <w:r w:rsidRPr="00335C08">
        <w:rPr>
          <w:lang w:eastAsia="fr-BE"/>
        </w:rPr>
        <w:t>La Cour de cassation a été amenée à se prononcer le 1</w:t>
      </w:r>
      <w:r w:rsidRPr="00335C08">
        <w:rPr>
          <w:vertAlign w:val="superscript"/>
          <w:lang w:eastAsia="fr-BE"/>
        </w:rPr>
        <w:t xml:space="preserve">er </w:t>
      </w:r>
      <w:r w:rsidRPr="00335C08">
        <w:rPr>
          <w:lang w:eastAsia="fr-BE"/>
        </w:rPr>
        <w:t>juin 2021 sur la question de la compétence du tribunal dans l’hypothèse de l’introduction du recours prévu à l’article 65/1 de la loi relative à la police de la circulation routière.</w:t>
      </w:r>
      <w:r>
        <w:rPr>
          <w:lang w:eastAsia="fr-BE"/>
        </w:rPr>
        <w:t xml:space="preserve"> </w:t>
      </w:r>
      <w:r w:rsidRPr="00335C08">
        <w:rPr>
          <w:lang w:eastAsia="fr-BE"/>
        </w:rPr>
        <w:t xml:space="preserve">Jusqu’à l’arrêt de la Cour de cassation, la jurisprudence des cours et tribunaux n’était pas uniforme quant à la compétence du tribunal saisi d’un tel recours. La décision de la Cour de cassation vient enfin apporter de la clarté dans ce débat. </w:t>
      </w:r>
    </w:p>
    <w:p w14:paraId="5873DDC5" w14:textId="77777777" w:rsidR="00477F81" w:rsidRPr="00335C08" w:rsidRDefault="00477F81" w:rsidP="001D1A8B">
      <w:pPr>
        <w:jc w:val="both"/>
        <w:rPr>
          <w:lang w:eastAsia="fr-BE"/>
        </w:rPr>
      </w:pPr>
      <w:r w:rsidRPr="00335C08">
        <w:rPr>
          <w:lang w:eastAsia="fr-BE"/>
        </w:rPr>
        <w:t xml:space="preserve">La Cour de cassation rappelle tout d’abord que l’ordre de paiement est une procédure particulière par laquelle le législateur donne au </w:t>
      </w:r>
      <w:r>
        <w:rPr>
          <w:lang w:eastAsia="fr-BE"/>
        </w:rPr>
        <w:t>m</w:t>
      </w:r>
      <w:r w:rsidRPr="00335C08">
        <w:rPr>
          <w:lang w:eastAsia="fr-BE"/>
        </w:rPr>
        <w:t xml:space="preserve">inistère </w:t>
      </w:r>
      <w:r>
        <w:rPr>
          <w:lang w:eastAsia="fr-BE"/>
        </w:rPr>
        <w:t>p</w:t>
      </w:r>
      <w:r w:rsidRPr="00335C08">
        <w:rPr>
          <w:lang w:eastAsia="fr-BE"/>
        </w:rPr>
        <w:t>ublic la possibilité de délivrer un titre exécutoire. Elle estime que dans la mesure où la procédure n’impose pas une peine au sens de l’article 1</w:t>
      </w:r>
      <w:r>
        <w:rPr>
          <w:vertAlign w:val="superscript"/>
          <w:lang w:eastAsia="fr-BE"/>
        </w:rPr>
        <w:t>er</w:t>
      </w:r>
      <w:r w:rsidRPr="00335C08">
        <w:rPr>
          <w:lang w:eastAsia="fr-BE"/>
        </w:rPr>
        <w:t xml:space="preserve"> du Code pénal, mais qu’elle ne crée qu’un titre exécutoire, on ne peut estimer que l’action publique est mise en mouvement par la délivrance de l’ordre de paiement.</w:t>
      </w:r>
      <w:r>
        <w:rPr>
          <w:lang w:eastAsia="fr-BE"/>
        </w:rPr>
        <w:t xml:space="preserve"> </w:t>
      </w:r>
      <w:r w:rsidRPr="00335C08">
        <w:rPr>
          <w:lang w:eastAsia="fr-BE"/>
        </w:rPr>
        <w:t xml:space="preserve">Partant, la voie de recours prévue à l’article 65/1 de la loi relative à la police de la circulation routière ne peut avoir pour conséquence que la juridiction saisie ne connaisse de l’action publique relative aux faits ayant donné lieu à la délivrance de l’ordre de paiement. </w:t>
      </w:r>
    </w:p>
    <w:p w14:paraId="700FA4CE" w14:textId="77777777" w:rsidR="00477F81" w:rsidRPr="00335C08" w:rsidRDefault="00477F81" w:rsidP="001D1A8B">
      <w:pPr>
        <w:jc w:val="both"/>
        <w:rPr>
          <w:lang w:eastAsia="fr-BE"/>
        </w:rPr>
      </w:pPr>
    </w:p>
    <w:p w14:paraId="233275AA" w14:textId="3131AAED" w:rsidR="00477F81" w:rsidRDefault="00477F81" w:rsidP="001D1A8B">
      <w:pPr>
        <w:jc w:val="both"/>
        <w:rPr>
          <w:lang w:eastAsia="fr-BE"/>
        </w:rPr>
      </w:pPr>
      <w:r w:rsidRPr="00335C08">
        <w:rPr>
          <w:lang w:eastAsia="fr-BE"/>
        </w:rPr>
        <w:t xml:space="preserve">Cela ne veut toutefois pas dire que le juge doit limiter son appréciation du recours à l’examen de la recevabilité de </w:t>
      </w:r>
      <w:r>
        <w:rPr>
          <w:lang w:eastAsia="fr-BE"/>
        </w:rPr>
        <w:t>celui-ci</w:t>
      </w:r>
      <w:r w:rsidRPr="00335C08">
        <w:rPr>
          <w:lang w:eastAsia="fr-BE"/>
        </w:rPr>
        <w:t>.</w:t>
      </w:r>
      <w:r>
        <w:rPr>
          <w:lang w:eastAsia="fr-BE"/>
        </w:rPr>
        <w:t xml:space="preserve"> </w:t>
      </w:r>
      <w:r w:rsidRPr="00335C08">
        <w:rPr>
          <w:lang w:eastAsia="fr-BE"/>
        </w:rPr>
        <w:t>La Cour en déduit en effet que le tribunal saisi doit examiner la question de savoir si le recours est introduit dans les délais légaux et selon les formes prescrites, mais aussi si les conditions relatives à la délivrance de l’ordre de paiement et sa notification sont remplies</w:t>
      </w:r>
      <w:r>
        <w:rPr>
          <w:lang w:eastAsia="fr-BE"/>
        </w:rPr>
        <w:t>,</w:t>
      </w:r>
      <w:r w:rsidRPr="00335C08">
        <w:rPr>
          <w:lang w:eastAsia="fr-BE"/>
        </w:rPr>
        <w:t xml:space="preserve"> et également s’il est établi que la personne à laquelle l’ordre de paiement est délivré a commis les faits sur base desquels l’ordre a été émis, ce qui suppose </w:t>
      </w:r>
      <w:r>
        <w:rPr>
          <w:lang w:eastAsia="fr-BE"/>
        </w:rPr>
        <w:t>que le juge</w:t>
      </w:r>
      <w:r w:rsidRPr="00335C08">
        <w:rPr>
          <w:lang w:eastAsia="fr-BE"/>
        </w:rPr>
        <w:t xml:space="preserve"> vérifie les éléments constitutifs de l’infraction, l’imputabilité </w:t>
      </w:r>
      <w:r>
        <w:rPr>
          <w:lang w:eastAsia="fr-BE"/>
        </w:rPr>
        <w:t>à</w:t>
      </w:r>
      <w:r w:rsidRPr="00335C08">
        <w:rPr>
          <w:lang w:eastAsia="fr-BE"/>
        </w:rPr>
        <w:t xml:space="preserve"> la personne concernée et la légalité du montant proposé.</w:t>
      </w:r>
      <w:r>
        <w:rPr>
          <w:lang w:eastAsia="fr-BE"/>
        </w:rPr>
        <w:t xml:space="preserve"> </w:t>
      </w:r>
      <w:r w:rsidRPr="00335C08">
        <w:rPr>
          <w:lang w:eastAsia="fr-BE"/>
        </w:rPr>
        <w:t xml:space="preserve">Si le recours introduit est déclaré recevable et fondé, ce qui a pour effet que l’ordre de paiement doit être réputé non avenu, le </w:t>
      </w:r>
      <w:r>
        <w:rPr>
          <w:lang w:eastAsia="fr-BE"/>
        </w:rPr>
        <w:t>m</w:t>
      </w:r>
      <w:r w:rsidRPr="00335C08">
        <w:rPr>
          <w:lang w:eastAsia="fr-BE"/>
        </w:rPr>
        <w:t xml:space="preserve">inistère </w:t>
      </w:r>
      <w:r>
        <w:rPr>
          <w:lang w:eastAsia="fr-BE"/>
        </w:rPr>
        <w:t>p</w:t>
      </w:r>
      <w:r w:rsidRPr="00335C08">
        <w:rPr>
          <w:lang w:eastAsia="fr-BE"/>
        </w:rPr>
        <w:t>ublic pourra néanmoins encore toujours, s’il l’estime opportun, décider d’engager l’action publique pour les faits pour lesquels l’ordre de paiement avait été délivré</w:t>
      </w:r>
      <w:r>
        <w:rPr>
          <w:lang w:eastAsia="fr-BE"/>
        </w:rPr>
        <w:t xml:space="preserve"> (</w:t>
      </w:r>
      <w:r w:rsidRPr="00335C08">
        <w:rPr>
          <w:lang w:eastAsia="fr-BE"/>
        </w:rPr>
        <w:t>Cass., 1</w:t>
      </w:r>
      <w:r w:rsidRPr="00335C08">
        <w:rPr>
          <w:vertAlign w:val="superscript"/>
          <w:lang w:eastAsia="fr-BE"/>
        </w:rPr>
        <w:t>e</w:t>
      </w:r>
      <w:r w:rsidRPr="00335C08">
        <w:rPr>
          <w:lang w:eastAsia="fr-BE"/>
        </w:rPr>
        <w:t xml:space="preserve"> juin 2021, </w:t>
      </w:r>
      <w:r w:rsidRPr="00335C08">
        <w:rPr>
          <w:i/>
          <w:iCs/>
          <w:lang w:eastAsia="fr-BE"/>
        </w:rPr>
        <w:t xml:space="preserve">R.W., </w:t>
      </w:r>
      <w:r w:rsidRPr="00335C08">
        <w:rPr>
          <w:lang w:eastAsia="fr-BE"/>
        </w:rPr>
        <w:t>2022-2023, n° 11, p. 423).</w:t>
      </w:r>
    </w:p>
    <w:p w14:paraId="3CADE62B" w14:textId="7663DEED" w:rsidR="00477F81" w:rsidRDefault="00477F81" w:rsidP="001D1A8B">
      <w:pPr>
        <w:jc w:val="both"/>
        <w:rPr>
          <w:lang w:eastAsia="fr-BE"/>
        </w:rPr>
      </w:pPr>
    </w:p>
    <w:p w14:paraId="00E49A9F" w14:textId="70E18554" w:rsidR="00477F81" w:rsidRDefault="00477F81" w:rsidP="001D1A8B">
      <w:pPr>
        <w:jc w:val="both"/>
        <w:rPr>
          <w:b/>
          <w:lang w:eastAsia="fr-BE"/>
        </w:rPr>
      </w:pPr>
      <w:r w:rsidRPr="00335C08">
        <w:rPr>
          <w:b/>
          <w:lang w:eastAsia="fr-BE"/>
        </w:rPr>
        <w:t>Art. 67</w:t>
      </w:r>
      <w:r w:rsidRPr="00335C08">
        <w:rPr>
          <w:b/>
          <w:i/>
          <w:iCs/>
          <w:lang w:eastAsia="fr-BE"/>
        </w:rPr>
        <w:t>bis</w:t>
      </w:r>
      <w:r w:rsidRPr="00335C08">
        <w:rPr>
          <w:b/>
          <w:lang w:eastAsia="fr-BE"/>
        </w:rPr>
        <w:t xml:space="preserve"> de la loi relative à la police de la circulation routière  – Constatation de l’infraction – Conducteur non-identifié – Véhicule immatriculé au nom d’une personne physique – Présomption de responsabilité et renversement de la présomption – Appréciation souveraine du juge du fond</w:t>
      </w:r>
    </w:p>
    <w:p w14:paraId="6BB67BF1" w14:textId="77777777" w:rsidR="00477F81" w:rsidRPr="00335C08" w:rsidRDefault="00477F81" w:rsidP="001D1A8B">
      <w:pPr>
        <w:jc w:val="both"/>
        <w:rPr>
          <w:b/>
          <w:bCs/>
          <w:lang w:eastAsia="fr-BE"/>
        </w:rPr>
      </w:pPr>
    </w:p>
    <w:p w14:paraId="403E05BC" w14:textId="52BDADE2" w:rsidR="00477F81" w:rsidRDefault="00477F81" w:rsidP="001D1A8B">
      <w:pPr>
        <w:jc w:val="both"/>
        <w:rPr>
          <w:lang w:eastAsia="fr-BE"/>
        </w:rPr>
      </w:pPr>
      <w:r w:rsidRPr="00335C08">
        <w:rPr>
          <w:lang w:eastAsia="fr-BE"/>
        </w:rPr>
        <w:t>Le juge apprécie souverainement si le titulaire de la plaque d’immatriculation du véhicule qui a commis l’infraction réussit à renverser la présomption de responsabilité pénale qui pèse sur lui sur base de l’art. 67</w:t>
      </w:r>
      <w:r w:rsidRPr="00335C08">
        <w:rPr>
          <w:i/>
          <w:iCs/>
          <w:lang w:eastAsia="fr-BE"/>
        </w:rPr>
        <w:t>bis</w:t>
      </w:r>
      <w:r w:rsidRPr="00335C08">
        <w:rPr>
          <w:lang w:eastAsia="fr-BE"/>
        </w:rPr>
        <w:t xml:space="preserve"> de la loi relative à la police de la circulation routière. Le juge apprécie souverainement la valeur probante des pièces qui lui sont soumises, en ce compris par rapport à la circonstance que le titulaire de la plaque d’immatriculation n’avait pas été informé des infractions mises à sa charge et qu’il n’était donc pas en mesure de communiquer l’identité du conducteur au moment des faits</w:t>
      </w:r>
      <w:r>
        <w:rPr>
          <w:lang w:eastAsia="fr-BE"/>
        </w:rPr>
        <w:t>,</w:t>
      </w:r>
      <w:r w:rsidRPr="00335C08">
        <w:rPr>
          <w:lang w:eastAsia="fr-BE"/>
        </w:rPr>
        <w:t xml:space="preserve"> et</w:t>
      </w:r>
      <w:r>
        <w:rPr>
          <w:lang w:eastAsia="fr-BE"/>
        </w:rPr>
        <w:t xml:space="preserve">, </w:t>
      </w:r>
      <w:r w:rsidRPr="00335C08">
        <w:rPr>
          <w:lang w:eastAsia="fr-BE"/>
        </w:rPr>
        <w:t>qu’en raison de l’écoulement du temps</w:t>
      </w:r>
      <w:r>
        <w:rPr>
          <w:lang w:eastAsia="fr-BE"/>
        </w:rPr>
        <w:t>,</w:t>
      </w:r>
      <w:r w:rsidRPr="00335C08">
        <w:rPr>
          <w:lang w:eastAsia="fr-BE"/>
        </w:rPr>
        <w:t xml:space="preserve"> cela ne peut non plus être </w:t>
      </w:r>
      <w:r>
        <w:rPr>
          <w:lang w:eastAsia="fr-BE"/>
        </w:rPr>
        <w:t xml:space="preserve">raisonnablement </w:t>
      </w:r>
      <w:r w:rsidRPr="00335C08">
        <w:rPr>
          <w:lang w:eastAsia="fr-BE"/>
        </w:rPr>
        <w:t xml:space="preserve">attendu de lui (Cass., 7 décembre 2021, </w:t>
      </w:r>
      <w:r w:rsidRPr="00335C08">
        <w:rPr>
          <w:i/>
          <w:iCs/>
          <w:lang w:eastAsia="fr-BE"/>
        </w:rPr>
        <w:t xml:space="preserve">R.W., </w:t>
      </w:r>
      <w:r w:rsidRPr="00335C08">
        <w:rPr>
          <w:lang w:eastAsia="fr-BE"/>
        </w:rPr>
        <w:t xml:space="preserve">2022-23, n° 29, p. 1144). </w:t>
      </w:r>
    </w:p>
    <w:p w14:paraId="51C48F24" w14:textId="7CB44253" w:rsidR="00477F81" w:rsidRDefault="00477F81" w:rsidP="001D1A8B">
      <w:pPr>
        <w:jc w:val="both"/>
        <w:rPr>
          <w:lang w:eastAsia="fr-BE"/>
        </w:rPr>
      </w:pPr>
    </w:p>
    <w:p w14:paraId="73BBD383" w14:textId="77777777" w:rsidR="00477F81" w:rsidRPr="00335C08" w:rsidRDefault="00477F81" w:rsidP="001D1A8B">
      <w:pPr>
        <w:jc w:val="both"/>
        <w:rPr>
          <w:b/>
          <w:lang w:eastAsia="fr-BE"/>
        </w:rPr>
      </w:pPr>
      <w:r w:rsidRPr="00335C08">
        <w:rPr>
          <w:b/>
          <w:lang w:eastAsia="fr-BE"/>
        </w:rPr>
        <w:lastRenderedPageBreak/>
        <w:t>Art. 67</w:t>
      </w:r>
      <w:r w:rsidRPr="00D84E55">
        <w:rPr>
          <w:b/>
          <w:i/>
          <w:iCs/>
          <w:lang w:eastAsia="fr-BE"/>
        </w:rPr>
        <w:t>bis</w:t>
      </w:r>
      <w:r w:rsidRPr="00335C08">
        <w:rPr>
          <w:b/>
          <w:lang w:eastAsia="fr-BE"/>
        </w:rPr>
        <w:t xml:space="preserve"> de la loi relative à la police de la circulation routière – Constatations de l’infraction – Présomption de responsabilité dans le chef du titulaire de la plaque d’immatriculation – Infractions qui ne sont pas commises en prenant la fuite</w:t>
      </w:r>
    </w:p>
    <w:p w14:paraId="07AE4978" w14:textId="77777777" w:rsidR="00477F81" w:rsidRPr="00335C08" w:rsidRDefault="00477F81" w:rsidP="001D1A8B">
      <w:pPr>
        <w:jc w:val="both"/>
        <w:rPr>
          <w:lang w:eastAsia="fr-BE"/>
        </w:rPr>
      </w:pPr>
      <w:r w:rsidRPr="00335C08">
        <w:rPr>
          <w:lang w:eastAsia="fr-BE"/>
        </w:rPr>
        <w:t xml:space="preserve"> </w:t>
      </w:r>
    </w:p>
    <w:p w14:paraId="44454441" w14:textId="61085B3B" w:rsidR="00477F81" w:rsidRDefault="00477F81" w:rsidP="001D1A8B">
      <w:pPr>
        <w:jc w:val="both"/>
        <w:rPr>
          <w:lang w:eastAsia="fr-BE"/>
        </w:rPr>
      </w:pPr>
      <w:r w:rsidRPr="00335C08">
        <w:rPr>
          <w:lang w:eastAsia="fr-BE"/>
        </w:rPr>
        <w:t>La Cour de cassation a apporté une précision importante par rapport aux situations dans lesquelles l’article 67</w:t>
      </w:r>
      <w:r w:rsidRPr="00335C08">
        <w:rPr>
          <w:i/>
          <w:iCs/>
          <w:lang w:eastAsia="fr-BE"/>
        </w:rPr>
        <w:t>bis</w:t>
      </w:r>
      <w:r w:rsidRPr="00335C08">
        <w:rPr>
          <w:lang w:eastAsia="fr-BE"/>
        </w:rPr>
        <w:t xml:space="preserve"> de la loi relative à la police de la circulation routière a vocation à s’appliquer. La Cour précise que la présomption de responsabilité dans le chef du titulaire de la plaque d’immatriculation</w:t>
      </w:r>
      <w:r>
        <w:rPr>
          <w:lang w:eastAsia="fr-BE"/>
        </w:rPr>
        <w:t xml:space="preserve">, </w:t>
      </w:r>
      <w:r w:rsidRPr="00335C08">
        <w:rPr>
          <w:lang w:eastAsia="fr-BE"/>
        </w:rPr>
        <w:t>prévue à l’article 67</w:t>
      </w:r>
      <w:r w:rsidRPr="00335C08">
        <w:rPr>
          <w:i/>
          <w:iCs/>
          <w:lang w:eastAsia="fr-BE"/>
        </w:rPr>
        <w:t>bis</w:t>
      </w:r>
      <w:r w:rsidRPr="00335C08">
        <w:rPr>
          <w:lang w:eastAsia="fr-BE"/>
        </w:rPr>
        <w:t xml:space="preserve"> de la loi précitée, n’a pas vocation à s’appliquer aux seules infractions commises par un véhicule en fuite. Le fait que cette présomption de responsabilité ait été instaurée suite à la jurisprudence de la Cour de cassation relative aux véhicules en fuite, ne permet pas de dire que le législateur aurait voulu limiter le champ d’application de la présomption de responsabilité à ces cas-là</w:t>
      </w:r>
      <w:r>
        <w:rPr>
          <w:lang w:eastAsia="fr-BE"/>
        </w:rPr>
        <w:t xml:space="preserve"> </w:t>
      </w:r>
      <w:r w:rsidRPr="00335C08">
        <w:rPr>
          <w:lang w:eastAsia="fr-BE"/>
        </w:rPr>
        <w:t xml:space="preserve">(Cass., 21 juin 2022, </w:t>
      </w:r>
      <w:r w:rsidRPr="00335C08">
        <w:rPr>
          <w:i/>
          <w:iCs/>
          <w:lang w:eastAsia="fr-BE"/>
        </w:rPr>
        <w:t xml:space="preserve">R.W., </w:t>
      </w:r>
      <w:r w:rsidRPr="00335C08">
        <w:rPr>
          <w:lang w:eastAsia="fr-BE"/>
        </w:rPr>
        <w:t xml:space="preserve">2022-2023, n° 11, p. 417). </w:t>
      </w:r>
    </w:p>
    <w:p w14:paraId="18A0DD0C" w14:textId="6E4CDD70" w:rsidR="004215C4" w:rsidRDefault="004215C4" w:rsidP="001D1A8B">
      <w:pPr>
        <w:jc w:val="both"/>
        <w:rPr>
          <w:lang w:eastAsia="fr-BE"/>
        </w:rPr>
      </w:pPr>
    </w:p>
    <w:p w14:paraId="1BB1FAE8" w14:textId="410D5BCD" w:rsidR="004215C4" w:rsidRPr="00530BD2" w:rsidRDefault="004215C4" w:rsidP="001D1A8B">
      <w:pPr>
        <w:pStyle w:val="NormalWeb"/>
        <w:jc w:val="both"/>
        <w:rPr>
          <w:b/>
          <w:bCs/>
          <w:color w:val="000000"/>
          <w:shd w:val="clear" w:color="auto" w:fill="FFFFFF"/>
          <w:lang w:val="fr-FR"/>
        </w:rPr>
      </w:pPr>
      <w:r w:rsidRPr="00530BD2">
        <w:rPr>
          <w:b/>
          <w:bCs/>
          <w:color w:val="000000"/>
          <w:shd w:val="clear" w:color="auto" w:fill="FFFFFF"/>
          <w:lang w:val="fr-FR"/>
        </w:rPr>
        <w:t>Art</w:t>
      </w:r>
      <w:r>
        <w:rPr>
          <w:b/>
          <w:bCs/>
          <w:color w:val="000000"/>
          <w:shd w:val="clear" w:color="auto" w:fill="FFFFFF"/>
          <w:lang w:val="fr-FR"/>
        </w:rPr>
        <w:t>.</w:t>
      </w:r>
      <w:r w:rsidRPr="00530BD2">
        <w:rPr>
          <w:b/>
          <w:bCs/>
          <w:color w:val="000000"/>
          <w:shd w:val="clear" w:color="auto" w:fill="FFFFFF"/>
          <w:lang w:val="fr-FR"/>
        </w:rPr>
        <w:t xml:space="preserve"> 67</w:t>
      </w:r>
      <w:r w:rsidRPr="00530BD2">
        <w:rPr>
          <w:b/>
          <w:bCs/>
          <w:i/>
          <w:iCs/>
          <w:color w:val="000000"/>
          <w:shd w:val="clear" w:color="auto" w:fill="FFFFFF"/>
          <w:lang w:val="fr-FR"/>
        </w:rPr>
        <w:t>bis</w:t>
      </w:r>
      <w:r w:rsidRPr="00530BD2">
        <w:rPr>
          <w:b/>
          <w:bCs/>
          <w:color w:val="000000"/>
          <w:shd w:val="clear" w:color="auto" w:fill="FFFFFF"/>
          <w:lang w:val="fr-FR"/>
        </w:rPr>
        <w:t xml:space="preserve"> de la loi relative à la police de la circulation routière – Excès de vitesse – 111 km/h au lieu de 50 km/h maximum – Infraction censée commise par le titulaire de la plaque d’immatriculation du véhicule – Renversement de la présomption non établie </w:t>
      </w:r>
      <w:proofErr w:type="spellStart"/>
      <w:r w:rsidRPr="00530BD2">
        <w:rPr>
          <w:b/>
          <w:bCs/>
          <w:color w:val="000000"/>
          <w:shd w:val="clear" w:color="auto" w:fill="FFFFFF"/>
          <w:lang w:val="fr-FR"/>
        </w:rPr>
        <w:t>a</w:t>
      </w:r>
      <w:proofErr w:type="spellEnd"/>
      <w:r w:rsidRPr="00530BD2">
        <w:rPr>
          <w:b/>
          <w:bCs/>
          <w:color w:val="000000"/>
          <w:shd w:val="clear" w:color="auto" w:fill="FFFFFF"/>
          <w:lang w:val="fr-FR"/>
        </w:rPr>
        <w:t>̀ suffisance</w:t>
      </w:r>
    </w:p>
    <w:p w14:paraId="15F35F6A" w14:textId="77777777" w:rsidR="004215C4" w:rsidRPr="00530BD2" w:rsidRDefault="004215C4" w:rsidP="001D1A8B">
      <w:pPr>
        <w:autoSpaceDE w:val="0"/>
        <w:autoSpaceDN w:val="0"/>
        <w:adjustRightInd w:val="0"/>
        <w:jc w:val="both"/>
        <w:rPr>
          <w:b/>
          <w:bCs/>
          <w:lang w:val="fr-FR"/>
        </w:rPr>
      </w:pPr>
    </w:p>
    <w:p w14:paraId="34A023C6" w14:textId="77777777" w:rsidR="004215C4" w:rsidRPr="00530BD2" w:rsidRDefault="004215C4" w:rsidP="001D1A8B">
      <w:pPr>
        <w:pStyle w:val="NormalWeb"/>
        <w:jc w:val="both"/>
        <w:rPr>
          <w:color w:val="000000"/>
          <w:shd w:val="clear" w:color="auto" w:fill="FFFFFF"/>
          <w:lang w:val="fr-FR"/>
        </w:rPr>
      </w:pPr>
      <w:r w:rsidRPr="00530BD2">
        <w:rPr>
          <w:color w:val="000000"/>
          <w:shd w:val="clear" w:color="auto" w:fill="FFFFFF"/>
          <w:lang w:val="fr-FR"/>
        </w:rPr>
        <w:t>Dans cette affaire, les faits d’excès de vitesse de 111 km/h au lieu de 50 km/h maximum ayant été commis avant le 12 octobre 2018, l'ancienne version de l'article 67</w:t>
      </w:r>
      <w:r w:rsidRPr="00530BD2">
        <w:rPr>
          <w:rStyle w:val="Accentuation"/>
          <w:color w:val="000000"/>
          <w:lang w:val="fr-FR"/>
        </w:rPr>
        <w:t>bis</w:t>
      </w:r>
      <w:r w:rsidRPr="00530BD2">
        <w:rPr>
          <w:rStyle w:val="apple-converted-space"/>
          <w:color w:val="000000"/>
          <w:shd w:val="clear" w:color="auto" w:fill="FFFFFF"/>
          <w:lang w:val="fr-FR"/>
        </w:rPr>
        <w:t> </w:t>
      </w:r>
      <w:r w:rsidRPr="00530BD2">
        <w:rPr>
          <w:color w:val="000000"/>
          <w:shd w:val="clear" w:color="auto" w:fill="FFFFFF"/>
          <w:lang w:val="fr-FR"/>
        </w:rPr>
        <w:t xml:space="preserve">de la loi du 16 mars 1968 relative à la police de la circulation routière permettait au titulaire de la plaque d'immatriculation de tenter de renverser la présomption de culpabilité pesant sur lui par tout moyen de droit. La version applicable de cet article dispose comme suit : </w:t>
      </w:r>
    </w:p>
    <w:p w14:paraId="7E893A98" w14:textId="77777777" w:rsidR="004215C4" w:rsidRPr="00530BD2" w:rsidRDefault="004215C4" w:rsidP="001D1A8B">
      <w:pPr>
        <w:pStyle w:val="NormalWeb"/>
        <w:jc w:val="both"/>
        <w:rPr>
          <w:color w:val="000000"/>
          <w:shd w:val="clear" w:color="auto" w:fill="FFFFFF"/>
          <w:lang w:val="fr-FR"/>
        </w:rPr>
      </w:pPr>
    </w:p>
    <w:p w14:paraId="7199C6FC" w14:textId="44392346" w:rsidR="004215C4" w:rsidRPr="00530BD2" w:rsidRDefault="004215C4" w:rsidP="001D1A8B">
      <w:pPr>
        <w:pStyle w:val="NormalWeb"/>
        <w:jc w:val="both"/>
        <w:rPr>
          <w:color w:val="000000"/>
          <w:shd w:val="clear" w:color="auto" w:fill="FFFFFF"/>
          <w:lang w:val="fr-FR"/>
        </w:rPr>
      </w:pPr>
      <w:r w:rsidRPr="00530BD2">
        <w:rPr>
          <w:color w:val="000000"/>
          <w:shd w:val="clear" w:color="auto" w:fill="FFFFFF"/>
          <w:lang w:val="fr-FR"/>
        </w:rPr>
        <w:t xml:space="preserve">« Lorsqu’une infraction à la présente loi et à ses arrêtés d’exécution est commise avec un véhicule à moteur, immatriculé au nom d’une personne physique et que le conducteur n’a pas </w:t>
      </w:r>
      <w:r>
        <w:rPr>
          <w:color w:val="000000"/>
          <w:shd w:val="clear" w:color="auto" w:fill="FFFFFF"/>
          <w:lang w:val="fr-FR"/>
        </w:rPr>
        <w:t>été</w:t>
      </w:r>
      <w:r w:rsidRPr="00530BD2">
        <w:rPr>
          <w:color w:val="000000"/>
          <w:shd w:val="clear" w:color="auto" w:fill="FFFFFF"/>
          <w:lang w:val="fr-FR"/>
        </w:rPr>
        <w:t xml:space="preserve"> </w:t>
      </w:r>
      <w:r w:rsidR="00F8118B" w:rsidRPr="00530BD2">
        <w:rPr>
          <w:color w:val="000000"/>
          <w:shd w:val="clear" w:color="auto" w:fill="FFFFFF"/>
          <w:lang w:val="fr-FR"/>
        </w:rPr>
        <w:t>identifié</w:t>
      </w:r>
      <w:r w:rsidRPr="00530BD2">
        <w:rPr>
          <w:color w:val="000000"/>
          <w:shd w:val="clear" w:color="auto" w:fill="FFFFFF"/>
          <w:lang w:val="fr-FR"/>
        </w:rPr>
        <w:t xml:space="preserve">́ au moment de la constatation de l’infraction, cette infraction est censée avoir </w:t>
      </w:r>
      <w:r>
        <w:rPr>
          <w:color w:val="000000"/>
          <w:shd w:val="clear" w:color="auto" w:fill="FFFFFF"/>
          <w:lang w:val="fr-FR"/>
        </w:rPr>
        <w:t>été</w:t>
      </w:r>
      <w:r w:rsidRPr="00530BD2">
        <w:rPr>
          <w:color w:val="000000"/>
          <w:shd w:val="clear" w:color="auto" w:fill="FFFFFF"/>
          <w:lang w:val="fr-FR"/>
        </w:rPr>
        <w:t xml:space="preserve"> commise par le titulaire de la plaque d’immatriculation du véhicule. La présomption de culpabilité́ peut être renversée par tout moyen de droit ». </w:t>
      </w:r>
    </w:p>
    <w:p w14:paraId="3373B5CC" w14:textId="77777777" w:rsidR="004215C4" w:rsidRPr="00530BD2" w:rsidRDefault="004215C4" w:rsidP="001D1A8B">
      <w:pPr>
        <w:pStyle w:val="NormalWeb"/>
        <w:jc w:val="both"/>
        <w:rPr>
          <w:color w:val="000000"/>
          <w:shd w:val="clear" w:color="auto" w:fill="FFFFFF"/>
          <w:lang w:val="fr-FR"/>
        </w:rPr>
      </w:pPr>
    </w:p>
    <w:p w14:paraId="79121D83" w14:textId="77777777" w:rsidR="004215C4" w:rsidRPr="00530BD2" w:rsidRDefault="004215C4" w:rsidP="001D1A8B">
      <w:pPr>
        <w:pStyle w:val="NormalWeb"/>
        <w:jc w:val="both"/>
        <w:rPr>
          <w:color w:val="000000"/>
          <w:shd w:val="clear" w:color="auto" w:fill="FFFFFF"/>
          <w:lang w:val="fr-FR"/>
        </w:rPr>
      </w:pPr>
      <w:r w:rsidRPr="00530BD2">
        <w:rPr>
          <w:color w:val="000000"/>
          <w:shd w:val="clear" w:color="auto" w:fill="FFFFFF"/>
          <w:lang w:val="fr-FR"/>
        </w:rPr>
        <w:t xml:space="preserve">Dans son appréciation, le tribunal estime que cette preuve n'est pas rapportée dès lors que le prévenu n'a pas rempli le formulaire-réponse joint à la copie du </w:t>
      </w:r>
      <w:r>
        <w:rPr>
          <w:color w:val="000000"/>
          <w:shd w:val="clear" w:color="auto" w:fill="FFFFFF"/>
          <w:lang w:val="fr-FR"/>
        </w:rPr>
        <w:t>procès-verbal</w:t>
      </w:r>
      <w:r w:rsidRPr="00530BD2">
        <w:rPr>
          <w:color w:val="000000"/>
          <w:shd w:val="clear" w:color="auto" w:fill="FFFFFF"/>
          <w:lang w:val="fr-FR"/>
        </w:rPr>
        <w:t xml:space="preserve"> lui transmis, n'a pas donné suite aux convocations, n'a contesté son implication que plusieurs mois après les faits, et indique comme conducteur son frère qui habite en France, sans joindre la moindre déclaration de celui-ci ni expliquer pourquoi il aurait séjourné en Belgique au moment de l'infraction (Tribunal correctionnel de Bruxelles francophone (48e chambre), 11 octobre 2022, 22F003494,</w:t>
      </w:r>
      <w:r w:rsidRPr="00530BD2">
        <w:rPr>
          <w:rStyle w:val="apple-converted-space"/>
          <w:color w:val="000000"/>
          <w:shd w:val="clear" w:color="auto" w:fill="FFFFFF"/>
          <w:lang w:val="fr-FR"/>
        </w:rPr>
        <w:t> </w:t>
      </w:r>
      <w:r w:rsidRPr="00530BD2">
        <w:rPr>
          <w:i/>
          <w:iCs/>
          <w:color w:val="000000"/>
          <w:lang w:val="fr-FR"/>
        </w:rPr>
        <w:t>C.R.A.</w:t>
      </w:r>
      <w:r w:rsidRPr="00530BD2">
        <w:rPr>
          <w:color w:val="000000"/>
          <w:shd w:val="clear" w:color="auto" w:fill="FFFFFF"/>
          <w:lang w:val="fr-FR"/>
        </w:rPr>
        <w:t>, 2022/6, p. 46-49).</w:t>
      </w:r>
    </w:p>
    <w:p w14:paraId="266EC8FA" w14:textId="77777777" w:rsidR="00477F81" w:rsidRPr="00335C08" w:rsidRDefault="00477F81" w:rsidP="001D1A8B">
      <w:pPr>
        <w:jc w:val="both"/>
        <w:rPr>
          <w:b/>
          <w:lang w:eastAsia="fr-BE"/>
        </w:rPr>
      </w:pPr>
    </w:p>
    <w:p w14:paraId="0320E3D5" w14:textId="77777777" w:rsidR="00477F81" w:rsidRPr="00335C08" w:rsidRDefault="00477F81" w:rsidP="001D1A8B">
      <w:pPr>
        <w:jc w:val="both"/>
        <w:rPr>
          <w:b/>
          <w:lang w:eastAsia="fr-BE"/>
        </w:rPr>
      </w:pPr>
      <w:r w:rsidRPr="00335C08">
        <w:rPr>
          <w:b/>
          <w:lang w:eastAsia="fr-BE"/>
        </w:rPr>
        <w:t>Art. 67</w:t>
      </w:r>
      <w:r w:rsidRPr="00D84E55">
        <w:rPr>
          <w:b/>
          <w:i/>
          <w:iCs/>
          <w:lang w:eastAsia="fr-BE"/>
        </w:rPr>
        <w:t>ter</w:t>
      </w:r>
      <w:r w:rsidRPr="00335C08">
        <w:rPr>
          <w:b/>
          <w:lang w:eastAsia="fr-BE"/>
        </w:rPr>
        <w:t xml:space="preserve"> de la loi relative à la police de la circulation routière – Preuve de l’envoi de la demande de renseignements – Contestation de la réception de la demande d’informations </w:t>
      </w:r>
    </w:p>
    <w:p w14:paraId="1FD12105" w14:textId="77777777" w:rsidR="00477F81" w:rsidRPr="00335C08" w:rsidRDefault="00477F81" w:rsidP="001D1A8B">
      <w:pPr>
        <w:jc w:val="both"/>
        <w:rPr>
          <w:b/>
          <w:lang w:eastAsia="fr-BE"/>
        </w:rPr>
      </w:pPr>
    </w:p>
    <w:p w14:paraId="34EC90F7" w14:textId="77777777" w:rsidR="00477F81" w:rsidRPr="00335C08" w:rsidRDefault="00477F81" w:rsidP="001D1A8B">
      <w:pPr>
        <w:jc w:val="both"/>
        <w:rPr>
          <w:lang w:eastAsia="fr-BE"/>
        </w:rPr>
      </w:pPr>
      <w:r w:rsidRPr="00335C08">
        <w:rPr>
          <w:lang w:eastAsia="fr-BE"/>
        </w:rPr>
        <w:t>L’article 67</w:t>
      </w:r>
      <w:r w:rsidRPr="00335C08">
        <w:rPr>
          <w:i/>
          <w:iCs/>
          <w:lang w:eastAsia="fr-BE"/>
        </w:rPr>
        <w:t xml:space="preserve">ter </w:t>
      </w:r>
      <w:r w:rsidRPr="00335C08">
        <w:rPr>
          <w:lang w:eastAsia="fr-BE"/>
        </w:rPr>
        <w:t>de la loi relative à la police de la circulation routière prévoit l’obligation pour une personne morale ou pour la personne physique qui représente la personne morale de communiquer l’identité du conducteur non-identifié qui a commis une infraction avec le véhicule immatriculé au nom de la personne morale.</w:t>
      </w:r>
      <w:r>
        <w:rPr>
          <w:lang w:eastAsia="fr-BE"/>
        </w:rPr>
        <w:t xml:space="preserve"> </w:t>
      </w:r>
      <w:r w:rsidRPr="00335C08">
        <w:rPr>
          <w:lang w:eastAsia="fr-BE"/>
        </w:rPr>
        <w:t xml:space="preserve">Dans ses arrêts du 14 décembre 2021, du 11 janvier 2022 et du 8 février 2022, la Cour de cassation est amenée à préciser dans quelles conditions un prévenu peut être déclaré coupable sur </w:t>
      </w:r>
      <w:r>
        <w:rPr>
          <w:lang w:eastAsia="fr-BE"/>
        </w:rPr>
        <w:t xml:space="preserve">la </w:t>
      </w:r>
      <w:r w:rsidRPr="00335C08">
        <w:rPr>
          <w:lang w:eastAsia="fr-BE"/>
        </w:rPr>
        <w:t xml:space="preserve">base de cet article. </w:t>
      </w:r>
    </w:p>
    <w:p w14:paraId="72821D88" w14:textId="77777777" w:rsidR="00477F81" w:rsidRPr="00335C08" w:rsidRDefault="00477F81" w:rsidP="001D1A8B">
      <w:pPr>
        <w:jc w:val="both"/>
        <w:rPr>
          <w:lang w:eastAsia="fr-BE"/>
        </w:rPr>
      </w:pPr>
    </w:p>
    <w:p w14:paraId="04B3E764" w14:textId="77777777" w:rsidR="00477F81" w:rsidRPr="00335C08" w:rsidRDefault="00477F81" w:rsidP="001D1A8B">
      <w:pPr>
        <w:jc w:val="both"/>
        <w:rPr>
          <w:lang w:eastAsia="fr-BE"/>
        </w:rPr>
      </w:pPr>
      <w:r>
        <w:rPr>
          <w:lang w:eastAsia="fr-BE"/>
        </w:rPr>
        <w:lastRenderedPageBreak/>
        <w:t>À</w:t>
      </w:r>
      <w:r w:rsidRPr="00335C08">
        <w:rPr>
          <w:lang w:eastAsia="fr-BE"/>
        </w:rPr>
        <w:t xml:space="preserve"> travers ces trois arrêts, la Cour semble opérer un revirement de sa jurisprudence antérieure et limiter les hypothèses possibles pour la condamnation du chef d’une infraction à l’article 67</w:t>
      </w:r>
      <w:r w:rsidRPr="00335C08">
        <w:rPr>
          <w:i/>
          <w:iCs/>
          <w:lang w:eastAsia="fr-BE"/>
        </w:rPr>
        <w:t>ter</w:t>
      </w:r>
      <w:r w:rsidRPr="00335C08">
        <w:rPr>
          <w:lang w:eastAsia="fr-BE"/>
        </w:rPr>
        <w:t xml:space="preserve"> de la loi relative à la circulation routière.</w:t>
      </w:r>
      <w:r>
        <w:rPr>
          <w:lang w:eastAsia="fr-BE"/>
        </w:rPr>
        <w:t xml:space="preserve"> </w:t>
      </w:r>
      <w:r w:rsidRPr="00335C08">
        <w:rPr>
          <w:lang w:eastAsia="fr-BE"/>
        </w:rPr>
        <w:t>Dorénavant, pour qu’un prévenu puisse être reconnu coupable d’une infraction à l’art. 67</w:t>
      </w:r>
      <w:r w:rsidRPr="00335C08">
        <w:rPr>
          <w:i/>
          <w:iCs/>
          <w:lang w:eastAsia="fr-BE"/>
        </w:rPr>
        <w:t>ter</w:t>
      </w:r>
      <w:r w:rsidRPr="00335C08">
        <w:rPr>
          <w:lang w:eastAsia="fr-BE"/>
        </w:rPr>
        <w:t xml:space="preserve"> de la loi relative à la police de la circulation routière, il faut qu’on puisse raisonnablement supposer que la demande d’identification du conducteur envoyée au titulaire de la plaque d’immatriculation ait effectivement été reçue par celui-ci, ou que la non-réception résulte de la négligence du titulaire de la plaque d’immatriculation. </w:t>
      </w:r>
    </w:p>
    <w:p w14:paraId="04C099E9" w14:textId="77777777" w:rsidR="00477F81" w:rsidRPr="00335C08" w:rsidRDefault="00477F81" w:rsidP="001D1A8B">
      <w:pPr>
        <w:jc w:val="both"/>
        <w:rPr>
          <w:lang w:eastAsia="fr-BE"/>
        </w:rPr>
      </w:pPr>
    </w:p>
    <w:p w14:paraId="6BDD240F" w14:textId="3C2B911A" w:rsidR="00477F81" w:rsidRDefault="00477F81" w:rsidP="001D1A8B">
      <w:pPr>
        <w:jc w:val="both"/>
        <w:rPr>
          <w:lang w:eastAsia="fr-BE"/>
        </w:rPr>
      </w:pPr>
      <w:r>
        <w:rPr>
          <w:lang w:eastAsia="fr-BE"/>
        </w:rPr>
        <w:t>À</w:t>
      </w:r>
      <w:r w:rsidRPr="00335C08">
        <w:rPr>
          <w:lang w:eastAsia="fr-BE"/>
        </w:rPr>
        <w:t xml:space="preserve"> la lecture de l’arrêt de la Cour de cassation on comprend qu’un</w:t>
      </w:r>
      <w:r>
        <w:rPr>
          <w:lang w:eastAsia="fr-BE"/>
        </w:rPr>
        <w:t>e</w:t>
      </w:r>
      <w:r w:rsidRPr="00335C08">
        <w:rPr>
          <w:lang w:eastAsia="fr-BE"/>
        </w:rPr>
        <w:t xml:space="preserve"> lecture combinée de l’article 67</w:t>
      </w:r>
      <w:r w:rsidRPr="00335C08">
        <w:rPr>
          <w:i/>
          <w:iCs/>
          <w:lang w:eastAsia="fr-BE"/>
        </w:rPr>
        <w:t>ter</w:t>
      </w:r>
      <w:r w:rsidRPr="00335C08">
        <w:rPr>
          <w:lang w:eastAsia="fr-BE"/>
        </w:rPr>
        <w:t xml:space="preserve"> de la loi relative à la police de la circulation routière avec l’art. 6.2 de la CEDH, conduira désormais à ce qu’en cas de contestation de la réception d’une demande d’information écrite, une condamnation ne sera possible que si la preuve est apportée, par le </w:t>
      </w:r>
      <w:r>
        <w:rPr>
          <w:lang w:eastAsia="fr-BE"/>
        </w:rPr>
        <w:t>m</w:t>
      </w:r>
      <w:r w:rsidRPr="00335C08">
        <w:rPr>
          <w:lang w:eastAsia="fr-BE"/>
        </w:rPr>
        <w:t>inistère publi</w:t>
      </w:r>
      <w:r>
        <w:rPr>
          <w:lang w:eastAsia="fr-BE"/>
        </w:rPr>
        <w:t>c</w:t>
      </w:r>
      <w:r w:rsidRPr="00335C08">
        <w:rPr>
          <w:lang w:eastAsia="fr-BE"/>
        </w:rPr>
        <w:t xml:space="preserve">, de ce que la demande a effectivement été proposée à la société ou à son (ses) dirigeant(s). La doctrine soulève d’ores et déjà la nécessité pour le </w:t>
      </w:r>
      <w:r>
        <w:rPr>
          <w:lang w:eastAsia="fr-BE"/>
        </w:rPr>
        <w:t>p</w:t>
      </w:r>
      <w:r w:rsidRPr="00335C08">
        <w:rPr>
          <w:lang w:eastAsia="fr-BE"/>
        </w:rPr>
        <w:t>arquet de revoir son approche dans l’envoi des demandes d’identification, car les mécanismes actuels auprès des services postaux ne suffiront probablement plus à mener à des condamnations du chef d’infractions à l’art. 67</w:t>
      </w:r>
      <w:r w:rsidRPr="00D84E55">
        <w:rPr>
          <w:i/>
          <w:iCs/>
          <w:lang w:eastAsia="fr-BE"/>
        </w:rPr>
        <w:t>ter</w:t>
      </w:r>
      <w:r w:rsidRPr="00335C08">
        <w:rPr>
          <w:lang w:eastAsia="fr-BE"/>
        </w:rPr>
        <w:t xml:space="preserve"> de la loi relative à la police de la circulation routière</w:t>
      </w:r>
      <w:r>
        <w:rPr>
          <w:lang w:eastAsia="fr-BE"/>
        </w:rPr>
        <w:t xml:space="preserve"> </w:t>
      </w:r>
      <w:r w:rsidRPr="00335C08">
        <w:rPr>
          <w:lang w:eastAsia="fr-BE"/>
        </w:rPr>
        <w:t xml:space="preserve">(Cass., </w:t>
      </w:r>
      <w:r>
        <w:rPr>
          <w:lang w:eastAsia="fr-BE"/>
        </w:rPr>
        <w:t xml:space="preserve">R.G. </w:t>
      </w:r>
      <w:r w:rsidRPr="00335C08">
        <w:rPr>
          <w:lang w:eastAsia="fr-BE"/>
        </w:rPr>
        <w:t>P.21.1108.N, 14 décembre 2021</w:t>
      </w:r>
      <w:r>
        <w:rPr>
          <w:lang w:eastAsia="fr-BE"/>
        </w:rPr>
        <w:t xml:space="preserve">, </w:t>
      </w:r>
      <w:r w:rsidRPr="00D84E55">
        <w:rPr>
          <w:i/>
          <w:iCs/>
          <w:lang w:eastAsia="fr-BE"/>
        </w:rPr>
        <w:t>Pas.</w:t>
      </w:r>
      <w:r>
        <w:rPr>
          <w:lang w:eastAsia="fr-BE"/>
        </w:rPr>
        <w:t>, à sa date ;</w:t>
      </w:r>
      <w:r w:rsidRPr="00335C08">
        <w:rPr>
          <w:lang w:eastAsia="fr-BE"/>
        </w:rPr>
        <w:t xml:space="preserve"> Cass., 11 janvier 2022, </w:t>
      </w:r>
      <w:r w:rsidRPr="00335C08">
        <w:rPr>
          <w:i/>
          <w:iCs/>
          <w:lang w:eastAsia="fr-BE"/>
        </w:rPr>
        <w:t xml:space="preserve">N.C., </w:t>
      </w:r>
      <w:r w:rsidRPr="00335C08">
        <w:rPr>
          <w:lang w:eastAsia="fr-BE"/>
        </w:rPr>
        <w:t>2022/6, p. 474</w:t>
      </w:r>
      <w:r>
        <w:rPr>
          <w:lang w:eastAsia="fr-BE"/>
        </w:rPr>
        <w:t xml:space="preserve"> ; </w:t>
      </w:r>
      <w:r w:rsidRPr="00335C08">
        <w:rPr>
          <w:lang w:eastAsia="fr-BE"/>
        </w:rPr>
        <w:t xml:space="preserve">Cass., </w:t>
      </w:r>
      <w:r w:rsidRPr="00D84E55">
        <w:rPr>
          <w:lang w:eastAsia="fr-BE"/>
        </w:rPr>
        <w:t>R.G. P.21.0909.N,</w:t>
      </w:r>
      <w:r>
        <w:rPr>
          <w:lang w:eastAsia="fr-BE"/>
        </w:rPr>
        <w:t xml:space="preserve"> </w:t>
      </w:r>
      <w:r w:rsidRPr="00335C08">
        <w:rPr>
          <w:lang w:eastAsia="fr-BE"/>
        </w:rPr>
        <w:t>8 février 2022,</w:t>
      </w:r>
      <w:r>
        <w:rPr>
          <w:lang w:eastAsia="fr-BE"/>
        </w:rPr>
        <w:t xml:space="preserve"> </w:t>
      </w:r>
      <w:r w:rsidRPr="00B40BC7">
        <w:rPr>
          <w:i/>
          <w:iCs/>
          <w:lang w:eastAsia="fr-BE"/>
        </w:rPr>
        <w:t>Pas.</w:t>
      </w:r>
      <w:r>
        <w:rPr>
          <w:lang w:eastAsia="fr-BE"/>
        </w:rPr>
        <w:t>, à sa date</w:t>
      </w:r>
      <w:r w:rsidRPr="00335C08">
        <w:rPr>
          <w:lang w:eastAsia="fr-BE"/>
        </w:rPr>
        <w:t xml:space="preserve">). </w:t>
      </w:r>
    </w:p>
    <w:p w14:paraId="6E6A787F" w14:textId="059D891D" w:rsidR="00477F81" w:rsidRDefault="00477F81" w:rsidP="001D1A8B">
      <w:pPr>
        <w:jc w:val="both"/>
        <w:rPr>
          <w:lang w:eastAsia="fr-BE"/>
        </w:rPr>
      </w:pPr>
    </w:p>
    <w:p w14:paraId="689F51F2" w14:textId="5F0AFC96" w:rsidR="00477F81" w:rsidRPr="00335C08" w:rsidRDefault="00477F81" w:rsidP="001D1A8B">
      <w:pPr>
        <w:jc w:val="both"/>
        <w:rPr>
          <w:b/>
        </w:rPr>
      </w:pPr>
      <w:r w:rsidRPr="00335C08">
        <w:rPr>
          <w:b/>
        </w:rPr>
        <w:t>Art. 67</w:t>
      </w:r>
      <w:r w:rsidRPr="00335C08">
        <w:rPr>
          <w:b/>
          <w:i/>
          <w:iCs/>
        </w:rPr>
        <w:t>ter</w:t>
      </w:r>
      <w:r w:rsidRPr="00335C08">
        <w:rPr>
          <w:b/>
        </w:rPr>
        <w:t xml:space="preserve"> de la loi relative à la police de la circulation routière – </w:t>
      </w:r>
      <w:r>
        <w:rPr>
          <w:b/>
        </w:rPr>
        <w:t>O</w:t>
      </w:r>
      <w:r w:rsidRPr="00335C08">
        <w:rPr>
          <w:b/>
        </w:rPr>
        <w:t xml:space="preserve">bligation de communiquer l’identité du conducteur incontestable au moment des faits – </w:t>
      </w:r>
      <w:r>
        <w:rPr>
          <w:b/>
        </w:rPr>
        <w:t>A</w:t>
      </w:r>
      <w:r w:rsidRPr="00335C08">
        <w:rPr>
          <w:b/>
        </w:rPr>
        <w:t xml:space="preserve">ppréciation </w:t>
      </w:r>
    </w:p>
    <w:p w14:paraId="4317A055" w14:textId="77777777" w:rsidR="00477F81" w:rsidRPr="00335C08" w:rsidRDefault="00477F81" w:rsidP="001D1A8B">
      <w:pPr>
        <w:jc w:val="both"/>
      </w:pPr>
    </w:p>
    <w:p w14:paraId="7C6EBA89" w14:textId="60737F9C" w:rsidR="00477F81" w:rsidRDefault="00477F81" w:rsidP="001D1A8B">
      <w:pPr>
        <w:jc w:val="both"/>
      </w:pPr>
      <w:r w:rsidRPr="00335C08">
        <w:t>Le tribunal de police de Namur, division Dinant</w:t>
      </w:r>
      <w:r>
        <w:t>,</w:t>
      </w:r>
      <w:r w:rsidRPr="00335C08">
        <w:t xml:space="preserve"> a décidé que la remise d’une copie d’une carte d’identité</w:t>
      </w:r>
      <w:r>
        <w:t xml:space="preserve">, </w:t>
      </w:r>
      <w:r w:rsidRPr="00335C08">
        <w:t>sans document signé par le titulaire de cette carte concernant l’emprunt du véhicule avec indication de l’heure de départ et de retour de celui-ci</w:t>
      </w:r>
      <w:r>
        <w:t>,</w:t>
      </w:r>
      <w:r w:rsidRPr="00335C08">
        <w:t xml:space="preserve"> ne suffit pas pour établir l’identité du conducteur </w:t>
      </w:r>
      <w:r>
        <w:t xml:space="preserve">de manière </w:t>
      </w:r>
      <w:r w:rsidRPr="00335C08">
        <w:t>incontestable, conformément à l’article 67</w:t>
      </w:r>
      <w:r w:rsidRPr="00335C08">
        <w:rPr>
          <w:i/>
          <w:iCs/>
        </w:rPr>
        <w:t>ter</w:t>
      </w:r>
      <w:r w:rsidRPr="00335C08">
        <w:t xml:space="preserve"> de la loi relative à la police de la circulation routière</w:t>
      </w:r>
      <w:r>
        <w:t xml:space="preserve"> </w:t>
      </w:r>
      <w:r w:rsidRPr="00335C08">
        <w:t xml:space="preserve">(Pol. Namur, div. Dinant, 6 septembre 2002, </w:t>
      </w:r>
      <w:r w:rsidRPr="00335C08">
        <w:rPr>
          <w:i/>
          <w:iCs/>
        </w:rPr>
        <w:t>J.J.</w:t>
      </w:r>
      <w:proofErr w:type="spellStart"/>
      <w:r w:rsidRPr="00335C08">
        <w:rPr>
          <w:i/>
          <w:iCs/>
        </w:rPr>
        <w:t>pol</w:t>
      </w:r>
      <w:proofErr w:type="spellEnd"/>
      <w:r w:rsidRPr="00335C08">
        <w:rPr>
          <w:i/>
          <w:iCs/>
        </w:rPr>
        <w:t>.-</w:t>
      </w:r>
      <w:proofErr w:type="spellStart"/>
      <w:r w:rsidRPr="00335C08">
        <w:rPr>
          <w:i/>
          <w:iCs/>
        </w:rPr>
        <w:t>T.pol</w:t>
      </w:r>
      <w:proofErr w:type="spellEnd"/>
      <w:r w:rsidRPr="00335C08">
        <w:rPr>
          <w:i/>
          <w:iCs/>
        </w:rPr>
        <w:t xml:space="preserve">., </w:t>
      </w:r>
      <w:r w:rsidRPr="00335C08">
        <w:t xml:space="preserve">2022/4, p. 194). </w:t>
      </w:r>
    </w:p>
    <w:p w14:paraId="49F3683A" w14:textId="19F249C5" w:rsidR="00477F81" w:rsidRDefault="00477F81" w:rsidP="001D1A8B">
      <w:pPr>
        <w:jc w:val="both"/>
      </w:pPr>
    </w:p>
    <w:p w14:paraId="77963427" w14:textId="77777777" w:rsidR="00477F81" w:rsidRPr="00335C08" w:rsidRDefault="00477F81" w:rsidP="001D1A8B">
      <w:pPr>
        <w:jc w:val="both"/>
        <w:rPr>
          <w:b/>
        </w:rPr>
      </w:pPr>
      <w:r w:rsidRPr="00335C08">
        <w:rPr>
          <w:b/>
        </w:rPr>
        <w:t xml:space="preserve">Circulation routière – Test d’haleine – Intoxication alcoolique et ivresse – Pas d’obligation de l’existence d’une infraction de roulage préalable </w:t>
      </w:r>
    </w:p>
    <w:p w14:paraId="585BA97D" w14:textId="77777777" w:rsidR="00477F81" w:rsidRPr="00335C08" w:rsidRDefault="00477F81" w:rsidP="001D1A8B">
      <w:pPr>
        <w:jc w:val="both"/>
      </w:pPr>
    </w:p>
    <w:p w14:paraId="4F81FAD9" w14:textId="01E16C39" w:rsidR="00477F81" w:rsidRDefault="00477F81" w:rsidP="001D1A8B">
      <w:pPr>
        <w:jc w:val="both"/>
      </w:pPr>
      <w:r w:rsidRPr="00335C08">
        <w:t>L’article 61</w:t>
      </w:r>
      <w:r w:rsidRPr="00D84E55">
        <w:rPr>
          <w:i/>
          <w:iCs/>
        </w:rPr>
        <w:t>bis</w:t>
      </w:r>
      <w:r w:rsidRPr="00335C08">
        <w:t>, § 1</w:t>
      </w:r>
      <w:r w:rsidRPr="00D84E55">
        <w:rPr>
          <w:vertAlign w:val="superscript"/>
        </w:rPr>
        <w:t>er</w:t>
      </w:r>
      <w:r w:rsidRPr="00335C08">
        <w:t>, 2°, de la loi relative à la police de la circulation routière prévoit qu’il peut être procédé au test d’haleine fixé à l’article 59, § 2, de la même loi, notamment à toute personne qui conduit un véhicule dans un lieu public.</w:t>
      </w:r>
      <w:r>
        <w:t xml:space="preserve"> </w:t>
      </w:r>
      <w:r w:rsidRPr="00335C08">
        <w:t>Ce test peut donc être imposé à toute personne qui conduit un véhicule dans un lieu public, sans qu’il ne soit requis qu’une infraction de roulage ait eu lieu au préalable et que des poursuites pénales aient été engagées pour cette infraction de roulage</w:t>
      </w:r>
      <w:r>
        <w:t xml:space="preserve"> </w:t>
      </w:r>
      <w:r w:rsidRPr="00335C08">
        <w:t>(Cass., P.22.0481.N</w:t>
      </w:r>
      <w:r>
        <w:t xml:space="preserve">, </w:t>
      </w:r>
      <w:r w:rsidRPr="00335C08">
        <w:t>13 septembre 2022,</w:t>
      </w:r>
      <w:r>
        <w:t xml:space="preserve"> </w:t>
      </w:r>
      <w:r w:rsidRPr="00D84E55">
        <w:rPr>
          <w:i/>
          <w:iCs/>
        </w:rPr>
        <w:t>Pas.</w:t>
      </w:r>
      <w:r>
        <w:t>, à sa date).</w:t>
      </w:r>
    </w:p>
    <w:p w14:paraId="400179A9" w14:textId="13A50FA8" w:rsidR="00FB7DB2" w:rsidRDefault="00FB7DB2" w:rsidP="001D1A8B">
      <w:pPr>
        <w:jc w:val="both"/>
      </w:pPr>
    </w:p>
    <w:p w14:paraId="12C29D66" w14:textId="4388DD42" w:rsidR="00FB7DB2" w:rsidRPr="00FB7DB2" w:rsidRDefault="00FB7DB2" w:rsidP="001D1A8B">
      <w:pPr>
        <w:pStyle w:val="NormalWeb"/>
        <w:jc w:val="both"/>
        <w:rPr>
          <w:b/>
        </w:rPr>
      </w:pPr>
      <w:r w:rsidRPr="00335C08">
        <w:rPr>
          <w:b/>
        </w:rPr>
        <w:t xml:space="preserve">Circulation routière </w:t>
      </w:r>
      <w:r>
        <w:rPr>
          <w:b/>
        </w:rPr>
        <w:t xml:space="preserve">– </w:t>
      </w:r>
      <w:r w:rsidRPr="00530BD2">
        <w:rPr>
          <w:b/>
          <w:bCs/>
          <w:color w:val="000000"/>
          <w:lang w:val="fr-FR"/>
        </w:rPr>
        <w:t xml:space="preserve">Intoxication alcoolique au volant - Analyse d’haleine - Taux d’alcool mesuré - Absence de seconde analyse </w:t>
      </w:r>
    </w:p>
    <w:p w14:paraId="4F1D10EB" w14:textId="77777777" w:rsidR="00FB7DB2" w:rsidRPr="00530BD2" w:rsidRDefault="00FB7DB2" w:rsidP="001D1A8B">
      <w:pPr>
        <w:pStyle w:val="NormalWeb"/>
        <w:jc w:val="both"/>
        <w:rPr>
          <w:b/>
          <w:bCs/>
          <w:color w:val="000000"/>
          <w:lang w:val="fr-FR"/>
        </w:rPr>
      </w:pPr>
    </w:p>
    <w:p w14:paraId="291EF06C" w14:textId="77777777" w:rsidR="00FB7DB2" w:rsidRPr="00530BD2" w:rsidRDefault="00FB7DB2" w:rsidP="001D1A8B">
      <w:pPr>
        <w:jc w:val="both"/>
        <w:rPr>
          <w:color w:val="000000"/>
          <w:lang w:val="fr-FR"/>
        </w:rPr>
      </w:pPr>
      <w:r w:rsidRPr="00530BD2">
        <w:rPr>
          <w:color w:val="000000"/>
          <w:lang w:val="fr-FR"/>
        </w:rPr>
        <w:t xml:space="preserve">Dans cette affaire, le prévenu a subi une analyse de l'haleine au moyen d'un appareil </w:t>
      </w:r>
      <w:proofErr w:type="spellStart"/>
      <w:r w:rsidRPr="00530BD2">
        <w:rPr>
          <w:color w:val="000000"/>
          <w:lang w:val="fr-FR"/>
        </w:rPr>
        <w:t>Dräger</w:t>
      </w:r>
      <w:proofErr w:type="spellEnd"/>
      <w:r w:rsidRPr="00530BD2">
        <w:rPr>
          <w:color w:val="000000"/>
          <w:lang w:val="fr-FR"/>
        </w:rPr>
        <w:t xml:space="preserve"> 8610 affichant un taux de 0,37mg par litre d'air alvéolé expiré. Il conteste cependant le taux d'alcool relevé au motif que le ticket fait apparaître 3 taux différents, et demande de retenir le taux le plus faible, soit 0,34</w:t>
      </w:r>
      <w:r>
        <w:rPr>
          <w:color w:val="000000"/>
          <w:lang w:val="fr-FR"/>
        </w:rPr>
        <w:t>mg/l AAE</w:t>
      </w:r>
      <w:r w:rsidRPr="00530BD2">
        <w:rPr>
          <w:color w:val="000000"/>
          <w:lang w:val="fr-FR"/>
        </w:rPr>
        <w:t xml:space="preserve">. </w:t>
      </w:r>
    </w:p>
    <w:p w14:paraId="22FA2C0A" w14:textId="77777777" w:rsidR="00FB7DB2" w:rsidRPr="00530BD2" w:rsidRDefault="00FB7DB2" w:rsidP="001D1A8B">
      <w:pPr>
        <w:jc w:val="both"/>
        <w:rPr>
          <w:color w:val="000000"/>
          <w:lang w:val="fr-FR"/>
        </w:rPr>
      </w:pPr>
    </w:p>
    <w:p w14:paraId="72783613" w14:textId="77777777" w:rsidR="00FB7DB2" w:rsidRPr="00530BD2" w:rsidRDefault="00FB7DB2" w:rsidP="001D1A8B">
      <w:pPr>
        <w:jc w:val="both"/>
        <w:rPr>
          <w:color w:val="000000"/>
          <w:lang w:val="fr-FR"/>
        </w:rPr>
      </w:pPr>
      <w:r w:rsidRPr="00530BD2">
        <w:rPr>
          <w:color w:val="000000"/>
          <w:lang w:val="fr-FR"/>
        </w:rPr>
        <w:t xml:space="preserve">Le tribunal rappelle qu’en application de l'article 26 de l’arrêté royal du 21 avril 2007 relatif aux appareils de test et aux appareils d'analyse de l'haleine, ce n'est que si le conducteur a </w:t>
      </w:r>
      <w:r w:rsidRPr="00530BD2">
        <w:rPr>
          <w:color w:val="000000"/>
          <w:lang w:val="fr-FR"/>
        </w:rPr>
        <w:lastRenderedPageBreak/>
        <w:t>demandé une seconde analyse et que si celle-ci fait apparaître une différence entre les deux résultats, supérieure aux prescriptions visées à l'article 4.3.3 de l'annexe 2 de ce même arrêté royal, qu'une troisième analyse sera effectuée, menant éventuellement à une prise de sang.</w:t>
      </w:r>
    </w:p>
    <w:p w14:paraId="08BF6AD2" w14:textId="77777777" w:rsidR="00FB7DB2" w:rsidRPr="00530BD2" w:rsidRDefault="00FB7DB2" w:rsidP="001D1A8B">
      <w:pPr>
        <w:jc w:val="both"/>
        <w:rPr>
          <w:color w:val="000000"/>
          <w:lang w:val="fr-FR"/>
        </w:rPr>
      </w:pPr>
      <w:r w:rsidRPr="00530BD2">
        <w:rPr>
          <w:color w:val="000000"/>
          <w:lang w:val="fr-FR"/>
        </w:rPr>
        <w:t> </w:t>
      </w:r>
    </w:p>
    <w:p w14:paraId="3271ADC4" w14:textId="77777777" w:rsidR="00FB7DB2" w:rsidRPr="00530BD2" w:rsidRDefault="00FB7DB2" w:rsidP="001D1A8B">
      <w:pPr>
        <w:jc w:val="both"/>
        <w:rPr>
          <w:color w:val="000000"/>
          <w:lang w:val="fr-FR"/>
        </w:rPr>
      </w:pPr>
      <w:r w:rsidRPr="00530BD2">
        <w:rPr>
          <w:color w:val="000000"/>
          <w:lang w:val="fr-FR"/>
        </w:rPr>
        <w:t>En l'espèce, le prévenu a été soumis à une seule analyse de l'haleine, ayant donné pour résultat un taux d'imprégnation alcoolique de 0,37 mg par litre d'air alvéolé expiré, de sorte qu'il ne se justifie pas de tenir compte d'une quelconque marge d'erreur à comparer avec le résultat d'une seconde analyse qui n'a pas été sollicitée par le prévenu. En conséquence c'est bien ce taux de 0,37 mg</w:t>
      </w:r>
      <w:r>
        <w:rPr>
          <w:color w:val="000000"/>
          <w:lang w:val="fr-FR"/>
        </w:rPr>
        <w:t>/l AAE</w:t>
      </w:r>
      <w:r w:rsidRPr="00530BD2">
        <w:rPr>
          <w:color w:val="000000"/>
          <w:lang w:val="fr-FR"/>
        </w:rPr>
        <w:t xml:space="preserve"> qui doit être retenu. On ne peut qu’encourager chaque justiciable à demander une seconde analyse en cas de contrôle (Tribunal de police francophone de Bruxelles (25e ch.), 2 février 2022 R.G. : 21B011631, </w:t>
      </w:r>
      <w:r w:rsidRPr="00530BD2">
        <w:rPr>
          <w:i/>
          <w:iCs/>
          <w:color w:val="000000"/>
          <w:lang w:val="fr-FR"/>
        </w:rPr>
        <w:t>C.R.A.</w:t>
      </w:r>
      <w:r w:rsidRPr="00530BD2">
        <w:rPr>
          <w:color w:val="000000"/>
          <w:lang w:val="fr-FR"/>
        </w:rPr>
        <w:t>, 2022/3, p. 77-80).</w:t>
      </w:r>
    </w:p>
    <w:p w14:paraId="4E2409E0" w14:textId="77777777" w:rsidR="00FB7DB2" w:rsidRPr="00530BD2" w:rsidRDefault="00FB7DB2" w:rsidP="001D1A8B">
      <w:pPr>
        <w:jc w:val="both"/>
        <w:rPr>
          <w:color w:val="000000"/>
          <w:lang w:val="fr-FR"/>
        </w:rPr>
      </w:pPr>
    </w:p>
    <w:p w14:paraId="052FFAA9" w14:textId="63020729" w:rsidR="006873BC" w:rsidRPr="006873BC" w:rsidRDefault="006873BC" w:rsidP="001D1A8B">
      <w:pPr>
        <w:pStyle w:val="NormalWeb"/>
        <w:jc w:val="both"/>
        <w:rPr>
          <w:b/>
        </w:rPr>
      </w:pPr>
      <w:r w:rsidRPr="00335C08">
        <w:rPr>
          <w:b/>
        </w:rPr>
        <w:t>Circulation routière</w:t>
      </w:r>
      <w:r>
        <w:rPr>
          <w:b/>
        </w:rPr>
        <w:t xml:space="preserve"> – </w:t>
      </w:r>
      <w:r w:rsidRPr="00530BD2">
        <w:rPr>
          <w:b/>
          <w:bCs/>
          <w:color w:val="000000"/>
          <w:shd w:val="clear" w:color="auto" w:fill="FFFFFF"/>
          <w:lang w:val="fr-FR"/>
        </w:rPr>
        <w:t xml:space="preserve">Intoxication alcoolique au volant – Dispositif éthylotest anti-démarrage – Caractère facultatif ou obligatoire - </w:t>
      </w:r>
      <w:r w:rsidR="007A4650">
        <w:rPr>
          <w:b/>
          <w:bCs/>
          <w:color w:val="000000"/>
          <w:shd w:val="clear" w:color="auto" w:fill="FFFFFF"/>
          <w:lang w:val="fr-FR"/>
        </w:rPr>
        <w:t>M</w:t>
      </w:r>
      <w:r w:rsidRPr="00530BD2">
        <w:rPr>
          <w:b/>
          <w:bCs/>
          <w:color w:val="000000"/>
          <w:shd w:val="clear" w:color="auto" w:fill="FFFFFF"/>
          <w:lang w:val="fr-FR"/>
        </w:rPr>
        <w:t xml:space="preserve">otivation </w:t>
      </w:r>
    </w:p>
    <w:p w14:paraId="1CAFEB15" w14:textId="77777777" w:rsidR="006873BC" w:rsidRPr="00530BD2" w:rsidRDefault="006873BC" w:rsidP="001D1A8B">
      <w:pPr>
        <w:pStyle w:val="NormalWeb"/>
        <w:jc w:val="both"/>
        <w:rPr>
          <w:b/>
          <w:bCs/>
          <w:color w:val="000000"/>
          <w:shd w:val="clear" w:color="auto" w:fill="FFFFFF"/>
          <w:lang w:val="fr-FR"/>
        </w:rPr>
      </w:pPr>
    </w:p>
    <w:p w14:paraId="23DA3542" w14:textId="77777777" w:rsidR="006873BC" w:rsidRPr="00530BD2" w:rsidRDefault="006873BC" w:rsidP="001D1A8B">
      <w:pPr>
        <w:pStyle w:val="NormalWeb"/>
        <w:jc w:val="both"/>
        <w:rPr>
          <w:color w:val="000000"/>
          <w:shd w:val="clear" w:color="auto" w:fill="FFFFFF"/>
          <w:lang w:val="fr-FR"/>
        </w:rPr>
      </w:pPr>
      <w:r w:rsidRPr="00530BD2">
        <w:rPr>
          <w:color w:val="000000"/>
          <w:shd w:val="clear" w:color="auto" w:fill="FFFFFF"/>
          <w:lang w:val="fr-FR"/>
        </w:rPr>
        <w:t>Cette chronique est l’occasion de faire le point une nouvelle fois sur le dispositif éthylotest anti-démarrage prévu par l’article 37/1, § 1</w:t>
      </w:r>
      <w:r w:rsidRPr="00530BD2">
        <w:rPr>
          <w:color w:val="000000"/>
          <w:vertAlign w:val="superscript"/>
          <w:lang w:val="fr-FR"/>
        </w:rPr>
        <w:t>er</w:t>
      </w:r>
      <w:r w:rsidRPr="00530BD2">
        <w:rPr>
          <w:color w:val="000000"/>
          <w:shd w:val="clear" w:color="auto" w:fill="FFFFFF"/>
          <w:lang w:val="fr-FR"/>
        </w:rPr>
        <w:t xml:space="preserve">, 1°, de la loi du 16 mars 1968 relative à la police de la circulation routière. </w:t>
      </w:r>
    </w:p>
    <w:p w14:paraId="0539FA66" w14:textId="77777777" w:rsidR="006873BC" w:rsidRPr="00530BD2" w:rsidRDefault="006873BC" w:rsidP="001D1A8B">
      <w:pPr>
        <w:pStyle w:val="NormalWeb"/>
        <w:jc w:val="both"/>
        <w:rPr>
          <w:color w:val="000000"/>
          <w:shd w:val="clear" w:color="auto" w:fill="FFFFFF"/>
          <w:lang w:val="fr-FR"/>
        </w:rPr>
      </w:pPr>
    </w:p>
    <w:p w14:paraId="1C47D13B" w14:textId="77777777" w:rsidR="006873BC" w:rsidRPr="00530BD2" w:rsidRDefault="006873BC" w:rsidP="001D1A8B">
      <w:pPr>
        <w:pStyle w:val="NormalWeb"/>
        <w:jc w:val="both"/>
        <w:rPr>
          <w:color w:val="000000"/>
          <w:shd w:val="clear" w:color="auto" w:fill="FFFFFF"/>
          <w:lang w:val="fr-FR"/>
        </w:rPr>
      </w:pPr>
      <w:r w:rsidRPr="00530BD2">
        <w:rPr>
          <w:color w:val="000000"/>
          <w:shd w:val="clear" w:color="auto" w:fill="FFFFFF"/>
          <w:lang w:val="fr-FR"/>
        </w:rPr>
        <w:t>Dans une première affaire, le dispositif est prononcé et ce malgré son caractère facultatif. En effet, bien que le juge ne soit pas obligé – compte tenu du taux de 0,55 mg/l d'air alvéolaire expiré relevé – d'imposer au prévenu condamné d'équiper son véhicule d'un dispositif éthylotest anti-démarrage, en vertu de l'article 37/1, § 1</w:t>
      </w:r>
      <w:r w:rsidRPr="00530BD2">
        <w:rPr>
          <w:color w:val="000000"/>
          <w:vertAlign w:val="superscript"/>
          <w:lang w:val="fr-FR"/>
        </w:rPr>
        <w:t>er</w:t>
      </w:r>
      <w:r w:rsidRPr="00530BD2">
        <w:rPr>
          <w:color w:val="000000"/>
          <w:shd w:val="clear" w:color="auto" w:fill="FFFFFF"/>
          <w:lang w:val="fr-FR"/>
        </w:rPr>
        <w:t>, 1°, de la loi du 16 mars 1968 relative à la police de la circulation routière, les deux condamnations spécifiques antérieures en matière d'alcool au volant justifient en l'espèce d'imposer au prévenu ce dispositif pendant 1 an. Eu égard à la situation financière du prévenu vivant d'une indemnité mensuelle d'incapacité de travail de 1300 euros, il y a lieu de diminuer l'amende de tout ou partie du coût de l'installation et de l'utilisation du dispositif éthylotest antidémarrage dans son véhicule, ainsi que du programme d'encadrement, sans qu'elle ne puisse s'élever à moins d'un euro, conformément à l'article 37/1, § 3, de la loi précitée (Tribunal correctionnel de Bruxelles francophone, 13 décembre 2021, 21F002679,</w:t>
      </w:r>
      <w:r w:rsidRPr="00530BD2">
        <w:rPr>
          <w:rStyle w:val="apple-converted-space"/>
          <w:color w:val="000000"/>
          <w:shd w:val="clear" w:color="auto" w:fill="FFFFFF"/>
          <w:lang w:val="fr-FR"/>
        </w:rPr>
        <w:t> </w:t>
      </w:r>
      <w:r w:rsidRPr="00530BD2">
        <w:rPr>
          <w:i/>
          <w:iCs/>
          <w:color w:val="000000"/>
          <w:lang w:val="fr-FR"/>
        </w:rPr>
        <w:t>C.R.A.</w:t>
      </w:r>
      <w:r w:rsidRPr="00530BD2">
        <w:rPr>
          <w:color w:val="000000"/>
          <w:shd w:val="clear" w:color="auto" w:fill="FFFFFF"/>
          <w:lang w:val="fr-FR"/>
        </w:rPr>
        <w:t>, 2022/2, p. 51-54).</w:t>
      </w:r>
    </w:p>
    <w:p w14:paraId="0A32846D" w14:textId="77777777" w:rsidR="006873BC" w:rsidRPr="00530BD2" w:rsidRDefault="006873BC" w:rsidP="001D1A8B">
      <w:pPr>
        <w:pStyle w:val="NormalWeb"/>
        <w:jc w:val="both"/>
        <w:rPr>
          <w:color w:val="000000"/>
          <w:shd w:val="clear" w:color="auto" w:fill="FFFFFF"/>
          <w:lang w:val="fr-FR"/>
        </w:rPr>
      </w:pPr>
    </w:p>
    <w:p w14:paraId="4F0F01B8" w14:textId="77777777" w:rsidR="006873BC" w:rsidRPr="00530BD2" w:rsidRDefault="006873BC" w:rsidP="001D1A8B">
      <w:pPr>
        <w:jc w:val="both"/>
        <w:rPr>
          <w:color w:val="000000"/>
          <w:shd w:val="clear" w:color="auto" w:fill="FFFFFF"/>
          <w:lang w:val="fr-FR"/>
        </w:rPr>
      </w:pPr>
      <w:r w:rsidRPr="00530BD2">
        <w:rPr>
          <w:color w:val="000000"/>
          <w:shd w:val="clear" w:color="auto" w:fill="FFFFFF"/>
          <w:lang w:val="fr-FR"/>
        </w:rPr>
        <w:t xml:space="preserve">Dans une seconde affaire, alors que le juge est </w:t>
      </w:r>
      <w:r w:rsidRPr="00530BD2">
        <w:rPr>
          <w:color w:val="000000"/>
          <w:lang w:val="fr-FR"/>
        </w:rPr>
        <w:t>en principe tenu d'imposer au prévenu l'installation d'un dispositif éthylotest anti-démarrage lorsque celui-ci présente au taux de 0,78 mg/l d'air alvéolaire expiré, il peut renoncer à prononcer cette mesure par décision contraire motivée. En l'espèce, l'absence d'antécédents judiciaires, les rapports d'analyse sanguine satisfaisants, les excellents résultats sportifs et le véhicule de fonction utilisé par le prévenu dans le cadre de sa profession sont autant d'éléments justifiant la suppression de l'obligation d'installer le dispositif éthylotest antidémarrage (</w:t>
      </w:r>
      <w:r w:rsidRPr="00530BD2">
        <w:rPr>
          <w:color w:val="000000"/>
          <w:shd w:val="clear" w:color="auto" w:fill="FFFFFF"/>
          <w:lang w:val="fr-FR"/>
        </w:rPr>
        <w:t>Tribunal correctionnel de Bruxelles francophone, 13 décembre 2021, 21F000740,</w:t>
      </w:r>
      <w:r w:rsidRPr="00530BD2">
        <w:rPr>
          <w:rStyle w:val="apple-converted-space"/>
          <w:color w:val="000000"/>
          <w:shd w:val="clear" w:color="auto" w:fill="FFFFFF"/>
          <w:lang w:val="fr-FR"/>
        </w:rPr>
        <w:t> </w:t>
      </w:r>
      <w:r w:rsidRPr="00530BD2">
        <w:rPr>
          <w:i/>
          <w:iCs/>
          <w:color w:val="000000"/>
          <w:lang w:val="fr-FR"/>
        </w:rPr>
        <w:t>C.R.A.</w:t>
      </w:r>
      <w:r w:rsidRPr="00530BD2">
        <w:rPr>
          <w:color w:val="000000"/>
          <w:shd w:val="clear" w:color="auto" w:fill="FFFFFF"/>
          <w:lang w:val="fr-FR"/>
        </w:rPr>
        <w:t>, 2022/2, p. 47-51).</w:t>
      </w:r>
    </w:p>
    <w:p w14:paraId="0DC1CB8F" w14:textId="77777777" w:rsidR="006873BC" w:rsidRPr="00530BD2" w:rsidRDefault="006873BC" w:rsidP="001D1A8B">
      <w:pPr>
        <w:jc w:val="both"/>
        <w:rPr>
          <w:color w:val="000000"/>
          <w:shd w:val="clear" w:color="auto" w:fill="FFFFFF"/>
          <w:lang w:val="fr-FR"/>
        </w:rPr>
      </w:pPr>
    </w:p>
    <w:p w14:paraId="5EAAED03" w14:textId="77777777" w:rsidR="006873BC" w:rsidRDefault="006873BC" w:rsidP="001D1A8B">
      <w:pPr>
        <w:jc w:val="both"/>
        <w:rPr>
          <w:color w:val="000000"/>
          <w:lang w:val="fr-FR"/>
        </w:rPr>
      </w:pPr>
      <w:r w:rsidRPr="00530BD2">
        <w:rPr>
          <w:color w:val="000000"/>
          <w:shd w:val="clear" w:color="auto" w:fill="FFFFFF"/>
          <w:lang w:val="fr-FR"/>
        </w:rPr>
        <w:t xml:space="preserve">Enfin, un arrêt de la Cour de cassation fait le point sur l’articulation de deux dispositions légales, soit l’article 42 de la loi du </w:t>
      </w:r>
      <w:r w:rsidRPr="00530BD2">
        <w:rPr>
          <w:color w:val="000000"/>
          <w:lang w:val="fr-FR"/>
        </w:rPr>
        <w:t>16 mars 1968 relative à la police de la circulation routière (déchéance du droit de conduire pour incapacité physique) et l’article 37/1, §1</w:t>
      </w:r>
      <w:r w:rsidRPr="00530BD2">
        <w:rPr>
          <w:color w:val="000000"/>
          <w:vertAlign w:val="superscript"/>
          <w:lang w:val="fr-FR"/>
        </w:rPr>
        <w:t>er</w:t>
      </w:r>
      <w:r w:rsidRPr="00530BD2">
        <w:rPr>
          <w:color w:val="000000"/>
          <w:lang w:val="fr-FR"/>
        </w:rPr>
        <w:t>, alinéa 1</w:t>
      </w:r>
      <w:r w:rsidRPr="00530BD2">
        <w:rPr>
          <w:color w:val="000000"/>
          <w:vertAlign w:val="superscript"/>
          <w:lang w:val="fr-FR"/>
        </w:rPr>
        <w:t>er</w:t>
      </w:r>
      <w:r w:rsidRPr="00530BD2">
        <w:rPr>
          <w:color w:val="000000"/>
          <w:lang w:val="fr-FR"/>
        </w:rPr>
        <w:t xml:space="preserve"> de cette même loi (éthylotest anti-démarrage). </w:t>
      </w:r>
    </w:p>
    <w:p w14:paraId="5E53718B" w14:textId="77777777" w:rsidR="006873BC" w:rsidRPr="00530BD2" w:rsidRDefault="006873BC" w:rsidP="001D1A8B">
      <w:pPr>
        <w:jc w:val="both"/>
        <w:rPr>
          <w:color w:val="000000"/>
          <w:lang w:val="fr-FR"/>
        </w:rPr>
      </w:pPr>
    </w:p>
    <w:p w14:paraId="4237B916" w14:textId="77777777" w:rsidR="006873BC" w:rsidRPr="00530BD2" w:rsidRDefault="006873BC" w:rsidP="001D1A8B">
      <w:pPr>
        <w:jc w:val="both"/>
        <w:rPr>
          <w:color w:val="000000"/>
          <w:shd w:val="clear" w:color="auto" w:fill="FFFFFF"/>
          <w:lang w:val="fr-FR"/>
        </w:rPr>
      </w:pPr>
      <w:r w:rsidRPr="00530BD2">
        <w:rPr>
          <w:color w:val="000000"/>
          <w:lang w:val="fr-FR"/>
        </w:rPr>
        <w:t>L’article 37/1 prévoit la possibilité pour le juge, s'il ne fait pas application de l'article 42 de cette loi, en cas de condamnation du chef d’ivresse au volant, d’imposer l’installation d’un appareil éthylotest antidémarrage.</w:t>
      </w:r>
      <w:r w:rsidRPr="00530BD2">
        <w:rPr>
          <w:color w:val="000000"/>
          <w:shd w:val="clear" w:color="auto" w:fill="FFFFFF"/>
          <w:lang w:val="fr-FR"/>
        </w:rPr>
        <w:t xml:space="preserve"> </w:t>
      </w:r>
      <w:r w:rsidRPr="00530BD2">
        <w:rPr>
          <w:color w:val="000000"/>
          <w:lang w:val="fr-FR"/>
        </w:rPr>
        <w:t xml:space="preserve">Dès lors qu'il a été fait application de l'article 42 de la loi, les juges d'appel n'ont pas légalement justifié leur décision de confirmer la mesure de sûreté visée </w:t>
      </w:r>
      <w:r w:rsidRPr="00530BD2">
        <w:rPr>
          <w:color w:val="000000"/>
          <w:lang w:val="fr-FR"/>
        </w:rPr>
        <w:lastRenderedPageBreak/>
        <w:t>à l'article 37/1, § 1</w:t>
      </w:r>
      <w:r w:rsidRPr="00530BD2">
        <w:rPr>
          <w:color w:val="000000"/>
          <w:vertAlign w:val="superscript"/>
          <w:lang w:val="fr-FR"/>
        </w:rPr>
        <w:t>er</w:t>
      </w:r>
      <w:r w:rsidRPr="00530BD2">
        <w:rPr>
          <w:color w:val="000000"/>
          <w:lang w:val="fr-FR"/>
        </w:rPr>
        <w:t>. En conséquence, le jugement est cassé en tant qu'il limite la validité du permis de conduire du défendeur à tous les véhicules à moteur équipés d'un système éthylotest anti-démarrage, et en temps qu'il prononce à l'encontre du défendeur une déchéance du droit de conduire pour incapacité physique (</w:t>
      </w:r>
      <w:r w:rsidRPr="00530BD2">
        <w:rPr>
          <w:color w:val="000000"/>
          <w:shd w:val="clear" w:color="auto" w:fill="FFFFFF"/>
          <w:lang w:val="fr-FR"/>
        </w:rPr>
        <w:t>Cour de cassation (2e ch.), 1er juin 2022, P.22.0238.F,</w:t>
      </w:r>
      <w:r w:rsidRPr="00530BD2">
        <w:rPr>
          <w:rStyle w:val="apple-converted-space"/>
          <w:color w:val="000000"/>
          <w:shd w:val="clear" w:color="auto" w:fill="FFFFFF"/>
          <w:lang w:val="fr-FR"/>
        </w:rPr>
        <w:t> </w:t>
      </w:r>
      <w:r w:rsidRPr="00530BD2">
        <w:rPr>
          <w:i/>
          <w:iCs/>
          <w:color w:val="000000"/>
          <w:lang w:val="fr-FR"/>
        </w:rPr>
        <w:t>C.R.A.</w:t>
      </w:r>
      <w:r w:rsidRPr="00530BD2">
        <w:rPr>
          <w:color w:val="000000"/>
          <w:shd w:val="clear" w:color="auto" w:fill="FFFFFF"/>
          <w:lang w:val="fr-FR"/>
        </w:rPr>
        <w:t>, 2022/6, p</w:t>
      </w:r>
      <w:r>
        <w:rPr>
          <w:color w:val="000000"/>
          <w:shd w:val="clear" w:color="auto" w:fill="FFFFFF"/>
          <w:lang w:val="fr-FR"/>
        </w:rPr>
        <w:t>p</w:t>
      </w:r>
      <w:r w:rsidRPr="00530BD2">
        <w:rPr>
          <w:color w:val="000000"/>
          <w:shd w:val="clear" w:color="auto" w:fill="FFFFFF"/>
          <w:lang w:val="fr-FR"/>
        </w:rPr>
        <w:t>. 32-33).</w:t>
      </w:r>
    </w:p>
    <w:p w14:paraId="0D2CCD14" w14:textId="77777777" w:rsidR="00477F81" w:rsidRPr="00335C08" w:rsidRDefault="00477F81" w:rsidP="001D1A8B">
      <w:pPr>
        <w:pStyle w:val="NormalWeb"/>
        <w:jc w:val="both"/>
        <w:rPr>
          <w:b/>
          <w:bCs/>
          <w:shd w:val="clear" w:color="auto" w:fill="FFFFFF"/>
        </w:rPr>
      </w:pPr>
    </w:p>
    <w:p w14:paraId="0AC42C0B" w14:textId="77777777" w:rsidR="00477F81" w:rsidRPr="00335C08" w:rsidRDefault="00477F81" w:rsidP="001D1A8B">
      <w:pPr>
        <w:jc w:val="both"/>
        <w:rPr>
          <w:b/>
          <w:shd w:val="clear" w:color="auto" w:fill="FFFFFF"/>
        </w:rPr>
      </w:pPr>
      <w:r w:rsidRPr="00335C08">
        <w:rPr>
          <w:b/>
          <w:shd w:val="clear" w:color="auto" w:fill="FFFFFF"/>
        </w:rPr>
        <w:t>Circulation routière – Motocycliste – Place sur la chaussée – Circulation à sens unique</w:t>
      </w:r>
    </w:p>
    <w:p w14:paraId="22DA692E" w14:textId="77777777" w:rsidR="00477F81" w:rsidRPr="00335C08" w:rsidRDefault="00477F81" w:rsidP="001D1A8B">
      <w:pPr>
        <w:jc w:val="both"/>
        <w:rPr>
          <w:shd w:val="clear" w:color="auto" w:fill="FFFFFF"/>
        </w:rPr>
      </w:pPr>
      <w:r w:rsidRPr="00335C08">
        <w:rPr>
          <w:shd w:val="clear" w:color="auto" w:fill="FFFFFF"/>
        </w:rPr>
        <w:t xml:space="preserve"> </w:t>
      </w:r>
    </w:p>
    <w:p w14:paraId="3001D29E" w14:textId="77777777" w:rsidR="00477F81" w:rsidRPr="00335C08" w:rsidRDefault="00477F81" w:rsidP="001D1A8B">
      <w:pPr>
        <w:jc w:val="both"/>
        <w:rPr>
          <w:lang w:eastAsia="fr-BE"/>
        </w:rPr>
      </w:pPr>
      <w:r w:rsidRPr="00335C08">
        <w:rPr>
          <w:shd w:val="clear" w:color="auto" w:fill="FFFFFF"/>
        </w:rPr>
        <w:t>Le tribunal correctionnel de Flandre Occidentale précise que même lorsque la circulation n’est temporairement autorisée qu’à sens unique sur la chaussée, l’article 9.3.2 de l’arrêté royal</w:t>
      </w:r>
      <w:r w:rsidRPr="00335C08">
        <w:rPr>
          <w:lang w:eastAsia="fr-BE"/>
        </w:rPr>
        <w:t xml:space="preserve"> du 1</w:t>
      </w:r>
      <w:r w:rsidRPr="00335C08">
        <w:rPr>
          <w:vertAlign w:val="superscript"/>
          <w:lang w:eastAsia="fr-BE"/>
        </w:rPr>
        <w:t>er</w:t>
      </w:r>
      <w:r w:rsidRPr="00335C08">
        <w:rPr>
          <w:lang w:eastAsia="fr-BE"/>
        </w:rPr>
        <w:t xml:space="preserve"> décembre 1975 qui contient des prescriptions par rapport à la position d’un motocycliste sur la chaussée et l’article 9.6 du même arrêté royal qui prévoit que tout conducteur doit laisser à sa gauche les dispositifs destinés à canaliser la circulation trouvent à s’appliquer</w:t>
      </w:r>
      <w:r>
        <w:rPr>
          <w:lang w:eastAsia="fr-BE"/>
        </w:rPr>
        <w:t xml:space="preserve"> (</w:t>
      </w:r>
      <w:r w:rsidRPr="00335C08">
        <w:rPr>
          <w:lang w:eastAsia="fr-BE"/>
        </w:rPr>
        <w:t xml:space="preserve">Corr. Flandre-Occidentale, 21 octobre 2021, </w:t>
      </w:r>
      <w:r w:rsidRPr="00335C08">
        <w:rPr>
          <w:i/>
          <w:iCs/>
          <w:lang w:eastAsia="fr-BE"/>
        </w:rPr>
        <w:t xml:space="preserve">R.W., </w:t>
      </w:r>
      <w:r w:rsidRPr="00335C08">
        <w:rPr>
          <w:lang w:eastAsia="fr-BE"/>
        </w:rPr>
        <w:t xml:space="preserve">2022-2023, n° 11, p. 437). </w:t>
      </w:r>
    </w:p>
    <w:p w14:paraId="7FD50786" w14:textId="77777777" w:rsidR="00477F81" w:rsidRPr="00335C08" w:rsidRDefault="00477F81" w:rsidP="001D1A8B">
      <w:pPr>
        <w:jc w:val="both"/>
        <w:rPr>
          <w:lang w:eastAsia="fr-BE"/>
        </w:rPr>
      </w:pPr>
    </w:p>
    <w:p w14:paraId="2A8EAE6B" w14:textId="77777777" w:rsidR="00477F81" w:rsidRPr="00335C08" w:rsidRDefault="00477F81" w:rsidP="001D1A8B">
      <w:pPr>
        <w:jc w:val="both"/>
        <w:rPr>
          <w:b/>
          <w:shd w:val="clear" w:color="auto" w:fill="FFFFFF"/>
        </w:rPr>
      </w:pPr>
      <w:r w:rsidRPr="00335C08">
        <w:rPr>
          <w:b/>
          <w:shd w:val="clear" w:color="auto" w:fill="FFFFFF"/>
        </w:rPr>
        <w:t xml:space="preserve">Circulation routière – Déchéance du droit de conduire – Retrait effectif d’au moins huit jours </w:t>
      </w:r>
    </w:p>
    <w:p w14:paraId="3EC619C2" w14:textId="77777777" w:rsidR="00477F81" w:rsidRPr="00335C08" w:rsidRDefault="00477F81" w:rsidP="001D1A8B">
      <w:pPr>
        <w:pStyle w:val="NormalWeb"/>
        <w:jc w:val="both"/>
        <w:rPr>
          <w:b/>
          <w:bCs/>
          <w:shd w:val="clear" w:color="auto" w:fill="FFFFFF"/>
        </w:rPr>
      </w:pPr>
    </w:p>
    <w:p w14:paraId="50D70DFA" w14:textId="77777777" w:rsidR="00477F81" w:rsidRPr="00335C08" w:rsidRDefault="00477F81" w:rsidP="001D1A8B">
      <w:pPr>
        <w:jc w:val="both"/>
        <w:rPr>
          <w:shd w:val="clear" w:color="auto" w:fill="FFFFFF"/>
        </w:rPr>
      </w:pPr>
      <w:r w:rsidRPr="00335C08">
        <w:rPr>
          <w:shd w:val="clear" w:color="auto" w:fill="FFFFFF"/>
        </w:rPr>
        <w:t>La Cour de cassation a eu l’occasion de rappeler une nouvelle fois que, conformément à l’art. 41 de la loi relative à la police de la circulation routière, le juge qui prononce une déchéance du droit de conduire doit, s’il souhaite faire application de l’art. 8 §</w:t>
      </w:r>
      <w:r>
        <w:rPr>
          <w:shd w:val="clear" w:color="auto" w:fill="FFFFFF"/>
        </w:rPr>
        <w:t xml:space="preserve"> </w:t>
      </w:r>
      <w:r w:rsidRPr="00335C08">
        <w:rPr>
          <w:shd w:val="clear" w:color="auto" w:fill="FFFFFF"/>
        </w:rPr>
        <w:t>1</w:t>
      </w:r>
      <w:r w:rsidRPr="00335C08">
        <w:rPr>
          <w:shd w:val="clear" w:color="auto" w:fill="FFFFFF"/>
          <w:vertAlign w:val="superscript"/>
        </w:rPr>
        <w:t>er</w:t>
      </w:r>
      <w:r>
        <w:rPr>
          <w:shd w:val="clear" w:color="auto" w:fill="FFFFFF"/>
        </w:rPr>
        <w:t xml:space="preserve">, </w:t>
      </w:r>
      <w:r w:rsidRPr="00335C08">
        <w:rPr>
          <w:shd w:val="clear" w:color="auto" w:fill="FFFFFF"/>
        </w:rPr>
        <w:t>de la loi relative à la suspension, au sursis et à la probation, imposer une partie effective d’une durée de minimum huit jours.</w:t>
      </w:r>
      <w:r>
        <w:rPr>
          <w:shd w:val="clear" w:color="auto" w:fill="FFFFFF"/>
        </w:rPr>
        <w:t xml:space="preserve"> </w:t>
      </w:r>
      <w:r w:rsidRPr="00335C08">
        <w:rPr>
          <w:shd w:val="clear" w:color="auto" w:fill="FFFFFF"/>
        </w:rPr>
        <w:t>Il en découle que si une déchéance du droit de conduire de huit jours est prononcée, il n’est pas possible d’assortir celle-ci d’un sursis</w:t>
      </w:r>
      <w:r>
        <w:rPr>
          <w:shd w:val="clear" w:color="auto" w:fill="FFFFFF"/>
        </w:rPr>
        <w:t xml:space="preserve"> </w:t>
      </w:r>
      <w:r w:rsidRPr="00335C08">
        <w:rPr>
          <w:shd w:val="clear" w:color="auto" w:fill="FFFFFF"/>
        </w:rPr>
        <w:t xml:space="preserve">(Cass., 23 octobre 2021, </w:t>
      </w:r>
      <w:r w:rsidRPr="00335C08">
        <w:rPr>
          <w:i/>
          <w:iCs/>
          <w:shd w:val="clear" w:color="auto" w:fill="FFFFFF"/>
        </w:rPr>
        <w:t xml:space="preserve">R.W., </w:t>
      </w:r>
      <w:r w:rsidRPr="00335C08">
        <w:rPr>
          <w:shd w:val="clear" w:color="auto" w:fill="FFFFFF"/>
        </w:rPr>
        <w:t xml:space="preserve">2022-2023, n° 21, p. 822). </w:t>
      </w:r>
    </w:p>
    <w:p w14:paraId="728B7C72" w14:textId="77777777" w:rsidR="00477F81" w:rsidRPr="00335C08" w:rsidRDefault="00477F81" w:rsidP="001D1A8B">
      <w:pPr>
        <w:jc w:val="both"/>
        <w:rPr>
          <w:b/>
          <w:lang w:eastAsia="fr-BE"/>
        </w:rPr>
      </w:pPr>
    </w:p>
    <w:p w14:paraId="6C32262F" w14:textId="77777777" w:rsidR="00477F81" w:rsidRPr="00335C08" w:rsidRDefault="00477F81" w:rsidP="001D1A8B">
      <w:pPr>
        <w:jc w:val="both"/>
        <w:rPr>
          <w:b/>
          <w:lang w:eastAsia="fr-BE"/>
        </w:rPr>
      </w:pPr>
      <w:r w:rsidRPr="00335C08">
        <w:rPr>
          <w:b/>
          <w:lang w:eastAsia="fr-BE"/>
        </w:rPr>
        <w:t>Art. 1</w:t>
      </w:r>
      <w:r w:rsidRPr="00D84E55">
        <w:rPr>
          <w:b/>
          <w:vertAlign w:val="superscript"/>
          <w:lang w:eastAsia="fr-BE"/>
        </w:rPr>
        <w:t>er</w:t>
      </w:r>
      <w:r>
        <w:rPr>
          <w:b/>
          <w:lang w:eastAsia="fr-BE"/>
        </w:rPr>
        <w:t xml:space="preserve"> </w:t>
      </w:r>
      <w:r w:rsidRPr="00335C08">
        <w:rPr>
          <w:b/>
          <w:lang w:eastAsia="fr-BE"/>
        </w:rPr>
        <w:t>al.</w:t>
      </w:r>
      <w:r>
        <w:rPr>
          <w:b/>
          <w:lang w:eastAsia="fr-BE"/>
        </w:rPr>
        <w:t xml:space="preserve"> </w:t>
      </w:r>
      <w:r w:rsidRPr="00335C08">
        <w:rPr>
          <w:b/>
          <w:lang w:eastAsia="fr-BE"/>
        </w:rPr>
        <w:t>1</w:t>
      </w:r>
      <w:r w:rsidRPr="00D84E55">
        <w:rPr>
          <w:b/>
          <w:vertAlign w:val="superscript"/>
          <w:lang w:eastAsia="fr-BE"/>
        </w:rPr>
        <w:t>er</w:t>
      </w:r>
      <w:r>
        <w:rPr>
          <w:b/>
          <w:lang w:eastAsia="fr-BE"/>
        </w:rPr>
        <w:t xml:space="preserve">, </w:t>
      </w:r>
      <w:r w:rsidRPr="00335C08">
        <w:rPr>
          <w:b/>
          <w:lang w:eastAsia="fr-BE"/>
        </w:rPr>
        <w:t>de l’arrêté royal du 1</w:t>
      </w:r>
      <w:r w:rsidRPr="00335C08">
        <w:rPr>
          <w:b/>
          <w:vertAlign w:val="superscript"/>
          <w:lang w:eastAsia="fr-BE"/>
        </w:rPr>
        <w:t>er</w:t>
      </w:r>
      <w:r w:rsidRPr="00335C08">
        <w:rPr>
          <w:b/>
          <w:lang w:eastAsia="fr-BE"/>
        </w:rPr>
        <w:t xml:space="preserve"> décembre 1975 portant règlement général sur la police de la circulation routière et de l’usage de la voie publique – Voie publique – Allée menant au domicile</w:t>
      </w:r>
      <w:r>
        <w:rPr>
          <w:b/>
          <w:lang w:eastAsia="fr-BE"/>
        </w:rPr>
        <w:t xml:space="preserve"> </w:t>
      </w:r>
      <w:r w:rsidRPr="00335C08">
        <w:rPr>
          <w:b/>
          <w:lang w:eastAsia="fr-BE"/>
        </w:rPr>
        <w:t>– Appréciation souveraine du juge du fond</w:t>
      </w:r>
    </w:p>
    <w:p w14:paraId="5AEFD42E" w14:textId="77777777" w:rsidR="00477F81" w:rsidRPr="00335C08" w:rsidRDefault="00477F81" w:rsidP="001D1A8B">
      <w:pPr>
        <w:jc w:val="both"/>
        <w:rPr>
          <w:b/>
          <w:lang w:eastAsia="fr-BE"/>
        </w:rPr>
      </w:pPr>
    </w:p>
    <w:p w14:paraId="3DABD356" w14:textId="77777777" w:rsidR="00477F81" w:rsidRPr="00335C08" w:rsidRDefault="00477F81" w:rsidP="001D1A8B">
      <w:pPr>
        <w:jc w:val="both"/>
        <w:rPr>
          <w:lang w:eastAsia="fr-BE"/>
        </w:rPr>
      </w:pPr>
      <w:r w:rsidRPr="00335C08">
        <w:rPr>
          <w:lang w:eastAsia="fr-BE"/>
        </w:rPr>
        <w:t>Dans cette affaire la Cour de cassation était saisie de la question de savoir si les juges d’appel avaient légalement pu décider qu’une allée menant au domicile des parties, dépourvue de toute clôture ou barrière et sans indication de son caractère privatif, n’était pas une voie publique.</w:t>
      </w:r>
      <w:r>
        <w:rPr>
          <w:lang w:eastAsia="fr-BE"/>
        </w:rPr>
        <w:t xml:space="preserve"> </w:t>
      </w:r>
      <w:r w:rsidRPr="00335C08">
        <w:rPr>
          <w:lang w:eastAsia="fr-BE"/>
        </w:rPr>
        <w:t>Exclure cette allée de la notion de voie publique, revenait à exclure toute condamnation possible, dans ladite cause, sur base de l’article 8.3 de l’arrêté royal du 1</w:t>
      </w:r>
      <w:r w:rsidRPr="00335C08">
        <w:rPr>
          <w:vertAlign w:val="superscript"/>
          <w:lang w:eastAsia="fr-BE"/>
        </w:rPr>
        <w:t>er</w:t>
      </w:r>
      <w:r w:rsidRPr="00335C08">
        <w:rPr>
          <w:lang w:eastAsia="fr-BE"/>
        </w:rPr>
        <w:t xml:space="preserve"> décembre 1975.</w:t>
      </w:r>
    </w:p>
    <w:p w14:paraId="03D74FEE" w14:textId="77777777" w:rsidR="00477F81" w:rsidRPr="00335C08" w:rsidRDefault="00477F81" w:rsidP="001D1A8B">
      <w:pPr>
        <w:jc w:val="both"/>
        <w:rPr>
          <w:b/>
          <w:lang w:eastAsia="fr-BE"/>
        </w:rPr>
      </w:pPr>
    </w:p>
    <w:p w14:paraId="76220E16" w14:textId="00F2B264" w:rsidR="00477F81" w:rsidRDefault="00477F81" w:rsidP="001D1A8B">
      <w:pPr>
        <w:jc w:val="both"/>
        <w:rPr>
          <w:lang w:eastAsia="fr-BE"/>
        </w:rPr>
      </w:pPr>
      <w:r w:rsidRPr="00335C08">
        <w:rPr>
          <w:lang w:eastAsia="fr-BE"/>
        </w:rPr>
        <w:t>La Cour de cassation commence par rappeler qu’une voie publique est une voie ouverte à la circulation, ou sur laquelle le public est généralement autorisé à pénétrer ou à tout le moins toléré et ce, indépendamment de sa désignation officielle, de son aspect</w:t>
      </w:r>
      <w:r>
        <w:rPr>
          <w:lang w:eastAsia="fr-BE"/>
        </w:rPr>
        <w:t>,</w:t>
      </w:r>
      <w:r w:rsidRPr="00335C08">
        <w:rPr>
          <w:lang w:eastAsia="fr-BE"/>
        </w:rPr>
        <w:t xml:space="preserve"> et de son propriétaire.</w:t>
      </w:r>
      <w:r>
        <w:rPr>
          <w:lang w:eastAsia="fr-BE"/>
        </w:rPr>
        <w:t xml:space="preserve"> </w:t>
      </w:r>
      <w:r w:rsidRPr="00335C08">
        <w:rPr>
          <w:lang w:eastAsia="fr-BE"/>
        </w:rPr>
        <w:t>Elle rappelle que le juge du fond apprécie souverainement, à la lumière des circonstances de la cause, ce qui doit être compris par la notion de voie publique.</w:t>
      </w:r>
      <w:r>
        <w:rPr>
          <w:lang w:eastAsia="fr-BE"/>
        </w:rPr>
        <w:t xml:space="preserve"> </w:t>
      </w:r>
      <w:r w:rsidRPr="00335C08">
        <w:rPr>
          <w:lang w:eastAsia="fr-BE"/>
        </w:rPr>
        <w:t>Elle confirme ensuite que</w:t>
      </w:r>
      <w:r>
        <w:rPr>
          <w:lang w:eastAsia="fr-BE"/>
        </w:rPr>
        <w:t xml:space="preserve">, </w:t>
      </w:r>
      <w:r w:rsidRPr="00335C08">
        <w:rPr>
          <w:lang w:eastAsia="fr-BE"/>
        </w:rPr>
        <w:t>dans l’affaire qui lui est soumise</w:t>
      </w:r>
      <w:r>
        <w:rPr>
          <w:lang w:eastAsia="fr-BE"/>
        </w:rPr>
        <w:t>,</w:t>
      </w:r>
      <w:r w:rsidRPr="00335C08">
        <w:rPr>
          <w:lang w:eastAsia="fr-BE"/>
        </w:rPr>
        <w:t xml:space="preserve"> les juges du fond ont légalement pu décider qu’une allée menant au domicile des parties, même si elle n’était pas pourvue de clôtures ou de barrières, n’était pas une voie publique et que</w:t>
      </w:r>
      <w:r>
        <w:rPr>
          <w:lang w:eastAsia="fr-BE"/>
        </w:rPr>
        <w:t xml:space="preserve">, </w:t>
      </w:r>
      <w:r w:rsidRPr="00335C08">
        <w:rPr>
          <w:lang w:eastAsia="fr-BE"/>
        </w:rPr>
        <w:t>partant</w:t>
      </w:r>
      <w:r>
        <w:rPr>
          <w:lang w:eastAsia="fr-BE"/>
        </w:rPr>
        <w:t>,</w:t>
      </w:r>
      <w:r w:rsidRPr="00335C08">
        <w:rPr>
          <w:lang w:eastAsia="fr-BE"/>
        </w:rPr>
        <w:t xml:space="preserve"> il ne pouvait y avoir d’infraction au sens de l’article 8.3. de l’arrêté royal du 1</w:t>
      </w:r>
      <w:r w:rsidRPr="00335C08">
        <w:rPr>
          <w:vertAlign w:val="superscript"/>
          <w:lang w:eastAsia="fr-BE"/>
        </w:rPr>
        <w:t>er</w:t>
      </w:r>
      <w:r w:rsidRPr="00335C08">
        <w:rPr>
          <w:lang w:eastAsia="fr-BE"/>
        </w:rPr>
        <w:t xml:space="preserve"> décembre 1975</w:t>
      </w:r>
      <w:r>
        <w:rPr>
          <w:lang w:eastAsia="fr-BE"/>
        </w:rPr>
        <w:t xml:space="preserve"> </w:t>
      </w:r>
      <w:r w:rsidRPr="00335C08">
        <w:rPr>
          <w:lang w:eastAsia="fr-BE"/>
        </w:rPr>
        <w:t>(Cass. 30 novembre 2021</w:t>
      </w:r>
      <w:r>
        <w:rPr>
          <w:lang w:eastAsia="fr-BE"/>
        </w:rPr>
        <w:t xml:space="preserve">, </w:t>
      </w:r>
      <w:r w:rsidRPr="00335C08">
        <w:rPr>
          <w:i/>
          <w:iCs/>
          <w:lang w:eastAsia="fr-BE"/>
        </w:rPr>
        <w:t xml:space="preserve">N.C., </w:t>
      </w:r>
      <w:r w:rsidRPr="00335C08">
        <w:rPr>
          <w:lang w:eastAsia="fr-BE"/>
        </w:rPr>
        <w:t>2022/3, p. 221).</w:t>
      </w:r>
    </w:p>
    <w:p w14:paraId="7DEFF48A" w14:textId="77777777" w:rsidR="00D12B7C" w:rsidRPr="00530BD2" w:rsidRDefault="00D12B7C" w:rsidP="001D1A8B">
      <w:pPr>
        <w:autoSpaceDE w:val="0"/>
        <w:autoSpaceDN w:val="0"/>
        <w:adjustRightInd w:val="0"/>
        <w:jc w:val="both"/>
        <w:rPr>
          <w:color w:val="000000"/>
          <w:lang w:val="fr-FR"/>
        </w:rPr>
      </w:pPr>
    </w:p>
    <w:p w14:paraId="798541B3" w14:textId="579B22B7" w:rsidR="00D12B7C" w:rsidRDefault="00D12B7C" w:rsidP="001D1A8B">
      <w:pPr>
        <w:autoSpaceDE w:val="0"/>
        <w:autoSpaceDN w:val="0"/>
        <w:adjustRightInd w:val="0"/>
        <w:jc w:val="both"/>
        <w:rPr>
          <w:b/>
          <w:bCs/>
          <w:lang w:val="fr-FR"/>
        </w:rPr>
      </w:pPr>
      <w:r w:rsidRPr="00530BD2">
        <w:rPr>
          <w:b/>
          <w:bCs/>
          <w:lang w:val="fr-FR"/>
        </w:rPr>
        <w:t>Art</w:t>
      </w:r>
      <w:r>
        <w:rPr>
          <w:b/>
          <w:bCs/>
          <w:lang w:val="fr-FR"/>
        </w:rPr>
        <w:t>.</w:t>
      </w:r>
      <w:r w:rsidRPr="00530BD2">
        <w:rPr>
          <w:b/>
          <w:bCs/>
          <w:lang w:val="fr-FR"/>
        </w:rPr>
        <w:t xml:space="preserve"> 10.2 d</w:t>
      </w:r>
      <w:r>
        <w:rPr>
          <w:b/>
          <w:bCs/>
          <w:lang w:val="fr-FR"/>
        </w:rPr>
        <w:t>e l’arrêté royal du 1</w:t>
      </w:r>
      <w:r w:rsidRPr="006E3C76">
        <w:rPr>
          <w:b/>
          <w:bCs/>
          <w:vertAlign w:val="superscript"/>
          <w:lang w:val="fr-FR"/>
        </w:rPr>
        <w:t>er</w:t>
      </w:r>
      <w:r>
        <w:rPr>
          <w:b/>
          <w:bCs/>
          <w:lang w:val="fr-FR"/>
        </w:rPr>
        <w:t xml:space="preserve"> décembre 1975</w:t>
      </w:r>
      <w:r w:rsidR="00C70645">
        <w:rPr>
          <w:b/>
          <w:bCs/>
          <w:lang w:val="fr-FR"/>
        </w:rPr>
        <w:t xml:space="preserve"> –</w:t>
      </w:r>
      <w:r w:rsidRPr="00530BD2">
        <w:rPr>
          <w:b/>
          <w:bCs/>
          <w:lang w:val="fr-FR"/>
        </w:rPr>
        <w:t xml:space="preserve"> Pas de déchéance du droit de conduire</w:t>
      </w:r>
    </w:p>
    <w:p w14:paraId="08366957" w14:textId="77777777" w:rsidR="00D12B7C" w:rsidRPr="00530BD2" w:rsidRDefault="00D12B7C" w:rsidP="001D1A8B">
      <w:pPr>
        <w:autoSpaceDE w:val="0"/>
        <w:autoSpaceDN w:val="0"/>
        <w:adjustRightInd w:val="0"/>
        <w:jc w:val="both"/>
        <w:rPr>
          <w:b/>
          <w:bCs/>
          <w:lang w:val="fr-FR"/>
        </w:rPr>
      </w:pPr>
    </w:p>
    <w:p w14:paraId="2A73E514" w14:textId="77777777" w:rsidR="00D12B7C" w:rsidRPr="00530BD2" w:rsidRDefault="00D12B7C" w:rsidP="001D1A8B">
      <w:pPr>
        <w:autoSpaceDE w:val="0"/>
        <w:autoSpaceDN w:val="0"/>
        <w:adjustRightInd w:val="0"/>
        <w:jc w:val="both"/>
        <w:rPr>
          <w:color w:val="000000"/>
          <w:lang w:val="fr-FR"/>
        </w:rPr>
      </w:pPr>
      <w:r w:rsidRPr="00530BD2">
        <w:rPr>
          <w:color w:val="000000"/>
          <w:lang w:val="fr-FR"/>
        </w:rPr>
        <w:t>L’article 10.2, alinéa 1</w:t>
      </w:r>
      <w:r w:rsidRPr="00530BD2">
        <w:rPr>
          <w:color w:val="000000"/>
          <w:vertAlign w:val="superscript"/>
          <w:lang w:val="fr-FR"/>
        </w:rPr>
        <w:t>er</w:t>
      </w:r>
      <w:r w:rsidRPr="00530BD2">
        <w:rPr>
          <w:color w:val="000000"/>
          <w:lang w:val="fr-FR"/>
        </w:rPr>
        <w:t xml:space="preserve"> </w:t>
      </w:r>
      <w:r>
        <w:rPr>
          <w:color w:val="000000"/>
          <w:lang w:val="fr-FR"/>
        </w:rPr>
        <w:t>de l’arrêté royal du 1</w:t>
      </w:r>
      <w:r w:rsidRPr="006E3C76">
        <w:rPr>
          <w:color w:val="000000"/>
          <w:vertAlign w:val="superscript"/>
          <w:lang w:val="fr-FR"/>
        </w:rPr>
        <w:t>er</w:t>
      </w:r>
      <w:r>
        <w:rPr>
          <w:color w:val="000000"/>
          <w:lang w:val="fr-FR"/>
        </w:rPr>
        <w:t xml:space="preserve"> décembre 1975 </w:t>
      </w:r>
      <w:r w:rsidRPr="00530BD2">
        <w:rPr>
          <w:color w:val="000000"/>
          <w:lang w:val="fr-FR"/>
        </w:rPr>
        <w:t xml:space="preserve">dispose comme suit : « Aucun conducteur ne peut gêner la marche normale des autres conducteurs en circulant sans raison </w:t>
      </w:r>
      <w:r w:rsidRPr="00530BD2">
        <w:rPr>
          <w:color w:val="000000"/>
          <w:lang w:val="fr-FR"/>
        </w:rPr>
        <w:lastRenderedPageBreak/>
        <w:t xml:space="preserve">valable à une vitesse anormalement réduite ou exerçant un freinage soudain non exigé par des raisons de sécurité ». Cette infraction n’étant pas reprise parmi celles auxquelles l’article 38, § 1er, 1°, 2°, 3°bis, 4° et 5°, et § 2, 5 et 6, de la loi </w:t>
      </w:r>
      <w:r>
        <w:rPr>
          <w:color w:val="000000"/>
          <w:lang w:val="fr-FR"/>
        </w:rPr>
        <w:t xml:space="preserve">du 16 mars 1968 </w:t>
      </w:r>
      <w:r w:rsidRPr="00530BD2">
        <w:rPr>
          <w:color w:val="000000"/>
          <w:lang w:val="fr-FR"/>
        </w:rPr>
        <w:t>relative à la police de la circulation routière se réfère, aucune déchéance du droit de conduire ne peut être infligée de ce chef, et ce conformément à l’article 29, §1</w:t>
      </w:r>
      <w:r w:rsidRPr="00530BD2">
        <w:rPr>
          <w:color w:val="000000"/>
          <w:vertAlign w:val="superscript"/>
          <w:lang w:val="fr-FR"/>
        </w:rPr>
        <w:t>er</w:t>
      </w:r>
      <w:r w:rsidRPr="00530BD2">
        <w:rPr>
          <w:color w:val="000000"/>
          <w:lang w:val="fr-FR"/>
        </w:rPr>
        <w:t xml:space="preserve"> de cette même loi (Cass. (2</w:t>
      </w:r>
      <w:r w:rsidRPr="00530BD2">
        <w:rPr>
          <w:color w:val="000000"/>
          <w:vertAlign w:val="superscript"/>
          <w:lang w:val="fr-FR"/>
        </w:rPr>
        <w:t>e</w:t>
      </w:r>
      <w:r w:rsidRPr="00530BD2">
        <w:rPr>
          <w:color w:val="000000"/>
          <w:lang w:val="fr-FR"/>
        </w:rPr>
        <w:t xml:space="preserve"> ch.), 9 novembre 2022, RG P.22.0748.F, disponible sur </w:t>
      </w:r>
      <w:proofErr w:type="spellStart"/>
      <w:r w:rsidRPr="00530BD2">
        <w:rPr>
          <w:color w:val="000000"/>
          <w:lang w:val="fr-FR"/>
        </w:rPr>
        <w:t>juportal</w:t>
      </w:r>
      <w:proofErr w:type="spellEnd"/>
      <w:r w:rsidRPr="00530BD2">
        <w:rPr>
          <w:color w:val="000000"/>
          <w:lang w:val="fr-FR"/>
        </w:rPr>
        <w:t xml:space="preserve">). </w:t>
      </w:r>
    </w:p>
    <w:p w14:paraId="31B15178" w14:textId="77777777" w:rsidR="00477F81" w:rsidRPr="00335C08" w:rsidRDefault="00477F81" w:rsidP="001D1A8B">
      <w:pPr>
        <w:jc w:val="both"/>
        <w:rPr>
          <w:b/>
          <w:bCs/>
          <w:lang w:eastAsia="fr-BE"/>
        </w:rPr>
      </w:pPr>
    </w:p>
    <w:p w14:paraId="3EF4C8A5" w14:textId="77777777" w:rsidR="00477F81" w:rsidRPr="00335C08" w:rsidRDefault="00477F81" w:rsidP="001D1A8B">
      <w:pPr>
        <w:jc w:val="both"/>
        <w:rPr>
          <w:b/>
          <w:lang w:val="fr-FR"/>
        </w:rPr>
      </w:pPr>
      <w:r w:rsidRPr="00335C08">
        <w:rPr>
          <w:b/>
          <w:lang w:val="fr-FR"/>
        </w:rPr>
        <w:t>Art. 34, §</w:t>
      </w:r>
      <w:r w:rsidRPr="007444D0">
        <w:rPr>
          <w:b/>
          <w:lang w:val="fr-FR"/>
        </w:rPr>
        <w:t xml:space="preserve"> </w:t>
      </w:r>
      <w:r w:rsidRPr="00335C08">
        <w:rPr>
          <w:b/>
          <w:lang w:val="fr-FR"/>
        </w:rPr>
        <w:t>4, 2°, de la loi du 15 juillet 2013 relative au transport de marchandises par la route – Absence de licence dans le véhicule – Dol spécial pas requis</w:t>
      </w:r>
    </w:p>
    <w:p w14:paraId="4FC224ED" w14:textId="77777777" w:rsidR="00477F81" w:rsidRPr="00335C08" w:rsidRDefault="00477F81" w:rsidP="001D1A8B">
      <w:pPr>
        <w:jc w:val="both"/>
        <w:rPr>
          <w:b/>
          <w:bCs/>
          <w:lang w:val="fr-FR"/>
        </w:rPr>
      </w:pPr>
    </w:p>
    <w:p w14:paraId="660F80C5" w14:textId="77777777" w:rsidR="00477F81" w:rsidRPr="00335C08" w:rsidRDefault="00477F81" w:rsidP="001D1A8B">
      <w:pPr>
        <w:jc w:val="both"/>
      </w:pPr>
      <w:r w:rsidRPr="00335C08">
        <w:t xml:space="preserve">Le tribunal correctionnel de Flandre-Occidentale, division Bruges, a eu l’occasion de rappeler que l’infraction résultant de la violation de l’art. 34, § 4, 2°, de la loi relative au transport de marchandises par la route, n’exige pas l’existence d’un dol spécial dans le chef du contrevenant. </w:t>
      </w:r>
    </w:p>
    <w:p w14:paraId="7BCBFC40" w14:textId="30786CD6" w:rsidR="00477F81" w:rsidRDefault="00477F81" w:rsidP="001D1A8B">
      <w:pPr>
        <w:jc w:val="both"/>
      </w:pPr>
      <w:r w:rsidRPr="00335C08">
        <w:t>En effet, dans la mesure où le simple fait de ne pas respecter les obligations reprises dans la disposition légale suffisent à entraver ou empêcher le déroulement normal du contrôle du respect de la règlementation, la prévention peut être déclarée établie sans qu’il ne soit requis que le contrevenant ait eu la volonté et l’intention d’entraver ou d’empêcher le contrôle de la règlementation</w:t>
      </w:r>
      <w:r>
        <w:t xml:space="preserve"> </w:t>
      </w:r>
      <w:r w:rsidRPr="00335C08">
        <w:t xml:space="preserve">(Corr. Flandre Occidentale, div. Bruges, 13 novembre 2020, </w:t>
      </w:r>
      <w:r w:rsidRPr="00335C08">
        <w:rPr>
          <w:i/>
          <w:iCs/>
        </w:rPr>
        <w:t>J.J.POL.-T.POL</w:t>
      </w:r>
      <w:r>
        <w:rPr>
          <w:i/>
          <w:iCs/>
        </w:rPr>
        <w:t>.</w:t>
      </w:r>
      <w:r w:rsidRPr="00335C08">
        <w:rPr>
          <w:i/>
          <w:iCs/>
        </w:rPr>
        <w:t xml:space="preserve">, </w:t>
      </w:r>
      <w:r w:rsidRPr="00335C08">
        <w:t>2022/4, p. 188).</w:t>
      </w:r>
    </w:p>
    <w:p w14:paraId="16F40BEF" w14:textId="2B7AA086" w:rsidR="00C6526A" w:rsidRDefault="00C6526A" w:rsidP="001D1A8B">
      <w:pPr>
        <w:jc w:val="both"/>
      </w:pPr>
    </w:p>
    <w:p w14:paraId="62ADCEB0" w14:textId="77777777" w:rsidR="00C6526A" w:rsidRPr="00530BD2" w:rsidRDefault="00C6526A" w:rsidP="001D1A8B">
      <w:pPr>
        <w:jc w:val="both"/>
        <w:rPr>
          <w:b/>
          <w:bCs/>
          <w:color w:val="000000"/>
          <w:shd w:val="clear" w:color="auto" w:fill="FFFFFF"/>
          <w:lang w:val="fr-FR"/>
        </w:rPr>
      </w:pPr>
      <w:r w:rsidRPr="00530BD2">
        <w:rPr>
          <w:b/>
          <w:bCs/>
          <w:color w:val="000000"/>
          <w:shd w:val="clear" w:color="auto" w:fill="FFFFFF"/>
          <w:lang w:val="fr-FR"/>
        </w:rPr>
        <w:t>Art</w:t>
      </w:r>
      <w:r>
        <w:rPr>
          <w:b/>
          <w:bCs/>
          <w:color w:val="000000"/>
          <w:shd w:val="clear" w:color="auto" w:fill="FFFFFF"/>
          <w:lang w:val="fr-FR"/>
        </w:rPr>
        <w:t>.</w:t>
      </w:r>
      <w:r w:rsidRPr="00530BD2">
        <w:rPr>
          <w:b/>
          <w:bCs/>
          <w:color w:val="000000"/>
          <w:shd w:val="clear" w:color="auto" w:fill="FFFFFF"/>
          <w:lang w:val="fr-FR"/>
        </w:rPr>
        <w:t xml:space="preserve"> 187, § 4, du Code d’instruction criminelle – Opposition du prévenu – Mise </w:t>
      </w:r>
      <w:proofErr w:type="spellStart"/>
      <w:r w:rsidRPr="00530BD2">
        <w:rPr>
          <w:b/>
          <w:bCs/>
          <w:color w:val="000000"/>
          <w:shd w:val="clear" w:color="auto" w:fill="FFFFFF"/>
          <w:lang w:val="fr-FR"/>
        </w:rPr>
        <w:t>a</w:t>
      </w:r>
      <w:proofErr w:type="spellEnd"/>
      <w:r w:rsidRPr="00530BD2">
        <w:rPr>
          <w:b/>
          <w:bCs/>
          <w:color w:val="000000"/>
          <w:shd w:val="clear" w:color="auto" w:fill="FFFFFF"/>
          <w:lang w:val="fr-FR"/>
        </w:rPr>
        <w:t>̀ néant du jugement par défaut et limites du juge statuant à nouveau - Nouvelle partie civile – Montants réclamés supérieurs à ceux alloués par défaut – Même objet – Irrecevabilité́ de la nouvelle demande</w:t>
      </w:r>
    </w:p>
    <w:p w14:paraId="40DF232F" w14:textId="77777777" w:rsidR="00C6526A" w:rsidRPr="00530BD2" w:rsidRDefault="00C6526A" w:rsidP="001D1A8B">
      <w:pPr>
        <w:jc w:val="both"/>
        <w:rPr>
          <w:color w:val="000000"/>
          <w:shd w:val="clear" w:color="auto" w:fill="FFFFFF"/>
          <w:lang w:val="fr-FR"/>
        </w:rPr>
      </w:pPr>
    </w:p>
    <w:p w14:paraId="4B559578" w14:textId="77777777" w:rsidR="00C6526A" w:rsidRPr="00530BD2" w:rsidRDefault="00C6526A" w:rsidP="001D1A8B">
      <w:pPr>
        <w:jc w:val="both"/>
        <w:rPr>
          <w:color w:val="000000"/>
          <w:lang w:val="fr-FR"/>
        </w:rPr>
      </w:pPr>
      <w:r w:rsidRPr="00530BD2">
        <w:rPr>
          <w:color w:val="000000"/>
          <w:lang w:val="fr-FR"/>
        </w:rPr>
        <w:t xml:space="preserve">En vertu de l'article 187, § 4, du Code d'instruction criminelle, l'opposition déclarée recevable et avenue par le juge saisi du recours anéantit le jugement par défaut et attribue ensuite au juge le pouvoir de statuer à nouveau, dans les limites de l'opposition, sur ce qui fait l'objet de la décision entreprise. L'opposant ne peut être condamné à des peines plus lourdes que celles auxquelles il a été condamné par défaut, et sur le plan civil </w:t>
      </w:r>
      <w:r>
        <w:rPr>
          <w:color w:val="000000"/>
          <w:lang w:val="fr-FR"/>
        </w:rPr>
        <w:t xml:space="preserve">il </w:t>
      </w:r>
      <w:r w:rsidRPr="00530BD2">
        <w:rPr>
          <w:color w:val="000000"/>
          <w:lang w:val="fr-FR"/>
        </w:rPr>
        <w:t>ne peut être condamné à des dommages et intérêts supérieurs à ceux qui avaient été accordés par défaut.</w:t>
      </w:r>
    </w:p>
    <w:p w14:paraId="2D53FCCE" w14:textId="77777777" w:rsidR="00C6526A" w:rsidRPr="00530BD2" w:rsidRDefault="00C6526A" w:rsidP="001D1A8B">
      <w:pPr>
        <w:jc w:val="both"/>
        <w:rPr>
          <w:color w:val="000000"/>
          <w:lang w:val="fr-FR"/>
        </w:rPr>
      </w:pPr>
      <w:r w:rsidRPr="00530BD2">
        <w:rPr>
          <w:color w:val="000000"/>
          <w:lang w:val="fr-FR"/>
        </w:rPr>
        <w:t> </w:t>
      </w:r>
    </w:p>
    <w:p w14:paraId="0A162702" w14:textId="77777777" w:rsidR="00C6526A" w:rsidRPr="00530BD2" w:rsidRDefault="00C6526A" w:rsidP="001D1A8B">
      <w:pPr>
        <w:jc w:val="both"/>
        <w:rPr>
          <w:color w:val="000000"/>
          <w:lang w:val="fr-FR"/>
        </w:rPr>
      </w:pPr>
      <w:r w:rsidRPr="00530BD2">
        <w:rPr>
          <w:color w:val="000000"/>
          <w:lang w:val="fr-FR"/>
        </w:rPr>
        <w:t>La nouvelle constitution de partie civile ayant le même objet que dans le jugement par défaut mais émanant d'une autre partie et portant sur des montants supérieurs, est irrecevable (</w:t>
      </w:r>
      <w:r w:rsidRPr="00530BD2">
        <w:rPr>
          <w:color w:val="000000"/>
          <w:shd w:val="clear" w:color="auto" w:fill="FFFFFF"/>
          <w:lang w:val="fr-FR"/>
        </w:rPr>
        <w:t xml:space="preserve">Tribunal de police francophone de Bruxelles (25e ch. </w:t>
      </w:r>
      <w:proofErr w:type="spellStart"/>
      <w:r w:rsidRPr="00530BD2">
        <w:rPr>
          <w:color w:val="000000"/>
          <w:shd w:val="clear" w:color="auto" w:fill="FFFFFF"/>
          <w:lang w:val="fr-FR"/>
        </w:rPr>
        <w:t>pén</w:t>
      </w:r>
      <w:proofErr w:type="spellEnd"/>
      <w:r w:rsidRPr="00530BD2">
        <w:rPr>
          <w:color w:val="000000"/>
          <w:shd w:val="clear" w:color="auto" w:fill="FFFFFF"/>
          <w:lang w:val="fr-FR"/>
        </w:rPr>
        <w:t>.), 5 octobre 2022, 22B001442,</w:t>
      </w:r>
      <w:r w:rsidRPr="00530BD2">
        <w:rPr>
          <w:rStyle w:val="apple-converted-space"/>
          <w:color w:val="000000"/>
          <w:shd w:val="clear" w:color="auto" w:fill="FFFFFF"/>
          <w:lang w:val="fr-FR"/>
        </w:rPr>
        <w:t> </w:t>
      </w:r>
      <w:r w:rsidRPr="00530BD2">
        <w:rPr>
          <w:i/>
          <w:iCs/>
          <w:color w:val="000000"/>
          <w:lang w:val="fr-FR"/>
        </w:rPr>
        <w:t>C.R.A.</w:t>
      </w:r>
      <w:r w:rsidRPr="00530BD2">
        <w:rPr>
          <w:color w:val="000000"/>
          <w:shd w:val="clear" w:color="auto" w:fill="FFFFFF"/>
          <w:lang w:val="fr-FR"/>
        </w:rPr>
        <w:t>, 2022/6, p</w:t>
      </w:r>
      <w:r>
        <w:rPr>
          <w:color w:val="000000"/>
          <w:shd w:val="clear" w:color="auto" w:fill="FFFFFF"/>
          <w:lang w:val="fr-FR"/>
        </w:rPr>
        <w:t>p</w:t>
      </w:r>
      <w:r w:rsidRPr="00530BD2">
        <w:rPr>
          <w:color w:val="000000"/>
          <w:shd w:val="clear" w:color="auto" w:fill="FFFFFF"/>
          <w:lang w:val="fr-FR"/>
        </w:rPr>
        <w:t>. 16-19).</w:t>
      </w:r>
    </w:p>
    <w:p w14:paraId="1A6D0036" w14:textId="77777777" w:rsidR="00C6526A" w:rsidRPr="00C6526A" w:rsidRDefault="00C6526A" w:rsidP="001D1A8B">
      <w:pPr>
        <w:jc w:val="both"/>
        <w:rPr>
          <w:lang w:val="fr-FR"/>
        </w:rPr>
      </w:pPr>
    </w:p>
    <w:p w14:paraId="0B7AC6A4" w14:textId="77777777" w:rsidR="00D47FD8" w:rsidRPr="00335C08" w:rsidRDefault="00D47FD8" w:rsidP="001D1A8B">
      <w:pPr>
        <w:jc w:val="both"/>
        <w:rPr>
          <w:lang w:eastAsia="fr-BE"/>
        </w:rPr>
      </w:pPr>
    </w:p>
    <w:p w14:paraId="0F926E47" w14:textId="15C6E637" w:rsidR="00D47FD8" w:rsidRPr="00CE13AB" w:rsidRDefault="00D47FD8" w:rsidP="001D1A8B">
      <w:pPr>
        <w:autoSpaceDE w:val="0"/>
        <w:autoSpaceDN w:val="0"/>
        <w:adjustRightInd w:val="0"/>
        <w:spacing w:after="240"/>
        <w:jc w:val="both"/>
        <w:rPr>
          <w:i/>
          <w:iCs/>
          <w:color w:val="000000"/>
          <w:lang w:val="fr-FR"/>
        </w:rPr>
      </w:pPr>
      <w:r w:rsidRPr="00A96EE8">
        <w:rPr>
          <w:i/>
          <w:iCs/>
          <w:color w:val="000000"/>
          <w:lang w:val="fr-FR"/>
        </w:rPr>
        <w:t>SANCTIONS ADMINISTRATIVES</w:t>
      </w:r>
    </w:p>
    <w:p w14:paraId="7F9D5B5A" w14:textId="77777777" w:rsidR="00D47FD8" w:rsidRPr="00A96EE8" w:rsidRDefault="00D47FD8" w:rsidP="001D1A8B">
      <w:pPr>
        <w:jc w:val="both"/>
        <w:rPr>
          <w:b/>
          <w:bCs/>
        </w:rPr>
      </w:pPr>
      <w:r w:rsidRPr="00A96EE8">
        <w:rPr>
          <w:b/>
          <w:bCs/>
        </w:rPr>
        <w:t>Sanction administrative communale – Art. 3, 3° et 29, § 1</w:t>
      </w:r>
      <w:r w:rsidRPr="00A96EE8">
        <w:rPr>
          <w:b/>
          <w:bCs/>
          <w:vertAlign w:val="superscript"/>
        </w:rPr>
        <w:t>er</w:t>
      </w:r>
      <w:r w:rsidRPr="00A96EE8">
        <w:rPr>
          <w:b/>
          <w:bCs/>
        </w:rPr>
        <w:t>, al. 1</w:t>
      </w:r>
      <w:r w:rsidRPr="00A96EE8">
        <w:rPr>
          <w:b/>
          <w:bCs/>
          <w:vertAlign w:val="superscript"/>
        </w:rPr>
        <w:t>er</w:t>
      </w:r>
      <w:r w:rsidRPr="00A96EE8">
        <w:rPr>
          <w:b/>
          <w:bCs/>
        </w:rPr>
        <w:t>, de la loi relative aux sanctions administratives communales – Notification de la décision par pli simple</w:t>
      </w:r>
    </w:p>
    <w:p w14:paraId="52C6896D" w14:textId="77777777" w:rsidR="00D47FD8" w:rsidRPr="00A96EE8" w:rsidRDefault="00D47FD8" w:rsidP="001D1A8B">
      <w:pPr>
        <w:jc w:val="both"/>
      </w:pPr>
    </w:p>
    <w:p w14:paraId="2592ECA5" w14:textId="77777777" w:rsidR="00D47FD8" w:rsidRPr="00A96EE8" w:rsidRDefault="00D47FD8" w:rsidP="001D1A8B">
      <w:pPr>
        <w:jc w:val="both"/>
      </w:pPr>
      <w:r w:rsidRPr="00A96EE8">
        <w:t>Il résulte de l’ensemble des dispositions légales, et notamment de la référence faite par l’article 32 de la loi relative aux sanctions administratives communales à l’article 29, § 3 de cette même loi</w:t>
      </w:r>
      <w:r>
        <w:t>,</w:t>
      </w:r>
      <w:r w:rsidRPr="00A96EE8">
        <w:t xml:space="preserve"> que la procédure prévue à l’article 29 de la loi pour le fonctionnaire sanctionnateur s’applique à toutes les infractions routières prévues à l’article 3, 3°, de la loi. Il en résulte que l’agent sanctionnateur peut notifier au contrevenant, par lettre ordinaire, les données de fait et la sanction relatives à une infraction aux dispositions concernant les panneaux de signalisation </w:t>
      </w:r>
      <w:r w:rsidRPr="00A96EE8">
        <w:lastRenderedPageBreak/>
        <w:t>C3 et F103, constatée par des appareils automatiques (Cass. (1</w:t>
      </w:r>
      <w:r w:rsidRPr="00A96EE8">
        <w:rPr>
          <w:vertAlign w:val="superscript"/>
        </w:rPr>
        <w:t>e</w:t>
      </w:r>
      <w:r w:rsidRPr="00A96EE8">
        <w:t xml:space="preserve"> ch.), 2 juin 2022, </w:t>
      </w:r>
      <w:proofErr w:type="spellStart"/>
      <w:r w:rsidRPr="00A96EE8">
        <w:rPr>
          <w:i/>
          <w:iCs/>
        </w:rPr>
        <w:t>J.J.Pol</w:t>
      </w:r>
      <w:proofErr w:type="spellEnd"/>
      <w:r w:rsidRPr="00A96EE8">
        <w:rPr>
          <w:i/>
          <w:iCs/>
        </w:rPr>
        <w:t>.</w:t>
      </w:r>
      <w:r w:rsidRPr="00A96EE8">
        <w:t xml:space="preserve">, 2022/4, p. 196 ; </w:t>
      </w:r>
      <w:r w:rsidRPr="00A96EE8">
        <w:rPr>
          <w:i/>
          <w:iCs/>
          <w:color w:val="000000"/>
          <w:lang w:eastAsia="fr-BE"/>
        </w:rPr>
        <w:t>R.W.E.</w:t>
      </w:r>
      <w:r w:rsidRPr="00A96EE8">
        <w:rPr>
          <w:color w:val="000000"/>
          <w:lang w:eastAsia="fr-BE"/>
        </w:rPr>
        <w:t>, 2022-23, n° 29, p. 1144).</w:t>
      </w:r>
    </w:p>
    <w:p w14:paraId="17A2242F" w14:textId="77777777" w:rsidR="00D47FD8" w:rsidRPr="00A96EE8" w:rsidRDefault="00D47FD8" w:rsidP="001D1A8B">
      <w:pPr>
        <w:jc w:val="both"/>
        <w:rPr>
          <w:b/>
          <w:bCs/>
          <w:color w:val="000000"/>
        </w:rPr>
      </w:pPr>
    </w:p>
    <w:p w14:paraId="4252ECB3" w14:textId="77777777" w:rsidR="00D47FD8" w:rsidRPr="00A96EE8" w:rsidRDefault="00D47FD8" w:rsidP="001D1A8B">
      <w:pPr>
        <w:jc w:val="both"/>
        <w:rPr>
          <w:b/>
          <w:bCs/>
          <w:color w:val="000000"/>
          <w:shd w:val="clear" w:color="auto" w:fill="FFFFFF"/>
        </w:rPr>
      </w:pPr>
      <w:r w:rsidRPr="00A96EE8">
        <w:rPr>
          <w:b/>
          <w:bCs/>
          <w:color w:val="000000"/>
          <w:shd w:val="clear" w:color="auto" w:fill="FFFFFF"/>
        </w:rPr>
        <w:t>Infraction – Amende administrative – Recours juridictionnel – Confirmation de l’amende – Pas de condamnation pénale – Motivation – Contrôle de pleine juridiction – Contrôle de proportionnalité – Pas de contrôle en opportunité – Fonctionnaire sanctionnateur – Partie au procès – Art. 6 CEDH – Non-violation</w:t>
      </w:r>
    </w:p>
    <w:p w14:paraId="024F6FC4" w14:textId="77777777" w:rsidR="00D47FD8" w:rsidRPr="00A96EE8" w:rsidRDefault="00D47FD8" w:rsidP="001D1A8B">
      <w:pPr>
        <w:jc w:val="both"/>
        <w:rPr>
          <w:color w:val="000000"/>
          <w:shd w:val="clear" w:color="auto" w:fill="FFFFFF"/>
        </w:rPr>
      </w:pPr>
    </w:p>
    <w:p w14:paraId="3C7F526C" w14:textId="77777777" w:rsidR="00D47FD8" w:rsidRPr="00A96EE8" w:rsidRDefault="00D47FD8" w:rsidP="001D1A8B">
      <w:pPr>
        <w:jc w:val="both"/>
        <w:rPr>
          <w:color w:val="000000"/>
          <w:shd w:val="clear" w:color="auto" w:fill="FFFFFF"/>
        </w:rPr>
      </w:pPr>
      <w:r w:rsidRPr="00A96EE8">
        <w:rPr>
          <w:color w:val="000000"/>
          <w:shd w:val="clear" w:color="auto" w:fill="FFFFFF"/>
        </w:rPr>
        <w:t>La Cour de Cassation a précisé, dans son arrêt du 19 octobre 2022, la nature de la sanction prononcée par le tribunal correctionnel qui statue sur recours contre une sanction administrative, ainsi que l’étendue du recours de pleine juridiction.</w:t>
      </w:r>
    </w:p>
    <w:p w14:paraId="7B89D71E" w14:textId="77777777" w:rsidR="00D47FD8" w:rsidRPr="00A96EE8" w:rsidRDefault="00D47FD8" w:rsidP="001D1A8B">
      <w:pPr>
        <w:jc w:val="both"/>
        <w:rPr>
          <w:color w:val="000000"/>
          <w:shd w:val="clear" w:color="auto" w:fill="FFFFFF"/>
        </w:rPr>
      </w:pPr>
    </w:p>
    <w:p w14:paraId="720EA197" w14:textId="77777777" w:rsidR="00D47FD8" w:rsidRPr="00A96EE8" w:rsidRDefault="00D47FD8" w:rsidP="001D1A8B">
      <w:pPr>
        <w:jc w:val="both"/>
        <w:rPr>
          <w:color w:val="000000"/>
          <w:shd w:val="clear" w:color="auto" w:fill="FFFFFF"/>
        </w:rPr>
      </w:pPr>
      <w:r w:rsidRPr="00A96EE8">
        <w:rPr>
          <w:color w:val="000000"/>
          <w:shd w:val="clear" w:color="auto" w:fill="FFFFFF"/>
        </w:rPr>
        <w:t xml:space="preserve">Elle indique que le tribunal correctionnel qui rejette le recours d’un contrevenant et confirme l’amende administrative qui lui a été infligée en lieu et place de la sanction pénale, ne prononce pas une condamnation pénale, de sorte que ladite amende conserve sa nature originaire, sans constituer une peine au sens du droit interne. Il s’ensuit que le juge n’est tenu ni de dire établi chacun des éléments constitutifs de l’infraction qui a donné lieu à l’amende administrative, ni d’énoncer dans le jugement les dispositions légales érigeant le fait en infraction et établissant la sanction, ni de motiver le choix et le degré de celle-ci. La juridiction correctionnelle saisie dans le cadre du recours contre une amende administrative jouit d’un contrôle de pleine juridiction. Le juge est donc tenu de vérifier si la décision administrative est justifiée en fait et en droit, et si elle respecte toutes les dispositions législatives et principes généraux qui s’imposent à l’administration, parmi lesquels le principe de proportionnalité. Ce contrôle de pleine juridiction n’autorise cependant pas le juge à remettre en cause l’opportunité d’appliquer une amende administratives pour les </w:t>
      </w:r>
      <w:r>
        <w:rPr>
          <w:color w:val="000000"/>
          <w:shd w:val="clear" w:color="auto" w:fill="FFFFFF"/>
        </w:rPr>
        <w:t xml:space="preserve">faits </w:t>
      </w:r>
      <w:r w:rsidRPr="00A96EE8">
        <w:rPr>
          <w:color w:val="000000"/>
          <w:shd w:val="clear" w:color="auto" w:fill="FFFFFF"/>
        </w:rPr>
        <w:t>qui restent établis devant lui.</w:t>
      </w:r>
    </w:p>
    <w:p w14:paraId="365A1C43" w14:textId="77777777" w:rsidR="00D47FD8" w:rsidRPr="00A96EE8" w:rsidRDefault="00D47FD8" w:rsidP="001D1A8B">
      <w:pPr>
        <w:jc w:val="both"/>
        <w:rPr>
          <w:color w:val="000000"/>
          <w:shd w:val="clear" w:color="auto" w:fill="FFFFFF"/>
        </w:rPr>
      </w:pPr>
    </w:p>
    <w:p w14:paraId="39FAFA4D" w14:textId="77777777" w:rsidR="00D47FD8" w:rsidRPr="00A96EE8" w:rsidRDefault="00D47FD8" w:rsidP="001D1A8B">
      <w:pPr>
        <w:jc w:val="both"/>
        <w:rPr>
          <w:color w:val="000000"/>
          <w:shd w:val="clear" w:color="auto" w:fill="FFFFFF"/>
        </w:rPr>
      </w:pPr>
      <w:r w:rsidRPr="00A96EE8">
        <w:rPr>
          <w:color w:val="000000"/>
          <w:shd w:val="clear" w:color="auto" w:fill="FFFFFF"/>
        </w:rPr>
        <w:t xml:space="preserve">À l’appui de son pourvoi, le demandeur en cassation invoquait enfin la violation du droit à un procès équitable (art. 6 CEDH), dès lors que le fonctionnaire sanctionnateur, présent devant la juridiction de fond, exerce à la fois une fonction répressive et une fonction juridictionnelle. Il indique également qu’aucune disposition du </w:t>
      </w:r>
      <w:r>
        <w:rPr>
          <w:color w:val="000000"/>
          <w:shd w:val="clear" w:color="auto" w:fill="FFFFFF"/>
        </w:rPr>
        <w:t>Code d’Instruction criminelle</w:t>
      </w:r>
      <w:r w:rsidRPr="00A96EE8">
        <w:rPr>
          <w:color w:val="000000"/>
          <w:shd w:val="clear" w:color="auto" w:fill="FFFFFF"/>
        </w:rPr>
        <w:t xml:space="preserve"> ne prévoit sa présence en tant que partie au procès. La Cour rappelle que le recours a pour finalité de permettre un débat contradictoire, ce qui suppose la présence de l’autorité qui a infligé la sanction administrative. Dans ce cadre, le fonctionnaire sanctionnateur est la partie poursuivante, dès lors qu’il exerce, au nom de l’administration, les poursuites par voie d’amende administrative et défend son point de vue (Cass. (2</w:t>
      </w:r>
      <w:r w:rsidRPr="00A96EE8">
        <w:rPr>
          <w:color w:val="000000"/>
          <w:shd w:val="clear" w:color="auto" w:fill="FFFFFF"/>
          <w:vertAlign w:val="superscript"/>
        </w:rPr>
        <w:t>e</w:t>
      </w:r>
      <w:r w:rsidRPr="00A96EE8">
        <w:rPr>
          <w:color w:val="000000"/>
          <w:shd w:val="clear" w:color="auto" w:fill="FFFFFF"/>
        </w:rPr>
        <w:t xml:space="preserve"> ch.), 19 octobre 2022,</w:t>
      </w:r>
      <w:r w:rsidRPr="00A96EE8">
        <w:rPr>
          <w:rStyle w:val="apple-converted-space"/>
          <w:color w:val="000000"/>
          <w:shd w:val="clear" w:color="auto" w:fill="FFFFFF"/>
        </w:rPr>
        <w:t> </w:t>
      </w:r>
      <w:r w:rsidRPr="00A96EE8">
        <w:rPr>
          <w:i/>
          <w:iCs/>
          <w:color w:val="000000"/>
        </w:rPr>
        <w:t>J.L.M.B.</w:t>
      </w:r>
      <w:r w:rsidRPr="00A96EE8">
        <w:rPr>
          <w:color w:val="000000"/>
          <w:shd w:val="clear" w:color="auto" w:fill="FFFFFF"/>
        </w:rPr>
        <w:t>, 2023/7, p. 282).</w:t>
      </w:r>
    </w:p>
    <w:p w14:paraId="6C612C25" w14:textId="77777777" w:rsidR="00D47FD8" w:rsidRPr="00A96EE8" w:rsidRDefault="00D47FD8" w:rsidP="001D1A8B">
      <w:pPr>
        <w:tabs>
          <w:tab w:val="left" w:pos="3902"/>
        </w:tabs>
        <w:jc w:val="both"/>
      </w:pPr>
    </w:p>
    <w:p w14:paraId="0BC1FDEB" w14:textId="77777777" w:rsidR="00772F47" w:rsidRPr="00A144CD" w:rsidRDefault="00772F47" w:rsidP="001D1A8B">
      <w:pPr>
        <w:pStyle w:val="jlmbnoclass"/>
        <w:spacing w:before="0" w:beforeAutospacing="0" w:after="0" w:afterAutospacing="0"/>
        <w:jc w:val="both"/>
        <w:rPr>
          <w:rFonts w:asciiTheme="majorBidi" w:hAnsiTheme="majorBidi" w:cstheme="majorBidi"/>
          <w:color w:val="000000"/>
        </w:rPr>
      </w:pPr>
    </w:p>
    <w:p w14:paraId="0167471A" w14:textId="2C3F854B" w:rsidR="005D701F" w:rsidRPr="00D47FD8" w:rsidRDefault="005D701F" w:rsidP="001D1A8B">
      <w:pPr>
        <w:jc w:val="both"/>
        <w:rPr>
          <w:rFonts w:asciiTheme="majorBidi" w:hAnsiTheme="majorBidi" w:cstheme="majorBidi"/>
          <w:i/>
          <w:iCs/>
        </w:rPr>
      </w:pPr>
      <w:r w:rsidRPr="00D47FD8">
        <w:rPr>
          <w:rFonts w:asciiTheme="majorBidi" w:hAnsiTheme="majorBidi" w:cstheme="majorBidi"/>
          <w:i/>
          <w:iCs/>
        </w:rPr>
        <w:t>STUPEFIANTS</w:t>
      </w:r>
    </w:p>
    <w:p w14:paraId="1BE96757" w14:textId="77777777" w:rsidR="004E2F5E" w:rsidRPr="00772F47" w:rsidRDefault="004E2F5E" w:rsidP="001D1A8B">
      <w:pPr>
        <w:jc w:val="both"/>
        <w:rPr>
          <w:rFonts w:asciiTheme="majorBidi" w:hAnsiTheme="majorBidi" w:cstheme="majorBidi"/>
          <w:b/>
          <w:bCs/>
          <w:i/>
          <w:iCs/>
        </w:rPr>
      </w:pPr>
    </w:p>
    <w:p w14:paraId="60827FB9" w14:textId="3C4A790E" w:rsidR="005D701F" w:rsidRDefault="00B00E29" w:rsidP="001D1A8B">
      <w:pPr>
        <w:jc w:val="both"/>
        <w:outlineLvl w:val="2"/>
        <w:rPr>
          <w:rFonts w:asciiTheme="majorBidi" w:hAnsiTheme="majorBidi" w:cstheme="majorBidi"/>
          <w:b/>
          <w:bCs/>
          <w:color w:val="000000" w:themeColor="text1"/>
        </w:rPr>
      </w:pPr>
      <w:r>
        <w:rPr>
          <w:rFonts w:asciiTheme="majorBidi" w:hAnsiTheme="majorBidi" w:cstheme="majorBidi"/>
          <w:b/>
          <w:bCs/>
          <w:color w:val="000000" w:themeColor="text1"/>
        </w:rPr>
        <w:t xml:space="preserve">Stupéfiants </w:t>
      </w:r>
      <w:r w:rsidR="00505FF0">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00916464">
        <w:rPr>
          <w:rFonts w:asciiTheme="majorBidi" w:hAnsiTheme="majorBidi" w:cstheme="majorBidi"/>
          <w:b/>
          <w:bCs/>
          <w:color w:val="000000" w:themeColor="text1"/>
        </w:rPr>
        <w:t xml:space="preserve">Cour constitutionnelle </w:t>
      </w:r>
      <w:r w:rsidR="00505FF0">
        <w:rPr>
          <w:rFonts w:asciiTheme="majorBidi" w:hAnsiTheme="majorBidi" w:cstheme="majorBidi"/>
          <w:b/>
          <w:bCs/>
          <w:color w:val="000000" w:themeColor="text1"/>
        </w:rPr>
        <w:t>–</w:t>
      </w:r>
      <w:r w:rsidR="00916464">
        <w:rPr>
          <w:rFonts w:asciiTheme="majorBidi" w:hAnsiTheme="majorBidi" w:cstheme="majorBidi"/>
          <w:b/>
          <w:bCs/>
          <w:color w:val="000000" w:themeColor="text1"/>
        </w:rPr>
        <w:t xml:space="preserve"> </w:t>
      </w:r>
      <w:r w:rsidR="005D701F">
        <w:rPr>
          <w:rFonts w:asciiTheme="majorBidi" w:hAnsiTheme="majorBidi" w:cstheme="majorBidi"/>
          <w:b/>
          <w:bCs/>
          <w:color w:val="000000" w:themeColor="text1"/>
        </w:rPr>
        <w:t xml:space="preserve">Ordonnance communautaire – Salle de consommation à moindre risque – Absence d’intérêt des riverains </w:t>
      </w:r>
      <w:r w:rsidR="00505FF0">
        <w:rPr>
          <w:rFonts w:asciiTheme="majorBidi" w:hAnsiTheme="majorBidi" w:cstheme="majorBidi"/>
          <w:b/>
          <w:bCs/>
          <w:color w:val="000000" w:themeColor="text1"/>
        </w:rPr>
        <w:t>–</w:t>
      </w:r>
      <w:r w:rsidR="005D701F">
        <w:rPr>
          <w:rFonts w:asciiTheme="majorBidi" w:hAnsiTheme="majorBidi" w:cstheme="majorBidi"/>
          <w:b/>
          <w:bCs/>
          <w:color w:val="000000" w:themeColor="text1"/>
        </w:rPr>
        <w:t xml:space="preserve"> Recours hypothétique et irrecevable</w:t>
      </w:r>
    </w:p>
    <w:p w14:paraId="4F46DD45" w14:textId="77777777" w:rsidR="005D701F" w:rsidRPr="005D701F" w:rsidRDefault="005D701F" w:rsidP="001D1A8B">
      <w:pPr>
        <w:jc w:val="both"/>
        <w:outlineLvl w:val="2"/>
        <w:rPr>
          <w:rFonts w:asciiTheme="majorBidi" w:hAnsiTheme="majorBidi" w:cstheme="majorBidi"/>
          <w:b/>
          <w:bCs/>
          <w:color w:val="000000" w:themeColor="text1"/>
        </w:rPr>
      </w:pPr>
    </w:p>
    <w:p w14:paraId="721F504A" w14:textId="0C7B8A06" w:rsidR="005D701F" w:rsidRPr="0096093F" w:rsidRDefault="005D701F" w:rsidP="001D1A8B">
      <w:pPr>
        <w:jc w:val="both"/>
        <w:rPr>
          <w:rFonts w:asciiTheme="majorBidi" w:hAnsiTheme="majorBidi" w:cstheme="majorBidi"/>
          <w:color w:val="000000"/>
        </w:rPr>
      </w:pPr>
      <w:r w:rsidRPr="0096093F">
        <w:rPr>
          <w:rFonts w:asciiTheme="majorBidi" w:hAnsiTheme="majorBidi" w:cstheme="majorBidi"/>
          <w:color w:val="000000"/>
        </w:rPr>
        <w:t>La Cour rejette le recours en annulation</w:t>
      </w:r>
      <w:r>
        <w:rPr>
          <w:rFonts w:asciiTheme="majorBidi" w:hAnsiTheme="majorBidi" w:cstheme="majorBidi"/>
          <w:color w:val="000000"/>
        </w:rPr>
        <w:t>,</w:t>
      </w:r>
      <w:r w:rsidRPr="0096093F">
        <w:rPr>
          <w:rFonts w:asciiTheme="majorBidi" w:hAnsiTheme="majorBidi" w:cstheme="majorBidi"/>
          <w:color w:val="000000"/>
        </w:rPr>
        <w:t xml:space="preserve"> </w:t>
      </w:r>
      <w:r>
        <w:rPr>
          <w:rFonts w:asciiTheme="majorBidi" w:hAnsiTheme="majorBidi" w:cstheme="majorBidi"/>
          <w:color w:val="000000"/>
        </w:rPr>
        <w:t xml:space="preserve">intenté par des riverains, à l’encontre </w:t>
      </w:r>
      <w:r w:rsidRPr="0096093F">
        <w:rPr>
          <w:rFonts w:asciiTheme="majorBidi" w:hAnsiTheme="majorBidi" w:cstheme="majorBidi"/>
          <w:color w:val="000000"/>
        </w:rPr>
        <w:t>de l’ordonnance de la Commission communautaire commune du 22 juillet 2021 « relative à l’agrément et au subventionnement des services actifs en matière de réduction des risques liés aux usages de drogues »</w:t>
      </w:r>
      <w:r>
        <w:rPr>
          <w:rFonts w:asciiTheme="majorBidi" w:hAnsiTheme="majorBidi" w:cstheme="majorBidi"/>
          <w:color w:val="000000"/>
        </w:rPr>
        <w:t>, autorisant, notamment, la mise en place de salles de consommation de drogues à moindre risque sur le territoire de la Région de Bruxelles-Capitale</w:t>
      </w:r>
      <w:r w:rsidRPr="0096093F">
        <w:rPr>
          <w:rFonts w:asciiTheme="majorBidi" w:hAnsiTheme="majorBidi" w:cstheme="majorBidi"/>
          <w:color w:val="000000"/>
        </w:rPr>
        <w:t>.</w:t>
      </w:r>
    </w:p>
    <w:p w14:paraId="3658084B" w14:textId="7309FBE9" w:rsidR="005D701F" w:rsidRPr="0096093F" w:rsidRDefault="005D701F" w:rsidP="001D1A8B">
      <w:pPr>
        <w:jc w:val="both"/>
        <w:rPr>
          <w:rFonts w:asciiTheme="majorBidi" w:hAnsiTheme="majorBidi" w:cstheme="majorBidi"/>
          <w:color w:val="000000"/>
        </w:rPr>
      </w:pPr>
      <w:r>
        <w:rPr>
          <w:rFonts w:asciiTheme="majorBidi" w:hAnsiTheme="majorBidi" w:cstheme="majorBidi"/>
          <w:color w:val="000000"/>
        </w:rPr>
        <w:lastRenderedPageBreak/>
        <w:t>La Cour déclare le recours irrecevable étant donné que l</w:t>
      </w:r>
      <w:r w:rsidRPr="0096093F">
        <w:rPr>
          <w:rFonts w:asciiTheme="majorBidi" w:hAnsiTheme="majorBidi" w:cstheme="majorBidi"/>
          <w:color w:val="000000"/>
        </w:rPr>
        <w:t xml:space="preserve">’intérêt des parties requérantes à l’annulation des dispositions attaquées est trop hypothétique et trop indirect pour pouvoir être pris en considération. </w:t>
      </w:r>
      <w:r>
        <w:rPr>
          <w:rFonts w:asciiTheme="majorBidi" w:hAnsiTheme="majorBidi" w:cstheme="majorBidi"/>
          <w:color w:val="000000"/>
        </w:rPr>
        <w:t>A défaut, au moment du recours, de l’</w:t>
      </w:r>
      <w:r w:rsidRPr="0096093F">
        <w:rPr>
          <w:rFonts w:asciiTheme="majorBidi" w:hAnsiTheme="majorBidi" w:cstheme="majorBidi"/>
          <w:color w:val="000000"/>
        </w:rPr>
        <w:t>implantation effective d’une salle de consommation</w:t>
      </w:r>
      <w:r>
        <w:rPr>
          <w:rFonts w:asciiTheme="majorBidi" w:hAnsiTheme="majorBidi" w:cstheme="majorBidi"/>
          <w:color w:val="000000"/>
        </w:rPr>
        <w:t>, l’intérêt des requérants</w:t>
      </w:r>
      <w:r w:rsidRPr="0096093F">
        <w:rPr>
          <w:rFonts w:asciiTheme="majorBidi" w:hAnsiTheme="majorBidi" w:cstheme="majorBidi"/>
          <w:color w:val="000000"/>
        </w:rPr>
        <w:t xml:space="preserve"> </w:t>
      </w:r>
      <w:r>
        <w:rPr>
          <w:rFonts w:asciiTheme="majorBidi" w:hAnsiTheme="majorBidi" w:cstheme="majorBidi"/>
          <w:color w:val="000000"/>
        </w:rPr>
        <w:t xml:space="preserve">est </w:t>
      </w:r>
      <w:r w:rsidRPr="0096093F">
        <w:rPr>
          <w:rFonts w:asciiTheme="majorBidi" w:hAnsiTheme="majorBidi" w:cstheme="majorBidi"/>
          <w:color w:val="000000"/>
        </w:rPr>
        <w:t>hypothétique</w:t>
      </w:r>
      <w:r>
        <w:rPr>
          <w:rFonts w:asciiTheme="majorBidi" w:hAnsiTheme="majorBidi" w:cstheme="majorBidi"/>
          <w:color w:val="000000"/>
        </w:rPr>
        <w:t> :</w:t>
      </w:r>
      <w:r w:rsidRPr="0096093F">
        <w:rPr>
          <w:rFonts w:asciiTheme="majorBidi" w:hAnsiTheme="majorBidi" w:cstheme="majorBidi"/>
          <w:color w:val="000000"/>
        </w:rPr>
        <w:t xml:space="preserve"> </w:t>
      </w:r>
      <w:r>
        <w:rPr>
          <w:rFonts w:asciiTheme="majorBidi" w:hAnsiTheme="majorBidi" w:cstheme="majorBidi"/>
          <w:color w:val="000000"/>
        </w:rPr>
        <w:t>« </w:t>
      </w:r>
      <w:r w:rsidRPr="0096093F">
        <w:rPr>
          <w:rFonts w:asciiTheme="majorBidi" w:hAnsiTheme="majorBidi" w:cstheme="majorBidi"/>
          <w:color w:val="000000"/>
        </w:rPr>
        <w:t>La qualité de riverain potentiel d’une salle de consommation à moindre risque ne suffit pas pour justifier de l’intérêt requis</w:t>
      </w:r>
      <w:r>
        <w:rPr>
          <w:rFonts w:asciiTheme="majorBidi" w:hAnsiTheme="majorBidi" w:cstheme="majorBidi"/>
          <w:color w:val="000000"/>
        </w:rPr>
        <w:t> »</w:t>
      </w:r>
      <w:r w:rsidRPr="0096093F">
        <w:rPr>
          <w:rFonts w:asciiTheme="majorBidi" w:hAnsiTheme="majorBidi" w:cstheme="majorBidi"/>
          <w:color w:val="000000"/>
        </w:rPr>
        <w:t>.</w:t>
      </w:r>
    </w:p>
    <w:p w14:paraId="0613965F" w14:textId="0BAC9527" w:rsidR="005D701F" w:rsidRDefault="005D701F" w:rsidP="001D1A8B">
      <w:pPr>
        <w:jc w:val="both"/>
        <w:outlineLvl w:val="2"/>
        <w:rPr>
          <w:rFonts w:asciiTheme="majorBidi" w:hAnsiTheme="majorBidi" w:cstheme="majorBidi"/>
          <w:color w:val="000000" w:themeColor="text1"/>
        </w:rPr>
      </w:pPr>
      <w:r w:rsidRPr="0096093F">
        <w:rPr>
          <w:rFonts w:asciiTheme="majorBidi" w:hAnsiTheme="majorBidi" w:cstheme="majorBidi"/>
          <w:color w:val="000000"/>
        </w:rPr>
        <w:t xml:space="preserve">La création d’une salle de consommation à moindre risque suppose </w:t>
      </w:r>
      <w:r>
        <w:rPr>
          <w:rFonts w:asciiTheme="majorBidi" w:hAnsiTheme="majorBidi" w:cstheme="majorBidi"/>
          <w:color w:val="000000"/>
        </w:rPr>
        <w:t xml:space="preserve">par ailleurs </w:t>
      </w:r>
      <w:r w:rsidRPr="0096093F">
        <w:rPr>
          <w:rFonts w:asciiTheme="majorBidi" w:hAnsiTheme="majorBidi" w:cstheme="majorBidi"/>
          <w:color w:val="000000"/>
        </w:rPr>
        <w:t xml:space="preserve">l’adoption de mesures d’exécution de l’ordonnance </w:t>
      </w:r>
      <w:r>
        <w:rPr>
          <w:rFonts w:asciiTheme="majorBidi" w:hAnsiTheme="majorBidi" w:cstheme="majorBidi"/>
          <w:color w:val="000000"/>
        </w:rPr>
        <w:t xml:space="preserve">mentionnée et </w:t>
      </w:r>
      <w:r w:rsidRPr="0096093F">
        <w:rPr>
          <w:rFonts w:asciiTheme="majorBidi" w:hAnsiTheme="majorBidi" w:cstheme="majorBidi"/>
          <w:color w:val="000000"/>
        </w:rPr>
        <w:t>il n’appartient pas à la Cour de préjuger de la manière dont les dispositions attaquées seront exécutées par l’autorité administrative compétente</w:t>
      </w:r>
      <w:r w:rsidRPr="005D701F">
        <w:rPr>
          <w:rFonts w:asciiTheme="majorBidi" w:hAnsiTheme="majorBidi" w:cstheme="majorBidi"/>
          <w:color w:val="000000"/>
        </w:rPr>
        <w:t xml:space="preserve"> (</w:t>
      </w:r>
      <w:hyperlink r:id="rId17" w:tgtFrame="_self" w:history="1">
        <w:r w:rsidRPr="005D701F">
          <w:rPr>
            <w:rFonts w:asciiTheme="majorBidi" w:hAnsiTheme="majorBidi" w:cstheme="majorBidi"/>
            <w:color w:val="000000" w:themeColor="text1"/>
          </w:rPr>
          <w:t xml:space="preserve">C.C. n° 15/2023, 2 février 2023). </w:t>
        </w:r>
      </w:hyperlink>
    </w:p>
    <w:p w14:paraId="6E02734C" w14:textId="6F0E17A1" w:rsidR="00916464" w:rsidRDefault="00916464" w:rsidP="001D1A8B">
      <w:pPr>
        <w:jc w:val="both"/>
        <w:outlineLvl w:val="2"/>
        <w:rPr>
          <w:rFonts w:asciiTheme="majorBidi" w:hAnsiTheme="majorBidi" w:cstheme="majorBidi"/>
          <w:color w:val="000000" w:themeColor="text1"/>
        </w:rPr>
      </w:pPr>
    </w:p>
    <w:p w14:paraId="3858B61F" w14:textId="0BD0549C" w:rsidR="00916464" w:rsidRPr="00D14BBE" w:rsidRDefault="00B00E29" w:rsidP="001D1A8B">
      <w:pPr>
        <w:pStyle w:val="NormalWeb"/>
        <w:jc w:val="both"/>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t xml:space="preserve">Stupéfiants </w:t>
      </w:r>
      <w:r w:rsidR="00505FF0">
        <w:rPr>
          <w:rFonts w:asciiTheme="majorBidi" w:hAnsiTheme="majorBidi" w:cstheme="majorBidi"/>
          <w:b/>
          <w:bCs/>
          <w:color w:val="000000"/>
          <w:shd w:val="clear" w:color="auto" w:fill="FFFFFF"/>
        </w:rPr>
        <w:t>–</w:t>
      </w:r>
      <w:r>
        <w:rPr>
          <w:rFonts w:asciiTheme="majorBidi" w:hAnsiTheme="majorBidi" w:cstheme="majorBidi"/>
          <w:b/>
          <w:bCs/>
          <w:color w:val="000000"/>
          <w:shd w:val="clear" w:color="auto" w:fill="FFFFFF"/>
        </w:rPr>
        <w:t xml:space="preserve"> </w:t>
      </w:r>
      <w:r w:rsidR="00916464" w:rsidRPr="000821FB">
        <w:rPr>
          <w:rFonts w:asciiTheme="majorBidi" w:hAnsiTheme="majorBidi" w:cstheme="majorBidi"/>
          <w:b/>
          <w:bCs/>
          <w:color w:val="000000"/>
          <w:shd w:val="clear" w:color="auto" w:fill="FFFFFF"/>
        </w:rPr>
        <w:t>Cour constitutionnelle</w:t>
      </w:r>
      <w:r w:rsidR="000821FB">
        <w:rPr>
          <w:rFonts w:asciiTheme="majorBidi" w:hAnsiTheme="majorBidi" w:cstheme="majorBidi"/>
          <w:b/>
          <w:bCs/>
          <w:color w:val="000000"/>
          <w:shd w:val="clear" w:color="auto" w:fill="FFFFFF"/>
        </w:rPr>
        <w:t xml:space="preserve"> – Incrimination des actes préparatoires – </w:t>
      </w:r>
      <w:r>
        <w:rPr>
          <w:rFonts w:asciiTheme="majorBidi" w:hAnsiTheme="majorBidi" w:cstheme="majorBidi"/>
          <w:b/>
          <w:bCs/>
          <w:color w:val="000000"/>
          <w:shd w:val="clear" w:color="auto" w:fill="FFFFFF"/>
        </w:rPr>
        <w:t xml:space="preserve">Peine plus lourde que pour la tentative </w:t>
      </w:r>
      <w:r w:rsidR="00D14BBE">
        <w:rPr>
          <w:rFonts w:asciiTheme="majorBidi" w:hAnsiTheme="majorBidi" w:cstheme="majorBidi"/>
          <w:b/>
          <w:bCs/>
          <w:color w:val="000000"/>
          <w:shd w:val="clear" w:color="auto" w:fill="FFFFFF"/>
        </w:rPr>
        <w:t>–</w:t>
      </w:r>
      <w:r>
        <w:rPr>
          <w:rFonts w:asciiTheme="majorBidi" w:hAnsiTheme="majorBidi" w:cstheme="majorBidi"/>
          <w:b/>
          <w:bCs/>
          <w:color w:val="000000"/>
          <w:shd w:val="clear" w:color="auto" w:fill="FFFFFF"/>
        </w:rPr>
        <w:t xml:space="preserve"> </w:t>
      </w:r>
      <w:r w:rsidR="000821FB">
        <w:rPr>
          <w:rFonts w:asciiTheme="majorBidi" w:hAnsiTheme="majorBidi" w:cstheme="majorBidi"/>
          <w:b/>
          <w:bCs/>
          <w:color w:val="000000"/>
          <w:shd w:val="clear" w:color="auto" w:fill="FFFFFF"/>
        </w:rPr>
        <w:t>Justification raisonnable</w:t>
      </w:r>
    </w:p>
    <w:p w14:paraId="6DA32BDA" w14:textId="6FC0BD91" w:rsidR="00D30C80" w:rsidRDefault="00D30C80" w:rsidP="001D1A8B">
      <w:pPr>
        <w:pStyle w:val="NormalWeb"/>
        <w:jc w:val="both"/>
        <w:rPr>
          <w:rFonts w:asciiTheme="majorBidi" w:hAnsiTheme="majorBidi" w:cstheme="majorBidi"/>
          <w:b/>
          <w:bCs/>
          <w:color w:val="000000"/>
        </w:rPr>
      </w:pPr>
    </w:p>
    <w:p w14:paraId="50354FB9" w14:textId="5999613D" w:rsidR="001F3814" w:rsidRPr="005B7B0F" w:rsidRDefault="001F3814" w:rsidP="001D1A8B">
      <w:pPr>
        <w:jc w:val="both"/>
        <w:outlineLvl w:val="2"/>
        <w:rPr>
          <w:rStyle w:val="markedcontent"/>
          <w:rFonts w:asciiTheme="majorBidi" w:hAnsiTheme="majorBidi" w:cstheme="majorBidi"/>
          <w:color w:val="000000" w:themeColor="text1"/>
        </w:rPr>
      </w:pPr>
      <w:r w:rsidRPr="005B7B0F">
        <w:rPr>
          <w:rFonts w:asciiTheme="majorBidi" w:hAnsiTheme="majorBidi" w:cstheme="majorBidi"/>
          <w:color w:val="000000" w:themeColor="text1"/>
        </w:rPr>
        <w:t xml:space="preserve">L’affaire concerne </w:t>
      </w:r>
      <w:r w:rsidRPr="005B7B0F">
        <w:rPr>
          <w:rFonts w:asciiTheme="majorBidi" w:hAnsiTheme="majorBidi" w:cstheme="majorBidi"/>
        </w:rPr>
        <w:t xml:space="preserve">plusieurs prévenus poursuivis pour avoir, notamment, posé des actes préparatoires en vue de la fabrication, de la vente, de la livraison ou de la fourniture illicites de cocaïne en association. Certains de ces prévenus devaient en outre répondre de tentatives d’importation et de transport de cocaïne en association. </w:t>
      </w:r>
      <w:r w:rsidR="005B7B0F" w:rsidRPr="005B7B0F">
        <w:rPr>
          <w:rFonts w:asciiTheme="majorBidi" w:hAnsiTheme="majorBidi" w:cstheme="majorBidi"/>
        </w:rPr>
        <w:t>Aux termes de l’article 2</w:t>
      </w:r>
      <w:r w:rsidR="005B7B0F" w:rsidRPr="00C360C1">
        <w:rPr>
          <w:rFonts w:asciiTheme="majorBidi" w:hAnsiTheme="majorBidi" w:cstheme="majorBidi"/>
          <w:i/>
          <w:iCs/>
        </w:rPr>
        <w:t>bis</w:t>
      </w:r>
      <w:r w:rsidR="005B7B0F" w:rsidRPr="005B7B0F">
        <w:rPr>
          <w:rFonts w:asciiTheme="majorBidi" w:hAnsiTheme="majorBidi" w:cstheme="majorBidi"/>
        </w:rPr>
        <w:t>, § 6, de la loi du 24 février 1921 sur les drogues, l</w:t>
      </w:r>
      <w:r w:rsidR="005B7B0F" w:rsidRPr="005B7B0F">
        <w:rPr>
          <w:rStyle w:val="markedcontent"/>
          <w:rFonts w:asciiTheme="majorBidi" w:hAnsiTheme="majorBidi" w:cstheme="majorBidi"/>
        </w:rPr>
        <w:t>es actes préparatoires posés</w:t>
      </w:r>
      <w:r w:rsidR="00C360C1">
        <w:rPr>
          <w:rStyle w:val="markedcontent"/>
          <w:rFonts w:asciiTheme="majorBidi" w:hAnsiTheme="majorBidi" w:cstheme="majorBidi"/>
        </w:rPr>
        <w:t xml:space="preserve">, à titre onéreux ou gratuit, </w:t>
      </w:r>
      <w:r w:rsidR="005B7B0F" w:rsidRPr="005B7B0F">
        <w:rPr>
          <w:rStyle w:val="markedcontent"/>
          <w:rFonts w:asciiTheme="majorBidi" w:hAnsiTheme="majorBidi" w:cstheme="majorBidi"/>
        </w:rPr>
        <w:t>en vue</w:t>
      </w:r>
      <w:r w:rsidR="005B7B0F">
        <w:rPr>
          <w:rStyle w:val="markedcontent"/>
          <w:rFonts w:asciiTheme="majorBidi" w:hAnsiTheme="majorBidi" w:cstheme="majorBidi"/>
        </w:rPr>
        <w:t xml:space="preserve"> </w:t>
      </w:r>
      <w:r w:rsidR="005B7B0F" w:rsidRPr="005B7B0F">
        <w:rPr>
          <w:rStyle w:val="markedcontent"/>
          <w:rFonts w:asciiTheme="majorBidi" w:hAnsiTheme="majorBidi" w:cstheme="majorBidi"/>
        </w:rPr>
        <w:t>de la fabrication, de la vente, de la</w:t>
      </w:r>
      <w:r w:rsidR="005B7B0F">
        <w:rPr>
          <w:rFonts w:asciiTheme="majorBidi" w:hAnsiTheme="majorBidi" w:cstheme="majorBidi"/>
        </w:rPr>
        <w:t xml:space="preserve"> </w:t>
      </w:r>
      <w:r w:rsidR="005B7B0F" w:rsidRPr="005B7B0F">
        <w:rPr>
          <w:rStyle w:val="markedcontent"/>
          <w:rFonts w:asciiTheme="majorBidi" w:hAnsiTheme="majorBidi" w:cstheme="majorBidi"/>
        </w:rPr>
        <w:t>livraison ou de la fourniture illicite de substances</w:t>
      </w:r>
      <w:r w:rsidR="00C360C1">
        <w:rPr>
          <w:rStyle w:val="markedcontent"/>
          <w:rFonts w:asciiTheme="majorBidi" w:hAnsiTheme="majorBidi" w:cstheme="majorBidi"/>
        </w:rPr>
        <w:t xml:space="preserve"> stupéfiantes ou psychotropes</w:t>
      </w:r>
      <w:r w:rsidR="005B7B0F" w:rsidRPr="005B7B0F">
        <w:rPr>
          <w:rStyle w:val="markedcontent"/>
          <w:rFonts w:asciiTheme="majorBidi" w:hAnsiTheme="majorBidi" w:cstheme="majorBidi"/>
        </w:rPr>
        <w:t>,</w:t>
      </w:r>
      <w:r w:rsidR="005B7B0F">
        <w:rPr>
          <w:rStyle w:val="markedcontent"/>
          <w:rFonts w:asciiTheme="majorBidi" w:hAnsiTheme="majorBidi" w:cstheme="majorBidi"/>
        </w:rPr>
        <w:t xml:space="preserve"> </w:t>
      </w:r>
      <w:r w:rsidR="005B7B0F" w:rsidRPr="005B7B0F">
        <w:rPr>
          <w:rStyle w:val="markedcontent"/>
          <w:rFonts w:asciiTheme="majorBidi" w:hAnsiTheme="majorBidi" w:cstheme="majorBidi"/>
        </w:rPr>
        <w:t>ou en</w:t>
      </w:r>
      <w:r w:rsidR="005B7B0F">
        <w:rPr>
          <w:rStyle w:val="markedcontent"/>
          <w:rFonts w:asciiTheme="majorBidi" w:hAnsiTheme="majorBidi" w:cstheme="majorBidi"/>
        </w:rPr>
        <w:t xml:space="preserve"> </w:t>
      </w:r>
      <w:r w:rsidR="005B7B0F" w:rsidRPr="005B7B0F">
        <w:rPr>
          <w:rStyle w:val="markedcontent"/>
          <w:rFonts w:asciiTheme="majorBidi" w:hAnsiTheme="majorBidi" w:cstheme="majorBidi"/>
        </w:rPr>
        <w:t>vue de la</w:t>
      </w:r>
      <w:r w:rsidR="005B7B0F">
        <w:rPr>
          <w:rFonts w:asciiTheme="majorBidi" w:hAnsiTheme="majorBidi" w:cstheme="majorBidi"/>
        </w:rPr>
        <w:t xml:space="preserve"> </w:t>
      </w:r>
      <w:r w:rsidR="005B7B0F" w:rsidRPr="005B7B0F">
        <w:rPr>
          <w:rStyle w:val="markedcontent"/>
          <w:rFonts w:asciiTheme="majorBidi" w:hAnsiTheme="majorBidi" w:cstheme="majorBidi"/>
        </w:rPr>
        <w:t>culture des plantes dont peuvent être extraites ces substances</w:t>
      </w:r>
      <w:r w:rsidR="00D14BBE">
        <w:rPr>
          <w:rStyle w:val="Appelnotedebasdep"/>
          <w:rFonts w:asciiTheme="majorBidi" w:hAnsiTheme="majorBidi" w:cstheme="majorBidi"/>
        </w:rPr>
        <w:footnoteReference w:id="10"/>
      </w:r>
      <w:r w:rsidR="005B7B0F">
        <w:rPr>
          <w:rStyle w:val="markedcontent"/>
          <w:rFonts w:asciiTheme="majorBidi" w:hAnsiTheme="majorBidi" w:cstheme="majorBidi"/>
        </w:rPr>
        <w:t>,</w:t>
      </w:r>
      <w:r w:rsidR="005B7B0F" w:rsidRPr="005B7B0F">
        <w:rPr>
          <w:rStyle w:val="markedcontent"/>
          <w:rFonts w:asciiTheme="majorBidi" w:hAnsiTheme="majorBidi" w:cstheme="majorBidi"/>
        </w:rPr>
        <w:t xml:space="preserve"> sont punis des</w:t>
      </w:r>
      <w:r w:rsidR="005B7B0F">
        <w:rPr>
          <w:rStyle w:val="markedcontent"/>
          <w:rFonts w:asciiTheme="majorBidi" w:hAnsiTheme="majorBidi" w:cstheme="majorBidi"/>
        </w:rPr>
        <w:t xml:space="preserve"> </w:t>
      </w:r>
      <w:r w:rsidR="005B7B0F" w:rsidRPr="005B7B0F">
        <w:rPr>
          <w:rStyle w:val="markedcontent"/>
          <w:rFonts w:asciiTheme="majorBidi" w:hAnsiTheme="majorBidi" w:cstheme="majorBidi"/>
        </w:rPr>
        <w:t>mêmes peines que</w:t>
      </w:r>
      <w:r w:rsidR="005B7B0F">
        <w:rPr>
          <w:rFonts w:asciiTheme="majorBidi" w:hAnsiTheme="majorBidi" w:cstheme="majorBidi"/>
        </w:rPr>
        <w:t xml:space="preserve"> </w:t>
      </w:r>
      <w:r w:rsidR="005B7B0F" w:rsidRPr="005B7B0F">
        <w:rPr>
          <w:rStyle w:val="markedcontent"/>
          <w:rFonts w:asciiTheme="majorBidi" w:hAnsiTheme="majorBidi" w:cstheme="majorBidi"/>
        </w:rPr>
        <w:t>les infractions consommées</w:t>
      </w:r>
      <w:r w:rsidR="005B7B0F">
        <w:rPr>
          <w:rStyle w:val="markedcontent"/>
          <w:rFonts w:asciiTheme="majorBidi" w:hAnsiTheme="majorBidi" w:cstheme="majorBidi"/>
        </w:rPr>
        <w:t xml:space="preserve"> qu’ils visent à préparer</w:t>
      </w:r>
      <w:r w:rsidR="00C24C69">
        <w:rPr>
          <w:rStyle w:val="markedcontent"/>
          <w:rFonts w:asciiTheme="majorBidi" w:hAnsiTheme="majorBidi" w:cstheme="majorBidi"/>
        </w:rPr>
        <w:t xml:space="preserve"> ou à faciliter</w:t>
      </w:r>
      <w:r w:rsidR="005B7B0F" w:rsidRPr="005B7B0F">
        <w:rPr>
          <w:rStyle w:val="markedcontent"/>
          <w:rFonts w:asciiTheme="majorBidi" w:hAnsiTheme="majorBidi" w:cstheme="majorBidi"/>
        </w:rPr>
        <w:t>.</w:t>
      </w:r>
      <w:r w:rsidR="005B7B0F" w:rsidRPr="005B7B0F">
        <w:rPr>
          <w:rFonts w:asciiTheme="majorBidi" w:hAnsiTheme="majorBidi" w:cstheme="majorBidi"/>
        </w:rPr>
        <w:t xml:space="preserve"> </w:t>
      </w:r>
      <w:r w:rsidRPr="005B7B0F">
        <w:rPr>
          <w:rFonts w:asciiTheme="majorBidi" w:hAnsiTheme="majorBidi" w:cstheme="majorBidi"/>
        </w:rPr>
        <w:t xml:space="preserve">Le tribunal </w:t>
      </w:r>
      <w:r w:rsidRPr="001F3814">
        <w:rPr>
          <w:rFonts w:asciiTheme="majorBidi" w:hAnsiTheme="majorBidi" w:cstheme="majorBidi"/>
          <w:color w:val="000000" w:themeColor="text1"/>
        </w:rPr>
        <w:t>correctionnel d’Anvers</w:t>
      </w:r>
      <w:r w:rsidRPr="005B7B0F">
        <w:rPr>
          <w:rFonts w:asciiTheme="majorBidi" w:hAnsiTheme="majorBidi" w:cstheme="majorBidi"/>
        </w:rPr>
        <w:t xml:space="preserve"> </w:t>
      </w:r>
      <w:r w:rsidR="005B7B0F" w:rsidRPr="005B7B0F">
        <w:rPr>
          <w:rFonts w:asciiTheme="majorBidi" w:hAnsiTheme="majorBidi" w:cstheme="majorBidi"/>
          <w:color w:val="000000" w:themeColor="text1"/>
        </w:rPr>
        <w:t>demande à la Cour constitutionnelle de statuer sur la compatibilité</w:t>
      </w:r>
      <w:r w:rsidRPr="005B7B0F">
        <w:rPr>
          <w:rFonts w:asciiTheme="majorBidi" w:hAnsiTheme="majorBidi" w:cstheme="majorBidi"/>
          <w:color w:val="000000" w:themeColor="text1"/>
        </w:rPr>
        <w:t xml:space="preserve"> </w:t>
      </w:r>
      <w:r w:rsidRPr="001F3814">
        <w:rPr>
          <w:rFonts w:asciiTheme="majorBidi" w:hAnsiTheme="majorBidi" w:cstheme="majorBidi"/>
          <w:color w:val="000000" w:themeColor="text1"/>
        </w:rPr>
        <w:t>de l’article 2, § 6</w:t>
      </w:r>
      <w:r w:rsidR="005B7B0F">
        <w:rPr>
          <w:rFonts w:asciiTheme="majorBidi" w:hAnsiTheme="majorBidi" w:cstheme="majorBidi"/>
          <w:color w:val="000000" w:themeColor="text1"/>
        </w:rPr>
        <w:t xml:space="preserve"> en question </w:t>
      </w:r>
      <w:r w:rsidRPr="001F3814">
        <w:rPr>
          <w:rFonts w:asciiTheme="majorBidi" w:hAnsiTheme="majorBidi" w:cstheme="majorBidi"/>
          <w:color w:val="000000" w:themeColor="text1"/>
        </w:rPr>
        <w:t>avec les articles 10 et 11 de la Constitution</w:t>
      </w:r>
      <w:r w:rsidRPr="005B7B0F">
        <w:rPr>
          <w:rFonts w:asciiTheme="majorBidi" w:hAnsiTheme="majorBidi" w:cstheme="majorBidi"/>
          <w:color w:val="000000" w:themeColor="text1"/>
        </w:rPr>
        <w:t>, en ce que les peines prévues pour les actes préparatoires sont plus lourdes que celles prévues en</w:t>
      </w:r>
      <w:r w:rsidRPr="001F3814">
        <w:rPr>
          <w:rFonts w:asciiTheme="majorBidi" w:hAnsiTheme="majorBidi" w:cstheme="majorBidi"/>
          <w:color w:val="000000" w:themeColor="text1"/>
        </w:rPr>
        <w:t xml:space="preserve"> cas de tentative de commettre </w:t>
      </w:r>
      <w:r w:rsidR="005B7B0F">
        <w:rPr>
          <w:rFonts w:asciiTheme="majorBidi" w:hAnsiTheme="majorBidi" w:cstheme="majorBidi"/>
          <w:color w:val="000000" w:themeColor="text1"/>
        </w:rPr>
        <w:t>de telles</w:t>
      </w:r>
      <w:r w:rsidRPr="001F3814">
        <w:rPr>
          <w:rFonts w:asciiTheme="majorBidi" w:hAnsiTheme="majorBidi" w:cstheme="majorBidi"/>
          <w:color w:val="000000" w:themeColor="text1"/>
        </w:rPr>
        <w:t xml:space="preserve"> infractions et ce, alors que les deux comportements précèdent l’infraction consommée</w:t>
      </w:r>
      <w:r w:rsidRPr="004E2F5E">
        <w:rPr>
          <w:rFonts w:asciiTheme="majorBidi" w:hAnsiTheme="majorBidi" w:cstheme="majorBidi"/>
          <w:color w:val="000000" w:themeColor="text1"/>
        </w:rPr>
        <w:t>.</w:t>
      </w:r>
      <w:r w:rsidR="005B7B0F" w:rsidRPr="004E2F5E">
        <w:rPr>
          <w:rFonts w:asciiTheme="majorBidi" w:hAnsiTheme="majorBidi" w:cstheme="majorBidi"/>
          <w:color w:val="000000" w:themeColor="text1"/>
        </w:rPr>
        <w:t xml:space="preserve"> En effet, </w:t>
      </w:r>
      <w:r w:rsidR="00D14BBE" w:rsidRPr="004E2F5E">
        <w:rPr>
          <w:rFonts w:asciiTheme="majorBidi" w:hAnsiTheme="majorBidi" w:cstheme="majorBidi"/>
          <w:color w:val="000000" w:themeColor="text1"/>
        </w:rPr>
        <w:t xml:space="preserve">alors que les actes préparatoires à la commission de certaines infractions en matière de dogues et de précurseurs sont complètement assimilés aux infractions consommées </w:t>
      </w:r>
      <w:r w:rsidR="00505FF0" w:rsidRPr="004E2F5E">
        <w:rPr>
          <w:rFonts w:asciiTheme="majorBidi" w:hAnsiTheme="majorBidi" w:cstheme="majorBidi"/>
          <w:color w:val="000000" w:themeColor="text1"/>
        </w:rPr>
        <w:t>quant à</w:t>
      </w:r>
      <w:r w:rsidR="00D14BBE" w:rsidRPr="004E2F5E">
        <w:rPr>
          <w:rFonts w:asciiTheme="majorBidi" w:hAnsiTheme="majorBidi" w:cstheme="majorBidi"/>
          <w:color w:val="000000" w:themeColor="text1"/>
        </w:rPr>
        <w:t xml:space="preserve"> la peine</w:t>
      </w:r>
      <w:r w:rsidR="00505FF0" w:rsidRPr="004E2F5E">
        <w:rPr>
          <w:rFonts w:asciiTheme="majorBidi" w:hAnsiTheme="majorBidi" w:cstheme="majorBidi"/>
          <w:color w:val="000000" w:themeColor="text1"/>
        </w:rPr>
        <w:t>;</w:t>
      </w:r>
      <w:r w:rsidR="00D14BBE" w:rsidRPr="004E2F5E">
        <w:rPr>
          <w:rFonts w:asciiTheme="majorBidi" w:hAnsiTheme="majorBidi" w:cstheme="majorBidi"/>
          <w:color w:val="000000" w:themeColor="text1"/>
        </w:rPr>
        <w:t xml:space="preserve"> </w:t>
      </w:r>
      <w:r w:rsidR="005B7B0F" w:rsidRPr="004E2F5E">
        <w:rPr>
          <w:rFonts w:asciiTheme="majorBidi" w:hAnsiTheme="majorBidi" w:cstheme="majorBidi"/>
          <w:color w:val="000000" w:themeColor="text1"/>
        </w:rPr>
        <w:t xml:space="preserve">aux termes de l’article 52 du Code pénal, les tentatives </w:t>
      </w:r>
      <w:r w:rsidR="00D14BBE" w:rsidRPr="004E2F5E">
        <w:rPr>
          <w:rFonts w:asciiTheme="majorBidi" w:hAnsiTheme="majorBidi" w:cstheme="majorBidi"/>
          <w:color w:val="000000" w:themeColor="text1"/>
        </w:rPr>
        <w:t xml:space="preserve">de ces infractions, si elles </w:t>
      </w:r>
      <w:r w:rsidR="00D14BBE">
        <w:rPr>
          <w:rFonts w:asciiTheme="majorBidi" w:hAnsiTheme="majorBidi" w:cstheme="majorBidi"/>
          <w:color w:val="000000" w:themeColor="text1"/>
        </w:rPr>
        <w:t xml:space="preserve">constituent des crimes, </w:t>
      </w:r>
      <w:r w:rsidR="005B7B0F" w:rsidRPr="005B7B0F">
        <w:rPr>
          <w:rFonts w:asciiTheme="majorBidi" w:hAnsiTheme="majorBidi" w:cstheme="majorBidi"/>
          <w:color w:val="000000" w:themeColor="text1"/>
        </w:rPr>
        <w:t>sont punies de la peine immédiatement inférieure à celle du crime</w:t>
      </w:r>
      <w:r w:rsidR="00C24C69">
        <w:rPr>
          <w:rFonts w:asciiTheme="majorBidi" w:hAnsiTheme="majorBidi" w:cstheme="majorBidi"/>
          <w:color w:val="000000" w:themeColor="text1"/>
        </w:rPr>
        <w:t xml:space="preserve"> </w:t>
      </w:r>
      <w:r w:rsidR="005B7B0F" w:rsidRPr="005B7B0F">
        <w:rPr>
          <w:rFonts w:asciiTheme="majorBidi" w:hAnsiTheme="majorBidi" w:cstheme="majorBidi"/>
          <w:color w:val="000000" w:themeColor="text1"/>
        </w:rPr>
        <w:t>même, conformément aux articles 80 et 81 du</w:t>
      </w:r>
      <w:r w:rsidR="005B7B0F">
        <w:rPr>
          <w:rFonts w:asciiTheme="majorBidi" w:hAnsiTheme="majorBidi" w:cstheme="majorBidi"/>
          <w:color w:val="000000" w:themeColor="text1"/>
        </w:rPr>
        <w:t>dit</w:t>
      </w:r>
      <w:r w:rsidR="005B7B0F" w:rsidRPr="005B7B0F">
        <w:rPr>
          <w:rFonts w:asciiTheme="majorBidi" w:hAnsiTheme="majorBidi" w:cstheme="majorBidi"/>
          <w:color w:val="000000" w:themeColor="text1"/>
        </w:rPr>
        <w:t xml:space="preserve"> Code</w:t>
      </w:r>
      <w:r w:rsidR="005B7B0F">
        <w:rPr>
          <w:rFonts w:asciiTheme="majorBidi" w:hAnsiTheme="majorBidi" w:cstheme="majorBidi"/>
          <w:color w:val="000000" w:themeColor="text1"/>
        </w:rPr>
        <w:t>.</w:t>
      </w:r>
    </w:p>
    <w:p w14:paraId="28A29E1C" w14:textId="77777777" w:rsidR="00D30C80" w:rsidRDefault="00D30C80" w:rsidP="001D1A8B">
      <w:pPr>
        <w:pStyle w:val="NormalWeb"/>
        <w:jc w:val="both"/>
        <w:rPr>
          <w:rStyle w:val="markedcontent"/>
          <w:rFonts w:ascii="Arial" w:hAnsi="Arial" w:cs="Arial"/>
          <w:sz w:val="27"/>
          <w:szCs w:val="27"/>
        </w:rPr>
      </w:pPr>
    </w:p>
    <w:p w14:paraId="05B56D02" w14:textId="2C36CD54" w:rsidR="000821FB" w:rsidRPr="000821FB" w:rsidRDefault="00C24C69" w:rsidP="001D1A8B">
      <w:pPr>
        <w:pStyle w:val="NormalWeb"/>
        <w:jc w:val="both"/>
        <w:rPr>
          <w:rFonts w:asciiTheme="majorBidi" w:hAnsiTheme="majorBidi" w:cstheme="majorBidi"/>
          <w:color w:val="000000"/>
        </w:rPr>
      </w:pPr>
      <w:r>
        <w:rPr>
          <w:rFonts w:asciiTheme="majorBidi" w:hAnsiTheme="majorBidi" w:cstheme="majorBidi"/>
          <w:color w:val="000000"/>
          <w:shd w:val="clear" w:color="auto" w:fill="FFFFFF"/>
        </w:rPr>
        <w:t>Se basant sur les travaux préparatoires de la loi, la Cour estime « qu’e</w:t>
      </w:r>
      <w:r w:rsidR="00916464" w:rsidRPr="000821FB">
        <w:rPr>
          <w:rFonts w:asciiTheme="majorBidi" w:hAnsiTheme="majorBidi" w:cstheme="majorBidi"/>
          <w:color w:val="000000"/>
          <w:shd w:val="clear" w:color="auto" w:fill="FFFFFF"/>
        </w:rPr>
        <w:t>u égard au constat de l</w:t>
      </w:r>
      <w:r w:rsidR="009D4EA5">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émergence d</w:t>
      </w:r>
      <w:r w:rsidR="00DB25E5">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une industrie criminelle distincte, qui se spécialise de manière professionnelle dans la préparation et dans la facilitation d</w:t>
      </w:r>
      <w:r w:rsidR="00DB25E5">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 xml:space="preserve">infractions à la législation sur les </w:t>
      </w:r>
      <w:r w:rsidR="00D30C80">
        <w:rPr>
          <w:rFonts w:asciiTheme="majorBidi" w:hAnsiTheme="majorBidi" w:cstheme="majorBidi"/>
          <w:color w:val="000000"/>
          <w:shd w:val="clear" w:color="auto" w:fill="FFFFFF"/>
        </w:rPr>
        <w:t>drogues</w:t>
      </w:r>
      <w:r w:rsidR="00916464" w:rsidRPr="000821FB">
        <w:rPr>
          <w:rFonts w:asciiTheme="majorBidi" w:hAnsiTheme="majorBidi" w:cstheme="majorBidi"/>
          <w:color w:val="000000"/>
          <w:shd w:val="clear" w:color="auto" w:fill="FFFFFF"/>
        </w:rPr>
        <w:t>, sans que les intéressés eux-mêmes participent toujours à l</w:t>
      </w:r>
      <w:r w:rsidR="00505FF0">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exécution de ces infractions, le législateur a pu raisonnablement considérer qu</w:t>
      </w:r>
      <w:r w:rsidR="00505FF0">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 xml:space="preserve">il est nécessaire que les actes préparatoires soient punis aussi sévèrement que les infractions à la législation sur les </w:t>
      </w:r>
      <w:r w:rsidR="00D30C80">
        <w:rPr>
          <w:rFonts w:asciiTheme="majorBidi" w:hAnsiTheme="majorBidi" w:cstheme="majorBidi"/>
          <w:color w:val="000000"/>
          <w:shd w:val="clear" w:color="auto" w:fill="FFFFFF"/>
        </w:rPr>
        <w:t>drogues,</w:t>
      </w:r>
      <w:r w:rsidR="00916464" w:rsidRPr="000821FB">
        <w:rPr>
          <w:rFonts w:asciiTheme="majorBidi" w:hAnsiTheme="majorBidi" w:cstheme="majorBidi"/>
          <w:color w:val="000000"/>
          <w:shd w:val="clear" w:color="auto" w:fill="FFFFFF"/>
        </w:rPr>
        <w:t xml:space="preserve"> que ces actes visent à préparer et à faciliter, même s</w:t>
      </w:r>
      <w:r w:rsidR="00505FF0">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il n</w:t>
      </w:r>
      <w:r w:rsidR="00505FF0">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y a pas encore eu de début d</w:t>
      </w:r>
      <w:r w:rsidR="00505FF0">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exécution de ces infractions</w:t>
      </w:r>
      <w:r>
        <w:rPr>
          <w:rFonts w:asciiTheme="majorBidi" w:hAnsiTheme="majorBidi" w:cstheme="majorBidi"/>
          <w:color w:val="000000"/>
          <w:shd w:val="clear" w:color="auto" w:fill="FFFFFF"/>
        </w:rPr>
        <w:t> »</w:t>
      </w:r>
      <w:r w:rsidR="00916464" w:rsidRPr="000821FB">
        <w:rPr>
          <w:rFonts w:asciiTheme="majorBidi" w:hAnsiTheme="majorBidi" w:cstheme="majorBidi"/>
          <w:color w:val="000000"/>
          <w:shd w:val="clear" w:color="auto" w:fill="FFFFFF"/>
        </w:rPr>
        <w:t xml:space="preserve">. Dans ce contexte, </w:t>
      </w:r>
      <w:r>
        <w:rPr>
          <w:rFonts w:asciiTheme="majorBidi" w:hAnsiTheme="majorBidi" w:cstheme="majorBidi"/>
          <w:color w:val="000000"/>
          <w:shd w:val="clear" w:color="auto" w:fill="FFFFFF"/>
        </w:rPr>
        <w:t>la Cour estime qu’</w:t>
      </w:r>
      <w:r w:rsidR="00916464" w:rsidRPr="000821FB">
        <w:rPr>
          <w:rFonts w:asciiTheme="majorBidi" w:hAnsiTheme="majorBidi" w:cstheme="majorBidi"/>
          <w:color w:val="000000"/>
          <w:shd w:val="clear" w:color="auto" w:fill="FFFFFF"/>
        </w:rPr>
        <w:t>il n</w:t>
      </w:r>
      <w:r w:rsidR="00505FF0">
        <w:rPr>
          <w:rFonts w:asciiTheme="majorBidi" w:hAnsiTheme="majorBidi" w:cstheme="majorBidi"/>
          <w:color w:val="000000"/>
          <w:shd w:val="clear" w:color="auto" w:fill="FFFFFF"/>
        </w:rPr>
        <w:t>’</w:t>
      </w:r>
      <w:r w:rsidR="00916464" w:rsidRPr="000821FB">
        <w:rPr>
          <w:rFonts w:asciiTheme="majorBidi" w:hAnsiTheme="majorBidi" w:cstheme="majorBidi"/>
          <w:color w:val="000000"/>
          <w:shd w:val="clear" w:color="auto" w:fill="FFFFFF"/>
        </w:rPr>
        <w:t xml:space="preserve">est pas manifestement déraisonnable que les actes préparatoires soient punis plus sévèrement que la tentative de commettre une infraction à la législation sur les </w:t>
      </w:r>
      <w:r>
        <w:rPr>
          <w:rFonts w:asciiTheme="majorBidi" w:hAnsiTheme="majorBidi" w:cstheme="majorBidi"/>
          <w:color w:val="000000"/>
          <w:shd w:val="clear" w:color="auto" w:fill="FFFFFF"/>
        </w:rPr>
        <w:t>drogues et que les peines ne sont pas</w:t>
      </w:r>
      <w:r w:rsidR="00772F47">
        <w:rPr>
          <w:rFonts w:asciiTheme="majorBidi" w:hAnsiTheme="majorBidi" w:cstheme="majorBidi"/>
          <w:color w:val="000000"/>
          <w:shd w:val="clear" w:color="auto" w:fill="FFFFFF"/>
        </w:rPr>
        <w:t xml:space="preserve"> </w:t>
      </w:r>
      <w:r>
        <w:rPr>
          <w:rFonts w:asciiTheme="majorBidi" w:hAnsiTheme="majorBidi" w:cstheme="majorBidi"/>
          <w:color w:val="000000"/>
          <w:shd w:val="clear" w:color="auto" w:fill="FFFFFF"/>
        </w:rPr>
        <w:t xml:space="preserve">manifestement disproportionnées. </w:t>
      </w:r>
      <w:r w:rsidRPr="00D14BBE">
        <w:rPr>
          <w:rFonts w:asciiTheme="majorBidi" w:hAnsiTheme="majorBidi" w:cstheme="majorBidi"/>
          <w:color w:val="000000"/>
          <w:shd w:val="clear" w:color="auto" w:fill="FFFFFF"/>
        </w:rPr>
        <w:t>La considération selon</w:t>
      </w:r>
      <w:r w:rsidR="00772F47">
        <w:rPr>
          <w:rFonts w:asciiTheme="majorBidi" w:hAnsiTheme="majorBidi" w:cstheme="majorBidi"/>
          <w:color w:val="000000"/>
          <w:shd w:val="clear" w:color="auto" w:fill="FFFFFF"/>
        </w:rPr>
        <w:t xml:space="preserve"> </w:t>
      </w:r>
      <w:r w:rsidRPr="00D14BBE">
        <w:rPr>
          <w:rFonts w:asciiTheme="majorBidi" w:hAnsiTheme="majorBidi" w:cstheme="majorBidi"/>
          <w:color w:val="000000"/>
          <w:shd w:val="clear" w:color="auto" w:fill="FFFFFF"/>
        </w:rPr>
        <w:t xml:space="preserve">laquelle la tentative doit, d’un point de vue chronologique, être plus proche du résultat final visé n’y change </w:t>
      </w:r>
      <w:r w:rsidR="00D14BBE" w:rsidRPr="00D14BBE">
        <w:rPr>
          <w:rFonts w:asciiTheme="majorBidi" w:hAnsiTheme="majorBidi" w:cstheme="majorBidi"/>
          <w:color w:val="000000"/>
          <w:shd w:val="clear" w:color="auto" w:fill="FFFFFF"/>
        </w:rPr>
        <w:t xml:space="preserve">rien </w:t>
      </w:r>
      <w:r w:rsidR="00916464" w:rsidRPr="000821FB">
        <w:rPr>
          <w:rFonts w:asciiTheme="majorBidi" w:hAnsiTheme="majorBidi" w:cstheme="majorBidi"/>
          <w:color w:val="000000"/>
          <w:shd w:val="clear" w:color="auto" w:fill="FFFFFF"/>
        </w:rPr>
        <w:t>(</w:t>
      </w:r>
      <w:r w:rsidR="00916464" w:rsidRPr="001F3814">
        <w:rPr>
          <w:rFonts w:asciiTheme="majorBidi" w:hAnsiTheme="majorBidi" w:cstheme="majorBidi"/>
          <w:color w:val="000000"/>
          <w:shd w:val="clear" w:color="auto" w:fill="FFFFFF"/>
        </w:rPr>
        <w:t xml:space="preserve">C.C., </w:t>
      </w:r>
      <w:r w:rsidR="000821FB" w:rsidRPr="001F3814">
        <w:rPr>
          <w:rFonts w:asciiTheme="majorBidi" w:hAnsiTheme="majorBidi" w:cstheme="majorBidi"/>
          <w:color w:val="000000"/>
          <w:shd w:val="clear" w:color="auto" w:fill="FFFFFF"/>
        </w:rPr>
        <w:t>n° </w:t>
      </w:r>
      <w:r w:rsidR="001F3814" w:rsidRPr="001F3814">
        <w:rPr>
          <w:rFonts w:asciiTheme="majorBidi" w:hAnsiTheme="majorBidi" w:cstheme="majorBidi"/>
          <w:color w:val="000000"/>
          <w:shd w:val="clear" w:color="auto" w:fill="FFFFFF"/>
        </w:rPr>
        <w:t>132/2022</w:t>
      </w:r>
      <w:r w:rsidR="000821FB" w:rsidRPr="001F3814">
        <w:rPr>
          <w:rFonts w:asciiTheme="majorBidi" w:hAnsiTheme="majorBidi" w:cstheme="majorBidi"/>
          <w:color w:val="000000"/>
          <w:shd w:val="clear" w:color="auto" w:fill="FFFFFF"/>
        </w:rPr>
        <w:t>,</w:t>
      </w:r>
      <w:r w:rsidR="000821FB" w:rsidRPr="000821FB">
        <w:rPr>
          <w:rFonts w:asciiTheme="majorBidi" w:hAnsiTheme="majorBidi" w:cstheme="majorBidi"/>
          <w:color w:val="000000"/>
          <w:shd w:val="clear" w:color="auto" w:fill="FFFFFF"/>
        </w:rPr>
        <w:t xml:space="preserve"> 20 octobre 2022, </w:t>
      </w:r>
      <w:r w:rsidR="000821FB" w:rsidRPr="000821FB">
        <w:rPr>
          <w:rFonts w:asciiTheme="majorBidi" w:hAnsiTheme="majorBidi" w:cstheme="majorBidi"/>
          <w:i/>
          <w:iCs/>
          <w:color w:val="000000"/>
        </w:rPr>
        <w:t>J.L.M.B.</w:t>
      </w:r>
      <w:r w:rsidR="000821FB" w:rsidRPr="000821FB">
        <w:rPr>
          <w:rFonts w:asciiTheme="majorBidi" w:hAnsiTheme="majorBidi" w:cstheme="majorBidi"/>
          <w:color w:val="000000"/>
          <w:shd w:val="clear" w:color="auto" w:fill="FFFFFF"/>
        </w:rPr>
        <w:t>, 2023/7, p. 276-279).</w:t>
      </w:r>
      <w:r w:rsidR="005B7B0F">
        <w:rPr>
          <w:rFonts w:asciiTheme="majorBidi" w:hAnsiTheme="majorBidi" w:cstheme="majorBidi"/>
          <w:color w:val="000000"/>
          <w:shd w:val="clear" w:color="auto" w:fill="FFFFFF"/>
        </w:rPr>
        <w:t xml:space="preserve"> </w:t>
      </w:r>
    </w:p>
    <w:p w14:paraId="1C543FD5" w14:textId="2EC6C567" w:rsidR="00842A81" w:rsidRDefault="00842A81" w:rsidP="001D1A8B">
      <w:pPr>
        <w:jc w:val="both"/>
        <w:rPr>
          <w:rFonts w:cstheme="minorHAnsi"/>
          <w:color w:val="000000"/>
          <w:shd w:val="clear" w:color="auto" w:fill="FFFFFF"/>
        </w:rPr>
      </w:pPr>
    </w:p>
    <w:p w14:paraId="18A70AD4" w14:textId="276DD299" w:rsidR="000821FB" w:rsidRPr="00155CB7" w:rsidRDefault="0007499D" w:rsidP="001D1A8B">
      <w:pPr>
        <w:jc w:val="both"/>
        <w:rPr>
          <w:rFonts w:asciiTheme="majorBidi" w:hAnsiTheme="majorBidi" w:cstheme="majorBidi"/>
          <w:b/>
          <w:bCs/>
          <w:kern w:val="36"/>
        </w:rPr>
      </w:pPr>
      <w:r>
        <w:rPr>
          <w:rFonts w:asciiTheme="majorBidi" w:hAnsiTheme="majorBidi" w:cstheme="majorBidi"/>
          <w:b/>
          <w:bCs/>
          <w:kern w:val="36"/>
        </w:rPr>
        <w:t xml:space="preserve">Stupéfiants </w:t>
      </w:r>
      <w:r w:rsidR="00155CB7">
        <w:rPr>
          <w:rFonts w:asciiTheme="majorBidi" w:hAnsiTheme="majorBidi" w:cstheme="majorBidi"/>
          <w:b/>
          <w:bCs/>
          <w:kern w:val="36"/>
        </w:rPr>
        <w:t>–</w:t>
      </w:r>
      <w:r>
        <w:rPr>
          <w:rFonts w:asciiTheme="majorBidi" w:hAnsiTheme="majorBidi" w:cstheme="majorBidi"/>
          <w:b/>
          <w:bCs/>
          <w:kern w:val="36"/>
        </w:rPr>
        <w:t xml:space="preserve"> </w:t>
      </w:r>
      <w:r>
        <w:rPr>
          <w:rFonts w:asciiTheme="majorBidi" w:hAnsiTheme="majorBidi" w:cstheme="majorBidi"/>
          <w:b/>
          <w:bCs/>
          <w:color w:val="000000"/>
          <w:shd w:val="clear" w:color="auto" w:fill="FFFFFF"/>
        </w:rPr>
        <w:t>Incrimination des actes préparatoires –</w:t>
      </w:r>
      <w:r w:rsidR="00B00E29">
        <w:rPr>
          <w:rFonts w:asciiTheme="majorBidi" w:hAnsiTheme="majorBidi" w:cstheme="majorBidi"/>
          <w:b/>
          <w:bCs/>
          <w:color w:val="000000"/>
          <w:shd w:val="clear" w:color="auto" w:fill="FFFFFF"/>
        </w:rPr>
        <w:t xml:space="preserve"> Notion et interprétation – Appréciation souveraine du juge du fond – Contrôle marginal de la Cour de cassation </w:t>
      </w:r>
    </w:p>
    <w:p w14:paraId="5B57226F" w14:textId="77777777" w:rsidR="000821FB" w:rsidRPr="00F90BD8" w:rsidRDefault="000821FB" w:rsidP="001D1A8B">
      <w:pPr>
        <w:jc w:val="both"/>
        <w:rPr>
          <w:rFonts w:asciiTheme="majorBidi" w:hAnsiTheme="majorBidi" w:cstheme="majorBidi"/>
          <w:b/>
          <w:bCs/>
          <w:color w:val="000000"/>
        </w:rPr>
      </w:pPr>
    </w:p>
    <w:p w14:paraId="763672D7" w14:textId="47C798D7" w:rsidR="00FB714F" w:rsidRPr="00FB714F" w:rsidRDefault="00E14D02" w:rsidP="001D1A8B">
      <w:pPr>
        <w:jc w:val="both"/>
        <w:rPr>
          <w:rFonts w:asciiTheme="majorBidi" w:hAnsiTheme="majorBidi" w:cstheme="majorBidi"/>
          <w:bCs/>
          <w:color w:val="000000"/>
        </w:rPr>
      </w:pPr>
      <w:r>
        <w:rPr>
          <w:rFonts w:asciiTheme="majorBidi" w:hAnsiTheme="majorBidi" w:cstheme="majorBidi"/>
          <w:color w:val="000000"/>
        </w:rPr>
        <w:t>La loi sur les drogues ne définit pas la notion d’actes préparatoires, de sorte l</w:t>
      </w:r>
      <w:r w:rsidRPr="00301636">
        <w:rPr>
          <w:rFonts w:asciiTheme="majorBidi" w:hAnsiTheme="majorBidi" w:cstheme="majorBidi"/>
          <w:color w:val="000000"/>
        </w:rPr>
        <w:t>e juge apprécie souverainement</w:t>
      </w:r>
      <w:r>
        <w:rPr>
          <w:rFonts w:asciiTheme="majorBidi" w:hAnsiTheme="majorBidi" w:cstheme="majorBidi"/>
          <w:color w:val="000000"/>
        </w:rPr>
        <w:t>, sous le contrôle de la Cour de cassation,</w:t>
      </w:r>
      <w:r w:rsidRPr="00301636">
        <w:rPr>
          <w:rFonts w:asciiTheme="majorBidi" w:hAnsiTheme="majorBidi" w:cstheme="majorBidi"/>
          <w:color w:val="000000"/>
        </w:rPr>
        <w:t xml:space="preserve"> si les actes d’un prévenu </w:t>
      </w:r>
      <w:r>
        <w:rPr>
          <w:rFonts w:asciiTheme="majorBidi" w:hAnsiTheme="majorBidi" w:cstheme="majorBidi"/>
          <w:color w:val="000000"/>
        </w:rPr>
        <w:t xml:space="preserve">constituent des actes </w:t>
      </w:r>
      <w:r w:rsidR="0076567F">
        <w:rPr>
          <w:rFonts w:asciiTheme="majorBidi" w:hAnsiTheme="majorBidi" w:cstheme="majorBidi"/>
          <w:color w:val="000000"/>
        </w:rPr>
        <w:t xml:space="preserve">préparatoires </w:t>
      </w:r>
      <w:r w:rsidRPr="00301636">
        <w:rPr>
          <w:rFonts w:asciiTheme="majorBidi" w:hAnsiTheme="majorBidi" w:cstheme="majorBidi"/>
          <w:color w:val="000000"/>
        </w:rPr>
        <w:t>vis</w:t>
      </w:r>
      <w:r>
        <w:rPr>
          <w:rFonts w:asciiTheme="majorBidi" w:hAnsiTheme="majorBidi" w:cstheme="majorBidi"/>
          <w:color w:val="000000"/>
        </w:rPr>
        <w:t>a</w:t>
      </w:r>
      <w:r w:rsidRPr="00301636">
        <w:rPr>
          <w:rFonts w:asciiTheme="majorBidi" w:hAnsiTheme="majorBidi" w:cstheme="majorBidi"/>
          <w:color w:val="000000"/>
        </w:rPr>
        <w:t xml:space="preserve">nt à préparer et </w:t>
      </w:r>
      <w:r>
        <w:rPr>
          <w:rFonts w:asciiTheme="majorBidi" w:hAnsiTheme="majorBidi" w:cstheme="majorBidi"/>
          <w:color w:val="000000"/>
        </w:rPr>
        <w:t xml:space="preserve">à </w:t>
      </w:r>
      <w:r w:rsidRPr="00301636">
        <w:rPr>
          <w:rFonts w:asciiTheme="majorBidi" w:hAnsiTheme="majorBidi" w:cstheme="majorBidi"/>
          <w:color w:val="000000"/>
        </w:rPr>
        <w:t>faciliter le trafic illicite de drogues</w:t>
      </w:r>
      <w:r w:rsidR="0076567F">
        <w:rPr>
          <w:rFonts w:asciiTheme="majorBidi" w:hAnsiTheme="majorBidi" w:cstheme="majorBidi"/>
          <w:color w:val="000000"/>
        </w:rPr>
        <w:t xml:space="preserve"> ou des actes d’exécution dans le cadre d’une participation criminelle</w:t>
      </w:r>
      <w:r w:rsidR="00FB714F">
        <w:rPr>
          <w:rFonts w:asciiTheme="majorBidi" w:hAnsiTheme="majorBidi" w:cstheme="majorBidi"/>
          <w:color w:val="000000"/>
        </w:rPr>
        <w:t xml:space="preserve">. </w:t>
      </w:r>
    </w:p>
    <w:p w14:paraId="3E1977A6" w14:textId="76E46C76" w:rsidR="0007499D" w:rsidRDefault="0007499D" w:rsidP="001D1A8B">
      <w:pPr>
        <w:jc w:val="both"/>
        <w:rPr>
          <w:rFonts w:asciiTheme="majorBidi" w:hAnsiTheme="majorBidi" w:cstheme="majorBidi"/>
          <w:color w:val="000000"/>
        </w:rPr>
      </w:pPr>
    </w:p>
    <w:p w14:paraId="248BDDBE" w14:textId="2ADB4149" w:rsidR="0007499D" w:rsidRDefault="00B646ED" w:rsidP="001D1A8B">
      <w:pPr>
        <w:jc w:val="both"/>
        <w:rPr>
          <w:rFonts w:asciiTheme="majorBidi" w:hAnsiTheme="majorBidi" w:cstheme="majorBidi"/>
          <w:color w:val="000000"/>
        </w:rPr>
      </w:pPr>
      <w:r>
        <w:rPr>
          <w:rFonts w:asciiTheme="majorBidi" w:hAnsiTheme="majorBidi" w:cstheme="majorBidi"/>
          <w:color w:val="000000"/>
        </w:rPr>
        <w:t>La Cour confirme ici son interprétation large de la notion d’actes préparatoir</w:t>
      </w:r>
      <w:r w:rsidRPr="004E2F5E">
        <w:rPr>
          <w:rFonts w:asciiTheme="majorBidi" w:hAnsiTheme="majorBidi" w:cstheme="majorBidi"/>
          <w:color w:val="000000" w:themeColor="text1"/>
        </w:rPr>
        <w:t>e</w:t>
      </w:r>
      <w:r w:rsidR="0063583A" w:rsidRPr="004E2F5E">
        <w:rPr>
          <w:rFonts w:asciiTheme="majorBidi" w:hAnsiTheme="majorBidi" w:cstheme="majorBidi"/>
          <w:color w:val="000000" w:themeColor="text1"/>
        </w:rPr>
        <w:t>s</w:t>
      </w:r>
      <w:r>
        <w:rPr>
          <w:rStyle w:val="Appelnotedebasdep"/>
          <w:rFonts w:asciiTheme="majorBidi" w:hAnsiTheme="majorBidi" w:cstheme="majorBidi"/>
          <w:color w:val="000000"/>
        </w:rPr>
        <w:footnoteReference w:id="11"/>
      </w:r>
      <w:r w:rsidR="00FB714F">
        <w:rPr>
          <w:rFonts w:asciiTheme="majorBidi" w:hAnsiTheme="majorBidi" w:cstheme="majorBidi"/>
          <w:color w:val="000000"/>
        </w:rPr>
        <w:t>, considérant qu’i</w:t>
      </w:r>
      <w:r w:rsidR="00FB714F" w:rsidRPr="00301636">
        <w:rPr>
          <w:rFonts w:asciiTheme="majorBidi" w:hAnsiTheme="majorBidi" w:cstheme="majorBidi"/>
          <w:color w:val="000000"/>
        </w:rPr>
        <w:t>l ressort des termes, de l’objectif et de l’historique de l’</w:t>
      </w:r>
      <w:r w:rsidR="00FB714F" w:rsidRPr="00505FF0">
        <w:rPr>
          <w:rFonts w:asciiTheme="majorBidi" w:hAnsiTheme="majorBidi" w:cstheme="majorBidi"/>
        </w:rPr>
        <w:t>article 2</w:t>
      </w:r>
      <w:r w:rsidR="00FB714F" w:rsidRPr="00505FF0">
        <w:rPr>
          <w:rFonts w:asciiTheme="majorBidi" w:hAnsiTheme="majorBidi" w:cstheme="majorBidi"/>
          <w:i/>
          <w:iCs/>
        </w:rPr>
        <w:t>bis</w:t>
      </w:r>
      <w:r w:rsidR="00FB714F" w:rsidRPr="00301636">
        <w:rPr>
          <w:rFonts w:asciiTheme="majorBidi" w:hAnsiTheme="majorBidi" w:cstheme="majorBidi"/>
          <w:color w:val="000000"/>
        </w:rPr>
        <w:t xml:space="preserve">, § 6 de la loi sur les drogues que le législateur </w:t>
      </w:r>
      <w:r w:rsidR="00FB714F">
        <w:rPr>
          <w:rFonts w:asciiTheme="majorBidi" w:hAnsiTheme="majorBidi" w:cstheme="majorBidi"/>
          <w:color w:val="000000"/>
        </w:rPr>
        <w:t>a visé</w:t>
      </w:r>
      <w:r w:rsidR="00FB714F" w:rsidRPr="00301636">
        <w:rPr>
          <w:rFonts w:asciiTheme="majorBidi" w:hAnsiTheme="majorBidi" w:cstheme="majorBidi"/>
          <w:color w:val="000000"/>
        </w:rPr>
        <w:t xml:space="preserve"> non seulement l’incrimination d’actes préparatoires à la production de drogues, mais </w:t>
      </w:r>
      <w:r w:rsidR="00FB714F">
        <w:rPr>
          <w:rFonts w:asciiTheme="majorBidi" w:hAnsiTheme="majorBidi" w:cstheme="majorBidi"/>
          <w:color w:val="000000"/>
        </w:rPr>
        <w:t>aussi</w:t>
      </w:r>
      <w:r w:rsidR="00FB714F" w:rsidRPr="00301636">
        <w:rPr>
          <w:rFonts w:asciiTheme="majorBidi" w:hAnsiTheme="majorBidi" w:cstheme="majorBidi"/>
          <w:color w:val="000000"/>
        </w:rPr>
        <w:t xml:space="preserve"> tous les actes qui visent à préparer et, ainsi, </w:t>
      </w:r>
      <w:r w:rsidR="00FB714F">
        <w:rPr>
          <w:rFonts w:asciiTheme="majorBidi" w:hAnsiTheme="majorBidi" w:cstheme="majorBidi"/>
          <w:color w:val="000000"/>
        </w:rPr>
        <w:t xml:space="preserve">à </w:t>
      </w:r>
      <w:r w:rsidR="00FB714F" w:rsidRPr="00301636">
        <w:rPr>
          <w:rFonts w:asciiTheme="majorBidi" w:hAnsiTheme="majorBidi" w:cstheme="majorBidi"/>
          <w:color w:val="000000"/>
        </w:rPr>
        <w:t>faciliter le trafic illicite de drogues, en vue de lutter contre tous les maillons du trafic de drogues organisé</w:t>
      </w:r>
      <w:r w:rsidR="00FB714F">
        <w:rPr>
          <w:rFonts w:asciiTheme="majorBidi" w:hAnsiTheme="majorBidi" w:cstheme="majorBidi"/>
          <w:color w:val="000000"/>
        </w:rPr>
        <w:t xml:space="preserve">. </w:t>
      </w:r>
      <w:r w:rsidR="006941B6">
        <w:rPr>
          <w:rFonts w:asciiTheme="majorBidi" w:hAnsiTheme="majorBidi" w:cstheme="majorBidi"/>
          <w:color w:val="000000"/>
        </w:rPr>
        <w:t xml:space="preserve">La Cour considère que c’est dès lors à juste titre, sur la base des éléments du dossier, que la Cour d’appel d’Anvers a estimé que </w:t>
      </w:r>
      <w:r w:rsidR="006941B6" w:rsidRPr="00785611">
        <w:rPr>
          <w:rFonts w:asciiTheme="majorBidi" w:hAnsiTheme="majorBidi" w:cstheme="majorBidi"/>
          <w:color w:val="000000"/>
        </w:rPr>
        <w:t>l</w:t>
      </w:r>
      <w:r w:rsidR="006941B6">
        <w:rPr>
          <w:rFonts w:asciiTheme="majorBidi" w:hAnsiTheme="majorBidi" w:cstheme="majorBidi"/>
          <w:color w:val="000000"/>
        </w:rPr>
        <w:t>’</w:t>
      </w:r>
      <w:r w:rsidR="006941B6" w:rsidRPr="00785611">
        <w:rPr>
          <w:rFonts w:asciiTheme="majorBidi" w:hAnsiTheme="majorBidi" w:cstheme="majorBidi"/>
          <w:color w:val="000000"/>
        </w:rPr>
        <w:t>achat de méthanol en grande</w:t>
      </w:r>
      <w:r w:rsidR="006941B6">
        <w:rPr>
          <w:rFonts w:asciiTheme="majorBidi" w:hAnsiTheme="majorBidi" w:cstheme="majorBidi"/>
          <w:color w:val="000000"/>
        </w:rPr>
        <w:t>s</w:t>
      </w:r>
      <w:r w:rsidR="006941B6" w:rsidRPr="00785611">
        <w:rPr>
          <w:rFonts w:asciiTheme="majorBidi" w:hAnsiTheme="majorBidi" w:cstheme="majorBidi"/>
          <w:color w:val="000000"/>
        </w:rPr>
        <w:t xml:space="preserve"> quantité</w:t>
      </w:r>
      <w:r w:rsidR="006941B6">
        <w:rPr>
          <w:rFonts w:asciiTheme="majorBidi" w:hAnsiTheme="majorBidi" w:cstheme="majorBidi"/>
          <w:color w:val="000000"/>
        </w:rPr>
        <w:t xml:space="preserve">s </w:t>
      </w:r>
      <w:r w:rsidR="006941B6" w:rsidRPr="006941B6">
        <w:rPr>
          <w:rFonts w:asciiTheme="majorBidi" w:hAnsiTheme="majorBidi" w:cstheme="majorBidi"/>
          <w:color w:val="000000"/>
        </w:rPr>
        <w:t>peut être considéré comme un acte préparatoire en vue de la production illégale de stupéfiants</w:t>
      </w:r>
      <w:r w:rsidR="006941B6">
        <w:rPr>
          <w:rFonts w:asciiTheme="majorBidi" w:hAnsiTheme="majorBidi" w:cstheme="majorBidi"/>
          <w:color w:val="000000"/>
        </w:rPr>
        <w:t xml:space="preserve">, même </w:t>
      </w:r>
      <w:r w:rsidR="00B479CE">
        <w:rPr>
          <w:rFonts w:asciiTheme="majorBidi" w:hAnsiTheme="majorBidi" w:cstheme="majorBidi"/>
          <w:color w:val="000000"/>
        </w:rPr>
        <w:t>si</w:t>
      </w:r>
      <w:r w:rsidR="006941B6" w:rsidRPr="006941B6">
        <w:rPr>
          <w:rFonts w:asciiTheme="majorBidi" w:hAnsiTheme="majorBidi" w:cstheme="majorBidi"/>
          <w:color w:val="000000"/>
        </w:rPr>
        <w:t xml:space="preserve"> le méthanol a de nombreuses applications légales et est en vente libre</w:t>
      </w:r>
      <w:r w:rsidR="00B479CE">
        <w:rPr>
          <w:rFonts w:asciiTheme="majorBidi" w:hAnsiTheme="majorBidi" w:cstheme="majorBidi"/>
          <w:color w:val="000000"/>
        </w:rPr>
        <w:t xml:space="preserve"> </w:t>
      </w:r>
      <w:r w:rsidR="0007499D" w:rsidRPr="0007499D">
        <w:rPr>
          <w:rFonts w:asciiTheme="majorBidi" w:hAnsiTheme="majorBidi" w:cstheme="majorBidi"/>
          <w:color w:val="000000"/>
        </w:rPr>
        <w:t>(</w:t>
      </w:r>
      <w:r w:rsidR="0007499D" w:rsidRPr="0007499D">
        <w:rPr>
          <w:rFonts w:asciiTheme="majorBidi" w:hAnsiTheme="majorBidi" w:cstheme="majorBidi"/>
          <w:kern w:val="36"/>
        </w:rPr>
        <w:t xml:space="preserve">Cass. 7 décembre 2021, </w:t>
      </w:r>
      <w:r w:rsidR="0007499D" w:rsidRPr="0007499D">
        <w:rPr>
          <w:rFonts w:asciiTheme="majorBidi" w:hAnsiTheme="majorBidi" w:cstheme="majorBidi"/>
          <w:i/>
          <w:iCs/>
          <w:color w:val="000000"/>
        </w:rPr>
        <w:t>R.A.B.G</w:t>
      </w:r>
      <w:r w:rsidR="0007499D" w:rsidRPr="0007499D">
        <w:rPr>
          <w:rFonts w:asciiTheme="majorBidi" w:hAnsiTheme="majorBidi" w:cstheme="majorBidi"/>
          <w:color w:val="000000"/>
        </w:rPr>
        <w:t>., 2022</w:t>
      </w:r>
      <w:r w:rsidR="0007499D">
        <w:rPr>
          <w:rFonts w:asciiTheme="majorBidi" w:hAnsiTheme="majorBidi" w:cstheme="majorBidi"/>
          <w:color w:val="000000"/>
        </w:rPr>
        <w:t>/</w:t>
      </w:r>
      <w:r w:rsidR="0007499D" w:rsidRPr="0007499D">
        <w:rPr>
          <w:rFonts w:asciiTheme="majorBidi" w:hAnsiTheme="majorBidi" w:cstheme="majorBidi"/>
          <w:color w:val="000000"/>
        </w:rPr>
        <w:t xml:space="preserve">9, </w:t>
      </w:r>
      <w:r w:rsidR="0007499D">
        <w:rPr>
          <w:rFonts w:asciiTheme="majorBidi" w:hAnsiTheme="majorBidi" w:cstheme="majorBidi"/>
          <w:color w:val="000000"/>
        </w:rPr>
        <w:t xml:space="preserve">p. </w:t>
      </w:r>
      <w:r w:rsidR="0007499D" w:rsidRPr="0007499D">
        <w:rPr>
          <w:rFonts w:asciiTheme="majorBidi" w:hAnsiTheme="majorBidi" w:cstheme="majorBidi"/>
          <w:color w:val="000000"/>
        </w:rPr>
        <w:t xml:space="preserve">621, </w:t>
      </w:r>
      <w:r w:rsidR="0007499D" w:rsidRPr="00505FF0">
        <w:rPr>
          <w:rFonts w:asciiTheme="majorBidi" w:hAnsiTheme="majorBidi" w:cstheme="majorBidi"/>
          <w:color w:val="000000"/>
        </w:rPr>
        <w:t>note</w:t>
      </w:r>
      <w:r w:rsidR="0007499D" w:rsidRPr="0007499D">
        <w:rPr>
          <w:rFonts w:asciiTheme="majorBidi" w:hAnsiTheme="majorBidi" w:cstheme="majorBidi"/>
          <w:color w:val="000000"/>
        </w:rPr>
        <w:t>).</w:t>
      </w:r>
      <w:r w:rsidR="00785611">
        <w:rPr>
          <w:rFonts w:asciiTheme="majorBidi" w:hAnsiTheme="majorBidi" w:cstheme="majorBidi"/>
          <w:color w:val="000000"/>
        </w:rPr>
        <w:t xml:space="preserve"> </w:t>
      </w:r>
    </w:p>
    <w:p w14:paraId="5DB825B0" w14:textId="7C8ABD82" w:rsidR="00785611" w:rsidRDefault="00785611" w:rsidP="001D1A8B">
      <w:pPr>
        <w:jc w:val="both"/>
        <w:rPr>
          <w:rFonts w:asciiTheme="majorBidi" w:hAnsiTheme="majorBidi" w:cstheme="majorBidi"/>
          <w:color w:val="000000"/>
        </w:rPr>
      </w:pPr>
    </w:p>
    <w:p w14:paraId="00786F29" w14:textId="7161D965" w:rsidR="00785611" w:rsidRDefault="00785611" w:rsidP="001D1A8B">
      <w:pPr>
        <w:jc w:val="both"/>
        <w:rPr>
          <w:rFonts w:asciiTheme="majorBidi" w:hAnsiTheme="majorBidi" w:cstheme="majorBidi"/>
          <w:bCs/>
          <w:color w:val="000000"/>
        </w:rPr>
      </w:pPr>
      <w:r w:rsidRPr="00FB714F">
        <w:rPr>
          <w:rFonts w:asciiTheme="majorBidi" w:hAnsiTheme="majorBidi" w:cstheme="majorBidi"/>
          <w:bCs/>
          <w:color w:val="000000"/>
        </w:rPr>
        <w:t xml:space="preserve">Dans un arrêt du 27 avril 2021, la Cour de cassation </w:t>
      </w:r>
      <w:r>
        <w:rPr>
          <w:rFonts w:asciiTheme="majorBidi" w:hAnsiTheme="majorBidi" w:cstheme="majorBidi"/>
          <w:bCs/>
          <w:color w:val="000000"/>
        </w:rPr>
        <w:t>avait déjà précisé</w:t>
      </w:r>
      <w:r w:rsidRPr="00FB714F">
        <w:rPr>
          <w:rFonts w:asciiTheme="majorBidi" w:hAnsiTheme="majorBidi" w:cstheme="majorBidi"/>
          <w:bCs/>
          <w:color w:val="000000"/>
        </w:rPr>
        <w:t xml:space="preserve"> que les juridictions décident souverainement si l’aide apportée dans le cadre d’une culture de cannabis constitue un acte de participation ou un acte préparatoire, </w:t>
      </w:r>
      <w:r>
        <w:rPr>
          <w:rFonts w:asciiTheme="majorBidi" w:hAnsiTheme="majorBidi" w:cstheme="majorBidi"/>
          <w:bCs/>
          <w:color w:val="000000"/>
        </w:rPr>
        <w:t>précisant</w:t>
      </w:r>
      <w:r w:rsidRPr="00FB714F">
        <w:rPr>
          <w:rFonts w:asciiTheme="majorBidi" w:hAnsiTheme="majorBidi" w:cstheme="majorBidi"/>
          <w:bCs/>
          <w:color w:val="000000"/>
        </w:rPr>
        <w:t xml:space="preserve"> que l</w:t>
      </w:r>
      <w:r>
        <w:rPr>
          <w:rFonts w:asciiTheme="majorBidi" w:hAnsiTheme="majorBidi" w:cstheme="majorBidi"/>
          <w:bCs/>
          <w:color w:val="000000"/>
        </w:rPr>
        <w:t>’</w:t>
      </w:r>
      <w:r w:rsidRPr="00FB714F">
        <w:rPr>
          <w:rFonts w:asciiTheme="majorBidi" w:hAnsiTheme="majorBidi" w:cstheme="majorBidi"/>
          <w:bCs/>
          <w:color w:val="000000"/>
        </w:rPr>
        <w:t xml:space="preserve">incrimination des actes préparatoires en matière de drogues n’affecte en rien les incriminations préexistantes en droit pénal. La Cour d’appel d’Anvers avait </w:t>
      </w:r>
      <w:r>
        <w:rPr>
          <w:rFonts w:asciiTheme="majorBidi" w:hAnsiTheme="majorBidi" w:cstheme="majorBidi"/>
          <w:bCs/>
          <w:color w:val="000000"/>
        </w:rPr>
        <w:t xml:space="preserve">en effet </w:t>
      </w:r>
      <w:r w:rsidRPr="00FB714F">
        <w:rPr>
          <w:rFonts w:asciiTheme="majorBidi" w:hAnsiTheme="majorBidi" w:cstheme="majorBidi"/>
          <w:bCs/>
          <w:color w:val="000000"/>
        </w:rPr>
        <w:t>considéré que le demandeur ne s’était pas contenté de poser des actes préparatoires, mais avait fourni une aide indispensable à la culture de plants de cannabis, dans le cadre d’une association</w:t>
      </w:r>
      <w:r w:rsidRPr="00FB714F">
        <w:rPr>
          <w:rFonts w:asciiTheme="majorBidi" w:hAnsiTheme="majorBidi" w:cstheme="majorBidi"/>
          <w:bCs/>
          <w:color w:val="000000"/>
          <w:vertAlign w:val="superscript"/>
        </w:rPr>
        <w:footnoteReference w:id="12"/>
      </w:r>
      <w:r w:rsidRPr="00FB714F">
        <w:rPr>
          <w:rFonts w:asciiTheme="majorBidi" w:hAnsiTheme="majorBidi" w:cstheme="majorBidi"/>
          <w:bCs/>
          <w:color w:val="000000"/>
        </w:rPr>
        <w:t>.</w:t>
      </w:r>
      <w:r w:rsidR="006941B6">
        <w:rPr>
          <w:rFonts w:asciiTheme="majorBidi" w:hAnsiTheme="majorBidi" w:cstheme="majorBidi"/>
          <w:bCs/>
          <w:color w:val="000000"/>
        </w:rPr>
        <w:t xml:space="preserve"> </w:t>
      </w:r>
      <w:r w:rsidRPr="00FB714F">
        <w:rPr>
          <w:rFonts w:asciiTheme="majorBidi" w:hAnsiTheme="majorBidi" w:cstheme="majorBidi"/>
          <w:bCs/>
          <w:color w:val="000000"/>
        </w:rPr>
        <w:t>Rappelons que la qualification de l’un ou de l’autre (participation criminelle, au titre de la corréité, ou actes préparatoires) ne change rien au taux de la peine, celle-ci étant identique dans les deux cas</w:t>
      </w:r>
      <w:r>
        <w:rPr>
          <w:rStyle w:val="Appelnotedebasdep"/>
          <w:rFonts w:asciiTheme="majorBidi" w:hAnsiTheme="majorBidi" w:cstheme="majorBidi"/>
          <w:bCs/>
          <w:color w:val="000000"/>
        </w:rPr>
        <w:footnoteReference w:id="13"/>
      </w:r>
      <w:r w:rsidRPr="00FB714F">
        <w:rPr>
          <w:rFonts w:asciiTheme="majorBidi" w:hAnsiTheme="majorBidi" w:cstheme="majorBidi"/>
          <w:bCs/>
          <w:color w:val="000000"/>
        </w:rPr>
        <w:t>.</w:t>
      </w:r>
    </w:p>
    <w:p w14:paraId="51DDF426" w14:textId="32B1EC52" w:rsidR="00D6572D" w:rsidRDefault="00D6572D" w:rsidP="001D1A8B">
      <w:pPr>
        <w:jc w:val="both"/>
        <w:rPr>
          <w:rFonts w:asciiTheme="majorBidi" w:hAnsiTheme="majorBidi" w:cstheme="majorBidi"/>
          <w:bCs/>
          <w:color w:val="000000"/>
        </w:rPr>
      </w:pPr>
    </w:p>
    <w:p w14:paraId="6EC3DB6E" w14:textId="256703E2" w:rsidR="00D6572D" w:rsidRDefault="00D6572D" w:rsidP="001D1A8B">
      <w:pPr>
        <w:jc w:val="both"/>
        <w:rPr>
          <w:rFonts w:asciiTheme="majorBidi" w:hAnsiTheme="majorBidi" w:cstheme="majorBidi"/>
          <w:b/>
          <w:bCs/>
          <w:color w:val="000000"/>
          <w:shd w:val="clear" w:color="auto" w:fill="FFFFFF"/>
        </w:rPr>
      </w:pPr>
      <w:r>
        <w:rPr>
          <w:rFonts w:asciiTheme="majorBidi" w:hAnsiTheme="majorBidi" w:cstheme="majorBidi"/>
          <w:b/>
          <w:bCs/>
          <w:kern w:val="36"/>
        </w:rPr>
        <w:t xml:space="preserve">Stupéfiants – </w:t>
      </w:r>
      <w:r>
        <w:rPr>
          <w:rFonts w:asciiTheme="majorBidi" w:hAnsiTheme="majorBidi" w:cstheme="majorBidi"/>
          <w:b/>
          <w:bCs/>
          <w:color w:val="000000"/>
          <w:shd w:val="clear" w:color="auto" w:fill="FFFFFF"/>
        </w:rPr>
        <w:t xml:space="preserve">Participation criminelle (non) </w:t>
      </w:r>
    </w:p>
    <w:p w14:paraId="7C0CB47D" w14:textId="77777777" w:rsidR="00D6572D" w:rsidRDefault="00D6572D" w:rsidP="001D1A8B">
      <w:pPr>
        <w:jc w:val="both"/>
        <w:rPr>
          <w:rFonts w:asciiTheme="majorBidi" w:hAnsiTheme="majorBidi" w:cstheme="majorBidi"/>
          <w:bCs/>
          <w:color w:val="000000"/>
        </w:rPr>
      </w:pPr>
    </w:p>
    <w:p w14:paraId="304BBAD4" w14:textId="6924AE7E" w:rsidR="00D6572D" w:rsidRPr="00F436F7" w:rsidRDefault="00D6572D" w:rsidP="001D1A8B">
      <w:pPr>
        <w:jc w:val="both"/>
        <w:outlineLvl w:val="2"/>
        <w:rPr>
          <w:rFonts w:asciiTheme="majorBidi" w:hAnsiTheme="majorBidi" w:cstheme="majorBidi"/>
          <w:color w:val="000000" w:themeColor="text1"/>
        </w:rPr>
      </w:pPr>
      <w:r w:rsidRPr="00F436F7">
        <w:rPr>
          <w:rFonts w:asciiTheme="majorBidi" w:hAnsiTheme="majorBidi" w:cstheme="majorBidi"/>
          <w:color w:val="000000" w:themeColor="text1"/>
        </w:rPr>
        <w:t xml:space="preserve">La Cour de cassation casse un arrêt de la Cour d’appel d’Avers qui avait condamné un prévenu en tant que coauteur de l’infraction de vol d’eau et d’électricité, au motif, qu’impliqué dans l’exploitation d’une plantation de cannabis, </w:t>
      </w:r>
      <w:r>
        <w:rPr>
          <w:rFonts w:asciiTheme="majorBidi" w:hAnsiTheme="majorBidi" w:cstheme="majorBidi"/>
          <w:color w:val="000000" w:themeColor="text1"/>
        </w:rPr>
        <w:t>le prévenu</w:t>
      </w:r>
      <w:r w:rsidRPr="00F436F7">
        <w:rPr>
          <w:rFonts w:asciiTheme="majorBidi" w:hAnsiTheme="majorBidi" w:cstheme="majorBidi"/>
          <w:color w:val="000000" w:themeColor="text1"/>
        </w:rPr>
        <w:t xml:space="preserve"> a</w:t>
      </w:r>
      <w:r>
        <w:rPr>
          <w:rFonts w:asciiTheme="majorBidi" w:hAnsiTheme="majorBidi" w:cstheme="majorBidi"/>
          <w:color w:val="000000" w:themeColor="text1"/>
        </w:rPr>
        <w:t>vait</w:t>
      </w:r>
      <w:r w:rsidRPr="00F436F7">
        <w:rPr>
          <w:rFonts w:asciiTheme="majorBidi" w:hAnsiTheme="majorBidi" w:cstheme="majorBidi"/>
          <w:color w:val="000000" w:themeColor="text1"/>
        </w:rPr>
        <w:t xml:space="preserve"> nécessairement participé au vol d</w:t>
      </w:r>
      <w:r>
        <w:rPr>
          <w:rFonts w:asciiTheme="majorBidi" w:hAnsiTheme="majorBidi" w:cstheme="majorBidi"/>
          <w:color w:val="000000" w:themeColor="text1"/>
        </w:rPr>
        <w:t>’</w:t>
      </w:r>
      <w:r w:rsidRPr="00F436F7">
        <w:rPr>
          <w:rFonts w:asciiTheme="majorBidi" w:hAnsiTheme="majorBidi" w:cstheme="majorBidi"/>
          <w:color w:val="000000" w:themeColor="text1"/>
        </w:rPr>
        <w:t>eau et d</w:t>
      </w:r>
      <w:r>
        <w:rPr>
          <w:rFonts w:asciiTheme="majorBidi" w:hAnsiTheme="majorBidi" w:cstheme="majorBidi"/>
          <w:color w:val="000000" w:themeColor="text1"/>
        </w:rPr>
        <w:t>’</w:t>
      </w:r>
      <w:r w:rsidRPr="00F436F7">
        <w:rPr>
          <w:rFonts w:asciiTheme="majorBidi" w:hAnsiTheme="majorBidi" w:cstheme="majorBidi"/>
          <w:color w:val="000000" w:themeColor="text1"/>
        </w:rPr>
        <w:t xml:space="preserve">électricité, </w:t>
      </w:r>
      <w:r>
        <w:rPr>
          <w:rFonts w:asciiTheme="majorBidi" w:hAnsiTheme="majorBidi" w:cstheme="majorBidi"/>
          <w:color w:val="000000" w:themeColor="text1"/>
        </w:rPr>
        <w:t xml:space="preserve">indispensable </w:t>
      </w:r>
      <w:r w:rsidRPr="00F436F7">
        <w:rPr>
          <w:rFonts w:asciiTheme="majorBidi" w:hAnsiTheme="majorBidi" w:cstheme="majorBidi"/>
          <w:color w:val="000000" w:themeColor="text1"/>
        </w:rPr>
        <w:t>à l</w:t>
      </w:r>
      <w:r>
        <w:rPr>
          <w:rFonts w:asciiTheme="majorBidi" w:hAnsiTheme="majorBidi" w:cstheme="majorBidi"/>
          <w:color w:val="000000" w:themeColor="text1"/>
        </w:rPr>
        <w:t>’</w:t>
      </w:r>
      <w:r w:rsidRPr="00F436F7">
        <w:rPr>
          <w:rFonts w:asciiTheme="majorBidi" w:hAnsiTheme="majorBidi" w:cstheme="majorBidi"/>
          <w:color w:val="000000" w:themeColor="text1"/>
        </w:rPr>
        <w:t>exploitation d'une plantation de cannabis.</w:t>
      </w:r>
    </w:p>
    <w:p w14:paraId="644B1368" w14:textId="77777777" w:rsidR="00D6572D" w:rsidRDefault="00D6572D" w:rsidP="001D1A8B">
      <w:pPr>
        <w:jc w:val="both"/>
        <w:outlineLvl w:val="2"/>
        <w:rPr>
          <w:rFonts w:asciiTheme="majorBidi" w:hAnsiTheme="majorBidi" w:cstheme="majorBidi"/>
          <w:b/>
          <w:bCs/>
          <w:color w:val="000000" w:themeColor="text1"/>
        </w:rPr>
      </w:pPr>
    </w:p>
    <w:p w14:paraId="2F34660F" w14:textId="5422573A" w:rsidR="00D6572D" w:rsidRPr="00772F47" w:rsidRDefault="00D6572D" w:rsidP="001D1A8B">
      <w:pPr>
        <w:jc w:val="both"/>
        <w:outlineLvl w:val="2"/>
        <w:rPr>
          <w:rFonts w:asciiTheme="majorBidi" w:hAnsiTheme="majorBidi" w:cstheme="majorBidi"/>
          <w:color w:val="000000" w:themeColor="text1"/>
          <w:lang w:val="pt-BR"/>
        </w:rPr>
      </w:pPr>
      <w:r w:rsidRPr="00C630EC">
        <w:rPr>
          <w:rFonts w:asciiTheme="majorBidi" w:hAnsiTheme="majorBidi" w:cstheme="majorBidi"/>
          <w:color w:val="000000" w:themeColor="text1"/>
        </w:rPr>
        <w:t>Reprenant les termes de l’article 66, al</w:t>
      </w:r>
      <w:r>
        <w:rPr>
          <w:rFonts w:asciiTheme="majorBidi" w:hAnsiTheme="majorBidi" w:cstheme="majorBidi"/>
          <w:color w:val="000000" w:themeColor="text1"/>
        </w:rPr>
        <w:t>inéa</w:t>
      </w:r>
      <w:r w:rsidRPr="00C630EC">
        <w:rPr>
          <w:rFonts w:asciiTheme="majorBidi" w:hAnsiTheme="majorBidi" w:cstheme="majorBidi"/>
          <w:color w:val="000000" w:themeColor="text1"/>
        </w:rPr>
        <w:t xml:space="preserve"> 3 du Code pénal, la Cour rappelle, d’une part, que la participation criminelle exige un élément de connaissance et un élément de volonté, à savoir que le coauteur doit savoir qu’il coopère à l’infraction principale et doit avoir  l’intention d’y participer et, d’autre part, que la participation criminelle requiert, en principe, l’accomplissement d’un acte positif précédant ou accompagnant la commission de l’infraction principale. Or, la simple circonstance que le prévenu aurait dû avoir connaissance des infractions qu’on lui reproche en tant que coauteur ne peut suffire et la Cour d’appel ne relève aucun acte positif dans le chef du prévenu, par lequel il aurait apporté une aide indispensable</w:t>
      </w:r>
      <w:r>
        <w:rPr>
          <w:rFonts w:asciiTheme="majorBidi" w:hAnsiTheme="majorBidi" w:cstheme="majorBidi"/>
          <w:color w:val="000000" w:themeColor="text1"/>
        </w:rPr>
        <w:t xml:space="preserve"> (</w:t>
      </w:r>
      <w:r w:rsidRPr="00470FD6">
        <w:rPr>
          <w:rFonts w:asciiTheme="majorBidi" w:hAnsiTheme="majorBidi" w:cstheme="majorBidi"/>
          <w:color w:val="000000" w:themeColor="text1"/>
        </w:rPr>
        <w:t xml:space="preserve">Cass. </w:t>
      </w:r>
      <w:r w:rsidRPr="00772F47">
        <w:rPr>
          <w:rFonts w:asciiTheme="majorBidi" w:hAnsiTheme="majorBidi" w:cstheme="majorBidi"/>
          <w:color w:val="000000" w:themeColor="text1"/>
          <w:lang w:val="pt-BR"/>
        </w:rPr>
        <w:t xml:space="preserve">(2e ch.), R.G. P.22.0952.N, 15 </w:t>
      </w:r>
      <w:proofErr w:type="spellStart"/>
      <w:r w:rsidRPr="00772F47">
        <w:rPr>
          <w:rFonts w:asciiTheme="majorBidi" w:hAnsiTheme="majorBidi" w:cstheme="majorBidi"/>
          <w:color w:val="000000" w:themeColor="text1"/>
          <w:lang w:val="pt-BR"/>
        </w:rPr>
        <w:t>novembre</w:t>
      </w:r>
      <w:proofErr w:type="spellEnd"/>
      <w:r w:rsidRPr="00772F47">
        <w:rPr>
          <w:rFonts w:asciiTheme="majorBidi" w:hAnsiTheme="majorBidi" w:cstheme="majorBidi"/>
          <w:color w:val="000000" w:themeColor="text1"/>
          <w:lang w:val="pt-BR"/>
        </w:rPr>
        <w:t xml:space="preserve"> 2022</w:t>
      </w:r>
      <w:r w:rsidRPr="00772F47">
        <w:rPr>
          <w:rFonts w:asciiTheme="majorBidi" w:hAnsiTheme="majorBidi" w:cstheme="majorBidi"/>
          <w:b/>
          <w:bCs/>
          <w:color w:val="000000" w:themeColor="text1"/>
          <w:lang w:val="pt-BR"/>
        </w:rPr>
        <w:t xml:space="preserve">, </w:t>
      </w:r>
      <w:proofErr w:type="spellStart"/>
      <w:r w:rsidRPr="00772F47">
        <w:rPr>
          <w:rFonts w:asciiTheme="majorBidi" w:hAnsiTheme="majorBidi" w:cstheme="majorBidi"/>
          <w:i/>
          <w:iCs/>
          <w:color w:val="000000" w:themeColor="text1"/>
          <w:shd w:val="clear" w:color="auto" w:fill="FFFFFF"/>
          <w:lang w:val="pt-BR"/>
        </w:rPr>
        <w:t>Limb</w:t>
      </w:r>
      <w:proofErr w:type="spellEnd"/>
      <w:r w:rsidRPr="00772F47">
        <w:rPr>
          <w:rFonts w:asciiTheme="majorBidi" w:hAnsiTheme="majorBidi" w:cstheme="majorBidi"/>
          <w:i/>
          <w:iCs/>
          <w:color w:val="000000" w:themeColor="text1"/>
          <w:shd w:val="clear" w:color="auto" w:fill="FFFFFF"/>
          <w:lang w:val="pt-BR"/>
        </w:rPr>
        <w:t xml:space="preserve">. </w:t>
      </w:r>
      <w:proofErr w:type="spellStart"/>
      <w:r w:rsidRPr="00772F47">
        <w:rPr>
          <w:rFonts w:asciiTheme="majorBidi" w:hAnsiTheme="majorBidi" w:cstheme="majorBidi"/>
          <w:i/>
          <w:iCs/>
          <w:color w:val="000000" w:themeColor="text1"/>
          <w:shd w:val="clear" w:color="auto" w:fill="FFFFFF"/>
          <w:lang w:val="pt-BR"/>
        </w:rPr>
        <w:t>Rechtsl</w:t>
      </w:r>
      <w:proofErr w:type="spellEnd"/>
      <w:r w:rsidRPr="00772F47">
        <w:rPr>
          <w:rFonts w:asciiTheme="majorBidi" w:hAnsiTheme="majorBidi" w:cstheme="majorBidi"/>
          <w:i/>
          <w:iCs/>
          <w:color w:val="000000" w:themeColor="text1"/>
          <w:shd w:val="clear" w:color="auto" w:fill="FFFFFF"/>
          <w:lang w:val="pt-BR"/>
        </w:rPr>
        <w:t>.</w:t>
      </w:r>
      <w:r w:rsidRPr="00772F47">
        <w:rPr>
          <w:rFonts w:asciiTheme="majorBidi" w:hAnsiTheme="majorBidi" w:cstheme="majorBidi"/>
          <w:color w:val="000000" w:themeColor="text1"/>
          <w:shd w:val="clear" w:color="auto" w:fill="FFFFFF"/>
          <w:lang w:val="pt-BR"/>
        </w:rPr>
        <w:t>, 2023/1, p7)</w:t>
      </w:r>
      <w:r w:rsidRPr="00772F47">
        <w:rPr>
          <w:rFonts w:asciiTheme="majorBidi" w:hAnsiTheme="majorBidi" w:cstheme="majorBidi"/>
          <w:color w:val="000000" w:themeColor="text1"/>
          <w:lang w:val="pt-BR"/>
        </w:rPr>
        <w:t>.</w:t>
      </w:r>
    </w:p>
    <w:p w14:paraId="12196E9E" w14:textId="2A71D62D" w:rsidR="000821FB" w:rsidRPr="00772F47" w:rsidRDefault="000821FB" w:rsidP="001D1A8B">
      <w:pPr>
        <w:jc w:val="both"/>
        <w:rPr>
          <w:rFonts w:cstheme="minorHAnsi"/>
          <w:color w:val="000000"/>
          <w:shd w:val="clear" w:color="auto" w:fill="FFFFFF"/>
          <w:lang w:val="pt-BR"/>
        </w:rPr>
      </w:pPr>
    </w:p>
    <w:p w14:paraId="1DB091D9" w14:textId="4D6FE8C1" w:rsidR="0007499D" w:rsidRDefault="0007499D" w:rsidP="001D1A8B">
      <w:pPr>
        <w:jc w:val="both"/>
        <w:rPr>
          <w:b/>
          <w:bCs/>
        </w:rPr>
      </w:pPr>
      <w:r w:rsidRPr="0007499D">
        <w:rPr>
          <w:b/>
          <w:bCs/>
        </w:rPr>
        <w:t xml:space="preserve">Stupéfiants – Confiscation – Recours effectif du tiers de bonne foi </w:t>
      </w:r>
    </w:p>
    <w:p w14:paraId="59411AC4" w14:textId="77777777" w:rsidR="00772F47" w:rsidRPr="0007499D" w:rsidRDefault="00772F47" w:rsidP="001D1A8B">
      <w:pPr>
        <w:jc w:val="both"/>
        <w:rPr>
          <w:b/>
          <w:bCs/>
        </w:rPr>
      </w:pPr>
    </w:p>
    <w:p w14:paraId="6C323896" w14:textId="31ACA533" w:rsidR="0007499D" w:rsidRDefault="0007499D" w:rsidP="001D1A8B">
      <w:pPr>
        <w:jc w:val="both"/>
        <w:rPr>
          <w:rFonts w:asciiTheme="majorBidi" w:hAnsiTheme="majorBidi" w:cstheme="majorBidi"/>
          <w:color w:val="000000" w:themeColor="text1"/>
          <w:shd w:val="clear" w:color="auto" w:fill="FFFFFF"/>
        </w:rPr>
      </w:pPr>
      <w:r w:rsidRPr="00301636">
        <w:rPr>
          <w:rFonts w:asciiTheme="majorBidi" w:hAnsiTheme="majorBidi" w:cstheme="majorBidi"/>
          <w:color w:val="000000"/>
        </w:rPr>
        <w:lastRenderedPageBreak/>
        <w:t xml:space="preserve">Lorsque la confiscation de biens qui n’étaient pas la propriété du condamné a été prononcée par le juge pénal, le prétendu propriétaire qui n’est pas intervenu dans la procédure pénale en garantie de son droit de propriété sur la chose saisie peut faire reconnaître son droit de propriété par le tribunal civil en application de l’arrêté royal du 9 août 1991 réglant le délai et les modalités du recours des tiers prétendant droit sur une chose confisquée. Le tiers doit en effet avoir la possibilité d’obtenir la restitution de son bien s’il peut démontrer qu’il est étranger à l’infraction ayant donné lieu à la confiscation. En effet, une confiscation à l’égard d’un tiers de bonne foi qui ne savait et ne pouvait savoir que </w:t>
      </w:r>
      <w:r w:rsidR="00D14BBE">
        <w:rPr>
          <w:rFonts w:asciiTheme="majorBidi" w:hAnsiTheme="majorBidi" w:cstheme="majorBidi"/>
          <w:color w:val="000000"/>
        </w:rPr>
        <w:t>son bien</w:t>
      </w:r>
      <w:r w:rsidRPr="00301636">
        <w:rPr>
          <w:rFonts w:asciiTheme="majorBidi" w:hAnsiTheme="majorBidi" w:cstheme="majorBidi"/>
          <w:color w:val="000000"/>
        </w:rPr>
        <w:t xml:space="preserve"> </w:t>
      </w:r>
      <w:r w:rsidR="00D14BBE">
        <w:rPr>
          <w:rFonts w:asciiTheme="majorBidi" w:hAnsiTheme="majorBidi" w:cstheme="majorBidi"/>
          <w:color w:val="000000"/>
        </w:rPr>
        <w:t>a</w:t>
      </w:r>
      <w:r w:rsidRPr="00301636">
        <w:rPr>
          <w:rFonts w:asciiTheme="majorBidi" w:hAnsiTheme="majorBidi" w:cstheme="majorBidi"/>
          <w:color w:val="000000"/>
        </w:rPr>
        <w:t xml:space="preserve"> été utilisé pour commettre </w:t>
      </w:r>
      <w:r w:rsidR="00D14BBE">
        <w:rPr>
          <w:rFonts w:asciiTheme="majorBidi" w:hAnsiTheme="majorBidi" w:cstheme="majorBidi"/>
          <w:color w:val="000000"/>
        </w:rPr>
        <w:t>une infraction</w:t>
      </w:r>
      <w:r w:rsidRPr="00301636">
        <w:rPr>
          <w:rFonts w:asciiTheme="majorBidi" w:hAnsiTheme="majorBidi" w:cstheme="majorBidi"/>
          <w:color w:val="000000"/>
        </w:rPr>
        <w:t xml:space="preserve"> constitue une intervention disproportionnée et </w:t>
      </w:r>
      <w:r w:rsidR="00B479CE">
        <w:rPr>
          <w:rFonts w:asciiTheme="majorBidi" w:hAnsiTheme="majorBidi" w:cstheme="majorBidi"/>
          <w:color w:val="000000"/>
        </w:rPr>
        <w:t>inadmissible</w:t>
      </w:r>
      <w:r w:rsidRPr="00301636">
        <w:rPr>
          <w:rFonts w:asciiTheme="majorBidi" w:hAnsiTheme="majorBidi" w:cstheme="majorBidi"/>
          <w:color w:val="000000"/>
        </w:rPr>
        <w:t xml:space="preserve"> qui porte atteinte à son droit de propriété, impos</w:t>
      </w:r>
      <w:r w:rsidR="00D14BBE">
        <w:rPr>
          <w:rFonts w:asciiTheme="majorBidi" w:hAnsiTheme="majorBidi" w:cstheme="majorBidi"/>
          <w:color w:val="000000"/>
        </w:rPr>
        <w:t>ant</w:t>
      </w:r>
      <w:r w:rsidRPr="00301636">
        <w:rPr>
          <w:rFonts w:asciiTheme="majorBidi" w:hAnsiTheme="majorBidi" w:cstheme="majorBidi"/>
          <w:color w:val="000000"/>
        </w:rPr>
        <w:t xml:space="preserve"> </w:t>
      </w:r>
      <w:r w:rsidR="00D14BBE">
        <w:rPr>
          <w:rFonts w:asciiTheme="majorBidi" w:hAnsiTheme="majorBidi" w:cstheme="majorBidi"/>
          <w:color w:val="000000"/>
        </w:rPr>
        <w:t xml:space="preserve">qu’il dispose </w:t>
      </w:r>
      <w:r w:rsidRPr="00301636">
        <w:rPr>
          <w:rFonts w:asciiTheme="majorBidi" w:hAnsiTheme="majorBidi" w:cstheme="majorBidi"/>
          <w:color w:val="000000"/>
        </w:rPr>
        <w:t>d’un recours effectif (art. 4</w:t>
      </w:r>
      <w:r w:rsidR="00D14BBE">
        <w:rPr>
          <w:rFonts w:asciiTheme="majorBidi" w:hAnsiTheme="majorBidi" w:cstheme="majorBidi"/>
          <w:color w:val="000000"/>
        </w:rPr>
        <w:t>,</w:t>
      </w:r>
      <w:r w:rsidRPr="00301636">
        <w:rPr>
          <w:rFonts w:asciiTheme="majorBidi" w:hAnsiTheme="majorBidi" w:cstheme="majorBidi"/>
          <w:color w:val="000000"/>
        </w:rPr>
        <w:t xml:space="preserve"> § 6</w:t>
      </w:r>
      <w:r w:rsidR="00D14BBE">
        <w:rPr>
          <w:rFonts w:asciiTheme="majorBidi" w:hAnsiTheme="majorBidi" w:cstheme="majorBidi"/>
          <w:color w:val="000000"/>
        </w:rPr>
        <w:t>,</w:t>
      </w:r>
      <w:r w:rsidRPr="00301636">
        <w:rPr>
          <w:rFonts w:asciiTheme="majorBidi" w:hAnsiTheme="majorBidi" w:cstheme="majorBidi"/>
          <w:color w:val="000000"/>
        </w:rPr>
        <w:t xml:space="preserve"> de la loi </w:t>
      </w:r>
      <w:r w:rsidR="00D14BBE">
        <w:rPr>
          <w:rFonts w:asciiTheme="majorBidi" w:hAnsiTheme="majorBidi" w:cstheme="majorBidi"/>
          <w:color w:val="000000"/>
        </w:rPr>
        <w:t xml:space="preserve">sur les </w:t>
      </w:r>
      <w:r w:rsidRPr="00301636">
        <w:rPr>
          <w:rFonts w:asciiTheme="majorBidi" w:hAnsiTheme="majorBidi" w:cstheme="majorBidi"/>
          <w:color w:val="000000"/>
        </w:rPr>
        <w:t>drogues)</w:t>
      </w:r>
      <w:r>
        <w:rPr>
          <w:rFonts w:asciiTheme="majorBidi" w:hAnsiTheme="majorBidi" w:cstheme="majorBidi"/>
          <w:color w:val="000000"/>
        </w:rPr>
        <w:t xml:space="preserve"> (</w:t>
      </w:r>
      <w:hyperlink r:id="rId18" w:tgtFrame="_self" w:history="1">
        <w:r w:rsidRPr="0007499D">
          <w:rPr>
            <w:rFonts w:asciiTheme="majorBidi" w:hAnsiTheme="majorBidi" w:cstheme="majorBidi"/>
            <w:color w:val="000000" w:themeColor="text1"/>
          </w:rPr>
          <w:t>Civ. Flandre orientale (div. Gand) (1re ch.) 28 février 2022</w:t>
        </w:r>
      </w:hyperlink>
      <w:r w:rsidRPr="0007499D">
        <w:rPr>
          <w:rFonts w:asciiTheme="majorBidi" w:hAnsiTheme="majorBidi" w:cstheme="majorBidi"/>
          <w:color w:val="000000" w:themeColor="text1"/>
        </w:rPr>
        <w:t xml:space="preserve">, </w:t>
      </w:r>
      <w:r w:rsidRPr="0007499D">
        <w:rPr>
          <w:rFonts w:asciiTheme="majorBidi" w:hAnsiTheme="majorBidi" w:cstheme="majorBidi"/>
          <w:i/>
          <w:iCs/>
          <w:color w:val="000000" w:themeColor="text1"/>
          <w:shd w:val="clear" w:color="auto" w:fill="FFFFFF"/>
        </w:rPr>
        <w:t>R.W</w:t>
      </w:r>
      <w:r w:rsidRPr="0007499D">
        <w:rPr>
          <w:rFonts w:asciiTheme="majorBidi" w:hAnsiTheme="majorBidi" w:cstheme="majorBidi"/>
          <w:color w:val="000000" w:themeColor="text1"/>
          <w:shd w:val="clear" w:color="auto" w:fill="FFFFFF"/>
        </w:rPr>
        <w:t>.</w:t>
      </w:r>
      <w:r>
        <w:rPr>
          <w:rFonts w:asciiTheme="majorBidi" w:hAnsiTheme="majorBidi" w:cstheme="majorBidi"/>
          <w:color w:val="000000" w:themeColor="text1"/>
          <w:shd w:val="clear" w:color="auto" w:fill="FFFFFF"/>
        </w:rPr>
        <w:t>,</w:t>
      </w:r>
      <w:r w:rsidRPr="0007499D">
        <w:rPr>
          <w:rFonts w:asciiTheme="majorBidi" w:hAnsiTheme="majorBidi" w:cstheme="majorBidi"/>
          <w:color w:val="000000" w:themeColor="text1"/>
          <w:shd w:val="clear" w:color="auto" w:fill="FFFFFF"/>
        </w:rPr>
        <w:t xml:space="preserve"> 2022-</w:t>
      </w:r>
      <w:r>
        <w:rPr>
          <w:rFonts w:asciiTheme="majorBidi" w:hAnsiTheme="majorBidi" w:cstheme="majorBidi"/>
          <w:color w:val="000000" w:themeColor="text1"/>
          <w:shd w:val="clear" w:color="auto" w:fill="FFFFFF"/>
        </w:rPr>
        <w:t>20</w:t>
      </w:r>
      <w:r w:rsidRPr="0007499D">
        <w:rPr>
          <w:rFonts w:asciiTheme="majorBidi" w:hAnsiTheme="majorBidi" w:cstheme="majorBidi"/>
          <w:color w:val="000000" w:themeColor="text1"/>
          <w:shd w:val="clear" w:color="auto" w:fill="FFFFFF"/>
        </w:rPr>
        <w:t>23</w:t>
      </w:r>
      <w:r>
        <w:rPr>
          <w:rFonts w:asciiTheme="majorBidi" w:hAnsiTheme="majorBidi" w:cstheme="majorBidi"/>
          <w:color w:val="000000" w:themeColor="text1"/>
          <w:shd w:val="clear" w:color="auto" w:fill="FFFFFF"/>
        </w:rPr>
        <w:t>/</w:t>
      </w:r>
      <w:r w:rsidRPr="0007499D">
        <w:rPr>
          <w:rFonts w:asciiTheme="majorBidi" w:hAnsiTheme="majorBidi" w:cstheme="majorBidi"/>
          <w:color w:val="000000" w:themeColor="text1"/>
          <w:shd w:val="clear" w:color="auto" w:fill="FFFFFF"/>
        </w:rPr>
        <w:t xml:space="preserve">19, </w:t>
      </w:r>
      <w:r>
        <w:rPr>
          <w:rFonts w:asciiTheme="majorBidi" w:hAnsiTheme="majorBidi" w:cstheme="majorBidi"/>
          <w:color w:val="000000" w:themeColor="text1"/>
          <w:shd w:val="clear" w:color="auto" w:fill="FFFFFF"/>
        </w:rPr>
        <w:t xml:space="preserve">p. </w:t>
      </w:r>
      <w:r w:rsidRPr="0007499D">
        <w:rPr>
          <w:rFonts w:asciiTheme="majorBidi" w:hAnsiTheme="majorBidi" w:cstheme="majorBidi"/>
          <w:color w:val="000000" w:themeColor="text1"/>
          <w:shd w:val="clear" w:color="auto" w:fill="FFFFFF"/>
        </w:rPr>
        <w:t xml:space="preserve">752). </w:t>
      </w:r>
    </w:p>
    <w:p w14:paraId="474A60C1" w14:textId="77777777" w:rsidR="00772F47" w:rsidRDefault="00772F47" w:rsidP="001D1A8B">
      <w:pPr>
        <w:jc w:val="both"/>
        <w:rPr>
          <w:rFonts w:asciiTheme="majorBidi" w:hAnsiTheme="majorBidi" w:cstheme="majorBidi"/>
          <w:color w:val="000000" w:themeColor="text1"/>
          <w:shd w:val="clear" w:color="auto" w:fill="FFFFFF"/>
        </w:rPr>
      </w:pPr>
    </w:p>
    <w:p w14:paraId="4C866CEB" w14:textId="0B6EB40B" w:rsidR="00B479CE" w:rsidRDefault="00B479CE" w:rsidP="001D1A8B">
      <w:pPr>
        <w:jc w:val="both"/>
        <w:rPr>
          <w:rFonts w:eastAsiaTheme="minorEastAsia"/>
        </w:rPr>
      </w:pPr>
      <w:r>
        <w:rPr>
          <w:rFonts w:asciiTheme="majorBidi" w:hAnsiTheme="majorBidi" w:cstheme="majorBidi"/>
          <w:color w:val="000000" w:themeColor="text1"/>
          <w:shd w:val="clear" w:color="auto" w:fill="FFFFFF"/>
        </w:rPr>
        <w:t>Ce faisant, le tribunal civil de Gand s’aligne sur la jurisprudence de la Cour de cassation qui considère que</w:t>
      </w:r>
      <w:r w:rsidRPr="00293226">
        <w:rPr>
          <w:rFonts w:eastAsiaTheme="minorEastAsia"/>
        </w:rPr>
        <w:t xml:space="preserve"> le juge doit écarter le régime dérogatoire instauré par la loi sur les drogues et ne plus ordonner la confiscation de choses ou d’instruments appartenant à des tiers de bonne foi, étrangers à la commission de l’infraction, sans que ceux-ci n’aient l’occasion de faire valoir leurs droits</w:t>
      </w:r>
      <w:r>
        <w:rPr>
          <w:rFonts w:eastAsiaTheme="minorEastAsia"/>
        </w:rPr>
        <w:t xml:space="preserve"> et de s’y opposer</w:t>
      </w:r>
      <w:r>
        <w:rPr>
          <w:rStyle w:val="Appelnotedebasdep"/>
          <w:rFonts w:eastAsiaTheme="minorEastAsia"/>
        </w:rPr>
        <w:footnoteReference w:id="14"/>
      </w:r>
      <w:r w:rsidRPr="00293226">
        <w:rPr>
          <w:rFonts w:eastAsiaTheme="minorEastAsia"/>
        </w:rPr>
        <w:t>. Cette vue des choses s’impose depuis l’arrêt de la Cour constitutionnelle du 3 avril 2014</w:t>
      </w:r>
      <w:r w:rsidRPr="00293226">
        <w:rPr>
          <w:rFonts w:eastAsiaTheme="minorEastAsia"/>
          <w:vertAlign w:val="superscript"/>
        </w:rPr>
        <w:footnoteReference w:id="15"/>
      </w:r>
      <w:r w:rsidRPr="00293226">
        <w:rPr>
          <w:rFonts w:eastAsiaTheme="minorEastAsia"/>
        </w:rPr>
        <w:t xml:space="preserve"> qui a considéré que l’article 4, § 6, de la loi sur les drogues est contraire aux articles 10 et 11 de la Constitution, combiné avec le principe de </w:t>
      </w:r>
      <w:r>
        <w:rPr>
          <w:rFonts w:eastAsiaTheme="minorEastAsia"/>
        </w:rPr>
        <w:t xml:space="preserve">la </w:t>
      </w:r>
      <w:r w:rsidRPr="00293226">
        <w:rPr>
          <w:rFonts w:eastAsiaTheme="minorEastAsia"/>
        </w:rPr>
        <w:t>personnalité des peines, lorsqu’il implique la confiscation d’instruments appartenant à des tiers de bonne foi</w:t>
      </w:r>
      <w:r w:rsidR="00835EA5">
        <w:rPr>
          <w:rStyle w:val="Appelnotedebasdep"/>
          <w:rFonts w:eastAsiaTheme="minorEastAsia"/>
        </w:rPr>
        <w:footnoteReference w:id="16"/>
      </w:r>
      <w:r>
        <w:rPr>
          <w:rFonts w:eastAsiaTheme="minorEastAsia"/>
        </w:rPr>
        <w:t>.</w:t>
      </w:r>
    </w:p>
    <w:p w14:paraId="30FDBB00" w14:textId="77777777" w:rsidR="00772F47" w:rsidRDefault="00772F47" w:rsidP="001D1A8B">
      <w:pPr>
        <w:jc w:val="both"/>
        <w:rPr>
          <w:rFonts w:asciiTheme="majorBidi" w:hAnsiTheme="majorBidi" w:cstheme="majorBidi"/>
          <w:color w:val="000000" w:themeColor="text1"/>
          <w:shd w:val="clear" w:color="auto" w:fill="FFFFFF"/>
        </w:rPr>
      </w:pPr>
    </w:p>
    <w:p w14:paraId="3A22342A" w14:textId="10FBC0E6" w:rsidR="00800BF1" w:rsidRDefault="00800BF1" w:rsidP="001D1A8B">
      <w:pPr>
        <w:jc w:val="both"/>
        <w:rPr>
          <w:b/>
          <w:bCs/>
        </w:rPr>
      </w:pPr>
      <w:r w:rsidRPr="00B479CE">
        <w:rPr>
          <w:b/>
          <w:bCs/>
        </w:rPr>
        <w:t xml:space="preserve">Stupéfiants – </w:t>
      </w:r>
      <w:r w:rsidRPr="00B479CE">
        <w:rPr>
          <w:rFonts w:cstheme="minorHAnsi"/>
          <w:b/>
          <w:bCs/>
          <w:color w:val="222222"/>
          <w:lang w:eastAsia="fr-BE"/>
        </w:rPr>
        <w:t>Protoxyde d’azote</w:t>
      </w:r>
      <w:r w:rsidRPr="00B479CE">
        <w:rPr>
          <w:b/>
          <w:bCs/>
        </w:rPr>
        <w:t xml:space="preserve"> – Réglementation </w:t>
      </w:r>
    </w:p>
    <w:p w14:paraId="2523FF7D" w14:textId="77777777" w:rsidR="00772F47" w:rsidRPr="00B479CE" w:rsidRDefault="00772F47" w:rsidP="001D1A8B">
      <w:pPr>
        <w:jc w:val="both"/>
        <w:rPr>
          <w:b/>
          <w:bCs/>
        </w:rPr>
      </w:pPr>
    </w:p>
    <w:p w14:paraId="2F22AF30" w14:textId="50A8DD6F" w:rsidR="00606FAF" w:rsidRPr="00785611" w:rsidRDefault="00606FAF" w:rsidP="001D1A8B">
      <w:pPr>
        <w:jc w:val="both"/>
        <w:rPr>
          <w:rFonts w:cstheme="minorHAnsi"/>
          <w:color w:val="222222"/>
          <w:lang w:eastAsia="fr-BE"/>
        </w:rPr>
      </w:pPr>
      <w:r>
        <w:rPr>
          <w:rFonts w:cstheme="minorHAnsi"/>
          <w:color w:val="222222"/>
          <w:lang w:eastAsia="fr-BE"/>
        </w:rPr>
        <w:t xml:space="preserve">Le </w:t>
      </w:r>
      <w:r w:rsidRPr="00834418">
        <w:rPr>
          <w:rFonts w:cstheme="minorHAnsi"/>
          <w:color w:val="222222"/>
          <w:lang w:eastAsia="fr-BE"/>
        </w:rPr>
        <w:t>protoxyde d</w:t>
      </w:r>
      <w:r>
        <w:rPr>
          <w:rFonts w:cstheme="minorHAnsi"/>
          <w:color w:val="222222"/>
          <w:lang w:eastAsia="fr-BE"/>
        </w:rPr>
        <w:t>’</w:t>
      </w:r>
      <w:r w:rsidRPr="00834418">
        <w:rPr>
          <w:rFonts w:cstheme="minorHAnsi"/>
          <w:color w:val="222222"/>
          <w:lang w:eastAsia="fr-BE"/>
        </w:rPr>
        <w:t>azote</w:t>
      </w:r>
      <w:r>
        <w:rPr>
          <w:rFonts w:cstheme="minorHAnsi"/>
          <w:color w:val="222222"/>
          <w:lang w:eastAsia="fr-BE"/>
        </w:rPr>
        <w:t xml:space="preserve"> (plus connu sous le nom de gaz hilarant) ne fait pas partie des </w:t>
      </w:r>
      <w:r w:rsidRPr="00155CB7">
        <w:rPr>
          <w:rFonts w:asciiTheme="majorBidi" w:hAnsiTheme="majorBidi" w:cstheme="majorBidi"/>
          <w:color w:val="222222"/>
          <w:lang w:eastAsia="fr-BE"/>
        </w:rPr>
        <w:t xml:space="preserve">substances tombant sous l’application de la loi du 24 février 1921 sur les drogues. Sa commercialisation </w:t>
      </w:r>
      <w:r w:rsidR="00800BF1" w:rsidRPr="00155CB7">
        <w:rPr>
          <w:rFonts w:asciiTheme="majorBidi" w:hAnsiTheme="majorBidi" w:cstheme="majorBidi"/>
          <w:color w:val="222222"/>
          <w:lang w:eastAsia="fr-BE"/>
        </w:rPr>
        <w:t>n</w:t>
      </w:r>
      <w:r w:rsidRPr="00155CB7">
        <w:rPr>
          <w:rFonts w:asciiTheme="majorBidi" w:hAnsiTheme="majorBidi" w:cstheme="majorBidi"/>
          <w:color w:val="222222"/>
          <w:lang w:eastAsia="fr-BE"/>
        </w:rPr>
        <w:t>’</w:t>
      </w:r>
      <w:r w:rsidR="00800BF1" w:rsidRPr="00155CB7">
        <w:rPr>
          <w:rFonts w:asciiTheme="majorBidi" w:hAnsiTheme="majorBidi" w:cstheme="majorBidi"/>
          <w:color w:val="222222"/>
          <w:lang w:eastAsia="fr-BE"/>
        </w:rPr>
        <w:t xml:space="preserve">est donc pas interdite en </w:t>
      </w:r>
      <w:r w:rsidRPr="00155CB7">
        <w:rPr>
          <w:rFonts w:asciiTheme="majorBidi" w:hAnsiTheme="majorBidi" w:cstheme="majorBidi"/>
          <w:color w:val="222222"/>
          <w:lang w:eastAsia="fr-BE"/>
        </w:rPr>
        <w:t>Belgique</w:t>
      </w:r>
      <w:r w:rsidR="00800BF1" w:rsidRPr="00155CB7">
        <w:rPr>
          <w:rFonts w:asciiTheme="majorBidi" w:hAnsiTheme="majorBidi" w:cstheme="majorBidi"/>
          <w:color w:val="222222"/>
          <w:lang w:eastAsia="fr-BE"/>
        </w:rPr>
        <w:t>, mais elle est réglementée</w:t>
      </w:r>
      <w:r w:rsidRPr="00155CB7">
        <w:rPr>
          <w:rFonts w:asciiTheme="majorBidi" w:hAnsiTheme="majorBidi" w:cstheme="majorBidi"/>
          <w:color w:val="222222"/>
          <w:lang w:eastAsia="fr-BE"/>
        </w:rPr>
        <w:t xml:space="preserve"> </w:t>
      </w:r>
      <w:r w:rsidR="00800BF1" w:rsidRPr="00155CB7">
        <w:rPr>
          <w:rFonts w:asciiTheme="majorBidi" w:hAnsiTheme="majorBidi" w:cstheme="majorBidi"/>
          <w:color w:val="222222"/>
          <w:lang w:eastAsia="fr-BE"/>
        </w:rPr>
        <w:t>(</w:t>
      </w:r>
      <w:r w:rsidR="00800BF1" w:rsidRPr="00155CB7">
        <w:rPr>
          <w:rFonts w:asciiTheme="majorBidi" w:hAnsiTheme="majorBidi" w:cstheme="majorBidi"/>
          <w:color w:val="000000"/>
          <w:lang w:eastAsia="fr-BE"/>
        </w:rPr>
        <w:t xml:space="preserve">Corr. Anvers, 21 février et 7 mars 2022 </w:t>
      </w:r>
      <w:r w:rsidR="00800BF1" w:rsidRPr="00155CB7">
        <w:rPr>
          <w:rFonts w:asciiTheme="majorBidi" w:hAnsiTheme="majorBidi" w:cstheme="majorBidi"/>
          <w:i/>
          <w:iCs/>
          <w:color w:val="000000"/>
          <w:lang w:eastAsia="fr-BE"/>
        </w:rPr>
        <w:t xml:space="preserve">T. </w:t>
      </w:r>
      <w:proofErr w:type="spellStart"/>
      <w:r w:rsidR="00800BF1" w:rsidRPr="00155CB7">
        <w:rPr>
          <w:rFonts w:asciiTheme="majorBidi" w:hAnsiTheme="majorBidi" w:cstheme="majorBidi"/>
          <w:i/>
          <w:iCs/>
          <w:color w:val="000000"/>
          <w:lang w:eastAsia="fr-BE"/>
        </w:rPr>
        <w:t>Strafrecht</w:t>
      </w:r>
      <w:proofErr w:type="spellEnd"/>
      <w:r w:rsidR="00800BF1" w:rsidRPr="00155CB7">
        <w:rPr>
          <w:rFonts w:asciiTheme="majorBidi" w:hAnsiTheme="majorBidi" w:cstheme="majorBidi"/>
          <w:color w:val="000000"/>
          <w:lang w:eastAsia="fr-BE"/>
        </w:rPr>
        <w:t>, 2022/4, p.</w:t>
      </w:r>
      <w:r w:rsidR="0063583A">
        <w:rPr>
          <w:rFonts w:asciiTheme="majorBidi" w:hAnsiTheme="majorBidi" w:cstheme="majorBidi"/>
          <w:color w:val="000000"/>
          <w:lang w:eastAsia="fr-BE"/>
        </w:rPr>
        <w:t xml:space="preserve"> </w:t>
      </w:r>
      <w:r w:rsidR="00800BF1" w:rsidRPr="00155CB7">
        <w:rPr>
          <w:rFonts w:asciiTheme="majorBidi" w:hAnsiTheme="majorBidi" w:cstheme="majorBidi"/>
          <w:color w:val="000000"/>
          <w:lang w:eastAsia="fr-BE"/>
        </w:rPr>
        <w:t xml:space="preserve">244-2249). </w:t>
      </w:r>
      <w:r w:rsidR="00D46613" w:rsidRPr="00155CB7">
        <w:rPr>
          <w:rFonts w:asciiTheme="majorBidi" w:hAnsiTheme="majorBidi" w:cstheme="majorBidi"/>
          <w:color w:val="000000"/>
          <w:lang w:eastAsia="fr-BE"/>
        </w:rPr>
        <w:t>La loi du 11 février</w:t>
      </w:r>
      <w:r w:rsidR="00D46613" w:rsidRPr="00155CB7">
        <w:rPr>
          <w:rFonts w:asciiTheme="majorBidi" w:hAnsiTheme="majorBidi" w:cstheme="majorBidi"/>
          <w:b/>
          <w:bCs/>
          <w:color w:val="000000"/>
          <w:lang w:eastAsia="fr-BE"/>
        </w:rPr>
        <w:t xml:space="preserve"> </w:t>
      </w:r>
      <w:r w:rsidR="00D46613" w:rsidRPr="00155CB7">
        <w:rPr>
          <w:rFonts w:asciiTheme="majorBidi" w:hAnsiTheme="majorBidi" w:cstheme="majorBidi"/>
          <w:color w:val="000000"/>
          <w:lang w:eastAsia="fr-BE"/>
        </w:rPr>
        <w:t>2021 modifiant la loi du 24 janvier 1977 relative à la protection de la santé des consommateurs en ce qui concerne les denrées alimentaires et les autres produits, interdit ainsi la vente de cartouches métalliques contenant du protoxyde d</w:t>
      </w:r>
      <w:r w:rsidR="00155CB7" w:rsidRPr="00155CB7">
        <w:rPr>
          <w:rFonts w:asciiTheme="majorBidi" w:hAnsiTheme="majorBidi" w:cstheme="majorBidi"/>
          <w:color w:val="000000"/>
          <w:lang w:eastAsia="fr-BE"/>
        </w:rPr>
        <w:t>’</w:t>
      </w:r>
      <w:r w:rsidR="00D46613" w:rsidRPr="00155CB7">
        <w:rPr>
          <w:rFonts w:asciiTheme="majorBidi" w:hAnsiTheme="majorBidi" w:cstheme="majorBidi"/>
          <w:color w:val="000000"/>
          <w:lang w:eastAsia="fr-BE"/>
        </w:rPr>
        <w:t>azote aux mineurs</w:t>
      </w:r>
      <w:r w:rsidR="00D46613" w:rsidRPr="00155CB7">
        <w:rPr>
          <w:rStyle w:val="Appelnotedebasdep"/>
          <w:rFonts w:asciiTheme="majorBidi" w:hAnsiTheme="majorBidi" w:cstheme="majorBidi"/>
          <w:color w:val="000000"/>
          <w:lang w:eastAsia="fr-BE"/>
        </w:rPr>
        <w:footnoteReference w:id="17"/>
      </w:r>
      <w:r w:rsidR="00D46613" w:rsidRPr="00155CB7">
        <w:rPr>
          <w:rFonts w:asciiTheme="majorBidi" w:hAnsiTheme="majorBidi" w:cstheme="majorBidi"/>
          <w:color w:val="000000"/>
          <w:lang w:eastAsia="fr-BE"/>
        </w:rPr>
        <w:t>, depuis le 23 février 2022.</w:t>
      </w:r>
      <w:r w:rsidR="00C257E4" w:rsidRPr="00155CB7">
        <w:rPr>
          <w:rFonts w:asciiTheme="majorBidi" w:hAnsiTheme="majorBidi" w:cstheme="majorBidi"/>
          <w:color w:val="000000"/>
          <w:lang w:eastAsia="fr-BE"/>
        </w:rPr>
        <w:t xml:space="preserve"> </w:t>
      </w:r>
      <w:r w:rsidR="00D46613" w:rsidRPr="00155CB7">
        <w:rPr>
          <w:rFonts w:asciiTheme="majorBidi" w:hAnsiTheme="majorBidi" w:cstheme="majorBidi"/>
          <w:color w:val="000000"/>
          <w:lang w:eastAsia="fr-BE"/>
        </w:rPr>
        <w:t>Plusieurs</w:t>
      </w:r>
      <w:r w:rsidRPr="00155CB7">
        <w:rPr>
          <w:rFonts w:asciiTheme="majorBidi" w:hAnsiTheme="majorBidi" w:cstheme="majorBidi"/>
          <w:color w:val="000000"/>
          <w:lang w:eastAsia="fr-BE"/>
        </w:rPr>
        <w:t xml:space="preserve"> règlement</w:t>
      </w:r>
      <w:r w:rsidR="00D46613" w:rsidRPr="00155CB7">
        <w:rPr>
          <w:rFonts w:asciiTheme="majorBidi" w:hAnsiTheme="majorBidi" w:cstheme="majorBidi"/>
          <w:color w:val="000000"/>
          <w:lang w:eastAsia="fr-BE"/>
        </w:rPr>
        <w:t>s</w:t>
      </w:r>
      <w:r w:rsidRPr="00155CB7">
        <w:rPr>
          <w:rFonts w:asciiTheme="majorBidi" w:hAnsiTheme="majorBidi" w:cstheme="majorBidi"/>
          <w:color w:val="000000"/>
          <w:lang w:eastAsia="fr-BE"/>
        </w:rPr>
        <w:t xml:space="preserve"> de police </w:t>
      </w:r>
      <w:r w:rsidR="00D46613" w:rsidRPr="00155CB7">
        <w:rPr>
          <w:rFonts w:asciiTheme="majorBidi" w:hAnsiTheme="majorBidi" w:cstheme="majorBidi"/>
          <w:color w:val="000000"/>
          <w:lang w:eastAsia="fr-BE"/>
        </w:rPr>
        <w:t>communaux</w:t>
      </w:r>
      <w:r w:rsidRPr="00155CB7">
        <w:rPr>
          <w:rFonts w:asciiTheme="majorBidi" w:hAnsiTheme="majorBidi" w:cstheme="majorBidi"/>
          <w:color w:val="000000"/>
          <w:lang w:eastAsia="fr-BE"/>
        </w:rPr>
        <w:t xml:space="preserve"> en interdi</w:t>
      </w:r>
      <w:r w:rsidR="00D46613" w:rsidRPr="00155CB7">
        <w:rPr>
          <w:rFonts w:asciiTheme="majorBidi" w:hAnsiTheme="majorBidi" w:cstheme="majorBidi"/>
          <w:color w:val="000000"/>
          <w:lang w:eastAsia="fr-BE"/>
        </w:rPr>
        <w:t>sent par ailleurs</w:t>
      </w:r>
      <w:r w:rsidRPr="00155CB7">
        <w:rPr>
          <w:rFonts w:asciiTheme="majorBidi" w:hAnsiTheme="majorBidi" w:cstheme="majorBidi"/>
          <w:color w:val="000000"/>
          <w:lang w:eastAsia="fr-BE"/>
        </w:rPr>
        <w:t xml:space="preserve"> l’utilisation et la détention à des fins récréatives</w:t>
      </w:r>
      <w:r w:rsidR="00D46613" w:rsidRPr="00155CB7">
        <w:rPr>
          <w:rFonts w:asciiTheme="majorBidi" w:hAnsiTheme="majorBidi" w:cstheme="majorBidi"/>
          <w:color w:val="000000"/>
          <w:lang w:eastAsia="fr-BE"/>
        </w:rPr>
        <w:t xml:space="preserve"> </w:t>
      </w:r>
      <w:r w:rsidR="008768FC" w:rsidRPr="00155CB7">
        <w:rPr>
          <w:rFonts w:asciiTheme="majorBidi" w:hAnsiTheme="majorBidi" w:cstheme="majorBidi"/>
          <w:color w:val="222222"/>
          <w:shd w:val="clear" w:color="auto" w:fill="FFFFFF"/>
        </w:rPr>
        <w:t>sur la voie publique et dans les lieux ouverts au public</w:t>
      </w:r>
      <w:r w:rsidRPr="00155CB7">
        <w:rPr>
          <w:rFonts w:asciiTheme="majorBidi" w:hAnsiTheme="majorBidi" w:cstheme="majorBidi"/>
          <w:color w:val="000000"/>
          <w:lang w:eastAsia="fr-BE"/>
        </w:rPr>
        <w:t xml:space="preserve">. </w:t>
      </w:r>
      <w:r w:rsidR="00C257E4" w:rsidRPr="00155CB7">
        <w:rPr>
          <w:rFonts w:asciiTheme="majorBidi" w:hAnsiTheme="majorBidi" w:cstheme="majorBidi"/>
          <w:color w:val="000000"/>
          <w:lang w:eastAsia="fr-BE"/>
        </w:rPr>
        <w:t xml:space="preserve">C’est notamment le cas du Règlement général de police commun aux 19 communes bruxelloises qui </w:t>
      </w:r>
      <w:r w:rsidR="000C1474" w:rsidRPr="00155CB7">
        <w:rPr>
          <w:rFonts w:asciiTheme="majorBidi" w:hAnsiTheme="majorBidi" w:cstheme="majorBidi"/>
          <w:color w:val="000000"/>
          <w:lang w:eastAsia="fr-BE"/>
        </w:rPr>
        <w:t>interdit d’utiliser ou de posséder, à des fins récréatives, sur l’espace public ou dans les lieux accessibles au public, certaines substances dangereuses, comme le gaz hilarant (art. 43, pt</w:t>
      </w:r>
      <w:r w:rsidR="00155CB7" w:rsidRPr="00155CB7">
        <w:rPr>
          <w:rFonts w:asciiTheme="majorBidi" w:hAnsiTheme="majorBidi" w:cstheme="majorBidi"/>
          <w:color w:val="000000"/>
          <w:lang w:eastAsia="fr-BE"/>
        </w:rPr>
        <w:t>.</w:t>
      </w:r>
      <w:r w:rsidR="000C1474" w:rsidRPr="00155CB7">
        <w:rPr>
          <w:rFonts w:asciiTheme="majorBidi" w:hAnsiTheme="majorBidi" w:cstheme="majorBidi"/>
          <w:color w:val="000000"/>
          <w:lang w:eastAsia="fr-BE"/>
        </w:rPr>
        <w:t xml:space="preserve"> 11). </w:t>
      </w:r>
      <w:r w:rsidR="000C1474" w:rsidRPr="00155CB7">
        <w:rPr>
          <w:rFonts w:asciiTheme="majorBidi" w:hAnsiTheme="majorBidi" w:cstheme="majorBidi"/>
          <w:color w:val="000000"/>
          <w:lang w:val="fr-FR" w:eastAsia="fr-BE"/>
        </w:rPr>
        <w:t xml:space="preserve">Les </w:t>
      </w:r>
      <w:r w:rsidR="00D14BBE" w:rsidRPr="00155CB7">
        <w:rPr>
          <w:rFonts w:asciiTheme="majorBidi" w:hAnsiTheme="majorBidi" w:cstheme="majorBidi"/>
          <w:color w:val="000000"/>
          <w:lang w:eastAsia="fr-BE"/>
        </w:rPr>
        <w:t>sanctions consistent notamment en une</w:t>
      </w:r>
      <w:r w:rsidR="000C1474" w:rsidRPr="00155CB7">
        <w:rPr>
          <w:rFonts w:asciiTheme="majorBidi" w:hAnsiTheme="majorBidi" w:cstheme="majorBidi"/>
          <w:color w:val="000000"/>
          <w:lang w:eastAsia="fr-BE"/>
        </w:rPr>
        <w:t xml:space="preserve"> </w:t>
      </w:r>
      <w:r w:rsidR="00C257E4" w:rsidRPr="00155CB7">
        <w:rPr>
          <w:rFonts w:asciiTheme="majorBidi" w:hAnsiTheme="majorBidi" w:cstheme="majorBidi"/>
          <w:color w:val="000000"/>
          <w:lang w:eastAsia="fr-BE"/>
        </w:rPr>
        <w:t>sanction administrative pouvant aller jusqu’à 3</w:t>
      </w:r>
      <w:r w:rsidR="00D14BBE" w:rsidRPr="00155CB7">
        <w:rPr>
          <w:rFonts w:asciiTheme="majorBidi" w:hAnsiTheme="majorBidi" w:cstheme="majorBidi"/>
          <w:color w:val="000000"/>
          <w:lang w:eastAsia="fr-BE"/>
        </w:rPr>
        <w:t>50</w:t>
      </w:r>
      <w:r w:rsidR="00C257E4" w:rsidRPr="00155CB7">
        <w:rPr>
          <w:rFonts w:asciiTheme="majorBidi" w:hAnsiTheme="majorBidi" w:cstheme="majorBidi"/>
          <w:color w:val="000000"/>
          <w:lang w:eastAsia="fr-BE"/>
        </w:rPr>
        <w:t xml:space="preserve"> euros</w:t>
      </w:r>
      <w:r w:rsidR="00D14BBE" w:rsidRPr="00155CB7">
        <w:rPr>
          <w:rFonts w:asciiTheme="majorBidi" w:hAnsiTheme="majorBidi" w:cstheme="majorBidi"/>
          <w:color w:val="000000"/>
          <w:lang w:eastAsia="fr-BE"/>
        </w:rPr>
        <w:t xml:space="preserve"> (175 pour les mineurs)</w:t>
      </w:r>
      <w:r w:rsidR="00C257E4" w:rsidRPr="00155CB7">
        <w:rPr>
          <w:rFonts w:asciiTheme="majorBidi" w:hAnsiTheme="majorBidi" w:cstheme="majorBidi"/>
          <w:color w:val="000000"/>
          <w:lang w:eastAsia="fr-BE"/>
        </w:rPr>
        <w:t>.</w:t>
      </w:r>
    </w:p>
    <w:p w14:paraId="672180E1" w14:textId="77777777" w:rsidR="00842A81" w:rsidRDefault="00842A81" w:rsidP="001D1A8B">
      <w:pPr>
        <w:jc w:val="both"/>
        <w:rPr>
          <w:rFonts w:cstheme="minorHAnsi"/>
          <w:color w:val="000000"/>
          <w:shd w:val="clear" w:color="auto" w:fill="FFFFFF"/>
        </w:rPr>
      </w:pPr>
    </w:p>
    <w:p w14:paraId="0CFD4537" w14:textId="77777777" w:rsidR="00842A81" w:rsidRPr="00301636" w:rsidRDefault="00842A81" w:rsidP="001D1A8B">
      <w:pPr>
        <w:jc w:val="both"/>
        <w:rPr>
          <w:rFonts w:asciiTheme="majorBidi" w:hAnsiTheme="majorBidi" w:cstheme="majorBidi"/>
          <w:color w:val="000000"/>
        </w:rPr>
      </w:pPr>
    </w:p>
    <w:p w14:paraId="3E534CD0" w14:textId="77777777" w:rsidR="006B675C" w:rsidRPr="00075325" w:rsidRDefault="006B675C" w:rsidP="001D1A8B">
      <w:pPr>
        <w:jc w:val="both"/>
        <w:rPr>
          <w:rFonts w:eastAsia="MS Mincho"/>
          <w:i/>
          <w:iCs/>
          <w:color w:val="000000"/>
          <w:lang w:val="fr-FR"/>
        </w:rPr>
      </w:pPr>
      <w:r w:rsidRPr="00075325">
        <w:rPr>
          <w:rFonts w:eastAsia="MS Mincho"/>
          <w:i/>
          <w:iCs/>
          <w:color w:val="000000"/>
          <w:lang w:val="fr-FR"/>
        </w:rPr>
        <w:t>URBANISME</w:t>
      </w:r>
    </w:p>
    <w:p w14:paraId="1CB6A6CD" w14:textId="77777777" w:rsidR="006B675C" w:rsidRPr="00530BD2" w:rsidRDefault="006B675C" w:rsidP="001D1A8B">
      <w:pPr>
        <w:jc w:val="both"/>
        <w:rPr>
          <w:rFonts w:eastAsia="MS Mincho"/>
          <w:b/>
          <w:bCs/>
          <w:i/>
          <w:iCs/>
          <w:color w:val="000000"/>
          <w:lang w:val="fr-FR"/>
        </w:rPr>
      </w:pPr>
    </w:p>
    <w:p w14:paraId="2629B4C8" w14:textId="1EE6584B" w:rsidR="006B675C" w:rsidRPr="00530BD2" w:rsidRDefault="006B675C" w:rsidP="001D1A8B">
      <w:pPr>
        <w:pStyle w:val="NormalWeb"/>
        <w:jc w:val="both"/>
        <w:rPr>
          <w:b/>
          <w:bCs/>
          <w:color w:val="000000"/>
          <w:shd w:val="clear" w:color="auto" w:fill="FFFFFF"/>
          <w:lang w:val="fr-FR"/>
        </w:rPr>
      </w:pPr>
      <w:r w:rsidRPr="00530BD2">
        <w:rPr>
          <w:b/>
          <w:bCs/>
          <w:color w:val="000000"/>
          <w:shd w:val="clear" w:color="auto" w:fill="FFFFFF"/>
          <w:lang w:val="fr-FR"/>
        </w:rPr>
        <w:lastRenderedPageBreak/>
        <w:t xml:space="preserve">Droit de l’urbanisme - Région wallonne </w:t>
      </w:r>
      <w:r w:rsidR="007A4650">
        <w:rPr>
          <w:b/>
          <w:bCs/>
          <w:color w:val="000000"/>
          <w:shd w:val="clear" w:color="auto" w:fill="FFFFFF"/>
          <w:lang w:val="fr-FR"/>
        </w:rPr>
        <w:t>–</w:t>
      </w:r>
      <w:r w:rsidRPr="00530BD2">
        <w:rPr>
          <w:b/>
          <w:bCs/>
          <w:color w:val="000000"/>
          <w:shd w:val="clear" w:color="auto" w:fill="FFFFFF"/>
          <w:lang w:val="fr-FR"/>
        </w:rPr>
        <w:t xml:space="preserve"> Art</w:t>
      </w:r>
      <w:r w:rsidR="007A4650">
        <w:rPr>
          <w:b/>
          <w:bCs/>
          <w:color w:val="000000"/>
          <w:shd w:val="clear" w:color="auto" w:fill="FFFFFF"/>
          <w:lang w:val="fr-FR"/>
        </w:rPr>
        <w:t>.</w:t>
      </w:r>
      <w:r w:rsidRPr="00530BD2">
        <w:rPr>
          <w:b/>
          <w:bCs/>
          <w:color w:val="000000"/>
          <w:shd w:val="clear" w:color="auto" w:fill="FFFFFF"/>
          <w:lang w:val="fr-FR"/>
        </w:rPr>
        <w:t xml:space="preserve"> D.VII.16 du Code du développement territorial (</w:t>
      </w:r>
      <w:proofErr w:type="spellStart"/>
      <w:r w:rsidRPr="00530BD2">
        <w:rPr>
          <w:b/>
          <w:bCs/>
          <w:color w:val="000000"/>
          <w:shd w:val="clear" w:color="auto" w:fill="FFFFFF"/>
          <w:lang w:val="fr-FR"/>
        </w:rPr>
        <w:t>CoDT</w:t>
      </w:r>
      <w:proofErr w:type="spellEnd"/>
      <w:r w:rsidRPr="00530BD2">
        <w:rPr>
          <w:b/>
          <w:bCs/>
          <w:color w:val="000000"/>
          <w:shd w:val="clear" w:color="auto" w:fill="FFFFFF"/>
          <w:lang w:val="fr-FR"/>
        </w:rPr>
        <w:t xml:space="preserve">) - Classement sans suite - Présomption réfragable </w:t>
      </w:r>
    </w:p>
    <w:p w14:paraId="290919E0" w14:textId="77777777" w:rsidR="006B675C" w:rsidRPr="00530BD2" w:rsidRDefault="006B675C" w:rsidP="001D1A8B">
      <w:pPr>
        <w:pStyle w:val="NormalWeb"/>
        <w:jc w:val="both"/>
        <w:rPr>
          <w:b/>
          <w:bCs/>
          <w:color w:val="000000"/>
          <w:shd w:val="clear" w:color="auto" w:fill="FFFFFF"/>
          <w:lang w:val="fr-FR"/>
        </w:rPr>
      </w:pPr>
    </w:p>
    <w:p w14:paraId="5D326936" w14:textId="77777777" w:rsidR="006B675C" w:rsidRPr="00530BD2" w:rsidRDefault="006B675C" w:rsidP="001D1A8B">
      <w:pPr>
        <w:pStyle w:val="NormalWeb"/>
        <w:jc w:val="both"/>
        <w:rPr>
          <w:color w:val="000000"/>
          <w:shd w:val="clear" w:color="auto" w:fill="FFFFFF"/>
          <w:lang w:val="fr-FR"/>
        </w:rPr>
      </w:pPr>
      <w:r w:rsidRPr="00530BD2">
        <w:rPr>
          <w:color w:val="000000"/>
          <w:shd w:val="clear" w:color="auto" w:fill="FFFFFF"/>
          <w:lang w:val="fr-FR"/>
        </w:rPr>
        <w:t xml:space="preserve">L’article D.VII.16 du </w:t>
      </w:r>
      <w:proofErr w:type="spellStart"/>
      <w:r w:rsidRPr="00530BD2">
        <w:rPr>
          <w:color w:val="000000"/>
          <w:shd w:val="clear" w:color="auto" w:fill="FFFFFF"/>
          <w:lang w:val="fr-FR"/>
        </w:rPr>
        <w:t>CoDT</w:t>
      </w:r>
      <w:proofErr w:type="spellEnd"/>
      <w:r w:rsidRPr="00530BD2">
        <w:rPr>
          <w:color w:val="000000"/>
          <w:shd w:val="clear" w:color="auto" w:fill="FFFFFF"/>
          <w:lang w:val="fr-FR"/>
        </w:rPr>
        <w:t xml:space="preserve"> dispose que si dans les </w:t>
      </w:r>
      <w:r>
        <w:rPr>
          <w:color w:val="000000"/>
          <w:shd w:val="clear" w:color="auto" w:fill="FFFFFF"/>
          <w:lang w:val="fr-FR"/>
        </w:rPr>
        <w:t>90</w:t>
      </w:r>
      <w:r w:rsidRPr="00530BD2">
        <w:rPr>
          <w:color w:val="000000"/>
          <w:shd w:val="clear" w:color="auto" w:fill="FFFFFF"/>
          <w:lang w:val="fr-FR"/>
        </w:rPr>
        <w:t xml:space="preserve"> jours de la réception du procès-verbal de constant, le procureur du Roi n’a pas marqué son intention de poursuivre le contrevenant, il est réputé classer le dossier sans suite. </w:t>
      </w:r>
    </w:p>
    <w:p w14:paraId="71FB175A" w14:textId="77777777" w:rsidR="006B675C" w:rsidRPr="00530BD2" w:rsidRDefault="006B675C" w:rsidP="001D1A8B">
      <w:pPr>
        <w:pStyle w:val="NormalWeb"/>
        <w:jc w:val="both"/>
        <w:rPr>
          <w:color w:val="000000"/>
          <w:shd w:val="clear" w:color="auto" w:fill="FFFFFF"/>
          <w:lang w:val="fr-FR"/>
        </w:rPr>
      </w:pPr>
    </w:p>
    <w:p w14:paraId="48BBD6A0" w14:textId="77777777" w:rsidR="006B675C" w:rsidRPr="00530BD2" w:rsidRDefault="006B675C" w:rsidP="001D1A8B">
      <w:pPr>
        <w:pStyle w:val="NormalWeb"/>
        <w:jc w:val="both"/>
        <w:rPr>
          <w:color w:val="000000"/>
          <w:shd w:val="clear" w:color="auto" w:fill="FFFFFF"/>
          <w:lang w:val="fr-FR"/>
        </w:rPr>
      </w:pPr>
      <w:r w:rsidRPr="00530BD2">
        <w:rPr>
          <w:color w:val="000000"/>
          <w:shd w:val="clear" w:color="auto" w:fill="FFFFFF"/>
          <w:lang w:val="fr-FR"/>
        </w:rPr>
        <w:t xml:space="preserve">Dans cette affaire, les demandeurs en cassation faisaient valoir que les juges d’appel ne pouvaient déclarer les poursuites recevables alors que le procureur du Roi n’avait pas manifesté son intention de les poursuivre dans les nonante jours de la réception du procès-verbal de constat et qu’aucune des deux hypothèses prévues par le </w:t>
      </w:r>
      <w:proofErr w:type="spellStart"/>
      <w:r w:rsidRPr="00530BD2">
        <w:rPr>
          <w:color w:val="000000"/>
          <w:shd w:val="clear" w:color="auto" w:fill="FFFFFF"/>
          <w:lang w:val="fr-FR"/>
        </w:rPr>
        <w:t>CoDT</w:t>
      </w:r>
      <w:proofErr w:type="spellEnd"/>
      <w:r w:rsidRPr="00530BD2">
        <w:rPr>
          <w:color w:val="000000"/>
          <w:shd w:val="clear" w:color="auto" w:fill="FFFFFF"/>
          <w:lang w:val="fr-FR"/>
        </w:rPr>
        <w:t xml:space="preserve"> permettant au ministère public de revenir sur le classement sans suite du dossier n’était rencontrée en l’espèce.</w:t>
      </w:r>
    </w:p>
    <w:p w14:paraId="69258693" w14:textId="77777777" w:rsidR="006B675C" w:rsidRPr="00530BD2" w:rsidRDefault="006B675C" w:rsidP="001D1A8B">
      <w:pPr>
        <w:pStyle w:val="NormalWeb"/>
        <w:jc w:val="both"/>
        <w:rPr>
          <w:color w:val="000000"/>
          <w:shd w:val="clear" w:color="auto" w:fill="FFFFFF"/>
          <w:lang w:val="fr-FR"/>
        </w:rPr>
      </w:pPr>
    </w:p>
    <w:p w14:paraId="5FA8960F" w14:textId="77777777" w:rsidR="006B675C" w:rsidRPr="00530BD2" w:rsidRDefault="006B675C" w:rsidP="001D1A8B">
      <w:pPr>
        <w:pStyle w:val="NormalWeb"/>
        <w:jc w:val="both"/>
        <w:rPr>
          <w:color w:val="000000"/>
          <w:shd w:val="clear" w:color="auto" w:fill="FFFFFF"/>
          <w:lang w:val="fr-FR"/>
        </w:rPr>
      </w:pPr>
      <w:r w:rsidRPr="00530BD2">
        <w:rPr>
          <w:color w:val="000000"/>
          <w:shd w:val="clear" w:color="auto" w:fill="FFFFFF"/>
          <w:lang w:val="fr-FR"/>
        </w:rPr>
        <w:t>Dans ses conclusions, l’avocat général M.</w:t>
      </w:r>
      <w:r>
        <w:rPr>
          <w:color w:val="000000"/>
          <w:shd w:val="clear" w:color="auto" w:fill="FFFFFF"/>
          <w:lang w:val="fr-FR"/>
        </w:rPr>
        <w:t xml:space="preserve"> </w:t>
      </w:r>
      <w:proofErr w:type="spellStart"/>
      <w:r w:rsidRPr="00530BD2">
        <w:rPr>
          <w:color w:val="000000"/>
          <w:shd w:val="clear" w:color="auto" w:fill="FFFFFF"/>
          <w:lang w:val="fr-FR"/>
        </w:rPr>
        <w:t>V</w:t>
      </w:r>
      <w:r w:rsidRPr="00530BD2">
        <w:rPr>
          <w:smallCaps/>
          <w:color w:val="000000"/>
          <w:shd w:val="clear" w:color="auto" w:fill="FFFFFF"/>
          <w:lang w:val="fr-FR"/>
        </w:rPr>
        <w:t>andermeersch</w:t>
      </w:r>
      <w:proofErr w:type="spellEnd"/>
      <w:r w:rsidRPr="00530BD2">
        <w:rPr>
          <w:color w:val="000000"/>
          <w:shd w:val="clear" w:color="auto" w:fill="FFFFFF"/>
          <w:lang w:val="fr-FR"/>
        </w:rPr>
        <w:t xml:space="preserve"> admet que la doctrine est divisée sur la question du caractère réfragable de la présomption instaurée par l’article D.VII.16 précité. Il estime cependant que le classement sans suite, même dans le cas où il est le résultat d’une présomption, est précaire et ne constitue par un mode d’extinction de l’action publique. Partant, il n’estime pas devoir accorder une portée différente de celle du droit commun au classement sans suite tel que décrit dans l’article D.VII.16 du </w:t>
      </w:r>
      <w:proofErr w:type="spellStart"/>
      <w:r w:rsidRPr="00530BD2">
        <w:rPr>
          <w:color w:val="000000"/>
          <w:shd w:val="clear" w:color="auto" w:fill="FFFFFF"/>
          <w:lang w:val="fr-FR"/>
        </w:rPr>
        <w:t>CoDT</w:t>
      </w:r>
      <w:proofErr w:type="spellEnd"/>
      <w:r w:rsidRPr="00530BD2">
        <w:rPr>
          <w:color w:val="000000"/>
          <w:shd w:val="clear" w:color="auto" w:fill="FFFFFF"/>
          <w:lang w:val="fr-FR"/>
        </w:rPr>
        <w:t>.</w:t>
      </w:r>
    </w:p>
    <w:p w14:paraId="6191A36D" w14:textId="77777777" w:rsidR="006B675C" w:rsidRPr="00530BD2" w:rsidRDefault="006B675C" w:rsidP="001D1A8B">
      <w:pPr>
        <w:pStyle w:val="NormalWeb"/>
        <w:jc w:val="both"/>
        <w:rPr>
          <w:color w:val="000000"/>
          <w:shd w:val="clear" w:color="auto" w:fill="FFFFFF"/>
          <w:lang w:val="fr-FR"/>
        </w:rPr>
      </w:pPr>
    </w:p>
    <w:p w14:paraId="2B376E9B" w14:textId="77777777" w:rsidR="006B675C" w:rsidRPr="00530BD2" w:rsidRDefault="006B675C" w:rsidP="001D1A8B">
      <w:pPr>
        <w:pStyle w:val="NormalWeb"/>
        <w:jc w:val="both"/>
        <w:rPr>
          <w:color w:val="000000"/>
          <w:shd w:val="clear" w:color="auto" w:fill="FFFFFF"/>
          <w:lang w:val="fr-FR"/>
        </w:rPr>
      </w:pPr>
      <w:r w:rsidRPr="00530BD2">
        <w:rPr>
          <w:color w:val="000000"/>
          <w:shd w:val="clear" w:color="auto" w:fill="FFFFFF"/>
          <w:lang w:val="fr-FR"/>
        </w:rPr>
        <w:t>Et la Cour de considérer : « (…) la présomption précitée ne constitue pas une cause d’extinction de l’action publique. Réfragable, elle n’empêche ni le parquet de revenir sur sa décision, même en dehors des cas visés aux articles D.VII.17 et D.VII.19, ni la partie lésée par l’infraction de mettre ladite action en mouvement » (Cass. (2e ch.), 23 mars 2022, P.21.1523.F,</w:t>
      </w:r>
      <w:r w:rsidRPr="00530BD2">
        <w:rPr>
          <w:rStyle w:val="apple-converted-space"/>
          <w:color w:val="000000"/>
          <w:shd w:val="clear" w:color="auto" w:fill="FFFFFF"/>
          <w:lang w:val="fr-FR"/>
        </w:rPr>
        <w:t> </w:t>
      </w:r>
      <w:proofErr w:type="spellStart"/>
      <w:r w:rsidRPr="00530BD2">
        <w:rPr>
          <w:i/>
          <w:iCs/>
          <w:color w:val="000000"/>
          <w:lang w:val="fr-FR"/>
        </w:rPr>
        <w:t>Rev</w:t>
      </w:r>
      <w:proofErr w:type="spellEnd"/>
      <w:r w:rsidRPr="00530BD2">
        <w:rPr>
          <w:i/>
          <w:iCs/>
          <w:color w:val="000000"/>
          <w:lang w:val="fr-FR"/>
        </w:rPr>
        <w:t xml:space="preserve">. </w:t>
      </w:r>
      <w:proofErr w:type="spellStart"/>
      <w:r w:rsidRPr="00530BD2">
        <w:rPr>
          <w:i/>
          <w:iCs/>
          <w:color w:val="000000"/>
          <w:lang w:val="fr-FR"/>
        </w:rPr>
        <w:t>dr</w:t>
      </w:r>
      <w:proofErr w:type="spellEnd"/>
      <w:r w:rsidRPr="00530BD2">
        <w:rPr>
          <w:i/>
          <w:iCs/>
          <w:color w:val="000000"/>
          <w:lang w:val="fr-FR"/>
        </w:rPr>
        <w:t xml:space="preserve">. </w:t>
      </w:r>
      <w:proofErr w:type="spellStart"/>
      <w:r w:rsidRPr="00530BD2">
        <w:rPr>
          <w:i/>
          <w:iCs/>
          <w:color w:val="000000"/>
          <w:lang w:val="fr-FR"/>
        </w:rPr>
        <w:t>pén</w:t>
      </w:r>
      <w:proofErr w:type="spellEnd"/>
      <w:r w:rsidRPr="00530BD2">
        <w:rPr>
          <w:i/>
          <w:iCs/>
          <w:color w:val="000000"/>
          <w:lang w:val="fr-FR"/>
        </w:rPr>
        <w:t xml:space="preserve">. </w:t>
      </w:r>
      <w:proofErr w:type="spellStart"/>
      <w:r w:rsidRPr="00530BD2">
        <w:rPr>
          <w:i/>
          <w:iCs/>
          <w:color w:val="000000"/>
          <w:lang w:val="fr-FR"/>
        </w:rPr>
        <w:t>entr</w:t>
      </w:r>
      <w:proofErr w:type="spellEnd"/>
      <w:r w:rsidRPr="00530BD2">
        <w:rPr>
          <w:i/>
          <w:iCs/>
          <w:color w:val="000000"/>
          <w:lang w:val="fr-FR"/>
        </w:rPr>
        <w:t>.</w:t>
      </w:r>
      <w:r w:rsidRPr="00530BD2">
        <w:rPr>
          <w:color w:val="000000"/>
          <w:shd w:val="clear" w:color="auto" w:fill="FFFFFF"/>
          <w:lang w:val="fr-FR"/>
        </w:rPr>
        <w:t>, 2022/3, p. 315-317).</w:t>
      </w:r>
    </w:p>
    <w:p w14:paraId="08471A2B" w14:textId="374BF863" w:rsidR="00F0244C" w:rsidRDefault="00F0244C" w:rsidP="001D1A8B">
      <w:pPr>
        <w:pStyle w:val="paragraph"/>
        <w:spacing w:before="0" w:beforeAutospacing="0" w:after="0" w:afterAutospacing="0"/>
        <w:jc w:val="both"/>
        <w:textAlignment w:val="baseline"/>
        <w:rPr>
          <w:rFonts w:eastAsia="MS Mincho"/>
          <w:color w:val="000000"/>
        </w:rPr>
      </w:pPr>
    </w:p>
    <w:p w14:paraId="7884C999" w14:textId="1936F868" w:rsidR="007F0300" w:rsidRDefault="007F0300" w:rsidP="001D1A8B">
      <w:pPr>
        <w:pStyle w:val="paragraph"/>
        <w:spacing w:before="0" w:beforeAutospacing="0" w:after="0" w:afterAutospacing="0"/>
        <w:jc w:val="both"/>
        <w:textAlignment w:val="baseline"/>
        <w:rPr>
          <w:rFonts w:eastAsia="MS Mincho"/>
          <w:color w:val="000000"/>
        </w:rPr>
      </w:pPr>
    </w:p>
    <w:p w14:paraId="0CE17048" w14:textId="77777777" w:rsidR="007F0300" w:rsidRPr="007F0300" w:rsidRDefault="007F0300" w:rsidP="007F0300">
      <w:pPr>
        <w:pStyle w:val="paragraph"/>
        <w:spacing w:before="0" w:beforeAutospacing="0" w:after="0" w:afterAutospacing="0"/>
        <w:jc w:val="right"/>
        <w:textAlignment w:val="baseline"/>
        <w:rPr>
          <w:rFonts w:eastAsia="MS Mincho"/>
          <w:color w:val="000000"/>
          <w:lang w:val="fr-FR"/>
        </w:rPr>
      </w:pPr>
      <w:r w:rsidRPr="007F0300">
        <w:rPr>
          <w:rFonts w:eastAsia="MS Mincho"/>
          <w:color w:val="000000"/>
          <w:lang w:val="fr-FR"/>
        </w:rPr>
        <w:t xml:space="preserve">Louise </w:t>
      </w:r>
      <w:r w:rsidRPr="007F0300">
        <w:rPr>
          <w:rFonts w:eastAsia="MS Mincho"/>
          <w:smallCaps/>
          <w:color w:val="000000"/>
          <w:lang w:val="fr-FR"/>
        </w:rPr>
        <w:t>Descamps</w:t>
      </w:r>
      <w:r w:rsidRPr="007F0300">
        <w:rPr>
          <w:rFonts w:eastAsia="MS Mincho"/>
          <w:color w:val="000000"/>
          <w:lang w:val="fr-FR"/>
        </w:rPr>
        <w:t>,</w:t>
      </w:r>
    </w:p>
    <w:p w14:paraId="3F9D2996" w14:textId="735BA7DF" w:rsidR="007F0300" w:rsidRDefault="007F0300" w:rsidP="007F0300">
      <w:pPr>
        <w:pStyle w:val="paragraph"/>
        <w:spacing w:before="0" w:beforeAutospacing="0" w:after="0" w:afterAutospacing="0"/>
        <w:jc w:val="right"/>
        <w:textAlignment w:val="baseline"/>
        <w:rPr>
          <w:rFonts w:eastAsia="MS Mincho"/>
          <w:color w:val="000000"/>
          <w:lang w:val="fr-FR"/>
        </w:rPr>
      </w:pPr>
      <w:r w:rsidRPr="007F0300">
        <w:rPr>
          <w:rFonts w:eastAsia="MS Mincho"/>
          <w:color w:val="000000"/>
          <w:lang w:val="fr-FR"/>
        </w:rPr>
        <w:t>Assistante à l’Université libre de Bruxelles, avocate au barreau de Bruxelles</w:t>
      </w:r>
    </w:p>
    <w:p w14:paraId="1E440A27" w14:textId="77777777" w:rsidR="007F0300" w:rsidRPr="007F0300" w:rsidRDefault="007F0300" w:rsidP="007F0300">
      <w:pPr>
        <w:pStyle w:val="paragraph"/>
        <w:spacing w:before="0" w:beforeAutospacing="0" w:after="0" w:afterAutospacing="0"/>
        <w:jc w:val="right"/>
        <w:textAlignment w:val="baseline"/>
        <w:rPr>
          <w:rFonts w:eastAsia="MS Mincho"/>
          <w:color w:val="000000"/>
          <w:lang w:val="fr-FR"/>
        </w:rPr>
      </w:pPr>
    </w:p>
    <w:p w14:paraId="0B513883" w14:textId="77777777" w:rsidR="007F0300" w:rsidRPr="007F0300" w:rsidRDefault="007F0300" w:rsidP="007F0300">
      <w:pPr>
        <w:pStyle w:val="paragraph"/>
        <w:spacing w:before="0" w:beforeAutospacing="0" w:after="0" w:afterAutospacing="0"/>
        <w:jc w:val="right"/>
        <w:textAlignment w:val="baseline"/>
        <w:rPr>
          <w:rFonts w:eastAsia="MS Mincho"/>
          <w:color w:val="000000"/>
          <w:lang w:val="fr-FR"/>
        </w:rPr>
      </w:pPr>
      <w:r w:rsidRPr="007F0300">
        <w:rPr>
          <w:rFonts w:eastAsia="MS Mincho"/>
          <w:color w:val="000000"/>
          <w:lang w:val="fr-FR"/>
        </w:rPr>
        <w:t xml:space="preserve">Christine </w:t>
      </w:r>
      <w:r w:rsidRPr="007F0300">
        <w:rPr>
          <w:rFonts w:eastAsia="MS Mincho"/>
          <w:smallCaps/>
          <w:color w:val="000000"/>
          <w:lang w:val="fr-FR"/>
        </w:rPr>
        <w:t>Guillain</w:t>
      </w:r>
      <w:r w:rsidRPr="007F0300">
        <w:rPr>
          <w:rFonts w:eastAsia="MS Mincho"/>
          <w:color w:val="000000"/>
          <w:lang w:val="fr-FR"/>
        </w:rPr>
        <w:t>,</w:t>
      </w:r>
    </w:p>
    <w:p w14:paraId="45F1A4F9" w14:textId="77777777" w:rsidR="007F0300" w:rsidRPr="007F0300" w:rsidRDefault="007F0300" w:rsidP="007F0300">
      <w:pPr>
        <w:pStyle w:val="paragraph"/>
        <w:spacing w:before="0" w:beforeAutospacing="0" w:after="0" w:afterAutospacing="0"/>
        <w:jc w:val="right"/>
        <w:textAlignment w:val="baseline"/>
        <w:rPr>
          <w:rFonts w:eastAsia="MS Mincho"/>
          <w:color w:val="000000"/>
          <w:lang w:val="fr-FR"/>
        </w:rPr>
      </w:pPr>
      <w:r w:rsidRPr="007F0300">
        <w:rPr>
          <w:rFonts w:eastAsia="MS Mincho"/>
          <w:color w:val="000000"/>
          <w:lang w:val="fr-FR"/>
        </w:rPr>
        <w:t>Professeure à l’Université Saint-Louis-Bruxelles, Responsable du GREPEC</w:t>
      </w:r>
    </w:p>
    <w:p w14:paraId="6252C4D0" w14:textId="334642A0" w:rsidR="007F0300" w:rsidRDefault="007F0300" w:rsidP="007F0300">
      <w:pPr>
        <w:pStyle w:val="paragraph"/>
        <w:spacing w:before="0" w:beforeAutospacing="0" w:after="0" w:afterAutospacing="0"/>
        <w:jc w:val="right"/>
        <w:textAlignment w:val="baseline"/>
        <w:rPr>
          <w:rFonts w:eastAsia="MS Mincho"/>
          <w:color w:val="000000"/>
          <w:lang w:val="fr-FR"/>
        </w:rPr>
      </w:pPr>
      <w:r w:rsidRPr="007F0300">
        <w:rPr>
          <w:rFonts w:eastAsia="MS Mincho"/>
          <w:color w:val="000000"/>
          <w:lang w:val="fr-FR"/>
        </w:rPr>
        <w:t>(Groupe de recherche en matière pénale et criminelle)</w:t>
      </w:r>
    </w:p>
    <w:p w14:paraId="2976C067" w14:textId="4BC005CF" w:rsidR="007F0300" w:rsidRDefault="007F0300" w:rsidP="007F0300">
      <w:pPr>
        <w:pStyle w:val="paragraph"/>
        <w:spacing w:before="0" w:beforeAutospacing="0" w:after="0" w:afterAutospacing="0"/>
        <w:jc w:val="right"/>
        <w:textAlignment w:val="baseline"/>
        <w:rPr>
          <w:rFonts w:eastAsia="MS Mincho"/>
          <w:color w:val="000000"/>
          <w:lang w:val="fr-FR"/>
        </w:rPr>
      </w:pPr>
    </w:p>
    <w:p w14:paraId="20ABC09A" w14:textId="61BE3B29" w:rsidR="007F0300" w:rsidRDefault="007F0300" w:rsidP="007F0300">
      <w:pPr>
        <w:pStyle w:val="paragraph"/>
        <w:spacing w:before="0" w:beforeAutospacing="0" w:after="0" w:afterAutospacing="0"/>
        <w:jc w:val="right"/>
        <w:textAlignment w:val="baseline"/>
        <w:rPr>
          <w:rFonts w:eastAsia="MS Mincho"/>
          <w:color w:val="000000"/>
          <w:lang w:val="fr-FR"/>
        </w:rPr>
      </w:pPr>
      <w:r>
        <w:rPr>
          <w:rFonts w:eastAsia="MS Mincho"/>
          <w:color w:val="000000"/>
          <w:lang w:val="fr-FR"/>
        </w:rPr>
        <w:t xml:space="preserve">Caroline </w:t>
      </w:r>
      <w:r w:rsidRPr="007F0300">
        <w:rPr>
          <w:rFonts w:eastAsia="MS Mincho"/>
          <w:smallCaps/>
          <w:color w:val="000000"/>
          <w:lang w:val="fr-FR"/>
        </w:rPr>
        <w:t>Heymans</w:t>
      </w:r>
      <w:r>
        <w:rPr>
          <w:rFonts w:eastAsia="MS Mincho"/>
          <w:color w:val="000000"/>
          <w:lang w:val="fr-FR"/>
        </w:rPr>
        <w:t>,</w:t>
      </w:r>
    </w:p>
    <w:p w14:paraId="7C09E4C9" w14:textId="5ED81491" w:rsidR="007F0300" w:rsidRPr="007F0300" w:rsidRDefault="007F0300" w:rsidP="007F0300">
      <w:pPr>
        <w:pStyle w:val="paragraph"/>
        <w:spacing w:before="0" w:beforeAutospacing="0" w:after="0" w:afterAutospacing="0"/>
        <w:jc w:val="right"/>
        <w:textAlignment w:val="baseline"/>
        <w:rPr>
          <w:rFonts w:eastAsia="MS Mincho"/>
          <w:color w:val="000000"/>
          <w:lang w:val="fr-FR"/>
        </w:rPr>
      </w:pPr>
      <w:r w:rsidRPr="007F0300">
        <w:rPr>
          <w:rFonts w:eastAsia="MS Mincho"/>
          <w:color w:val="000000"/>
          <w:lang w:val="fr-FR"/>
        </w:rPr>
        <w:t xml:space="preserve">Assistante </w:t>
      </w:r>
      <w:r>
        <w:rPr>
          <w:rFonts w:eastAsia="MS Mincho"/>
          <w:color w:val="000000"/>
          <w:lang w:val="fr-FR"/>
        </w:rPr>
        <w:t>à l’</w:t>
      </w:r>
      <w:r w:rsidRPr="007F0300">
        <w:rPr>
          <w:rFonts w:eastAsia="MS Mincho"/>
          <w:color w:val="000000"/>
          <w:lang w:val="fr-FR"/>
        </w:rPr>
        <w:t>Université Saint-Louis – Bruxelles, membre du GREPEC</w:t>
      </w:r>
      <w:r>
        <w:rPr>
          <w:rFonts w:eastAsia="MS Mincho"/>
          <w:color w:val="000000"/>
          <w:lang w:val="fr-FR"/>
        </w:rPr>
        <w:t>,</w:t>
      </w:r>
      <w:r w:rsidRPr="007F0300">
        <w:rPr>
          <w:rFonts w:eastAsia="MS Mincho"/>
          <w:color w:val="000000"/>
          <w:lang w:val="fr-FR"/>
        </w:rPr>
        <w:t xml:space="preserve"> </w:t>
      </w:r>
      <w:r w:rsidRPr="007F0300">
        <w:rPr>
          <w:rFonts w:eastAsia="MS Mincho"/>
          <w:color w:val="000000"/>
          <w:lang w:val="fr-FR"/>
        </w:rPr>
        <w:t>avocate au barreau de Bruxelles</w:t>
      </w:r>
      <w:r>
        <w:rPr>
          <w:rFonts w:eastAsia="MS Mincho"/>
          <w:color w:val="000000"/>
          <w:lang w:val="fr-FR"/>
        </w:rPr>
        <w:t xml:space="preserve"> </w:t>
      </w:r>
    </w:p>
    <w:p w14:paraId="59F08ACE" w14:textId="77777777" w:rsidR="007F0300" w:rsidRPr="007F0300" w:rsidRDefault="007F0300" w:rsidP="007F0300">
      <w:pPr>
        <w:pStyle w:val="paragraph"/>
        <w:spacing w:before="0" w:beforeAutospacing="0" w:after="0" w:afterAutospacing="0"/>
        <w:jc w:val="right"/>
        <w:textAlignment w:val="baseline"/>
        <w:rPr>
          <w:rFonts w:eastAsia="MS Mincho"/>
          <w:color w:val="000000"/>
          <w:lang w:val="fr-FR"/>
        </w:rPr>
      </w:pPr>
    </w:p>
    <w:p w14:paraId="1C555008" w14:textId="77777777" w:rsidR="007F0300" w:rsidRPr="007F0300" w:rsidRDefault="007F0300" w:rsidP="007F0300">
      <w:pPr>
        <w:pStyle w:val="paragraph"/>
        <w:spacing w:before="0" w:beforeAutospacing="0" w:after="0" w:afterAutospacing="0"/>
        <w:jc w:val="right"/>
        <w:textAlignment w:val="baseline"/>
        <w:rPr>
          <w:rFonts w:eastAsia="MS Mincho"/>
          <w:color w:val="000000"/>
          <w:lang w:val="fr-FR"/>
        </w:rPr>
      </w:pPr>
      <w:proofErr w:type="spellStart"/>
      <w:r w:rsidRPr="007F0300">
        <w:rPr>
          <w:rFonts w:eastAsia="MS Mincho"/>
          <w:color w:val="000000"/>
          <w:lang w:val="fr-FR"/>
        </w:rPr>
        <w:t>Diletta</w:t>
      </w:r>
      <w:proofErr w:type="spellEnd"/>
      <w:r w:rsidRPr="007F0300">
        <w:rPr>
          <w:rFonts w:eastAsia="MS Mincho"/>
          <w:color w:val="000000"/>
          <w:lang w:val="fr-FR"/>
        </w:rPr>
        <w:t xml:space="preserve"> </w:t>
      </w:r>
      <w:r w:rsidRPr="007F0300">
        <w:rPr>
          <w:rFonts w:eastAsia="MS Mincho"/>
          <w:smallCaps/>
          <w:color w:val="000000"/>
          <w:lang w:val="fr-FR"/>
        </w:rPr>
        <w:t>Tatti</w:t>
      </w:r>
      <w:r w:rsidRPr="007F0300">
        <w:rPr>
          <w:rFonts w:eastAsia="MS Mincho"/>
          <w:color w:val="000000"/>
          <w:lang w:val="fr-FR"/>
        </w:rPr>
        <w:t>,</w:t>
      </w:r>
    </w:p>
    <w:p w14:paraId="6CE47124" w14:textId="0C17B90D" w:rsidR="007F0300" w:rsidRPr="00783C46" w:rsidRDefault="007F0300" w:rsidP="007F0300">
      <w:pPr>
        <w:pStyle w:val="paragraph"/>
        <w:spacing w:before="0" w:beforeAutospacing="0" w:after="0" w:afterAutospacing="0"/>
        <w:jc w:val="right"/>
        <w:textAlignment w:val="baseline"/>
        <w:rPr>
          <w:rFonts w:eastAsia="MS Mincho"/>
          <w:color w:val="000000"/>
        </w:rPr>
      </w:pPr>
      <w:r w:rsidRPr="007F0300">
        <w:rPr>
          <w:rFonts w:eastAsia="MS Mincho"/>
          <w:color w:val="000000"/>
          <w:lang w:val="fr-FR"/>
        </w:rPr>
        <w:t>Assistante et chercheuse</w:t>
      </w:r>
      <w:r>
        <w:rPr>
          <w:rFonts w:eastAsia="MS Mincho"/>
          <w:color w:val="000000"/>
          <w:lang w:val="fr-FR"/>
        </w:rPr>
        <w:t xml:space="preserve"> à l’</w:t>
      </w:r>
      <w:r w:rsidRPr="007F0300">
        <w:rPr>
          <w:rFonts w:eastAsia="MS Mincho"/>
          <w:color w:val="000000"/>
          <w:lang w:val="fr-FR"/>
        </w:rPr>
        <w:t>Université Saint-Louis – Bruxelles, membre du GREPEC</w:t>
      </w:r>
    </w:p>
    <w:sectPr w:rsidR="007F0300" w:rsidRPr="00783C46" w:rsidSect="007B635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EF95B" w14:textId="77777777" w:rsidR="003C63EC" w:rsidRDefault="003C63EC" w:rsidP="004366EE">
      <w:r>
        <w:separator/>
      </w:r>
    </w:p>
  </w:endnote>
  <w:endnote w:type="continuationSeparator" w:id="0">
    <w:p w14:paraId="3C42C5E1" w14:textId="77777777" w:rsidR="003C63EC" w:rsidRDefault="003C63EC" w:rsidP="0043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emphisLTStd-Medium">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D72F6" w14:textId="77777777" w:rsidR="003C63EC" w:rsidRDefault="003C63EC" w:rsidP="004366EE">
      <w:r>
        <w:separator/>
      </w:r>
    </w:p>
  </w:footnote>
  <w:footnote w:type="continuationSeparator" w:id="0">
    <w:p w14:paraId="227788ED" w14:textId="77777777" w:rsidR="003C63EC" w:rsidRDefault="003C63EC" w:rsidP="004366EE">
      <w:r>
        <w:continuationSeparator/>
      </w:r>
    </w:p>
  </w:footnote>
  <w:footnote w:id="1">
    <w:p w14:paraId="21B2F291" w14:textId="77777777" w:rsidR="003F6A89" w:rsidRPr="006B37C6" w:rsidRDefault="003F6A89" w:rsidP="003F6A89">
      <w:pPr>
        <w:pStyle w:val="Notedebasdepage"/>
        <w:jc w:val="both"/>
      </w:pPr>
      <w:r w:rsidRPr="006D576D">
        <w:rPr>
          <w:rStyle w:val="Appelnotedebasdep"/>
        </w:rPr>
        <w:footnoteRef/>
      </w:r>
      <w:r w:rsidRPr="006D576D">
        <w:t xml:space="preserve"> </w:t>
      </w:r>
      <w:r w:rsidRPr="006B37C6">
        <w:rPr>
          <w:i/>
          <w:iCs/>
        </w:rPr>
        <w:t>M.B.</w:t>
      </w:r>
      <w:r w:rsidRPr="006B37C6">
        <w:t>, 31 mai 2007.</w:t>
      </w:r>
    </w:p>
  </w:footnote>
  <w:footnote w:id="2">
    <w:p w14:paraId="4A552D74" w14:textId="77777777" w:rsidR="007A5E6A" w:rsidRPr="006040A4" w:rsidRDefault="007A5E6A" w:rsidP="00772F47">
      <w:pPr>
        <w:pStyle w:val="Notedebasdepage"/>
        <w:jc w:val="both"/>
      </w:pPr>
      <w:r w:rsidRPr="006040A4">
        <w:rPr>
          <w:rStyle w:val="Appelnotedebasdep"/>
        </w:rPr>
        <w:footnoteRef/>
      </w:r>
      <w:r w:rsidRPr="006040A4">
        <w:t xml:space="preserve"> </w:t>
      </w:r>
      <w:r w:rsidRPr="006040A4">
        <w:rPr>
          <w:i/>
          <w:iCs/>
        </w:rPr>
        <w:t>M.B</w:t>
      </w:r>
      <w:r w:rsidRPr="006040A4">
        <w:t>., 4 novembre 2022.</w:t>
      </w:r>
    </w:p>
  </w:footnote>
  <w:footnote w:id="3">
    <w:p w14:paraId="40BD9AE6" w14:textId="77777777" w:rsidR="007A5E6A" w:rsidRPr="006040A4" w:rsidRDefault="007A5E6A" w:rsidP="00772F47">
      <w:pPr>
        <w:pStyle w:val="Notedebasdepage"/>
        <w:jc w:val="both"/>
        <w:rPr>
          <w:lang w:val="fr-FR"/>
        </w:rPr>
      </w:pPr>
      <w:r w:rsidRPr="006040A4">
        <w:rPr>
          <w:rStyle w:val="Appelnotedebasdep"/>
        </w:rPr>
        <w:footnoteRef/>
      </w:r>
      <w:r w:rsidRPr="006040A4">
        <w:t xml:space="preserve"> </w:t>
      </w:r>
      <w:r w:rsidRPr="006040A4">
        <w:rPr>
          <w:lang w:val="fr-FR"/>
        </w:rPr>
        <w:t xml:space="preserve">Projet de loi, Rapport, </w:t>
      </w:r>
      <w:r w:rsidRPr="006040A4">
        <w:rPr>
          <w:i/>
          <w:iCs/>
          <w:lang w:val="fr-FR"/>
        </w:rPr>
        <w:t>Doc.</w:t>
      </w:r>
      <w:r w:rsidRPr="006040A4">
        <w:rPr>
          <w:lang w:val="fr-FR"/>
        </w:rPr>
        <w:t>, Ch. 2021-2022, n° 55- 2784/003, p. 4.</w:t>
      </w:r>
    </w:p>
  </w:footnote>
  <w:footnote w:id="4">
    <w:p w14:paraId="17C81B23" w14:textId="1F7F73F4" w:rsidR="000F163F" w:rsidRPr="000F163F" w:rsidRDefault="000F163F" w:rsidP="00772F47">
      <w:pPr>
        <w:pStyle w:val="Notedebasdepage"/>
        <w:jc w:val="both"/>
        <w:rPr>
          <w:lang w:val="fr-FR"/>
        </w:rPr>
      </w:pPr>
      <w:r>
        <w:rPr>
          <w:rStyle w:val="Appelnotedebasdep"/>
        </w:rPr>
        <w:footnoteRef/>
      </w:r>
      <w:r>
        <w:t xml:space="preserve"> Voy, dans le même numéro, P. </w:t>
      </w:r>
      <w:r w:rsidRPr="00797502">
        <w:rPr>
          <w:smallCaps/>
        </w:rPr>
        <w:t>Lambotte</w:t>
      </w:r>
      <w:r>
        <w:t>, « Les articles 7 et 7/1 de la loj du 8 avril 1965 : état des lieux</w:t>
      </w:r>
      <w:r w:rsidR="00B646ED">
        <w:t> »</w:t>
      </w:r>
      <w:r>
        <w:t xml:space="preserve">, p. </w:t>
      </w:r>
      <w:r w:rsidR="00797502">
        <w:t>163-172.</w:t>
      </w:r>
    </w:p>
  </w:footnote>
  <w:footnote w:id="5">
    <w:p w14:paraId="0AE481A7" w14:textId="2C91D6AF" w:rsidR="00B20FD3" w:rsidRPr="00B20FD3" w:rsidRDefault="00B20FD3" w:rsidP="00772F47">
      <w:pPr>
        <w:pStyle w:val="Notedebasdepage"/>
        <w:jc w:val="both"/>
      </w:pPr>
      <w:r>
        <w:rPr>
          <w:rStyle w:val="Appelnotedebasdep"/>
        </w:rPr>
        <w:footnoteRef/>
      </w:r>
      <w:r w:rsidRPr="00D6572D">
        <w:rPr>
          <w:lang w:val="sv-SE"/>
        </w:rPr>
        <w:t xml:space="preserve"> C</w:t>
      </w:r>
      <w:r w:rsidR="00155CB7" w:rsidRPr="00D6572D">
        <w:rPr>
          <w:lang w:val="sv-SE"/>
        </w:rPr>
        <w:t>.</w:t>
      </w:r>
      <w:r w:rsidRPr="00D6572D">
        <w:rPr>
          <w:lang w:val="sv-SE"/>
        </w:rPr>
        <w:t>J</w:t>
      </w:r>
      <w:r w:rsidR="00155CB7" w:rsidRPr="00D6572D">
        <w:rPr>
          <w:lang w:val="sv-SE"/>
        </w:rPr>
        <w:t>.</w:t>
      </w:r>
      <w:r w:rsidRPr="00D6572D">
        <w:rPr>
          <w:lang w:val="sv-SE"/>
        </w:rPr>
        <w:t>C</w:t>
      </w:r>
      <w:r w:rsidR="00155CB7" w:rsidRPr="00D6572D">
        <w:rPr>
          <w:lang w:val="sv-SE"/>
        </w:rPr>
        <w:t>.</w:t>
      </w:r>
      <w:r w:rsidRPr="00D6572D">
        <w:rPr>
          <w:lang w:val="sv-SE"/>
        </w:rPr>
        <w:t>E</w:t>
      </w:r>
      <w:r w:rsidR="00155CB7" w:rsidRPr="00D6572D">
        <w:rPr>
          <w:lang w:val="sv-SE"/>
        </w:rPr>
        <w:t>.</w:t>
      </w:r>
      <w:r w:rsidRPr="00D6572D">
        <w:rPr>
          <w:lang w:val="sv-SE"/>
        </w:rPr>
        <w:t xml:space="preserve">, 9 mars 2006, </w:t>
      </w:r>
      <w:r w:rsidRPr="00D6572D">
        <w:rPr>
          <w:i/>
          <w:iCs/>
          <w:lang w:val="sv-SE"/>
        </w:rPr>
        <w:t>Van Esbroeck</w:t>
      </w:r>
      <w:r w:rsidRPr="00D6572D">
        <w:rPr>
          <w:lang w:val="sv-SE"/>
        </w:rPr>
        <w:t xml:space="preserve">, aff. </w:t>
      </w:r>
      <w:r w:rsidRPr="00B20FD3">
        <w:t>C-436/04</w:t>
      </w:r>
      <w:r>
        <w:t xml:space="preserve">, </w:t>
      </w:r>
      <w:r w:rsidRPr="00B20FD3">
        <w:t xml:space="preserve">§§ 35 et 36. </w:t>
      </w:r>
    </w:p>
  </w:footnote>
  <w:footnote w:id="6">
    <w:p w14:paraId="03EF5259" w14:textId="2D03F29C" w:rsidR="00D976CB" w:rsidRPr="00812FD5" w:rsidRDefault="00D976CB" w:rsidP="00772F47">
      <w:pPr>
        <w:pStyle w:val="Notedebasdepage"/>
        <w:jc w:val="both"/>
        <w:rPr>
          <w:rFonts w:asciiTheme="majorBidi" w:hAnsiTheme="majorBidi" w:cstheme="majorBidi"/>
        </w:rPr>
      </w:pPr>
      <w:r w:rsidRPr="00812FD5">
        <w:rPr>
          <w:rStyle w:val="Appelnotedebasdep"/>
          <w:rFonts w:asciiTheme="majorBidi" w:hAnsiTheme="majorBidi" w:cstheme="majorBidi"/>
        </w:rPr>
        <w:footnoteRef/>
      </w:r>
      <w:r w:rsidRPr="00812FD5">
        <w:rPr>
          <w:rFonts w:asciiTheme="majorBidi" w:hAnsiTheme="majorBidi" w:cstheme="majorBidi"/>
        </w:rPr>
        <w:t xml:space="preserve"> Cour eur. D.H. (GC), 10 février 2009, arrêt </w:t>
      </w:r>
      <w:r w:rsidRPr="00812FD5">
        <w:rPr>
          <w:rFonts w:asciiTheme="majorBidi" w:hAnsiTheme="majorBidi" w:cstheme="majorBidi"/>
          <w:i/>
          <w:iCs/>
        </w:rPr>
        <w:t>Zolotoukhine c. Russie</w:t>
      </w:r>
      <w:r w:rsidRPr="00812FD5">
        <w:rPr>
          <w:rFonts w:asciiTheme="majorBidi" w:hAnsiTheme="majorBidi" w:cstheme="majorBidi"/>
        </w:rPr>
        <w:t>.</w:t>
      </w:r>
    </w:p>
  </w:footnote>
  <w:footnote w:id="7">
    <w:p w14:paraId="38998589" w14:textId="1955CF12" w:rsidR="001D174E" w:rsidRPr="00812FD5" w:rsidRDefault="001D174E" w:rsidP="00772F47">
      <w:pPr>
        <w:pStyle w:val="Notedebasdepage"/>
        <w:jc w:val="both"/>
        <w:rPr>
          <w:rFonts w:asciiTheme="majorBidi" w:hAnsiTheme="majorBidi" w:cstheme="majorBidi"/>
        </w:rPr>
      </w:pPr>
      <w:r w:rsidRPr="00812FD5">
        <w:rPr>
          <w:rStyle w:val="Appelnotedebasdep"/>
          <w:rFonts w:asciiTheme="majorBidi" w:hAnsiTheme="majorBidi" w:cstheme="majorBidi"/>
        </w:rPr>
        <w:footnoteRef/>
      </w:r>
      <w:r w:rsidRPr="00812FD5">
        <w:rPr>
          <w:rFonts w:asciiTheme="majorBidi" w:hAnsiTheme="majorBidi" w:cstheme="majorBidi"/>
        </w:rPr>
        <w:t xml:space="preserve"> Cour eur. D.H. (GC), 10 février 2009, arrêt </w:t>
      </w:r>
      <w:r w:rsidRPr="00812FD5">
        <w:rPr>
          <w:rFonts w:asciiTheme="majorBidi" w:hAnsiTheme="majorBidi" w:cstheme="majorBidi"/>
          <w:i/>
          <w:iCs/>
        </w:rPr>
        <w:t>Sergueï Zolotoukhine c. Russie</w:t>
      </w:r>
      <w:r w:rsidRPr="00812FD5">
        <w:rPr>
          <w:rFonts w:asciiTheme="majorBidi" w:hAnsiTheme="majorBidi" w:cstheme="majorBidi"/>
        </w:rPr>
        <w:t xml:space="preserve">, § 82. Cette jurisprudence </w:t>
      </w:r>
      <w:r w:rsidR="00DC18E5">
        <w:rPr>
          <w:rFonts w:asciiTheme="majorBidi" w:hAnsiTheme="majorBidi" w:cstheme="majorBidi"/>
        </w:rPr>
        <w:t xml:space="preserve">a été </w:t>
      </w:r>
      <w:r w:rsidRPr="00812FD5">
        <w:rPr>
          <w:rFonts w:asciiTheme="majorBidi" w:hAnsiTheme="majorBidi" w:cstheme="majorBidi"/>
        </w:rPr>
        <w:t xml:space="preserve"> confirmée par la suite dans les arrêts </w:t>
      </w:r>
      <w:r w:rsidRPr="00812FD5">
        <w:rPr>
          <w:rFonts w:asciiTheme="majorBidi" w:hAnsiTheme="majorBidi" w:cstheme="majorBidi"/>
          <w:i/>
          <w:iCs/>
        </w:rPr>
        <w:t>Maresti c. Croatie</w:t>
      </w:r>
      <w:r w:rsidRPr="00812FD5">
        <w:rPr>
          <w:rFonts w:asciiTheme="majorBidi" w:hAnsiTheme="majorBidi" w:cstheme="majorBidi"/>
        </w:rPr>
        <w:t xml:space="preserve"> du 25 juin 2009, </w:t>
      </w:r>
      <w:r w:rsidRPr="00812FD5">
        <w:rPr>
          <w:rFonts w:asciiTheme="majorBidi" w:hAnsiTheme="majorBidi" w:cstheme="majorBidi"/>
          <w:i/>
          <w:iCs/>
        </w:rPr>
        <w:t>Tomasovic c. Croatie</w:t>
      </w:r>
      <w:r w:rsidRPr="00812FD5">
        <w:rPr>
          <w:rFonts w:asciiTheme="majorBidi" w:hAnsiTheme="majorBidi" w:cstheme="majorBidi"/>
        </w:rPr>
        <w:t xml:space="preserve"> du 18 octobre 2011, </w:t>
      </w:r>
      <w:r w:rsidRPr="00812FD5">
        <w:rPr>
          <w:rFonts w:asciiTheme="majorBidi" w:hAnsiTheme="majorBidi" w:cstheme="majorBidi"/>
          <w:i/>
          <w:iCs/>
        </w:rPr>
        <w:t>Khmel c. Russie</w:t>
      </w:r>
      <w:r w:rsidRPr="00812FD5">
        <w:rPr>
          <w:rFonts w:asciiTheme="majorBidi" w:hAnsiTheme="majorBidi" w:cstheme="majorBidi"/>
        </w:rPr>
        <w:t xml:space="preserve"> du 12 décembre 2013, </w:t>
      </w:r>
      <w:r w:rsidRPr="00812FD5">
        <w:rPr>
          <w:rFonts w:asciiTheme="majorBidi" w:hAnsiTheme="majorBidi" w:cstheme="majorBidi"/>
          <w:i/>
          <w:iCs/>
        </w:rPr>
        <w:t>Muslija c. BosnieHerzégovine</w:t>
      </w:r>
      <w:r w:rsidRPr="00812FD5">
        <w:rPr>
          <w:rFonts w:asciiTheme="majorBidi" w:hAnsiTheme="majorBidi" w:cstheme="majorBidi"/>
        </w:rPr>
        <w:t xml:space="preserve"> du 14 janvier 2014, </w:t>
      </w:r>
      <w:r w:rsidRPr="00812FD5">
        <w:rPr>
          <w:rFonts w:asciiTheme="majorBidi" w:hAnsiTheme="majorBidi" w:cstheme="majorBidi"/>
          <w:i/>
          <w:iCs/>
        </w:rPr>
        <w:t>Grande Stevens et autres c. Italie</w:t>
      </w:r>
      <w:r w:rsidRPr="00812FD5">
        <w:rPr>
          <w:rFonts w:asciiTheme="majorBidi" w:hAnsiTheme="majorBidi" w:cstheme="majorBidi"/>
        </w:rPr>
        <w:t xml:space="preserve"> du 4 mars 2014, </w:t>
      </w:r>
      <w:r w:rsidRPr="00812FD5">
        <w:rPr>
          <w:rFonts w:asciiTheme="majorBidi" w:hAnsiTheme="majorBidi" w:cstheme="majorBidi"/>
          <w:i/>
          <w:iCs/>
        </w:rPr>
        <w:t>Glantz c. Finlande, Häkkä c. Finlande, Nykanen c. Finlande</w:t>
      </w:r>
      <w:r w:rsidRPr="00812FD5">
        <w:rPr>
          <w:rFonts w:asciiTheme="majorBidi" w:hAnsiTheme="majorBidi" w:cstheme="majorBidi"/>
        </w:rPr>
        <w:t xml:space="preserve"> et </w:t>
      </w:r>
      <w:r w:rsidRPr="00812FD5">
        <w:rPr>
          <w:rFonts w:asciiTheme="majorBidi" w:hAnsiTheme="majorBidi" w:cstheme="majorBidi"/>
          <w:i/>
          <w:iCs/>
        </w:rPr>
        <w:t>Pirttimäki c. Finlande</w:t>
      </w:r>
      <w:r w:rsidRPr="00812FD5">
        <w:rPr>
          <w:rFonts w:asciiTheme="majorBidi" w:hAnsiTheme="majorBidi" w:cstheme="majorBidi"/>
        </w:rPr>
        <w:t xml:space="preserve"> du 20 mai 2014.</w:t>
      </w:r>
    </w:p>
  </w:footnote>
  <w:footnote w:id="8">
    <w:p w14:paraId="74A49EF9" w14:textId="20B98509" w:rsidR="001D174E" w:rsidRPr="00812FD5" w:rsidRDefault="001D174E" w:rsidP="00772F47">
      <w:pPr>
        <w:pStyle w:val="Notedebasdepage"/>
        <w:jc w:val="both"/>
        <w:rPr>
          <w:rFonts w:asciiTheme="majorBidi" w:hAnsiTheme="majorBidi" w:cstheme="majorBidi"/>
        </w:rPr>
      </w:pPr>
      <w:r w:rsidRPr="00DC18E5">
        <w:rPr>
          <w:rStyle w:val="Appelnotedebasdep"/>
          <w:rFonts w:asciiTheme="majorBidi" w:hAnsiTheme="majorBidi" w:cstheme="majorBidi"/>
        </w:rPr>
        <w:footnoteRef/>
      </w:r>
      <w:r w:rsidRPr="00DC18E5">
        <w:rPr>
          <w:rFonts w:asciiTheme="majorBidi" w:hAnsiTheme="majorBidi" w:cstheme="majorBidi"/>
        </w:rPr>
        <w:t xml:space="preserve"> </w:t>
      </w:r>
      <w:r w:rsidRPr="00DC18E5">
        <w:rPr>
          <w:rFonts w:asciiTheme="majorBidi" w:hAnsiTheme="majorBidi" w:cstheme="majorBidi"/>
          <w:smallCaps/>
        </w:rPr>
        <w:t xml:space="preserve">D. Bernard, </w:t>
      </w:r>
      <w:r w:rsidRPr="00DC18E5">
        <w:rPr>
          <w:rFonts w:asciiTheme="majorBidi" w:hAnsiTheme="majorBidi" w:cstheme="majorBidi"/>
        </w:rPr>
        <w:t xml:space="preserve">« Article 50 », in F. </w:t>
      </w:r>
      <w:r w:rsidRPr="00DC18E5">
        <w:rPr>
          <w:rFonts w:asciiTheme="majorBidi" w:hAnsiTheme="majorBidi" w:cstheme="majorBidi"/>
          <w:smallCaps/>
        </w:rPr>
        <w:t>Picod,</w:t>
      </w:r>
      <w:r w:rsidRPr="00DC18E5">
        <w:rPr>
          <w:rFonts w:asciiTheme="majorBidi" w:hAnsiTheme="majorBidi" w:cstheme="majorBidi"/>
        </w:rPr>
        <w:t xml:space="preserve"> C. </w:t>
      </w:r>
      <w:r w:rsidRPr="00DC18E5">
        <w:rPr>
          <w:rFonts w:asciiTheme="majorBidi" w:hAnsiTheme="majorBidi" w:cstheme="majorBidi"/>
          <w:smallCaps/>
        </w:rPr>
        <w:t>Rizcallah</w:t>
      </w:r>
      <w:r w:rsidRPr="00DC18E5">
        <w:rPr>
          <w:rFonts w:asciiTheme="majorBidi" w:hAnsiTheme="majorBidi" w:cstheme="majorBidi"/>
        </w:rPr>
        <w:t xml:space="preserve"> et S</w:t>
      </w:r>
      <w:r w:rsidRPr="00DC18E5">
        <w:rPr>
          <w:rFonts w:asciiTheme="majorBidi" w:hAnsiTheme="majorBidi" w:cstheme="majorBidi"/>
          <w:smallCaps/>
        </w:rPr>
        <w:t>. Van Drooghenbroeck</w:t>
      </w:r>
      <w:r w:rsidRPr="00DC18E5">
        <w:rPr>
          <w:rFonts w:asciiTheme="majorBidi" w:hAnsiTheme="majorBidi" w:cstheme="majorBidi"/>
        </w:rPr>
        <w:t xml:space="preserve">, </w:t>
      </w:r>
      <w:r w:rsidRPr="00DC18E5">
        <w:rPr>
          <w:rFonts w:asciiTheme="majorBidi" w:hAnsiTheme="majorBidi" w:cstheme="majorBidi"/>
          <w:i/>
          <w:iCs/>
        </w:rPr>
        <w:t>La Charte des droits fondamentaux de l’Union européenne. Commentaire article par article</w:t>
      </w:r>
      <w:r w:rsidRPr="00DC18E5">
        <w:rPr>
          <w:rFonts w:asciiTheme="majorBidi" w:hAnsiTheme="majorBidi" w:cstheme="majorBidi"/>
        </w:rPr>
        <w:t>, Bruxelles, Larcier, 2020, pp. 1197</w:t>
      </w:r>
      <w:r w:rsidR="00505FF0">
        <w:rPr>
          <w:rFonts w:asciiTheme="majorBidi" w:hAnsiTheme="majorBidi" w:cstheme="majorBidi"/>
        </w:rPr>
        <w:t>-</w:t>
      </w:r>
      <w:r w:rsidRPr="00DC18E5">
        <w:rPr>
          <w:rFonts w:asciiTheme="majorBidi" w:hAnsiTheme="majorBidi" w:cstheme="majorBidi"/>
        </w:rPr>
        <w:t>1222</w:t>
      </w:r>
      <w:r w:rsidR="00D976CB" w:rsidRPr="00DC18E5">
        <w:rPr>
          <w:rFonts w:asciiTheme="majorBidi" w:hAnsiTheme="majorBidi" w:cstheme="majorBidi"/>
        </w:rPr>
        <w:t>.</w:t>
      </w:r>
    </w:p>
  </w:footnote>
  <w:footnote w:id="9">
    <w:p w14:paraId="6A73BE3A" w14:textId="77777777" w:rsidR="001D174E" w:rsidRPr="00D6572D" w:rsidRDefault="001D174E" w:rsidP="00772F47">
      <w:pPr>
        <w:pStyle w:val="Notedebasdepage"/>
        <w:jc w:val="both"/>
        <w:rPr>
          <w:rFonts w:asciiTheme="majorBidi" w:hAnsiTheme="majorBidi" w:cstheme="majorBidi"/>
        </w:rPr>
      </w:pPr>
      <w:r w:rsidRPr="00812FD5">
        <w:rPr>
          <w:rStyle w:val="Appelnotedebasdep"/>
          <w:rFonts w:asciiTheme="majorBidi" w:hAnsiTheme="majorBidi" w:cstheme="majorBidi"/>
        </w:rPr>
        <w:footnoteRef/>
      </w:r>
      <w:r w:rsidRPr="00D6572D">
        <w:rPr>
          <w:rFonts w:asciiTheme="majorBidi" w:hAnsiTheme="majorBidi" w:cstheme="majorBidi"/>
        </w:rPr>
        <w:t xml:space="preserve"> C.J.U.E., 26 février 2013, arrêt </w:t>
      </w:r>
      <w:r w:rsidRPr="00D6572D">
        <w:rPr>
          <w:rFonts w:asciiTheme="majorBidi" w:hAnsiTheme="majorBidi" w:cstheme="majorBidi"/>
          <w:i/>
          <w:iCs/>
        </w:rPr>
        <w:t>Aklagaren c. Akerberg Fransson</w:t>
      </w:r>
      <w:r w:rsidRPr="00D6572D">
        <w:rPr>
          <w:rFonts w:asciiTheme="majorBidi" w:hAnsiTheme="majorBidi" w:cstheme="majorBidi"/>
        </w:rPr>
        <w:t>, C-617/10.</w:t>
      </w:r>
    </w:p>
  </w:footnote>
  <w:footnote w:id="10">
    <w:p w14:paraId="4F03428F" w14:textId="6F573675" w:rsidR="00D14BBE" w:rsidRPr="00D14BBE" w:rsidRDefault="00D14BBE" w:rsidP="00772F47">
      <w:pPr>
        <w:pStyle w:val="Notedebasdepage"/>
        <w:jc w:val="both"/>
        <w:rPr>
          <w:lang w:val="fr-FR"/>
        </w:rPr>
      </w:pPr>
      <w:r>
        <w:rPr>
          <w:rStyle w:val="Appelnotedebasdep"/>
        </w:rPr>
        <w:footnoteRef/>
      </w:r>
      <w:r>
        <w:t xml:space="preserve"> </w:t>
      </w:r>
      <w:r>
        <w:rPr>
          <w:lang w:val="fr-FR"/>
        </w:rPr>
        <w:t>La loi incrimine également les actes préparatoires posés en vue de commettre certaines infractions relatives aux produits précurseurs (art. 2</w:t>
      </w:r>
      <w:r w:rsidRPr="00D14BBE">
        <w:rPr>
          <w:i/>
          <w:iCs/>
          <w:lang w:val="fr-FR"/>
        </w:rPr>
        <w:t>quater</w:t>
      </w:r>
      <w:r>
        <w:rPr>
          <w:lang w:val="fr-FR"/>
        </w:rPr>
        <w:t>, al. 2).</w:t>
      </w:r>
    </w:p>
  </w:footnote>
  <w:footnote w:id="11">
    <w:p w14:paraId="6A61E096" w14:textId="203705B9" w:rsidR="00B646ED" w:rsidRPr="00B646ED" w:rsidRDefault="00B646ED" w:rsidP="00772F47">
      <w:pPr>
        <w:pStyle w:val="Notedebasdepage"/>
        <w:jc w:val="both"/>
        <w:rPr>
          <w:lang w:val="nl-BE"/>
        </w:rPr>
      </w:pPr>
      <w:r>
        <w:rPr>
          <w:rStyle w:val="Appelnotedebasdep"/>
        </w:rPr>
        <w:footnoteRef/>
      </w:r>
      <w:r w:rsidRPr="00B646ED">
        <w:rPr>
          <w:lang w:val="nl-BE"/>
        </w:rPr>
        <w:t xml:space="preserve"> Cass., 10 avril 2018, R.G., n° P.18 .0039.N/3, </w:t>
      </w:r>
      <w:r w:rsidRPr="00B646ED">
        <w:rPr>
          <w:i/>
          <w:iCs/>
          <w:lang w:val="nl-BE"/>
        </w:rPr>
        <w:t>N.C</w:t>
      </w:r>
      <w:r w:rsidRPr="00B646ED">
        <w:rPr>
          <w:lang w:val="nl-BE"/>
        </w:rPr>
        <w:t>., 2018, vol. 13, n° 5, p. 481</w:t>
      </w:r>
      <w:r>
        <w:rPr>
          <w:lang w:val="nl-BE"/>
        </w:rPr>
        <w:t>-</w:t>
      </w:r>
      <w:r w:rsidRPr="00B646ED">
        <w:rPr>
          <w:lang w:val="nl-BE"/>
        </w:rPr>
        <w:t xml:space="preserve">490 et note E. </w:t>
      </w:r>
      <w:r w:rsidRPr="00B646ED">
        <w:rPr>
          <w:smallCaps/>
          <w:lang w:val="nl-BE"/>
        </w:rPr>
        <w:t>Dekrem</w:t>
      </w:r>
      <w:r w:rsidRPr="00B646ED">
        <w:rPr>
          <w:lang w:val="nl-BE"/>
        </w:rPr>
        <w:t> : « De strabaarstelling van voor</w:t>
      </w:r>
      <w:r>
        <w:rPr>
          <w:lang w:val="nl-BE"/>
        </w:rPr>
        <w:t xml:space="preserve">bereidende handelingen in de Drugswet </w:t>
      </w:r>
      <w:r w:rsidRPr="00B646ED">
        <w:rPr>
          <w:lang w:val="nl-BE"/>
        </w:rPr>
        <w:t>»</w:t>
      </w:r>
      <w:r>
        <w:rPr>
          <w:lang w:val="nl-BE"/>
        </w:rPr>
        <w:t xml:space="preserve">. </w:t>
      </w:r>
    </w:p>
  </w:footnote>
  <w:footnote w:id="12">
    <w:p w14:paraId="274D388F" w14:textId="77777777" w:rsidR="00785611" w:rsidRPr="00A009C1" w:rsidRDefault="00785611" w:rsidP="00772F47">
      <w:pPr>
        <w:pStyle w:val="Notedebasdepage"/>
        <w:jc w:val="both"/>
      </w:pPr>
      <w:r w:rsidRPr="00785611">
        <w:rPr>
          <w:rStyle w:val="Appelnotedebasdep"/>
        </w:rPr>
        <w:footnoteRef/>
      </w:r>
      <w:r w:rsidRPr="00785611">
        <w:t xml:space="preserve"> </w:t>
      </w:r>
      <w:r w:rsidRPr="00785611">
        <w:rPr>
          <w:lang w:val="fr-FR"/>
        </w:rPr>
        <w:t xml:space="preserve">Cass., 27 avril 2021, </w:t>
      </w:r>
      <w:r w:rsidRPr="00785611">
        <w:rPr>
          <w:szCs w:val="17"/>
        </w:rPr>
        <w:t>P.21.0080.N., disponible sur Juportal.</w:t>
      </w:r>
    </w:p>
  </w:footnote>
  <w:footnote w:id="13">
    <w:p w14:paraId="3F8B4CDC" w14:textId="51A1E225" w:rsidR="00785611" w:rsidRPr="00785611" w:rsidRDefault="00785611" w:rsidP="00772F47">
      <w:pPr>
        <w:pStyle w:val="Notedebasdepage"/>
        <w:jc w:val="both"/>
      </w:pPr>
      <w:r>
        <w:rPr>
          <w:rStyle w:val="Appelnotedebasdep"/>
        </w:rPr>
        <w:footnoteRef/>
      </w:r>
      <w:r>
        <w:t xml:space="preserve"> </w:t>
      </w:r>
      <w:r>
        <w:rPr>
          <w:lang w:val="fr-FR"/>
        </w:rPr>
        <w:t xml:space="preserve">Pour plus de précisions, voy. </w:t>
      </w:r>
      <w:r w:rsidRPr="00785611">
        <w:t xml:space="preserve">C. </w:t>
      </w:r>
      <w:r w:rsidRPr="00785611">
        <w:rPr>
          <w:smallCaps/>
        </w:rPr>
        <w:t>Guillain</w:t>
      </w:r>
      <w:r w:rsidRPr="00785611">
        <w:t xml:space="preserve">, </w:t>
      </w:r>
      <w:r w:rsidRPr="00785611">
        <w:rPr>
          <w:i/>
          <w:iCs/>
        </w:rPr>
        <w:t>R.P.D.B., Stupéfiants</w:t>
      </w:r>
      <w:r>
        <w:t>, Larcier, 2023, n° 209 à 220.</w:t>
      </w:r>
    </w:p>
  </w:footnote>
  <w:footnote w:id="14">
    <w:p w14:paraId="5E417C8A" w14:textId="5F9C874E" w:rsidR="00B479CE" w:rsidRPr="00B479CE" w:rsidRDefault="00B479CE" w:rsidP="00772F47">
      <w:pPr>
        <w:pStyle w:val="Notedebasdepage"/>
        <w:jc w:val="both"/>
        <w:rPr>
          <w:highlight w:val="yellow"/>
        </w:rPr>
      </w:pPr>
      <w:r w:rsidRPr="00B479CE">
        <w:rPr>
          <w:rStyle w:val="Appelnotedebasdep"/>
        </w:rPr>
        <w:footnoteRef/>
      </w:r>
      <w:r w:rsidRPr="00B479CE">
        <w:rPr>
          <w:rFonts w:eastAsiaTheme="minorEastAsia"/>
        </w:rPr>
        <w:t xml:space="preserve"> </w:t>
      </w:r>
      <w:r w:rsidRPr="00B479CE">
        <w:t xml:space="preserve">Cass., 9 mars 2021, </w:t>
      </w:r>
      <w:r w:rsidRPr="00B479CE">
        <w:rPr>
          <w:iCs/>
        </w:rPr>
        <w:t xml:space="preserve">P.20.1171.N., </w:t>
      </w:r>
      <w:r w:rsidRPr="00B479CE">
        <w:rPr>
          <w:i/>
        </w:rPr>
        <w:t>R.A.B.G</w:t>
      </w:r>
      <w:r w:rsidRPr="00B479CE">
        <w:rPr>
          <w:iCs/>
        </w:rPr>
        <w:t>., 2021, n° 11, p.</w:t>
      </w:r>
      <w:r w:rsidR="0063583A">
        <w:rPr>
          <w:iCs/>
        </w:rPr>
        <w:t xml:space="preserve"> </w:t>
      </w:r>
      <w:r w:rsidRPr="00B479CE">
        <w:rPr>
          <w:iCs/>
        </w:rPr>
        <w:t xml:space="preserve">1018 et note P. </w:t>
      </w:r>
      <w:r w:rsidRPr="00B479CE">
        <w:rPr>
          <w:iCs/>
          <w:smallCaps/>
        </w:rPr>
        <w:t>Waeterinck</w:t>
      </w:r>
      <w:r w:rsidRPr="00B479CE">
        <w:rPr>
          <w:iCs/>
        </w:rPr>
        <w:t>.</w:t>
      </w:r>
    </w:p>
  </w:footnote>
  <w:footnote w:id="15">
    <w:p w14:paraId="48C62D9A" w14:textId="77777777" w:rsidR="00B479CE" w:rsidRPr="00772F47" w:rsidRDefault="00B479CE" w:rsidP="007D0293">
      <w:pPr>
        <w:pStyle w:val="Textedebulles"/>
        <w:rPr>
          <w:rFonts w:asciiTheme="majorBidi" w:hAnsiTheme="majorBidi" w:cstheme="majorBidi"/>
          <w:sz w:val="20"/>
          <w:szCs w:val="20"/>
        </w:rPr>
      </w:pPr>
      <w:r w:rsidRPr="00772F47">
        <w:rPr>
          <w:rFonts w:asciiTheme="majorBidi" w:hAnsiTheme="majorBidi" w:cstheme="majorBidi"/>
          <w:sz w:val="20"/>
          <w:szCs w:val="20"/>
          <w:vertAlign w:val="superscript"/>
        </w:rPr>
        <w:footnoteRef/>
      </w:r>
      <w:r w:rsidRPr="00772F47">
        <w:rPr>
          <w:rFonts w:asciiTheme="majorBidi" w:hAnsiTheme="majorBidi" w:cstheme="majorBidi"/>
          <w:sz w:val="20"/>
          <w:szCs w:val="20"/>
        </w:rPr>
        <w:t xml:space="preserve"> C.C., 3 avril 2014, n° 65/2014; </w:t>
      </w:r>
      <w:r w:rsidRPr="00772F47">
        <w:rPr>
          <w:rFonts w:asciiTheme="majorBidi" w:hAnsiTheme="majorBidi" w:cstheme="majorBidi"/>
          <w:i/>
          <w:sz w:val="20"/>
          <w:szCs w:val="20"/>
        </w:rPr>
        <w:t>T. Strafr</w:t>
      </w:r>
      <w:r w:rsidRPr="00772F47">
        <w:rPr>
          <w:rFonts w:asciiTheme="majorBidi" w:hAnsiTheme="majorBidi" w:cstheme="majorBidi"/>
          <w:sz w:val="20"/>
          <w:szCs w:val="20"/>
        </w:rPr>
        <w:t xml:space="preserve">., 2014, n° 4, p. 244 et note </w:t>
      </w:r>
      <w:r w:rsidRPr="00772F47">
        <w:rPr>
          <w:rFonts w:asciiTheme="majorBidi" w:hAnsiTheme="majorBidi" w:cstheme="majorBidi"/>
          <w:smallCaps/>
          <w:sz w:val="20"/>
          <w:szCs w:val="20"/>
        </w:rPr>
        <w:t xml:space="preserve">T.D. </w:t>
      </w:r>
      <w:r w:rsidRPr="00772F47">
        <w:rPr>
          <w:rFonts w:asciiTheme="majorBidi" w:hAnsiTheme="majorBidi" w:cstheme="majorBidi"/>
          <w:sz w:val="20"/>
          <w:szCs w:val="20"/>
        </w:rPr>
        <w:t xml:space="preserve">Voy., également, A. </w:t>
      </w:r>
      <w:r w:rsidRPr="00772F47">
        <w:rPr>
          <w:rFonts w:asciiTheme="majorBidi" w:hAnsiTheme="majorBidi" w:cstheme="majorBidi"/>
          <w:smallCaps/>
          <w:sz w:val="20"/>
          <w:szCs w:val="20"/>
        </w:rPr>
        <w:t>De Nauw,</w:t>
      </w:r>
      <w:r w:rsidRPr="00772F47">
        <w:rPr>
          <w:rFonts w:asciiTheme="majorBidi" w:hAnsiTheme="majorBidi" w:cstheme="majorBidi"/>
          <w:sz w:val="20"/>
          <w:szCs w:val="20"/>
        </w:rPr>
        <w:t xml:space="preserve"> « Drugswet (2005-2013) : Weinig beweging in de wetgeving, boeidende ontwikkelingen in de rechtspraak », </w:t>
      </w:r>
      <w:r w:rsidRPr="00772F47">
        <w:rPr>
          <w:rFonts w:asciiTheme="majorBidi" w:hAnsiTheme="majorBidi" w:cstheme="majorBidi"/>
          <w:i/>
          <w:sz w:val="20"/>
          <w:szCs w:val="20"/>
        </w:rPr>
        <w:t>R.W</w:t>
      </w:r>
      <w:r w:rsidRPr="00772F47">
        <w:rPr>
          <w:rFonts w:asciiTheme="majorBidi" w:hAnsiTheme="majorBidi" w:cstheme="majorBidi"/>
          <w:sz w:val="20"/>
          <w:szCs w:val="20"/>
        </w:rPr>
        <w:t>., 2014-2015, p. 48.</w:t>
      </w:r>
    </w:p>
  </w:footnote>
  <w:footnote w:id="16">
    <w:p w14:paraId="3E3A4418" w14:textId="71DAE613" w:rsidR="00835EA5" w:rsidRPr="00835EA5" w:rsidRDefault="00835EA5" w:rsidP="00772F47">
      <w:pPr>
        <w:pStyle w:val="Notedebasdepage"/>
        <w:jc w:val="both"/>
      </w:pPr>
      <w:r>
        <w:rPr>
          <w:rStyle w:val="Appelnotedebasdep"/>
        </w:rPr>
        <w:footnoteRef/>
      </w:r>
      <w:r>
        <w:t xml:space="preserve"> </w:t>
      </w:r>
      <w:r>
        <w:rPr>
          <w:lang w:val="fr-FR"/>
        </w:rPr>
        <w:t xml:space="preserve">Pour plus de précisions, voy. </w:t>
      </w:r>
      <w:r w:rsidRPr="00785611">
        <w:t xml:space="preserve">C. </w:t>
      </w:r>
      <w:r w:rsidRPr="00785611">
        <w:rPr>
          <w:smallCaps/>
        </w:rPr>
        <w:t>Guillain</w:t>
      </w:r>
      <w:r w:rsidRPr="00785611">
        <w:t xml:space="preserve">, </w:t>
      </w:r>
      <w:r w:rsidRPr="00785611">
        <w:rPr>
          <w:i/>
          <w:iCs/>
        </w:rPr>
        <w:t>R.P.D.B., Stupéfiants</w:t>
      </w:r>
      <w:r>
        <w:t xml:space="preserve">, Larcier, 2023, n° </w:t>
      </w:r>
      <w:r w:rsidR="00B20FD3">
        <w:t>342 à 349.</w:t>
      </w:r>
    </w:p>
  </w:footnote>
  <w:footnote w:id="17">
    <w:p w14:paraId="194C8CF0" w14:textId="2F375B1C" w:rsidR="00D46613" w:rsidRPr="00D46613" w:rsidRDefault="00D46613" w:rsidP="00772F47">
      <w:pPr>
        <w:pStyle w:val="Notedebasdepage"/>
        <w:jc w:val="both"/>
        <w:rPr>
          <w:lang w:val="fr-FR"/>
        </w:rPr>
      </w:pPr>
      <w:r>
        <w:rPr>
          <w:rStyle w:val="Appelnotedebasdep"/>
        </w:rPr>
        <w:footnoteRef/>
      </w:r>
      <w:r>
        <w:t xml:space="preserve"> </w:t>
      </w:r>
      <w:r w:rsidRPr="00C257E4">
        <w:rPr>
          <w:i/>
          <w:iCs/>
          <w:lang w:val="fr-FR"/>
        </w:rPr>
        <w:t>M.B</w:t>
      </w:r>
      <w:r>
        <w:rPr>
          <w:lang w:val="fr-FR"/>
        </w:rPr>
        <w:t xml:space="preserve">., 23 février 2021.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56920"/>
    <w:multiLevelType w:val="hybridMultilevel"/>
    <w:tmpl w:val="AF0E2D8C"/>
    <w:lvl w:ilvl="0" w:tplc="2D9E4C1E">
      <w:start w:val="300"/>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C85952"/>
    <w:multiLevelType w:val="multilevel"/>
    <w:tmpl w:val="CBB2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071406"/>
    <w:multiLevelType w:val="multilevel"/>
    <w:tmpl w:val="A96C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126B8B"/>
    <w:multiLevelType w:val="hybridMultilevel"/>
    <w:tmpl w:val="52504F50"/>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A8B35B2"/>
    <w:multiLevelType w:val="multilevel"/>
    <w:tmpl w:val="6FB8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DC388F"/>
    <w:multiLevelType w:val="multilevel"/>
    <w:tmpl w:val="F5C2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23CEB"/>
    <w:multiLevelType w:val="multilevel"/>
    <w:tmpl w:val="70E6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B9604E"/>
    <w:multiLevelType w:val="hybridMultilevel"/>
    <w:tmpl w:val="6366B012"/>
    <w:lvl w:ilvl="0" w:tplc="FAC4BC74">
      <w:start w:val="19"/>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7797034">
    <w:abstractNumId w:val="7"/>
  </w:num>
  <w:num w:numId="2" w16cid:durableId="712387328">
    <w:abstractNumId w:val="0"/>
  </w:num>
  <w:num w:numId="3" w16cid:durableId="529880359">
    <w:abstractNumId w:val="3"/>
  </w:num>
  <w:num w:numId="4" w16cid:durableId="1728184438">
    <w:abstractNumId w:val="1"/>
  </w:num>
  <w:num w:numId="5" w16cid:durableId="1869366317">
    <w:abstractNumId w:val="2"/>
  </w:num>
  <w:num w:numId="6" w16cid:durableId="745886403">
    <w:abstractNumId w:val="5"/>
  </w:num>
  <w:num w:numId="7" w16cid:durableId="747652864">
    <w:abstractNumId w:val="6"/>
  </w:num>
  <w:num w:numId="8" w16cid:durableId="162554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6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42"/>
    <w:rsid w:val="000013C4"/>
    <w:rsid w:val="00055A25"/>
    <w:rsid w:val="00066F77"/>
    <w:rsid w:val="0007456B"/>
    <w:rsid w:val="0007499D"/>
    <w:rsid w:val="000821FB"/>
    <w:rsid w:val="000A1A36"/>
    <w:rsid w:val="000A7AC5"/>
    <w:rsid w:val="000C1474"/>
    <w:rsid w:val="000C202B"/>
    <w:rsid w:val="000E4E4A"/>
    <w:rsid w:val="000F163F"/>
    <w:rsid w:val="0010567B"/>
    <w:rsid w:val="00151A59"/>
    <w:rsid w:val="00155CB7"/>
    <w:rsid w:val="001767B8"/>
    <w:rsid w:val="00185447"/>
    <w:rsid w:val="00187F8A"/>
    <w:rsid w:val="001A35AF"/>
    <w:rsid w:val="001B1D9F"/>
    <w:rsid w:val="001C1029"/>
    <w:rsid w:val="001D174E"/>
    <w:rsid w:val="001D1A8B"/>
    <w:rsid w:val="001D261E"/>
    <w:rsid w:val="001D4495"/>
    <w:rsid w:val="001E2323"/>
    <w:rsid w:val="001E3E6E"/>
    <w:rsid w:val="001F1871"/>
    <w:rsid w:val="001F3814"/>
    <w:rsid w:val="00204498"/>
    <w:rsid w:val="00226445"/>
    <w:rsid w:val="00234EE9"/>
    <w:rsid w:val="00244683"/>
    <w:rsid w:val="002605F7"/>
    <w:rsid w:val="00287B42"/>
    <w:rsid w:val="002B747C"/>
    <w:rsid w:val="0030046E"/>
    <w:rsid w:val="00304303"/>
    <w:rsid w:val="00326C9C"/>
    <w:rsid w:val="0033221E"/>
    <w:rsid w:val="0033736A"/>
    <w:rsid w:val="00344EDD"/>
    <w:rsid w:val="0036460D"/>
    <w:rsid w:val="00376B55"/>
    <w:rsid w:val="003B1406"/>
    <w:rsid w:val="003C63EC"/>
    <w:rsid w:val="003D1A49"/>
    <w:rsid w:val="003F6A89"/>
    <w:rsid w:val="00404444"/>
    <w:rsid w:val="004215C4"/>
    <w:rsid w:val="004337B4"/>
    <w:rsid w:val="004366EE"/>
    <w:rsid w:val="00477F81"/>
    <w:rsid w:val="004A43C3"/>
    <w:rsid w:val="004C0516"/>
    <w:rsid w:val="004E2F5E"/>
    <w:rsid w:val="0050286C"/>
    <w:rsid w:val="00502E17"/>
    <w:rsid w:val="00505FF0"/>
    <w:rsid w:val="005247FC"/>
    <w:rsid w:val="00527E3E"/>
    <w:rsid w:val="005303FF"/>
    <w:rsid w:val="0057253E"/>
    <w:rsid w:val="00581D83"/>
    <w:rsid w:val="00583D5B"/>
    <w:rsid w:val="00587BF0"/>
    <w:rsid w:val="00592FE1"/>
    <w:rsid w:val="005A0A6A"/>
    <w:rsid w:val="005A4474"/>
    <w:rsid w:val="005A5E55"/>
    <w:rsid w:val="005B4FB2"/>
    <w:rsid w:val="005B7B0F"/>
    <w:rsid w:val="005C0365"/>
    <w:rsid w:val="005D701F"/>
    <w:rsid w:val="005F19AA"/>
    <w:rsid w:val="005F6349"/>
    <w:rsid w:val="00606FAF"/>
    <w:rsid w:val="0063583A"/>
    <w:rsid w:val="006415D3"/>
    <w:rsid w:val="00645038"/>
    <w:rsid w:val="006873BC"/>
    <w:rsid w:val="006941B6"/>
    <w:rsid w:val="006A06D6"/>
    <w:rsid w:val="006B1E2F"/>
    <w:rsid w:val="006B37C6"/>
    <w:rsid w:val="006B675C"/>
    <w:rsid w:val="006D0FB8"/>
    <w:rsid w:val="006D196E"/>
    <w:rsid w:val="006F622A"/>
    <w:rsid w:val="006F6BFF"/>
    <w:rsid w:val="007034F6"/>
    <w:rsid w:val="0073414D"/>
    <w:rsid w:val="00750366"/>
    <w:rsid w:val="0076567F"/>
    <w:rsid w:val="007661A1"/>
    <w:rsid w:val="00772F47"/>
    <w:rsid w:val="00783C46"/>
    <w:rsid w:val="00785611"/>
    <w:rsid w:val="0079103B"/>
    <w:rsid w:val="00797502"/>
    <w:rsid w:val="007A4650"/>
    <w:rsid w:val="007A5E6A"/>
    <w:rsid w:val="007A6B73"/>
    <w:rsid w:val="007B6356"/>
    <w:rsid w:val="007C0BEB"/>
    <w:rsid w:val="007D0293"/>
    <w:rsid w:val="007D40CA"/>
    <w:rsid w:val="007F0300"/>
    <w:rsid w:val="00800BF1"/>
    <w:rsid w:val="00814EA9"/>
    <w:rsid w:val="008322F2"/>
    <w:rsid w:val="00833124"/>
    <w:rsid w:val="00835EA5"/>
    <w:rsid w:val="00842A81"/>
    <w:rsid w:val="00860B9F"/>
    <w:rsid w:val="00865A98"/>
    <w:rsid w:val="008768FC"/>
    <w:rsid w:val="0087790E"/>
    <w:rsid w:val="00896478"/>
    <w:rsid w:val="008A3307"/>
    <w:rsid w:val="00916464"/>
    <w:rsid w:val="00960FB9"/>
    <w:rsid w:val="009C69AD"/>
    <w:rsid w:val="009D4EA5"/>
    <w:rsid w:val="009E18D9"/>
    <w:rsid w:val="009F0101"/>
    <w:rsid w:val="009F2DF0"/>
    <w:rsid w:val="009F76EA"/>
    <w:rsid w:val="00A144CD"/>
    <w:rsid w:val="00A148F4"/>
    <w:rsid w:val="00A2398E"/>
    <w:rsid w:val="00A43FCD"/>
    <w:rsid w:val="00A80720"/>
    <w:rsid w:val="00A93E1C"/>
    <w:rsid w:val="00A97BBC"/>
    <w:rsid w:val="00AD7D12"/>
    <w:rsid w:val="00B00E29"/>
    <w:rsid w:val="00B12809"/>
    <w:rsid w:val="00B205F2"/>
    <w:rsid w:val="00B20FD3"/>
    <w:rsid w:val="00B33928"/>
    <w:rsid w:val="00B47918"/>
    <w:rsid w:val="00B479CE"/>
    <w:rsid w:val="00B529DD"/>
    <w:rsid w:val="00B60BB2"/>
    <w:rsid w:val="00B63993"/>
    <w:rsid w:val="00B646ED"/>
    <w:rsid w:val="00B73319"/>
    <w:rsid w:val="00BC2918"/>
    <w:rsid w:val="00BC4B07"/>
    <w:rsid w:val="00C24C69"/>
    <w:rsid w:val="00C2518B"/>
    <w:rsid w:val="00C257E4"/>
    <w:rsid w:val="00C345A9"/>
    <w:rsid w:val="00C360C1"/>
    <w:rsid w:val="00C42E62"/>
    <w:rsid w:val="00C462A9"/>
    <w:rsid w:val="00C60A4D"/>
    <w:rsid w:val="00C6526A"/>
    <w:rsid w:val="00C70645"/>
    <w:rsid w:val="00C73515"/>
    <w:rsid w:val="00C74F99"/>
    <w:rsid w:val="00C9622F"/>
    <w:rsid w:val="00CD43CB"/>
    <w:rsid w:val="00CE0657"/>
    <w:rsid w:val="00CE13AB"/>
    <w:rsid w:val="00D12B7C"/>
    <w:rsid w:val="00D14BBE"/>
    <w:rsid w:val="00D30C80"/>
    <w:rsid w:val="00D46613"/>
    <w:rsid w:val="00D47FD8"/>
    <w:rsid w:val="00D6572D"/>
    <w:rsid w:val="00D70EA5"/>
    <w:rsid w:val="00D80F3E"/>
    <w:rsid w:val="00D8152C"/>
    <w:rsid w:val="00D83040"/>
    <w:rsid w:val="00D85E56"/>
    <w:rsid w:val="00D86771"/>
    <w:rsid w:val="00D976CB"/>
    <w:rsid w:val="00DB25E5"/>
    <w:rsid w:val="00DB7B18"/>
    <w:rsid w:val="00DC18E5"/>
    <w:rsid w:val="00DD1529"/>
    <w:rsid w:val="00DD5CEC"/>
    <w:rsid w:val="00DE0E47"/>
    <w:rsid w:val="00DE280C"/>
    <w:rsid w:val="00DE7AFE"/>
    <w:rsid w:val="00E1108C"/>
    <w:rsid w:val="00E14D02"/>
    <w:rsid w:val="00E171B3"/>
    <w:rsid w:val="00E72865"/>
    <w:rsid w:val="00EC3D4D"/>
    <w:rsid w:val="00EE4464"/>
    <w:rsid w:val="00EE707F"/>
    <w:rsid w:val="00EF0803"/>
    <w:rsid w:val="00F01D6E"/>
    <w:rsid w:val="00F0244C"/>
    <w:rsid w:val="00F05659"/>
    <w:rsid w:val="00F14095"/>
    <w:rsid w:val="00F2130F"/>
    <w:rsid w:val="00F31240"/>
    <w:rsid w:val="00F33A1F"/>
    <w:rsid w:val="00F759AC"/>
    <w:rsid w:val="00F8118B"/>
    <w:rsid w:val="00F8241E"/>
    <w:rsid w:val="00F82516"/>
    <w:rsid w:val="00FB3F1F"/>
    <w:rsid w:val="00FB63F2"/>
    <w:rsid w:val="00FB714F"/>
    <w:rsid w:val="00FB7DB2"/>
    <w:rsid w:val="00FC54CB"/>
    <w:rsid w:val="00FE3E8B"/>
    <w:rsid w:val="00FE5B46"/>
    <w:rsid w:val="00FF7143"/>
  </w:rsids>
  <m:mathPr>
    <m:mathFont m:val="Cambria Math"/>
    <m:brkBin m:val="before"/>
    <m:brkBinSub m:val="--"/>
    <m:smallFrac m:val="0"/>
    <m:dispDef/>
    <m:lMargin m:val="0"/>
    <m:rMargin m:val="0"/>
    <m:defJc m:val="centerGroup"/>
    <m:wrapIndent m:val="1440"/>
    <m:intLim m:val="subSup"/>
    <m:naryLim m:val="undOvr"/>
  </m:mathPr>
  <w:themeFontLang w:val="fr-B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50B8555"/>
  <w15:docId w15:val="{476F0848-24ED-2047-8B98-5387FCAA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3F"/>
    <w:rPr>
      <w:rFonts w:ascii="Times New Roman" w:eastAsia="Times New Roman" w:hAnsi="Times New Roman" w:cs="Times New Roman"/>
    </w:rPr>
  </w:style>
  <w:style w:type="paragraph" w:styleId="Titre1">
    <w:name w:val="heading 1"/>
    <w:basedOn w:val="Normal"/>
    <w:link w:val="Titre1Car"/>
    <w:uiPriority w:val="9"/>
    <w:qFormat/>
    <w:rsid w:val="007034F6"/>
    <w:pPr>
      <w:spacing w:before="100" w:beforeAutospacing="1" w:after="100" w:afterAutospacing="1"/>
      <w:outlineLvl w:val="0"/>
    </w:pPr>
    <w:rPr>
      <w:b/>
      <w:bCs/>
      <w:kern w:val="36"/>
      <w:sz w:val="48"/>
      <w:szCs w:val="48"/>
    </w:rPr>
  </w:style>
  <w:style w:type="paragraph" w:styleId="Titre3">
    <w:name w:val="heading 3"/>
    <w:basedOn w:val="Normal"/>
    <w:next w:val="Normal"/>
    <w:link w:val="Titre3Car"/>
    <w:uiPriority w:val="9"/>
    <w:unhideWhenUsed/>
    <w:qFormat/>
    <w:rsid w:val="007A5E6A"/>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185447"/>
    <w:pPr>
      <w:spacing w:before="100" w:beforeAutospacing="1" w:after="100" w:afterAutospacing="1"/>
    </w:pPr>
    <w:rPr>
      <w:lang w:eastAsia="fr-FR"/>
    </w:rPr>
  </w:style>
  <w:style w:type="character" w:customStyle="1" w:styleId="eop">
    <w:name w:val="eop"/>
    <w:basedOn w:val="Policepardfaut"/>
    <w:rsid w:val="00185447"/>
  </w:style>
  <w:style w:type="paragraph" w:styleId="Paragraphedeliste">
    <w:name w:val="List Paragraph"/>
    <w:basedOn w:val="Normal"/>
    <w:uiPriority w:val="34"/>
    <w:qFormat/>
    <w:rsid w:val="00860B9F"/>
    <w:pPr>
      <w:ind w:left="720"/>
      <w:contextualSpacing/>
    </w:pPr>
    <w:rPr>
      <w:rFonts w:eastAsiaTheme="minorEastAsia"/>
      <w:lang w:val="fr-FR"/>
    </w:rPr>
  </w:style>
  <w:style w:type="character" w:customStyle="1" w:styleId="Titre1Car">
    <w:name w:val="Titre 1 Car"/>
    <w:basedOn w:val="Policepardfaut"/>
    <w:link w:val="Titre1"/>
    <w:uiPriority w:val="9"/>
    <w:rsid w:val="007034F6"/>
    <w:rPr>
      <w:rFonts w:ascii="Times New Roman" w:eastAsia="Times New Roman" w:hAnsi="Times New Roman" w:cs="Times New Roman"/>
      <w:b/>
      <w:bCs/>
      <w:kern w:val="36"/>
      <w:sz w:val="48"/>
      <w:szCs w:val="48"/>
    </w:rPr>
  </w:style>
  <w:style w:type="character" w:customStyle="1" w:styleId="apple-converted-space">
    <w:name w:val="apple-converted-space"/>
    <w:basedOn w:val="Policepardfaut"/>
    <w:rsid w:val="007034F6"/>
  </w:style>
  <w:style w:type="paragraph" w:styleId="NormalWeb">
    <w:name w:val="Normal (Web)"/>
    <w:basedOn w:val="Normal"/>
    <w:uiPriority w:val="99"/>
    <w:unhideWhenUsed/>
    <w:rsid w:val="007C0BEB"/>
  </w:style>
  <w:style w:type="character" w:styleId="Lienhypertexte">
    <w:name w:val="Hyperlink"/>
    <w:basedOn w:val="Policepardfaut"/>
    <w:uiPriority w:val="99"/>
    <w:unhideWhenUsed/>
    <w:rsid w:val="0079103B"/>
    <w:rPr>
      <w:color w:val="0000FF"/>
      <w:u w:val="single"/>
    </w:rPr>
  </w:style>
  <w:style w:type="paragraph" w:styleId="Notedebasdepage">
    <w:name w:val="footnote text"/>
    <w:aliases w:val="Car,Footnotes,Note de bas de page2,fn,Fußnotentext RAXEN,Footnote Text Char,Footnote Text Char2 Char,Footnote Text Char Char1 Char,Footnote Text Char2 Char Char Char,Footnote Text Char1 Char Char Char Char,footnotes,footnote text,FA"/>
    <w:basedOn w:val="Normal"/>
    <w:link w:val="NotedebasdepageCar"/>
    <w:uiPriority w:val="99"/>
    <w:unhideWhenUsed/>
    <w:qFormat/>
    <w:rsid w:val="004366EE"/>
    <w:rPr>
      <w:sz w:val="20"/>
      <w:szCs w:val="20"/>
    </w:rPr>
  </w:style>
  <w:style w:type="character" w:customStyle="1" w:styleId="NotedebasdepageCar">
    <w:name w:val="Note de bas de page Car"/>
    <w:aliases w:val="Car Car,Footnotes Car,Note de bas de page2 Car,fn Car,Fußnotentext RAXEN Car,Footnote Text Char Car,Footnote Text Char2 Char Car,Footnote Text Char Char1 Char Car,Footnote Text Char2 Char Char Char Car,footnotes Car,FA Car"/>
    <w:basedOn w:val="Policepardfaut"/>
    <w:link w:val="Notedebasdepage"/>
    <w:uiPriority w:val="99"/>
    <w:qFormat/>
    <w:rsid w:val="004366EE"/>
    <w:rPr>
      <w:rFonts w:ascii="Times New Roman" w:eastAsia="Times New Roman" w:hAnsi="Times New Roman" w:cs="Times New Roman"/>
      <w:sz w:val="20"/>
      <w:szCs w:val="20"/>
    </w:rPr>
  </w:style>
  <w:style w:type="character" w:styleId="Appelnotedebasdep">
    <w:name w:val="footnote reference"/>
    <w:aliases w:val="Footnote Reference 1,Ref,de nota al pie,bkVoetnootmarkering,appel de note bas de page,fr,Appel note de bas de page,callout,de nota a,Footnote Refernece,Footnotes refss,Footnote Reference Superscript,BVI fnr,4_G,Footnote number,FZ"/>
    <w:basedOn w:val="Policepardfaut"/>
    <w:link w:val="ftrefCharCharCharCharCharCharCharCharChar"/>
    <w:uiPriority w:val="99"/>
    <w:unhideWhenUsed/>
    <w:qFormat/>
    <w:rsid w:val="004366EE"/>
    <w:rPr>
      <w:vertAlign w:val="superscript"/>
    </w:rPr>
  </w:style>
  <w:style w:type="character" w:styleId="Mentionnonrsolue">
    <w:name w:val="Unresolved Mention"/>
    <w:basedOn w:val="Policepardfaut"/>
    <w:uiPriority w:val="99"/>
    <w:semiHidden/>
    <w:unhideWhenUsed/>
    <w:rsid w:val="00244683"/>
    <w:rPr>
      <w:color w:val="605E5C"/>
      <w:shd w:val="clear" w:color="auto" w:fill="E1DFDD"/>
    </w:rPr>
  </w:style>
  <w:style w:type="character" w:styleId="Lienhypertextesuivivisit">
    <w:name w:val="FollowedHyperlink"/>
    <w:basedOn w:val="Policepardfaut"/>
    <w:uiPriority w:val="99"/>
    <w:semiHidden/>
    <w:unhideWhenUsed/>
    <w:rsid w:val="00FB3F1F"/>
    <w:rPr>
      <w:color w:val="954F72" w:themeColor="followedHyperlink"/>
      <w:u w:val="single"/>
    </w:rPr>
  </w:style>
  <w:style w:type="character" w:customStyle="1" w:styleId="hbe">
    <w:name w:val="hbe"/>
    <w:basedOn w:val="Policepardfaut"/>
    <w:rsid w:val="00FB3F1F"/>
  </w:style>
  <w:style w:type="paragraph" w:customStyle="1" w:styleId="jlmbsubdiv-desc3">
    <w:name w:val="jlmb_subdiv-desc3"/>
    <w:basedOn w:val="Normal"/>
    <w:rsid w:val="001E3E6E"/>
    <w:pPr>
      <w:spacing w:before="100" w:beforeAutospacing="1" w:after="100" w:afterAutospacing="1"/>
    </w:pPr>
  </w:style>
  <w:style w:type="character" w:customStyle="1" w:styleId="Titre3Car">
    <w:name w:val="Titre 3 Car"/>
    <w:basedOn w:val="Policepardfaut"/>
    <w:link w:val="Titre3"/>
    <w:uiPriority w:val="9"/>
    <w:rsid w:val="007A5E6A"/>
    <w:rPr>
      <w:rFonts w:asciiTheme="majorHAnsi" w:eastAsiaTheme="majorEastAsia" w:hAnsiTheme="majorHAnsi" w:cstheme="majorBidi"/>
      <w:color w:val="1F3763" w:themeColor="accent1" w:themeShade="7F"/>
    </w:rPr>
  </w:style>
  <w:style w:type="character" w:customStyle="1" w:styleId="text">
    <w:name w:val="text"/>
    <w:basedOn w:val="Policepardfaut"/>
    <w:rsid w:val="007A5E6A"/>
  </w:style>
  <w:style w:type="paragraph" w:customStyle="1" w:styleId="jlmbnoclass">
    <w:name w:val="jlmb_noclass"/>
    <w:basedOn w:val="Normal"/>
    <w:rsid w:val="00592FE1"/>
    <w:pPr>
      <w:spacing w:before="100" w:beforeAutospacing="1" w:after="100" w:afterAutospacing="1"/>
    </w:p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Appelnotedebasdep"/>
    <w:rsid w:val="001D174E"/>
    <w:pPr>
      <w:spacing w:after="160" w:line="240" w:lineRule="exact"/>
    </w:pPr>
    <w:rPr>
      <w:rFonts w:asciiTheme="minorHAnsi" w:eastAsiaTheme="minorEastAsia" w:hAnsiTheme="minorHAnsi" w:cstheme="minorBidi"/>
      <w:vertAlign w:val="superscript"/>
    </w:rPr>
  </w:style>
  <w:style w:type="character" w:styleId="Accentuation">
    <w:name w:val="Emphasis"/>
    <w:basedOn w:val="Policepardfaut"/>
    <w:uiPriority w:val="20"/>
    <w:qFormat/>
    <w:rsid w:val="00842A81"/>
    <w:rPr>
      <w:i/>
      <w:iCs/>
    </w:rPr>
  </w:style>
  <w:style w:type="character" w:customStyle="1" w:styleId="markedcontent">
    <w:name w:val="markedcontent"/>
    <w:basedOn w:val="Policepardfaut"/>
    <w:rsid w:val="00D30C80"/>
  </w:style>
  <w:style w:type="character" w:styleId="lev">
    <w:name w:val="Strong"/>
    <w:basedOn w:val="Policepardfaut"/>
    <w:uiPriority w:val="22"/>
    <w:qFormat/>
    <w:rsid w:val="00606FAF"/>
    <w:rPr>
      <w:b/>
      <w:bCs/>
    </w:rPr>
  </w:style>
  <w:style w:type="paragraph" w:styleId="Textedebulles">
    <w:name w:val="Balloon Text"/>
    <w:basedOn w:val="Normal"/>
    <w:link w:val="TextedebullesCar"/>
    <w:uiPriority w:val="99"/>
    <w:unhideWhenUsed/>
    <w:qFormat/>
    <w:rsid w:val="00B479CE"/>
    <w:pPr>
      <w:jc w:val="both"/>
    </w:pPr>
    <w:rPr>
      <w:rFonts w:ascii="Lucida Grande" w:hAnsi="Lucida Grande" w:cs="Lucida Grande"/>
      <w:sz w:val="18"/>
      <w:szCs w:val="18"/>
    </w:rPr>
  </w:style>
  <w:style w:type="character" w:customStyle="1" w:styleId="TextedebullesCar">
    <w:name w:val="Texte de bulles Car"/>
    <w:basedOn w:val="Policepardfaut"/>
    <w:link w:val="Textedebulles"/>
    <w:uiPriority w:val="99"/>
    <w:rsid w:val="00B479CE"/>
    <w:rPr>
      <w:rFonts w:ascii="Lucida Grande" w:eastAsia="Times New Roman" w:hAnsi="Lucida Grande" w:cs="Lucida Grande"/>
      <w:sz w:val="18"/>
      <w:szCs w:val="18"/>
    </w:rPr>
  </w:style>
  <w:style w:type="paragraph" w:styleId="Rvision">
    <w:name w:val="Revision"/>
    <w:hidden/>
    <w:uiPriority w:val="99"/>
    <w:semiHidden/>
    <w:rsid w:val="0050286C"/>
    <w:rPr>
      <w:rFonts w:ascii="Times New Roman" w:eastAsia="Times New Roman" w:hAnsi="Times New Roman" w:cs="Times New Roman"/>
    </w:rPr>
  </w:style>
  <w:style w:type="character" w:styleId="Marquedecommentaire">
    <w:name w:val="annotation reference"/>
    <w:basedOn w:val="Policepardfaut"/>
    <w:uiPriority w:val="99"/>
    <w:semiHidden/>
    <w:unhideWhenUsed/>
    <w:rsid w:val="00A80720"/>
    <w:rPr>
      <w:sz w:val="16"/>
      <w:szCs w:val="16"/>
    </w:rPr>
  </w:style>
  <w:style w:type="paragraph" w:styleId="Commentaire">
    <w:name w:val="annotation text"/>
    <w:basedOn w:val="Normal"/>
    <w:link w:val="CommentaireCar"/>
    <w:uiPriority w:val="99"/>
    <w:unhideWhenUsed/>
    <w:rsid w:val="00A80720"/>
    <w:rPr>
      <w:sz w:val="20"/>
      <w:szCs w:val="20"/>
    </w:rPr>
  </w:style>
  <w:style w:type="character" w:customStyle="1" w:styleId="CommentaireCar">
    <w:name w:val="Commentaire Car"/>
    <w:basedOn w:val="Policepardfaut"/>
    <w:link w:val="Commentaire"/>
    <w:uiPriority w:val="99"/>
    <w:rsid w:val="00A80720"/>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A80720"/>
    <w:rPr>
      <w:b/>
      <w:bCs/>
    </w:rPr>
  </w:style>
  <w:style w:type="character" w:customStyle="1" w:styleId="ObjetducommentaireCar">
    <w:name w:val="Objet du commentaire Car"/>
    <w:basedOn w:val="CommentaireCar"/>
    <w:link w:val="Objetducommentaire"/>
    <w:uiPriority w:val="99"/>
    <w:semiHidden/>
    <w:rsid w:val="00A8072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0147">
      <w:bodyDiv w:val="1"/>
      <w:marLeft w:val="0"/>
      <w:marRight w:val="0"/>
      <w:marTop w:val="0"/>
      <w:marBottom w:val="0"/>
      <w:divBdr>
        <w:top w:val="none" w:sz="0" w:space="0" w:color="auto"/>
        <w:left w:val="none" w:sz="0" w:space="0" w:color="auto"/>
        <w:bottom w:val="none" w:sz="0" w:space="0" w:color="auto"/>
        <w:right w:val="none" w:sz="0" w:space="0" w:color="auto"/>
      </w:divBdr>
    </w:div>
    <w:div w:id="54665626">
      <w:bodyDiv w:val="1"/>
      <w:marLeft w:val="0"/>
      <w:marRight w:val="0"/>
      <w:marTop w:val="0"/>
      <w:marBottom w:val="0"/>
      <w:divBdr>
        <w:top w:val="none" w:sz="0" w:space="0" w:color="auto"/>
        <w:left w:val="none" w:sz="0" w:space="0" w:color="auto"/>
        <w:bottom w:val="none" w:sz="0" w:space="0" w:color="auto"/>
        <w:right w:val="none" w:sz="0" w:space="0" w:color="auto"/>
      </w:divBdr>
      <w:divsChild>
        <w:div w:id="1725055985">
          <w:marLeft w:val="0"/>
          <w:marRight w:val="0"/>
          <w:marTop w:val="0"/>
          <w:marBottom w:val="0"/>
          <w:divBdr>
            <w:top w:val="none" w:sz="0" w:space="0" w:color="auto"/>
            <w:left w:val="none" w:sz="0" w:space="0" w:color="auto"/>
            <w:bottom w:val="none" w:sz="0" w:space="0" w:color="auto"/>
            <w:right w:val="none" w:sz="0" w:space="0" w:color="auto"/>
          </w:divBdr>
          <w:divsChild>
            <w:div w:id="998077928">
              <w:marLeft w:val="0"/>
              <w:marRight w:val="0"/>
              <w:marTop w:val="0"/>
              <w:marBottom w:val="0"/>
              <w:divBdr>
                <w:top w:val="none" w:sz="0" w:space="0" w:color="auto"/>
                <w:left w:val="none" w:sz="0" w:space="0" w:color="auto"/>
                <w:bottom w:val="none" w:sz="0" w:space="0" w:color="auto"/>
                <w:right w:val="none" w:sz="0" w:space="0" w:color="auto"/>
              </w:divBdr>
              <w:divsChild>
                <w:div w:id="194395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178">
      <w:bodyDiv w:val="1"/>
      <w:marLeft w:val="0"/>
      <w:marRight w:val="0"/>
      <w:marTop w:val="0"/>
      <w:marBottom w:val="0"/>
      <w:divBdr>
        <w:top w:val="none" w:sz="0" w:space="0" w:color="auto"/>
        <w:left w:val="none" w:sz="0" w:space="0" w:color="auto"/>
        <w:bottom w:val="none" w:sz="0" w:space="0" w:color="auto"/>
        <w:right w:val="none" w:sz="0" w:space="0" w:color="auto"/>
      </w:divBdr>
      <w:divsChild>
        <w:div w:id="106436793">
          <w:marLeft w:val="0"/>
          <w:marRight w:val="0"/>
          <w:marTop w:val="0"/>
          <w:marBottom w:val="0"/>
          <w:divBdr>
            <w:top w:val="none" w:sz="0" w:space="0" w:color="auto"/>
            <w:left w:val="none" w:sz="0" w:space="0" w:color="auto"/>
            <w:bottom w:val="none" w:sz="0" w:space="0" w:color="auto"/>
            <w:right w:val="none" w:sz="0" w:space="0" w:color="auto"/>
          </w:divBdr>
          <w:divsChild>
            <w:div w:id="1352490698">
              <w:marLeft w:val="0"/>
              <w:marRight w:val="0"/>
              <w:marTop w:val="0"/>
              <w:marBottom w:val="0"/>
              <w:divBdr>
                <w:top w:val="none" w:sz="0" w:space="0" w:color="auto"/>
                <w:left w:val="none" w:sz="0" w:space="0" w:color="auto"/>
                <w:bottom w:val="none" w:sz="0" w:space="0" w:color="auto"/>
                <w:right w:val="none" w:sz="0" w:space="0" w:color="auto"/>
              </w:divBdr>
              <w:divsChild>
                <w:div w:id="6806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688821">
      <w:bodyDiv w:val="1"/>
      <w:marLeft w:val="0"/>
      <w:marRight w:val="0"/>
      <w:marTop w:val="0"/>
      <w:marBottom w:val="0"/>
      <w:divBdr>
        <w:top w:val="none" w:sz="0" w:space="0" w:color="auto"/>
        <w:left w:val="none" w:sz="0" w:space="0" w:color="auto"/>
        <w:bottom w:val="none" w:sz="0" w:space="0" w:color="auto"/>
        <w:right w:val="none" w:sz="0" w:space="0" w:color="auto"/>
      </w:divBdr>
    </w:div>
    <w:div w:id="249513494">
      <w:bodyDiv w:val="1"/>
      <w:marLeft w:val="0"/>
      <w:marRight w:val="0"/>
      <w:marTop w:val="0"/>
      <w:marBottom w:val="0"/>
      <w:divBdr>
        <w:top w:val="none" w:sz="0" w:space="0" w:color="auto"/>
        <w:left w:val="none" w:sz="0" w:space="0" w:color="auto"/>
        <w:bottom w:val="none" w:sz="0" w:space="0" w:color="auto"/>
        <w:right w:val="none" w:sz="0" w:space="0" w:color="auto"/>
      </w:divBdr>
      <w:divsChild>
        <w:div w:id="1635989955">
          <w:marLeft w:val="0"/>
          <w:marRight w:val="0"/>
          <w:marTop w:val="0"/>
          <w:marBottom w:val="0"/>
          <w:divBdr>
            <w:top w:val="none" w:sz="0" w:space="0" w:color="auto"/>
            <w:left w:val="none" w:sz="0" w:space="0" w:color="auto"/>
            <w:bottom w:val="none" w:sz="0" w:space="0" w:color="auto"/>
            <w:right w:val="none" w:sz="0" w:space="0" w:color="auto"/>
          </w:divBdr>
          <w:divsChild>
            <w:div w:id="1471021729">
              <w:marLeft w:val="0"/>
              <w:marRight w:val="0"/>
              <w:marTop w:val="0"/>
              <w:marBottom w:val="0"/>
              <w:divBdr>
                <w:top w:val="none" w:sz="0" w:space="0" w:color="auto"/>
                <w:left w:val="none" w:sz="0" w:space="0" w:color="auto"/>
                <w:bottom w:val="none" w:sz="0" w:space="0" w:color="auto"/>
                <w:right w:val="none" w:sz="0" w:space="0" w:color="auto"/>
              </w:divBdr>
              <w:divsChild>
                <w:div w:id="182951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403087">
      <w:bodyDiv w:val="1"/>
      <w:marLeft w:val="0"/>
      <w:marRight w:val="0"/>
      <w:marTop w:val="0"/>
      <w:marBottom w:val="0"/>
      <w:divBdr>
        <w:top w:val="none" w:sz="0" w:space="0" w:color="auto"/>
        <w:left w:val="none" w:sz="0" w:space="0" w:color="auto"/>
        <w:bottom w:val="none" w:sz="0" w:space="0" w:color="auto"/>
        <w:right w:val="none" w:sz="0" w:space="0" w:color="auto"/>
      </w:divBdr>
      <w:divsChild>
        <w:div w:id="1406027101">
          <w:marLeft w:val="0"/>
          <w:marRight w:val="0"/>
          <w:marTop w:val="0"/>
          <w:marBottom w:val="0"/>
          <w:divBdr>
            <w:top w:val="none" w:sz="0" w:space="0" w:color="auto"/>
            <w:left w:val="none" w:sz="0" w:space="0" w:color="auto"/>
            <w:bottom w:val="none" w:sz="0" w:space="0" w:color="auto"/>
            <w:right w:val="none" w:sz="0" w:space="0" w:color="auto"/>
          </w:divBdr>
          <w:divsChild>
            <w:div w:id="1338534101">
              <w:marLeft w:val="0"/>
              <w:marRight w:val="0"/>
              <w:marTop w:val="0"/>
              <w:marBottom w:val="0"/>
              <w:divBdr>
                <w:top w:val="none" w:sz="0" w:space="0" w:color="auto"/>
                <w:left w:val="none" w:sz="0" w:space="0" w:color="auto"/>
                <w:bottom w:val="none" w:sz="0" w:space="0" w:color="auto"/>
                <w:right w:val="none" w:sz="0" w:space="0" w:color="auto"/>
              </w:divBdr>
              <w:divsChild>
                <w:div w:id="13468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06180">
      <w:bodyDiv w:val="1"/>
      <w:marLeft w:val="0"/>
      <w:marRight w:val="0"/>
      <w:marTop w:val="0"/>
      <w:marBottom w:val="0"/>
      <w:divBdr>
        <w:top w:val="none" w:sz="0" w:space="0" w:color="auto"/>
        <w:left w:val="none" w:sz="0" w:space="0" w:color="auto"/>
        <w:bottom w:val="none" w:sz="0" w:space="0" w:color="auto"/>
        <w:right w:val="none" w:sz="0" w:space="0" w:color="auto"/>
      </w:divBdr>
    </w:div>
    <w:div w:id="516113414">
      <w:bodyDiv w:val="1"/>
      <w:marLeft w:val="0"/>
      <w:marRight w:val="0"/>
      <w:marTop w:val="0"/>
      <w:marBottom w:val="0"/>
      <w:divBdr>
        <w:top w:val="none" w:sz="0" w:space="0" w:color="auto"/>
        <w:left w:val="none" w:sz="0" w:space="0" w:color="auto"/>
        <w:bottom w:val="none" w:sz="0" w:space="0" w:color="auto"/>
        <w:right w:val="none" w:sz="0" w:space="0" w:color="auto"/>
      </w:divBdr>
    </w:div>
    <w:div w:id="519205963">
      <w:bodyDiv w:val="1"/>
      <w:marLeft w:val="0"/>
      <w:marRight w:val="0"/>
      <w:marTop w:val="0"/>
      <w:marBottom w:val="0"/>
      <w:divBdr>
        <w:top w:val="none" w:sz="0" w:space="0" w:color="auto"/>
        <w:left w:val="none" w:sz="0" w:space="0" w:color="auto"/>
        <w:bottom w:val="none" w:sz="0" w:space="0" w:color="auto"/>
        <w:right w:val="none" w:sz="0" w:space="0" w:color="auto"/>
      </w:divBdr>
      <w:divsChild>
        <w:div w:id="347370278">
          <w:marLeft w:val="0"/>
          <w:marRight w:val="0"/>
          <w:marTop w:val="0"/>
          <w:marBottom w:val="0"/>
          <w:divBdr>
            <w:top w:val="none" w:sz="0" w:space="0" w:color="auto"/>
            <w:left w:val="none" w:sz="0" w:space="0" w:color="auto"/>
            <w:bottom w:val="none" w:sz="0" w:space="0" w:color="auto"/>
            <w:right w:val="none" w:sz="0" w:space="0" w:color="auto"/>
          </w:divBdr>
        </w:div>
      </w:divsChild>
    </w:div>
    <w:div w:id="671252094">
      <w:bodyDiv w:val="1"/>
      <w:marLeft w:val="0"/>
      <w:marRight w:val="0"/>
      <w:marTop w:val="0"/>
      <w:marBottom w:val="0"/>
      <w:divBdr>
        <w:top w:val="none" w:sz="0" w:space="0" w:color="auto"/>
        <w:left w:val="none" w:sz="0" w:space="0" w:color="auto"/>
        <w:bottom w:val="none" w:sz="0" w:space="0" w:color="auto"/>
        <w:right w:val="none" w:sz="0" w:space="0" w:color="auto"/>
      </w:divBdr>
    </w:div>
    <w:div w:id="678628473">
      <w:bodyDiv w:val="1"/>
      <w:marLeft w:val="0"/>
      <w:marRight w:val="0"/>
      <w:marTop w:val="0"/>
      <w:marBottom w:val="0"/>
      <w:divBdr>
        <w:top w:val="none" w:sz="0" w:space="0" w:color="auto"/>
        <w:left w:val="none" w:sz="0" w:space="0" w:color="auto"/>
        <w:bottom w:val="none" w:sz="0" w:space="0" w:color="auto"/>
        <w:right w:val="none" w:sz="0" w:space="0" w:color="auto"/>
      </w:divBdr>
    </w:div>
    <w:div w:id="684677340">
      <w:bodyDiv w:val="1"/>
      <w:marLeft w:val="0"/>
      <w:marRight w:val="0"/>
      <w:marTop w:val="0"/>
      <w:marBottom w:val="0"/>
      <w:divBdr>
        <w:top w:val="none" w:sz="0" w:space="0" w:color="auto"/>
        <w:left w:val="none" w:sz="0" w:space="0" w:color="auto"/>
        <w:bottom w:val="none" w:sz="0" w:space="0" w:color="auto"/>
        <w:right w:val="none" w:sz="0" w:space="0" w:color="auto"/>
      </w:divBdr>
      <w:divsChild>
        <w:div w:id="1173447765">
          <w:marLeft w:val="0"/>
          <w:marRight w:val="0"/>
          <w:marTop w:val="0"/>
          <w:marBottom w:val="0"/>
          <w:divBdr>
            <w:top w:val="none" w:sz="0" w:space="0" w:color="auto"/>
            <w:left w:val="none" w:sz="0" w:space="0" w:color="auto"/>
            <w:bottom w:val="none" w:sz="0" w:space="0" w:color="auto"/>
            <w:right w:val="none" w:sz="0" w:space="0" w:color="auto"/>
          </w:divBdr>
          <w:divsChild>
            <w:div w:id="653528587">
              <w:marLeft w:val="0"/>
              <w:marRight w:val="0"/>
              <w:marTop w:val="0"/>
              <w:marBottom w:val="0"/>
              <w:divBdr>
                <w:top w:val="none" w:sz="0" w:space="0" w:color="auto"/>
                <w:left w:val="none" w:sz="0" w:space="0" w:color="auto"/>
                <w:bottom w:val="none" w:sz="0" w:space="0" w:color="auto"/>
                <w:right w:val="none" w:sz="0" w:space="0" w:color="auto"/>
              </w:divBdr>
              <w:divsChild>
                <w:div w:id="7830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4250">
      <w:bodyDiv w:val="1"/>
      <w:marLeft w:val="0"/>
      <w:marRight w:val="0"/>
      <w:marTop w:val="0"/>
      <w:marBottom w:val="0"/>
      <w:divBdr>
        <w:top w:val="none" w:sz="0" w:space="0" w:color="auto"/>
        <w:left w:val="none" w:sz="0" w:space="0" w:color="auto"/>
        <w:bottom w:val="none" w:sz="0" w:space="0" w:color="auto"/>
        <w:right w:val="none" w:sz="0" w:space="0" w:color="auto"/>
      </w:divBdr>
    </w:div>
    <w:div w:id="981740257">
      <w:bodyDiv w:val="1"/>
      <w:marLeft w:val="0"/>
      <w:marRight w:val="0"/>
      <w:marTop w:val="0"/>
      <w:marBottom w:val="0"/>
      <w:divBdr>
        <w:top w:val="none" w:sz="0" w:space="0" w:color="auto"/>
        <w:left w:val="none" w:sz="0" w:space="0" w:color="auto"/>
        <w:bottom w:val="none" w:sz="0" w:space="0" w:color="auto"/>
        <w:right w:val="none" w:sz="0" w:space="0" w:color="auto"/>
      </w:divBdr>
      <w:divsChild>
        <w:div w:id="141972229">
          <w:marLeft w:val="0"/>
          <w:marRight w:val="0"/>
          <w:marTop w:val="0"/>
          <w:marBottom w:val="0"/>
          <w:divBdr>
            <w:top w:val="none" w:sz="0" w:space="0" w:color="auto"/>
            <w:left w:val="none" w:sz="0" w:space="0" w:color="auto"/>
            <w:bottom w:val="none" w:sz="0" w:space="0" w:color="auto"/>
            <w:right w:val="none" w:sz="0" w:space="0" w:color="auto"/>
          </w:divBdr>
          <w:divsChild>
            <w:div w:id="598028497">
              <w:marLeft w:val="0"/>
              <w:marRight w:val="0"/>
              <w:marTop w:val="0"/>
              <w:marBottom w:val="0"/>
              <w:divBdr>
                <w:top w:val="dashed" w:sz="6" w:space="0" w:color="000000"/>
                <w:left w:val="none" w:sz="0" w:space="0" w:color="auto"/>
                <w:bottom w:val="none" w:sz="0" w:space="0" w:color="auto"/>
                <w:right w:val="none" w:sz="0" w:space="0" w:color="auto"/>
              </w:divBdr>
            </w:div>
            <w:div w:id="1296327528">
              <w:marLeft w:val="0"/>
              <w:marRight w:val="0"/>
              <w:marTop w:val="0"/>
              <w:marBottom w:val="0"/>
              <w:divBdr>
                <w:top w:val="none" w:sz="0" w:space="0" w:color="auto"/>
                <w:left w:val="none" w:sz="0" w:space="0" w:color="auto"/>
                <w:bottom w:val="none" w:sz="0" w:space="0" w:color="auto"/>
                <w:right w:val="none" w:sz="0" w:space="0" w:color="auto"/>
              </w:divBdr>
            </w:div>
            <w:div w:id="1741564044">
              <w:marLeft w:val="0"/>
              <w:marRight w:val="0"/>
              <w:marTop w:val="0"/>
              <w:marBottom w:val="150"/>
              <w:divBdr>
                <w:top w:val="none" w:sz="0" w:space="0" w:color="auto"/>
                <w:left w:val="none" w:sz="0" w:space="0" w:color="auto"/>
                <w:bottom w:val="none" w:sz="0" w:space="0" w:color="auto"/>
                <w:right w:val="none" w:sz="0" w:space="0" w:color="auto"/>
              </w:divBdr>
              <w:divsChild>
                <w:div w:id="1500079144">
                  <w:marLeft w:val="0"/>
                  <w:marRight w:val="0"/>
                  <w:marTop w:val="0"/>
                  <w:marBottom w:val="150"/>
                  <w:divBdr>
                    <w:top w:val="none" w:sz="0" w:space="0" w:color="auto"/>
                    <w:left w:val="none" w:sz="0" w:space="0" w:color="auto"/>
                    <w:bottom w:val="none" w:sz="0" w:space="0" w:color="auto"/>
                    <w:right w:val="none" w:sz="0" w:space="0" w:color="auto"/>
                  </w:divBdr>
                  <w:divsChild>
                    <w:div w:id="384835168">
                      <w:marLeft w:val="0"/>
                      <w:marRight w:val="0"/>
                      <w:marTop w:val="0"/>
                      <w:marBottom w:val="0"/>
                      <w:divBdr>
                        <w:top w:val="none" w:sz="0" w:space="0" w:color="auto"/>
                        <w:left w:val="none" w:sz="0" w:space="0" w:color="auto"/>
                        <w:bottom w:val="none" w:sz="0" w:space="0" w:color="auto"/>
                        <w:right w:val="none" w:sz="0" w:space="0" w:color="auto"/>
                      </w:divBdr>
                    </w:div>
                    <w:div w:id="864096733">
                      <w:marLeft w:val="0"/>
                      <w:marRight w:val="0"/>
                      <w:marTop w:val="0"/>
                      <w:marBottom w:val="0"/>
                      <w:divBdr>
                        <w:top w:val="none" w:sz="0" w:space="0" w:color="auto"/>
                        <w:left w:val="none" w:sz="0" w:space="0" w:color="auto"/>
                        <w:bottom w:val="none" w:sz="0" w:space="0" w:color="auto"/>
                        <w:right w:val="none" w:sz="0" w:space="0" w:color="auto"/>
                      </w:divBdr>
                    </w:div>
                    <w:div w:id="123509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3887">
          <w:marLeft w:val="0"/>
          <w:marRight w:val="0"/>
          <w:marTop w:val="0"/>
          <w:marBottom w:val="0"/>
          <w:divBdr>
            <w:top w:val="none" w:sz="0" w:space="0" w:color="auto"/>
            <w:left w:val="none" w:sz="0" w:space="0" w:color="auto"/>
            <w:bottom w:val="none" w:sz="0" w:space="0" w:color="auto"/>
            <w:right w:val="none" w:sz="0" w:space="0" w:color="auto"/>
          </w:divBdr>
          <w:divsChild>
            <w:div w:id="142161552">
              <w:marLeft w:val="0"/>
              <w:marRight w:val="0"/>
              <w:marTop w:val="0"/>
              <w:marBottom w:val="150"/>
              <w:divBdr>
                <w:top w:val="none" w:sz="0" w:space="0" w:color="auto"/>
                <w:left w:val="none" w:sz="0" w:space="0" w:color="auto"/>
                <w:bottom w:val="none" w:sz="0" w:space="0" w:color="auto"/>
                <w:right w:val="none" w:sz="0" w:space="0" w:color="auto"/>
              </w:divBdr>
              <w:divsChild>
                <w:div w:id="1100175823">
                  <w:marLeft w:val="0"/>
                  <w:marRight w:val="0"/>
                  <w:marTop w:val="0"/>
                  <w:marBottom w:val="150"/>
                  <w:divBdr>
                    <w:top w:val="none" w:sz="0" w:space="0" w:color="auto"/>
                    <w:left w:val="none" w:sz="0" w:space="0" w:color="auto"/>
                    <w:bottom w:val="none" w:sz="0" w:space="0" w:color="auto"/>
                    <w:right w:val="none" w:sz="0" w:space="0" w:color="auto"/>
                  </w:divBdr>
                  <w:divsChild>
                    <w:div w:id="640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26378">
              <w:marLeft w:val="0"/>
              <w:marRight w:val="0"/>
              <w:marTop w:val="0"/>
              <w:marBottom w:val="0"/>
              <w:divBdr>
                <w:top w:val="dashed" w:sz="6" w:space="0" w:color="000000"/>
                <w:left w:val="none" w:sz="0" w:space="0" w:color="auto"/>
                <w:bottom w:val="none" w:sz="0" w:space="0" w:color="auto"/>
                <w:right w:val="none" w:sz="0" w:space="0" w:color="auto"/>
              </w:divBdr>
            </w:div>
          </w:divsChild>
        </w:div>
        <w:div w:id="1327049328">
          <w:marLeft w:val="0"/>
          <w:marRight w:val="0"/>
          <w:marTop w:val="0"/>
          <w:marBottom w:val="0"/>
          <w:divBdr>
            <w:top w:val="none" w:sz="0" w:space="0" w:color="auto"/>
            <w:left w:val="none" w:sz="0" w:space="0" w:color="auto"/>
            <w:bottom w:val="none" w:sz="0" w:space="0" w:color="auto"/>
            <w:right w:val="none" w:sz="0" w:space="0" w:color="auto"/>
          </w:divBdr>
          <w:divsChild>
            <w:div w:id="453181669">
              <w:marLeft w:val="0"/>
              <w:marRight w:val="0"/>
              <w:marTop w:val="0"/>
              <w:marBottom w:val="150"/>
              <w:divBdr>
                <w:top w:val="none" w:sz="0" w:space="0" w:color="auto"/>
                <w:left w:val="none" w:sz="0" w:space="0" w:color="auto"/>
                <w:bottom w:val="none" w:sz="0" w:space="0" w:color="auto"/>
                <w:right w:val="none" w:sz="0" w:space="0" w:color="auto"/>
              </w:divBdr>
              <w:divsChild>
                <w:div w:id="159927619">
                  <w:marLeft w:val="0"/>
                  <w:marRight w:val="0"/>
                  <w:marTop w:val="0"/>
                  <w:marBottom w:val="150"/>
                  <w:divBdr>
                    <w:top w:val="none" w:sz="0" w:space="0" w:color="auto"/>
                    <w:left w:val="none" w:sz="0" w:space="0" w:color="auto"/>
                    <w:bottom w:val="none" w:sz="0" w:space="0" w:color="auto"/>
                    <w:right w:val="none" w:sz="0" w:space="0" w:color="auto"/>
                  </w:divBdr>
                  <w:divsChild>
                    <w:div w:id="371736094">
                      <w:marLeft w:val="0"/>
                      <w:marRight w:val="0"/>
                      <w:marTop w:val="0"/>
                      <w:marBottom w:val="0"/>
                      <w:divBdr>
                        <w:top w:val="none" w:sz="0" w:space="0" w:color="auto"/>
                        <w:left w:val="none" w:sz="0" w:space="0" w:color="auto"/>
                        <w:bottom w:val="none" w:sz="0" w:space="0" w:color="auto"/>
                        <w:right w:val="none" w:sz="0" w:space="0" w:color="auto"/>
                      </w:divBdr>
                    </w:div>
                    <w:div w:id="585959650">
                      <w:marLeft w:val="0"/>
                      <w:marRight w:val="0"/>
                      <w:marTop w:val="0"/>
                      <w:marBottom w:val="0"/>
                      <w:divBdr>
                        <w:top w:val="none" w:sz="0" w:space="0" w:color="auto"/>
                        <w:left w:val="none" w:sz="0" w:space="0" w:color="auto"/>
                        <w:bottom w:val="none" w:sz="0" w:space="0" w:color="auto"/>
                        <w:right w:val="none" w:sz="0" w:space="0" w:color="auto"/>
                      </w:divBdr>
                    </w:div>
                    <w:div w:id="143459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39572">
              <w:marLeft w:val="0"/>
              <w:marRight w:val="0"/>
              <w:marTop w:val="0"/>
              <w:marBottom w:val="0"/>
              <w:divBdr>
                <w:top w:val="none" w:sz="0" w:space="0" w:color="auto"/>
                <w:left w:val="none" w:sz="0" w:space="0" w:color="auto"/>
                <w:bottom w:val="none" w:sz="0" w:space="0" w:color="auto"/>
                <w:right w:val="none" w:sz="0" w:space="0" w:color="auto"/>
              </w:divBdr>
            </w:div>
            <w:div w:id="1427120405">
              <w:marLeft w:val="0"/>
              <w:marRight w:val="0"/>
              <w:marTop w:val="0"/>
              <w:marBottom w:val="0"/>
              <w:divBdr>
                <w:top w:val="dashed" w:sz="6" w:space="0" w:color="000000"/>
                <w:left w:val="none" w:sz="0" w:space="0" w:color="auto"/>
                <w:bottom w:val="none" w:sz="0" w:space="0" w:color="auto"/>
                <w:right w:val="none" w:sz="0" w:space="0" w:color="auto"/>
              </w:divBdr>
            </w:div>
          </w:divsChild>
        </w:div>
      </w:divsChild>
    </w:div>
    <w:div w:id="1019821315">
      <w:bodyDiv w:val="1"/>
      <w:marLeft w:val="0"/>
      <w:marRight w:val="0"/>
      <w:marTop w:val="0"/>
      <w:marBottom w:val="0"/>
      <w:divBdr>
        <w:top w:val="none" w:sz="0" w:space="0" w:color="auto"/>
        <w:left w:val="none" w:sz="0" w:space="0" w:color="auto"/>
        <w:bottom w:val="none" w:sz="0" w:space="0" w:color="auto"/>
        <w:right w:val="none" w:sz="0" w:space="0" w:color="auto"/>
      </w:divBdr>
    </w:div>
    <w:div w:id="1050150385">
      <w:bodyDiv w:val="1"/>
      <w:marLeft w:val="0"/>
      <w:marRight w:val="0"/>
      <w:marTop w:val="0"/>
      <w:marBottom w:val="0"/>
      <w:divBdr>
        <w:top w:val="none" w:sz="0" w:space="0" w:color="auto"/>
        <w:left w:val="none" w:sz="0" w:space="0" w:color="auto"/>
        <w:bottom w:val="none" w:sz="0" w:space="0" w:color="auto"/>
        <w:right w:val="none" w:sz="0" w:space="0" w:color="auto"/>
      </w:divBdr>
      <w:divsChild>
        <w:div w:id="634719521">
          <w:marLeft w:val="0"/>
          <w:marRight w:val="0"/>
          <w:marTop w:val="0"/>
          <w:marBottom w:val="0"/>
          <w:divBdr>
            <w:top w:val="none" w:sz="0" w:space="0" w:color="auto"/>
            <w:left w:val="none" w:sz="0" w:space="0" w:color="auto"/>
            <w:bottom w:val="none" w:sz="0" w:space="0" w:color="auto"/>
            <w:right w:val="none" w:sz="0" w:space="0" w:color="auto"/>
          </w:divBdr>
          <w:divsChild>
            <w:div w:id="654720579">
              <w:marLeft w:val="0"/>
              <w:marRight w:val="0"/>
              <w:marTop w:val="0"/>
              <w:marBottom w:val="0"/>
              <w:divBdr>
                <w:top w:val="none" w:sz="0" w:space="0" w:color="auto"/>
                <w:left w:val="none" w:sz="0" w:space="0" w:color="auto"/>
                <w:bottom w:val="none" w:sz="0" w:space="0" w:color="auto"/>
                <w:right w:val="none" w:sz="0" w:space="0" w:color="auto"/>
              </w:divBdr>
            </w:div>
            <w:div w:id="1173498383">
              <w:marLeft w:val="0"/>
              <w:marRight w:val="0"/>
              <w:marTop w:val="0"/>
              <w:marBottom w:val="150"/>
              <w:divBdr>
                <w:top w:val="none" w:sz="0" w:space="0" w:color="auto"/>
                <w:left w:val="none" w:sz="0" w:space="0" w:color="auto"/>
                <w:bottom w:val="none" w:sz="0" w:space="0" w:color="auto"/>
                <w:right w:val="none" w:sz="0" w:space="0" w:color="auto"/>
              </w:divBdr>
              <w:divsChild>
                <w:div w:id="1330594219">
                  <w:marLeft w:val="0"/>
                  <w:marRight w:val="0"/>
                  <w:marTop w:val="0"/>
                  <w:marBottom w:val="150"/>
                  <w:divBdr>
                    <w:top w:val="none" w:sz="0" w:space="0" w:color="auto"/>
                    <w:left w:val="none" w:sz="0" w:space="0" w:color="auto"/>
                    <w:bottom w:val="none" w:sz="0" w:space="0" w:color="auto"/>
                    <w:right w:val="none" w:sz="0" w:space="0" w:color="auto"/>
                  </w:divBdr>
                  <w:divsChild>
                    <w:div w:id="433402320">
                      <w:marLeft w:val="0"/>
                      <w:marRight w:val="0"/>
                      <w:marTop w:val="0"/>
                      <w:marBottom w:val="0"/>
                      <w:divBdr>
                        <w:top w:val="none" w:sz="0" w:space="0" w:color="auto"/>
                        <w:left w:val="none" w:sz="0" w:space="0" w:color="auto"/>
                        <w:bottom w:val="none" w:sz="0" w:space="0" w:color="auto"/>
                        <w:right w:val="none" w:sz="0" w:space="0" w:color="auto"/>
                      </w:divBdr>
                    </w:div>
                    <w:div w:id="21256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93841">
          <w:marLeft w:val="0"/>
          <w:marRight w:val="0"/>
          <w:marTop w:val="0"/>
          <w:marBottom w:val="0"/>
          <w:divBdr>
            <w:top w:val="none" w:sz="0" w:space="0" w:color="auto"/>
            <w:left w:val="none" w:sz="0" w:space="0" w:color="auto"/>
            <w:bottom w:val="none" w:sz="0" w:space="0" w:color="auto"/>
            <w:right w:val="none" w:sz="0" w:space="0" w:color="auto"/>
          </w:divBdr>
          <w:divsChild>
            <w:div w:id="348719194">
              <w:marLeft w:val="0"/>
              <w:marRight w:val="0"/>
              <w:marTop w:val="0"/>
              <w:marBottom w:val="0"/>
              <w:divBdr>
                <w:top w:val="none" w:sz="0" w:space="0" w:color="auto"/>
                <w:left w:val="none" w:sz="0" w:space="0" w:color="auto"/>
                <w:bottom w:val="none" w:sz="0" w:space="0" w:color="auto"/>
                <w:right w:val="none" w:sz="0" w:space="0" w:color="auto"/>
              </w:divBdr>
            </w:div>
            <w:div w:id="1003706961">
              <w:marLeft w:val="0"/>
              <w:marRight w:val="0"/>
              <w:marTop w:val="0"/>
              <w:marBottom w:val="0"/>
              <w:divBdr>
                <w:top w:val="dashed" w:sz="6" w:space="0" w:color="000000"/>
                <w:left w:val="none" w:sz="0" w:space="0" w:color="auto"/>
                <w:bottom w:val="none" w:sz="0" w:space="0" w:color="auto"/>
                <w:right w:val="none" w:sz="0" w:space="0" w:color="auto"/>
              </w:divBdr>
            </w:div>
            <w:div w:id="1800685272">
              <w:marLeft w:val="0"/>
              <w:marRight w:val="0"/>
              <w:marTop w:val="0"/>
              <w:marBottom w:val="150"/>
              <w:divBdr>
                <w:top w:val="none" w:sz="0" w:space="0" w:color="auto"/>
                <w:left w:val="none" w:sz="0" w:space="0" w:color="auto"/>
                <w:bottom w:val="none" w:sz="0" w:space="0" w:color="auto"/>
                <w:right w:val="none" w:sz="0" w:space="0" w:color="auto"/>
              </w:divBdr>
              <w:divsChild>
                <w:div w:id="1299218160">
                  <w:marLeft w:val="0"/>
                  <w:marRight w:val="0"/>
                  <w:marTop w:val="0"/>
                  <w:marBottom w:val="150"/>
                  <w:divBdr>
                    <w:top w:val="none" w:sz="0" w:space="0" w:color="auto"/>
                    <w:left w:val="none" w:sz="0" w:space="0" w:color="auto"/>
                    <w:bottom w:val="none" w:sz="0" w:space="0" w:color="auto"/>
                    <w:right w:val="none" w:sz="0" w:space="0" w:color="auto"/>
                  </w:divBdr>
                  <w:divsChild>
                    <w:div w:id="463234734">
                      <w:marLeft w:val="0"/>
                      <w:marRight w:val="0"/>
                      <w:marTop w:val="0"/>
                      <w:marBottom w:val="0"/>
                      <w:divBdr>
                        <w:top w:val="none" w:sz="0" w:space="0" w:color="auto"/>
                        <w:left w:val="none" w:sz="0" w:space="0" w:color="auto"/>
                        <w:bottom w:val="none" w:sz="0" w:space="0" w:color="auto"/>
                        <w:right w:val="none" w:sz="0" w:space="0" w:color="auto"/>
                      </w:divBdr>
                    </w:div>
                    <w:div w:id="16386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09641">
      <w:bodyDiv w:val="1"/>
      <w:marLeft w:val="0"/>
      <w:marRight w:val="0"/>
      <w:marTop w:val="0"/>
      <w:marBottom w:val="0"/>
      <w:divBdr>
        <w:top w:val="none" w:sz="0" w:space="0" w:color="auto"/>
        <w:left w:val="none" w:sz="0" w:space="0" w:color="auto"/>
        <w:bottom w:val="none" w:sz="0" w:space="0" w:color="auto"/>
        <w:right w:val="none" w:sz="0" w:space="0" w:color="auto"/>
      </w:divBdr>
      <w:divsChild>
        <w:div w:id="1295914624">
          <w:marLeft w:val="0"/>
          <w:marRight w:val="0"/>
          <w:marTop w:val="0"/>
          <w:marBottom w:val="0"/>
          <w:divBdr>
            <w:top w:val="none" w:sz="0" w:space="0" w:color="auto"/>
            <w:left w:val="none" w:sz="0" w:space="0" w:color="auto"/>
            <w:bottom w:val="none" w:sz="0" w:space="0" w:color="auto"/>
            <w:right w:val="none" w:sz="0" w:space="0" w:color="auto"/>
          </w:divBdr>
          <w:divsChild>
            <w:div w:id="697511454">
              <w:marLeft w:val="0"/>
              <w:marRight w:val="0"/>
              <w:marTop w:val="0"/>
              <w:marBottom w:val="0"/>
              <w:divBdr>
                <w:top w:val="none" w:sz="0" w:space="0" w:color="auto"/>
                <w:left w:val="none" w:sz="0" w:space="0" w:color="auto"/>
                <w:bottom w:val="none" w:sz="0" w:space="0" w:color="auto"/>
                <w:right w:val="none" w:sz="0" w:space="0" w:color="auto"/>
              </w:divBdr>
              <w:divsChild>
                <w:div w:id="9866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160255">
      <w:bodyDiv w:val="1"/>
      <w:marLeft w:val="0"/>
      <w:marRight w:val="0"/>
      <w:marTop w:val="0"/>
      <w:marBottom w:val="0"/>
      <w:divBdr>
        <w:top w:val="none" w:sz="0" w:space="0" w:color="auto"/>
        <w:left w:val="none" w:sz="0" w:space="0" w:color="auto"/>
        <w:bottom w:val="none" w:sz="0" w:space="0" w:color="auto"/>
        <w:right w:val="none" w:sz="0" w:space="0" w:color="auto"/>
      </w:divBdr>
      <w:divsChild>
        <w:div w:id="1889878709">
          <w:marLeft w:val="0"/>
          <w:marRight w:val="0"/>
          <w:marTop w:val="0"/>
          <w:marBottom w:val="0"/>
          <w:divBdr>
            <w:top w:val="none" w:sz="0" w:space="0" w:color="auto"/>
            <w:left w:val="none" w:sz="0" w:space="0" w:color="auto"/>
            <w:bottom w:val="none" w:sz="0" w:space="0" w:color="auto"/>
            <w:right w:val="none" w:sz="0" w:space="0" w:color="auto"/>
          </w:divBdr>
          <w:divsChild>
            <w:div w:id="1258103583">
              <w:marLeft w:val="0"/>
              <w:marRight w:val="0"/>
              <w:marTop w:val="0"/>
              <w:marBottom w:val="0"/>
              <w:divBdr>
                <w:top w:val="none" w:sz="0" w:space="0" w:color="auto"/>
                <w:left w:val="none" w:sz="0" w:space="0" w:color="auto"/>
                <w:bottom w:val="none" w:sz="0" w:space="0" w:color="auto"/>
                <w:right w:val="none" w:sz="0" w:space="0" w:color="auto"/>
              </w:divBdr>
              <w:divsChild>
                <w:div w:id="6235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9106">
      <w:bodyDiv w:val="1"/>
      <w:marLeft w:val="0"/>
      <w:marRight w:val="0"/>
      <w:marTop w:val="0"/>
      <w:marBottom w:val="0"/>
      <w:divBdr>
        <w:top w:val="none" w:sz="0" w:space="0" w:color="auto"/>
        <w:left w:val="none" w:sz="0" w:space="0" w:color="auto"/>
        <w:bottom w:val="none" w:sz="0" w:space="0" w:color="auto"/>
        <w:right w:val="none" w:sz="0" w:space="0" w:color="auto"/>
      </w:divBdr>
      <w:divsChild>
        <w:div w:id="1102871135">
          <w:marLeft w:val="0"/>
          <w:marRight w:val="0"/>
          <w:marTop w:val="0"/>
          <w:marBottom w:val="0"/>
          <w:divBdr>
            <w:top w:val="none" w:sz="0" w:space="0" w:color="auto"/>
            <w:left w:val="none" w:sz="0" w:space="0" w:color="auto"/>
            <w:bottom w:val="none" w:sz="0" w:space="0" w:color="auto"/>
            <w:right w:val="none" w:sz="0" w:space="0" w:color="auto"/>
          </w:divBdr>
        </w:div>
      </w:divsChild>
    </w:div>
    <w:div w:id="1253202741">
      <w:bodyDiv w:val="1"/>
      <w:marLeft w:val="0"/>
      <w:marRight w:val="0"/>
      <w:marTop w:val="0"/>
      <w:marBottom w:val="0"/>
      <w:divBdr>
        <w:top w:val="none" w:sz="0" w:space="0" w:color="auto"/>
        <w:left w:val="none" w:sz="0" w:space="0" w:color="auto"/>
        <w:bottom w:val="none" w:sz="0" w:space="0" w:color="auto"/>
        <w:right w:val="none" w:sz="0" w:space="0" w:color="auto"/>
      </w:divBdr>
    </w:div>
    <w:div w:id="1264613788">
      <w:bodyDiv w:val="1"/>
      <w:marLeft w:val="0"/>
      <w:marRight w:val="0"/>
      <w:marTop w:val="0"/>
      <w:marBottom w:val="0"/>
      <w:divBdr>
        <w:top w:val="none" w:sz="0" w:space="0" w:color="auto"/>
        <w:left w:val="none" w:sz="0" w:space="0" w:color="auto"/>
        <w:bottom w:val="none" w:sz="0" w:space="0" w:color="auto"/>
        <w:right w:val="none" w:sz="0" w:space="0" w:color="auto"/>
      </w:divBdr>
      <w:divsChild>
        <w:div w:id="312295844">
          <w:marLeft w:val="0"/>
          <w:marRight w:val="0"/>
          <w:marTop w:val="0"/>
          <w:marBottom w:val="0"/>
          <w:divBdr>
            <w:top w:val="none" w:sz="0" w:space="0" w:color="auto"/>
            <w:left w:val="none" w:sz="0" w:space="0" w:color="auto"/>
            <w:bottom w:val="none" w:sz="0" w:space="0" w:color="auto"/>
            <w:right w:val="none" w:sz="0" w:space="0" w:color="auto"/>
          </w:divBdr>
          <w:divsChild>
            <w:div w:id="152726713">
              <w:marLeft w:val="0"/>
              <w:marRight w:val="0"/>
              <w:marTop w:val="0"/>
              <w:marBottom w:val="0"/>
              <w:divBdr>
                <w:top w:val="none" w:sz="0" w:space="0" w:color="auto"/>
                <w:left w:val="none" w:sz="0" w:space="0" w:color="auto"/>
                <w:bottom w:val="none" w:sz="0" w:space="0" w:color="auto"/>
                <w:right w:val="none" w:sz="0" w:space="0" w:color="auto"/>
              </w:divBdr>
              <w:divsChild>
                <w:div w:id="95193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0873">
      <w:bodyDiv w:val="1"/>
      <w:marLeft w:val="0"/>
      <w:marRight w:val="0"/>
      <w:marTop w:val="0"/>
      <w:marBottom w:val="0"/>
      <w:divBdr>
        <w:top w:val="none" w:sz="0" w:space="0" w:color="auto"/>
        <w:left w:val="none" w:sz="0" w:space="0" w:color="auto"/>
        <w:bottom w:val="none" w:sz="0" w:space="0" w:color="auto"/>
        <w:right w:val="none" w:sz="0" w:space="0" w:color="auto"/>
      </w:divBdr>
      <w:divsChild>
        <w:div w:id="1229078167">
          <w:marLeft w:val="0"/>
          <w:marRight w:val="0"/>
          <w:marTop w:val="0"/>
          <w:marBottom w:val="0"/>
          <w:divBdr>
            <w:top w:val="none" w:sz="0" w:space="0" w:color="auto"/>
            <w:left w:val="none" w:sz="0" w:space="0" w:color="auto"/>
            <w:bottom w:val="none" w:sz="0" w:space="0" w:color="auto"/>
            <w:right w:val="none" w:sz="0" w:space="0" w:color="auto"/>
          </w:divBdr>
          <w:divsChild>
            <w:div w:id="487017306">
              <w:marLeft w:val="0"/>
              <w:marRight w:val="0"/>
              <w:marTop w:val="0"/>
              <w:marBottom w:val="0"/>
              <w:divBdr>
                <w:top w:val="none" w:sz="0" w:space="0" w:color="auto"/>
                <w:left w:val="none" w:sz="0" w:space="0" w:color="auto"/>
                <w:bottom w:val="none" w:sz="0" w:space="0" w:color="auto"/>
                <w:right w:val="none" w:sz="0" w:space="0" w:color="auto"/>
              </w:divBdr>
              <w:divsChild>
                <w:div w:id="50005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552034">
      <w:bodyDiv w:val="1"/>
      <w:marLeft w:val="0"/>
      <w:marRight w:val="0"/>
      <w:marTop w:val="0"/>
      <w:marBottom w:val="0"/>
      <w:divBdr>
        <w:top w:val="none" w:sz="0" w:space="0" w:color="auto"/>
        <w:left w:val="none" w:sz="0" w:space="0" w:color="auto"/>
        <w:bottom w:val="none" w:sz="0" w:space="0" w:color="auto"/>
        <w:right w:val="none" w:sz="0" w:space="0" w:color="auto"/>
      </w:divBdr>
      <w:divsChild>
        <w:div w:id="284317614">
          <w:marLeft w:val="0"/>
          <w:marRight w:val="0"/>
          <w:marTop w:val="0"/>
          <w:marBottom w:val="0"/>
          <w:divBdr>
            <w:top w:val="none" w:sz="0" w:space="0" w:color="auto"/>
            <w:left w:val="none" w:sz="0" w:space="0" w:color="auto"/>
            <w:bottom w:val="none" w:sz="0" w:space="0" w:color="auto"/>
            <w:right w:val="none" w:sz="0" w:space="0" w:color="auto"/>
          </w:divBdr>
          <w:divsChild>
            <w:div w:id="1854875721">
              <w:marLeft w:val="0"/>
              <w:marRight w:val="0"/>
              <w:marTop w:val="0"/>
              <w:marBottom w:val="0"/>
              <w:divBdr>
                <w:top w:val="none" w:sz="0" w:space="0" w:color="auto"/>
                <w:left w:val="none" w:sz="0" w:space="0" w:color="auto"/>
                <w:bottom w:val="none" w:sz="0" w:space="0" w:color="auto"/>
                <w:right w:val="none" w:sz="0" w:space="0" w:color="auto"/>
              </w:divBdr>
              <w:divsChild>
                <w:div w:id="14258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729116">
      <w:bodyDiv w:val="1"/>
      <w:marLeft w:val="0"/>
      <w:marRight w:val="0"/>
      <w:marTop w:val="0"/>
      <w:marBottom w:val="0"/>
      <w:divBdr>
        <w:top w:val="none" w:sz="0" w:space="0" w:color="auto"/>
        <w:left w:val="none" w:sz="0" w:space="0" w:color="auto"/>
        <w:bottom w:val="none" w:sz="0" w:space="0" w:color="auto"/>
        <w:right w:val="none" w:sz="0" w:space="0" w:color="auto"/>
      </w:divBdr>
    </w:div>
    <w:div w:id="1527326207">
      <w:bodyDiv w:val="1"/>
      <w:marLeft w:val="0"/>
      <w:marRight w:val="0"/>
      <w:marTop w:val="0"/>
      <w:marBottom w:val="0"/>
      <w:divBdr>
        <w:top w:val="none" w:sz="0" w:space="0" w:color="auto"/>
        <w:left w:val="none" w:sz="0" w:space="0" w:color="auto"/>
        <w:bottom w:val="none" w:sz="0" w:space="0" w:color="auto"/>
        <w:right w:val="none" w:sz="0" w:space="0" w:color="auto"/>
      </w:divBdr>
    </w:div>
    <w:div w:id="1772358346">
      <w:bodyDiv w:val="1"/>
      <w:marLeft w:val="0"/>
      <w:marRight w:val="0"/>
      <w:marTop w:val="0"/>
      <w:marBottom w:val="0"/>
      <w:divBdr>
        <w:top w:val="none" w:sz="0" w:space="0" w:color="auto"/>
        <w:left w:val="none" w:sz="0" w:space="0" w:color="auto"/>
        <w:bottom w:val="none" w:sz="0" w:space="0" w:color="auto"/>
        <w:right w:val="none" w:sz="0" w:space="0" w:color="auto"/>
      </w:divBdr>
    </w:div>
    <w:div w:id="1974021785">
      <w:bodyDiv w:val="1"/>
      <w:marLeft w:val="0"/>
      <w:marRight w:val="0"/>
      <w:marTop w:val="0"/>
      <w:marBottom w:val="0"/>
      <w:divBdr>
        <w:top w:val="none" w:sz="0" w:space="0" w:color="auto"/>
        <w:left w:val="none" w:sz="0" w:space="0" w:color="auto"/>
        <w:bottom w:val="none" w:sz="0" w:space="0" w:color="auto"/>
        <w:right w:val="none" w:sz="0" w:space="0" w:color="auto"/>
      </w:divBdr>
    </w:div>
    <w:div w:id="2005476210">
      <w:bodyDiv w:val="1"/>
      <w:marLeft w:val="0"/>
      <w:marRight w:val="0"/>
      <w:marTop w:val="0"/>
      <w:marBottom w:val="0"/>
      <w:divBdr>
        <w:top w:val="none" w:sz="0" w:space="0" w:color="auto"/>
        <w:left w:val="none" w:sz="0" w:space="0" w:color="auto"/>
        <w:bottom w:val="none" w:sz="0" w:space="0" w:color="auto"/>
        <w:right w:val="none" w:sz="0" w:space="0" w:color="auto"/>
      </w:divBdr>
      <w:divsChild>
        <w:div w:id="125783836">
          <w:marLeft w:val="0"/>
          <w:marRight w:val="0"/>
          <w:marTop w:val="0"/>
          <w:marBottom w:val="0"/>
          <w:divBdr>
            <w:top w:val="none" w:sz="0" w:space="0" w:color="auto"/>
            <w:left w:val="none" w:sz="0" w:space="0" w:color="auto"/>
            <w:bottom w:val="none" w:sz="0" w:space="0" w:color="auto"/>
            <w:right w:val="none" w:sz="0" w:space="0" w:color="auto"/>
          </w:divBdr>
          <w:divsChild>
            <w:div w:id="1436709165">
              <w:marLeft w:val="0"/>
              <w:marRight w:val="0"/>
              <w:marTop w:val="0"/>
              <w:marBottom w:val="0"/>
              <w:divBdr>
                <w:top w:val="none" w:sz="0" w:space="0" w:color="auto"/>
                <w:left w:val="none" w:sz="0" w:space="0" w:color="auto"/>
                <w:bottom w:val="none" w:sz="0" w:space="0" w:color="auto"/>
                <w:right w:val="none" w:sz="0" w:space="0" w:color="auto"/>
              </w:divBdr>
              <w:divsChild>
                <w:div w:id="16978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70012">
      <w:bodyDiv w:val="1"/>
      <w:marLeft w:val="0"/>
      <w:marRight w:val="0"/>
      <w:marTop w:val="0"/>
      <w:marBottom w:val="0"/>
      <w:divBdr>
        <w:top w:val="none" w:sz="0" w:space="0" w:color="auto"/>
        <w:left w:val="none" w:sz="0" w:space="0" w:color="auto"/>
        <w:bottom w:val="none" w:sz="0" w:space="0" w:color="auto"/>
        <w:right w:val="none" w:sz="0" w:space="0" w:color="auto"/>
      </w:divBdr>
      <w:divsChild>
        <w:div w:id="733234306">
          <w:marLeft w:val="0"/>
          <w:marRight w:val="0"/>
          <w:marTop w:val="0"/>
          <w:marBottom w:val="0"/>
          <w:divBdr>
            <w:top w:val="none" w:sz="0" w:space="0" w:color="auto"/>
            <w:left w:val="none" w:sz="0" w:space="0" w:color="auto"/>
            <w:bottom w:val="none" w:sz="0" w:space="0" w:color="auto"/>
            <w:right w:val="none" w:sz="0" w:space="0" w:color="auto"/>
          </w:divBdr>
          <w:divsChild>
            <w:div w:id="1035231223">
              <w:marLeft w:val="0"/>
              <w:marRight w:val="0"/>
              <w:marTop w:val="0"/>
              <w:marBottom w:val="0"/>
              <w:divBdr>
                <w:top w:val="none" w:sz="0" w:space="0" w:color="auto"/>
                <w:left w:val="none" w:sz="0" w:space="0" w:color="auto"/>
                <w:bottom w:val="none" w:sz="0" w:space="0" w:color="auto"/>
                <w:right w:val="none" w:sz="0" w:space="0" w:color="auto"/>
              </w:divBdr>
              <w:divsChild>
                <w:div w:id="991181883">
                  <w:marLeft w:val="0"/>
                  <w:marRight w:val="0"/>
                  <w:marTop w:val="0"/>
                  <w:marBottom w:val="0"/>
                  <w:divBdr>
                    <w:top w:val="none" w:sz="0" w:space="0" w:color="auto"/>
                    <w:left w:val="none" w:sz="0" w:space="0" w:color="auto"/>
                    <w:bottom w:val="none" w:sz="0" w:space="0" w:color="auto"/>
                    <w:right w:val="none" w:sz="0" w:space="0" w:color="auto"/>
                  </w:divBdr>
                </w:div>
              </w:divsChild>
            </w:div>
            <w:div w:id="1843159088">
              <w:marLeft w:val="0"/>
              <w:marRight w:val="0"/>
              <w:marTop w:val="0"/>
              <w:marBottom w:val="0"/>
              <w:divBdr>
                <w:top w:val="none" w:sz="0" w:space="0" w:color="auto"/>
                <w:left w:val="none" w:sz="0" w:space="0" w:color="auto"/>
                <w:bottom w:val="none" w:sz="0" w:space="0" w:color="auto"/>
                <w:right w:val="none" w:sz="0" w:space="0" w:color="auto"/>
              </w:divBdr>
              <w:divsChild>
                <w:div w:id="57894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29404">
          <w:marLeft w:val="0"/>
          <w:marRight w:val="0"/>
          <w:marTop w:val="0"/>
          <w:marBottom w:val="0"/>
          <w:divBdr>
            <w:top w:val="none" w:sz="0" w:space="0" w:color="auto"/>
            <w:left w:val="none" w:sz="0" w:space="0" w:color="auto"/>
            <w:bottom w:val="none" w:sz="0" w:space="0" w:color="auto"/>
            <w:right w:val="none" w:sz="0" w:space="0" w:color="auto"/>
          </w:divBdr>
          <w:divsChild>
            <w:div w:id="1178078974">
              <w:marLeft w:val="0"/>
              <w:marRight w:val="0"/>
              <w:marTop w:val="0"/>
              <w:marBottom w:val="0"/>
              <w:divBdr>
                <w:top w:val="none" w:sz="0" w:space="0" w:color="auto"/>
                <w:left w:val="none" w:sz="0" w:space="0" w:color="auto"/>
                <w:bottom w:val="none" w:sz="0" w:space="0" w:color="auto"/>
                <w:right w:val="none" w:sz="0" w:space="0" w:color="auto"/>
              </w:divBdr>
              <w:divsChild>
                <w:div w:id="96746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25694">
      <w:bodyDiv w:val="1"/>
      <w:marLeft w:val="0"/>
      <w:marRight w:val="0"/>
      <w:marTop w:val="0"/>
      <w:marBottom w:val="0"/>
      <w:divBdr>
        <w:top w:val="none" w:sz="0" w:space="0" w:color="auto"/>
        <w:left w:val="none" w:sz="0" w:space="0" w:color="auto"/>
        <w:bottom w:val="none" w:sz="0" w:space="0" w:color="auto"/>
        <w:right w:val="none" w:sz="0" w:space="0" w:color="auto"/>
      </w:divBdr>
      <w:divsChild>
        <w:div w:id="1597442942">
          <w:marLeft w:val="0"/>
          <w:marRight w:val="0"/>
          <w:marTop w:val="0"/>
          <w:marBottom w:val="0"/>
          <w:divBdr>
            <w:top w:val="none" w:sz="0" w:space="0" w:color="auto"/>
            <w:left w:val="none" w:sz="0" w:space="0" w:color="auto"/>
            <w:bottom w:val="none" w:sz="0" w:space="0" w:color="auto"/>
            <w:right w:val="none" w:sz="0" w:space="0" w:color="auto"/>
          </w:divBdr>
          <w:divsChild>
            <w:div w:id="1201361054">
              <w:marLeft w:val="0"/>
              <w:marRight w:val="0"/>
              <w:marTop w:val="0"/>
              <w:marBottom w:val="0"/>
              <w:divBdr>
                <w:top w:val="none" w:sz="0" w:space="0" w:color="auto"/>
                <w:left w:val="none" w:sz="0" w:space="0" w:color="auto"/>
                <w:bottom w:val="none" w:sz="0" w:space="0" w:color="auto"/>
                <w:right w:val="none" w:sz="0" w:space="0" w:color="auto"/>
              </w:divBdr>
              <w:divsChild>
                <w:div w:id="709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vif.be/international/grande-inquietude-au-sujet-du-belge-emprisonne-en-iran/" TargetMode="External"/><Relationship Id="rId13" Type="http://schemas.openxmlformats.org/officeDocument/2006/relationships/hyperlink" Target="https://www.echr.coe.int/Documents/Convention_FRA.pdf" TargetMode="External"/><Relationship Id="rId18" Type="http://schemas.openxmlformats.org/officeDocument/2006/relationships/hyperlink" Target="https://jura.kluwer.be/secure/documentview.aspx?id=rf300144370&amp;scrollid=rf300144370&amp;NavSearchId=8335060" TargetMode="External"/><Relationship Id="rId3" Type="http://schemas.openxmlformats.org/officeDocument/2006/relationships/settings" Target="settings.xml"/><Relationship Id="rId7" Type="http://schemas.openxmlformats.org/officeDocument/2006/relationships/hyperlink" Target="https://www.lachambre.be/FLWB/PDF/55/2784/55K2784004.pdf" TargetMode="External"/><Relationship Id="rId12" Type="http://schemas.openxmlformats.org/officeDocument/2006/relationships/hyperlink" Target="https://www.ejustice.just.fgov.be/eli/loi/2006/05/17/2006009456/justel" TargetMode="External"/><Relationship Id="rId17" Type="http://schemas.openxmlformats.org/officeDocument/2006/relationships/hyperlink" Target="https://jura.kluwer.be/secure/documentview.aspx?id=rf300144774&amp;scrollid=rf300144774&amp;NavSearchId=8335060" TargetMode="External"/><Relationship Id="rId2" Type="http://schemas.openxmlformats.org/officeDocument/2006/relationships/styles" Target="styles.xml"/><Relationship Id="rId16" Type="http://schemas.openxmlformats.org/officeDocument/2006/relationships/hyperlink" Target="http://www.ejustice.just.fgov.be/cgi_loi/loi_a1.pl?imgcn.x=37&amp;imgcn.y=8&amp;DETAIL=1867060801%2FF&amp;caller=list&amp;row_id=1&amp;numero=7&amp;rech=14&amp;cn=1867060801&amp;table_name=LOI&amp;nm=1867060850&amp;la=F&amp;chercher=t&amp;dt=CODE+PENAL&amp;language=fr&amp;fr=f&amp;choix1=ET&amp;choix2=ET&amp;fromtab=loi_all&amp;sql=dt+contains++%27CODE%27%2526+%27PENAL%27and+actif+%3D+%27Y%27&amp;tri=dd+AS+RANK+&amp;trier=promulg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t-court.be/public/f/2023/2023-036f.pdf" TargetMode="External"/><Relationship Id="rId5" Type="http://schemas.openxmlformats.org/officeDocument/2006/relationships/footnotes" Target="footnotes.xml"/><Relationship Id="rId15" Type="http://schemas.openxmlformats.org/officeDocument/2006/relationships/hyperlink" Target="http://www.ejustice.just.fgov.be/cgi_loi/loi_a1.pl?imgcn.x=45&amp;imgcn.y=12&amp;DETAIL=1994021730%2FF&amp;caller=list&amp;row_id=1&amp;numero=1&amp;rech=1&amp;cn=1994021730&amp;table_name=LOI&amp;nm=1994021048&amp;la=F&amp;chercher=t&amp;dt=CONSTITUTION+1994&amp;language=fr&amp;fr=f&amp;choix1=ET&amp;choix2=ET&amp;text1=Constitution&amp;fromtab=loi_all&amp;sql=dt+contains++%27CONSTITUTION%27%2526+%271994%27+and+%28%28+tit+contains++%28+%27Constitution%27%29+++%29+or+%28+text+contains++%28+%27Constitution%27%29+++%29%29and+actif+%3D+%27Y%27&amp;tri=dd+AS+RANK+&amp;trier=promulgation" TargetMode="External"/><Relationship Id="rId10" Type="http://schemas.openxmlformats.org/officeDocument/2006/relationships/hyperlink" Target="https://www.ohchr.org/fr/instruments-mechanisms/instruments/international-covenant-civil-and-political-righ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chr.coe.int/Documents/Convention_FRA.pdf" TargetMode="External"/><Relationship Id="rId14" Type="http://schemas.openxmlformats.org/officeDocument/2006/relationships/hyperlink" Target="https://www.const-court.be/public/f/2023/2023-036f.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uillain/Desktop/Chronique2022.1.Christin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Chronique2022.1.Christine.dotx</Template>
  <TotalTime>10</TotalTime>
  <Pages>28</Pages>
  <Words>15607</Words>
  <Characters>85839</Characters>
  <Application>Microsoft Office Word</Application>
  <DocSecurity>0</DocSecurity>
  <Lines>715</Lines>
  <Paragraphs>202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Guillain</dc:creator>
  <cp:keywords/>
  <dc:description/>
  <cp:lastModifiedBy>Christine Guillain</cp:lastModifiedBy>
  <cp:revision>14</cp:revision>
  <cp:lastPrinted>2023-03-22T16:40:00Z</cp:lastPrinted>
  <dcterms:created xsi:type="dcterms:W3CDTF">2023-03-24T10:32:00Z</dcterms:created>
  <dcterms:modified xsi:type="dcterms:W3CDTF">2023-03-24T11:19:00Z</dcterms:modified>
</cp:coreProperties>
</file>