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AEBDC58" w14:textId="773DD279" w:rsidR="00670052" w:rsidRPr="008C2A1A" w:rsidRDefault="002D6EB7" w:rsidP="00FE760F">
      <w:pPr>
        <w:pStyle w:val="Titel"/>
        <w:jc w:val="both"/>
        <w:rPr>
          <w:rFonts w:ascii="Garamond" w:hAnsi="Garamond"/>
          <w:color w:val="000000" w:themeColor="text1"/>
          <w:sz w:val="44"/>
          <w:lang w:val="en-US"/>
        </w:rPr>
      </w:pPr>
      <w:r>
        <w:rPr>
          <w:rFonts w:ascii="Garamond" w:hAnsi="Garamond"/>
          <w:noProof/>
          <w:color w:val="000000" w:themeColor="text1"/>
          <w:sz w:val="44"/>
          <w:lang w:val="en-US"/>
        </w:rPr>
        <w:drawing>
          <wp:anchor distT="0" distB="0" distL="114300" distR="114300" simplePos="0" relativeHeight="251658240" behindDoc="1" locked="0" layoutInCell="1" allowOverlap="1" wp14:anchorId="19C06B30" wp14:editId="02AFBE46">
            <wp:simplePos x="0" y="0"/>
            <wp:positionH relativeFrom="column">
              <wp:posOffset>-892175</wp:posOffset>
            </wp:positionH>
            <wp:positionV relativeFrom="paragraph">
              <wp:posOffset>-884555</wp:posOffset>
            </wp:positionV>
            <wp:extent cx="11004127" cy="572531"/>
            <wp:effectExtent l="0" t="0" r="0" b="0"/>
            <wp:wrapNone/>
            <wp:docPr id="4" name="Afbeelding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CoCaTaxBanner.png"/>
                    <pic:cNvPicPr/>
                  </pic:nvPicPr>
                  <pic:blipFill>
                    <a:blip r:embed="rId8">
                      <a:extLst>
                        <a:ext uri="{28A0092B-C50C-407E-A947-70E740481C1C}">
                          <a14:useLocalDpi xmlns:a14="http://schemas.microsoft.com/office/drawing/2010/main" val="0"/>
                        </a:ext>
                      </a:extLst>
                    </a:blip>
                    <a:stretch>
                      <a:fillRect/>
                    </a:stretch>
                  </pic:blipFill>
                  <pic:spPr>
                    <a:xfrm>
                      <a:off x="0" y="0"/>
                      <a:ext cx="11202366" cy="582845"/>
                    </a:xfrm>
                    <a:prstGeom prst="rect">
                      <a:avLst/>
                    </a:prstGeom>
                  </pic:spPr>
                </pic:pic>
              </a:graphicData>
            </a:graphic>
            <wp14:sizeRelH relativeFrom="margin">
              <wp14:pctWidth>0</wp14:pctWidth>
            </wp14:sizeRelH>
            <wp14:sizeRelV relativeFrom="margin">
              <wp14:pctHeight>0</wp14:pctHeight>
            </wp14:sizeRelV>
          </wp:anchor>
        </w:drawing>
      </w:r>
      <w:r w:rsidR="00B9727A" w:rsidRPr="008C2A1A">
        <w:rPr>
          <w:rFonts w:ascii="Garamond" w:hAnsi="Garamond"/>
          <w:color w:val="000000" w:themeColor="text1"/>
          <w:sz w:val="44"/>
          <w:lang w:val="en-US"/>
        </w:rPr>
        <w:t xml:space="preserve">Reforming the fiscal treatment of company cars: </w:t>
      </w:r>
      <w:r w:rsidR="00B9727A" w:rsidRPr="008C2A1A">
        <w:rPr>
          <w:rFonts w:ascii="Garamond" w:hAnsi="Garamond"/>
          <w:color w:val="000000" w:themeColor="text1"/>
          <w:sz w:val="44"/>
          <w:lang w:val="en-US"/>
        </w:rPr>
        <w:br/>
        <w:t>the CoCaTax micro-simulation model</w:t>
      </w:r>
    </w:p>
    <w:p w14:paraId="3570F390" w14:textId="348E36DF" w:rsidR="00B9727A" w:rsidRPr="008C2A1A" w:rsidRDefault="00B9727A" w:rsidP="00FE760F">
      <w:pPr>
        <w:pStyle w:val="Normaalweb"/>
        <w:contextualSpacing/>
        <w:jc w:val="both"/>
        <w:rPr>
          <w:rFonts w:ascii="Garamond" w:hAnsi="Garamond"/>
          <w:color w:val="000000" w:themeColor="text1"/>
          <w:lang w:val="fr-FR"/>
        </w:rPr>
      </w:pPr>
      <w:r w:rsidRPr="008C2A1A">
        <w:rPr>
          <w:rFonts w:ascii="Garamond" w:hAnsi="Garamond"/>
          <w:color w:val="000000" w:themeColor="text1"/>
          <w:lang w:val="fr-FR"/>
        </w:rPr>
        <w:t>Gilles Grandjean</w:t>
      </w:r>
      <w:r w:rsidR="00B7009C" w:rsidRPr="008C2A1A">
        <w:rPr>
          <w:rFonts w:ascii="Garamond" w:hAnsi="Garamond"/>
          <w:color w:val="000000" w:themeColor="text1"/>
          <w:lang w:val="fr-FR"/>
        </w:rPr>
        <w:t xml:space="preserve"> </w:t>
      </w:r>
      <w:r w:rsidR="00B7009C" w:rsidRPr="008C2A1A">
        <w:rPr>
          <w:rFonts w:ascii="Garamond" w:hAnsi="Garamond"/>
          <w:i/>
          <w:color w:val="000000" w:themeColor="text1"/>
          <w:lang w:val="fr-FR"/>
        </w:rPr>
        <w:t>(CEREC</w:t>
      </w:r>
      <w:r w:rsidR="001D3D60" w:rsidRPr="008C2A1A">
        <w:rPr>
          <w:rFonts w:ascii="Garamond" w:hAnsi="Garamond"/>
          <w:i/>
          <w:color w:val="000000" w:themeColor="text1"/>
          <w:lang w:val="fr-FR"/>
        </w:rPr>
        <w:t xml:space="preserve"> </w:t>
      </w:r>
      <w:r w:rsidR="00B7009C" w:rsidRPr="008C2A1A">
        <w:rPr>
          <w:rFonts w:ascii="Garamond" w:hAnsi="Garamond"/>
          <w:i/>
          <w:color w:val="000000" w:themeColor="text1"/>
          <w:lang w:val="fr-FR"/>
        </w:rPr>
        <w:t>-</w:t>
      </w:r>
      <w:r w:rsidR="001D3D60" w:rsidRPr="008C2A1A">
        <w:rPr>
          <w:rFonts w:ascii="Garamond" w:hAnsi="Garamond"/>
          <w:i/>
          <w:color w:val="000000" w:themeColor="text1"/>
          <w:lang w:val="fr-FR"/>
        </w:rPr>
        <w:t xml:space="preserve"> </w:t>
      </w:r>
      <w:r w:rsidR="00212B0F" w:rsidRPr="008C2A1A">
        <w:rPr>
          <w:rFonts w:ascii="Garamond" w:hAnsi="Garamond"/>
          <w:i/>
          <w:color w:val="000000" w:themeColor="text1"/>
          <w:lang w:val="fr-FR"/>
        </w:rPr>
        <w:t>USL-B)</w:t>
      </w:r>
    </w:p>
    <w:p w14:paraId="493C9BC0" w14:textId="77777777" w:rsidR="00B9727A" w:rsidRPr="008C2A1A" w:rsidRDefault="00B9727A" w:rsidP="00FE760F">
      <w:pPr>
        <w:pStyle w:val="Normaalweb"/>
        <w:contextualSpacing/>
        <w:jc w:val="both"/>
        <w:rPr>
          <w:rFonts w:ascii="Garamond" w:hAnsi="Garamond"/>
          <w:color w:val="000000" w:themeColor="text1"/>
          <w:lang w:val="en-US"/>
        </w:rPr>
      </w:pPr>
      <w:r w:rsidRPr="008C2A1A">
        <w:rPr>
          <w:rFonts w:ascii="Garamond" w:hAnsi="Garamond"/>
          <w:color w:val="000000" w:themeColor="text1"/>
          <w:lang w:val="en-US"/>
        </w:rPr>
        <w:t>Christophe Speth</w:t>
      </w:r>
      <w:r w:rsidR="00B7009C" w:rsidRPr="008C2A1A">
        <w:rPr>
          <w:rFonts w:ascii="Garamond" w:hAnsi="Garamond"/>
          <w:color w:val="000000" w:themeColor="text1"/>
          <w:lang w:val="en-US"/>
        </w:rPr>
        <w:t xml:space="preserve"> </w:t>
      </w:r>
      <w:r w:rsidR="00B7009C" w:rsidRPr="008C2A1A">
        <w:rPr>
          <w:rFonts w:ascii="Garamond" w:hAnsi="Garamond"/>
          <w:i/>
          <w:color w:val="000000" w:themeColor="text1"/>
          <w:lang w:val="en-US"/>
        </w:rPr>
        <w:t>(CEREC - USL</w:t>
      </w:r>
      <w:r w:rsidR="00212B0F" w:rsidRPr="008C2A1A">
        <w:rPr>
          <w:rFonts w:ascii="Garamond" w:hAnsi="Garamond"/>
          <w:i/>
          <w:color w:val="000000" w:themeColor="text1"/>
          <w:lang w:val="en-US"/>
        </w:rPr>
        <w:t>-</w:t>
      </w:r>
      <w:r w:rsidR="00B7009C" w:rsidRPr="008C2A1A">
        <w:rPr>
          <w:rFonts w:ascii="Garamond" w:hAnsi="Garamond"/>
          <w:i/>
          <w:color w:val="000000" w:themeColor="text1"/>
          <w:lang w:val="en-US"/>
        </w:rPr>
        <w:t>B</w:t>
      </w:r>
      <w:r w:rsidR="00212B0F" w:rsidRPr="008C2A1A">
        <w:rPr>
          <w:rFonts w:ascii="Garamond" w:hAnsi="Garamond"/>
          <w:i/>
          <w:color w:val="000000" w:themeColor="text1"/>
          <w:lang w:val="en-US"/>
        </w:rPr>
        <w:t>)</w:t>
      </w:r>
    </w:p>
    <w:p w14:paraId="352FF6AF" w14:textId="77777777" w:rsidR="00B9727A" w:rsidRPr="008C2A1A" w:rsidRDefault="00B9727A" w:rsidP="00FE760F">
      <w:pPr>
        <w:pStyle w:val="Normaalweb"/>
        <w:contextualSpacing/>
        <w:jc w:val="both"/>
        <w:rPr>
          <w:rFonts w:ascii="Garamond" w:hAnsi="Garamond"/>
          <w:color w:val="000000" w:themeColor="text1"/>
          <w:lang w:val="en-US"/>
        </w:rPr>
      </w:pPr>
      <w:r w:rsidRPr="008C2A1A">
        <w:rPr>
          <w:rFonts w:ascii="Garamond" w:hAnsi="Garamond"/>
          <w:color w:val="000000" w:themeColor="text1"/>
          <w:lang w:val="en-US"/>
        </w:rPr>
        <w:t>Tom Truyts</w:t>
      </w:r>
      <w:r w:rsidR="00212B0F" w:rsidRPr="008C2A1A">
        <w:rPr>
          <w:rFonts w:ascii="Garamond" w:hAnsi="Garamond"/>
          <w:color w:val="000000" w:themeColor="text1"/>
          <w:lang w:val="en-US"/>
        </w:rPr>
        <w:t xml:space="preserve"> </w:t>
      </w:r>
      <w:r w:rsidR="00212B0F" w:rsidRPr="008C2A1A">
        <w:rPr>
          <w:rFonts w:ascii="Garamond" w:hAnsi="Garamond"/>
          <w:i/>
          <w:color w:val="000000" w:themeColor="text1"/>
          <w:lang w:val="en-US"/>
        </w:rPr>
        <w:t>(CEREC - USL-B)</w:t>
      </w:r>
    </w:p>
    <w:p w14:paraId="0C175A90" w14:textId="77777777" w:rsidR="00755757" w:rsidRPr="008C2A1A" w:rsidRDefault="00755757" w:rsidP="00FE760F">
      <w:pPr>
        <w:pStyle w:val="Normaalweb"/>
        <w:contextualSpacing/>
        <w:jc w:val="both"/>
        <w:rPr>
          <w:rFonts w:ascii="Garamond" w:hAnsi="Garamond"/>
          <w:color w:val="000000" w:themeColor="text1"/>
          <w:lang w:val="fr-FR"/>
        </w:rPr>
      </w:pPr>
      <w:r w:rsidRPr="008C2A1A">
        <w:rPr>
          <w:rFonts w:ascii="Garamond" w:hAnsi="Garamond"/>
          <w:color w:val="000000" w:themeColor="text1"/>
          <w:lang w:val="fr-FR"/>
        </w:rPr>
        <w:t xml:space="preserve">Fanny </w:t>
      </w:r>
      <w:proofErr w:type="spellStart"/>
      <w:r w:rsidRPr="008C2A1A">
        <w:rPr>
          <w:rFonts w:ascii="Garamond" w:hAnsi="Garamond"/>
          <w:color w:val="000000" w:themeColor="text1"/>
          <w:lang w:val="fr-FR"/>
        </w:rPr>
        <w:t>Vanrykel</w:t>
      </w:r>
      <w:proofErr w:type="spellEnd"/>
      <w:r w:rsidR="00212B0F" w:rsidRPr="008C2A1A">
        <w:rPr>
          <w:rFonts w:ascii="Garamond" w:hAnsi="Garamond"/>
          <w:color w:val="000000" w:themeColor="text1"/>
          <w:lang w:val="fr-FR"/>
        </w:rPr>
        <w:t xml:space="preserve"> </w:t>
      </w:r>
      <w:r w:rsidR="00212B0F" w:rsidRPr="008C2A1A">
        <w:rPr>
          <w:rFonts w:ascii="Garamond" w:hAnsi="Garamond"/>
          <w:i/>
          <w:color w:val="000000" w:themeColor="text1"/>
          <w:lang w:val="fr-FR"/>
        </w:rPr>
        <w:t>(Université de Liège &amp; CEREC - USL-B)</w:t>
      </w:r>
    </w:p>
    <w:p w14:paraId="76FA089F" w14:textId="77777777" w:rsidR="008B7887" w:rsidRPr="008C2A1A" w:rsidRDefault="008B7887" w:rsidP="00FE760F">
      <w:pPr>
        <w:pStyle w:val="Normaalweb"/>
        <w:contextualSpacing/>
        <w:jc w:val="both"/>
        <w:rPr>
          <w:rFonts w:ascii="Garamond" w:hAnsi="Garamond"/>
          <w:i/>
          <w:color w:val="000000" w:themeColor="text1"/>
          <w:lang w:val="fr-FR"/>
        </w:rPr>
      </w:pPr>
    </w:p>
    <w:p w14:paraId="7129B272" w14:textId="77777777" w:rsidR="00670052" w:rsidRPr="008C2A1A" w:rsidRDefault="0028403B" w:rsidP="00FE760F">
      <w:pPr>
        <w:pStyle w:val="Kop1"/>
        <w:jc w:val="both"/>
        <w:rPr>
          <w:rFonts w:ascii="Garamond" w:hAnsi="Garamond"/>
          <w:color w:val="000000" w:themeColor="text1"/>
          <w:sz w:val="28"/>
          <w:lang w:val="en-US"/>
        </w:rPr>
      </w:pPr>
      <w:r w:rsidRPr="008C2A1A">
        <w:rPr>
          <w:rFonts w:ascii="Garamond" w:hAnsi="Garamond"/>
          <w:color w:val="000000" w:themeColor="text1"/>
          <w:sz w:val="28"/>
          <w:lang w:val="en-US"/>
        </w:rPr>
        <w:t xml:space="preserve">1. </w:t>
      </w:r>
      <w:r w:rsidR="00670052" w:rsidRPr="008C2A1A">
        <w:rPr>
          <w:rFonts w:ascii="Garamond" w:hAnsi="Garamond"/>
          <w:color w:val="000000" w:themeColor="text1"/>
          <w:sz w:val="28"/>
          <w:lang w:val="en-US"/>
        </w:rPr>
        <w:t>Introduction</w:t>
      </w:r>
    </w:p>
    <w:p w14:paraId="225FCD25" w14:textId="70A8373C" w:rsidR="00D317D8" w:rsidRPr="008C2A1A" w:rsidRDefault="00D317D8" w:rsidP="00D317D8">
      <w:pPr>
        <w:pStyle w:val="Normaalweb"/>
        <w:contextualSpacing/>
        <w:jc w:val="both"/>
        <w:rPr>
          <w:rFonts w:ascii="Garamond" w:hAnsi="Garamond"/>
          <w:color w:val="000000" w:themeColor="text1"/>
          <w:lang w:val="en-US"/>
        </w:rPr>
      </w:pPr>
      <w:r w:rsidRPr="008C2A1A">
        <w:rPr>
          <w:rFonts w:ascii="Garamond" w:hAnsi="Garamond"/>
          <w:color w:val="000000" w:themeColor="text1"/>
          <w:lang w:val="en-US"/>
        </w:rPr>
        <w:t>Belgium’s highways are increasingly coming to a standstill, the air quality in its major population centers often reaches alarming levels and its public transport system struggles with delays and overcrowded vehicles during rush hours. In its 2017 country report, the European Commission (2017) singles out Belgium as the European Union’s most congested country and identifies congestion and delays in transport as one of the principal strains on Belgian economic growth and as a key priority for the Belgian governments. Van Essen et al. (2011) estimate the economic costs of congestion at 1-2% of GDP, but congestion has worsened considerably since then. Besides its enormous economic costs, our congested transport system also entails major damages to public health and the individual well-being of its citizens: according to the OECD (2014), 5</w:t>
      </w:r>
      <w:r w:rsidR="001D3D60" w:rsidRPr="008C2A1A">
        <w:rPr>
          <w:rFonts w:ascii="Garamond" w:hAnsi="Garamond"/>
          <w:color w:val="000000" w:themeColor="text1"/>
          <w:lang w:val="en-US"/>
        </w:rPr>
        <w:t>,</w:t>
      </w:r>
      <w:r w:rsidRPr="008C2A1A">
        <w:rPr>
          <w:rFonts w:ascii="Garamond" w:hAnsi="Garamond"/>
          <w:color w:val="000000" w:themeColor="text1"/>
          <w:lang w:val="en-US"/>
        </w:rPr>
        <w:t xml:space="preserve">811 Belgians died in 2010 because of air pollution. </w:t>
      </w:r>
    </w:p>
    <w:p w14:paraId="504DB718" w14:textId="037856DB" w:rsidR="00D317D8" w:rsidRPr="008C2A1A" w:rsidRDefault="00D317D8" w:rsidP="00D317D8">
      <w:pPr>
        <w:pStyle w:val="Normaalweb"/>
        <w:contextualSpacing/>
        <w:jc w:val="both"/>
        <w:rPr>
          <w:rFonts w:ascii="Garamond" w:hAnsi="Garamond"/>
          <w:color w:val="000000" w:themeColor="text1"/>
          <w:lang w:val="en-US"/>
        </w:rPr>
      </w:pPr>
      <w:r w:rsidRPr="008C2A1A">
        <w:rPr>
          <w:rFonts w:ascii="Garamond" w:hAnsi="Garamond"/>
          <w:color w:val="000000" w:themeColor="text1"/>
          <w:lang w:val="en-US"/>
        </w:rPr>
        <w:t xml:space="preserve">The situation in Belgium is exacerbated by a number of factors. First, the spatial organization of Belgium is such that its heartland is densely populated but in a rather diffuse fashion. This is due to a long tradition of subsidies to personal mobility and political choices (see e.g. De Block and </w:t>
      </w:r>
      <w:proofErr w:type="spellStart"/>
      <w:r w:rsidRPr="008C2A1A">
        <w:rPr>
          <w:rFonts w:ascii="Garamond" w:hAnsi="Garamond"/>
          <w:color w:val="000000" w:themeColor="text1"/>
          <w:lang w:val="en-US"/>
        </w:rPr>
        <w:t>Polasky</w:t>
      </w:r>
      <w:proofErr w:type="spellEnd"/>
      <w:r w:rsidRPr="008C2A1A">
        <w:rPr>
          <w:rFonts w:ascii="Garamond" w:hAnsi="Garamond"/>
          <w:color w:val="000000" w:themeColor="text1"/>
          <w:lang w:val="en-US"/>
        </w:rPr>
        <w:t xml:space="preserve"> (2011), or </w:t>
      </w:r>
      <w:proofErr w:type="spellStart"/>
      <w:r w:rsidRPr="008C2A1A">
        <w:rPr>
          <w:rFonts w:ascii="Garamond" w:hAnsi="Garamond"/>
          <w:color w:val="000000" w:themeColor="text1"/>
          <w:lang w:val="en-US"/>
        </w:rPr>
        <w:t>Driesen</w:t>
      </w:r>
      <w:proofErr w:type="spellEnd"/>
      <w:r w:rsidRPr="008C2A1A">
        <w:rPr>
          <w:rFonts w:ascii="Garamond" w:hAnsi="Garamond"/>
          <w:color w:val="000000" w:themeColor="text1"/>
          <w:lang w:val="en-US"/>
        </w:rPr>
        <w:t xml:space="preserve"> et al. (2013)). Since jobs are largely concentrated in and around major population centers, this sparse spatial organization creates a large demand for mobility, which the network of highways, regional roads and public transport has increasing difficulties to cope with. Second, the highly complex political and legal landscape in Belgium slows down or blocks many needed investments and policy reforms (OECD, 2017). A number of important policy reforms have been proposed or realized recently, but their factual implementation often proves insufficient to turn the tide. Third, the fiscal pressure on labor income in Belgium is very high. In its 2018 report on the fiscal pressure on labor (Taxing Wages</w:t>
      </w:r>
      <w:r w:rsidR="00200649" w:rsidRPr="008C2A1A">
        <w:rPr>
          <w:rFonts w:ascii="Garamond" w:hAnsi="Garamond"/>
          <w:color w:val="000000" w:themeColor="text1"/>
          <w:lang w:val="en-US"/>
        </w:rPr>
        <w:t>,</w:t>
      </w:r>
      <w:r w:rsidRPr="008C2A1A">
        <w:rPr>
          <w:rFonts w:ascii="Garamond" w:hAnsi="Garamond"/>
          <w:color w:val="000000" w:themeColor="text1"/>
          <w:lang w:val="en-US"/>
        </w:rPr>
        <w:t xml:space="preserve"> 2018), OECD singles out Belgium as the country with the highest net personal average tax rate (40</w:t>
      </w:r>
      <w:r w:rsidR="001D3D60" w:rsidRPr="008C2A1A">
        <w:rPr>
          <w:rFonts w:ascii="Garamond" w:hAnsi="Garamond"/>
          <w:color w:val="000000" w:themeColor="text1"/>
          <w:lang w:val="en-US"/>
        </w:rPr>
        <w:t>.</w:t>
      </w:r>
      <w:r w:rsidRPr="008C2A1A">
        <w:rPr>
          <w:rFonts w:ascii="Garamond" w:hAnsi="Garamond"/>
          <w:color w:val="000000" w:themeColor="text1"/>
          <w:lang w:val="en-US"/>
        </w:rPr>
        <w:t>4%, compared to an OECD average of 25</w:t>
      </w:r>
      <w:r w:rsidR="001D3D60" w:rsidRPr="008C2A1A">
        <w:rPr>
          <w:rFonts w:ascii="Garamond" w:hAnsi="Garamond"/>
          <w:color w:val="000000" w:themeColor="text1"/>
          <w:lang w:val="en-US"/>
        </w:rPr>
        <w:t>.</w:t>
      </w:r>
      <w:r w:rsidRPr="008C2A1A">
        <w:rPr>
          <w:rFonts w:ascii="Garamond" w:hAnsi="Garamond"/>
          <w:color w:val="000000" w:themeColor="text1"/>
          <w:lang w:val="en-US"/>
        </w:rPr>
        <w:t xml:space="preserve">5%) and with the highest marginal tax rate (numbers), for a single worker with the country's average salary. Similarly, the tax wedge (the difference between the wage cost to the employer and the employee's net </w:t>
      </w:r>
      <w:r w:rsidR="00200649" w:rsidRPr="008C2A1A">
        <w:rPr>
          <w:rFonts w:ascii="Garamond" w:hAnsi="Garamond"/>
          <w:color w:val="000000" w:themeColor="text1"/>
          <w:lang w:val="en-US"/>
        </w:rPr>
        <w:t xml:space="preserve">labor </w:t>
      </w:r>
      <w:r w:rsidRPr="008C2A1A">
        <w:rPr>
          <w:rFonts w:ascii="Garamond" w:hAnsi="Garamond"/>
          <w:color w:val="000000" w:themeColor="text1"/>
          <w:lang w:val="en-US"/>
        </w:rPr>
        <w:t xml:space="preserve">income, i.e., the sum of </w:t>
      </w:r>
      <w:r w:rsidR="00200649" w:rsidRPr="008C2A1A">
        <w:rPr>
          <w:rFonts w:ascii="Garamond" w:hAnsi="Garamond"/>
          <w:color w:val="000000" w:themeColor="text1"/>
          <w:lang w:val="en-US"/>
        </w:rPr>
        <w:t xml:space="preserve">the </w:t>
      </w:r>
      <w:r w:rsidRPr="008C2A1A">
        <w:rPr>
          <w:rFonts w:ascii="Garamond" w:hAnsi="Garamond"/>
          <w:color w:val="000000" w:themeColor="text1"/>
          <w:lang w:val="en-US"/>
        </w:rPr>
        <w:t xml:space="preserve">personal income tax </w:t>
      </w:r>
      <w:r w:rsidR="00200649" w:rsidRPr="008C2A1A">
        <w:rPr>
          <w:rFonts w:ascii="Garamond" w:hAnsi="Garamond"/>
          <w:color w:val="000000" w:themeColor="text1"/>
          <w:lang w:val="en-US"/>
        </w:rPr>
        <w:t xml:space="preserve">related to labor income </w:t>
      </w:r>
      <w:r w:rsidRPr="008C2A1A">
        <w:rPr>
          <w:rFonts w:ascii="Garamond" w:hAnsi="Garamond"/>
          <w:color w:val="000000" w:themeColor="text1"/>
          <w:lang w:val="en-US"/>
        </w:rPr>
        <w:t>and of employer's and employee's social security contributions) for a single employee with the country's average income equals 39</w:t>
      </w:r>
      <w:r w:rsidR="001D3D60" w:rsidRPr="008C2A1A">
        <w:rPr>
          <w:rFonts w:ascii="Garamond" w:hAnsi="Garamond"/>
          <w:color w:val="000000" w:themeColor="text1"/>
          <w:lang w:val="en-US"/>
        </w:rPr>
        <w:t>.</w:t>
      </w:r>
      <w:r w:rsidRPr="008C2A1A">
        <w:rPr>
          <w:rFonts w:ascii="Garamond" w:hAnsi="Garamond"/>
          <w:color w:val="000000" w:themeColor="text1"/>
          <w:lang w:val="en-US"/>
        </w:rPr>
        <w:t>5% on average in the OECD, and is the highest in Belgium with 53</w:t>
      </w:r>
      <w:r w:rsidR="00136EBD" w:rsidRPr="008C2A1A">
        <w:rPr>
          <w:rFonts w:ascii="Garamond" w:hAnsi="Garamond"/>
          <w:color w:val="000000" w:themeColor="text1"/>
          <w:lang w:val="en-US"/>
        </w:rPr>
        <w:t>.</w:t>
      </w:r>
      <w:r w:rsidRPr="008C2A1A">
        <w:rPr>
          <w:rFonts w:ascii="Garamond" w:hAnsi="Garamond"/>
          <w:color w:val="000000" w:themeColor="text1"/>
          <w:lang w:val="en-US"/>
        </w:rPr>
        <w:t>9%.  This high tax burden on labor reflects to some extent a societal choice to organize a substantial part the economy and life through the public sector, giving priority to high quality public services and social protection. It also reflects the limited use of some other fiscal instruments, such as wealth</w:t>
      </w:r>
      <w:r w:rsidR="00390CA8" w:rsidRPr="008C2A1A">
        <w:rPr>
          <w:rFonts w:ascii="Garamond" w:hAnsi="Garamond"/>
          <w:color w:val="000000" w:themeColor="text1"/>
          <w:lang w:val="en-US"/>
        </w:rPr>
        <w:t xml:space="preserve"> or environmental</w:t>
      </w:r>
      <w:r w:rsidRPr="008C2A1A">
        <w:rPr>
          <w:rFonts w:ascii="Garamond" w:hAnsi="Garamond"/>
          <w:color w:val="000000" w:themeColor="text1"/>
          <w:lang w:val="en-US"/>
        </w:rPr>
        <w:t xml:space="preserve"> taxes. </w:t>
      </w:r>
    </w:p>
    <w:p w14:paraId="5075E577" w14:textId="77777777" w:rsidR="00D317D8" w:rsidRPr="008C2A1A" w:rsidRDefault="00D317D8" w:rsidP="00D317D8">
      <w:pPr>
        <w:pStyle w:val="Normaalweb"/>
        <w:contextualSpacing/>
        <w:jc w:val="both"/>
        <w:rPr>
          <w:rFonts w:ascii="Garamond" w:hAnsi="Garamond"/>
          <w:color w:val="000000" w:themeColor="text1"/>
          <w:lang w:val="en-US"/>
        </w:rPr>
      </w:pPr>
    </w:p>
    <w:p w14:paraId="55F0E696" w14:textId="7EEC807D" w:rsidR="00D317D8" w:rsidRPr="008C2A1A" w:rsidRDefault="00D317D8" w:rsidP="00D317D8">
      <w:pPr>
        <w:pStyle w:val="Normaalweb"/>
        <w:contextualSpacing/>
        <w:jc w:val="both"/>
        <w:rPr>
          <w:rFonts w:ascii="Garamond" w:hAnsi="Garamond"/>
          <w:color w:val="000000" w:themeColor="text1"/>
          <w:lang w:val="en-US"/>
        </w:rPr>
      </w:pPr>
      <w:r w:rsidRPr="008C2A1A">
        <w:rPr>
          <w:rFonts w:ascii="Garamond" w:hAnsi="Garamond"/>
          <w:color w:val="000000" w:themeColor="text1"/>
          <w:lang w:val="en-US"/>
        </w:rPr>
        <w:t xml:space="preserve">In practice, the high nominal tax burden on labor income in Belgium is often alleviated by a myriad of different deductions, reductions, tax credits and other specific fiscal rules. All these instruments can result in an effective tax rate on labor income that is substantially below the nominal rates mentioned above. A favorable fiscal treatment of company cars provided to the employees for their private use is one way to reach this objective. The use of a company car for private purposes is a payment in kind, rather than monetary. In Belgium, as in most OECD countries, this in-kind </w:t>
      </w:r>
      <w:r w:rsidRPr="008C2A1A">
        <w:rPr>
          <w:rFonts w:ascii="Garamond" w:hAnsi="Garamond"/>
          <w:color w:val="000000" w:themeColor="text1"/>
          <w:lang w:val="en-US"/>
        </w:rPr>
        <w:lastRenderedPageBreak/>
        <w:t xml:space="preserve">part of an employee's salary </w:t>
      </w:r>
      <w:r w:rsidR="00951CFF" w:rsidRPr="008C2A1A">
        <w:rPr>
          <w:rFonts w:ascii="Garamond" w:hAnsi="Garamond"/>
          <w:color w:val="000000" w:themeColor="text1"/>
          <w:lang w:val="en-US"/>
        </w:rPr>
        <w:t xml:space="preserve">is </w:t>
      </w:r>
      <w:r w:rsidR="00CD5EA8" w:rsidRPr="008C2A1A">
        <w:rPr>
          <w:rFonts w:ascii="Garamond" w:hAnsi="Garamond"/>
          <w:color w:val="000000" w:themeColor="text1"/>
          <w:lang w:val="en-US"/>
        </w:rPr>
        <w:t>fiscally attractive</w:t>
      </w:r>
      <w:r w:rsidR="003B3E65" w:rsidRPr="008C2A1A">
        <w:rPr>
          <w:rFonts w:ascii="Garamond" w:hAnsi="Garamond"/>
          <w:color w:val="000000" w:themeColor="text1"/>
          <w:lang w:val="en-US"/>
        </w:rPr>
        <w:t xml:space="preserve"> </w:t>
      </w:r>
      <w:r w:rsidRPr="008C2A1A">
        <w:rPr>
          <w:rFonts w:ascii="Garamond" w:hAnsi="Garamond"/>
          <w:color w:val="000000" w:themeColor="text1"/>
          <w:lang w:val="en-US"/>
        </w:rPr>
        <w:t xml:space="preserve">(cfr. infra). The state therefore implicitly subsidizes the employees’ car expenditure. Some argue that this fiscal treatment of company cars is a critical policy to maintain the competitiveness of the Belgian private firms, and to preserve the access of Belgian companies to internationally mobile high skilled workers. Others say that this generosity towards company cars benefits mostly high-income earners, and undercuts our fiscal system's ability to redistribute income. Whatever one's stance on this issue, the current system becomes increasingly problematic in light of the increasing congestion and associated economic losses, </w:t>
      </w:r>
      <w:r w:rsidR="00951CFF" w:rsidRPr="008C2A1A">
        <w:rPr>
          <w:rFonts w:ascii="Garamond" w:hAnsi="Garamond"/>
          <w:color w:val="000000" w:themeColor="text1"/>
          <w:lang w:val="en-US"/>
        </w:rPr>
        <w:t xml:space="preserve">of </w:t>
      </w:r>
      <w:r w:rsidRPr="008C2A1A">
        <w:rPr>
          <w:rFonts w:ascii="Garamond" w:hAnsi="Garamond"/>
          <w:color w:val="000000" w:themeColor="text1"/>
          <w:lang w:val="en-US"/>
        </w:rPr>
        <w:t xml:space="preserve">growing awareness of the costs of air pollution and </w:t>
      </w:r>
      <w:r w:rsidR="00951CFF" w:rsidRPr="008C2A1A">
        <w:rPr>
          <w:rFonts w:ascii="Garamond" w:hAnsi="Garamond"/>
          <w:color w:val="000000" w:themeColor="text1"/>
          <w:lang w:val="en-US"/>
        </w:rPr>
        <w:t xml:space="preserve">of </w:t>
      </w:r>
      <w:r w:rsidRPr="008C2A1A">
        <w:rPr>
          <w:rFonts w:ascii="Garamond" w:hAnsi="Garamond"/>
          <w:color w:val="000000" w:themeColor="text1"/>
          <w:lang w:val="en-US"/>
        </w:rPr>
        <w:t xml:space="preserve">global efforts to fight climate change. </w:t>
      </w:r>
      <w:r w:rsidR="005B3AD6" w:rsidRPr="008C2A1A">
        <w:rPr>
          <w:rFonts w:ascii="Garamond" w:hAnsi="Garamond"/>
          <w:color w:val="000000" w:themeColor="text1"/>
          <w:lang w:val="en-US"/>
        </w:rPr>
        <w:t>Two recent reforms</w:t>
      </w:r>
      <w:r w:rsidR="0070551D" w:rsidRPr="008C2A1A">
        <w:rPr>
          <w:rFonts w:ascii="Garamond" w:hAnsi="Garamond"/>
          <w:color w:val="000000" w:themeColor="text1"/>
          <w:lang w:val="en-US"/>
        </w:rPr>
        <w:t>, 'cash for cars' and the 'mobility budget',</w:t>
      </w:r>
      <w:r w:rsidR="005B3AD6" w:rsidRPr="008C2A1A">
        <w:rPr>
          <w:rFonts w:ascii="Garamond" w:hAnsi="Garamond"/>
          <w:color w:val="000000" w:themeColor="text1"/>
          <w:lang w:val="en-US"/>
        </w:rPr>
        <w:t xml:space="preserve"> aim</w:t>
      </w:r>
      <w:r w:rsidR="00475EAF" w:rsidRPr="008C2A1A">
        <w:rPr>
          <w:rFonts w:ascii="Garamond" w:hAnsi="Garamond"/>
          <w:color w:val="000000" w:themeColor="text1"/>
          <w:lang w:val="en-US"/>
        </w:rPr>
        <w:t xml:space="preserve"> at maintaining the </w:t>
      </w:r>
      <w:r w:rsidR="007116D6" w:rsidRPr="008C2A1A">
        <w:rPr>
          <w:rFonts w:ascii="Garamond" w:hAnsi="Garamond"/>
          <w:color w:val="000000" w:themeColor="text1"/>
          <w:lang w:val="en-US"/>
        </w:rPr>
        <w:t>fiscal advantage</w:t>
      </w:r>
      <w:r w:rsidR="00475EAF" w:rsidRPr="008C2A1A">
        <w:rPr>
          <w:rFonts w:ascii="Garamond" w:hAnsi="Garamond"/>
          <w:color w:val="000000" w:themeColor="text1"/>
          <w:lang w:val="en-US"/>
        </w:rPr>
        <w:t xml:space="preserve"> of the current treatment of company cars while at the same time being more appropriate </w:t>
      </w:r>
      <w:r w:rsidR="007116D6" w:rsidRPr="008C2A1A">
        <w:rPr>
          <w:rFonts w:ascii="Garamond" w:hAnsi="Garamond"/>
          <w:color w:val="000000" w:themeColor="text1"/>
          <w:lang w:val="en-US"/>
        </w:rPr>
        <w:t>considering</w:t>
      </w:r>
      <w:r w:rsidR="005C07A5" w:rsidRPr="008C2A1A">
        <w:rPr>
          <w:rFonts w:ascii="Garamond" w:hAnsi="Garamond"/>
          <w:color w:val="000000" w:themeColor="text1"/>
          <w:lang w:val="en-US"/>
        </w:rPr>
        <w:t xml:space="preserve"> the congestion </w:t>
      </w:r>
      <w:r w:rsidR="001359F9" w:rsidRPr="008C2A1A">
        <w:rPr>
          <w:rFonts w:ascii="Garamond" w:hAnsi="Garamond"/>
          <w:color w:val="000000" w:themeColor="text1"/>
          <w:lang w:val="en-US"/>
        </w:rPr>
        <w:t>issues</w:t>
      </w:r>
      <w:r w:rsidR="005C07A5" w:rsidRPr="008C2A1A">
        <w:rPr>
          <w:rFonts w:ascii="Garamond" w:hAnsi="Garamond"/>
          <w:color w:val="000000" w:themeColor="text1"/>
          <w:lang w:val="en-US"/>
        </w:rPr>
        <w:t>.</w:t>
      </w:r>
    </w:p>
    <w:p w14:paraId="15CAF8F6" w14:textId="77777777" w:rsidR="00D317D8" w:rsidRPr="008C2A1A" w:rsidRDefault="00D317D8" w:rsidP="00D317D8">
      <w:pPr>
        <w:pStyle w:val="Normaalweb"/>
        <w:contextualSpacing/>
        <w:jc w:val="both"/>
        <w:rPr>
          <w:rFonts w:ascii="Garamond" w:hAnsi="Garamond"/>
          <w:color w:val="000000" w:themeColor="text1"/>
          <w:lang w:val="en-US"/>
        </w:rPr>
      </w:pPr>
    </w:p>
    <w:p w14:paraId="26BDC17F" w14:textId="4F0368F8" w:rsidR="00D317D8" w:rsidRPr="008C2A1A" w:rsidRDefault="00D317D8" w:rsidP="00D317D8">
      <w:pPr>
        <w:pStyle w:val="Normaalweb"/>
        <w:contextualSpacing/>
        <w:jc w:val="both"/>
        <w:rPr>
          <w:rFonts w:ascii="Garamond" w:hAnsi="Garamond"/>
          <w:color w:val="000000" w:themeColor="text1"/>
          <w:lang w:val="en-US"/>
        </w:rPr>
      </w:pPr>
      <w:r w:rsidRPr="008C2A1A">
        <w:rPr>
          <w:rFonts w:ascii="Garamond" w:hAnsi="Garamond"/>
          <w:color w:val="000000" w:themeColor="text1"/>
          <w:lang w:val="en-US"/>
        </w:rPr>
        <w:t xml:space="preserve">The present chapter outlines a general framework to assess different fiscal reforms with respect to company cars and mobility. The chapter is structured as follows. The next section will sketch the playing field by presenting a brief introduction to some economic principles of taxation and criteria to compare fiscal systems or reforms. In the third section, we analyze some key elements of the current fiscal treatment of company cars in Belgium. In the fourth section, we </w:t>
      </w:r>
      <w:r w:rsidR="005A575C" w:rsidRPr="008C2A1A">
        <w:rPr>
          <w:rFonts w:ascii="Garamond" w:hAnsi="Garamond"/>
          <w:color w:val="000000" w:themeColor="text1"/>
          <w:lang w:val="en-US"/>
        </w:rPr>
        <w:t xml:space="preserve">present </w:t>
      </w:r>
      <w:r w:rsidR="00D03261" w:rsidRPr="008C2A1A">
        <w:rPr>
          <w:rFonts w:ascii="Garamond" w:hAnsi="Garamond"/>
          <w:color w:val="000000" w:themeColor="text1"/>
          <w:lang w:val="en-US"/>
        </w:rPr>
        <w:t xml:space="preserve">in detail </w:t>
      </w:r>
      <w:r w:rsidR="005A575C" w:rsidRPr="008C2A1A">
        <w:rPr>
          <w:rFonts w:ascii="Garamond" w:hAnsi="Garamond"/>
          <w:color w:val="000000" w:themeColor="text1"/>
          <w:lang w:val="en-US"/>
        </w:rPr>
        <w:t xml:space="preserve">the reforms </w:t>
      </w:r>
      <w:r w:rsidRPr="008C2A1A">
        <w:rPr>
          <w:rFonts w:ascii="Garamond" w:hAnsi="Garamond"/>
          <w:color w:val="000000" w:themeColor="text1"/>
          <w:lang w:val="en-US"/>
        </w:rPr>
        <w:t xml:space="preserve">'cash for car' and the 'mobility budget'. In the fifth section, we </w:t>
      </w:r>
      <w:r w:rsidR="0069246C" w:rsidRPr="008C2A1A">
        <w:rPr>
          <w:rFonts w:ascii="Garamond" w:hAnsi="Garamond"/>
          <w:color w:val="000000" w:themeColor="text1"/>
          <w:lang w:val="en-US"/>
        </w:rPr>
        <w:t>introduce</w:t>
      </w:r>
      <w:r w:rsidRPr="008C2A1A">
        <w:rPr>
          <w:rFonts w:ascii="Garamond" w:hAnsi="Garamond"/>
          <w:color w:val="000000" w:themeColor="text1"/>
          <w:lang w:val="en-US"/>
        </w:rPr>
        <w:t xml:space="preserve"> CoCaTax (for Company Car Taxation), an interactive online simulation tool by which users can evaluate fiscal reforms w.r.t. company cars</w:t>
      </w:r>
      <w:r w:rsidR="000E3D39" w:rsidRPr="008C2A1A">
        <w:rPr>
          <w:rFonts w:ascii="Garamond" w:hAnsi="Garamond"/>
          <w:color w:val="000000" w:themeColor="text1"/>
          <w:lang w:val="en-US"/>
        </w:rPr>
        <w:t xml:space="preserve"> (www.CoCaTax.be)</w:t>
      </w:r>
      <w:r w:rsidR="00782814" w:rsidRPr="008C2A1A">
        <w:rPr>
          <w:rFonts w:ascii="Garamond" w:hAnsi="Garamond"/>
          <w:color w:val="000000" w:themeColor="text1"/>
          <w:lang w:val="en-US"/>
        </w:rPr>
        <w:t>. We</w:t>
      </w:r>
      <w:r w:rsidR="008534B3" w:rsidRPr="008C2A1A">
        <w:rPr>
          <w:rFonts w:ascii="Garamond" w:hAnsi="Garamond"/>
          <w:color w:val="000000" w:themeColor="text1"/>
          <w:lang w:val="en-US"/>
        </w:rPr>
        <w:t xml:space="preserve"> </w:t>
      </w:r>
      <w:r w:rsidR="00993917" w:rsidRPr="008C2A1A">
        <w:rPr>
          <w:rFonts w:ascii="Garamond" w:hAnsi="Garamond"/>
          <w:color w:val="000000" w:themeColor="text1"/>
          <w:lang w:val="en-US"/>
        </w:rPr>
        <w:t xml:space="preserve">use it to </w:t>
      </w:r>
      <w:r w:rsidR="008534B3" w:rsidRPr="008C2A1A">
        <w:rPr>
          <w:rFonts w:ascii="Garamond" w:hAnsi="Garamond"/>
          <w:color w:val="000000" w:themeColor="text1"/>
          <w:lang w:val="en-US"/>
        </w:rPr>
        <w:t>analyze the proposed reforms</w:t>
      </w:r>
      <w:r w:rsidR="00782814" w:rsidRPr="008C2A1A">
        <w:rPr>
          <w:rFonts w:ascii="Garamond" w:hAnsi="Garamond"/>
          <w:color w:val="000000" w:themeColor="text1"/>
          <w:lang w:val="en-US"/>
        </w:rPr>
        <w:t xml:space="preserve"> in the sixth section and then conclude.</w:t>
      </w:r>
    </w:p>
    <w:p w14:paraId="197D4B58" w14:textId="77777777" w:rsidR="0028403B" w:rsidRPr="008C2A1A" w:rsidRDefault="0028403B" w:rsidP="00FE760F">
      <w:pPr>
        <w:pStyle w:val="Kop1"/>
        <w:jc w:val="both"/>
        <w:rPr>
          <w:rFonts w:ascii="Garamond" w:hAnsi="Garamond"/>
          <w:color w:val="000000" w:themeColor="text1"/>
          <w:sz w:val="28"/>
          <w:lang w:val="en-US"/>
        </w:rPr>
      </w:pPr>
      <w:r w:rsidRPr="008C2A1A">
        <w:rPr>
          <w:rFonts w:ascii="Garamond" w:hAnsi="Garamond"/>
          <w:color w:val="000000" w:themeColor="text1"/>
          <w:sz w:val="28"/>
          <w:lang w:val="en-US"/>
        </w:rPr>
        <w:t xml:space="preserve">2. </w:t>
      </w:r>
      <w:r w:rsidR="000C68EE" w:rsidRPr="008C2A1A">
        <w:rPr>
          <w:rFonts w:ascii="Garamond" w:hAnsi="Garamond"/>
          <w:color w:val="000000" w:themeColor="text1"/>
          <w:sz w:val="28"/>
          <w:lang w:val="en-US"/>
        </w:rPr>
        <w:t>Some principles of taxation</w:t>
      </w:r>
    </w:p>
    <w:p w14:paraId="48F08232" w14:textId="77777777" w:rsidR="00D317D8" w:rsidRPr="008C2A1A" w:rsidRDefault="00D317D8" w:rsidP="00FE760F">
      <w:pPr>
        <w:jc w:val="both"/>
        <w:rPr>
          <w:rFonts w:ascii="Garamond" w:hAnsi="Garamond"/>
          <w:color w:val="000000" w:themeColor="text1"/>
          <w:lang w:val="en-US"/>
        </w:rPr>
      </w:pPr>
    </w:p>
    <w:p w14:paraId="4F31450B" w14:textId="1FF3FF85" w:rsidR="00D317D8" w:rsidRPr="008C2A1A" w:rsidRDefault="00D317D8" w:rsidP="00D317D8">
      <w:pPr>
        <w:jc w:val="both"/>
        <w:rPr>
          <w:rFonts w:ascii="Garamond" w:hAnsi="Garamond"/>
          <w:color w:val="000000" w:themeColor="text1"/>
          <w:lang w:val="en-US"/>
        </w:rPr>
      </w:pPr>
      <w:r w:rsidRPr="008C2A1A">
        <w:rPr>
          <w:rFonts w:ascii="Garamond" w:hAnsi="Garamond"/>
          <w:color w:val="000000" w:themeColor="text1"/>
          <w:lang w:val="en-US"/>
        </w:rPr>
        <w:t xml:space="preserve">In this section, we briefly sketch some important economic principles of taxation and key elements of the Belgian fiscal system. Readers that are familiar with this matter may want to skip immediately to the next section. Taxes are compulsory monetary contributions to the state with no direct counterpart nor predetermined goal. Their main role is to collect the necessary funding for the functioning of the state. We will first distinguish the main different categories of taxes, and then discuss important normative principles to assess the virtues of a tax system. </w:t>
      </w:r>
    </w:p>
    <w:p w14:paraId="3032896B" w14:textId="77777777" w:rsidR="00D317D8" w:rsidRPr="008C2A1A" w:rsidRDefault="00D317D8" w:rsidP="00D317D8">
      <w:pPr>
        <w:jc w:val="both"/>
        <w:rPr>
          <w:rFonts w:ascii="Garamond" w:hAnsi="Garamond"/>
          <w:color w:val="000000" w:themeColor="text1"/>
          <w:lang w:val="en-US"/>
        </w:rPr>
      </w:pPr>
    </w:p>
    <w:p w14:paraId="1DCEA038" w14:textId="6E9E5187" w:rsidR="00D317D8" w:rsidRPr="008C2A1A" w:rsidRDefault="00D317D8" w:rsidP="00D317D8">
      <w:pPr>
        <w:jc w:val="both"/>
        <w:rPr>
          <w:rFonts w:ascii="Garamond" w:hAnsi="Garamond"/>
          <w:color w:val="000000" w:themeColor="text1"/>
          <w:lang w:val="en-US"/>
        </w:rPr>
      </w:pPr>
      <w:r w:rsidRPr="008C2A1A">
        <w:rPr>
          <w:rFonts w:ascii="Garamond" w:hAnsi="Garamond"/>
          <w:color w:val="000000" w:themeColor="text1"/>
          <w:lang w:val="en-US"/>
        </w:rPr>
        <w:t xml:space="preserve">Taxes come in many shapes and forms. In practice, they can either take the form of a uniform 'lump sum' tax, in which case all taxpayers have to pay the same amount of taxes (e.g., Margaret </w:t>
      </w:r>
      <w:proofErr w:type="spellStart"/>
      <w:r w:rsidRPr="008C2A1A">
        <w:rPr>
          <w:rFonts w:ascii="Garamond" w:hAnsi="Garamond"/>
          <w:color w:val="000000" w:themeColor="text1"/>
          <w:lang w:val="en-US"/>
        </w:rPr>
        <w:t>Tatcher's</w:t>
      </w:r>
      <w:proofErr w:type="spellEnd"/>
      <w:r w:rsidRPr="008C2A1A">
        <w:rPr>
          <w:rFonts w:ascii="Garamond" w:hAnsi="Garamond"/>
          <w:color w:val="000000" w:themeColor="text1"/>
          <w:lang w:val="en-US"/>
        </w:rPr>
        <w:t xml:space="preserve"> 'Poll Tax'), or they can depend on a taxpayer's behavior and characteristics. In the latter case, which is most often used in practice, the amount of taxes due by a taxpayer is a function of his tax base, e.g., his income or his purchases. Taxes can be levied directly or indirectly. The main examples of </w:t>
      </w:r>
      <w:r w:rsidRPr="008C2A1A">
        <w:rPr>
          <w:rFonts w:ascii="Garamond" w:hAnsi="Garamond"/>
          <w:b/>
          <w:color w:val="000000" w:themeColor="text1"/>
          <w:lang w:val="en-US"/>
        </w:rPr>
        <w:t>direct taxes</w:t>
      </w:r>
      <w:r w:rsidRPr="008C2A1A">
        <w:rPr>
          <w:rFonts w:ascii="Garamond" w:hAnsi="Garamond"/>
          <w:color w:val="000000" w:themeColor="text1"/>
          <w:lang w:val="en-US"/>
        </w:rPr>
        <w:t xml:space="preserve"> in Belgium are the personal income tax and the corporate income tax. These taxes are due </w:t>
      </w:r>
      <w:r w:rsidR="000E24DF" w:rsidRPr="008C2A1A">
        <w:rPr>
          <w:rFonts w:ascii="Garamond" w:hAnsi="Garamond"/>
          <w:color w:val="000000" w:themeColor="text1"/>
          <w:lang w:val="en-US"/>
        </w:rPr>
        <w:t>on an annual basis</w:t>
      </w:r>
      <w:r w:rsidRPr="008C2A1A">
        <w:rPr>
          <w:rFonts w:ascii="Garamond" w:hAnsi="Garamond"/>
          <w:color w:val="000000" w:themeColor="text1"/>
          <w:lang w:val="en-US"/>
        </w:rPr>
        <w:t>, and are computed on the basis of a tax declaration that taxpayers have to submit. Direct taxes can be adapted to the individual situation of the taxpayers. Two arbitrary employees can thus be subject to a different average personal income tax rate. This occurs if they report a different taxable income while the rate structure is progressive (i.e., if the average tax rate increases with the declared taxable income). It also happens if the average tax rate depends on other individual characteristics (e.g., household composition) or on socially desirable behavior (e.g., pension savings or energy efficient housing investments). This possibility to adapt the tax rate to the individual situation of a taxpayer is the main virtue of a direct tax system, as it allows for a distribution of the tax burden that is deemed fair. But i</w:t>
      </w:r>
      <w:r w:rsidR="00253F36" w:rsidRPr="008C2A1A">
        <w:rPr>
          <w:rFonts w:ascii="Garamond" w:hAnsi="Garamond"/>
          <w:color w:val="000000" w:themeColor="text1"/>
          <w:lang w:val="en-US"/>
        </w:rPr>
        <w:t>t</w:t>
      </w:r>
      <w:r w:rsidRPr="008C2A1A">
        <w:rPr>
          <w:rFonts w:ascii="Garamond" w:hAnsi="Garamond"/>
          <w:color w:val="000000" w:themeColor="text1"/>
          <w:lang w:val="en-US"/>
        </w:rPr>
        <w:t xml:space="preserve"> also comes at the cost of requiring an expensive and complicated administration. </w:t>
      </w:r>
    </w:p>
    <w:p w14:paraId="1AE54FB9" w14:textId="4ACA3156" w:rsidR="00D317D8" w:rsidRPr="008C2A1A" w:rsidRDefault="00D317D8" w:rsidP="00D317D8">
      <w:pPr>
        <w:jc w:val="both"/>
        <w:rPr>
          <w:rFonts w:ascii="Garamond" w:hAnsi="Garamond"/>
          <w:color w:val="000000" w:themeColor="text1"/>
          <w:lang w:val="en-US"/>
        </w:rPr>
      </w:pPr>
      <w:r w:rsidRPr="008C2A1A">
        <w:rPr>
          <w:rFonts w:ascii="Garamond" w:hAnsi="Garamond"/>
          <w:color w:val="000000" w:themeColor="text1"/>
          <w:lang w:val="en-US"/>
        </w:rPr>
        <w:t xml:space="preserve">The tax bases for the corporate income tax corresponds to a firm's profits (its revenue minus its costs), either reserved or distributed. In practice, the costs that can be deducted from corporate revenue to establish the taxable profits are determined by </w:t>
      </w:r>
      <w:r w:rsidR="00A764F5" w:rsidRPr="008C2A1A">
        <w:rPr>
          <w:rFonts w:ascii="Garamond" w:hAnsi="Garamond"/>
          <w:color w:val="000000" w:themeColor="text1"/>
          <w:lang w:val="en-US"/>
        </w:rPr>
        <w:t>tax law</w:t>
      </w:r>
      <w:r w:rsidRPr="008C2A1A">
        <w:rPr>
          <w:rFonts w:ascii="Garamond" w:hAnsi="Garamond"/>
          <w:color w:val="000000" w:themeColor="text1"/>
          <w:lang w:val="en-US"/>
        </w:rPr>
        <w:t xml:space="preserve">. Similarly, households are allowed to deduct certain expenditures from their revenue (e.g., professional expenses) in order to establish </w:t>
      </w:r>
      <w:r w:rsidRPr="008C2A1A">
        <w:rPr>
          <w:rFonts w:ascii="Garamond" w:hAnsi="Garamond"/>
          <w:color w:val="000000" w:themeColor="text1"/>
          <w:lang w:val="en-US"/>
        </w:rPr>
        <w:lastRenderedPageBreak/>
        <w:t>their taxable income. Deductions play an important role in the fiscal treatment of company cars, as will be explained in the third section of this text.</w:t>
      </w:r>
    </w:p>
    <w:p w14:paraId="6A303BB4" w14:textId="77777777" w:rsidR="00D317D8" w:rsidRPr="008C2A1A" w:rsidRDefault="00D317D8" w:rsidP="00D317D8">
      <w:pPr>
        <w:jc w:val="both"/>
        <w:rPr>
          <w:rFonts w:ascii="Garamond" w:hAnsi="Garamond"/>
          <w:color w:val="000000" w:themeColor="text1"/>
          <w:lang w:val="en-US"/>
        </w:rPr>
      </w:pPr>
    </w:p>
    <w:p w14:paraId="576F5DE1" w14:textId="5D2FF7AD" w:rsidR="00D317D8" w:rsidRPr="008C2A1A" w:rsidRDefault="00D317D8" w:rsidP="00D317D8">
      <w:pPr>
        <w:jc w:val="both"/>
        <w:rPr>
          <w:rFonts w:ascii="Garamond" w:hAnsi="Garamond"/>
          <w:color w:val="000000" w:themeColor="text1"/>
          <w:lang w:val="en-US"/>
        </w:rPr>
      </w:pPr>
      <w:r w:rsidRPr="008C2A1A">
        <w:rPr>
          <w:rFonts w:ascii="Garamond" w:hAnsi="Garamond"/>
          <w:color w:val="000000" w:themeColor="text1"/>
          <w:lang w:val="en-US"/>
        </w:rPr>
        <w:t xml:space="preserve">The most important </w:t>
      </w:r>
      <w:r w:rsidRPr="008C2A1A">
        <w:rPr>
          <w:rFonts w:ascii="Garamond" w:hAnsi="Garamond"/>
          <w:b/>
          <w:color w:val="000000" w:themeColor="text1"/>
          <w:lang w:val="en-US"/>
        </w:rPr>
        <w:t>indirect taxes</w:t>
      </w:r>
      <w:r w:rsidRPr="008C2A1A">
        <w:rPr>
          <w:rFonts w:ascii="Garamond" w:hAnsi="Garamond"/>
          <w:color w:val="000000" w:themeColor="text1"/>
          <w:lang w:val="en-US"/>
        </w:rPr>
        <w:t xml:space="preserve"> in Belgium are the Value Added Tax (VAT)</w:t>
      </w:r>
      <w:r w:rsidR="00DF0E86" w:rsidRPr="008C2A1A">
        <w:rPr>
          <w:rFonts w:ascii="Garamond" w:hAnsi="Garamond"/>
          <w:color w:val="000000" w:themeColor="text1"/>
          <w:lang w:val="en-US"/>
        </w:rPr>
        <w:t>, registration fees</w:t>
      </w:r>
      <w:r w:rsidR="00563215" w:rsidRPr="008C2A1A">
        <w:rPr>
          <w:rFonts w:ascii="Garamond" w:hAnsi="Garamond"/>
          <w:color w:val="000000" w:themeColor="text1"/>
          <w:lang w:val="en-US"/>
        </w:rPr>
        <w:t>, inheritance and</w:t>
      </w:r>
      <w:r w:rsidRPr="008C2A1A">
        <w:rPr>
          <w:rFonts w:ascii="Garamond" w:hAnsi="Garamond"/>
          <w:color w:val="000000" w:themeColor="text1"/>
          <w:lang w:val="en-US"/>
        </w:rPr>
        <w:t xml:space="preserve"> excise taxes. These taxes are paid on the occasion of particular economic transactions, rather than </w:t>
      </w:r>
      <w:r w:rsidR="00A764F5" w:rsidRPr="008C2A1A">
        <w:rPr>
          <w:rFonts w:ascii="Garamond" w:hAnsi="Garamond"/>
          <w:color w:val="000000" w:themeColor="text1"/>
          <w:lang w:val="en-US"/>
        </w:rPr>
        <w:t>on an annual basis</w:t>
      </w:r>
      <w:r w:rsidRPr="008C2A1A">
        <w:rPr>
          <w:rFonts w:ascii="Garamond" w:hAnsi="Garamond"/>
          <w:color w:val="000000" w:themeColor="text1"/>
          <w:lang w:val="en-US"/>
        </w:rPr>
        <w:t xml:space="preserve"> in function of a tax declaration. The VAT is a tax on general consumption, whereas excise taxes are due on specific categories of goods that cause undesirable side-effects (important examples in Belgium: alcohol, tobacco, energy and sugar-containing beverages). The VAT and excise taxes are included in the price that an end-user pays, and are thus collected by the seller who transfer that amount to the state (after deducing the taxes paid on intermediate goods for the VAT). In principle, the tax rate of indirect taxes cannot be adapted to the 'size' of the tax base or personal characteristics. If the tax rate was not identical for all individuals, consumer prices of goods or services would differ among buyers, and secondary markets would emerge where those facing low tax rates would sell to those facing high tax rates. In most cases, this kind of arbitrage would be prohibitively expensive to prevent.  Some durable consumption goods such as housing or cars form an exception, in that the indirect tax rate on such goods can be tailored in function of the tax base or of the characteristics of taxpayer. </w:t>
      </w:r>
    </w:p>
    <w:p w14:paraId="66715362" w14:textId="77777777" w:rsidR="00D317D8" w:rsidRPr="008C2A1A" w:rsidRDefault="00D317D8" w:rsidP="00D317D8">
      <w:pPr>
        <w:jc w:val="both"/>
        <w:rPr>
          <w:rFonts w:ascii="Garamond" w:hAnsi="Garamond"/>
          <w:color w:val="000000" w:themeColor="text1"/>
          <w:lang w:val="en-US"/>
        </w:rPr>
      </w:pPr>
    </w:p>
    <w:p w14:paraId="2498BDDB" w14:textId="2B1A18BF" w:rsidR="00D317D8" w:rsidRPr="008C2A1A" w:rsidRDefault="00D317D8" w:rsidP="00D317D8">
      <w:pPr>
        <w:jc w:val="both"/>
        <w:rPr>
          <w:rFonts w:ascii="Garamond" w:hAnsi="Garamond"/>
          <w:color w:val="000000" w:themeColor="text1"/>
          <w:lang w:val="en-US"/>
        </w:rPr>
      </w:pPr>
      <w:r w:rsidRPr="008C2A1A">
        <w:rPr>
          <w:rFonts w:ascii="Garamond" w:hAnsi="Garamond"/>
          <w:color w:val="000000" w:themeColor="text1"/>
          <w:lang w:val="en-US"/>
        </w:rPr>
        <w:t xml:space="preserve">Social security contributions violate the above definition of a tax in at least two respects, and as such are not part of the fiscal system. First, the administrations of the social security are institutions that are independent from the state even though they are managed in practice by the federal government. Second and more importantly, social security contributions have a direct counterpart and predetermined goal. Social security contributions are compulsory insurance premia paid on labor income to fund a mutual insurance system for the protection against social risks (unemployment, illness, disability, old age, etc.). Since high income earners typically contribute more than what they get in return, whereas the opposite holds for low income earners, social security plays a redistributive role. </w:t>
      </w:r>
    </w:p>
    <w:p w14:paraId="12B83994" w14:textId="77777777" w:rsidR="00D317D8" w:rsidRPr="008C2A1A" w:rsidRDefault="00D317D8" w:rsidP="00D317D8">
      <w:pPr>
        <w:jc w:val="both"/>
        <w:rPr>
          <w:rFonts w:ascii="Garamond" w:hAnsi="Garamond"/>
          <w:color w:val="000000" w:themeColor="text1"/>
          <w:lang w:val="en-US"/>
        </w:rPr>
      </w:pPr>
    </w:p>
    <w:p w14:paraId="40858D07" w14:textId="77777777" w:rsidR="00D317D8" w:rsidRPr="008C2A1A" w:rsidRDefault="00D317D8" w:rsidP="00D317D8">
      <w:pPr>
        <w:jc w:val="both"/>
        <w:rPr>
          <w:rFonts w:ascii="Garamond" w:hAnsi="Garamond"/>
          <w:color w:val="000000" w:themeColor="text1"/>
          <w:lang w:val="en-US"/>
        </w:rPr>
      </w:pPr>
      <w:r w:rsidRPr="008C2A1A">
        <w:rPr>
          <w:rFonts w:ascii="Garamond" w:hAnsi="Garamond"/>
          <w:color w:val="000000" w:themeColor="text1"/>
          <w:lang w:val="en-US"/>
        </w:rPr>
        <w:t xml:space="preserve">In the remainder of this section, we discuss several important criteria to assess different taxes or fiscal systems: efficiency, equity, simplicity, transparency and robustness w.r.t. fraud. Some of these criteria will lead to opposing recommendations, resulting in a tradeoff between different objectives, e.g., the classical tradeoff between efficiency and equity (cfr. infra). The relative weight given to each of these criteria depends one’s individual values and preferences. For this reason, the assessment of a fiscal measure or reform often results in a discussion that cannot be resolved by rational arguments alone, because the assessment rests upon normative positions. The present chapter attempts to clarify the different aspects of the fiscal reform under consideration as well as the normative tradeoffs that are to be made. </w:t>
      </w:r>
    </w:p>
    <w:p w14:paraId="5E800A1A" w14:textId="77777777" w:rsidR="00D317D8" w:rsidRPr="008C2A1A" w:rsidRDefault="00D317D8" w:rsidP="00D317D8">
      <w:pPr>
        <w:jc w:val="both"/>
        <w:rPr>
          <w:rFonts w:ascii="Garamond" w:hAnsi="Garamond"/>
          <w:color w:val="000000" w:themeColor="text1"/>
          <w:lang w:val="en-US"/>
        </w:rPr>
      </w:pPr>
    </w:p>
    <w:p w14:paraId="71106900" w14:textId="77777777" w:rsidR="00D317D8" w:rsidRPr="008C2A1A" w:rsidRDefault="00D317D8" w:rsidP="00D317D8">
      <w:pPr>
        <w:jc w:val="both"/>
        <w:rPr>
          <w:rFonts w:ascii="Garamond" w:hAnsi="Garamond"/>
          <w:color w:val="000000" w:themeColor="text1"/>
          <w:lang w:val="en-US"/>
        </w:rPr>
      </w:pPr>
      <w:r w:rsidRPr="008C2A1A">
        <w:rPr>
          <w:rFonts w:ascii="Garamond" w:hAnsi="Garamond"/>
          <w:color w:val="000000" w:themeColor="text1"/>
          <w:lang w:val="en-US"/>
        </w:rPr>
        <w:t xml:space="preserve">We examine first </w:t>
      </w:r>
      <w:r w:rsidRPr="008C2A1A">
        <w:rPr>
          <w:rFonts w:ascii="Garamond" w:hAnsi="Garamond"/>
          <w:b/>
          <w:color w:val="000000" w:themeColor="text1"/>
          <w:lang w:val="en-US"/>
        </w:rPr>
        <w:t>efficiency</w:t>
      </w:r>
      <w:r w:rsidRPr="008C2A1A">
        <w:rPr>
          <w:rFonts w:ascii="Garamond" w:hAnsi="Garamond"/>
          <w:color w:val="000000" w:themeColor="text1"/>
          <w:lang w:val="en-US"/>
        </w:rPr>
        <w:t xml:space="preserve">. Taxes typically entail a welfare loss, because they disturb the role of market prices in coordinating the choices of the households and firms. In a market economy, firms sell each unit of the good or service for which the cost of production is smaller than the price perceived, and consumers buy each unit of the good or service that they value more than the price paid. When there are no taxes, the price perceived by the firms is equal to the price paid by the consumers so that all the potential gains of trade are realized: the production of another good or service would be </w:t>
      </w:r>
      <w:proofErr w:type="gramStart"/>
      <w:r w:rsidRPr="008C2A1A">
        <w:rPr>
          <w:rFonts w:ascii="Garamond" w:hAnsi="Garamond"/>
          <w:color w:val="000000" w:themeColor="text1"/>
          <w:lang w:val="en-US"/>
        </w:rPr>
        <w:t>more costly</w:t>
      </w:r>
      <w:proofErr w:type="gramEnd"/>
      <w:r w:rsidRPr="008C2A1A">
        <w:rPr>
          <w:rFonts w:ascii="Garamond" w:hAnsi="Garamond"/>
          <w:color w:val="000000" w:themeColor="text1"/>
          <w:lang w:val="en-US"/>
        </w:rPr>
        <w:t xml:space="preserve"> than the value a consumer would attach to it. For an economy as a whole, this mechanism guarantees an efficient use to resources. And even if the real world is more complicated than the above stylized example, its logic remains valid. Taxes drive a wedge between the price perceived by the producer and the one paid by the consumer. Consumers now have to pay the ‘producer price’ and the tax, implying that some consumer will refrain from buying the good once it is taxed. Taxes introduce a source of inefficiency since some mutually beneficial trades are not realized anymore. </w:t>
      </w:r>
    </w:p>
    <w:p w14:paraId="1D9911E0" w14:textId="77777777" w:rsidR="00D317D8" w:rsidRPr="008C2A1A" w:rsidRDefault="00D317D8" w:rsidP="00D317D8">
      <w:pPr>
        <w:jc w:val="both"/>
        <w:rPr>
          <w:rFonts w:ascii="Garamond" w:hAnsi="Garamond"/>
          <w:color w:val="000000" w:themeColor="text1"/>
          <w:lang w:val="en-US"/>
        </w:rPr>
      </w:pPr>
    </w:p>
    <w:p w14:paraId="144F6F02" w14:textId="766D363E" w:rsidR="00B94180" w:rsidRPr="008C2A1A" w:rsidRDefault="00D317D8" w:rsidP="00D317D8">
      <w:pPr>
        <w:jc w:val="both"/>
        <w:rPr>
          <w:rFonts w:ascii="Garamond" w:hAnsi="Garamond"/>
          <w:color w:val="000000" w:themeColor="text1"/>
          <w:lang w:val="en-US"/>
        </w:rPr>
      </w:pPr>
      <w:r w:rsidRPr="008C2A1A">
        <w:rPr>
          <w:rFonts w:ascii="Garamond" w:hAnsi="Garamond"/>
          <w:color w:val="000000" w:themeColor="text1"/>
          <w:lang w:val="en-US"/>
        </w:rPr>
        <w:t>The personal income tax and social security contributions create an important wedge between the gross labor cost that employers pay for each hour of labor, and the net hourly salary employees receive. In 2017, 53</w:t>
      </w:r>
      <w:r w:rsidR="000A6345" w:rsidRPr="008C2A1A">
        <w:rPr>
          <w:rFonts w:ascii="Garamond" w:hAnsi="Garamond"/>
          <w:color w:val="000000" w:themeColor="text1"/>
          <w:lang w:val="en-US"/>
        </w:rPr>
        <w:t>.</w:t>
      </w:r>
      <w:r w:rsidRPr="008C2A1A">
        <w:rPr>
          <w:rFonts w:ascii="Garamond" w:hAnsi="Garamond"/>
          <w:color w:val="000000" w:themeColor="text1"/>
          <w:lang w:val="en-US"/>
        </w:rPr>
        <w:t>9% of the labor cost of a single worker with an average income constituted labor income taxes and social security contributions (OECD, 2018).</w:t>
      </w:r>
      <w:r w:rsidR="00B94180" w:rsidRPr="008C2A1A">
        <w:rPr>
          <w:rStyle w:val="Voetnootmarkering"/>
          <w:rFonts w:ascii="Garamond" w:hAnsi="Garamond"/>
          <w:color w:val="000000" w:themeColor="text1"/>
          <w:lang w:val="en-US"/>
        </w:rPr>
        <w:footnoteReference w:id="1"/>
      </w:r>
      <w:r w:rsidR="00B94180" w:rsidRPr="008C2A1A">
        <w:rPr>
          <w:rFonts w:ascii="Garamond" w:hAnsi="Garamond"/>
          <w:color w:val="000000" w:themeColor="text1"/>
          <w:lang w:val="en-US"/>
        </w:rPr>
        <w:t xml:space="preserve"> Jobs that produce an added value that exceeds what workers require as a compensation for their labor can no longer be executed if the added value is insufficient to cover together the wage, the personal income tax and social security contributions. This constitutes a clear welfare loss for society. Higher labor costs decrease the quantity of work executed in the economy in different ways. Labor income taxes make working less rewarding compared to leisure, inducing households to supply less labor.</w:t>
      </w:r>
      <w:r w:rsidR="00B94180" w:rsidRPr="008C2A1A">
        <w:rPr>
          <w:rStyle w:val="Voetnootmarkering"/>
          <w:rFonts w:ascii="Garamond" w:hAnsi="Garamond"/>
          <w:color w:val="000000" w:themeColor="text1"/>
          <w:lang w:val="en-US"/>
        </w:rPr>
        <w:footnoteReference w:id="2"/>
      </w:r>
      <w:r w:rsidR="00B94180" w:rsidRPr="008C2A1A">
        <w:rPr>
          <w:rFonts w:ascii="Garamond" w:hAnsi="Garamond"/>
          <w:color w:val="000000" w:themeColor="text1"/>
          <w:lang w:val="en-US"/>
        </w:rPr>
        <w:t xml:space="preserve"> At the other side of the market, labor income taxes and social security contributions make labor relatively more expensive for employers than other production factors, reducing the demand for domestic labor. At the one hand, the high relative price of labor compared to capital causes employers to opt for machines and automation to reduce labor, even if such substitution would be inefficient in the absence of labor taxes. At the other hand, the high relative price of domestic labor compared to foreign labor encourages firms to move labor intensive activities to countries with cheaper labor, and makes it more difficult for domestic firms to attract internationally mobile talented workers.</w:t>
      </w:r>
      <w:r w:rsidR="00B94180" w:rsidRPr="008C2A1A">
        <w:rPr>
          <w:rStyle w:val="Voetnootmarkering"/>
          <w:rFonts w:ascii="Garamond" w:hAnsi="Garamond"/>
          <w:color w:val="000000" w:themeColor="text1"/>
          <w:lang w:val="en-US"/>
        </w:rPr>
        <w:footnoteReference w:id="3"/>
      </w:r>
      <w:r w:rsidR="00B94180" w:rsidRPr="008C2A1A">
        <w:rPr>
          <w:rFonts w:ascii="Garamond" w:hAnsi="Garamond"/>
          <w:color w:val="000000" w:themeColor="text1"/>
          <w:lang w:val="en-US"/>
        </w:rPr>
        <w:t xml:space="preserve"> </w:t>
      </w:r>
    </w:p>
    <w:p w14:paraId="44752B31" w14:textId="77777777" w:rsidR="00B94180" w:rsidRPr="008C2A1A" w:rsidRDefault="00B94180" w:rsidP="00D317D8">
      <w:pPr>
        <w:jc w:val="both"/>
        <w:rPr>
          <w:rFonts w:ascii="Garamond" w:hAnsi="Garamond"/>
          <w:color w:val="000000" w:themeColor="text1"/>
          <w:lang w:val="en-US"/>
        </w:rPr>
      </w:pPr>
    </w:p>
    <w:p w14:paraId="5E06DD27" w14:textId="05107CC0" w:rsidR="00B94180" w:rsidRPr="008C2A1A" w:rsidRDefault="00B94180" w:rsidP="00D317D8">
      <w:pPr>
        <w:jc w:val="both"/>
        <w:rPr>
          <w:rFonts w:ascii="Garamond" w:hAnsi="Garamond"/>
          <w:color w:val="000000" w:themeColor="text1"/>
          <w:lang w:val="en-US"/>
        </w:rPr>
      </w:pPr>
      <w:r w:rsidRPr="008C2A1A">
        <w:rPr>
          <w:rFonts w:ascii="Garamond" w:hAnsi="Garamond"/>
          <w:color w:val="000000" w:themeColor="text1"/>
          <w:lang w:val="en-US"/>
        </w:rPr>
        <w:t xml:space="preserve">The favorable fiscal treatment of company cars is substantial in most OECD countries, and Belgium is certainly not an exception. Copenhagen Economics (2010) estimates that in Belgium for the year 2008, company car users had to pay on average between and 30% and 40% less for their car use than if they had to pay it themselves (compared to an EU average between 22% and 27%). Harding (2014) estimates that only between 44% and 58% of the total taxable benefit from a company car use is actually taxed in the OECD countries. For 29 OECD countries, this results in an average subsidy for company cars of about 1600€ per year. This implicit subsidy to car use causes consumers to adapt their behavior. Van Ommeren and </w:t>
      </w:r>
      <w:proofErr w:type="spellStart"/>
      <w:r w:rsidRPr="008C2A1A">
        <w:rPr>
          <w:rFonts w:ascii="Garamond" w:hAnsi="Garamond"/>
          <w:bCs/>
          <w:color w:val="000000" w:themeColor="text1"/>
          <w:lang w:val="en-US"/>
        </w:rPr>
        <w:t>Gutiérrez-i-Puigarnau</w:t>
      </w:r>
      <w:proofErr w:type="spellEnd"/>
      <w:r w:rsidRPr="008C2A1A">
        <w:rPr>
          <w:rFonts w:ascii="Garamond" w:hAnsi="Garamond"/>
          <w:bCs/>
          <w:color w:val="000000" w:themeColor="text1"/>
          <w:lang w:val="en-US"/>
        </w:rPr>
        <w:t xml:space="preserve"> (2013) estimate that the fiscal treatment of company cars in the Netherlands increases car ownership for about 20% of households, whereas </w:t>
      </w:r>
      <w:proofErr w:type="spellStart"/>
      <w:r w:rsidRPr="008C2A1A">
        <w:rPr>
          <w:rFonts w:ascii="Garamond" w:hAnsi="Garamond"/>
          <w:bCs/>
          <w:color w:val="000000" w:themeColor="text1"/>
          <w:lang w:val="en-US"/>
        </w:rPr>
        <w:t>Gutiérrez-i-Puigarnau</w:t>
      </w:r>
      <w:proofErr w:type="spellEnd"/>
      <w:r w:rsidRPr="008C2A1A">
        <w:rPr>
          <w:rFonts w:ascii="Garamond" w:hAnsi="Garamond"/>
          <w:bCs/>
          <w:color w:val="000000" w:themeColor="text1"/>
          <w:lang w:val="en-US"/>
        </w:rPr>
        <w:t xml:space="preserve"> and </w:t>
      </w:r>
      <w:r w:rsidRPr="008C2A1A">
        <w:rPr>
          <w:rFonts w:ascii="Garamond" w:hAnsi="Garamond"/>
          <w:color w:val="000000" w:themeColor="text1"/>
          <w:lang w:val="en-US"/>
        </w:rPr>
        <w:t xml:space="preserve">Van Ommeren </w:t>
      </w:r>
      <w:r w:rsidRPr="008C2A1A">
        <w:rPr>
          <w:rFonts w:ascii="Garamond" w:hAnsi="Garamond"/>
          <w:bCs/>
          <w:color w:val="000000" w:themeColor="text1"/>
          <w:lang w:val="en-US"/>
        </w:rPr>
        <w:t>(2011)</w:t>
      </w:r>
      <w:r w:rsidRPr="008C2A1A">
        <w:rPr>
          <w:rFonts w:ascii="Garamond" w:hAnsi="Garamond"/>
          <w:color w:val="000000" w:themeColor="text1"/>
          <w:lang w:val="en-US"/>
        </w:rPr>
        <w:t xml:space="preserve"> find that it explains a substantial part of the higher price and size of the car fleet. Laine and Van </w:t>
      </w:r>
      <w:proofErr w:type="spellStart"/>
      <w:r w:rsidRPr="008C2A1A">
        <w:rPr>
          <w:rFonts w:ascii="Garamond" w:hAnsi="Garamond"/>
          <w:color w:val="000000" w:themeColor="text1"/>
          <w:lang w:val="en-US"/>
        </w:rPr>
        <w:t>Steenberghen</w:t>
      </w:r>
      <w:proofErr w:type="spellEnd"/>
      <w:r w:rsidRPr="008C2A1A">
        <w:rPr>
          <w:rFonts w:ascii="Garamond" w:hAnsi="Garamond"/>
          <w:color w:val="000000" w:themeColor="text1"/>
          <w:lang w:val="en-US"/>
        </w:rPr>
        <w:t xml:space="preserve"> (2016) find similar effects for Belgium. </w:t>
      </w:r>
    </w:p>
    <w:p w14:paraId="485EFFA7" w14:textId="77777777" w:rsidR="00B94180" w:rsidRPr="008C2A1A" w:rsidRDefault="00B94180" w:rsidP="00D317D8">
      <w:pPr>
        <w:jc w:val="both"/>
        <w:rPr>
          <w:rFonts w:ascii="Garamond" w:hAnsi="Garamond"/>
          <w:color w:val="000000" w:themeColor="text1"/>
          <w:lang w:val="en-US"/>
        </w:rPr>
      </w:pPr>
    </w:p>
    <w:p w14:paraId="7F828560" w14:textId="027FB83C" w:rsidR="00B94180" w:rsidRPr="008C2A1A" w:rsidRDefault="00B94180" w:rsidP="00D317D8">
      <w:pPr>
        <w:jc w:val="both"/>
        <w:rPr>
          <w:rFonts w:ascii="Garamond" w:hAnsi="Garamond"/>
          <w:color w:val="000000" w:themeColor="text1"/>
          <w:lang w:val="en-US"/>
        </w:rPr>
      </w:pPr>
      <w:r w:rsidRPr="008C2A1A">
        <w:rPr>
          <w:rFonts w:ascii="Garamond" w:hAnsi="Garamond"/>
          <w:color w:val="000000" w:themeColor="text1"/>
          <w:lang w:val="en-US"/>
        </w:rPr>
        <w:t xml:space="preserve">In some cases, it is desirable that taxes change the prices of goods or services. This is in particular the case if the consumption or production of certain goods or services cause </w:t>
      </w:r>
      <w:r w:rsidRPr="008C2A1A">
        <w:rPr>
          <w:rFonts w:ascii="Garamond" w:hAnsi="Garamond"/>
          <w:b/>
          <w:color w:val="000000" w:themeColor="text1"/>
          <w:lang w:val="en-US"/>
        </w:rPr>
        <w:t>external effects</w:t>
      </w:r>
      <w:r w:rsidRPr="008C2A1A">
        <w:rPr>
          <w:rFonts w:ascii="Garamond" w:hAnsi="Garamond"/>
          <w:color w:val="000000" w:themeColor="text1"/>
          <w:lang w:val="en-US"/>
        </w:rPr>
        <w:t xml:space="preserve">. Externalities or external effects are unwanted side-effects of economic decisions. The external costs associated to car use include congestion costs, air pollution, noise pollution, effects on climate change, an increased risk of traffic accidents for other users of transport, wear and tear of the transport infrastructure, etc. Calculating these external costs and expressing them in monetary terms is </w:t>
      </w:r>
      <w:r w:rsidR="00ED3DAF" w:rsidRPr="008C2A1A">
        <w:rPr>
          <w:rFonts w:ascii="Garamond" w:hAnsi="Garamond"/>
          <w:color w:val="000000" w:themeColor="text1"/>
          <w:lang w:val="en-US"/>
        </w:rPr>
        <w:t xml:space="preserve">illustrated for the environmental effects by </w:t>
      </w:r>
      <w:proofErr w:type="spellStart"/>
      <w:r w:rsidR="00ED3DAF" w:rsidRPr="008C2A1A">
        <w:rPr>
          <w:rFonts w:ascii="Garamond" w:hAnsi="Garamond"/>
          <w:color w:val="000000" w:themeColor="text1"/>
          <w:lang w:val="en-US"/>
        </w:rPr>
        <w:t>Ermans</w:t>
      </w:r>
      <w:proofErr w:type="spellEnd"/>
      <w:r w:rsidR="00ED3DAF" w:rsidRPr="008C2A1A">
        <w:rPr>
          <w:rFonts w:ascii="Garamond" w:hAnsi="Garamond"/>
          <w:color w:val="000000" w:themeColor="text1"/>
          <w:lang w:val="en-US"/>
        </w:rPr>
        <w:t xml:space="preserve">, </w:t>
      </w:r>
      <w:proofErr w:type="spellStart"/>
      <w:r w:rsidR="00ED3DAF" w:rsidRPr="008C2A1A">
        <w:rPr>
          <w:rFonts w:ascii="Garamond" w:hAnsi="Garamond"/>
          <w:color w:val="000000" w:themeColor="text1"/>
          <w:lang w:val="en-US"/>
        </w:rPr>
        <w:t>Hooftman</w:t>
      </w:r>
      <w:proofErr w:type="spellEnd"/>
      <w:r w:rsidR="00ED3DAF" w:rsidRPr="008C2A1A">
        <w:rPr>
          <w:rFonts w:ascii="Garamond" w:hAnsi="Garamond"/>
          <w:color w:val="000000" w:themeColor="text1"/>
          <w:lang w:val="en-US"/>
        </w:rPr>
        <w:t xml:space="preserve"> and May in</w:t>
      </w:r>
      <w:r w:rsidRPr="008C2A1A">
        <w:rPr>
          <w:rFonts w:ascii="Garamond" w:hAnsi="Garamond"/>
          <w:color w:val="000000" w:themeColor="text1"/>
          <w:lang w:val="en-US"/>
        </w:rPr>
        <w:t xml:space="preserve"> chapter</w:t>
      </w:r>
      <w:r w:rsidR="00ED3DAF" w:rsidRPr="008C2A1A">
        <w:rPr>
          <w:rFonts w:ascii="Garamond" w:hAnsi="Garamond"/>
          <w:color w:val="000000" w:themeColor="text1"/>
          <w:lang w:val="en-US"/>
        </w:rPr>
        <w:t xml:space="preserve"> 4</w:t>
      </w:r>
      <w:r w:rsidRPr="008C2A1A">
        <w:rPr>
          <w:rFonts w:ascii="Garamond" w:hAnsi="Garamond"/>
          <w:color w:val="000000" w:themeColor="text1"/>
          <w:lang w:val="en-US"/>
        </w:rPr>
        <w:t xml:space="preserve"> of this book. Monetarizing all these external costs can be a tedious exercise, but for practical purposes we can rely on the guidance of the European Handbook of External Costs (Ricardo-AEA, 2014). De Borger and </w:t>
      </w:r>
      <w:proofErr w:type="spellStart"/>
      <w:r w:rsidRPr="008C2A1A">
        <w:rPr>
          <w:rFonts w:ascii="Garamond" w:hAnsi="Garamond"/>
          <w:color w:val="000000" w:themeColor="text1"/>
          <w:lang w:val="en-US"/>
        </w:rPr>
        <w:t>Proost</w:t>
      </w:r>
      <w:proofErr w:type="spellEnd"/>
      <w:r w:rsidRPr="008C2A1A">
        <w:rPr>
          <w:rFonts w:ascii="Garamond" w:hAnsi="Garamond"/>
          <w:color w:val="000000" w:themeColor="text1"/>
          <w:lang w:val="en-US"/>
        </w:rPr>
        <w:t xml:space="preserve"> (2017) estimate the marginal external costs of road transport in Belgium, presented in a simplified form in Table 1. </w:t>
      </w:r>
    </w:p>
    <w:p w14:paraId="4D43C0AA" w14:textId="77777777" w:rsidR="00B94180" w:rsidRPr="008C2A1A" w:rsidRDefault="00B94180" w:rsidP="00D317D8">
      <w:pPr>
        <w:jc w:val="both"/>
        <w:rPr>
          <w:rFonts w:ascii="Garamond" w:hAnsi="Garamond"/>
          <w:color w:val="000000" w:themeColor="text1"/>
          <w:lang w:val="en-US"/>
        </w:rPr>
      </w:pPr>
    </w:p>
    <w:p w14:paraId="37B34075" w14:textId="4DBF2F05" w:rsidR="00582E3E" w:rsidRPr="008C2A1A" w:rsidRDefault="00582E3E" w:rsidP="00582E3E">
      <w:pPr>
        <w:pStyle w:val="Bijschrift"/>
        <w:keepNext/>
        <w:rPr>
          <w:color w:val="000000" w:themeColor="text1"/>
          <w:lang w:val="en-US"/>
        </w:rPr>
      </w:pPr>
      <w:r w:rsidRPr="008C2A1A">
        <w:rPr>
          <w:color w:val="000000" w:themeColor="text1"/>
          <w:lang w:val="en-US"/>
        </w:rPr>
        <w:lastRenderedPageBreak/>
        <w:t xml:space="preserve">Table </w:t>
      </w:r>
      <w:r w:rsidRPr="008C2A1A">
        <w:rPr>
          <w:color w:val="000000" w:themeColor="text1"/>
        </w:rPr>
        <w:fldChar w:fldCharType="begin"/>
      </w:r>
      <w:r w:rsidRPr="008C2A1A">
        <w:rPr>
          <w:color w:val="000000" w:themeColor="text1"/>
          <w:lang w:val="en-US"/>
        </w:rPr>
        <w:instrText xml:space="preserve"> SEQ Table \* ARABIC </w:instrText>
      </w:r>
      <w:r w:rsidRPr="008C2A1A">
        <w:rPr>
          <w:color w:val="000000" w:themeColor="text1"/>
        </w:rPr>
        <w:fldChar w:fldCharType="separate"/>
      </w:r>
      <w:r w:rsidR="002D6EB7">
        <w:rPr>
          <w:noProof/>
          <w:color w:val="000000" w:themeColor="text1"/>
          <w:lang w:val="en-US"/>
        </w:rPr>
        <w:t>1</w:t>
      </w:r>
      <w:r w:rsidRPr="008C2A1A">
        <w:rPr>
          <w:color w:val="000000" w:themeColor="text1"/>
        </w:rPr>
        <w:fldChar w:fldCharType="end"/>
      </w:r>
      <w:r w:rsidRPr="008C2A1A">
        <w:rPr>
          <w:color w:val="000000" w:themeColor="text1"/>
          <w:lang w:val="en-US"/>
        </w:rPr>
        <w:t xml:space="preserve">: Relative importance of different modes and external cost estimates (De Borger &amp; </w:t>
      </w:r>
      <w:proofErr w:type="spellStart"/>
      <w:r w:rsidRPr="008C2A1A">
        <w:rPr>
          <w:color w:val="000000" w:themeColor="text1"/>
          <w:lang w:val="en-US"/>
        </w:rPr>
        <w:t>Proost</w:t>
      </w:r>
      <w:proofErr w:type="spellEnd"/>
      <w:r w:rsidRPr="008C2A1A">
        <w:rPr>
          <w:color w:val="000000" w:themeColor="text1"/>
          <w:lang w:val="en-US"/>
        </w:rPr>
        <w:t>, 2015), in eurocent per vehicle-kilometer (€</w:t>
      </w:r>
      <w:proofErr w:type="spellStart"/>
      <w:r w:rsidRPr="008C2A1A">
        <w:rPr>
          <w:color w:val="000000" w:themeColor="text1"/>
          <w:lang w:val="en-US"/>
        </w:rPr>
        <w:t>ct</w:t>
      </w:r>
      <w:proofErr w:type="spellEnd"/>
      <w:r w:rsidRPr="008C2A1A">
        <w:rPr>
          <w:color w:val="000000" w:themeColor="text1"/>
          <w:lang w:val="en-US"/>
        </w:rPr>
        <w:t>/</w:t>
      </w:r>
      <w:proofErr w:type="spellStart"/>
      <w:r w:rsidRPr="008C2A1A">
        <w:rPr>
          <w:color w:val="000000" w:themeColor="text1"/>
          <w:lang w:val="en-US"/>
        </w:rPr>
        <w:t>vkm</w:t>
      </w:r>
      <w:proofErr w:type="spellEnd"/>
      <w:r w:rsidRPr="008C2A1A">
        <w:rPr>
          <w:color w:val="000000" w:themeColor="text1"/>
          <w:lang w:val="en-US"/>
        </w:rPr>
        <w:t>)</w:t>
      </w:r>
    </w:p>
    <w:tbl>
      <w:tblPr>
        <w:tblStyle w:val="Tabelraster"/>
        <w:tblW w:w="0" w:type="auto"/>
        <w:tblLook w:val="04A0" w:firstRow="1" w:lastRow="0" w:firstColumn="1" w:lastColumn="0" w:noHBand="0" w:noVBand="1"/>
      </w:tblPr>
      <w:tblGrid>
        <w:gridCol w:w="1811"/>
        <w:gridCol w:w="1811"/>
        <w:gridCol w:w="1811"/>
        <w:gridCol w:w="1811"/>
      </w:tblGrid>
      <w:tr w:rsidR="008C2A1A" w:rsidRPr="008C2A1A" w14:paraId="46283B0E" w14:textId="77777777" w:rsidTr="005D1A69">
        <w:tc>
          <w:tcPr>
            <w:tcW w:w="1811" w:type="dxa"/>
          </w:tcPr>
          <w:p w14:paraId="32066BF3" w14:textId="77777777" w:rsidR="00B94180" w:rsidRPr="008C2A1A" w:rsidRDefault="00B94180" w:rsidP="005D1A69">
            <w:pPr>
              <w:jc w:val="both"/>
              <w:rPr>
                <w:rFonts w:ascii="Garamond" w:hAnsi="Garamond"/>
                <w:color w:val="000000" w:themeColor="text1"/>
                <w:sz w:val="22"/>
                <w:szCs w:val="22"/>
                <w:lang w:val="en-US"/>
              </w:rPr>
            </w:pPr>
          </w:p>
        </w:tc>
        <w:tc>
          <w:tcPr>
            <w:tcW w:w="3622" w:type="dxa"/>
            <w:gridSpan w:val="2"/>
          </w:tcPr>
          <w:p w14:paraId="3B680538" w14:textId="77777777" w:rsidR="00B94180" w:rsidRPr="008C2A1A" w:rsidRDefault="00B94180" w:rsidP="005D1A69">
            <w:pPr>
              <w:jc w:val="both"/>
              <w:rPr>
                <w:rFonts w:ascii="Garamond" w:hAnsi="Garamond"/>
                <w:color w:val="000000" w:themeColor="text1"/>
                <w:sz w:val="22"/>
                <w:szCs w:val="22"/>
                <w:lang w:val="en-US"/>
              </w:rPr>
            </w:pPr>
            <w:r w:rsidRPr="008C2A1A">
              <w:rPr>
                <w:rFonts w:ascii="Garamond" w:hAnsi="Garamond"/>
                <w:color w:val="000000" w:themeColor="text1"/>
                <w:sz w:val="22"/>
                <w:szCs w:val="22"/>
                <w:lang w:val="en-US"/>
              </w:rPr>
              <w:t>Urban (20%)</w:t>
            </w:r>
          </w:p>
        </w:tc>
        <w:tc>
          <w:tcPr>
            <w:tcW w:w="1811" w:type="dxa"/>
          </w:tcPr>
          <w:p w14:paraId="209D1B2C" w14:textId="77777777" w:rsidR="00B94180" w:rsidRPr="008C2A1A" w:rsidRDefault="00B94180" w:rsidP="005D1A69">
            <w:pPr>
              <w:jc w:val="both"/>
              <w:rPr>
                <w:rFonts w:ascii="Garamond" w:hAnsi="Garamond"/>
                <w:color w:val="000000" w:themeColor="text1"/>
                <w:sz w:val="22"/>
                <w:szCs w:val="22"/>
                <w:lang w:val="en-US"/>
              </w:rPr>
            </w:pPr>
            <w:r w:rsidRPr="008C2A1A">
              <w:rPr>
                <w:rFonts w:ascii="Garamond" w:hAnsi="Garamond"/>
                <w:color w:val="000000" w:themeColor="text1"/>
                <w:sz w:val="22"/>
                <w:szCs w:val="22"/>
                <w:lang w:val="en-US"/>
              </w:rPr>
              <w:t>Medium and long distance (80%)</w:t>
            </w:r>
          </w:p>
        </w:tc>
      </w:tr>
      <w:tr w:rsidR="008C2A1A" w:rsidRPr="008C2A1A" w14:paraId="3BE5AC7F" w14:textId="77777777" w:rsidTr="005D1A69">
        <w:tc>
          <w:tcPr>
            <w:tcW w:w="1811" w:type="dxa"/>
          </w:tcPr>
          <w:p w14:paraId="106E5A49" w14:textId="77777777" w:rsidR="00B94180" w:rsidRPr="008C2A1A" w:rsidRDefault="00B94180" w:rsidP="005D1A69">
            <w:pPr>
              <w:jc w:val="both"/>
              <w:rPr>
                <w:rFonts w:ascii="Garamond" w:hAnsi="Garamond"/>
                <w:color w:val="000000" w:themeColor="text1"/>
                <w:sz w:val="22"/>
                <w:szCs w:val="22"/>
                <w:lang w:val="en-US"/>
              </w:rPr>
            </w:pPr>
          </w:p>
        </w:tc>
        <w:tc>
          <w:tcPr>
            <w:tcW w:w="1811" w:type="dxa"/>
          </w:tcPr>
          <w:p w14:paraId="748A5FF5" w14:textId="77777777" w:rsidR="00B94180" w:rsidRPr="008C2A1A" w:rsidRDefault="00B94180" w:rsidP="005D1A69">
            <w:pPr>
              <w:jc w:val="both"/>
              <w:rPr>
                <w:rFonts w:ascii="Garamond" w:hAnsi="Garamond"/>
                <w:color w:val="000000" w:themeColor="text1"/>
                <w:sz w:val="22"/>
                <w:szCs w:val="22"/>
                <w:lang w:val="en-US"/>
              </w:rPr>
            </w:pPr>
            <w:r w:rsidRPr="008C2A1A">
              <w:rPr>
                <w:rFonts w:ascii="Garamond" w:hAnsi="Garamond"/>
                <w:color w:val="000000" w:themeColor="text1"/>
                <w:sz w:val="22"/>
                <w:szCs w:val="22"/>
                <w:lang w:val="en-US"/>
              </w:rPr>
              <w:t>Car (70%)</w:t>
            </w:r>
          </w:p>
        </w:tc>
        <w:tc>
          <w:tcPr>
            <w:tcW w:w="1811" w:type="dxa"/>
          </w:tcPr>
          <w:p w14:paraId="7B90381B" w14:textId="77777777" w:rsidR="00B94180" w:rsidRPr="008C2A1A" w:rsidRDefault="00B94180" w:rsidP="005D1A69">
            <w:pPr>
              <w:jc w:val="both"/>
              <w:rPr>
                <w:rFonts w:ascii="Garamond" w:hAnsi="Garamond"/>
                <w:color w:val="000000" w:themeColor="text1"/>
                <w:sz w:val="22"/>
                <w:szCs w:val="22"/>
                <w:lang w:val="en-US"/>
              </w:rPr>
            </w:pPr>
            <w:r w:rsidRPr="008C2A1A">
              <w:rPr>
                <w:rFonts w:ascii="Garamond" w:hAnsi="Garamond"/>
                <w:color w:val="000000" w:themeColor="text1"/>
                <w:sz w:val="22"/>
                <w:szCs w:val="22"/>
                <w:lang w:val="en-US"/>
              </w:rPr>
              <w:t>Bus &amp; other (30%)</w:t>
            </w:r>
          </w:p>
        </w:tc>
        <w:tc>
          <w:tcPr>
            <w:tcW w:w="1811" w:type="dxa"/>
          </w:tcPr>
          <w:p w14:paraId="66C5589F" w14:textId="77777777" w:rsidR="00B94180" w:rsidRPr="008C2A1A" w:rsidRDefault="00B94180" w:rsidP="005D1A69">
            <w:pPr>
              <w:jc w:val="both"/>
              <w:rPr>
                <w:rFonts w:ascii="Garamond" w:hAnsi="Garamond"/>
                <w:color w:val="000000" w:themeColor="text1"/>
                <w:sz w:val="22"/>
                <w:szCs w:val="22"/>
                <w:lang w:val="en-US"/>
              </w:rPr>
            </w:pPr>
            <w:r w:rsidRPr="008C2A1A">
              <w:rPr>
                <w:rFonts w:ascii="Garamond" w:hAnsi="Garamond"/>
                <w:color w:val="000000" w:themeColor="text1"/>
                <w:sz w:val="22"/>
                <w:szCs w:val="22"/>
                <w:lang w:val="en-US"/>
              </w:rPr>
              <w:t>Car (80%)</w:t>
            </w:r>
          </w:p>
        </w:tc>
      </w:tr>
      <w:tr w:rsidR="008C2A1A" w:rsidRPr="008C2A1A" w14:paraId="1245D1DC" w14:textId="77777777" w:rsidTr="005D1A69">
        <w:tc>
          <w:tcPr>
            <w:tcW w:w="1811" w:type="dxa"/>
          </w:tcPr>
          <w:p w14:paraId="75174AB7" w14:textId="77777777" w:rsidR="00B94180" w:rsidRPr="008C2A1A" w:rsidRDefault="00B94180" w:rsidP="005D1A69">
            <w:pPr>
              <w:jc w:val="both"/>
              <w:rPr>
                <w:rFonts w:ascii="Garamond" w:hAnsi="Garamond"/>
                <w:color w:val="000000" w:themeColor="text1"/>
                <w:sz w:val="22"/>
                <w:szCs w:val="22"/>
                <w:lang w:val="en-US"/>
              </w:rPr>
            </w:pPr>
            <w:r w:rsidRPr="008C2A1A">
              <w:rPr>
                <w:rFonts w:ascii="Garamond" w:hAnsi="Garamond"/>
                <w:color w:val="000000" w:themeColor="text1"/>
                <w:sz w:val="22"/>
                <w:szCs w:val="22"/>
                <w:lang w:val="en-US"/>
              </w:rPr>
              <w:t>Climate cost</w:t>
            </w:r>
          </w:p>
        </w:tc>
        <w:tc>
          <w:tcPr>
            <w:tcW w:w="1811" w:type="dxa"/>
          </w:tcPr>
          <w:p w14:paraId="199A52BB" w14:textId="77777777" w:rsidR="00B94180" w:rsidRPr="008C2A1A" w:rsidRDefault="00B94180" w:rsidP="005D1A69">
            <w:pPr>
              <w:jc w:val="both"/>
              <w:rPr>
                <w:rFonts w:ascii="Garamond" w:hAnsi="Garamond"/>
                <w:color w:val="000000" w:themeColor="text1"/>
                <w:sz w:val="22"/>
                <w:szCs w:val="22"/>
                <w:lang w:val="en-US"/>
              </w:rPr>
            </w:pPr>
            <w:r w:rsidRPr="008C2A1A">
              <w:rPr>
                <w:rFonts w:ascii="Garamond" w:hAnsi="Garamond"/>
                <w:color w:val="000000" w:themeColor="text1"/>
                <w:sz w:val="22"/>
                <w:szCs w:val="22"/>
                <w:lang w:val="en-US"/>
              </w:rPr>
              <w:t>0.8</w:t>
            </w:r>
          </w:p>
        </w:tc>
        <w:tc>
          <w:tcPr>
            <w:tcW w:w="1811" w:type="dxa"/>
          </w:tcPr>
          <w:p w14:paraId="50649A56" w14:textId="77777777" w:rsidR="00B94180" w:rsidRPr="008C2A1A" w:rsidRDefault="00B94180" w:rsidP="005D1A69">
            <w:pPr>
              <w:jc w:val="both"/>
              <w:rPr>
                <w:rFonts w:ascii="Garamond" w:hAnsi="Garamond"/>
                <w:color w:val="000000" w:themeColor="text1"/>
                <w:sz w:val="22"/>
                <w:szCs w:val="22"/>
                <w:lang w:val="en-US"/>
              </w:rPr>
            </w:pPr>
            <w:r w:rsidRPr="008C2A1A">
              <w:rPr>
                <w:rFonts w:ascii="Garamond" w:hAnsi="Garamond"/>
                <w:color w:val="000000" w:themeColor="text1"/>
                <w:sz w:val="22"/>
                <w:szCs w:val="22"/>
                <w:lang w:val="en-US"/>
              </w:rPr>
              <w:t>2.1 (bus)</w:t>
            </w:r>
          </w:p>
        </w:tc>
        <w:tc>
          <w:tcPr>
            <w:tcW w:w="1811" w:type="dxa"/>
          </w:tcPr>
          <w:p w14:paraId="3E81BD3E" w14:textId="77777777" w:rsidR="00B94180" w:rsidRPr="008C2A1A" w:rsidRDefault="00B94180" w:rsidP="005D1A69">
            <w:pPr>
              <w:jc w:val="both"/>
              <w:rPr>
                <w:rFonts w:ascii="Garamond" w:hAnsi="Garamond"/>
                <w:color w:val="000000" w:themeColor="text1"/>
                <w:sz w:val="22"/>
                <w:szCs w:val="22"/>
                <w:lang w:val="en-US"/>
              </w:rPr>
            </w:pPr>
            <w:r w:rsidRPr="008C2A1A">
              <w:rPr>
                <w:rFonts w:ascii="Garamond" w:hAnsi="Garamond"/>
                <w:color w:val="000000" w:themeColor="text1"/>
                <w:sz w:val="22"/>
                <w:szCs w:val="22"/>
                <w:lang w:val="en-US"/>
              </w:rPr>
              <w:t>0.5</w:t>
            </w:r>
          </w:p>
        </w:tc>
      </w:tr>
      <w:tr w:rsidR="008C2A1A" w:rsidRPr="008C2A1A" w14:paraId="34F90E7D" w14:textId="77777777" w:rsidTr="005D1A69">
        <w:tc>
          <w:tcPr>
            <w:tcW w:w="1811" w:type="dxa"/>
          </w:tcPr>
          <w:p w14:paraId="1B90B2B3" w14:textId="77777777" w:rsidR="00B94180" w:rsidRPr="008C2A1A" w:rsidRDefault="00B94180" w:rsidP="005D1A69">
            <w:pPr>
              <w:jc w:val="both"/>
              <w:rPr>
                <w:rFonts w:ascii="Garamond" w:hAnsi="Garamond"/>
                <w:color w:val="000000" w:themeColor="text1"/>
                <w:sz w:val="22"/>
                <w:szCs w:val="22"/>
                <w:lang w:val="en-US"/>
              </w:rPr>
            </w:pPr>
            <w:r w:rsidRPr="008C2A1A">
              <w:rPr>
                <w:rFonts w:ascii="Garamond" w:hAnsi="Garamond"/>
                <w:color w:val="000000" w:themeColor="text1"/>
                <w:sz w:val="22"/>
                <w:szCs w:val="22"/>
                <w:lang w:val="en-US"/>
              </w:rPr>
              <w:t>Air pollution and noise cost</w:t>
            </w:r>
          </w:p>
        </w:tc>
        <w:tc>
          <w:tcPr>
            <w:tcW w:w="1811" w:type="dxa"/>
          </w:tcPr>
          <w:p w14:paraId="19244556" w14:textId="77777777" w:rsidR="00B94180" w:rsidRPr="008C2A1A" w:rsidRDefault="00B94180" w:rsidP="005D1A69">
            <w:pPr>
              <w:jc w:val="both"/>
              <w:rPr>
                <w:rFonts w:ascii="Garamond" w:hAnsi="Garamond"/>
                <w:color w:val="000000" w:themeColor="text1"/>
                <w:sz w:val="22"/>
                <w:szCs w:val="22"/>
                <w:lang w:val="en-US"/>
              </w:rPr>
            </w:pPr>
            <w:r w:rsidRPr="008C2A1A">
              <w:rPr>
                <w:rFonts w:ascii="Garamond" w:hAnsi="Garamond"/>
                <w:color w:val="000000" w:themeColor="text1"/>
                <w:sz w:val="22"/>
                <w:szCs w:val="22"/>
                <w:lang w:val="en-US"/>
              </w:rPr>
              <w:t>4.3</w:t>
            </w:r>
          </w:p>
        </w:tc>
        <w:tc>
          <w:tcPr>
            <w:tcW w:w="1811" w:type="dxa"/>
          </w:tcPr>
          <w:p w14:paraId="1F84B296" w14:textId="77777777" w:rsidR="00B94180" w:rsidRPr="008C2A1A" w:rsidRDefault="00B94180" w:rsidP="005D1A69">
            <w:pPr>
              <w:jc w:val="both"/>
              <w:rPr>
                <w:rFonts w:ascii="Garamond" w:hAnsi="Garamond"/>
                <w:color w:val="000000" w:themeColor="text1"/>
                <w:sz w:val="22"/>
                <w:szCs w:val="22"/>
                <w:lang w:val="en-US"/>
              </w:rPr>
            </w:pPr>
            <w:r w:rsidRPr="008C2A1A">
              <w:rPr>
                <w:rFonts w:ascii="Garamond" w:hAnsi="Garamond"/>
                <w:color w:val="000000" w:themeColor="text1"/>
                <w:sz w:val="22"/>
                <w:szCs w:val="22"/>
                <w:lang w:val="en-US"/>
              </w:rPr>
              <w:t>21.4 (bus)</w:t>
            </w:r>
          </w:p>
        </w:tc>
        <w:tc>
          <w:tcPr>
            <w:tcW w:w="1811" w:type="dxa"/>
          </w:tcPr>
          <w:p w14:paraId="40C3DCC3" w14:textId="77777777" w:rsidR="00B94180" w:rsidRPr="008C2A1A" w:rsidRDefault="00B94180" w:rsidP="005D1A69">
            <w:pPr>
              <w:jc w:val="both"/>
              <w:rPr>
                <w:rFonts w:ascii="Garamond" w:hAnsi="Garamond"/>
                <w:color w:val="000000" w:themeColor="text1"/>
                <w:sz w:val="22"/>
                <w:szCs w:val="22"/>
                <w:lang w:val="en-US"/>
              </w:rPr>
            </w:pPr>
            <w:r w:rsidRPr="008C2A1A">
              <w:rPr>
                <w:rFonts w:ascii="Garamond" w:hAnsi="Garamond"/>
                <w:color w:val="000000" w:themeColor="text1"/>
                <w:sz w:val="22"/>
                <w:szCs w:val="22"/>
                <w:lang w:val="en-US"/>
              </w:rPr>
              <w:t>0.1</w:t>
            </w:r>
          </w:p>
        </w:tc>
      </w:tr>
      <w:tr w:rsidR="008C2A1A" w:rsidRPr="008C2A1A" w14:paraId="3774A95A" w14:textId="77777777" w:rsidTr="005D1A69">
        <w:tc>
          <w:tcPr>
            <w:tcW w:w="1811" w:type="dxa"/>
          </w:tcPr>
          <w:p w14:paraId="51ADAF98" w14:textId="77777777" w:rsidR="00B94180" w:rsidRPr="008C2A1A" w:rsidRDefault="00B94180" w:rsidP="005D1A69">
            <w:pPr>
              <w:jc w:val="both"/>
              <w:rPr>
                <w:rFonts w:ascii="Garamond" w:hAnsi="Garamond"/>
                <w:color w:val="000000" w:themeColor="text1"/>
                <w:sz w:val="22"/>
                <w:szCs w:val="22"/>
                <w:lang w:val="en-US"/>
              </w:rPr>
            </w:pPr>
            <w:r w:rsidRPr="008C2A1A">
              <w:rPr>
                <w:rFonts w:ascii="Garamond" w:hAnsi="Garamond"/>
                <w:color w:val="000000" w:themeColor="text1"/>
                <w:sz w:val="22"/>
                <w:szCs w:val="22"/>
                <w:lang w:val="en-US"/>
              </w:rPr>
              <w:t>External accident cost</w:t>
            </w:r>
          </w:p>
        </w:tc>
        <w:tc>
          <w:tcPr>
            <w:tcW w:w="1811" w:type="dxa"/>
          </w:tcPr>
          <w:p w14:paraId="0F36406D" w14:textId="77777777" w:rsidR="00B94180" w:rsidRPr="008C2A1A" w:rsidRDefault="00B94180" w:rsidP="005D1A69">
            <w:pPr>
              <w:jc w:val="both"/>
              <w:rPr>
                <w:rFonts w:ascii="Garamond" w:hAnsi="Garamond"/>
                <w:color w:val="000000" w:themeColor="text1"/>
                <w:sz w:val="22"/>
                <w:szCs w:val="22"/>
                <w:lang w:val="en-US"/>
              </w:rPr>
            </w:pPr>
            <w:r w:rsidRPr="008C2A1A">
              <w:rPr>
                <w:rFonts w:ascii="Garamond" w:hAnsi="Garamond"/>
                <w:color w:val="000000" w:themeColor="text1"/>
                <w:sz w:val="22"/>
                <w:szCs w:val="22"/>
                <w:lang w:val="en-US"/>
              </w:rPr>
              <w:t>0.3</w:t>
            </w:r>
          </w:p>
        </w:tc>
        <w:tc>
          <w:tcPr>
            <w:tcW w:w="1811" w:type="dxa"/>
          </w:tcPr>
          <w:p w14:paraId="2F523FC9" w14:textId="77777777" w:rsidR="00B94180" w:rsidRPr="008C2A1A" w:rsidRDefault="00B94180" w:rsidP="005D1A69">
            <w:pPr>
              <w:jc w:val="both"/>
              <w:rPr>
                <w:rFonts w:ascii="Garamond" w:hAnsi="Garamond"/>
                <w:color w:val="000000" w:themeColor="text1"/>
                <w:sz w:val="22"/>
                <w:szCs w:val="22"/>
                <w:lang w:val="en-US"/>
              </w:rPr>
            </w:pPr>
          </w:p>
        </w:tc>
        <w:tc>
          <w:tcPr>
            <w:tcW w:w="1811" w:type="dxa"/>
          </w:tcPr>
          <w:p w14:paraId="0165BF9D" w14:textId="77777777" w:rsidR="00B94180" w:rsidRPr="008C2A1A" w:rsidRDefault="00B94180" w:rsidP="005D1A69">
            <w:pPr>
              <w:jc w:val="both"/>
              <w:rPr>
                <w:rFonts w:ascii="Garamond" w:hAnsi="Garamond"/>
                <w:color w:val="000000" w:themeColor="text1"/>
                <w:sz w:val="22"/>
                <w:szCs w:val="22"/>
                <w:lang w:val="en-US"/>
              </w:rPr>
            </w:pPr>
            <w:r w:rsidRPr="008C2A1A">
              <w:rPr>
                <w:rFonts w:ascii="Garamond" w:hAnsi="Garamond"/>
                <w:color w:val="000000" w:themeColor="text1"/>
                <w:sz w:val="22"/>
                <w:szCs w:val="22"/>
                <w:lang w:val="en-US"/>
              </w:rPr>
              <w:t>0.1-0.2</w:t>
            </w:r>
          </w:p>
        </w:tc>
      </w:tr>
      <w:tr w:rsidR="008C2A1A" w:rsidRPr="008C2A1A" w14:paraId="51C13586" w14:textId="77777777" w:rsidTr="005D1A69">
        <w:tc>
          <w:tcPr>
            <w:tcW w:w="1811" w:type="dxa"/>
          </w:tcPr>
          <w:p w14:paraId="1191A7D5" w14:textId="77777777" w:rsidR="00B94180" w:rsidRPr="008C2A1A" w:rsidRDefault="00B94180" w:rsidP="005D1A69">
            <w:pPr>
              <w:jc w:val="both"/>
              <w:rPr>
                <w:rFonts w:ascii="Garamond" w:hAnsi="Garamond"/>
                <w:color w:val="000000" w:themeColor="text1"/>
                <w:sz w:val="22"/>
                <w:szCs w:val="22"/>
                <w:lang w:val="en-US"/>
              </w:rPr>
            </w:pPr>
            <w:r w:rsidRPr="008C2A1A">
              <w:rPr>
                <w:rFonts w:ascii="Garamond" w:hAnsi="Garamond"/>
                <w:color w:val="000000" w:themeColor="text1"/>
                <w:sz w:val="22"/>
                <w:szCs w:val="22"/>
                <w:lang w:val="en-US"/>
              </w:rPr>
              <w:t>External marginal congestion cost</w:t>
            </w:r>
          </w:p>
        </w:tc>
        <w:tc>
          <w:tcPr>
            <w:tcW w:w="1811" w:type="dxa"/>
          </w:tcPr>
          <w:p w14:paraId="1BE055EC" w14:textId="77777777" w:rsidR="00B94180" w:rsidRPr="008C2A1A" w:rsidRDefault="00B94180" w:rsidP="005D1A69">
            <w:pPr>
              <w:jc w:val="both"/>
              <w:rPr>
                <w:rFonts w:ascii="Garamond" w:hAnsi="Garamond"/>
                <w:color w:val="000000" w:themeColor="text1"/>
                <w:sz w:val="22"/>
                <w:szCs w:val="22"/>
                <w:lang w:val="en-US"/>
              </w:rPr>
            </w:pPr>
            <w:r w:rsidRPr="008C2A1A">
              <w:rPr>
                <w:rFonts w:ascii="Garamond" w:hAnsi="Garamond"/>
                <w:color w:val="000000" w:themeColor="text1"/>
                <w:sz w:val="22"/>
                <w:szCs w:val="22"/>
                <w:lang w:val="en-US"/>
              </w:rPr>
              <w:t>0.6-242.6</w:t>
            </w:r>
          </w:p>
        </w:tc>
        <w:tc>
          <w:tcPr>
            <w:tcW w:w="1811" w:type="dxa"/>
          </w:tcPr>
          <w:p w14:paraId="084CF36A" w14:textId="77777777" w:rsidR="00B94180" w:rsidRPr="008C2A1A" w:rsidRDefault="00B94180" w:rsidP="005D1A69">
            <w:pPr>
              <w:jc w:val="both"/>
              <w:rPr>
                <w:rFonts w:ascii="Garamond" w:hAnsi="Garamond"/>
                <w:color w:val="000000" w:themeColor="text1"/>
                <w:sz w:val="22"/>
                <w:szCs w:val="22"/>
                <w:lang w:val="en-US"/>
              </w:rPr>
            </w:pPr>
            <w:r w:rsidRPr="008C2A1A">
              <w:rPr>
                <w:rFonts w:ascii="Garamond" w:hAnsi="Garamond"/>
                <w:color w:val="000000" w:themeColor="text1"/>
                <w:sz w:val="22"/>
                <w:szCs w:val="22"/>
                <w:lang w:val="en-US"/>
              </w:rPr>
              <w:t>1.2-578.3 (bus)</w:t>
            </w:r>
          </w:p>
        </w:tc>
        <w:tc>
          <w:tcPr>
            <w:tcW w:w="1811" w:type="dxa"/>
          </w:tcPr>
          <w:p w14:paraId="0B22D139" w14:textId="77777777" w:rsidR="00B94180" w:rsidRPr="008C2A1A" w:rsidRDefault="00B94180" w:rsidP="005D1A69">
            <w:pPr>
              <w:jc w:val="both"/>
              <w:rPr>
                <w:rFonts w:ascii="Garamond" w:hAnsi="Garamond"/>
                <w:color w:val="000000" w:themeColor="text1"/>
                <w:sz w:val="22"/>
                <w:szCs w:val="22"/>
                <w:lang w:val="en-US"/>
              </w:rPr>
            </w:pPr>
            <w:r w:rsidRPr="008C2A1A">
              <w:rPr>
                <w:rFonts w:ascii="Garamond" w:hAnsi="Garamond"/>
                <w:color w:val="000000" w:themeColor="text1"/>
                <w:sz w:val="22"/>
                <w:szCs w:val="22"/>
                <w:lang w:val="en-US"/>
              </w:rPr>
              <w:t>0-139.2</w:t>
            </w:r>
          </w:p>
        </w:tc>
      </w:tr>
      <w:tr w:rsidR="00B94180" w:rsidRPr="008C2A1A" w14:paraId="273FEEA6" w14:textId="77777777" w:rsidTr="005D1A69">
        <w:tc>
          <w:tcPr>
            <w:tcW w:w="1811" w:type="dxa"/>
          </w:tcPr>
          <w:p w14:paraId="7C2F29E5" w14:textId="77777777" w:rsidR="00B94180" w:rsidRPr="008C2A1A" w:rsidRDefault="00B94180" w:rsidP="005D1A69">
            <w:pPr>
              <w:jc w:val="both"/>
              <w:rPr>
                <w:rFonts w:ascii="Garamond" w:hAnsi="Garamond"/>
                <w:color w:val="000000" w:themeColor="text1"/>
                <w:sz w:val="22"/>
                <w:szCs w:val="22"/>
                <w:lang w:val="en-US"/>
              </w:rPr>
            </w:pPr>
            <w:r w:rsidRPr="008C2A1A">
              <w:rPr>
                <w:rFonts w:ascii="Garamond" w:hAnsi="Garamond"/>
                <w:color w:val="000000" w:themeColor="text1"/>
                <w:sz w:val="22"/>
                <w:szCs w:val="22"/>
                <w:lang w:val="en-US"/>
              </w:rPr>
              <w:t>Wear and tear infrastructure</w:t>
            </w:r>
          </w:p>
        </w:tc>
        <w:tc>
          <w:tcPr>
            <w:tcW w:w="1811" w:type="dxa"/>
          </w:tcPr>
          <w:p w14:paraId="38673CB0" w14:textId="77777777" w:rsidR="00B94180" w:rsidRPr="008C2A1A" w:rsidRDefault="00B94180" w:rsidP="005D1A69">
            <w:pPr>
              <w:jc w:val="both"/>
              <w:rPr>
                <w:rFonts w:ascii="Garamond" w:hAnsi="Garamond"/>
                <w:color w:val="000000" w:themeColor="text1"/>
                <w:sz w:val="22"/>
                <w:szCs w:val="22"/>
                <w:lang w:val="en-US"/>
              </w:rPr>
            </w:pPr>
            <w:r w:rsidRPr="008C2A1A">
              <w:rPr>
                <w:rFonts w:ascii="Garamond" w:hAnsi="Garamond"/>
                <w:color w:val="000000" w:themeColor="text1"/>
                <w:sz w:val="22"/>
                <w:szCs w:val="22"/>
                <w:lang w:val="en-US"/>
              </w:rPr>
              <w:t>0.8</w:t>
            </w:r>
          </w:p>
        </w:tc>
        <w:tc>
          <w:tcPr>
            <w:tcW w:w="1811" w:type="dxa"/>
          </w:tcPr>
          <w:p w14:paraId="6B900793" w14:textId="77777777" w:rsidR="00B94180" w:rsidRPr="008C2A1A" w:rsidRDefault="00B94180" w:rsidP="005D1A69">
            <w:pPr>
              <w:jc w:val="both"/>
              <w:rPr>
                <w:rFonts w:ascii="Garamond" w:hAnsi="Garamond"/>
                <w:color w:val="000000" w:themeColor="text1"/>
                <w:sz w:val="22"/>
                <w:szCs w:val="22"/>
                <w:lang w:val="en-US"/>
              </w:rPr>
            </w:pPr>
            <w:r w:rsidRPr="008C2A1A">
              <w:rPr>
                <w:rFonts w:ascii="Garamond" w:hAnsi="Garamond"/>
                <w:color w:val="000000" w:themeColor="text1"/>
                <w:sz w:val="22"/>
                <w:szCs w:val="22"/>
                <w:lang w:val="en-US"/>
              </w:rPr>
              <w:t>2.7 (bus)</w:t>
            </w:r>
          </w:p>
        </w:tc>
        <w:tc>
          <w:tcPr>
            <w:tcW w:w="1811" w:type="dxa"/>
          </w:tcPr>
          <w:p w14:paraId="0F7F71DD" w14:textId="77777777" w:rsidR="00B94180" w:rsidRPr="008C2A1A" w:rsidRDefault="00B94180" w:rsidP="005D1A69">
            <w:pPr>
              <w:jc w:val="both"/>
              <w:rPr>
                <w:rFonts w:ascii="Garamond" w:hAnsi="Garamond"/>
                <w:color w:val="000000" w:themeColor="text1"/>
                <w:sz w:val="22"/>
                <w:szCs w:val="22"/>
                <w:lang w:val="en-US"/>
              </w:rPr>
            </w:pPr>
            <w:r w:rsidRPr="008C2A1A">
              <w:rPr>
                <w:rFonts w:ascii="Garamond" w:hAnsi="Garamond"/>
                <w:color w:val="000000" w:themeColor="text1"/>
                <w:sz w:val="22"/>
                <w:szCs w:val="22"/>
                <w:lang w:val="en-US"/>
              </w:rPr>
              <w:t>0.2</w:t>
            </w:r>
          </w:p>
        </w:tc>
      </w:tr>
    </w:tbl>
    <w:p w14:paraId="5AB31518" w14:textId="77777777" w:rsidR="00B94180" w:rsidRPr="008C2A1A" w:rsidRDefault="00B94180" w:rsidP="00D317D8">
      <w:pPr>
        <w:jc w:val="both"/>
        <w:rPr>
          <w:rFonts w:ascii="Garamond" w:hAnsi="Garamond"/>
          <w:color w:val="000000" w:themeColor="text1"/>
          <w:lang w:val="en-US"/>
        </w:rPr>
      </w:pPr>
    </w:p>
    <w:p w14:paraId="233D1BCD" w14:textId="487D6C0E" w:rsidR="00B94180" w:rsidRPr="008C2A1A" w:rsidRDefault="00B94180" w:rsidP="00D317D8">
      <w:pPr>
        <w:jc w:val="both"/>
        <w:rPr>
          <w:rFonts w:ascii="Garamond" w:hAnsi="Garamond"/>
          <w:color w:val="000000" w:themeColor="text1"/>
          <w:lang w:val="en-US"/>
        </w:rPr>
      </w:pPr>
      <w:r w:rsidRPr="008C2A1A">
        <w:rPr>
          <w:rFonts w:ascii="Garamond" w:hAnsi="Garamond"/>
          <w:color w:val="000000" w:themeColor="text1"/>
          <w:lang w:val="en-US"/>
        </w:rPr>
        <w:t>The time and place of car use is of crucial importance for congestion costs. In rush hours, whose time span has increased significantly in the last decades, these are the main external cost in urban areas, being evaluated on average at €2.43 per vehicle kilometer. The place of car use also affect considerably the air pollution and noise cost. Many pollutants, such as small particles and ultra-small particles, cause most damage in the local environment of their emission, such that the external air pollution costs are estimated at 4.3€ct/</w:t>
      </w:r>
      <w:proofErr w:type="spellStart"/>
      <w:r w:rsidRPr="008C2A1A">
        <w:rPr>
          <w:rFonts w:ascii="Garamond" w:hAnsi="Garamond"/>
          <w:color w:val="000000" w:themeColor="text1"/>
          <w:lang w:val="en-US"/>
        </w:rPr>
        <w:t>vkm</w:t>
      </w:r>
      <w:proofErr w:type="spellEnd"/>
      <w:r w:rsidRPr="008C2A1A">
        <w:rPr>
          <w:rFonts w:ascii="Garamond" w:hAnsi="Garamond"/>
          <w:color w:val="000000" w:themeColor="text1"/>
          <w:lang w:val="en-US"/>
        </w:rPr>
        <w:t xml:space="preserve"> for cars in urban areas, compared to 0.1€ct/</w:t>
      </w:r>
      <w:proofErr w:type="spellStart"/>
      <w:r w:rsidRPr="008C2A1A">
        <w:rPr>
          <w:rFonts w:ascii="Garamond" w:hAnsi="Garamond"/>
          <w:color w:val="000000" w:themeColor="text1"/>
          <w:lang w:val="en-US"/>
        </w:rPr>
        <w:t>vkm</w:t>
      </w:r>
      <w:proofErr w:type="spellEnd"/>
      <w:r w:rsidRPr="008C2A1A">
        <w:rPr>
          <w:rFonts w:ascii="Garamond" w:hAnsi="Garamond"/>
          <w:color w:val="000000" w:themeColor="text1"/>
          <w:lang w:val="en-US"/>
        </w:rPr>
        <w:t xml:space="preserve"> for medium and long distances).</w:t>
      </w:r>
      <w:r w:rsidRPr="008C2A1A">
        <w:rPr>
          <w:rStyle w:val="Voetnootmarkering"/>
          <w:rFonts w:ascii="Garamond" w:hAnsi="Garamond"/>
          <w:color w:val="000000" w:themeColor="text1"/>
          <w:lang w:val="en-US"/>
        </w:rPr>
        <w:footnoteReference w:id="4"/>
      </w:r>
      <w:r w:rsidRPr="008C2A1A">
        <w:rPr>
          <w:rFonts w:ascii="Garamond" w:hAnsi="Garamond"/>
          <w:color w:val="000000" w:themeColor="text1"/>
          <w:lang w:val="en-US"/>
        </w:rPr>
        <w:t xml:space="preserve"> </w:t>
      </w:r>
    </w:p>
    <w:p w14:paraId="7A605864" w14:textId="604A875C" w:rsidR="00B94180" w:rsidRPr="008C2A1A" w:rsidRDefault="00B94180" w:rsidP="00D317D8">
      <w:pPr>
        <w:jc w:val="both"/>
        <w:rPr>
          <w:rFonts w:ascii="Garamond" w:hAnsi="Garamond"/>
          <w:color w:val="000000" w:themeColor="text1"/>
          <w:lang w:val="en-US"/>
        </w:rPr>
      </w:pPr>
      <w:r w:rsidRPr="008C2A1A">
        <w:rPr>
          <w:rFonts w:ascii="Garamond" w:hAnsi="Garamond"/>
          <w:color w:val="000000" w:themeColor="text1"/>
          <w:lang w:val="en-US"/>
        </w:rPr>
        <w:t>Although transport is responsible for the emission of about 20% of greenhouse gases in the EU, it is frequently argued that the transport sector should not be a priority in tackling climate change. Because of excise taxes on fuel, road vehicle engines are already relatively efficient, such that reducing 1 ton of CO</w:t>
      </w:r>
      <w:r w:rsidRPr="008C2A1A">
        <w:rPr>
          <w:rFonts w:ascii="Garamond" w:hAnsi="Garamond"/>
          <w:color w:val="000000" w:themeColor="text1"/>
          <w:vertAlign w:val="subscript"/>
          <w:lang w:val="en-US"/>
        </w:rPr>
        <w:t>2</w:t>
      </w:r>
      <w:r w:rsidRPr="008C2A1A">
        <w:rPr>
          <w:rFonts w:ascii="Garamond" w:hAnsi="Garamond"/>
          <w:color w:val="000000" w:themeColor="text1"/>
          <w:lang w:val="en-US"/>
        </w:rPr>
        <w:t xml:space="preserve"> emissions in transport is much more expensive than reducing 1 ton of CO</w:t>
      </w:r>
      <w:r w:rsidRPr="008C2A1A">
        <w:rPr>
          <w:rFonts w:ascii="Garamond" w:hAnsi="Garamond"/>
          <w:color w:val="000000" w:themeColor="text1"/>
          <w:vertAlign w:val="subscript"/>
          <w:lang w:val="en-US"/>
        </w:rPr>
        <w:t>2</w:t>
      </w:r>
      <w:r w:rsidRPr="008C2A1A">
        <w:rPr>
          <w:rFonts w:ascii="Garamond" w:hAnsi="Garamond"/>
          <w:color w:val="000000" w:themeColor="text1"/>
          <w:lang w:val="en-US"/>
        </w:rPr>
        <w:t xml:space="preserve"> emissions in the industry or in the heating of houses. </w:t>
      </w:r>
      <w:proofErr w:type="spellStart"/>
      <w:r w:rsidRPr="008C2A1A">
        <w:rPr>
          <w:rFonts w:ascii="Garamond" w:hAnsi="Garamond"/>
          <w:color w:val="000000" w:themeColor="text1"/>
          <w:lang w:val="en-US"/>
        </w:rPr>
        <w:t>Proost</w:t>
      </w:r>
      <w:proofErr w:type="spellEnd"/>
      <w:r w:rsidRPr="008C2A1A">
        <w:rPr>
          <w:rFonts w:ascii="Garamond" w:hAnsi="Garamond"/>
          <w:color w:val="000000" w:themeColor="text1"/>
          <w:lang w:val="en-US"/>
        </w:rPr>
        <w:t xml:space="preserve"> and Evers (2018) argue that if we pay about €1 in taxes on a liter of gasoline, and if one liter of gasoline corresponds to about 2.5 kg of CO</w:t>
      </w:r>
      <w:r w:rsidRPr="008C2A1A">
        <w:rPr>
          <w:rFonts w:ascii="Garamond" w:hAnsi="Garamond"/>
          <w:color w:val="000000" w:themeColor="text1"/>
          <w:vertAlign w:val="subscript"/>
          <w:lang w:val="en-US"/>
        </w:rPr>
        <w:t>2</w:t>
      </w:r>
      <w:r w:rsidRPr="008C2A1A">
        <w:rPr>
          <w:rFonts w:ascii="Garamond" w:hAnsi="Garamond"/>
          <w:color w:val="000000" w:themeColor="text1"/>
          <w:lang w:val="en-US"/>
        </w:rPr>
        <w:t xml:space="preserve"> emissions, then a ton of CO</w:t>
      </w:r>
      <w:r w:rsidRPr="008C2A1A">
        <w:rPr>
          <w:rFonts w:ascii="Garamond" w:hAnsi="Garamond"/>
          <w:color w:val="000000" w:themeColor="text1"/>
          <w:vertAlign w:val="subscript"/>
          <w:lang w:val="en-US"/>
        </w:rPr>
        <w:t>2</w:t>
      </w:r>
      <w:r w:rsidRPr="008C2A1A">
        <w:rPr>
          <w:rFonts w:ascii="Garamond" w:hAnsi="Garamond"/>
          <w:color w:val="000000" w:themeColor="text1"/>
          <w:lang w:val="en-US"/>
        </w:rPr>
        <w:t xml:space="preserve"> emissions is currently taxed at about €400, which is much more expensive than the €</w:t>
      </w:r>
      <w:r w:rsidR="00A46AAB" w:rsidRPr="008C2A1A">
        <w:rPr>
          <w:rFonts w:ascii="Garamond" w:hAnsi="Garamond"/>
          <w:color w:val="000000" w:themeColor="text1"/>
          <w:lang w:val="en-US"/>
        </w:rPr>
        <w:t>20</w:t>
      </w:r>
      <w:r w:rsidRPr="008C2A1A">
        <w:rPr>
          <w:rFonts w:ascii="Garamond" w:hAnsi="Garamond"/>
          <w:color w:val="000000" w:themeColor="text1"/>
          <w:lang w:val="en-US"/>
        </w:rPr>
        <w:t xml:space="preserve"> to €</w:t>
      </w:r>
      <w:r w:rsidR="00A46AAB" w:rsidRPr="008C2A1A">
        <w:rPr>
          <w:rFonts w:ascii="Garamond" w:hAnsi="Garamond"/>
          <w:color w:val="000000" w:themeColor="text1"/>
          <w:lang w:val="en-US"/>
        </w:rPr>
        <w:t>2</w:t>
      </w:r>
      <w:r w:rsidR="007F0CB3" w:rsidRPr="008C2A1A">
        <w:rPr>
          <w:rFonts w:ascii="Garamond" w:hAnsi="Garamond"/>
          <w:color w:val="000000" w:themeColor="text1"/>
          <w:lang w:val="en-US"/>
        </w:rPr>
        <w:t>5</w:t>
      </w:r>
      <w:r w:rsidRPr="008C2A1A">
        <w:rPr>
          <w:rFonts w:ascii="Garamond" w:hAnsi="Garamond"/>
          <w:color w:val="000000" w:themeColor="text1"/>
          <w:lang w:val="en-US"/>
        </w:rPr>
        <w:t xml:space="preserve"> paid in the industry for a</w:t>
      </w:r>
      <w:r w:rsidR="007F0CB3" w:rsidRPr="008C2A1A">
        <w:rPr>
          <w:rFonts w:ascii="Garamond" w:hAnsi="Garamond"/>
          <w:color w:val="000000" w:themeColor="text1"/>
          <w:lang w:val="en-US"/>
        </w:rPr>
        <w:t>n ETS</w:t>
      </w:r>
      <w:r w:rsidRPr="008C2A1A">
        <w:rPr>
          <w:rFonts w:ascii="Garamond" w:hAnsi="Garamond"/>
          <w:color w:val="000000" w:themeColor="text1"/>
          <w:lang w:val="en-US"/>
        </w:rPr>
        <w:t xml:space="preserve"> permit to emit a ton of CO</w:t>
      </w:r>
      <w:r w:rsidRPr="008C2A1A">
        <w:rPr>
          <w:rFonts w:ascii="Garamond" w:hAnsi="Garamond"/>
          <w:color w:val="000000" w:themeColor="text1"/>
          <w:vertAlign w:val="subscript"/>
          <w:lang w:val="en-US"/>
        </w:rPr>
        <w:t>2</w:t>
      </w:r>
      <w:r w:rsidRPr="008C2A1A">
        <w:rPr>
          <w:rFonts w:ascii="Garamond" w:hAnsi="Garamond"/>
          <w:color w:val="000000" w:themeColor="text1"/>
          <w:lang w:val="en-US"/>
        </w:rPr>
        <w:t>.</w:t>
      </w:r>
      <w:r w:rsidR="007F0CB3" w:rsidRPr="008C2A1A">
        <w:rPr>
          <w:rStyle w:val="Voetnootmarkering"/>
          <w:rFonts w:ascii="Garamond" w:hAnsi="Garamond"/>
          <w:color w:val="000000" w:themeColor="text1"/>
          <w:lang w:val="en-US"/>
        </w:rPr>
        <w:footnoteReference w:id="5"/>
      </w:r>
      <w:r w:rsidRPr="008C2A1A">
        <w:rPr>
          <w:rFonts w:ascii="Garamond" w:hAnsi="Garamond"/>
          <w:color w:val="000000" w:themeColor="text1"/>
          <w:lang w:val="en-US"/>
        </w:rPr>
        <w:t xml:space="preserve"> Since the origin of greenhouse gases is of no importance for their effect on climate change, efficient policies to combat climate change should primarily focus on other sectors than transport. </w:t>
      </w:r>
    </w:p>
    <w:p w14:paraId="5D2BFB1F" w14:textId="77777777" w:rsidR="00B94180" w:rsidRPr="008C2A1A" w:rsidRDefault="00B94180" w:rsidP="00D317D8">
      <w:pPr>
        <w:jc w:val="both"/>
        <w:rPr>
          <w:rFonts w:ascii="Garamond" w:hAnsi="Garamond"/>
          <w:color w:val="000000" w:themeColor="text1"/>
          <w:lang w:val="en-US"/>
        </w:rPr>
      </w:pPr>
    </w:p>
    <w:p w14:paraId="7B4DCBC5" w14:textId="77777777" w:rsidR="00B94180" w:rsidRPr="008C2A1A" w:rsidRDefault="00B94180" w:rsidP="00D317D8">
      <w:pPr>
        <w:jc w:val="both"/>
        <w:rPr>
          <w:rFonts w:ascii="Garamond" w:hAnsi="Garamond"/>
          <w:color w:val="000000" w:themeColor="text1"/>
          <w:lang w:val="en-US"/>
        </w:rPr>
      </w:pPr>
      <w:r w:rsidRPr="008C2A1A">
        <w:rPr>
          <w:rFonts w:ascii="Garamond" w:hAnsi="Garamond"/>
          <w:color w:val="000000" w:themeColor="text1"/>
          <w:lang w:val="en-US"/>
        </w:rPr>
        <w:t xml:space="preserve">When deciding on their transport use, transport users do not consider the external costs that their behavior imposes upon others. Solutions to the problem of externalities must therefore induce </w:t>
      </w:r>
      <w:proofErr w:type="gramStart"/>
      <w:r w:rsidRPr="008C2A1A">
        <w:rPr>
          <w:rFonts w:ascii="Garamond" w:hAnsi="Garamond"/>
          <w:color w:val="000000" w:themeColor="text1"/>
          <w:lang w:val="en-US"/>
        </w:rPr>
        <w:t>the  transport</w:t>
      </w:r>
      <w:proofErr w:type="gramEnd"/>
      <w:r w:rsidRPr="008C2A1A">
        <w:rPr>
          <w:rFonts w:ascii="Garamond" w:hAnsi="Garamond"/>
          <w:color w:val="000000" w:themeColor="text1"/>
          <w:lang w:val="en-US"/>
        </w:rPr>
        <w:t xml:space="preserve"> users to 'internalize' the external costs. Pigouvian taxes are production or consumption taxes designed to implement such a solution. To do so, the tax on the good or service that causes the externality is set to the monetary value of the external cost that one additional unit of consumption or production causes (where the cost is evaluated at the socially optimal quantity). The socially optimal quantity is such that the total costs for society (private and external) of the last unit of production or consumption equal its total benefits for society. A Pigouvian tax leads the market to the social optimum since consumers (or firms) buy (sell) as long as their monetary evaluation of the good exceeds the producer price plus the Pigouvian tax (as long as the price exceeds their private cost plus the Pigouvian tax). </w:t>
      </w:r>
    </w:p>
    <w:p w14:paraId="728F39E7" w14:textId="77777777" w:rsidR="00B94180" w:rsidRPr="008C2A1A" w:rsidRDefault="00B94180" w:rsidP="00D317D8">
      <w:pPr>
        <w:jc w:val="both"/>
        <w:rPr>
          <w:rFonts w:ascii="Garamond" w:hAnsi="Garamond"/>
          <w:color w:val="000000" w:themeColor="text1"/>
          <w:lang w:val="en-US"/>
        </w:rPr>
      </w:pPr>
    </w:p>
    <w:p w14:paraId="7BAD3E23" w14:textId="64DDF3EA" w:rsidR="00B94180" w:rsidRPr="008C2A1A" w:rsidRDefault="00B94180" w:rsidP="00D317D8">
      <w:pPr>
        <w:jc w:val="both"/>
        <w:rPr>
          <w:rFonts w:ascii="Garamond" w:hAnsi="Garamond"/>
          <w:color w:val="000000" w:themeColor="text1"/>
          <w:lang w:val="en-US"/>
        </w:rPr>
      </w:pPr>
      <w:r w:rsidRPr="008C2A1A">
        <w:rPr>
          <w:rFonts w:ascii="Garamond" w:hAnsi="Garamond"/>
          <w:color w:val="000000" w:themeColor="text1"/>
          <w:lang w:val="en-US"/>
        </w:rPr>
        <w:t xml:space="preserve">Pigouvian taxes constitute a decentralized solution to problems of externalities. This reduces the need to impose and enforce certain behavior and diminishes the costs of monitoring compliance. However, the above table indicates that most of the external costs depend on the place and time of car use. </w:t>
      </w:r>
      <w:r w:rsidR="00744868" w:rsidRPr="008C2A1A">
        <w:rPr>
          <w:rFonts w:ascii="Garamond" w:hAnsi="Garamond"/>
          <w:color w:val="000000" w:themeColor="text1"/>
          <w:lang w:val="en-US"/>
        </w:rPr>
        <w:t>In our current fiscal system</w:t>
      </w:r>
      <w:r w:rsidRPr="008C2A1A">
        <w:rPr>
          <w:rFonts w:ascii="Garamond" w:hAnsi="Garamond"/>
          <w:color w:val="000000" w:themeColor="text1"/>
          <w:lang w:val="en-US"/>
        </w:rPr>
        <w:t>,</w:t>
      </w:r>
      <w:r w:rsidR="00744868" w:rsidRPr="008C2A1A">
        <w:rPr>
          <w:rFonts w:ascii="Garamond" w:hAnsi="Garamond"/>
          <w:color w:val="000000" w:themeColor="text1"/>
          <w:lang w:val="en-US"/>
        </w:rPr>
        <w:t xml:space="preserve"> excise taxes come closest to the idea of a Pigouvian Tax, in the sense that they are only levied on goods that cause negative externalities (fuel, alcohol, tobacco, high sugar beverages...). Thus, the</w:t>
      </w:r>
      <w:r w:rsidRPr="008C2A1A">
        <w:rPr>
          <w:rFonts w:ascii="Garamond" w:hAnsi="Garamond"/>
          <w:color w:val="000000" w:themeColor="text1"/>
          <w:lang w:val="en-US"/>
        </w:rPr>
        <w:t xml:space="preserve"> principal form of </w:t>
      </w:r>
      <w:r w:rsidR="00744868" w:rsidRPr="008C2A1A">
        <w:rPr>
          <w:rFonts w:ascii="Garamond" w:hAnsi="Garamond"/>
          <w:color w:val="000000" w:themeColor="text1"/>
          <w:lang w:val="en-US"/>
        </w:rPr>
        <w:t xml:space="preserve">a </w:t>
      </w:r>
      <w:r w:rsidRPr="008C2A1A">
        <w:rPr>
          <w:rFonts w:ascii="Garamond" w:hAnsi="Garamond"/>
          <w:color w:val="000000" w:themeColor="text1"/>
          <w:lang w:val="en-US"/>
        </w:rPr>
        <w:t xml:space="preserve">Pigouvian tax on transport </w:t>
      </w:r>
      <w:r w:rsidR="00744868" w:rsidRPr="008C2A1A">
        <w:rPr>
          <w:rFonts w:ascii="Garamond" w:hAnsi="Garamond"/>
          <w:color w:val="000000" w:themeColor="text1"/>
          <w:lang w:val="en-US"/>
        </w:rPr>
        <w:t>is at present</w:t>
      </w:r>
      <w:r w:rsidRPr="008C2A1A">
        <w:rPr>
          <w:rFonts w:ascii="Garamond" w:hAnsi="Garamond"/>
          <w:color w:val="000000" w:themeColor="text1"/>
          <w:lang w:val="en-US"/>
        </w:rPr>
        <w:t xml:space="preserve"> the excise tax on fuel. These excise taxes are proportional to the amount of fuel a car consumes, and thereby with its CO</w:t>
      </w:r>
      <w:r w:rsidRPr="008C2A1A">
        <w:rPr>
          <w:rFonts w:ascii="Garamond" w:hAnsi="Garamond"/>
          <w:color w:val="000000" w:themeColor="text1"/>
          <w:vertAlign w:val="subscript"/>
          <w:lang w:val="en-US"/>
        </w:rPr>
        <w:t>2</w:t>
      </w:r>
      <w:r w:rsidRPr="008C2A1A">
        <w:rPr>
          <w:rFonts w:ascii="Garamond" w:hAnsi="Garamond"/>
          <w:color w:val="000000" w:themeColor="text1"/>
          <w:lang w:val="en-US"/>
        </w:rPr>
        <w:t xml:space="preserve"> emissions. The excise taxes on fuel do not vary, however, with the time or place where the fuel is consumed, and are thus not efficient to remedy the </w:t>
      </w:r>
      <w:r w:rsidR="00744868" w:rsidRPr="008C2A1A">
        <w:rPr>
          <w:rFonts w:ascii="Garamond" w:hAnsi="Garamond"/>
          <w:color w:val="000000" w:themeColor="text1"/>
          <w:lang w:val="en-US"/>
        </w:rPr>
        <w:t xml:space="preserve">other </w:t>
      </w:r>
      <w:r w:rsidRPr="008C2A1A">
        <w:rPr>
          <w:rFonts w:ascii="Garamond" w:hAnsi="Garamond"/>
          <w:color w:val="000000" w:themeColor="text1"/>
          <w:lang w:val="en-US"/>
        </w:rPr>
        <w:t>external costs of road transport</w:t>
      </w:r>
      <w:r w:rsidR="00744868" w:rsidRPr="008C2A1A">
        <w:rPr>
          <w:rFonts w:ascii="Garamond" w:hAnsi="Garamond"/>
          <w:color w:val="000000" w:themeColor="text1"/>
          <w:lang w:val="en-US"/>
        </w:rPr>
        <w:t>, principally congestion and air pollution, which depends a lot on time and place</w:t>
      </w:r>
      <w:r w:rsidRPr="008C2A1A">
        <w:rPr>
          <w:rFonts w:ascii="Garamond" w:hAnsi="Garamond"/>
          <w:color w:val="000000" w:themeColor="text1"/>
          <w:lang w:val="en-US"/>
        </w:rPr>
        <w:t xml:space="preserve">. On the contrary, intelligent kilometer charges vary with the time and place of road use. They are therefore more efficient, and are each year technologically more competitive and less costly. </w:t>
      </w:r>
    </w:p>
    <w:p w14:paraId="4035C238" w14:textId="77777777" w:rsidR="00B94180" w:rsidRPr="008C2A1A" w:rsidRDefault="00B94180" w:rsidP="00D317D8">
      <w:pPr>
        <w:jc w:val="both"/>
        <w:rPr>
          <w:rFonts w:ascii="Garamond" w:hAnsi="Garamond"/>
          <w:color w:val="000000" w:themeColor="text1"/>
          <w:lang w:val="en-US"/>
        </w:rPr>
      </w:pPr>
    </w:p>
    <w:p w14:paraId="6968C1C5" w14:textId="77777777" w:rsidR="00B94180" w:rsidRPr="008C2A1A" w:rsidRDefault="00B94180" w:rsidP="00D317D8">
      <w:pPr>
        <w:jc w:val="both"/>
        <w:rPr>
          <w:rFonts w:ascii="Garamond" w:hAnsi="Garamond"/>
          <w:color w:val="000000" w:themeColor="text1"/>
          <w:lang w:val="en-US"/>
        </w:rPr>
      </w:pPr>
      <w:r w:rsidRPr="008C2A1A">
        <w:rPr>
          <w:rFonts w:ascii="Garamond" w:hAnsi="Garamond"/>
          <w:b/>
          <w:color w:val="000000" w:themeColor="text1"/>
          <w:lang w:val="en-US"/>
        </w:rPr>
        <w:t>Equity</w:t>
      </w:r>
      <w:r w:rsidRPr="008C2A1A">
        <w:rPr>
          <w:rFonts w:ascii="Garamond" w:hAnsi="Garamond"/>
          <w:color w:val="000000" w:themeColor="text1"/>
          <w:lang w:val="en-US"/>
        </w:rPr>
        <w:t xml:space="preserve">, i.e. the fairness of how the benefits and burdens of a fiscal reform are distributed is a second important criterion. When assessing fiscal policies in terms of equity, we distinguish in general between horizontal and vertical equity. Horizontal equity stipulates that similar cases should be treated similarly, i.e. the fiscal system should treat all individuals according to the same rules. The practical implementation of this notion of fairness is not always as straightforward as it may appear at first sight. In the real world, no two people are identical, and therefore the definition of the categories of individuals that must be treated similarly leaves a lot of space for discussion. Should the fiscal system treat workers with the same socio-demographic profile and the same income similarly, irrespective of the economic sector in which they are active, or is it fair that it treats, e.g., public and private sector workers differently? </w:t>
      </w:r>
    </w:p>
    <w:p w14:paraId="72DEA431" w14:textId="77777777" w:rsidR="00B94180" w:rsidRPr="008C2A1A" w:rsidRDefault="00B94180" w:rsidP="00D317D8">
      <w:pPr>
        <w:jc w:val="both"/>
        <w:rPr>
          <w:rFonts w:ascii="Garamond" w:hAnsi="Garamond"/>
          <w:color w:val="000000" w:themeColor="text1"/>
          <w:lang w:val="en-US"/>
        </w:rPr>
      </w:pPr>
    </w:p>
    <w:p w14:paraId="624DCEC7" w14:textId="321C413A" w:rsidR="00B94180" w:rsidRPr="008C2A1A" w:rsidRDefault="00B94180" w:rsidP="00D317D8">
      <w:pPr>
        <w:jc w:val="both"/>
        <w:rPr>
          <w:rFonts w:ascii="Garamond" w:hAnsi="Garamond"/>
          <w:color w:val="000000" w:themeColor="text1"/>
          <w:lang w:val="en-US"/>
        </w:rPr>
      </w:pPr>
      <w:r w:rsidRPr="008C2A1A">
        <w:rPr>
          <w:rFonts w:ascii="Garamond" w:hAnsi="Garamond"/>
          <w:color w:val="000000" w:themeColor="text1"/>
          <w:lang w:val="en-US"/>
        </w:rPr>
        <w:t xml:space="preserve">Vertical equity refers to a fair distribution of the tax burden and of benefit policies over different kinds to households and firms. Should the rich contribute relatively more to the financing of the state than the poor, and if so, how much? Although most people would consider it fair that the rich pay more taxes than the poor, opinions on how much more will most often not coincide. The answer to this question depends on personal values and preferences. If citizens with stronger shoulders have to carry a larger share of the fiscal burden, then the state must be able to identify who has stronger shoulders. The state cannot observe innate talent but may scrutinize citizens’ income. Unlike innate talent, however, incomes are largely the results of individual decisions. If income is taxed, citizens can change their behavior, creating inefficiencies. Therefore, equity comes in many cases at the price of efficiency. The question of how much efficiency one is willing to trade for a more equitable income distribution depends again on personal preferences and values. Equity does not, of course, justify all forms of inefficiency. An optimal fiscal regime or policy reform realizes the desired level of equity at the lowest feasible cost. </w:t>
      </w:r>
    </w:p>
    <w:p w14:paraId="5E02A68C" w14:textId="2760F7FD" w:rsidR="00B94180" w:rsidRPr="008C2A1A" w:rsidRDefault="00B94180" w:rsidP="00D317D8">
      <w:pPr>
        <w:jc w:val="both"/>
        <w:rPr>
          <w:rFonts w:ascii="Garamond" w:hAnsi="Garamond"/>
          <w:color w:val="000000" w:themeColor="text1"/>
          <w:lang w:val="en-US"/>
        </w:rPr>
      </w:pPr>
      <w:r w:rsidRPr="008C2A1A">
        <w:rPr>
          <w:rFonts w:ascii="Garamond" w:hAnsi="Garamond"/>
          <w:color w:val="000000" w:themeColor="text1"/>
          <w:lang w:val="en-US"/>
        </w:rPr>
        <w:t xml:space="preserve">In practice, we often assess a tax or fiscal reform in terms of its effect on socio-economic inequality or in function of its effect on the worst off. In the former case, we study how the tax burden is divided over the different households, in function of their income level, household composition, schooling level, ethnic of social background, etc. In the second case, a focus on the worst-off studies how a tax or fiscal reform affects the poor. For this purpose, one may study the effect of a fiscal reform on poverty measures, or on the disposable income of the poorest households. </w:t>
      </w:r>
    </w:p>
    <w:p w14:paraId="26BC252C" w14:textId="6B3E865E" w:rsidR="00B94180" w:rsidRPr="008C2A1A" w:rsidRDefault="00B94180" w:rsidP="00D317D8">
      <w:pPr>
        <w:jc w:val="both"/>
        <w:rPr>
          <w:rFonts w:ascii="Garamond" w:hAnsi="Garamond"/>
          <w:color w:val="000000" w:themeColor="text1"/>
          <w:lang w:val="en-US"/>
        </w:rPr>
      </w:pPr>
      <w:r w:rsidRPr="008C2A1A">
        <w:rPr>
          <w:rFonts w:ascii="Garamond" w:hAnsi="Garamond"/>
          <w:color w:val="000000" w:themeColor="text1"/>
          <w:lang w:val="en-US"/>
        </w:rPr>
        <w:t>The current fiscal treatment of company cars is not only controversial from an efficiency point of view (by increasing congestion and air pollution</w:t>
      </w:r>
      <w:r w:rsidR="00C71D03" w:rsidRPr="008C2A1A">
        <w:rPr>
          <w:rFonts w:ascii="Garamond" w:hAnsi="Garamond"/>
          <w:color w:val="000000" w:themeColor="text1"/>
          <w:lang w:val="en-US"/>
        </w:rPr>
        <w:t xml:space="preserve"> as a negative, reducing the fiscal pressure on </w:t>
      </w:r>
      <w:proofErr w:type="spellStart"/>
      <w:r w:rsidR="00C71D03" w:rsidRPr="008C2A1A">
        <w:rPr>
          <w:rFonts w:ascii="Garamond" w:hAnsi="Garamond"/>
          <w:color w:val="000000" w:themeColor="text1"/>
          <w:lang w:val="en-US"/>
        </w:rPr>
        <w:t>labour</w:t>
      </w:r>
      <w:proofErr w:type="spellEnd"/>
      <w:r w:rsidR="00C71D03" w:rsidRPr="008C2A1A">
        <w:rPr>
          <w:rFonts w:ascii="Garamond" w:hAnsi="Garamond"/>
          <w:color w:val="000000" w:themeColor="text1"/>
          <w:lang w:val="en-US"/>
        </w:rPr>
        <w:t xml:space="preserve"> as a positive</w:t>
      </w:r>
      <w:r w:rsidRPr="008C2A1A">
        <w:rPr>
          <w:rFonts w:ascii="Garamond" w:hAnsi="Garamond"/>
          <w:color w:val="000000" w:themeColor="text1"/>
          <w:lang w:val="en-US"/>
        </w:rPr>
        <w:t>). It also divides the public for equity reasons, as company car users have on average a higher income and education level than the population at large, as explained</w:t>
      </w:r>
      <w:r w:rsidR="00C073E2" w:rsidRPr="008C2A1A">
        <w:rPr>
          <w:rFonts w:ascii="Garamond" w:hAnsi="Garamond"/>
          <w:color w:val="000000" w:themeColor="text1"/>
          <w:lang w:val="en-US"/>
        </w:rPr>
        <w:t xml:space="preserve"> by </w:t>
      </w:r>
      <w:proofErr w:type="spellStart"/>
      <w:r w:rsidR="00C073E2" w:rsidRPr="008C2A1A">
        <w:rPr>
          <w:rFonts w:ascii="Garamond" w:hAnsi="Garamond"/>
          <w:color w:val="000000" w:themeColor="text1"/>
          <w:lang w:val="en-US"/>
        </w:rPr>
        <w:t>Ermans</w:t>
      </w:r>
      <w:proofErr w:type="spellEnd"/>
      <w:r w:rsidR="00C073E2" w:rsidRPr="008C2A1A">
        <w:rPr>
          <w:rFonts w:ascii="Garamond" w:hAnsi="Garamond"/>
          <w:color w:val="000000" w:themeColor="text1"/>
          <w:lang w:val="en-US"/>
        </w:rPr>
        <w:t xml:space="preserve">, </w:t>
      </w:r>
      <w:proofErr w:type="spellStart"/>
      <w:r w:rsidR="00C073E2" w:rsidRPr="008C2A1A">
        <w:rPr>
          <w:rFonts w:ascii="Garamond" w:hAnsi="Garamond"/>
          <w:color w:val="000000" w:themeColor="text1"/>
          <w:lang w:val="en-US"/>
        </w:rPr>
        <w:t>Hooftman</w:t>
      </w:r>
      <w:proofErr w:type="spellEnd"/>
      <w:r w:rsidR="00C073E2" w:rsidRPr="008C2A1A">
        <w:rPr>
          <w:rFonts w:ascii="Garamond" w:hAnsi="Garamond"/>
          <w:color w:val="000000" w:themeColor="text1"/>
          <w:lang w:val="en-US"/>
        </w:rPr>
        <w:t xml:space="preserve"> and May</w:t>
      </w:r>
      <w:r w:rsidRPr="008C2A1A">
        <w:rPr>
          <w:rFonts w:ascii="Garamond" w:hAnsi="Garamond"/>
          <w:color w:val="000000" w:themeColor="text1"/>
          <w:lang w:val="en-US"/>
        </w:rPr>
        <w:t xml:space="preserve"> in chapter </w:t>
      </w:r>
      <w:r w:rsidR="00C073E2" w:rsidRPr="008C2A1A">
        <w:rPr>
          <w:rFonts w:ascii="Garamond" w:hAnsi="Garamond"/>
          <w:color w:val="000000" w:themeColor="text1"/>
          <w:lang w:val="en-US"/>
        </w:rPr>
        <w:t xml:space="preserve">4 </w:t>
      </w:r>
      <w:r w:rsidRPr="008C2A1A">
        <w:rPr>
          <w:rFonts w:ascii="Garamond" w:hAnsi="Garamond"/>
          <w:color w:val="000000" w:themeColor="text1"/>
          <w:lang w:val="en-US"/>
        </w:rPr>
        <w:t>of this book. The advantageous treatment of company cars is deemed unfair by some because it reduces the progressivity of the fiscal system, and is applauded by others for the same reason.</w:t>
      </w:r>
    </w:p>
    <w:p w14:paraId="1AEADA6F" w14:textId="77777777" w:rsidR="00B94180" w:rsidRPr="008C2A1A" w:rsidRDefault="00B94180" w:rsidP="00D317D8">
      <w:pPr>
        <w:jc w:val="both"/>
        <w:rPr>
          <w:rFonts w:ascii="Garamond" w:hAnsi="Garamond"/>
          <w:color w:val="000000" w:themeColor="text1"/>
          <w:lang w:val="en-US"/>
        </w:rPr>
      </w:pPr>
    </w:p>
    <w:p w14:paraId="3ECA98CF" w14:textId="7821FD74" w:rsidR="00B94180" w:rsidRPr="008C2A1A" w:rsidRDefault="00B94180" w:rsidP="00D317D8">
      <w:pPr>
        <w:jc w:val="both"/>
        <w:rPr>
          <w:rFonts w:ascii="Garamond" w:hAnsi="Garamond"/>
          <w:color w:val="000000" w:themeColor="text1"/>
          <w:lang w:val="en-US"/>
        </w:rPr>
      </w:pPr>
      <w:r w:rsidRPr="008C2A1A">
        <w:rPr>
          <w:rFonts w:ascii="Garamond" w:hAnsi="Garamond"/>
          <w:color w:val="000000" w:themeColor="text1"/>
          <w:lang w:val="en-US"/>
        </w:rPr>
        <w:t xml:space="preserve">The last criteria for the assessment of a fiscal system or tax reform that we want to treat in this chapter are </w:t>
      </w:r>
      <w:r w:rsidRPr="008C2A1A">
        <w:rPr>
          <w:rFonts w:ascii="Garamond" w:hAnsi="Garamond"/>
          <w:b/>
          <w:color w:val="000000" w:themeColor="text1"/>
          <w:lang w:val="en-US"/>
        </w:rPr>
        <w:t>simplicity</w:t>
      </w:r>
      <w:r w:rsidRPr="008C2A1A">
        <w:rPr>
          <w:rFonts w:ascii="Garamond" w:hAnsi="Garamond"/>
          <w:color w:val="000000" w:themeColor="text1"/>
          <w:lang w:val="en-US"/>
        </w:rPr>
        <w:t xml:space="preserve">, </w:t>
      </w:r>
      <w:r w:rsidRPr="008C2A1A">
        <w:rPr>
          <w:rFonts w:ascii="Garamond" w:hAnsi="Garamond"/>
          <w:b/>
          <w:color w:val="000000" w:themeColor="text1"/>
          <w:lang w:val="en-US"/>
        </w:rPr>
        <w:t>transparency</w:t>
      </w:r>
      <w:r w:rsidRPr="008C2A1A">
        <w:rPr>
          <w:rFonts w:ascii="Garamond" w:hAnsi="Garamond"/>
          <w:color w:val="000000" w:themeColor="text1"/>
          <w:lang w:val="en-US"/>
        </w:rPr>
        <w:t xml:space="preserve"> and robustness to </w:t>
      </w:r>
      <w:r w:rsidRPr="008C2A1A">
        <w:rPr>
          <w:rFonts w:ascii="Garamond" w:hAnsi="Garamond"/>
          <w:b/>
          <w:color w:val="000000" w:themeColor="text1"/>
          <w:lang w:val="en-US"/>
        </w:rPr>
        <w:t>fraud</w:t>
      </w:r>
      <w:r w:rsidRPr="008C2A1A">
        <w:rPr>
          <w:rFonts w:ascii="Garamond" w:hAnsi="Garamond"/>
          <w:color w:val="000000" w:themeColor="text1"/>
          <w:lang w:val="en-US"/>
        </w:rPr>
        <w:t xml:space="preserve">. The simplicity of fiscal reforms is important to limit the administrative costs of the measure. More complicated tax schemes can be desirable if they allow to reduce the inefficiency costs of taxation, or allow a tax to produce more equitable outcomes. Hence, simplicity is a virtue of the fiscal system in its own merit, but must be put in the balance against other normative criteria. Besides increasing the administrative costs of taxes, complicated fiscal systems come at the expense of transparency. Such a lack of transparency creates, for some individuals, the perception that the fiscal system is not fair and disproportionately beneficial to some (other) people, or harmful to them. Such a perception can erode the legitimacy and public support for the tax reform under consideration. </w:t>
      </w:r>
    </w:p>
    <w:p w14:paraId="7D5517C9" w14:textId="77777777" w:rsidR="00B94180" w:rsidRPr="008C2A1A" w:rsidRDefault="00B94180" w:rsidP="00D317D8">
      <w:pPr>
        <w:jc w:val="both"/>
        <w:rPr>
          <w:rFonts w:ascii="Garamond" w:hAnsi="Garamond"/>
          <w:color w:val="000000" w:themeColor="text1"/>
          <w:lang w:val="en-US"/>
        </w:rPr>
      </w:pPr>
      <w:r w:rsidRPr="008C2A1A">
        <w:rPr>
          <w:rFonts w:ascii="Garamond" w:hAnsi="Garamond"/>
          <w:color w:val="000000" w:themeColor="text1"/>
          <w:lang w:val="en-US"/>
        </w:rPr>
        <w:t xml:space="preserve">The perceived injustice of the fiscal system is also an important determinant of tax fraud. Citizens who believe that the tax system is treating them unfairly find it easier to justify for themselves that they are committing tax fraud. In that respect, a tax system that is perceived as fair can help to prevent tax fraud without implying monitoring costs. Besides, a simple and transparent tax system, defined on tax bases that are easily detectable and using calculating rules that are easily verifiable, reduces both the opportunities for tax fraud and the monitoring costs for the state. </w:t>
      </w:r>
    </w:p>
    <w:p w14:paraId="447E6B03" w14:textId="77777777" w:rsidR="00B94180" w:rsidRPr="008C2A1A" w:rsidRDefault="00B94180" w:rsidP="00D317D8">
      <w:pPr>
        <w:jc w:val="both"/>
        <w:rPr>
          <w:rFonts w:ascii="Garamond" w:hAnsi="Garamond"/>
          <w:color w:val="000000" w:themeColor="text1"/>
          <w:lang w:val="en-US"/>
        </w:rPr>
      </w:pPr>
    </w:p>
    <w:p w14:paraId="40DC28A2" w14:textId="1E6F6C87" w:rsidR="00B94180" w:rsidRPr="008C2A1A" w:rsidRDefault="00B94180" w:rsidP="00D317D8">
      <w:pPr>
        <w:jc w:val="both"/>
        <w:rPr>
          <w:rFonts w:ascii="Garamond" w:hAnsi="Garamond"/>
          <w:color w:val="000000" w:themeColor="text1"/>
          <w:lang w:val="en-US"/>
        </w:rPr>
      </w:pPr>
      <w:r w:rsidRPr="008C2A1A">
        <w:rPr>
          <w:rFonts w:ascii="Garamond" w:hAnsi="Garamond"/>
          <w:color w:val="000000" w:themeColor="text1"/>
          <w:lang w:val="en-US"/>
        </w:rPr>
        <w:t xml:space="preserve">The above list of normative criteria to assess a tax system or fiscal reform from the society's point of view is by no means exhaustive. Legal arguments can play an important role in evaluating a tax system, and one may also prefer a fiscal system that promotes the macro-economic stabilization of business cycles, etc. Moreover, the practical genesis of a tax depends to a large extent on how the different concerns are counterbalanced in the political deliberation process. Some of these concerns can resemble the above criteria, but some other may be more idiosyncratic in nature, such as short-term electoral gains or serving particular interest groups. </w:t>
      </w:r>
    </w:p>
    <w:p w14:paraId="1EAA1A58" w14:textId="77777777" w:rsidR="00B94180" w:rsidRPr="008C2A1A" w:rsidRDefault="00B94180" w:rsidP="00FE760F">
      <w:pPr>
        <w:jc w:val="both"/>
        <w:rPr>
          <w:rFonts w:ascii="Garamond" w:hAnsi="Garamond"/>
          <w:color w:val="000000" w:themeColor="text1"/>
          <w:lang w:val="en-US"/>
        </w:rPr>
      </w:pPr>
    </w:p>
    <w:p w14:paraId="7C181E60" w14:textId="77777777" w:rsidR="00B94180" w:rsidRPr="008C2A1A" w:rsidRDefault="00B94180" w:rsidP="00C01851">
      <w:pPr>
        <w:pStyle w:val="Kop2"/>
        <w:jc w:val="both"/>
        <w:rPr>
          <w:rFonts w:ascii="Garamond" w:hAnsi="Garamond"/>
          <w:color w:val="000000" w:themeColor="text1"/>
          <w:lang w:val="en-GB"/>
        </w:rPr>
      </w:pPr>
      <w:r w:rsidRPr="008C2A1A">
        <w:rPr>
          <w:rFonts w:ascii="Garamond" w:hAnsi="Garamond"/>
          <w:color w:val="000000" w:themeColor="text1"/>
          <w:lang w:val="en-GB"/>
        </w:rPr>
        <w:t>3. The fiscal treatment of company cars in Belgium</w:t>
      </w:r>
    </w:p>
    <w:p w14:paraId="445253B8" w14:textId="77777777" w:rsidR="00B94180" w:rsidRPr="008C2A1A" w:rsidRDefault="00B94180" w:rsidP="00C01851">
      <w:pPr>
        <w:jc w:val="both"/>
        <w:rPr>
          <w:rFonts w:ascii="Garamond" w:hAnsi="Garamond"/>
          <w:color w:val="000000" w:themeColor="text1"/>
          <w:lang w:val="en-GB"/>
        </w:rPr>
      </w:pPr>
    </w:p>
    <w:p w14:paraId="256283A6" w14:textId="1AB1753A" w:rsidR="00B94180" w:rsidRPr="008C2A1A" w:rsidRDefault="00B94180" w:rsidP="00C01851">
      <w:pPr>
        <w:jc w:val="both"/>
        <w:rPr>
          <w:rFonts w:ascii="Garamond" w:hAnsi="Garamond"/>
          <w:color w:val="000000" w:themeColor="text1"/>
          <w:lang w:val="en-GB"/>
        </w:rPr>
      </w:pPr>
      <w:r w:rsidRPr="008C2A1A">
        <w:rPr>
          <w:rFonts w:ascii="Garamond" w:hAnsi="Garamond"/>
          <w:color w:val="000000" w:themeColor="text1"/>
          <w:lang w:val="en-GB"/>
        </w:rPr>
        <w:t>The term company car is used here in the narrow sense to denote cars that are made available by a company or employer to a private person working for the former, and that can also be used for private trips. In chapter</w:t>
      </w:r>
      <w:r w:rsidR="00C073E2" w:rsidRPr="008C2A1A">
        <w:rPr>
          <w:rFonts w:ascii="Garamond" w:hAnsi="Garamond"/>
          <w:color w:val="000000" w:themeColor="text1"/>
          <w:lang w:val="en-GB"/>
        </w:rPr>
        <w:t xml:space="preserve"> 2 of this book</w:t>
      </w:r>
      <w:r w:rsidRPr="008C2A1A">
        <w:rPr>
          <w:rFonts w:ascii="Garamond" w:hAnsi="Garamond"/>
          <w:color w:val="000000" w:themeColor="text1"/>
          <w:lang w:val="en-GB"/>
        </w:rPr>
        <w:t xml:space="preserve">, </w:t>
      </w:r>
      <w:proofErr w:type="gramStart"/>
      <w:r w:rsidRPr="008C2A1A">
        <w:rPr>
          <w:rFonts w:ascii="Garamond" w:hAnsi="Garamond"/>
          <w:color w:val="000000" w:themeColor="text1"/>
          <w:lang w:val="en-GB"/>
        </w:rPr>
        <w:t>May</w:t>
      </w:r>
      <w:proofErr w:type="gramEnd"/>
      <w:r w:rsidRPr="008C2A1A">
        <w:rPr>
          <w:rFonts w:ascii="Garamond" w:hAnsi="Garamond"/>
          <w:color w:val="000000" w:themeColor="text1"/>
          <w:lang w:val="en-GB"/>
        </w:rPr>
        <w:t xml:space="preserve"> reports that between 550 000 and 670 000 company cars were in use in Belgium in 2015, and comes to a careful estimate of about 625 000 company cars, or 11% of the total number of cars. These company cars have come to be a standard part of the salary package of workers and self-employed in many economic sectors in Belgium. Firms may want to provide their employees with a company car for several reasons: employees may need a car for professional trips, the image of the firm may be associated to the car of (some of) their employees or it may be fiscally attractive. Copenhagen Economics (2010) estimates that in Belgium and the Netherlands, only between 20% and 30% of the use of company cars was for professional purposes, the remaining company car use being for commuting or other private trips.</w:t>
      </w:r>
    </w:p>
    <w:p w14:paraId="562956F6" w14:textId="77777777" w:rsidR="00B94180" w:rsidRPr="008C2A1A" w:rsidRDefault="00B94180" w:rsidP="00C01851">
      <w:pPr>
        <w:jc w:val="both"/>
        <w:rPr>
          <w:rFonts w:ascii="Garamond" w:hAnsi="Garamond"/>
          <w:color w:val="000000" w:themeColor="text1"/>
          <w:lang w:val="en-GB"/>
        </w:rPr>
      </w:pPr>
    </w:p>
    <w:p w14:paraId="4F614DEC" w14:textId="08F3293F" w:rsidR="00B94180" w:rsidRPr="008C2A1A" w:rsidRDefault="00B94180" w:rsidP="00C01851">
      <w:pPr>
        <w:jc w:val="both"/>
        <w:rPr>
          <w:rFonts w:ascii="Garamond" w:hAnsi="Garamond"/>
          <w:color w:val="000000" w:themeColor="text1"/>
          <w:lang w:val="en-GB"/>
        </w:rPr>
      </w:pPr>
      <w:r w:rsidRPr="008C2A1A">
        <w:rPr>
          <w:rFonts w:ascii="Garamond" w:hAnsi="Garamond"/>
          <w:color w:val="000000" w:themeColor="text1"/>
          <w:lang w:val="en-GB"/>
        </w:rPr>
        <w:t xml:space="preserve">The generous fiscal treatment of company cars has come under scrutiny on the basis of many of the normative concerns that were elaborated in the previous section. Criticisms of the fiscal advantage for company cars state that it hampers allocative efficiency by steering consumption and production towards car mobility and that it encourages a form of mobility that causes important external costs (air pollution, congestion etc.). The fiscal treatment of company cars is also criticized on equity and transparency grounds: the system is said to be benefiting mainly high-income households and creates a perception of horizontal unfairness for those that do not benefit from it. </w:t>
      </w:r>
    </w:p>
    <w:p w14:paraId="62F72FAC" w14:textId="77777777" w:rsidR="00B94180" w:rsidRPr="008C2A1A" w:rsidRDefault="00B94180" w:rsidP="00C01851">
      <w:pPr>
        <w:jc w:val="both"/>
        <w:rPr>
          <w:rFonts w:ascii="Garamond" w:hAnsi="Garamond"/>
          <w:color w:val="000000" w:themeColor="text1"/>
          <w:lang w:val="en-GB"/>
        </w:rPr>
      </w:pPr>
    </w:p>
    <w:p w14:paraId="3FECCAA0" w14:textId="77777777" w:rsidR="00B94180" w:rsidRPr="008C2A1A" w:rsidRDefault="00B94180" w:rsidP="00C01851">
      <w:pPr>
        <w:jc w:val="both"/>
        <w:rPr>
          <w:rFonts w:ascii="Garamond" w:hAnsi="Garamond"/>
          <w:color w:val="000000" w:themeColor="text1"/>
          <w:lang w:val="en-GB"/>
        </w:rPr>
      </w:pPr>
      <w:r w:rsidRPr="008C2A1A">
        <w:rPr>
          <w:rFonts w:ascii="Garamond" w:hAnsi="Garamond"/>
          <w:color w:val="000000" w:themeColor="text1"/>
          <w:lang w:val="en-GB"/>
        </w:rPr>
        <w:t xml:space="preserve">In this section, we analyse the current fiscal treatment of company cars to identify where and how the system can be considered generous. Copenhagen Economics (2010) suggests that the fiscal </w:t>
      </w:r>
      <w:r w:rsidRPr="008C2A1A">
        <w:rPr>
          <w:rFonts w:ascii="Garamond" w:hAnsi="Garamond"/>
          <w:color w:val="000000" w:themeColor="text1"/>
          <w:lang w:val="en-GB"/>
        </w:rPr>
        <w:lastRenderedPageBreak/>
        <w:t xml:space="preserve">system can create fiscal advantages for company cars and car mobility in general trough different elements: </w:t>
      </w:r>
    </w:p>
    <w:p w14:paraId="7A26409A" w14:textId="76CFFCDF" w:rsidR="00B94180" w:rsidRPr="008C2A1A" w:rsidRDefault="00B94180" w:rsidP="00C01851">
      <w:pPr>
        <w:pStyle w:val="Lijstalinea"/>
        <w:numPr>
          <w:ilvl w:val="0"/>
          <w:numId w:val="8"/>
        </w:numPr>
        <w:jc w:val="both"/>
        <w:rPr>
          <w:rFonts w:ascii="Garamond" w:hAnsi="Garamond"/>
          <w:color w:val="000000" w:themeColor="text1"/>
          <w:lang w:val="en-GB"/>
        </w:rPr>
      </w:pPr>
      <w:r w:rsidRPr="008C2A1A">
        <w:rPr>
          <w:rFonts w:ascii="Garamond" w:hAnsi="Garamond"/>
          <w:color w:val="000000" w:themeColor="text1"/>
          <w:lang w:val="en-GB"/>
        </w:rPr>
        <w:t xml:space="preserve">The personal income tax: by allowing for a low taxable income equivalent of an in-kind benefit such as a company car, or by allowing for generous rates at which travelling costs can be deducted from taxable income. </w:t>
      </w:r>
    </w:p>
    <w:p w14:paraId="2889440A" w14:textId="77777777" w:rsidR="00B94180" w:rsidRPr="008C2A1A" w:rsidRDefault="00B94180" w:rsidP="00C01851">
      <w:pPr>
        <w:pStyle w:val="Lijstalinea"/>
        <w:numPr>
          <w:ilvl w:val="0"/>
          <w:numId w:val="8"/>
        </w:numPr>
        <w:jc w:val="both"/>
        <w:rPr>
          <w:rFonts w:ascii="Garamond" w:hAnsi="Garamond"/>
          <w:color w:val="000000" w:themeColor="text1"/>
          <w:lang w:val="en-GB"/>
        </w:rPr>
      </w:pPr>
      <w:r w:rsidRPr="008C2A1A">
        <w:rPr>
          <w:rFonts w:ascii="Garamond" w:hAnsi="Garamond"/>
          <w:color w:val="000000" w:themeColor="text1"/>
          <w:lang w:val="en-GB"/>
        </w:rPr>
        <w:t>Social security contributions: by requiring lower social security contributions on in-kind labour income such as a company car than on monetary labour income</w:t>
      </w:r>
    </w:p>
    <w:p w14:paraId="35040348" w14:textId="77777777" w:rsidR="00B94180" w:rsidRPr="008C2A1A" w:rsidRDefault="00B94180" w:rsidP="00C01851">
      <w:pPr>
        <w:pStyle w:val="Lijstalinea"/>
        <w:numPr>
          <w:ilvl w:val="0"/>
          <w:numId w:val="8"/>
        </w:numPr>
        <w:jc w:val="both"/>
        <w:rPr>
          <w:rFonts w:ascii="Garamond" w:hAnsi="Garamond"/>
          <w:color w:val="000000" w:themeColor="text1"/>
          <w:lang w:val="en-GB"/>
        </w:rPr>
      </w:pPr>
      <w:r w:rsidRPr="008C2A1A">
        <w:rPr>
          <w:rFonts w:ascii="Garamond" w:hAnsi="Garamond"/>
          <w:color w:val="000000" w:themeColor="text1"/>
          <w:lang w:val="en-GB"/>
        </w:rPr>
        <w:t>The corporate income tax and VAT: by allowing companies to deduct VAT payments on car related expenses, whereas employees would have to pay VAT on these expenses if their car were private.</w:t>
      </w:r>
    </w:p>
    <w:p w14:paraId="75FEBE37" w14:textId="77777777" w:rsidR="00B94180" w:rsidRPr="008C2A1A" w:rsidRDefault="00B94180" w:rsidP="00C01851">
      <w:pPr>
        <w:pStyle w:val="Lijstalinea"/>
        <w:numPr>
          <w:ilvl w:val="0"/>
          <w:numId w:val="8"/>
        </w:numPr>
        <w:jc w:val="both"/>
        <w:rPr>
          <w:rFonts w:ascii="Garamond" w:hAnsi="Garamond"/>
          <w:color w:val="000000" w:themeColor="text1"/>
          <w:lang w:val="en-GB"/>
        </w:rPr>
      </w:pPr>
      <w:r w:rsidRPr="008C2A1A">
        <w:rPr>
          <w:rFonts w:ascii="Garamond" w:hAnsi="Garamond"/>
          <w:color w:val="000000" w:themeColor="text1"/>
          <w:lang w:val="en-GB"/>
        </w:rPr>
        <w:t>Advantageous depreciation rates for company cars (in practice of a lesser importance in the E.U.).</w:t>
      </w:r>
    </w:p>
    <w:p w14:paraId="48D434BF" w14:textId="77777777" w:rsidR="00B94180" w:rsidRPr="008C2A1A" w:rsidRDefault="00B94180" w:rsidP="00C01851">
      <w:pPr>
        <w:jc w:val="both"/>
        <w:rPr>
          <w:rFonts w:ascii="Garamond" w:hAnsi="Garamond"/>
          <w:color w:val="000000" w:themeColor="text1"/>
          <w:lang w:val="en-GB"/>
        </w:rPr>
      </w:pPr>
      <w:r w:rsidRPr="008C2A1A">
        <w:rPr>
          <w:rFonts w:ascii="Garamond" w:hAnsi="Garamond"/>
          <w:color w:val="000000" w:themeColor="text1"/>
          <w:lang w:val="en-GB"/>
        </w:rPr>
        <w:t xml:space="preserve">To establish the size of the fiscal advantage, one must compare all these elements of the current fiscal treatment of company cars to a tax-neutral reference case, where this fiscal advantage is absent. The choice of tax-neutral reference case is not as obvious as it may seem at first sight, and affects the estimate of the fiscal advantage granted to a company cars. Copenhagen Economics (2010) distinguishes in this context two principles: </w:t>
      </w:r>
    </w:p>
    <w:p w14:paraId="0FF86B77" w14:textId="7F42A9F9" w:rsidR="00B94180" w:rsidRPr="008C2A1A" w:rsidRDefault="00B94180" w:rsidP="00C01851">
      <w:pPr>
        <w:pStyle w:val="Lijstalinea"/>
        <w:numPr>
          <w:ilvl w:val="0"/>
          <w:numId w:val="9"/>
        </w:numPr>
        <w:jc w:val="both"/>
        <w:rPr>
          <w:rFonts w:ascii="Garamond" w:hAnsi="Garamond"/>
          <w:color w:val="000000" w:themeColor="text1"/>
          <w:lang w:val="en-GB"/>
        </w:rPr>
      </w:pPr>
      <w:r w:rsidRPr="008C2A1A">
        <w:rPr>
          <w:rFonts w:ascii="Garamond" w:hAnsi="Garamond"/>
          <w:color w:val="000000" w:themeColor="text1"/>
          <w:lang w:val="en-GB"/>
        </w:rPr>
        <w:t>the opportunity cost principle (or tax-neutrality for the employee): the tax system is neutral in this sense if the fringe benefit reported to the fiscal authority is equal to the costs the employee would have supported to have the same car and car use.</w:t>
      </w:r>
    </w:p>
    <w:p w14:paraId="483F732C" w14:textId="244C718C" w:rsidR="00B94180" w:rsidRPr="008C2A1A" w:rsidRDefault="00B94180" w:rsidP="00C01851">
      <w:pPr>
        <w:pStyle w:val="Lijstalinea"/>
        <w:numPr>
          <w:ilvl w:val="0"/>
          <w:numId w:val="9"/>
        </w:numPr>
        <w:jc w:val="both"/>
        <w:rPr>
          <w:rFonts w:ascii="Garamond" w:hAnsi="Garamond"/>
          <w:color w:val="000000" w:themeColor="text1"/>
          <w:lang w:val="en-US"/>
        </w:rPr>
      </w:pPr>
      <w:r w:rsidRPr="008C2A1A">
        <w:rPr>
          <w:rFonts w:ascii="Garamond" w:hAnsi="Garamond"/>
          <w:color w:val="000000" w:themeColor="text1"/>
          <w:lang w:val="en-GB"/>
        </w:rPr>
        <w:t xml:space="preserve">the firm cost principle (tax-neutrality for the employer): the tax system is neutral in this sense if the fringe benefit reported to the fiscal authority is equal to the actual costs of the car for the employer. </w:t>
      </w:r>
    </w:p>
    <w:p w14:paraId="453228A4" w14:textId="4934CBC4" w:rsidR="00B94180" w:rsidRPr="008C2A1A" w:rsidRDefault="00B94180" w:rsidP="00C01851">
      <w:pPr>
        <w:jc w:val="both"/>
        <w:rPr>
          <w:rFonts w:ascii="Garamond" w:hAnsi="Garamond"/>
          <w:color w:val="000000" w:themeColor="text1"/>
          <w:lang w:val="en-US"/>
        </w:rPr>
      </w:pPr>
      <w:r w:rsidRPr="008C2A1A">
        <w:rPr>
          <w:rFonts w:ascii="Garamond" w:hAnsi="Garamond"/>
          <w:color w:val="000000" w:themeColor="text1"/>
          <w:lang w:val="en-US"/>
        </w:rPr>
        <w:t xml:space="preserve">The second principle typically leads to lower fringe benefits because firms can on average negotiate better prices than employees for the purchasing of the car, the interest charge, the maintenance and insurance costs, fuel etc. </w:t>
      </w:r>
    </w:p>
    <w:p w14:paraId="304DE443" w14:textId="77777777" w:rsidR="00B94180" w:rsidRPr="008C2A1A" w:rsidRDefault="00B94180" w:rsidP="00C01851">
      <w:pPr>
        <w:jc w:val="both"/>
        <w:rPr>
          <w:rFonts w:ascii="Garamond" w:hAnsi="Garamond"/>
          <w:color w:val="000000" w:themeColor="text1"/>
          <w:lang w:val="en-US"/>
        </w:rPr>
      </w:pPr>
    </w:p>
    <w:p w14:paraId="373A9929" w14:textId="5CA61E45" w:rsidR="00B94180" w:rsidRPr="008C2A1A" w:rsidRDefault="00B94180" w:rsidP="00C01851">
      <w:pPr>
        <w:jc w:val="both"/>
        <w:rPr>
          <w:rFonts w:ascii="Garamond" w:hAnsi="Garamond"/>
          <w:color w:val="000000" w:themeColor="text1"/>
          <w:lang w:val="en-US"/>
        </w:rPr>
      </w:pPr>
      <w:r w:rsidRPr="008C2A1A">
        <w:rPr>
          <w:rFonts w:ascii="Garamond" w:hAnsi="Garamond"/>
          <w:color w:val="000000" w:themeColor="text1"/>
          <w:lang w:val="en-US"/>
        </w:rPr>
        <w:t xml:space="preserve">In the remainder of this section, we focus on the fiscal treatment of company cars regarding the personal income tax, the corporate income tax and social security contributions.  </w:t>
      </w:r>
    </w:p>
    <w:p w14:paraId="5E1283EC" w14:textId="77777777" w:rsidR="00B94180" w:rsidRPr="008C2A1A" w:rsidRDefault="00B94180" w:rsidP="00C01851">
      <w:pPr>
        <w:jc w:val="both"/>
        <w:rPr>
          <w:rFonts w:ascii="Garamond" w:hAnsi="Garamond"/>
          <w:color w:val="000000" w:themeColor="text1"/>
          <w:lang w:val="en-GB"/>
        </w:rPr>
      </w:pPr>
    </w:p>
    <w:p w14:paraId="075BE043" w14:textId="77777777" w:rsidR="00B94180" w:rsidRPr="008C2A1A" w:rsidRDefault="00B94180" w:rsidP="00C01851">
      <w:pPr>
        <w:jc w:val="both"/>
        <w:rPr>
          <w:rFonts w:ascii="Garamond" w:hAnsi="Garamond"/>
          <w:color w:val="000000" w:themeColor="text1"/>
          <w:sz w:val="22"/>
          <w:lang w:val="en-GB"/>
        </w:rPr>
      </w:pPr>
    </w:p>
    <w:p w14:paraId="6AB7108D" w14:textId="77777777" w:rsidR="00B94180" w:rsidRPr="008C2A1A" w:rsidRDefault="00B94180" w:rsidP="00C01851">
      <w:pPr>
        <w:pStyle w:val="Kop3"/>
        <w:jc w:val="both"/>
        <w:rPr>
          <w:rFonts w:ascii="Garamond" w:hAnsi="Garamond"/>
          <w:b/>
          <w:color w:val="000000" w:themeColor="text1"/>
          <w:lang w:val="en-GB"/>
        </w:rPr>
      </w:pPr>
      <w:r w:rsidRPr="008C2A1A">
        <w:rPr>
          <w:rFonts w:ascii="Garamond" w:hAnsi="Garamond"/>
          <w:b/>
          <w:color w:val="000000" w:themeColor="text1"/>
          <w:lang w:val="en-GB"/>
        </w:rPr>
        <w:t>3.1. From the perspective of the employee – Personal income tax</w:t>
      </w:r>
    </w:p>
    <w:p w14:paraId="0C02E37E" w14:textId="77777777" w:rsidR="00B94180" w:rsidRPr="008C2A1A" w:rsidRDefault="00B94180" w:rsidP="00C01851">
      <w:pPr>
        <w:jc w:val="both"/>
        <w:rPr>
          <w:color w:val="000000" w:themeColor="text1"/>
          <w:lang w:val="en-GB"/>
        </w:rPr>
      </w:pPr>
    </w:p>
    <w:p w14:paraId="65DE0C52" w14:textId="4CE774B5" w:rsidR="00B94180" w:rsidRPr="008C2A1A" w:rsidRDefault="00B94180" w:rsidP="00C01851">
      <w:pPr>
        <w:jc w:val="both"/>
        <w:rPr>
          <w:rFonts w:ascii="Garamond" w:hAnsi="Garamond"/>
          <w:color w:val="000000" w:themeColor="text1"/>
          <w:lang w:val="en-GB"/>
        </w:rPr>
      </w:pPr>
      <w:r w:rsidRPr="008C2A1A">
        <w:rPr>
          <w:rFonts w:ascii="Garamond" w:hAnsi="Garamond"/>
          <w:color w:val="000000" w:themeColor="text1"/>
          <w:lang w:val="en-GB"/>
        </w:rPr>
        <w:t>The personal income tax is computed on the basis of the sum of net professional income, net income from movable property, net real estate income and net miscellaneous income, where “net” means after the deduction of the expenses needed to generate the income. For each category of income, the Income Tax Code (hereafter “ITC”) sets specific rules to determine the net income.</w:t>
      </w:r>
      <w:r w:rsidR="00EB2A14" w:rsidRPr="008C2A1A">
        <w:rPr>
          <w:rStyle w:val="Voetnootmarkering"/>
          <w:rFonts w:ascii="Garamond" w:hAnsi="Garamond"/>
          <w:color w:val="000000" w:themeColor="text1"/>
          <w:lang w:val="en-GB"/>
        </w:rPr>
        <w:footnoteReference w:id="6"/>
      </w:r>
      <w:r w:rsidRPr="008C2A1A">
        <w:rPr>
          <w:rFonts w:ascii="Garamond" w:hAnsi="Garamond"/>
          <w:color w:val="000000" w:themeColor="text1"/>
          <w:lang w:val="en-GB"/>
        </w:rPr>
        <w:t xml:space="preserve"> Company cars are typically linked to professional income, since they result from the professional activity of the worker.  In this sense, they are relevant in the determination of the net professional income in two regards; on the one hand they may interfere in the assessment of the deduction for commuting expenses, on the other hand, they represent a taxable income, under the form of a benefit in kind.</w:t>
      </w:r>
    </w:p>
    <w:p w14:paraId="128BA4CC" w14:textId="77777777" w:rsidR="00B94180" w:rsidRPr="008C2A1A" w:rsidRDefault="00B94180" w:rsidP="00C01851">
      <w:pPr>
        <w:jc w:val="both"/>
        <w:rPr>
          <w:rFonts w:ascii="Garamond" w:hAnsi="Garamond"/>
          <w:color w:val="000000" w:themeColor="text1"/>
          <w:lang w:val="en-GB"/>
        </w:rPr>
      </w:pPr>
    </w:p>
    <w:p w14:paraId="123DD505" w14:textId="6F52F085" w:rsidR="00B94180" w:rsidRPr="008C2A1A" w:rsidRDefault="00B94180" w:rsidP="009A0C65">
      <w:pPr>
        <w:jc w:val="both"/>
        <w:rPr>
          <w:rFonts w:ascii="Times New Roman" w:eastAsia="Times New Roman" w:hAnsi="Times New Roman" w:cs="Times New Roman"/>
          <w:color w:val="000000" w:themeColor="text1"/>
          <w:lang w:val="en-US" w:eastAsia="fr-FR"/>
        </w:rPr>
      </w:pPr>
      <w:r w:rsidRPr="008C2A1A">
        <w:rPr>
          <w:rFonts w:ascii="Garamond" w:hAnsi="Garamond"/>
          <w:color w:val="000000" w:themeColor="text1"/>
          <w:lang w:val="en-GB"/>
        </w:rPr>
        <w:t xml:space="preserve">We first focus on the </w:t>
      </w:r>
      <w:r w:rsidRPr="008C2A1A">
        <w:rPr>
          <w:rFonts w:ascii="Garamond" w:hAnsi="Garamond"/>
          <w:b/>
          <w:color w:val="000000" w:themeColor="text1"/>
          <w:lang w:val="en-GB"/>
        </w:rPr>
        <w:t>deduction for commuting expenses</w:t>
      </w:r>
      <w:r w:rsidRPr="008C2A1A">
        <w:rPr>
          <w:rFonts w:ascii="Garamond" w:hAnsi="Garamond"/>
          <w:color w:val="000000" w:themeColor="text1"/>
          <w:lang w:val="en-GB"/>
        </w:rPr>
        <w:t xml:space="preserve">. </w:t>
      </w:r>
      <w:r w:rsidR="00064678" w:rsidRPr="008C2A1A">
        <w:rPr>
          <w:rFonts w:ascii="Garamond" w:hAnsi="Garamond"/>
          <w:color w:val="000000" w:themeColor="text1"/>
          <w:lang w:val="en-GB"/>
        </w:rPr>
        <w:t xml:space="preserve">From </w:t>
      </w:r>
      <w:r w:rsidR="00A13242" w:rsidRPr="008C2A1A">
        <w:rPr>
          <w:rFonts w:ascii="Garamond" w:hAnsi="Garamond"/>
          <w:color w:val="000000" w:themeColor="text1"/>
          <w:lang w:val="en-GB"/>
        </w:rPr>
        <w:t>a</w:t>
      </w:r>
      <w:r w:rsidR="00064678" w:rsidRPr="008C2A1A">
        <w:rPr>
          <w:rFonts w:ascii="Garamond" w:hAnsi="Garamond"/>
          <w:color w:val="000000" w:themeColor="text1"/>
          <w:lang w:val="en-GB"/>
        </w:rPr>
        <w:t xml:space="preserve"> theoretical viewpoint, the </w:t>
      </w:r>
      <w:r w:rsidR="00A13242" w:rsidRPr="008C2A1A">
        <w:rPr>
          <w:rFonts w:ascii="Garamond" w:hAnsi="Garamond"/>
          <w:color w:val="000000" w:themeColor="text1"/>
          <w:lang w:val="en-GB"/>
        </w:rPr>
        <w:t>fiscal treatment of</w:t>
      </w:r>
      <w:r w:rsidR="00064678" w:rsidRPr="008C2A1A">
        <w:rPr>
          <w:rFonts w:ascii="Garamond" w:hAnsi="Garamond"/>
          <w:color w:val="000000" w:themeColor="text1"/>
          <w:lang w:val="en-GB"/>
        </w:rPr>
        <w:t xml:space="preserve"> commuting expenses is somewhat ambiguous. If an increase of commuting costs results from an employer's change of location, this increase in expenses would logically fall under (deductible) professional expenditure by the employee. If the increase results from the employee moving to a more pleasant house, the increase in costs should count as (non-deductible) private </w:t>
      </w:r>
      <w:r w:rsidR="00064678" w:rsidRPr="008C2A1A">
        <w:rPr>
          <w:rFonts w:ascii="Garamond" w:hAnsi="Garamond"/>
          <w:color w:val="000000" w:themeColor="text1"/>
          <w:lang w:val="en-GB"/>
        </w:rPr>
        <w:lastRenderedPageBreak/>
        <w:t xml:space="preserve">expenditure. Commuting expenses are a function of the localisation decisions of employers and employees, and this ambiguity has led different European countries to treat commuting expenses differently. </w:t>
      </w:r>
      <w:r w:rsidR="00CC759A" w:rsidRPr="008C2A1A">
        <w:rPr>
          <w:rFonts w:ascii="Garamond" w:hAnsi="Garamond"/>
          <w:color w:val="000000" w:themeColor="text1"/>
          <w:lang w:val="en-GB"/>
        </w:rPr>
        <w:t>In practice, t</w:t>
      </w:r>
      <w:r w:rsidRPr="008C2A1A">
        <w:rPr>
          <w:rFonts w:ascii="Garamond" w:hAnsi="Garamond"/>
          <w:color w:val="000000" w:themeColor="text1"/>
          <w:lang w:val="en-GB"/>
        </w:rPr>
        <w:t xml:space="preserve">he </w:t>
      </w:r>
      <w:r w:rsidR="00064678" w:rsidRPr="008C2A1A">
        <w:rPr>
          <w:rFonts w:ascii="Garamond" w:hAnsi="Garamond"/>
          <w:color w:val="000000" w:themeColor="text1"/>
          <w:lang w:val="en-GB"/>
        </w:rPr>
        <w:t xml:space="preserve">Belgian </w:t>
      </w:r>
      <w:r w:rsidRPr="008C2A1A">
        <w:rPr>
          <w:rFonts w:ascii="Garamond" w:hAnsi="Garamond"/>
          <w:color w:val="000000" w:themeColor="text1"/>
          <w:lang w:val="en-GB"/>
        </w:rPr>
        <w:t>taxpayer may choose between real expenses deductions or flat rate deductions. Flat rate deductions over all professional expenses (including commuting expenses) depend on the amount and the type of income</w:t>
      </w:r>
      <w:r w:rsidR="00EB2A14" w:rsidRPr="008C2A1A">
        <w:rPr>
          <w:rStyle w:val="Voetnootmarkering"/>
          <w:rFonts w:ascii="Garamond" w:hAnsi="Garamond"/>
          <w:color w:val="000000" w:themeColor="text1"/>
          <w:lang w:val="en-GB"/>
        </w:rPr>
        <w:footnoteReference w:id="7"/>
      </w:r>
      <w:r w:rsidRPr="008C2A1A">
        <w:rPr>
          <w:rFonts w:ascii="Garamond" w:hAnsi="Garamond"/>
          <w:color w:val="000000" w:themeColor="text1"/>
          <w:lang w:val="en-GB"/>
        </w:rPr>
        <w:t xml:space="preserve"> (e.g. 3% of the income for </w:t>
      </w:r>
      <w:r w:rsidRPr="008C2A1A">
        <w:rPr>
          <w:rFonts w:ascii="Garamond" w:hAnsi="Garamond" w:cs="Arial"/>
          <w:color w:val="000000" w:themeColor="text1"/>
          <w:lang w:val="en-GB"/>
        </w:rPr>
        <w:t>employees</w:t>
      </w:r>
      <w:r w:rsidRPr="008C2A1A">
        <w:rPr>
          <w:rFonts w:ascii="Garamond" w:hAnsi="Garamond"/>
          <w:color w:val="000000" w:themeColor="text1"/>
          <w:lang w:val="en-GB"/>
        </w:rPr>
        <w:t xml:space="preserve"> with an income larger than 20.360 euros) and are limited to 4,240 euros.</w:t>
      </w:r>
      <w:r w:rsidR="00EB2A14" w:rsidRPr="008C2A1A">
        <w:rPr>
          <w:rStyle w:val="Voetnootmarkering"/>
          <w:rFonts w:ascii="Garamond" w:hAnsi="Garamond"/>
          <w:color w:val="000000" w:themeColor="text1"/>
          <w:lang w:val="en-GB"/>
        </w:rPr>
        <w:footnoteReference w:id="8"/>
      </w:r>
      <w:r w:rsidRPr="008C2A1A">
        <w:rPr>
          <w:rFonts w:ascii="Garamond" w:hAnsi="Garamond"/>
          <w:color w:val="000000" w:themeColor="text1"/>
          <w:lang w:val="en-GB"/>
        </w:rPr>
        <w:t xml:space="preserve"> Under the flat rate regime, a company car user benefits from an exemption of 380 euros, which is applied on the amount of the benefit in kind. An additional flat rate deduction can be granted to </w:t>
      </w:r>
      <w:r w:rsidRPr="008C2A1A">
        <w:rPr>
          <w:rFonts w:ascii="Garamond" w:hAnsi="Garamond" w:cs="Arial"/>
          <w:color w:val="000000" w:themeColor="text1"/>
          <w:lang w:val="en-GB"/>
        </w:rPr>
        <w:t>employees</w:t>
      </w:r>
      <w:r w:rsidRPr="008C2A1A">
        <w:rPr>
          <w:rFonts w:ascii="Garamond" w:hAnsi="Garamond" w:cs="Arial"/>
          <w:b/>
          <w:bCs/>
          <w:color w:val="000000" w:themeColor="text1"/>
          <w:lang w:val="en-GB"/>
        </w:rPr>
        <w:t xml:space="preserve"> </w:t>
      </w:r>
      <w:r w:rsidRPr="008C2A1A">
        <w:rPr>
          <w:rFonts w:ascii="Garamond" w:hAnsi="Garamond"/>
          <w:color w:val="000000" w:themeColor="text1"/>
          <w:lang w:val="en-GB"/>
        </w:rPr>
        <w:t>when the distance between their home and their workplace exceeds 75 km. When the taxpayer opts for deduction of actual expenses, the following rules apply.</w:t>
      </w:r>
      <w:r w:rsidR="00EB2A14" w:rsidRPr="008C2A1A">
        <w:rPr>
          <w:rStyle w:val="Voetnootmarkering"/>
          <w:rFonts w:ascii="Garamond" w:hAnsi="Garamond"/>
          <w:color w:val="000000" w:themeColor="text1"/>
          <w:lang w:val="en-GB"/>
        </w:rPr>
        <w:footnoteReference w:id="9"/>
      </w:r>
      <w:r w:rsidRPr="008C2A1A">
        <w:rPr>
          <w:rFonts w:ascii="Garamond" w:hAnsi="Garamond"/>
          <w:color w:val="000000" w:themeColor="text1"/>
          <w:lang w:val="en-GB"/>
        </w:rPr>
        <w:t xml:space="preserve"> </w:t>
      </w:r>
    </w:p>
    <w:p w14:paraId="65FE9B94" w14:textId="30AC714E" w:rsidR="00B94180" w:rsidRPr="008C2A1A" w:rsidRDefault="00B94180" w:rsidP="00B24409">
      <w:pPr>
        <w:spacing w:before="100" w:beforeAutospacing="1" w:after="100" w:afterAutospacing="1"/>
        <w:jc w:val="both"/>
        <w:rPr>
          <w:rFonts w:ascii="Garamond" w:hAnsi="Garamond"/>
          <w:color w:val="000000" w:themeColor="text1"/>
          <w:lang w:val="en-GB"/>
        </w:rPr>
      </w:pPr>
      <w:r w:rsidRPr="008C2A1A">
        <w:rPr>
          <w:rFonts w:ascii="Garamond" w:hAnsi="Garamond"/>
          <w:color w:val="000000" w:themeColor="text1"/>
          <w:lang w:val="en-GB"/>
        </w:rPr>
        <w:t xml:space="preserve">According to Art. 49, lid 1 ITC, real expenses that the taxpayer has incurred during the assessment period </w:t>
      </w:r>
      <w:r w:rsidRPr="008C2A1A">
        <w:rPr>
          <w:rFonts w:ascii="Garamond" w:hAnsi="Garamond" w:cs="Arial"/>
          <w:color w:val="000000" w:themeColor="text1"/>
          <w:lang w:val="en-GB"/>
        </w:rPr>
        <w:t xml:space="preserve">with a view to acquiring or preserving taxable income </w:t>
      </w:r>
      <w:r w:rsidRPr="008C2A1A">
        <w:rPr>
          <w:rFonts w:ascii="Garamond" w:hAnsi="Garamond"/>
          <w:color w:val="000000" w:themeColor="text1"/>
          <w:lang w:val="en-GB"/>
        </w:rPr>
        <w:t xml:space="preserve">may be deducted, provided he can establish the reality and the amount of such expenditures. As regards commuting expenses, they can in principle be deducted from the tax base, as a professional charge. Three categories of travel expenses must be distinguished: private travel expenses, home-work travel expenses and professional travel expenses. As regards expenses falling into the first category, no deduction is allowed, as they consist of purely private expenses. With respect to home-work travel expenses, the ITC distinguishes between the modes of transport used to make the journey. When a car is used, expenses are set at a flat rate of 15 cents per </w:t>
      </w:r>
      <w:proofErr w:type="spellStart"/>
      <w:r w:rsidRPr="008C2A1A">
        <w:rPr>
          <w:rFonts w:ascii="Garamond" w:hAnsi="Garamond"/>
          <w:color w:val="000000" w:themeColor="text1"/>
          <w:lang w:val="en-GB"/>
        </w:rPr>
        <w:t>kilometer</w:t>
      </w:r>
      <w:proofErr w:type="spellEnd"/>
      <w:r w:rsidRPr="008C2A1A">
        <w:rPr>
          <w:color w:val="000000" w:themeColor="text1"/>
          <w:lang w:val="en-US"/>
        </w:rPr>
        <w:t xml:space="preserve"> </w:t>
      </w:r>
      <w:r w:rsidRPr="008C2A1A">
        <w:rPr>
          <w:rFonts w:ascii="Garamond" w:hAnsi="Garamond"/>
          <w:color w:val="000000" w:themeColor="text1"/>
          <w:lang w:val="en-GB"/>
        </w:rPr>
        <w:t xml:space="preserve">(Art. 66, § 4 &amp; § 5, ITC). This rule applies upon condition that the employees who ask for the deduction own the vehicle, rent or lease it on a regular basis, or if the vehicle is registered in their name or is the property of their employer or company. Therefore, company cars also fulfil this condition. The number of kilometers between the home and the workplace is assessed based on a “normal” journey, considering congestion, roads conditions etc.; it must not be the shorter possible journey. When the car used for home-work trips is a company car, travel expenses may not exceed the value of the benefit in kind. Taxpayers who are provided with a company car may also deduct incurred professional commuting expenses </w:t>
      </w:r>
      <w:r w:rsidR="00064678" w:rsidRPr="008C2A1A">
        <w:rPr>
          <w:rFonts w:ascii="Garamond" w:hAnsi="Garamond"/>
          <w:color w:val="000000" w:themeColor="text1"/>
          <w:lang w:val="en-GB"/>
        </w:rPr>
        <w:t>they</w:t>
      </w:r>
      <w:r w:rsidRPr="008C2A1A">
        <w:rPr>
          <w:rFonts w:ascii="Garamond" w:hAnsi="Garamond"/>
          <w:color w:val="000000" w:themeColor="text1"/>
          <w:lang w:val="en-GB"/>
        </w:rPr>
        <w:t xml:space="preserve"> incur </w:t>
      </w:r>
      <w:r w:rsidR="00064678" w:rsidRPr="008C2A1A">
        <w:rPr>
          <w:rFonts w:ascii="Garamond" w:hAnsi="Garamond"/>
          <w:color w:val="000000" w:themeColor="text1"/>
          <w:lang w:val="en-GB"/>
        </w:rPr>
        <w:t>themselves</w:t>
      </w:r>
      <w:r w:rsidRPr="008C2A1A">
        <w:rPr>
          <w:rFonts w:ascii="Garamond" w:hAnsi="Garamond"/>
          <w:color w:val="000000" w:themeColor="text1"/>
          <w:lang w:val="en-GB"/>
        </w:rPr>
        <w:t xml:space="preserve"> (other than those between the home and the workplace). For instance, the deductible costs include fuel expenses when access to the cars is not accompanied by a fuel card. Other eligible expenses encompass the registration tax, the annual circulation tax, the amortisation of the car, maintenance and reparation costs, non-deductible VAT, etc. The share of those costs that may be deducted as expenses for professional trips is based on the kilometers travelled for this purpose relative to the total number of kilometers driven. Until January 1, 2018, these were deductible at a rate of 75 percent, accordingly with Art. 66, § 1, ITC. From January 1, 2018 (taxable year 2019), the deduction rate of these expenses is harmonised with the rate applicable for the purpose of the corporate income tax (based on CO2 emissions, see below). For reasons of legal certainty, the reform does not apply to cars that were purchased or ordered before January 1, 2018.</w:t>
      </w:r>
    </w:p>
    <w:p w14:paraId="73A35E78" w14:textId="01CEE7D8" w:rsidR="00B94180" w:rsidRPr="008C2A1A" w:rsidRDefault="00B94180" w:rsidP="00C01851">
      <w:pPr>
        <w:jc w:val="both"/>
        <w:rPr>
          <w:rFonts w:ascii="Garamond" w:hAnsi="Garamond"/>
          <w:color w:val="000000" w:themeColor="text1"/>
          <w:lang w:val="en-GB"/>
        </w:rPr>
      </w:pPr>
      <w:r w:rsidRPr="008C2A1A">
        <w:rPr>
          <w:rFonts w:ascii="Garamond" w:hAnsi="Garamond"/>
          <w:color w:val="000000" w:themeColor="text1"/>
          <w:lang w:val="en-GB"/>
        </w:rPr>
        <w:t xml:space="preserve">As regards the tax regime of the employee, the provision of a company car for private use </w:t>
      </w:r>
      <w:r w:rsidR="00EB2A14" w:rsidRPr="008C2A1A">
        <w:rPr>
          <w:rFonts w:ascii="Garamond" w:hAnsi="Garamond"/>
          <w:color w:val="000000" w:themeColor="text1"/>
          <w:lang w:val="en-GB"/>
        </w:rPr>
        <w:t xml:space="preserve">(including commuting trips) </w:t>
      </w:r>
      <w:r w:rsidRPr="008C2A1A">
        <w:rPr>
          <w:rFonts w:ascii="Garamond" w:hAnsi="Garamond"/>
          <w:color w:val="000000" w:themeColor="text1"/>
          <w:lang w:val="en-GB"/>
        </w:rPr>
        <w:t xml:space="preserve">represents a </w:t>
      </w:r>
      <w:r w:rsidRPr="008C2A1A">
        <w:rPr>
          <w:rFonts w:ascii="Garamond" w:hAnsi="Garamond"/>
          <w:b/>
          <w:color w:val="000000" w:themeColor="text1"/>
          <w:lang w:val="en-GB"/>
        </w:rPr>
        <w:t>taxable fringe benefit</w:t>
      </w:r>
      <w:r w:rsidRPr="008C2A1A">
        <w:rPr>
          <w:rFonts w:ascii="Garamond" w:hAnsi="Garamond"/>
          <w:color w:val="000000" w:themeColor="text1"/>
          <w:lang w:val="en-GB"/>
        </w:rPr>
        <w:t xml:space="preserve">. Fringe benefits consist of a professional income, supplementing normal wages or salaries, which can be given in the form of a money allowance or in the form of benefits in kind. Such an income is taxable for the purpose of the personal income tax. When the fringe benefit takes the form of a company car, Art. 36, § 2 ITC determines how to assess its value on a flat-rate basis.  </w:t>
      </w:r>
    </w:p>
    <w:p w14:paraId="5D6C1C66" w14:textId="77777777" w:rsidR="00B94180" w:rsidRPr="008C2A1A" w:rsidRDefault="00B94180" w:rsidP="00C01851">
      <w:pPr>
        <w:jc w:val="both"/>
        <w:rPr>
          <w:rFonts w:ascii="Garamond" w:hAnsi="Garamond"/>
          <w:color w:val="000000" w:themeColor="text1"/>
          <w:lang w:val="en-GB"/>
        </w:rPr>
      </w:pPr>
    </w:p>
    <w:p w14:paraId="178A6A2C" w14:textId="50F5BBFE" w:rsidR="00B94180" w:rsidRPr="008C2A1A" w:rsidRDefault="00B94180" w:rsidP="00C01851">
      <w:pPr>
        <w:jc w:val="both"/>
        <w:rPr>
          <w:rFonts w:ascii="Garamond" w:hAnsi="Garamond"/>
          <w:color w:val="000000" w:themeColor="text1"/>
          <w:lang w:val="en-GB"/>
        </w:rPr>
      </w:pPr>
      <w:r w:rsidRPr="008C2A1A">
        <w:rPr>
          <w:rFonts w:ascii="Garamond" w:hAnsi="Garamond"/>
          <w:color w:val="000000" w:themeColor="text1"/>
          <w:lang w:val="en-GB"/>
        </w:rPr>
        <w:t>Originally, until January 1</w:t>
      </w:r>
      <w:r w:rsidRPr="008C2A1A">
        <w:rPr>
          <w:rFonts w:ascii="Garamond" w:hAnsi="Garamond"/>
          <w:color w:val="000000" w:themeColor="text1"/>
          <w:vertAlign w:val="superscript"/>
          <w:lang w:val="en-GB"/>
        </w:rPr>
        <w:t>st</w:t>
      </w:r>
      <w:r w:rsidRPr="008C2A1A">
        <w:rPr>
          <w:rFonts w:ascii="Garamond" w:hAnsi="Garamond"/>
          <w:color w:val="000000" w:themeColor="text1"/>
          <w:lang w:val="en-GB"/>
        </w:rPr>
        <w:t xml:space="preserve">, 2010, the value of the benefit was assessed on the basis of the number of kilometers travelled, for personal purposes, multiplied by a fixed term (in euro) per </w:t>
      </w:r>
      <w:proofErr w:type="spellStart"/>
      <w:r w:rsidRPr="008C2A1A">
        <w:rPr>
          <w:rFonts w:ascii="Garamond" w:hAnsi="Garamond"/>
          <w:color w:val="000000" w:themeColor="text1"/>
          <w:lang w:val="en-GB"/>
        </w:rPr>
        <w:t>kilometer</w:t>
      </w:r>
      <w:proofErr w:type="spellEnd"/>
      <w:r w:rsidRPr="008C2A1A">
        <w:rPr>
          <w:rFonts w:ascii="Garamond" w:hAnsi="Garamond"/>
          <w:color w:val="000000" w:themeColor="text1"/>
          <w:lang w:val="en-GB"/>
        </w:rPr>
        <w:t xml:space="preserve"> travelled, depending on the engine power (in fiscal horse power) of the car. Therefore, in this system, the actual use of the car was </w:t>
      </w:r>
      <w:proofErr w:type="gramStart"/>
      <w:r w:rsidRPr="008C2A1A">
        <w:rPr>
          <w:rFonts w:ascii="Garamond" w:hAnsi="Garamond"/>
          <w:color w:val="000000" w:themeColor="text1"/>
          <w:lang w:val="en-GB"/>
        </w:rPr>
        <w:t>taken into account</w:t>
      </w:r>
      <w:proofErr w:type="gramEnd"/>
      <w:r w:rsidRPr="008C2A1A">
        <w:rPr>
          <w:rFonts w:ascii="Garamond" w:hAnsi="Garamond"/>
          <w:color w:val="000000" w:themeColor="text1"/>
          <w:lang w:val="en-GB"/>
        </w:rPr>
        <w:t xml:space="preserve">. In addition, the criterium of the engine power was consistent with that used to determine the amount of the (regional) motor vehicle taxes. </w:t>
      </w:r>
    </w:p>
    <w:p w14:paraId="3417C9CA" w14:textId="77777777" w:rsidR="00B94180" w:rsidRPr="008C2A1A" w:rsidRDefault="00B94180" w:rsidP="00C01851">
      <w:pPr>
        <w:jc w:val="both"/>
        <w:rPr>
          <w:rFonts w:ascii="Garamond" w:hAnsi="Garamond"/>
          <w:color w:val="000000" w:themeColor="text1"/>
          <w:lang w:val="en-GB"/>
        </w:rPr>
      </w:pPr>
    </w:p>
    <w:p w14:paraId="4557AA4D" w14:textId="04003CF6" w:rsidR="003E1480" w:rsidRPr="008C2A1A" w:rsidRDefault="00B94180" w:rsidP="00C01851">
      <w:pPr>
        <w:jc w:val="both"/>
        <w:rPr>
          <w:rFonts w:ascii="Garamond" w:hAnsi="Garamond"/>
          <w:color w:val="000000" w:themeColor="text1"/>
          <w:lang w:val="en-GB"/>
        </w:rPr>
      </w:pPr>
      <w:r w:rsidRPr="008C2A1A">
        <w:rPr>
          <w:rFonts w:ascii="Garamond" w:hAnsi="Garamond"/>
          <w:color w:val="000000" w:themeColor="text1"/>
          <w:lang w:val="en-GB"/>
        </w:rPr>
        <w:t>The engine power parameter was replaced in 2009, by CO</w:t>
      </w:r>
      <w:r w:rsidRPr="008C2A1A">
        <w:rPr>
          <w:rFonts w:ascii="Garamond" w:hAnsi="Garamond"/>
          <w:color w:val="000000" w:themeColor="text1"/>
          <w:vertAlign w:val="subscript"/>
          <w:lang w:val="en-GB"/>
        </w:rPr>
        <w:t>2</w:t>
      </w:r>
      <w:r w:rsidRPr="008C2A1A">
        <w:rPr>
          <w:rFonts w:ascii="Garamond" w:hAnsi="Garamond"/>
          <w:color w:val="000000" w:themeColor="text1"/>
          <w:lang w:val="en-GB"/>
        </w:rPr>
        <w:t xml:space="preserve"> emissions and the type of fuel. The value of the advantage was calculated as follows: the number of kilometers travelled, for personal purposes, multiplied by the CO</w:t>
      </w:r>
      <w:r w:rsidRPr="008C2A1A">
        <w:rPr>
          <w:rFonts w:ascii="Garamond" w:hAnsi="Garamond"/>
          <w:color w:val="000000" w:themeColor="text1"/>
          <w:vertAlign w:val="subscript"/>
          <w:lang w:val="en-GB"/>
        </w:rPr>
        <w:t>2</w:t>
      </w:r>
      <w:r w:rsidRPr="008C2A1A">
        <w:rPr>
          <w:rFonts w:ascii="Garamond" w:hAnsi="Garamond"/>
          <w:color w:val="000000" w:themeColor="text1"/>
          <w:lang w:val="en-GB"/>
        </w:rPr>
        <w:t xml:space="preserve"> emission</w:t>
      </w:r>
      <w:r w:rsidR="007C07F6" w:rsidRPr="008C2A1A">
        <w:rPr>
          <w:rFonts w:ascii="Garamond" w:hAnsi="Garamond"/>
          <w:color w:val="000000" w:themeColor="text1"/>
          <w:lang w:val="en-GB"/>
        </w:rPr>
        <w:t xml:space="preserve"> rate</w:t>
      </w:r>
      <w:r w:rsidRPr="008C2A1A">
        <w:rPr>
          <w:rFonts w:ascii="Garamond" w:hAnsi="Garamond"/>
          <w:color w:val="000000" w:themeColor="text1"/>
          <w:lang w:val="en-GB"/>
        </w:rPr>
        <w:t>, and again multiplied by a CO</w:t>
      </w:r>
      <w:r w:rsidRPr="008C2A1A">
        <w:rPr>
          <w:rFonts w:ascii="Garamond" w:hAnsi="Garamond"/>
          <w:color w:val="000000" w:themeColor="text1"/>
          <w:vertAlign w:val="subscript"/>
          <w:lang w:val="en-GB"/>
        </w:rPr>
        <w:t>2</w:t>
      </w:r>
      <w:r w:rsidRPr="008C2A1A">
        <w:rPr>
          <w:rFonts w:ascii="Garamond" w:hAnsi="Garamond"/>
          <w:color w:val="000000" w:themeColor="text1"/>
          <w:lang w:val="en-GB"/>
        </w:rPr>
        <w:t xml:space="preserve"> coefficient (in euro), which varied according to the type of fuel used. </w:t>
      </w:r>
    </w:p>
    <w:p w14:paraId="31CF14F8" w14:textId="249052BE" w:rsidR="00B94180" w:rsidRPr="008C2A1A" w:rsidRDefault="00B94180" w:rsidP="00C01851">
      <w:pPr>
        <w:jc w:val="both"/>
        <w:rPr>
          <w:rFonts w:ascii="Garamond" w:hAnsi="Garamond"/>
          <w:color w:val="000000" w:themeColor="text1"/>
          <w:lang w:val="en-GB"/>
        </w:rPr>
      </w:pPr>
      <w:r w:rsidRPr="008C2A1A">
        <w:rPr>
          <w:rFonts w:ascii="Garamond" w:hAnsi="Garamond"/>
          <w:color w:val="000000" w:themeColor="text1"/>
          <w:lang w:val="en-GB"/>
        </w:rPr>
        <w:t>From January 1</w:t>
      </w:r>
      <w:r w:rsidRPr="008C2A1A">
        <w:rPr>
          <w:rFonts w:ascii="Garamond" w:hAnsi="Garamond"/>
          <w:color w:val="000000" w:themeColor="text1"/>
          <w:vertAlign w:val="superscript"/>
          <w:lang w:val="en-GB"/>
        </w:rPr>
        <w:t>st</w:t>
      </w:r>
      <w:r w:rsidRPr="008C2A1A">
        <w:rPr>
          <w:rFonts w:ascii="Garamond" w:hAnsi="Garamond"/>
          <w:color w:val="000000" w:themeColor="text1"/>
          <w:lang w:val="en-GB"/>
        </w:rPr>
        <w:t>, 2012 onwards, new parameters are applied. These consist of CO</w:t>
      </w:r>
      <w:r w:rsidRPr="008C2A1A">
        <w:rPr>
          <w:rFonts w:ascii="Garamond" w:hAnsi="Garamond"/>
          <w:color w:val="000000" w:themeColor="text1"/>
          <w:vertAlign w:val="subscript"/>
          <w:lang w:val="en-GB"/>
        </w:rPr>
        <w:t>2</w:t>
      </w:r>
      <w:r w:rsidRPr="008C2A1A">
        <w:rPr>
          <w:rFonts w:ascii="Garamond" w:hAnsi="Garamond"/>
          <w:color w:val="000000" w:themeColor="text1"/>
          <w:lang w:val="en-GB"/>
        </w:rPr>
        <w:t xml:space="preserve"> emissions of the vehicle and its catalogue value, according to the following formula.</w:t>
      </w:r>
      <w:r w:rsidR="003E1480" w:rsidRPr="008C2A1A">
        <w:rPr>
          <w:rStyle w:val="Voetnootmarkering"/>
          <w:rFonts w:ascii="Garamond" w:hAnsi="Garamond"/>
          <w:color w:val="000000" w:themeColor="text1"/>
          <w:lang w:val="en-GB"/>
        </w:rPr>
        <w:footnoteReference w:id="10"/>
      </w:r>
      <w:r w:rsidRPr="008C2A1A">
        <w:rPr>
          <w:rFonts w:ascii="Garamond" w:hAnsi="Garamond"/>
          <w:color w:val="000000" w:themeColor="text1"/>
          <w:lang w:val="en-GB"/>
        </w:rPr>
        <w:t xml:space="preserve"> Therefore, the reference to the kilometers travelled is forgone.</w:t>
      </w:r>
    </w:p>
    <w:p w14:paraId="70644CF3" w14:textId="77777777" w:rsidR="00B94180" w:rsidRPr="008C2A1A" w:rsidRDefault="00B94180" w:rsidP="00C01851">
      <w:pPr>
        <w:jc w:val="both"/>
        <w:rPr>
          <w:rFonts w:ascii="Garamond" w:hAnsi="Garamond"/>
          <w:color w:val="000000" w:themeColor="text1"/>
          <w:lang w:val="en-GB"/>
        </w:rPr>
      </w:pPr>
    </w:p>
    <w:tbl>
      <w:tblPr>
        <w:tblStyle w:val="Tabelraster"/>
        <w:tblW w:w="0" w:type="auto"/>
        <w:tblLook w:val="04A0" w:firstRow="1" w:lastRow="0" w:firstColumn="1" w:lastColumn="0" w:noHBand="0" w:noVBand="1"/>
      </w:tblPr>
      <w:tblGrid>
        <w:gridCol w:w="9056"/>
      </w:tblGrid>
      <w:tr w:rsidR="008C2A1A" w:rsidRPr="002D6EB7" w14:paraId="506B3146" w14:textId="77777777" w:rsidTr="00951B95">
        <w:tc>
          <w:tcPr>
            <w:tcW w:w="9056" w:type="dxa"/>
          </w:tcPr>
          <w:p w14:paraId="52E904D5" w14:textId="580B49E3" w:rsidR="00B94180" w:rsidRPr="008C2A1A" w:rsidRDefault="00B94180" w:rsidP="00951B95">
            <w:pPr>
              <w:jc w:val="both"/>
              <w:rPr>
                <w:rFonts w:ascii="Garamond" w:hAnsi="Garamond"/>
                <w:b/>
                <w:bCs/>
                <w:color w:val="000000" w:themeColor="text1"/>
                <w:lang w:val="en-GB"/>
              </w:rPr>
            </w:pPr>
            <w:r w:rsidRPr="008C2A1A">
              <w:rPr>
                <w:rFonts w:ascii="Garamond" w:hAnsi="Garamond"/>
                <w:b/>
                <w:bCs/>
                <w:color w:val="000000" w:themeColor="text1"/>
                <w:lang w:val="en-GB"/>
              </w:rPr>
              <w:t xml:space="preserve">Fringe benefit value = catalogue value x (5,5 + 0,1 x (CO2 emission per </w:t>
            </w:r>
            <w:proofErr w:type="spellStart"/>
            <w:r w:rsidRPr="008C2A1A">
              <w:rPr>
                <w:rFonts w:ascii="Garamond" w:hAnsi="Garamond"/>
                <w:b/>
                <w:bCs/>
                <w:color w:val="000000" w:themeColor="text1"/>
                <w:lang w:val="en-GB"/>
              </w:rPr>
              <w:t>kilometer</w:t>
            </w:r>
            <w:proofErr w:type="spellEnd"/>
            <w:r w:rsidRPr="008C2A1A">
              <w:rPr>
                <w:rFonts w:ascii="Garamond" w:hAnsi="Garamond"/>
                <w:b/>
                <w:bCs/>
                <w:color w:val="000000" w:themeColor="text1"/>
                <w:lang w:val="en-GB"/>
              </w:rPr>
              <w:t xml:space="preserve"> – CO</w:t>
            </w:r>
            <w:r w:rsidRPr="008C2A1A">
              <w:rPr>
                <w:rFonts w:ascii="Garamond" w:hAnsi="Garamond"/>
                <w:b/>
                <w:bCs/>
                <w:color w:val="000000" w:themeColor="text1"/>
                <w:vertAlign w:val="subscript"/>
                <w:lang w:val="en-GB"/>
              </w:rPr>
              <w:t>2</w:t>
            </w:r>
            <w:r w:rsidRPr="008C2A1A">
              <w:rPr>
                <w:rFonts w:ascii="Garamond" w:hAnsi="Garamond"/>
                <w:b/>
                <w:bCs/>
                <w:color w:val="000000" w:themeColor="text1"/>
                <w:lang w:val="en-GB"/>
              </w:rPr>
              <w:t xml:space="preserve"> reference rate)) x corrective (age) coefficient x 6/7</w:t>
            </w:r>
          </w:p>
        </w:tc>
      </w:tr>
    </w:tbl>
    <w:p w14:paraId="3B4E38BA" w14:textId="77777777" w:rsidR="00B94180" w:rsidRPr="008C2A1A" w:rsidRDefault="00B94180" w:rsidP="00C01851">
      <w:pPr>
        <w:jc w:val="both"/>
        <w:rPr>
          <w:rFonts w:ascii="Garamond" w:hAnsi="Garamond"/>
          <w:color w:val="000000" w:themeColor="text1"/>
          <w:lang w:val="en-GB"/>
        </w:rPr>
      </w:pPr>
    </w:p>
    <w:p w14:paraId="075E1DBF" w14:textId="6A890848" w:rsidR="00B72B8F" w:rsidRPr="008C2A1A" w:rsidRDefault="00B72B8F" w:rsidP="00C01851">
      <w:pPr>
        <w:jc w:val="both"/>
        <w:rPr>
          <w:rFonts w:ascii="Garamond" w:hAnsi="Garamond"/>
          <w:color w:val="000000" w:themeColor="text1"/>
          <w:lang w:val="en-GB"/>
        </w:rPr>
      </w:pPr>
      <w:r w:rsidRPr="008C2A1A">
        <w:rPr>
          <w:rFonts w:ascii="Garamond" w:hAnsi="Garamond"/>
          <w:color w:val="000000" w:themeColor="text1"/>
          <w:lang w:val="en-GB"/>
        </w:rPr>
        <w:t>First, one multiplies the catalogue value with a coefficient of 6/7. This catalogue value is defined as the price of the vehicle, in new condition, as sold to individuals, including options and value added tax effectively paid, and regardless reduction, diminutions, rebates and discounts. Note</w:t>
      </w:r>
      <w:r w:rsidR="00133C47" w:rsidRPr="008C2A1A">
        <w:rPr>
          <w:rFonts w:ascii="Garamond" w:hAnsi="Garamond"/>
          <w:color w:val="000000" w:themeColor="text1"/>
          <w:lang w:val="en-GB"/>
        </w:rPr>
        <w:t xml:space="preserve"> that in light of the above distinction between the firm cost principle and opportunity cost principle, the legislator could have taken the actual purchasing/leasing costs of the car as a basis for the fringe benefit calculation, in accordance with the firm cost principle. This is a formula chosen by several other OECD countries, but not by Belgium. The use of the catalogue value reflects the price that a household would pay, and thus aligns with the opportunity cost principle. But the coefficient 6/7 can be interpreted as bringing the fringe benefit closer to the actual vehicle costs, </w:t>
      </w:r>
      <w:r w:rsidR="006A3ADD" w:rsidRPr="008C2A1A">
        <w:rPr>
          <w:rFonts w:ascii="Garamond" w:hAnsi="Garamond"/>
          <w:color w:val="000000" w:themeColor="text1"/>
          <w:lang w:val="en-GB"/>
        </w:rPr>
        <w:t>given that the employer is likely able to negotiate a better price than the catalogue value.</w:t>
      </w:r>
    </w:p>
    <w:p w14:paraId="6B67B458" w14:textId="016F3DF7" w:rsidR="006A3ADD" w:rsidRPr="008C2A1A" w:rsidRDefault="00B72B8F" w:rsidP="00C01851">
      <w:pPr>
        <w:jc w:val="both"/>
        <w:rPr>
          <w:rFonts w:ascii="Garamond" w:hAnsi="Garamond"/>
          <w:color w:val="000000" w:themeColor="text1"/>
          <w:lang w:val="en-GB"/>
        </w:rPr>
      </w:pPr>
      <w:r w:rsidRPr="008C2A1A">
        <w:rPr>
          <w:rFonts w:ascii="Garamond" w:hAnsi="Garamond"/>
          <w:color w:val="000000" w:themeColor="text1"/>
          <w:lang w:val="en-GB"/>
        </w:rPr>
        <w:t xml:space="preserve">A second important factor refers to </w:t>
      </w:r>
      <w:r w:rsidR="00B94180" w:rsidRPr="008C2A1A">
        <w:rPr>
          <w:rFonts w:ascii="Garamond" w:hAnsi="Garamond"/>
          <w:color w:val="000000" w:themeColor="text1"/>
          <w:lang w:val="en-GB"/>
        </w:rPr>
        <w:t>the CO</w:t>
      </w:r>
      <w:r w:rsidR="00B94180" w:rsidRPr="008C2A1A">
        <w:rPr>
          <w:rFonts w:ascii="Garamond" w:hAnsi="Garamond"/>
          <w:color w:val="000000" w:themeColor="text1"/>
          <w:vertAlign w:val="subscript"/>
          <w:lang w:val="en-GB"/>
        </w:rPr>
        <w:t>2</w:t>
      </w:r>
      <w:r w:rsidR="00B94180" w:rsidRPr="008C2A1A">
        <w:rPr>
          <w:rFonts w:ascii="Garamond" w:hAnsi="Garamond"/>
          <w:color w:val="000000" w:themeColor="text1"/>
          <w:lang w:val="en-GB"/>
        </w:rPr>
        <w:t xml:space="preserve"> emissions of the vehicle are compared to a reference rate, which is considered to represent the CO</w:t>
      </w:r>
      <w:r w:rsidR="00B94180" w:rsidRPr="008C2A1A">
        <w:rPr>
          <w:rFonts w:ascii="Garamond" w:hAnsi="Garamond"/>
          <w:color w:val="000000" w:themeColor="text1"/>
          <w:vertAlign w:val="subscript"/>
          <w:lang w:val="en-GB"/>
        </w:rPr>
        <w:t>2</w:t>
      </w:r>
      <w:r w:rsidR="00B94180" w:rsidRPr="008C2A1A">
        <w:rPr>
          <w:rFonts w:ascii="Garamond" w:hAnsi="Garamond"/>
          <w:color w:val="000000" w:themeColor="text1"/>
          <w:lang w:val="en-GB"/>
        </w:rPr>
        <w:t xml:space="preserve"> emission average of newly registered vehicles and which is determined every year by the King (read the federal government). When the CO</w:t>
      </w:r>
      <w:r w:rsidR="00B94180" w:rsidRPr="008C2A1A">
        <w:rPr>
          <w:rFonts w:ascii="Garamond" w:hAnsi="Garamond"/>
          <w:color w:val="000000" w:themeColor="text1"/>
          <w:vertAlign w:val="subscript"/>
          <w:lang w:val="en-GB"/>
        </w:rPr>
        <w:t>2</w:t>
      </w:r>
      <w:r w:rsidR="00B94180" w:rsidRPr="008C2A1A">
        <w:rPr>
          <w:rFonts w:ascii="Garamond" w:hAnsi="Garamond"/>
          <w:color w:val="000000" w:themeColor="text1"/>
          <w:lang w:val="en-GB"/>
        </w:rPr>
        <w:t xml:space="preserve"> emissions of the vehicle exceeds this amount, the basis percentage is increased by 0,1% per gram of CO</w:t>
      </w:r>
      <w:r w:rsidR="00B94180" w:rsidRPr="008C2A1A">
        <w:rPr>
          <w:rFonts w:ascii="Garamond" w:hAnsi="Garamond"/>
          <w:color w:val="000000" w:themeColor="text1"/>
          <w:vertAlign w:val="subscript"/>
          <w:lang w:val="en-GB"/>
        </w:rPr>
        <w:t>2</w:t>
      </w:r>
      <w:r w:rsidR="00B94180" w:rsidRPr="008C2A1A">
        <w:rPr>
          <w:rFonts w:ascii="Garamond" w:hAnsi="Garamond"/>
          <w:color w:val="000000" w:themeColor="text1"/>
          <w:lang w:val="en-GB"/>
        </w:rPr>
        <w:t>, with a maximum of 18%. By contrast, when the CO</w:t>
      </w:r>
      <w:r w:rsidR="00B94180" w:rsidRPr="008C2A1A">
        <w:rPr>
          <w:rFonts w:ascii="Garamond" w:hAnsi="Garamond"/>
          <w:color w:val="000000" w:themeColor="text1"/>
          <w:vertAlign w:val="subscript"/>
          <w:lang w:val="en-GB"/>
        </w:rPr>
        <w:t xml:space="preserve">2 </w:t>
      </w:r>
      <w:r w:rsidR="00B94180" w:rsidRPr="008C2A1A">
        <w:rPr>
          <w:rFonts w:ascii="Garamond" w:hAnsi="Garamond"/>
          <w:color w:val="000000" w:themeColor="text1"/>
          <w:lang w:val="en-GB"/>
        </w:rPr>
        <w:t>emissions of the vehicle is lower than this average, the basis percentage (5,5%) is reduced by 0,1% per gram of CO</w:t>
      </w:r>
      <w:r w:rsidR="00B94180" w:rsidRPr="008C2A1A">
        <w:rPr>
          <w:rFonts w:ascii="Garamond" w:hAnsi="Garamond"/>
          <w:color w:val="000000" w:themeColor="text1"/>
          <w:vertAlign w:val="subscript"/>
          <w:lang w:val="en-GB"/>
        </w:rPr>
        <w:t>2</w:t>
      </w:r>
      <w:r w:rsidR="00B94180" w:rsidRPr="008C2A1A">
        <w:rPr>
          <w:rFonts w:ascii="Garamond" w:hAnsi="Garamond"/>
          <w:color w:val="000000" w:themeColor="text1"/>
          <w:lang w:val="en-GB"/>
        </w:rPr>
        <w:t>, with a minimum of 4%. This average corresponds, for the year 2018, to 86g of CO</w:t>
      </w:r>
      <w:r w:rsidR="00B94180" w:rsidRPr="008C2A1A">
        <w:rPr>
          <w:rFonts w:ascii="Garamond" w:hAnsi="Garamond"/>
          <w:color w:val="000000" w:themeColor="text1"/>
          <w:vertAlign w:val="subscript"/>
          <w:lang w:val="en-GB"/>
        </w:rPr>
        <w:t>2</w:t>
      </w:r>
      <w:r w:rsidR="00B94180" w:rsidRPr="008C2A1A">
        <w:rPr>
          <w:rFonts w:ascii="Garamond" w:hAnsi="Garamond"/>
          <w:color w:val="000000" w:themeColor="text1"/>
          <w:lang w:val="en-GB"/>
        </w:rPr>
        <w:t>/km for cars fuelled by diesel, and of 105g of CO</w:t>
      </w:r>
      <w:r w:rsidR="00B94180" w:rsidRPr="008C2A1A">
        <w:rPr>
          <w:rFonts w:ascii="Garamond" w:hAnsi="Garamond"/>
          <w:color w:val="000000" w:themeColor="text1"/>
          <w:vertAlign w:val="subscript"/>
          <w:lang w:val="en-GB"/>
        </w:rPr>
        <w:t>2</w:t>
      </w:r>
      <w:r w:rsidR="00B94180" w:rsidRPr="008C2A1A">
        <w:rPr>
          <w:rFonts w:ascii="Garamond" w:hAnsi="Garamond"/>
          <w:color w:val="000000" w:themeColor="text1"/>
          <w:lang w:val="en-GB"/>
        </w:rPr>
        <w:t>/km for cars fuelled by petrol, natural gas and liquefied petroleum gas</w:t>
      </w:r>
      <w:r w:rsidR="00B94180" w:rsidRPr="008C2A1A">
        <w:rPr>
          <w:rStyle w:val="Voetnootmarkering"/>
          <w:rFonts w:ascii="Garamond" w:hAnsi="Garamond"/>
          <w:color w:val="000000" w:themeColor="text1"/>
          <w:lang w:val="en-GB"/>
        </w:rPr>
        <w:footnoteReference w:id="11"/>
      </w:r>
      <w:r w:rsidR="00B94180" w:rsidRPr="008C2A1A">
        <w:rPr>
          <w:rFonts w:ascii="Garamond" w:hAnsi="Garamond"/>
          <w:color w:val="000000" w:themeColor="text1"/>
          <w:lang w:val="en-GB"/>
        </w:rPr>
        <w:t xml:space="preserve">. </w:t>
      </w:r>
      <w:r w:rsidR="006A3ADD" w:rsidRPr="008C2A1A">
        <w:rPr>
          <w:rFonts w:ascii="Garamond" w:hAnsi="Garamond"/>
          <w:color w:val="000000" w:themeColor="text1"/>
          <w:lang w:val="en-GB"/>
        </w:rPr>
        <w:t>Note that a company car's CO</w:t>
      </w:r>
      <w:r w:rsidR="006A3ADD" w:rsidRPr="008C2A1A">
        <w:rPr>
          <w:rFonts w:ascii="Garamond" w:hAnsi="Garamond"/>
          <w:color w:val="000000" w:themeColor="text1"/>
          <w:vertAlign w:val="subscript"/>
          <w:lang w:val="en-GB"/>
        </w:rPr>
        <w:t>2</w:t>
      </w:r>
      <w:r w:rsidR="006A3ADD" w:rsidRPr="008C2A1A">
        <w:rPr>
          <w:rFonts w:ascii="Garamond" w:hAnsi="Garamond"/>
          <w:color w:val="000000" w:themeColor="text1"/>
          <w:lang w:val="en-GB"/>
        </w:rPr>
        <w:t xml:space="preserve"> performance </w:t>
      </w:r>
      <w:r w:rsidR="00E0457D" w:rsidRPr="008C2A1A">
        <w:rPr>
          <w:rFonts w:ascii="Garamond" w:hAnsi="Garamond"/>
          <w:color w:val="000000" w:themeColor="text1"/>
          <w:lang w:val="en-GB"/>
        </w:rPr>
        <w:t>is a goo</w:t>
      </w:r>
      <w:r w:rsidR="001C0DB2" w:rsidRPr="008C2A1A">
        <w:rPr>
          <w:rFonts w:ascii="Garamond" w:hAnsi="Garamond"/>
          <w:color w:val="000000" w:themeColor="text1"/>
          <w:lang w:val="en-GB"/>
        </w:rPr>
        <w:t xml:space="preserve">d measure of </w:t>
      </w:r>
      <w:r w:rsidR="00956E30" w:rsidRPr="008C2A1A">
        <w:rPr>
          <w:rFonts w:ascii="Garamond" w:hAnsi="Garamond"/>
          <w:color w:val="000000" w:themeColor="text1"/>
          <w:lang w:val="en-GB"/>
        </w:rPr>
        <w:t>its im</w:t>
      </w:r>
      <w:r w:rsidR="00A13242" w:rsidRPr="008C2A1A">
        <w:rPr>
          <w:rFonts w:ascii="Garamond" w:hAnsi="Garamond"/>
          <w:color w:val="000000" w:themeColor="text1"/>
          <w:lang w:val="en-GB"/>
        </w:rPr>
        <w:t>pact on climate change, but</w:t>
      </w:r>
      <w:r w:rsidR="00956E30" w:rsidRPr="008C2A1A">
        <w:rPr>
          <w:rFonts w:ascii="Garamond" w:hAnsi="Garamond"/>
          <w:color w:val="000000" w:themeColor="text1"/>
          <w:lang w:val="en-GB"/>
        </w:rPr>
        <w:t xml:space="preserve"> the last section argued that for reasons of cost efficiency efforts in other economic sectors (air &amp; sea transport, con</w:t>
      </w:r>
      <w:r w:rsidR="00A13242" w:rsidRPr="008C2A1A">
        <w:rPr>
          <w:rFonts w:ascii="Garamond" w:hAnsi="Garamond"/>
          <w:color w:val="000000" w:themeColor="text1"/>
          <w:lang w:val="en-GB"/>
        </w:rPr>
        <w:t>s</w:t>
      </w:r>
      <w:r w:rsidR="00956E30" w:rsidRPr="008C2A1A">
        <w:rPr>
          <w:rFonts w:ascii="Garamond" w:hAnsi="Garamond"/>
          <w:color w:val="000000" w:themeColor="text1"/>
          <w:lang w:val="en-GB"/>
        </w:rPr>
        <w:t>truction &amp; housing, industry...) should probably take priority to achieve the necessary global reduction of CO</w:t>
      </w:r>
      <w:r w:rsidR="00956E30" w:rsidRPr="008C2A1A">
        <w:rPr>
          <w:rFonts w:ascii="Garamond" w:hAnsi="Garamond"/>
          <w:color w:val="000000" w:themeColor="text1"/>
          <w:vertAlign w:val="subscript"/>
          <w:lang w:val="en-GB"/>
        </w:rPr>
        <w:t>2</w:t>
      </w:r>
      <w:r w:rsidR="00956E30" w:rsidRPr="008C2A1A">
        <w:rPr>
          <w:rFonts w:ascii="Garamond" w:hAnsi="Garamond"/>
          <w:color w:val="000000" w:themeColor="text1"/>
          <w:lang w:val="en-GB"/>
        </w:rPr>
        <w:t xml:space="preserve"> emissions to reduce climate change. </w:t>
      </w:r>
      <w:r w:rsidR="00577D77" w:rsidRPr="008C2A1A">
        <w:rPr>
          <w:rFonts w:ascii="Garamond" w:hAnsi="Garamond"/>
          <w:color w:val="000000" w:themeColor="text1"/>
          <w:lang w:val="en-GB"/>
        </w:rPr>
        <w:t>However, t</w:t>
      </w:r>
      <w:r w:rsidR="00956E30" w:rsidRPr="008C2A1A">
        <w:rPr>
          <w:rFonts w:ascii="Garamond" w:hAnsi="Garamond"/>
          <w:color w:val="000000" w:themeColor="text1"/>
          <w:lang w:val="en-GB"/>
        </w:rPr>
        <w:t>o the extent that air polluti</w:t>
      </w:r>
      <w:r w:rsidR="00577D77" w:rsidRPr="008C2A1A">
        <w:rPr>
          <w:rFonts w:ascii="Garamond" w:hAnsi="Garamond"/>
          <w:color w:val="000000" w:themeColor="text1"/>
          <w:lang w:val="en-GB"/>
        </w:rPr>
        <w:t>on is</w:t>
      </w:r>
      <w:r w:rsidR="00956E30" w:rsidRPr="008C2A1A">
        <w:rPr>
          <w:rFonts w:ascii="Garamond" w:hAnsi="Garamond"/>
          <w:color w:val="000000" w:themeColor="text1"/>
          <w:lang w:val="en-GB"/>
        </w:rPr>
        <w:t xml:space="preserve"> correlated with CO</w:t>
      </w:r>
      <w:r w:rsidR="00956E30" w:rsidRPr="008C2A1A">
        <w:rPr>
          <w:rFonts w:ascii="Garamond" w:hAnsi="Garamond"/>
          <w:color w:val="000000" w:themeColor="text1"/>
          <w:vertAlign w:val="subscript"/>
          <w:lang w:val="en-GB"/>
        </w:rPr>
        <w:t>2</w:t>
      </w:r>
      <w:r w:rsidR="00956E30" w:rsidRPr="008C2A1A">
        <w:rPr>
          <w:rFonts w:ascii="Garamond" w:hAnsi="Garamond"/>
          <w:color w:val="000000" w:themeColor="text1"/>
          <w:lang w:val="en-GB"/>
        </w:rPr>
        <w:t xml:space="preserve"> emissions, </w:t>
      </w:r>
      <w:r w:rsidR="00577D77" w:rsidRPr="008C2A1A">
        <w:rPr>
          <w:rFonts w:ascii="Garamond" w:hAnsi="Garamond"/>
          <w:color w:val="000000" w:themeColor="text1"/>
          <w:lang w:val="en-GB"/>
        </w:rPr>
        <w:t xml:space="preserve">fighting local pollution </w:t>
      </w:r>
      <w:r w:rsidR="00956E30" w:rsidRPr="008C2A1A">
        <w:rPr>
          <w:rFonts w:ascii="Garamond" w:hAnsi="Garamond"/>
          <w:color w:val="000000" w:themeColor="text1"/>
          <w:lang w:val="en-GB"/>
        </w:rPr>
        <w:t>can</w:t>
      </w:r>
      <w:r w:rsidR="00577D77" w:rsidRPr="008C2A1A">
        <w:rPr>
          <w:rFonts w:ascii="Garamond" w:hAnsi="Garamond"/>
          <w:color w:val="000000" w:themeColor="text1"/>
          <w:lang w:val="en-GB"/>
        </w:rPr>
        <w:t xml:space="preserve"> also</w:t>
      </w:r>
      <w:r w:rsidR="00956E30" w:rsidRPr="008C2A1A">
        <w:rPr>
          <w:rFonts w:ascii="Garamond" w:hAnsi="Garamond"/>
          <w:color w:val="000000" w:themeColor="text1"/>
          <w:lang w:val="en-GB"/>
        </w:rPr>
        <w:t xml:space="preserve"> be achieved within the current formula.</w:t>
      </w:r>
    </w:p>
    <w:p w14:paraId="42E2F96F" w14:textId="14F4D20A" w:rsidR="00B94180" w:rsidRPr="008C2A1A" w:rsidRDefault="006A3ADD" w:rsidP="00C01851">
      <w:pPr>
        <w:jc w:val="both"/>
        <w:rPr>
          <w:color w:val="000000" w:themeColor="text1"/>
          <w:lang w:val="en-US"/>
        </w:rPr>
      </w:pPr>
      <w:r w:rsidRPr="008C2A1A">
        <w:rPr>
          <w:rFonts w:ascii="Garamond" w:hAnsi="Garamond"/>
          <w:color w:val="000000" w:themeColor="text1"/>
          <w:lang w:val="en-GB"/>
        </w:rPr>
        <w:t>Finally, this expression</w:t>
      </w:r>
      <w:r w:rsidR="00B94180" w:rsidRPr="008C2A1A">
        <w:rPr>
          <w:rFonts w:ascii="Garamond" w:hAnsi="Garamond"/>
          <w:color w:val="000000" w:themeColor="text1"/>
          <w:lang w:val="en-GB"/>
        </w:rPr>
        <w:t xml:space="preserve"> is then multiplied by a corrective percentage, which </w:t>
      </w:r>
      <w:proofErr w:type="gramStart"/>
      <w:r w:rsidR="00B94180" w:rsidRPr="008C2A1A">
        <w:rPr>
          <w:rFonts w:ascii="Garamond" w:hAnsi="Garamond"/>
          <w:color w:val="000000" w:themeColor="text1"/>
          <w:lang w:val="en-GB"/>
        </w:rPr>
        <w:t>takes into account</w:t>
      </w:r>
      <w:proofErr w:type="gramEnd"/>
      <w:r w:rsidR="00B94180" w:rsidRPr="008C2A1A">
        <w:rPr>
          <w:rFonts w:ascii="Garamond" w:hAnsi="Garamond"/>
          <w:color w:val="000000" w:themeColor="text1"/>
          <w:lang w:val="en-GB"/>
        </w:rPr>
        <w:t xml:space="preserve"> the age of the vehicle – i.e. the elapsed period since its first registration</w:t>
      </w:r>
      <w:r w:rsidR="003E1480" w:rsidRPr="008C2A1A">
        <w:rPr>
          <w:rFonts w:ascii="Garamond" w:hAnsi="Garamond"/>
          <w:color w:val="000000" w:themeColor="text1"/>
          <w:lang w:val="en-GB"/>
        </w:rPr>
        <w:t xml:space="preserve"> (Art 36, § 2, lid 2)</w:t>
      </w:r>
      <w:r w:rsidR="00B94180" w:rsidRPr="008C2A1A">
        <w:rPr>
          <w:rFonts w:ascii="Garamond" w:hAnsi="Garamond"/>
          <w:color w:val="000000" w:themeColor="text1"/>
          <w:lang w:val="en-GB"/>
        </w:rPr>
        <w:t>. This last element is determined as follows:</w:t>
      </w:r>
    </w:p>
    <w:p w14:paraId="1887E434" w14:textId="77777777" w:rsidR="00B94180" w:rsidRPr="008C2A1A" w:rsidRDefault="00B94180" w:rsidP="00C01851">
      <w:pPr>
        <w:jc w:val="both"/>
        <w:rPr>
          <w:rFonts w:ascii="Garamond" w:hAnsi="Garamond"/>
          <w:color w:val="000000" w:themeColor="text1"/>
          <w:lang w:val="en-GB"/>
        </w:rPr>
      </w:pPr>
    </w:p>
    <w:tbl>
      <w:tblPr>
        <w:tblStyle w:val="Rastertabel2"/>
        <w:tblW w:w="0" w:type="auto"/>
        <w:tblLook w:val="04A0" w:firstRow="1" w:lastRow="0" w:firstColumn="1" w:lastColumn="0" w:noHBand="0" w:noVBand="1"/>
      </w:tblPr>
      <w:tblGrid>
        <w:gridCol w:w="3261"/>
        <w:gridCol w:w="4536"/>
      </w:tblGrid>
      <w:tr w:rsidR="008C2A1A" w:rsidRPr="002D6EB7" w14:paraId="08498E58" w14:textId="77777777" w:rsidTr="00951B95">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261" w:type="dxa"/>
          </w:tcPr>
          <w:p w14:paraId="304A604E" w14:textId="77777777" w:rsidR="00B94180" w:rsidRPr="008C2A1A" w:rsidRDefault="00B94180" w:rsidP="00951B95">
            <w:pPr>
              <w:jc w:val="both"/>
              <w:rPr>
                <w:rFonts w:ascii="Garamond" w:hAnsi="Garamond"/>
                <w:color w:val="000000" w:themeColor="text1"/>
                <w:sz w:val="21"/>
                <w:szCs w:val="21"/>
                <w:lang w:val="en-GB"/>
              </w:rPr>
            </w:pPr>
            <w:r w:rsidRPr="008C2A1A">
              <w:rPr>
                <w:rFonts w:ascii="Garamond" w:hAnsi="Garamond"/>
                <w:color w:val="000000" w:themeColor="text1"/>
                <w:sz w:val="21"/>
                <w:szCs w:val="21"/>
                <w:lang w:val="en-GB"/>
              </w:rPr>
              <w:lastRenderedPageBreak/>
              <w:t>Period elapsed since the first registration of the vehicle</w:t>
            </w:r>
          </w:p>
        </w:tc>
        <w:tc>
          <w:tcPr>
            <w:tcW w:w="4536" w:type="dxa"/>
          </w:tcPr>
          <w:p w14:paraId="305D59C4" w14:textId="77777777" w:rsidR="00B94180" w:rsidRPr="008C2A1A" w:rsidRDefault="00B94180" w:rsidP="00951B95">
            <w:pPr>
              <w:jc w:val="both"/>
              <w:cnfStyle w:val="100000000000" w:firstRow="1" w:lastRow="0" w:firstColumn="0" w:lastColumn="0" w:oddVBand="0" w:evenVBand="0" w:oddHBand="0" w:evenHBand="0" w:firstRowFirstColumn="0" w:firstRowLastColumn="0" w:lastRowFirstColumn="0" w:lastRowLastColumn="0"/>
              <w:rPr>
                <w:rFonts w:ascii="Garamond" w:hAnsi="Garamond"/>
                <w:color w:val="000000" w:themeColor="text1"/>
                <w:sz w:val="21"/>
                <w:szCs w:val="21"/>
                <w:lang w:val="en-GB"/>
              </w:rPr>
            </w:pPr>
            <w:r w:rsidRPr="008C2A1A">
              <w:rPr>
                <w:rFonts w:ascii="Garamond" w:hAnsi="Garamond"/>
                <w:color w:val="000000" w:themeColor="text1"/>
                <w:sz w:val="21"/>
                <w:szCs w:val="21"/>
                <w:lang w:val="en-GB"/>
              </w:rPr>
              <w:t xml:space="preserve">Percentage of the catalogue value to be </w:t>
            </w:r>
            <w:proofErr w:type="gramStart"/>
            <w:r w:rsidRPr="008C2A1A">
              <w:rPr>
                <w:rFonts w:ascii="Garamond" w:hAnsi="Garamond"/>
                <w:color w:val="000000" w:themeColor="text1"/>
                <w:sz w:val="21"/>
                <w:szCs w:val="21"/>
                <w:lang w:val="en-GB"/>
              </w:rPr>
              <w:t>taken into account</w:t>
            </w:r>
            <w:proofErr w:type="gramEnd"/>
            <w:r w:rsidRPr="008C2A1A">
              <w:rPr>
                <w:rFonts w:ascii="Garamond" w:hAnsi="Garamond"/>
                <w:color w:val="000000" w:themeColor="text1"/>
                <w:sz w:val="21"/>
                <w:szCs w:val="21"/>
                <w:lang w:val="en-GB"/>
              </w:rPr>
              <w:t xml:space="preserve"> in the calculation of the advantage</w:t>
            </w:r>
          </w:p>
        </w:tc>
      </w:tr>
      <w:tr w:rsidR="008C2A1A" w:rsidRPr="008C2A1A" w14:paraId="1AD7DAA1" w14:textId="77777777" w:rsidTr="00951B9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261" w:type="dxa"/>
          </w:tcPr>
          <w:p w14:paraId="08E68D28" w14:textId="77777777" w:rsidR="00B94180" w:rsidRPr="008C2A1A" w:rsidRDefault="00B94180" w:rsidP="00951B95">
            <w:pPr>
              <w:jc w:val="both"/>
              <w:rPr>
                <w:rFonts w:ascii="Garamond" w:hAnsi="Garamond"/>
                <w:b w:val="0"/>
                <w:bCs w:val="0"/>
                <w:color w:val="000000" w:themeColor="text1"/>
                <w:sz w:val="21"/>
                <w:szCs w:val="21"/>
                <w:lang w:val="en-GB"/>
              </w:rPr>
            </w:pPr>
            <w:r w:rsidRPr="008C2A1A">
              <w:rPr>
                <w:rFonts w:ascii="Garamond" w:hAnsi="Garamond"/>
                <w:b w:val="0"/>
                <w:bCs w:val="0"/>
                <w:color w:val="000000" w:themeColor="text1"/>
                <w:sz w:val="21"/>
                <w:szCs w:val="21"/>
                <w:lang w:val="en-GB"/>
              </w:rPr>
              <w:t>0 – 12 months</w:t>
            </w:r>
          </w:p>
        </w:tc>
        <w:tc>
          <w:tcPr>
            <w:tcW w:w="4536" w:type="dxa"/>
          </w:tcPr>
          <w:p w14:paraId="0FC1DA14" w14:textId="77777777" w:rsidR="00B94180" w:rsidRPr="008C2A1A" w:rsidRDefault="00B94180" w:rsidP="00951B95">
            <w:pPr>
              <w:jc w:val="both"/>
              <w:cnfStyle w:val="000000100000" w:firstRow="0" w:lastRow="0" w:firstColumn="0" w:lastColumn="0" w:oddVBand="0" w:evenVBand="0" w:oddHBand="1" w:evenHBand="0" w:firstRowFirstColumn="0" w:firstRowLastColumn="0" w:lastRowFirstColumn="0" w:lastRowLastColumn="0"/>
              <w:rPr>
                <w:rFonts w:ascii="Garamond" w:hAnsi="Garamond"/>
                <w:color w:val="000000" w:themeColor="text1"/>
                <w:sz w:val="21"/>
                <w:szCs w:val="21"/>
                <w:lang w:val="en-GB"/>
              </w:rPr>
            </w:pPr>
            <w:r w:rsidRPr="008C2A1A">
              <w:rPr>
                <w:rFonts w:ascii="Garamond" w:hAnsi="Garamond"/>
                <w:color w:val="000000" w:themeColor="text1"/>
                <w:sz w:val="21"/>
                <w:szCs w:val="21"/>
                <w:lang w:val="en-GB"/>
              </w:rPr>
              <w:t>100%</w:t>
            </w:r>
          </w:p>
        </w:tc>
      </w:tr>
      <w:tr w:rsidR="008C2A1A" w:rsidRPr="008C2A1A" w14:paraId="3A74D7F0" w14:textId="77777777" w:rsidTr="00951B95">
        <w:tc>
          <w:tcPr>
            <w:cnfStyle w:val="001000000000" w:firstRow="0" w:lastRow="0" w:firstColumn="1" w:lastColumn="0" w:oddVBand="0" w:evenVBand="0" w:oddHBand="0" w:evenHBand="0" w:firstRowFirstColumn="0" w:firstRowLastColumn="0" w:lastRowFirstColumn="0" w:lastRowLastColumn="0"/>
            <w:tcW w:w="3261" w:type="dxa"/>
          </w:tcPr>
          <w:p w14:paraId="65EB1027" w14:textId="77777777" w:rsidR="00B94180" w:rsidRPr="008C2A1A" w:rsidRDefault="00B94180" w:rsidP="00951B95">
            <w:pPr>
              <w:jc w:val="both"/>
              <w:rPr>
                <w:rFonts w:ascii="Garamond" w:hAnsi="Garamond"/>
                <w:b w:val="0"/>
                <w:bCs w:val="0"/>
                <w:color w:val="000000" w:themeColor="text1"/>
                <w:sz w:val="21"/>
                <w:szCs w:val="21"/>
                <w:lang w:val="en-GB"/>
              </w:rPr>
            </w:pPr>
            <w:r w:rsidRPr="008C2A1A">
              <w:rPr>
                <w:rFonts w:ascii="Garamond" w:hAnsi="Garamond"/>
                <w:b w:val="0"/>
                <w:bCs w:val="0"/>
                <w:color w:val="000000" w:themeColor="text1"/>
                <w:sz w:val="21"/>
                <w:szCs w:val="21"/>
                <w:lang w:val="en-GB"/>
              </w:rPr>
              <w:t>13 – 24 months</w:t>
            </w:r>
          </w:p>
        </w:tc>
        <w:tc>
          <w:tcPr>
            <w:tcW w:w="4536" w:type="dxa"/>
          </w:tcPr>
          <w:p w14:paraId="05D794D1" w14:textId="77777777" w:rsidR="00B94180" w:rsidRPr="008C2A1A" w:rsidRDefault="00B94180" w:rsidP="00951B95">
            <w:pPr>
              <w:jc w:val="both"/>
              <w:cnfStyle w:val="000000000000" w:firstRow="0" w:lastRow="0" w:firstColumn="0" w:lastColumn="0" w:oddVBand="0" w:evenVBand="0" w:oddHBand="0" w:evenHBand="0" w:firstRowFirstColumn="0" w:firstRowLastColumn="0" w:lastRowFirstColumn="0" w:lastRowLastColumn="0"/>
              <w:rPr>
                <w:rFonts w:ascii="Garamond" w:hAnsi="Garamond"/>
                <w:color w:val="000000" w:themeColor="text1"/>
                <w:sz w:val="21"/>
                <w:szCs w:val="21"/>
                <w:lang w:val="en-GB"/>
              </w:rPr>
            </w:pPr>
            <w:r w:rsidRPr="008C2A1A">
              <w:rPr>
                <w:rFonts w:ascii="Garamond" w:hAnsi="Garamond"/>
                <w:color w:val="000000" w:themeColor="text1"/>
                <w:sz w:val="21"/>
                <w:szCs w:val="21"/>
                <w:lang w:val="en-GB"/>
              </w:rPr>
              <w:t>94%</w:t>
            </w:r>
          </w:p>
        </w:tc>
      </w:tr>
      <w:tr w:rsidR="008C2A1A" w:rsidRPr="008C2A1A" w14:paraId="0B8769F4" w14:textId="77777777" w:rsidTr="00951B9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261" w:type="dxa"/>
          </w:tcPr>
          <w:p w14:paraId="2F8CED00" w14:textId="77777777" w:rsidR="00B94180" w:rsidRPr="008C2A1A" w:rsidRDefault="00B94180" w:rsidP="00951B95">
            <w:pPr>
              <w:jc w:val="both"/>
              <w:rPr>
                <w:rFonts w:ascii="Garamond" w:hAnsi="Garamond"/>
                <w:b w:val="0"/>
                <w:bCs w:val="0"/>
                <w:color w:val="000000" w:themeColor="text1"/>
                <w:sz w:val="21"/>
                <w:szCs w:val="21"/>
                <w:lang w:val="en-GB"/>
              </w:rPr>
            </w:pPr>
            <w:r w:rsidRPr="008C2A1A">
              <w:rPr>
                <w:rFonts w:ascii="Garamond" w:hAnsi="Garamond"/>
                <w:b w:val="0"/>
                <w:bCs w:val="0"/>
                <w:color w:val="000000" w:themeColor="text1"/>
                <w:sz w:val="21"/>
                <w:szCs w:val="21"/>
                <w:lang w:val="en-GB"/>
              </w:rPr>
              <w:t xml:space="preserve">25 – 36 months </w:t>
            </w:r>
          </w:p>
        </w:tc>
        <w:tc>
          <w:tcPr>
            <w:tcW w:w="4536" w:type="dxa"/>
          </w:tcPr>
          <w:p w14:paraId="4C6CF888" w14:textId="77777777" w:rsidR="00B94180" w:rsidRPr="008C2A1A" w:rsidRDefault="00B94180" w:rsidP="00951B95">
            <w:pPr>
              <w:jc w:val="both"/>
              <w:cnfStyle w:val="000000100000" w:firstRow="0" w:lastRow="0" w:firstColumn="0" w:lastColumn="0" w:oddVBand="0" w:evenVBand="0" w:oddHBand="1" w:evenHBand="0" w:firstRowFirstColumn="0" w:firstRowLastColumn="0" w:lastRowFirstColumn="0" w:lastRowLastColumn="0"/>
              <w:rPr>
                <w:rFonts w:ascii="Garamond" w:hAnsi="Garamond"/>
                <w:color w:val="000000" w:themeColor="text1"/>
                <w:sz w:val="21"/>
                <w:szCs w:val="21"/>
                <w:lang w:val="en-GB"/>
              </w:rPr>
            </w:pPr>
            <w:r w:rsidRPr="008C2A1A">
              <w:rPr>
                <w:rFonts w:ascii="Garamond" w:hAnsi="Garamond"/>
                <w:color w:val="000000" w:themeColor="text1"/>
                <w:sz w:val="21"/>
                <w:szCs w:val="21"/>
                <w:lang w:val="en-GB"/>
              </w:rPr>
              <w:t>88%</w:t>
            </w:r>
          </w:p>
        </w:tc>
      </w:tr>
      <w:tr w:rsidR="008C2A1A" w:rsidRPr="008C2A1A" w14:paraId="411B0145" w14:textId="77777777" w:rsidTr="00951B95">
        <w:tc>
          <w:tcPr>
            <w:cnfStyle w:val="001000000000" w:firstRow="0" w:lastRow="0" w:firstColumn="1" w:lastColumn="0" w:oddVBand="0" w:evenVBand="0" w:oddHBand="0" w:evenHBand="0" w:firstRowFirstColumn="0" w:firstRowLastColumn="0" w:lastRowFirstColumn="0" w:lastRowLastColumn="0"/>
            <w:tcW w:w="3261" w:type="dxa"/>
          </w:tcPr>
          <w:p w14:paraId="64F8625F" w14:textId="77777777" w:rsidR="00B94180" w:rsidRPr="008C2A1A" w:rsidRDefault="00B94180" w:rsidP="00951B95">
            <w:pPr>
              <w:jc w:val="both"/>
              <w:rPr>
                <w:rFonts w:ascii="Garamond" w:hAnsi="Garamond"/>
                <w:b w:val="0"/>
                <w:bCs w:val="0"/>
                <w:color w:val="000000" w:themeColor="text1"/>
                <w:sz w:val="21"/>
                <w:szCs w:val="21"/>
                <w:lang w:val="en-GB"/>
              </w:rPr>
            </w:pPr>
            <w:r w:rsidRPr="008C2A1A">
              <w:rPr>
                <w:rFonts w:ascii="Garamond" w:hAnsi="Garamond"/>
                <w:b w:val="0"/>
                <w:bCs w:val="0"/>
                <w:color w:val="000000" w:themeColor="text1"/>
                <w:sz w:val="21"/>
                <w:szCs w:val="21"/>
                <w:lang w:val="en-GB"/>
              </w:rPr>
              <w:t xml:space="preserve">37 – 48 months </w:t>
            </w:r>
          </w:p>
        </w:tc>
        <w:tc>
          <w:tcPr>
            <w:tcW w:w="4536" w:type="dxa"/>
          </w:tcPr>
          <w:p w14:paraId="27E2C136" w14:textId="77777777" w:rsidR="00B94180" w:rsidRPr="008C2A1A" w:rsidRDefault="00B94180" w:rsidP="00951B95">
            <w:pPr>
              <w:jc w:val="both"/>
              <w:cnfStyle w:val="000000000000" w:firstRow="0" w:lastRow="0" w:firstColumn="0" w:lastColumn="0" w:oddVBand="0" w:evenVBand="0" w:oddHBand="0" w:evenHBand="0" w:firstRowFirstColumn="0" w:firstRowLastColumn="0" w:lastRowFirstColumn="0" w:lastRowLastColumn="0"/>
              <w:rPr>
                <w:rFonts w:ascii="Garamond" w:hAnsi="Garamond"/>
                <w:color w:val="000000" w:themeColor="text1"/>
                <w:sz w:val="21"/>
                <w:szCs w:val="21"/>
                <w:lang w:val="en-GB"/>
              </w:rPr>
            </w:pPr>
            <w:r w:rsidRPr="008C2A1A">
              <w:rPr>
                <w:rFonts w:ascii="Garamond" w:hAnsi="Garamond"/>
                <w:color w:val="000000" w:themeColor="text1"/>
                <w:sz w:val="21"/>
                <w:szCs w:val="21"/>
                <w:lang w:val="en-GB"/>
              </w:rPr>
              <w:t>82%</w:t>
            </w:r>
          </w:p>
        </w:tc>
      </w:tr>
      <w:tr w:rsidR="008C2A1A" w:rsidRPr="008C2A1A" w14:paraId="60F7C832" w14:textId="77777777" w:rsidTr="00951B9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261" w:type="dxa"/>
          </w:tcPr>
          <w:p w14:paraId="440C86F0" w14:textId="77777777" w:rsidR="00B94180" w:rsidRPr="008C2A1A" w:rsidRDefault="00B94180" w:rsidP="00951B95">
            <w:pPr>
              <w:jc w:val="both"/>
              <w:rPr>
                <w:rFonts w:ascii="Garamond" w:hAnsi="Garamond"/>
                <w:b w:val="0"/>
                <w:bCs w:val="0"/>
                <w:color w:val="000000" w:themeColor="text1"/>
                <w:sz w:val="21"/>
                <w:szCs w:val="21"/>
                <w:lang w:val="en-GB"/>
              </w:rPr>
            </w:pPr>
            <w:r w:rsidRPr="008C2A1A">
              <w:rPr>
                <w:rFonts w:ascii="Garamond" w:hAnsi="Garamond"/>
                <w:b w:val="0"/>
                <w:bCs w:val="0"/>
                <w:color w:val="000000" w:themeColor="text1"/>
                <w:sz w:val="21"/>
                <w:szCs w:val="21"/>
                <w:lang w:val="en-GB"/>
              </w:rPr>
              <w:t>49 – 60 months</w:t>
            </w:r>
          </w:p>
        </w:tc>
        <w:tc>
          <w:tcPr>
            <w:tcW w:w="4536" w:type="dxa"/>
          </w:tcPr>
          <w:p w14:paraId="2FA17AFB" w14:textId="77777777" w:rsidR="00B94180" w:rsidRPr="008C2A1A" w:rsidRDefault="00B94180" w:rsidP="00951B95">
            <w:pPr>
              <w:jc w:val="both"/>
              <w:cnfStyle w:val="000000100000" w:firstRow="0" w:lastRow="0" w:firstColumn="0" w:lastColumn="0" w:oddVBand="0" w:evenVBand="0" w:oddHBand="1" w:evenHBand="0" w:firstRowFirstColumn="0" w:firstRowLastColumn="0" w:lastRowFirstColumn="0" w:lastRowLastColumn="0"/>
              <w:rPr>
                <w:rFonts w:ascii="Garamond" w:hAnsi="Garamond"/>
                <w:color w:val="000000" w:themeColor="text1"/>
                <w:sz w:val="21"/>
                <w:szCs w:val="21"/>
                <w:lang w:val="en-GB"/>
              </w:rPr>
            </w:pPr>
            <w:r w:rsidRPr="008C2A1A">
              <w:rPr>
                <w:rFonts w:ascii="Garamond" w:hAnsi="Garamond"/>
                <w:color w:val="000000" w:themeColor="text1"/>
                <w:sz w:val="21"/>
                <w:szCs w:val="21"/>
                <w:lang w:val="en-GB"/>
              </w:rPr>
              <w:t>76%</w:t>
            </w:r>
          </w:p>
        </w:tc>
      </w:tr>
      <w:tr w:rsidR="008C2A1A" w:rsidRPr="008C2A1A" w14:paraId="23BB667D" w14:textId="77777777" w:rsidTr="00951B95">
        <w:tc>
          <w:tcPr>
            <w:cnfStyle w:val="001000000000" w:firstRow="0" w:lastRow="0" w:firstColumn="1" w:lastColumn="0" w:oddVBand="0" w:evenVBand="0" w:oddHBand="0" w:evenHBand="0" w:firstRowFirstColumn="0" w:firstRowLastColumn="0" w:lastRowFirstColumn="0" w:lastRowLastColumn="0"/>
            <w:tcW w:w="3261" w:type="dxa"/>
          </w:tcPr>
          <w:p w14:paraId="1CC81E47" w14:textId="77777777" w:rsidR="00B94180" w:rsidRPr="008C2A1A" w:rsidRDefault="00B94180" w:rsidP="00951B95">
            <w:pPr>
              <w:jc w:val="both"/>
              <w:rPr>
                <w:rFonts w:ascii="Garamond" w:hAnsi="Garamond"/>
                <w:b w:val="0"/>
                <w:bCs w:val="0"/>
                <w:color w:val="000000" w:themeColor="text1"/>
                <w:sz w:val="21"/>
                <w:szCs w:val="21"/>
                <w:lang w:val="en-GB"/>
              </w:rPr>
            </w:pPr>
            <w:r w:rsidRPr="008C2A1A">
              <w:rPr>
                <w:rFonts w:ascii="Garamond" w:hAnsi="Garamond"/>
                <w:b w:val="0"/>
                <w:bCs w:val="0"/>
                <w:color w:val="000000" w:themeColor="text1"/>
                <w:sz w:val="21"/>
                <w:szCs w:val="21"/>
                <w:lang w:val="en-GB"/>
              </w:rPr>
              <w:t xml:space="preserve">From 61 months </w:t>
            </w:r>
          </w:p>
        </w:tc>
        <w:tc>
          <w:tcPr>
            <w:tcW w:w="4536" w:type="dxa"/>
          </w:tcPr>
          <w:p w14:paraId="443E43CA" w14:textId="77777777" w:rsidR="00B94180" w:rsidRPr="008C2A1A" w:rsidRDefault="00B94180" w:rsidP="00951B95">
            <w:pPr>
              <w:jc w:val="both"/>
              <w:cnfStyle w:val="000000000000" w:firstRow="0" w:lastRow="0" w:firstColumn="0" w:lastColumn="0" w:oddVBand="0" w:evenVBand="0" w:oddHBand="0" w:evenHBand="0" w:firstRowFirstColumn="0" w:firstRowLastColumn="0" w:lastRowFirstColumn="0" w:lastRowLastColumn="0"/>
              <w:rPr>
                <w:rFonts w:ascii="Garamond" w:hAnsi="Garamond"/>
                <w:color w:val="000000" w:themeColor="text1"/>
                <w:sz w:val="21"/>
                <w:szCs w:val="21"/>
                <w:lang w:val="en-GB"/>
              </w:rPr>
            </w:pPr>
            <w:r w:rsidRPr="008C2A1A">
              <w:rPr>
                <w:rFonts w:ascii="Garamond" w:hAnsi="Garamond"/>
                <w:color w:val="000000" w:themeColor="text1"/>
                <w:sz w:val="21"/>
                <w:szCs w:val="21"/>
                <w:lang w:val="en-GB"/>
              </w:rPr>
              <w:t>70%</w:t>
            </w:r>
          </w:p>
        </w:tc>
      </w:tr>
    </w:tbl>
    <w:p w14:paraId="67579589" w14:textId="77777777" w:rsidR="00B94180" w:rsidRPr="008C2A1A" w:rsidRDefault="00B94180" w:rsidP="00C01851">
      <w:pPr>
        <w:jc w:val="both"/>
        <w:rPr>
          <w:rFonts w:ascii="Garamond" w:hAnsi="Garamond"/>
          <w:color w:val="000000" w:themeColor="text1"/>
          <w:lang w:val="en-GB"/>
        </w:rPr>
      </w:pPr>
    </w:p>
    <w:p w14:paraId="26109797" w14:textId="77777777" w:rsidR="00B94180" w:rsidRPr="008C2A1A" w:rsidRDefault="00B94180" w:rsidP="00C01851">
      <w:pPr>
        <w:jc w:val="both"/>
        <w:rPr>
          <w:rFonts w:ascii="Garamond" w:hAnsi="Garamond"/>
          <w:color w:val="000000" w:themeColor="text1"/>
          <w:shd w:val="clear" w:color="auto" w:fill="FFFFFF"/>
          <w:lang w:val="en-GB"/>
        </w:rPr>
      </w:pPr>
      <w:r w:rsidRPr="008C2A1A">
        <w:rPr>
          <w:rFonts w:ascii="Garamond" w:hAnsi="Garamond"/>
          <w:color w:val="000000" w:themeColor="text1"/>
          <w:shd w:val="clear" w:color="auto" w:fill="FFFFFF"/>
          <w:lang w:val="en-GB"/>
        </w:rPr>
        <w:t xml:space="preserve">In any case, the advantage may never be below 820 euro – to be indexed (this becomes 1310 euro in 2018). When the benefit is not provided for free, the intervention of the employee must be deduced from the value of benefit in kind, as calculated according to the above-mentioned formula. </w:t>
      </w:r>
    </w:p>
    <w:p w14:paraId="65944821" w14:textId="77777777" w:rsidR="00B94180" w:rsidRPr="008C2A1A" w:rsidRDefault="00B94180" w:rsidP="00C01851">
      <w:pPr>
        <w:jc w:val="both"/>
        <w:rPr>
          <w:rFonts w:ascii="Garamond" w:hAnsi="Garamond"/>
          <w:color w:val="000000" w:themeColor="text1"/>
          <w:shd w:val="clear" w:color="auto" w:fill="FFFFFF"/>
          <w:lang w:val="en-GB"/>
        </w:rPr>
      </w:pPr>
    </w:p>
    <w:p w14:paraId="04A016BF" w14:textId="632FBE92" w:rsidR="00B94180" w:rsidRPr="008C2A1A" w:rsidRDefault="00B94180" w:rsidP="00C01851">
      <w:pPr>
        <w:jc w:val="both"/>
        <w:rPr>
          <w:rFonts w:ascii="Garamond" w:hAnsi="Garamond"/>
          <w:color w:val="000000" w:themeColor="text1"/>
          <w:shd w:val="clear" w:color="auto" w:fill="FFFFFF"/>
          <w:lang w:val="en-GB"/>
        </w:rPr>
      </w:pPr>
      <w:r w:rsidRPr="008C2A1A">
        <w:rPr>
          <w:rFonts w:ascii="Garamond" w:hAnsi="Garamond"/>
          <w:color w:val="000000" w:themeColor="text1"/>
          <w:shd w:val="clear" w:color="auto" w:fill="FFFFFF"/>
          <w:lang w:val="en-GB"/>
        </w:rPr>
        <w:t>In addition, special rules apply to clean vehicles. With respect to electric vehicles the CO</w:t>
      </w:r>
      <w:r w:rsidRPr="008C2A1A">
        <w:rPr>
          <w:rFonts w:ascii="Garamond" w:hAnsi="Garamond"/>
          <w:color w:val="000000" w:themeColor="text1"/>
          <w:shd w:val="clear" w:color="auto" w:fill="FFFFFF"/>
          <w:vertAlign w:val="subscript"/>
          <w:lang w:val="en-GB"/>
        </w:rPr>
        <w:t>2</w:t>
      </w:r>
      <w:r w:rsidRPr="008C2A1A">
        <w:rPr>
          <w:rFonts w:ascii="Garamond" w:hAnsi="Garamond"/>
          <w:color w:val="000000" w:themeColor="text1"/>
          <w:shd w:val="clear" w:color="auto" w:fill="FFFFFF"/>
          <w:lang w:val="en-GB"/>
        </w:rPr>
        <w:t xml:space="preserve"> rate to be applied is 4% (minimum rate). Regarding plug-in hybrid vehicles purchased after January 1</w:t>
      </w:r>
      <w:r w:rsidRPr="008C2A1A">
        <w:rPr>
          <w:rFonts w:ascii="Garamond" w:hAnsi="Garamond"/>
          <w:color w:val="000000" w:themeColor="text1"/>
          <w:shd w:val="clear" w:color="auto" w:fill="FFFFFF"/>
          <w:vertAlign w:val="superscript"/>
          <w:lang w:val="en-GB"/>
        </w:rPr>
        <w:t>st</w:t>
      </w:r>
      <w:r w:rsidRPr="008C2A1A">
        <w:rPr>
          <w:rFonts w:ascii="Garamond" w:hAnsi="Garamond"/>
          <w:color w:val="000000" w:themeColor="text1"/>
          <w:shd w:val="clear" w:color="auto" w:fill="FFFFFF"/>
          <w:lang w:val="en-GB"/>
        </w:rPr>
        <w:t>, 2018, new rules apply from January 1</w:t>
      </w:r>
      <w:r w:rsidRPr="008C2A1A">
        <w:rPr>
          <w:rFonts w:ascii="Garamond" w:hAnsi="Garamond"/>
          <w:color w:val="000000" w:themeColor="text1"/>
          <w:shd w:val="clear" w:color="auto" w:fill="FFFFFF"/>
          <w:vertAlign w:val="superscript"/>
          <w:lang w:val="en-GB"/>
        </w:rPr>
        <w:t>st</w:t>
      </w:r>
      <w:r w:rsidRPr="008C2A1A">
        <w:rPr>
          <w:rFonts w:ascii="Garamond" w:hAnsi="Garamond"/>
          <w:color w:val="000000" w:themeColor="text1"/>
          <w:shd w:val="clear" w:color="auto" w:fill="FFFFFF"/>
          <w:lang w:val="en-GB"/>
        </w:rPr>
        <w:t>, 2020, in order to limit their deduction and modify the calculation of the benefit in kind. The objective was to modify the tax treatment for cars that the legislator considers as “fake” hybrids</w:t>
      </w:r>
      <w:r w:rsidRPr="008C2A1A">
        <w:rPr>
          <w:rStyle w:val="Voetnootmarkering"/>
          <w:rFonts w:ascii="Garamond" w:hAnsi="Garamond"/>
          <w:color w:val="000000" w:themeColor="text1"/>
          <w:shd w:val="clear" w:color="auto" w:fill="FFFFFF"/>
          <w:lang w:val="en-GB"/>
        </w:rPr>
        <w:footnoteReference w:id="12"/>
      </w:r>
      <w:r w:rsidRPr="008C2A1A">
        <w:rPr>
          <w:rFonts w:ascii="Garamond" w:hAnsi="Garamond"/>
          <w:color w:val="000000" w:themeColor="text1"/>
          <w:shd w:val="clear" w:color="auto" w:fill="FFFFFF"/>
          <w:lang w:val="en-GB"/>
        </w:rPr>
        <w:t>. For such vehicles, the CO</w:t>
      </w:r>
      <w:r w:rsidRPr="008C2A1A">
        <w:rPr>
          <w:rFonts w:ascii="Garamond" w:hAnsi="Garamond"/>
          <w:color w:val="000000" w:themeColor="text1"/>
          <w:shd w:val="clear" w:color="auto" w:fill="FFFFFF"/>
          <w:vertAlign w:val="subscript"/>
          <w:lang w:val="en-GB"/>
        </w:rPr>
        <w:t>2</w:t>
      </w:r>
      <w:r w:rsidRPr="008C2A1A">
        <w:rPr>
          <w:rFonts w:ascii="Garamond" w:hAnsi="Garamond"/>
          <w:color w:val="000000" w:themeColor="text1"/>
          <w:shd w:val="clear" w:color="auto" w:fill="FFFFFF"/>
          <w:lang w:val="en-GB"/>
        </w:rPr>
        <w:t xml:space="preserve"> parameter used to calculate the benefit in kind is supposed to equal that of a corresponding vehicle using the same fuel type, regardless the existence of a battery. When there is no corresponding vehicle, the CO</w:t>
      </w:r>
      <w:r w:rsidRPr="008C2A1A">
        <w:rPr>
          <w:rFonts w:ascii="Garamond" w:hAnsi="Garamond"/>
          <w:color w:val="000000" w:themeColor="text1"/>
          <w:shd w:val="clear" w:color="auto" w:fill="FFFFFF"/>
          <w:vertAlign w:val="subscript"/>
          <w:lang w:val="en-GB"/>
        </w:rPr>
        <w:t>2</w:t>
      </w:r>
      <w:r w:rsidRPr="008C2A1A">
        <w:rPr>
          <w:rFonts w:ascii="Garamond" w:hAnsi="Garamond"/>
          <w:color w:val="000000" w:themeColor="text1"/>
          <w:shd w:val="clear" w:color="auto" w:fill="FFFFFF"/>
          <w:lang w:val="en-GB"/>
        </w:rPr>
        <w:t xml:space="preserve"> emission parameter is that of the hybrid car, multiplied by 2,5.</w:t>
      </w:r>
    </w:p>
    <w:p w14:paraId="0C95616D" w14:textId="77777777" w:rsidR="00B94180" w:rsidRPr="008C2A1A" w:rsidRDefault="00B94180" w:rsidP="00C01851">
      <w:pPr>
        <w:jc w:val="both"/>
        <w:rPr>
          <w:rFonts w:ascii="Garamond" w:hAnsi="Garamond"/>
          <w:color w:val="000000" w:themeColor="text1"/>
          <w:lang w:val="en-GB"/>
        </w:rPr>
      </w:pPr>
    </w:p>
    <w:p w14:paraId="59C74360" w14:textId="77777777" w:rsidR="00B94180" w:rsidRPr="008C2A1A" w:rsidRDefault="00B94180" w:rsidP="00C01851">
      <w:pPr>
        <w:pStyle w:val="Kop3"/>
        <w:jc w:val="both"/>
        <w:rPr>
          <w:rFonts w:ascii="Garamond" w:hAnsi="Garamond"/>
          <w:b/>
          <w:color w:val="000000" w:themeColor="text1"/>
          <w:lang w:val="en-GB"/>
        </w:rPr>
      </w:pPr>
      <w:r w:rsidRPr="008C2A1A">
        <w:rPr>
          <w:rFonts w:ascii="Garamond" w:hAnsi="Garamond"/>
          <w:b/>
          <w:color w:val="000000" w:themeColor="text1"/>
          <w:lang w:val="en-GB"/>
        </w:rPr>
        <w:t>3.2. From the perspective of the employer - Corporate income tax</w:t>
      </w:r>
    </w:p>
    <w:p w14:paraId="4C709D3B" w14:textId="77777777" w:rsidR="00B94180" w:rsidRPr="008C2A1A" w:rsidRDefault="00B94180" w:rsidP="00C01851">
      <w:pPr>
        <w:jc w:val="both"/>
        <w:rPr>
          <w:color w:val="000000" w:themeColor="text1"/>
          <w:lang w:val="en-GB"/>
        </w:rPr>
      </w:pPr>
    </w:p>
    <w:p w14:paraId="174CB4BB" w14:textId="1582AB29" w:rsidR="00B94180" w:rsidRPr="008C2A1A" w:rsidRDefault="00B94180" w:rsidP="00C01851">
      <w:pPr>
        <w:jc w:val="both"/>
        <w:rPr>
          <w:rFonts w:ascii="Garamond" w:hAnsi="Garamond"/>
          <w:color w:val="000000" w:themeColor="text1"/>
          <w:lang w:val="en-GB"/>
        </w:rPr>
      </w:pPr>
      <w:r w:rsidRPr="008C2A1A">
        <w:rPr>
          <w:rFonts w:ascii="Garamond" w:hAnsi="Garamond"/>
          <w:color w:val="000000" w:themeColor="text1"/>
          <w:lang w:val="en-GB"/>
        </w:rPr>
        <w:t>Firms pay a corporate income tax on their profits, both the distributed profit (dividends) and reserved profit. The textbook definition of a firm's profit stipulates that it equals the firm's revenue minus the costs made to gain that revenue. As such, the firm deducts its different expenses from its tax base, such as its employees' salaries, the costs of raw materials etc. Some expenses, however, cannot be (fully) deducted.</w:t>
      </w:r>
    </w:p>
    <w:p w14:paraId="74BE2AAB" w14:textId="77777777" w:rsidR="00B94180" w:rsidRPr="008C2A1A" w:rsidRDefault="00B94180" w:rsidP="00C01851">
      <w:pPr>
        <w:jc w:val="both"/>
        <w:rPr>
          <w:rFonts w:ascii="Garamond" w:hAnsi="Garamond"/>
          <w:color w:val="000000" w:themeColor="text1"/>
          <w:lang w:val="en-GB"/>
        </w:rPr>
      </w:pPr>
    </w:p>
    <w:p w14:paraId="3E77DFED" w14:textId="2BEAA446" w:rsidR="00B94180" w:rsidRPr="008C2A1A" w:rsidRDefault="00B94180" w:rsidP="00C01851">
      <w:pPr>
        <w:jc w:val="both"/>
        <w:rPr>
          <w:rFonts w:ascii="Garamond" w:hAnsi="Garamond"/>
          <w:color w:val="000000" w:themeColor="text1"/>
          <w:lang w:val="en-GB"/>
        </w:rPr>
      </w:pPr>
      <w:r w:rsidRPr="008C2A1A">
        <w:rPr>
          <w:rFonts w:ascii="Garamond" w:hAnsi="Garamond"/>
          <w:color w:val="000000" w:themeColor="text1"/>
          <w:lang w:val="en-GB"/>
        </w:rPr>
        <w:t>Car expenses are generally classified in a category of expenses which is called “disallowed expenses”. These are expenses that are not totally or partially deductible, although they fulfil the conditions of Art. 49 ITC to be characterised as professional charges. Because in the accounts, which are used to determine the tax base for the purpose of the corporate income tax, all charges are posted in costs accounting and are thus deducted from the taxable profits. However, tax rules exclude certain of these charges, which must but reintegrated into the tax base. Car expenses that may be supported by the firm, and therefore subject to a deduction, are composed of car depreciation, its accessories and equipment, insurance premiums, motor vehicle taxes, parking fees, non-deductible VAT, car hire expenses and fuel expenses.</w:t>
      </w:r>
    </w:p>
    <w:p w14:paraId="17D6600A" w14:textId="77777777" w:rsidR="00B94180" w:rsidRPr="008C2A1A" w:rsidRDefault="00B94180" w:rsidP="00C01851">
      <w:pPr>
        <w:jc w:val="both"/>
        <w:rPr>
          <w:rFonts w:ascii="Garamond" w:hAnsi="Garamond"/>
          <w:color w:val="000000" w:themeColor="text1"/>
          <w:lang w:val="en-GB"/>
        </w:rPr>
      </w:pPr>
    </w:p>
    <w:p w14:paraId="162F2A6A" w14:textId="3B809A76" w:rsidR="00B94180" w:rsidRPr="008C2A1A" w:rsidRDefault="00B94180" w:rsidP="00C01851">
      <w:pPr>
        <w:jc w:val="both"/>
        <w:rPr>
          <w:rFonts w:ascii="Garamond" w:hAnsi="Garamond"/>
          <w:color w:val="000000" w:themeColor="text1"/>
          <w:lang w:val="en-GB"/>
        </w:rPr>
      </w:pPr>
      <w:r w:rsidRPr="008C2A1A">
        <w:rPr>
          <w:rFonts w:ascii="Garamond" w:hAnsi="Garamond"/>
          <w:color w:val="000000" w:themeColor="text1"/>
          <w:lang w:val="en-GB"/>
        </w:rPr>
        <w:t>The deduction rate of car expenses depends on the type of fuel used by the vehicle and on its CO</w:t>
      </w:r>
      <w:r w:rsidRPr="008C2A1A">
        <w:rPr>
          <w:rFonts w:ascii="Garamond" w:hAnsi="Garamond"/>
          <w:color w:val="000000" w:themeColor="text1"/>
          <w:vertAlign w:val="subscript"/>
          <w:lang w:val="en-GB"/>
        </w:rPr>
        <w:t>2</w:t>
      </w:r>
      <w:r w:rsidRPr="008C2A1A">
        <w:rPr>
          <w:rFonts w:ascii="Garamond" w:hAnsi="Garamond"/>
          <w:color w:val="000000" w:themeColor="text1"/>
          <w:lang w:val="en-GB"/>
        </w:rPr>
        <w:t xml:space="preserve"> emissions per </w:t>
      </w:r>
      <w:proofErr w:type="spellStart"/>
      <w:r w:rsidRPr="008C2A1A">
        <w:rPr>
          <w:rFonts w:ascii="Garamond" w:hAnsi="Garamond"/>
          <w:color w:val="000000" w:themeColor="text1"/>
          <w:lang w:val="en-GB"/>
        </w:rPr>
        <w:t>kilometer</w:t>
      </w:r>
      <w:proofErr w:type="spellEnd"/>
      <w:r w:rsidRPr="008C2A1A">
        <w:rPr>
          <w:rFonts w:ascii="Garamond" w:hAnsi="Garamond"/>
          <w:color w:val="000000" w:themeColor="text1"/>
          <w:lang w:val="en-GB"/>
        </w:rPr>
        <w:t>, with the idea that the least pollutant the vehicle, the highest the deduction percentage</w:t>
      </w:r>
      <w:r w:rsidR="00D32AD1" w:rsidRPr="008C2A1A">
        <w:rPr>
          <w:rStyle w:val="Voetnootmarkering"/>
          <w:rFonts w:ascii="Garamond" w:hAnsi="Garamond"/>
          <w:color w:val="000000" w:themeColor="text1"/>
          <w:lang w:val="en-GB"/>
        </w:rPr>
        <w:t xml:space="preserve"> </w:t>
      </w:r>
      <w:r w:rsidR="00D32AD1" w:rsidRPr="008C2A1A">
        <w:rPr>
          <w:rFonts w:ascii="Garamond" w:hAnsi="Garamond"/>
          <w:color w:val="000000" w:themeColor="text1"/>
          <w:lang w:val="en-GB"/>
        </w:rPr>
        <w:t xml:space="preserve">(see art. 198 </w:t>
      </w:r>
      <w:proofErr w:type="spellStart"/>
      <w:r w:rsidR="00D32AD1" w:rsidRPr="008C2A1A">
        <w:rPr>
          <w:rFonts w:ascii="Garamond" w:hAnsi="Garamond"/>
          <w:color w:val="000000" w:themeColor="text1"/>
          <w:lang w:val="en-GB"/>
        </w:rPr>
        <w:t>bis</w:t>
      </w:r>
      <w:proofErr w:type="spellEnd"/>
      <w:r w:rsidR="00D32AD1" w:rsidRPr="008C2A1A">
        <w:rPr>
          <w:rFonts w:ascii="Garamond" w:hAnsi="Garamond"/>
          <w:color w:val="000000" w:themeColor="text1"/>
          <w:lang w:val="en-GB"/>
        </w:rPr>
        <w:t>)</w:t>
      </w:r>
      <w:r w:rsidRPr="008C2A1A">
        <w:rPr>
          <w:rFonts w:ascii="Garamond" w:hAnsi="Garamond"/>
          <w:color w:val="000000" w:themeColor="text1"/>
          <w:lang w:val="en-GB"/>
        </w:rPr>
        <w:t>.</w:t>
      </w:r>
    </w:p>
    <w:p w14:paraId="2A7AE2A0" w14:textId="77777777" w:rsidR="00B94180" w:rsidRPr="008C2A1A" w:rsidRDefault="00B94180" w:rsidP="00C01851">
      <w:pPr>
        <w:jc w:val="both"/>
        <w:rPr>
          <w:rFonts w:ascii="Garamond" w:hAnsi="Garamond"/>
          <w:color w:val="000000" w:themeColor="text1"/>
          <w:lang w:val="en-GB"/>
        </w:rPr>
      </w:pPr>
    </w:p>
    <w:tbl>
      <w:tblPr>
        <w:tblStyle w:val="Rastertabel2"/>
        <w:tblW w:w="0" w:type="auto"/>
        <w:tblLook w:val="04A0" w:firstRow="1" w:lastRow="0" w:firstColumn="1" w:lastColumn="0" w:noHBand="0" w:noVBand="1"/>
      </w:tblPr>
      <w:tblGrid>
        <w:gridCol w:w="2264"/>
        <w:gridCol w:w="2264"/>
        <w:gridCol w:w="2264"/>
        <w:gridCol w:w="2264"/>
      </w:tblGrid>
      <w:tr w:rsidR="008C2A1A" w:rsidRPr="008C2A1A" w14:paraId="063C7DD5" w14:textId="77777777" w:rsidTr="00951B95">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528" w:type="dxa"/>
            <w:gridSpan w:val="2"/>
          </w:tcPr>
          <w:p w14:paraId="4754DDDB" w14:textId="77777777" w:rsidR="00B94180" w:rsidRPr="008C2A1A" w:rsidRDefault="00B94180" w:rsidP="00951B95">
            <w:pPr>
              <w:jc w:val="both"/>
              <w:rPr>
                <w:rFonts w:ascii="Garamond" w:hAnsi="Garamond"/>
                <w:color w:val="000000" w:themeColor="text1"/>
                <w:sz w:val="20"/>
                <w:szCs w:val="20"/>
                <w:lang w:val="en-GB"/>
              </w:rPr>
            </w:pPr>
            <w:r w:rsidRPr="008C2A1A">
              <w:rPr>
                <w:rFonts w:ascii="Garamond" w:hAnsi="Garamond"/>
                <w:color w:val="000000" w:themeColor="text1"/>
                <w:sz w:val="20"/>
                <w:szCs w:val="20"/>
                <w:lang w:val="en-GB"/>
              </w:rPr>
              <w:t>Type of fuel/ CO</w:t>
            </w:r>
            <w:r w:rsidRPr="008C2A1A">
              <w:rPr>
                <w:rFonts w:ascii="Garamond" w:hAnsi="Garamond"/>
                <w:color w:val="000000" w:themeColor="text1"/>
                <w:sz w:val="20"/>
                <w:szCs w:val="20"/>
                <w:vertAlign w:val="subscript"/>
                <w:lang w:val="en-GB"/>
              </w:rPr>
              <w:t>2</w:t>
            </w:r>
            <w:r w:rsidRPr="008C2A1A">
              <w:rPr>
                <w:rFonts w:ascii="Garamond" w:hAnsi="Garamond"/>
                <w:color w:val="000000" w:themeColor="text1"/>
                <w:sz w:val="20"/>
                <w:szCs w:val="20"/>
                <w:lang w:val="en-GB"/>
              </w:rPr>
              <w:t xml:space="preserve"> emissions per km</w:t>
            </w:r>
          </w:p>
        </w:tc>
        <w:tc>
          <w:tcPr>
            <w:tcW w:w="2264" w:type="dxa"/>
            <w:vMerge w:val="restart"/>
          </w:tcPr>
          <w:p w14:paraId="1DCFEA36" w14:textId="77777777" w:rsidR="00B94180" w:rsidRPr="008C2A1A" w:rsidRDefault="00B94180" w:rsidP="00951B95">
            <w:pPr>
              <w:jc w:val="both"/>
              <w:cnfStyle w:val="100000000000" w:firstRow="1" w:lastRow="0" w:firstColumn="0" w:lastColumn="0" w:oddVBand="0" w:evenVBand="0" w:oddHBand="0" w:evenHBand="0" w:firstRowFirstColumn="0" w:firstRowLastColumn="0" w:lastRowFirstColumn="0" w:lastRowLastColumn="0"/>
              <w:rPr>
                <w:rFonts w:ascii="Garamond" w:hAnsi="Garamond"/>
                <w:color w:val="000000" w:themeColor="text1"/>
                <w:sz w:val="20"/>
                <w:szCs w:val="20"/>
                <w:lang w:val="en-GB"/>
              </w:rPr>
            </w:pPr>
            <w:r w:rsidRPr="008C2A1A">
              <w:rPr>
                <w:rFonts w:ascii="Garamond" w:hAnsi="Garamond"/>
                <w:color w:val="000000" w:themeColor="text1"/>
                <w:sz w:val="20"/>
                <w:szCs w:val="20"/>
                <w:lang w:val="en-GB"/>
              </w:rPr>
              <w:t>Deduction</w:t>
            </w:r>
          </w:p>
        </w:tc>
        <w:tc>
          <w:tcPr>
            <w:tcW w:w="2264" w:type="dxa"/>
            <w:vMerge w:val="restart"/>
          </w:tcPr>
          <w:p w14:paraId="4C58D050" w14:textId="77777777" w:rsidR="00B94180" w:rsidRPr="008C2A1A" w:rsidRDefault="00B94180" w:rsidP="00951B95">
            <w:pPr>
              <w:jc w:val="both"/>
              <w:cnfStyle w:val="100000000000" w:firstRow="1" w:lastRow="0" w:firstColumn="0" w:lastColumn="0" w:oddVBand="0" w:evenVBand="0" w:oddHBand="0" w:evenHBand="0" w:firstRowFirstColumn="0" w:firstRowLastColumn="0" w:lastRowFirstColumn="0" w:lastRowLastColumn="0"/>
              <w:rPr>
                <w:rFonts w:ascii="Garamond" w:hAnsi="Garamond"/>
                <w:color w:val="000000" w:themeColor="text1"/>
                <w:sz w:val="20"/>
                <w:szCs w:val="20"/>
                <w:lang w:val="en-GB"/>
              </w:rPr>
            </w:pPr>
            <w:r w:rsidRPr="008C2A1A">
              <w:rPr>
                <w:rFonts w:ascii="Garamond" w:hAnsi="Garamond"/>
                <w:color w:val="000000" w:themeColor="text1"/>
                <w:sz w:val="20"/>
                <w:szCs w:val="20"/>
                <w:lang w:val="en-GB"/>
              </w:rPr>
              <w:t>Disallowed expenses</w:t>
            </w:r>
          </w:p>
        </w:tc>
      </w:tr>
      <w:tr w:rsidR="008C2A1A" w:rsidRPr="008C2A1A" w14:paraId="211C95F9" w14:textId="77777777" w:rsidTr="00951B9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64" w:type="dxa"/>
          </w:tcPr>
          <w:p w14:paraId="59B41604" w14:textId="77777777" w:rsidR="00B94180" w:rsidRPr="008C2A1A" w:rsidRDefault="00B94180" w:rsidP="00951B95">
            <w:pPr>
              <w:jc w:val="both"/>
              <w:rPr>
                <w:rFonts w:ascii="Garamond" w:hAnsi="Garamond"/>
                <w:b w:val="0"/>
                <w:bCs w:val="0"/>
                <w:color w:val="000000" w:themeColor="text1"/>
                <w:sz w:val="20"/>
                <w:szCs w:val="20"/>
                <w:lang w:val="en-GB"/>
              </w:rPr>
            </w:pPr>
            <w:r w:rsidRPr="008C2A1A">
              <w:rPr>
                <w:rFonts w:ascii="Garamond" w:hAnsi="Garamond"/>
                <w:b w:val="0"/>
                <w:bCs w:val="0"/>
                <w:color w:val="000000" w:themeColor="text1"/>
                <w:sz w:val="20"/>
                <w:szCs w:val="20"/>
                <w:lang w:val="en-GB"/>
              </w:rPr>
              <w:t>Diesel</w:t>
            </w:r>
          </w:p>
        </w:tc>
        <w:tc>
          <w:tcPr>
            <w:tcW w:w="2264" w:type="dxa"/>
          </w:tcPr>
          <w:p w14:paraId="6CBD75C9" w14:textId="77777777" w:rsidR="00B94180" w:rsidRPr="008C2A1A" w:rsidRDefault="00B94180" w:rsidP="00951B95">
            <w:pPr>
              <w:jc w:val="both"/>
              <w:cnfStyle w:val="000000100000" w:firstRow="0" w:lastRow="0" w:firstColumn="0" w:lastColumn="0" w:oddVBand="0" w:evenVBand="0" w:oddHBand="1" w:evenHBand="0" w:firstRowFirstColumn="0" w:firstRowLastColumn="0" w:lastRowFirstColumn="0" w:lastRowLastColumn="0"/>
              <w:rPr>
                <w:rFonts w:ascii="Garamond" w:hAnsi="Garamond"/>
                <w:color w:val="000000" w:themeColor="text1"/>
                <w:sz w:val="20"/>
                <w:szCs w:val="20"/>
                <w:lang w:val="en-GB"/>
              </w:rPr>
            </w:pPr>
            <w:r w:rsidRPr="008C2A1A">
              <w:rPr>
                <w:rFonts w:ascii="Garamond" w:hAnsi="Garamond"/>
                <w:color w:val="000000" w:themeColor="text1"/>
                <w:sz w:val="20"/>
                <w:szCs w:val="20"/>
                <w:lang w:val="en-GB"/>
              </w:rPr>
              <w:t>Petrol</w:t>
            </w:r>
          </w:p>
        </w:tc>
        <w:tc>
          <w:tcPr>
            <w:tcW w:w="2264" w:type="dxa"/>
            <w:vMerge/>
          </w:tcPr>
          <w:p w14:paraId="3B5C9429" w14:textId="77777777" w:rsidR="00B94180" w:rsidRPr="008C2A1A" w:rsidRDefault="00B94180" w:rsidP="00951B95">
            <w:pPr>
              <w:jc w:val="both"/>
              <w:cnfStyle w:val="000000100000" w:firstRow="0" w:lastRow="0" w:firstColumn="0" w:lastColumn="0" w:oddVBand="0" w:evenVBand="0" w:oddHBand="1" w:evenHBand="0" w:firstRowFirstColumn="0" w:firstRowLastColumn="0" w:lastRowFirstColumn="0" w:lastRowLastColumn="0"/>
              <w:rPr>
                <w:rFonts w:ascii="Garamond" w:hAnsi="Garamond"/>
                <w:color w:val="000000" w:themeColor="text1"/>
                <w:sz w:val="20"/>
                <w:szCs w:val="20"/>
                <w:lang w:val="en-GB"/>
              </w:rPr>
            </w:pPr>
          </w:p>
        </w:tc>
        <w:tc>
          <w:tcPr>
            <w:tcW w:w="2264" w:type="dxa"/>
            <w:vMerge/>
          </w:tcPr>
          <w:p w14:paraId="69ACB159" w14:textId="77777777" w:rsidR="00B94180" w:rsidRPr="008C2A1A" w:rsidRDefault="00B94180" w:rsidP="00951B95">
            <w:pPr>
              <w:jc w:val="both"/>
              <w:cnfStyle w:val="000000100000" w:firstRow="0" w:lastRow="0" w:firstColumn="0" w:lastColumn="0" w:oddVBand="0" w:evenVBand="0" w:oddHBand="1" w:evenHBand="0" w:firstRowFirstColumn="0" w:firstRowLastColumn="0" w:lastRowFirstColumn="0" w:lastRowLastColumn="0"/>
              <w:rPr>
                <w:rFonts w:ascii="Garamond" w:hAnsi="Garamond"/>
                <w:color w:val="000000" w:themeColor="text1"/>
                <w:sz w:val="20"/>
                <w:szCs w:val="20"/>
                <w:lang w:val="en-GB"/>
              </w:rPr>
            </w:pPr>
          </w:p>
        </w:tc>
      </w:tr>
      <w:tr w:rsidR="008C2A1A" w:rsidRPr="008C2A1A" w14:paraId="4CC8A8C5" w14:textId="77777777" w:rsidTr="00951B95">
        <w:tc>
          <w:tcPr>
            <w:cnfStyle w:val="001000000000" w:firstRow="0" w:lastRow="0" w:firstColumn="1" w:lastColumn="0" w:oddVBand="0" w:evenVBand="0" w:oddHBand="0" w:evenHBand="0" w:firstRowFirstColumn="0" w:firstRowLastColumn="0" w:lastRowFirstColumn="0" w:lastRowLastColumn="0"/>
            <w:tcW w:w="2264" w:type="dxa"/>
          </w:tcPr>
          <w:p w14:paraId="60B247D9" w14:textId="77777777" w:rsidR="00B94180" w:rsidRPr="008C2A1A" w:rsidRDefault="00B94180" w:rsidP="00951B95">
            <w:pPr>
              <w:jc w:val="both"/>
              <w:rPr>
                <w:rFonts w:ascii="Garamond" w:hAnsi="Garamond"/>
                <w:b w:val="0"/>
                <w:bCs w:val="0"/>
                <w:color w:val="000000" w:themeColor="text1"/>
                <w:sz w:val="20"/>
                <w:szCs w:val="20"/>
                <w:lang w:val="en-GB"/>
              </w:rPr>
            </w:pPr>
            <w:r w:rsidRPr="008C2A1A">
              <w:rPr>
                <w:rFonts w:ascii="Garamond" w:hAnsi="Garamond"/>
                <w:b w:val="0"/>
                <w:bCs w:val="0"/>
                <w:color w:val="000000" w:themeColor="text1"/>
                <w:sz w:val="20"/>
                <w:szCs w:val="20"/>
                <w:lang w:val="en-GB"/>
              </w:rPr>
              <w:t>0g</w:t>
            </w:r>
          </w:p>
        </w:tc>
        <w:tc>
          <w:tcPr>
            <w:tcW w:w="2264" w:type="dxa"/>
          </w:tcPr>
          <w:p w14:paraId="327B3A3B" w14:textId="77777777" w:rsidR="00B94180" w:rsidRPr="008C2A1A" w:rsidRDefault="00B94180" w:rsidP="00951B95">
            <w:pPr>
              <w:jc w:val="both"/>
              <w:cnfStyle w:val="000000000000" w:firstRow="0" w:lastRow="0" w:firstColumn="0" w:lastColumn="0" w:oddVBand="0" w:evenVBand="0" w:oddHBand="0" w:evenHBand="0" w:firstRowFirstColumn="0" w:firstRowLastColumn="0" w:lastRowFirstColumn="0" w:lastRowLastColumn="0"/>
              <w:rPr>
                <w:rFonts w:ascii="Garamond" w:hAnsi="Garamond"/>
                <w:color w:val="000000" w:themeColor="text1"/>
                <w:sz w:val="20"/>
                <w:szCs w:val="20"/>
                <w:lang w:val="en-GB"/>
              </w:rPr>
            </w:pPr>
            <w:r w:rsidRPr="008C2A1A">
              <w:rPr>
                <w:rFonts w:ascii="Garamond" w:hAnsi="Garamond"/>
                <w:color w:val="000000" w:themeColor="text1"/>
                <w:sz w:val="20"/>
                <w:szCs w:val="20"/>
                <w:lang w:val="en-GB"/>
              </w:rPr>
              <w:t xml:space="preserve">0g </w:t>
            </w:r>
          </w:p>
        </w:tc>
        <w:tc>
          <w:tcPr>
            <w:tcW w:w="2264" w:type="dxa"/>
          </w:tcPr>
          <w:p w14:paraId="3C75C093" w14:textId="77777777" w:rsidR="00B94180" w:rsidRPr="008C2A1A" w:rsidRDefault="00B94180" w:rsidP="00951B95">
            <w:pPr>
              <w:jc w:val="both"/>
              <w:cnfStyle w:val="000000000000" w:firstRow="0" w:lastRow="0" w:firstColumn="0" w:lastColumn="0" w:oddVBand="0" w:evenVBand="0" w:oddHBand="0" w:evenHBand="0" w:firstRowFirstColumn="0" w:firstRowLastColumn="0" w:lastRowFirstColumn="0" w:lastRowLastColumn="0"/>
              <w:rPr>
                <w:rFonts w:ascii="Garamond" w:hAnsi="Garamond"/>
                <w:color w:val="000000" w:themeColor="text1"/>
                <w:sz w:val="20"/>
                <w:szCs w:val="20"/>
                <w:lang w:val="en-GB"/>
              </w:rPr>
            </w:pPr>
            <w:r w:rsidRPr="008C2A1A">
              <w:rPr>
                <w:rFonts w:ascii="Garamond" w:hAnsi="Garamond"/>
                <w:color w:val="000000" w:themeColor="text1"/>
                <w:sz w:val="20"/>
                <w:szCs w:val="20"/>
                <w:lang w:val="en-GB"/>
              </w:rPr>
              <w:t>120%</w:t>
            </w:r>
          </w:p>
        </w:tc>
        <w:tc>
          <w:tcPr>
            <w:tcW w:w="2264" w:type="dxa"/>
          </w:tcPr>
          <w:p w14:paraId="0C69AAC3" w14:textId="77777777" w:rsidR="00B94180" w:rsidRPr="008C2A1A" w:rsidRDefault="00B94180" w:rsidP="00951B95">
            <w:pPr>
              <w:jc w:val="both"/>
              <w:cnfStyle w:val="000000000000" w:firstRow="0" w:lastRow="0" w:firstColumn="0" w:lastColumn="0" w:oddVBand="0" w:evenVBand="0" w:oddHBand="0" w:evenHBand="0" w:firstRowFirstColumn="0" w:firstRowLastColumn="0" w:lastRowFirstColumn="0" w:lastRowLastColumn="0"/>
              <w:rPr>
                <w:rFonts w:ascii="Garamond" w:hAnsi="Garamond"/>
                <w:color w:val="000000" w:themeColor="text1"/>
                <w:sz w:val="20"/>
                <w:szCs w:val="20"/>
                <w:lang w:val="en-GB"/>
              </w:rPr>
            </w:pPr>
            <w:r w:rsidRPr="008C2A1A">
              <w:rPr>
                <w:rFonts w:ascii="Garamond" w:hAnsi="Garamond"/>
                <w:color w:val="000000" w:themeColor="text1"/>
                <w:sz w:val="20"/>
                <w:szCs w:val="20"/>
                <w:lang w:val="en-GB"/>
              </w:rPr>
              <w:t>0%</w:t>
            </w:r>
          </w:p>
        </w:tc>
      </w:tr>
      <w:tr w:rsidR="008C2A1A" w:rsidRPr="008C2A1A" w14:paraId="71A77AEA" w14:textId="77777777" w:rsidTr="00951B9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64" w:type="dxa"/>
          </w:tcPr>
          <w:p w14:paraId="48FF74AB" w14:textId="77777777" w:rsidR="00B94180" w:rsidRPr="008C2A1A" w:rsidRDefault="00B94180" w:rsidP="00951B95">
            <w:pPr>
              <w:jc w:val="both"/>
              <w:rPr>
                <w:rFonts w:ascii="Garamond" w:hAnsi="Garamond"/>
                <w:b w:val="0"/>
                <w:bCs w:val="0"/>
                <w:color w:val="000000" w:themeColor="text1"/>
                <w:sz w:val="20"/>
                <w:szCs w:val="20"/>
                <w:lang w:val="en-GB"/>
              </w:rPr>
            </w:pPr>
            <w:r w:rsidRPr="008C2A1A">
              <w:rPr>
                <w:rFonts w:ascii="Garamond" w:hAnsi="Garamond"/>
                <w:b w:val="0"/>
                <w:bCs w:val="0"/>
                <w:color w:val="000000" w:themeColor="text1"/>
                <w:sz w:val="20"/>
                <w:szCs w:val="20"/>
                <w:lang w:val="en-GB"/>
              </w:rPr>
              <w:t>&lt; 60g</w:t>
            </w:r>
          </w:p>
        </w:tc>
        <w:tc>
          <w:tcPr>
            <w:tcW w:w="2264" w:type="dxa"/>
          </w:tcPr>
          <w:p w14:paraId="0B2B9B91" w14:textId="77777777" w:rsidR="00B94180" w:rsidRPr="008C2A1A" w:rsidRDefault="00B94180" w:rsidP="00951B95">
            <w:pPr>
              <w:jc w:val="both"/>
              <w:cnfStyle w:val="000000100000" w:firstRow="0" w:lastRow="0" w:firstColumn="0" w:lastColumn="0" w:oddVBand="0" w:evenVBand="0" w:oddHBand="1" w:evenHBand="0" w:firstRowFirstColumn="0" w:firstRowLastColumn="0" w:lastRowFirstColumn="0" w:lastRowLastColumn="0"/>
              <w:rPr>
                <w:rFonts w:ascii="Garamond" w:hAnsi="Garamond"/>
                <w:color w:val="000000" w:themeColor="text1"/>
                <w:sz w:val="20"/>
                <w:szCs w:val="20"/>
                <w:lang w:val="en-GB"/>
              </w:rPr>
            </w:pPr>
            <w:r w:rsidRPr="008C2A1A">
              <w:rPr>
                <w:rFonts w:ascii="Garamond" w:hAnsi="Garamond"/>
                <w:color w:val="000000" w:themeColor="text1"/>
                <w:sz w:val="20"/>
                <w:szCs w:val="20"/>
                <w:lang w:val="en-GB"/>
              </w:rPr>
              <w:t>&lt; 60g</w:t>
            </w:r>
          </w:p>
        </w:tc>
        <w:tc>
          <w:tcPr>
            <w:tcW w:w="2264" w:type="dxa"/>
          </w:tcPr>
          <w:p w14:paraId="22FBBC2E" w14:textId="77777777" w:rsidR="00B94180" w:rsidRPr="008C2A1A" w:rsidRDefault="00B94180" w:rsidP="00951B95">
            <w:pPr>
              <w:jc w:val="both"/>
              <w:cnfStyle w:val="000000100000" w:firstRow="0" w:lastRow="0" w:firstColumn="0" w:lastColumn="0" w:oddVBand="0" w:evenVBand="0" w:oddHBand="1" w:evenHBand="0" w:firstRowFirstColumn="0" w:firstRowLastColumn="0" w:lastRowFirstColumn="0" w:lastRowLastColumn="0"/>
              <w:rPr>
                <w:rFonts w:ascii="Garamond" w:hAnsi="Garamond"/>
                <w:color w:val="000000" w:themeColor="text1"/>
                <w:sz w:val="20"/>
                <w:szCs w:val="20"/>
                <w:lang w:val="en-GB"/>
              </w:rPr>
            </w:pPr>
            <w:r w:rsidRPr="008C2A1A">
              <w:rPr>
                <w:rFonts w:ascii="Garamond" w:hAnsi="Garamond"/>
                <w:color w:val="000000" w:themeColor="text1"/>
                <w:sz w:val="20"/>
                <w:szCs w:val="20"/>
                <w:lang w:val="en-GB"/>
              </w:rPr>
              <w:t>100%</w:t>
            </w:r>
          </w:p>
        </w:tc>
        <w:tc>
          <w:tcPr>
            <w:tcW w:w="2264" w:type="dxa"/>
          </w:tcPr>
          <w:p w14:paraId="2E6EF486" w14:textId="77777777" w:rsidR="00B94180" w:rsidRPr="008C2A1A" w:rsidRDefault="00B94180" w:rsidP="00951B95">
            <w:pPr>
              <w:jc w:val="both"/>
              <w:cnfStyle w:val="000000100000" w:firstRow="0" w:lastRow="0" w:firstColumn="0" w:lastColumn="0" w:oddVBand="0" w:evenVBand="0" w:oddHBand="1" w:evenHBand="0" w:firstRowFirstColumn="0" w:firstRowLastColumn="0" w:lastRowFirstColumn="0" w:lastRowLastColumn="0"/>
              <w:rPr>
                <w:rFonts w:ascii="Garamond" w:hAnsi="Garamond"/>
                <w:color w:val="000000" w:themeColor="text1"/>
                <w:sz w:val="20"/>
                <w:szCs w:val="20"/>
                <w:lang w:val="en-GB"/>
              </w:rPr>
            </w:pPr>
            <w:r w:rsidRPr="008C2A1A">
              <w:rPr>
                <w:rFonts w:ascii="Garamond" w:hAnsi="Garamond"/>
                <w:color w:val="000000" w:themeColor="text1"/>
                <w:sz w:val="20"/>
                <w:szCs w:val="20"/>
                <w:lang w:val="en-GB"/>
              </w:rPr>
              <w:t>0%</w:t>
            </w:r>
          </w:p>
        </w:tc>
      </w:tr>
      <w:tr w:rsidR="008C2A1A" w:rsidRPr="008C2A1A" w14:paraId="6DF659CF" w14:textId="77777777" w:rsidTr="00951B95">
        <w:tc>
          <w:tcPr>
            <w:cnfStyle w:val="001000000000" w:firstRow="0" w:lastRow="0" w:firstColumn="1" w:lastColumn="0" w:oddVBand="0" w:evenVBand="0" w:oddHBand="0" w:evenHBand="0" w:firstRowFirstColumn="0" w:firstRowLastColumn="0" w:lastRowFirstColumn="0" w:lastRowLastColumn="0"/>
            <w:tcW w:w="2264" w:type="dxa"/>
          </w:tcPr>
          <w:p w14:paraId="412352BA" w14:textId="77777777" w:rsidR="00B94180" w:rsidRPr="008C2A1A" w:rsidRDefault="00B94180" w:rsidP="00951B95">
            <w:pPr>
              <w:jc w:val="both"/>
              <w:rPr>
                <w:rFonts w:ascii="Garamond" w:hAnsi="Garamond"/>
                <w:b w:val="0"/>
                <w:bCs w:val="0"/>
                <w:color w:val="000000" w:themeColor="text1"/>
                <w:sz w:val="20"/>
                <w:szCs w:val="20"/>
                <w:lang w:val="en-GB"/>
              </w:rPr>
            </w:pPr>
            <w:r w:rsidRPr="008C2A1A">
              <w:rPr>
                <w:rFonts w:ascii="Garamond" w:hAnsi="Garamond"/>
                <w:b w:val="0"/>
                <w:bCs w:val="0"/>
                <w:color w:val="000000" w:themeColor="text1"/>
                <w:sz w:val="20"/>
                <w:szCs w:val="20"/>
                <w:lang w:val="en-GB"/>
              </w:rPr>
              <w:t>&gt; 60g – 105g</w:t>
            </w:r>
          </w:p>
        </w:tc>
        <w:tc>
          <w:tcPr>
            <w:tcW w:w="2264" w:type="dxa"/>
          </w:tcPr>
          <w:p w14:paraId="03297CD2" w14:textId="77777777" w:rsidR="00B94180" w:rsidRPr="008C2A1A" w:rsidRDefault="00B94180" w:rsidP="00951B95">
            <w:pPr>
              <w:jc w:val="both"/>
              <w:cnfStyle w:val="000000000000" w:firstRow="0" w:lastRow="0" w:firstColumn="0" w:lastColumn="0" w:oddVBand="0" w:evenVBand="0" w:oddHBand="0" w:evenHBand="0" w:firstRowFirstColumn="0" w:firstRowLastColumn="0" w:lastRowFirstColumn="0" w:lastRowLastColumn="0"/>
              <w:rPr>
                <w:rFonts w:ascii="Garamond" w:hAnsi="Garamond"/>
                <w:color w:val="000000" w:themeColor="text1"/>
                <w:sz w:val="20"/>
                <w:szCs w:val="20"/>
                <w:lang w:val="en-GB"/>
              </w:rPr>
            </w:pPr>
            <w:r w:rsidRPr="008C2A1A">
              <w:rPr>
                <w:rFonts w:ascii="Garamond" w:hAnsi="Garamond"/>
                <w:color w:val="000000" w:themeColor="text1"/>
                <w:sz w:val="20"/>
                <w:szCs w:val="20"/>
                <w:lang w:val="en-GB"/>
              </w:rPr>
              <w:t>&gt; 60g – 105g</w:t>
            </w:r>
          </w:p>
        </w:tc>
        <w:tc>
          <w:tcPr>
            <w:tcW w:w="2264" w:type="dxa"/>
          </w:tcPr>
          <w:p w14:paraId="69A63032" w14:textId="77777777" w:rsidR="00B94180" w:rsidRPr="008C2A1A" w:rsidRDefault="00B94180" w:rsidP="00951B95">
            <w:pPr>
              <w:jc w:val="both"/>
              <w:cnfStyle w:val="000000000000" w:firstRow="0" w:lastRow="0" w:firstColumn="0" w:lastColumn="0" w:oddVBand="0" w:evenVBand="0" w:oddHBand="0" w:evenHBand="0" w:firstRowFirstColumn="0" w:firstRowLastColumn="0" w:lastRowFirstColumn="0" w:lastRowLastColumn="0"/>
              <w:rPr>
                <w:rFonts w:ascii="Garamond" w:hAnsi="Garamond"/>
                <w:color w:val="000000" w:themeColor="text1"/>
                <w:sz w:val="20"/>
                <w:szCs w:val="20"/>
                <w:lang w:val="en-GB"/>
              </w:rPr>
            </w:pPr>
            <w:r w:rsidRPr="008C2A1A">
              <w:rPr>
                <w:rFonts w:ascii="Garamond" w:hAnsi="Garamond"/>
                <w:color w:val="000000" w:themeColor="text1"/>
                <w:sz w:val="20"/>
                <w:szCs w:val="20"/>
                <w:lang w:val="en-GB"/>
              </w:rPr>
              <w:t>90%</w:t>
            </w:r>
          </w:p>
        </w:tc>
        <w:tc>
          <w:tcPr>
            <w:tcW w:w="2264" w:type="dxa"/>
          </w:tcPr>
          <w:p w14:paraId="2793D8F1" w14:textId="77777777" w:rsidR="00B94180" w:rsidRPr="008C2A1A" w:rsidRDefault="00B94180" w:rsidP="00951B95">
            <w:pPr>
              <w:jc w:val="both"/>
              <w:cnfStyle w:val="000000000000" w:firstRow="0" w:lastRow="0" w:firstColumn="0" w:lastColumn="0" w:oddVBand="0" w:evenVBand="0" w:oddHBand="0" w:evenHBand="0" w:firstRowFirstColumn="0" w:firstRowLastColumn="0" w:lastRowFirstColumn="0" w:lastRowLastColumn="0"/>
              <w:rPr>
                <w:rFonts w:ascii="Garamond" w:hAnsi="Garamond"/>
                <w:color w:val="000000" w:themeColor="text1"/>
                <w:sz w:val="20"/>
                <w:szCs w:val="20"/>
                <w:lang w:val="en-GB"/>
              </w:rPr>
            </w:pPr>
            <w:r w:rsidRPr="008C2A1A">
              <w:rPr>
                <w:rFonts w:ascii="Garamond" w:hAnsi="Garamond"/>
                <w:color w:val="000000" w:themeColor="text1"/>
                <w:sz w:val="20"/>
                <w:szCs w:val="20"/>
                <w:lang w:val="en-GB"/>
              </w:rPr>
              <w:t>10%</w:t>
            </w:r>
          </w:p>
        </w:tc>
      </w:tr>
      <w:tr w:rsidR="008C2A1A" w:rsidRPr="008C2A1A" w14:paraId="51D3DFEF" w14:textId="77777777" w:rsidTr="00951B9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64" w:type="dxa"/>
          </w:tcPr>
          <w:p w14:paraId="1EE04640" w14:textId="77777777" w:rsidR="00B94180" w:rsidRPr="008C2A1A" w:rsidRDefault="00B94180" w:rsidP="00951B95">
            <w:pPr>
              <w:jc w:val="both"/>
              <w:rPr>
                <w:rFonts w:ascii="Garamond" w:hAnsi="Garamond"/>
                <w:b w:val="0"/>
                <w:bCs w:val="0"/>
                <w:color w:val="000000" w:themeColor="text1"/>
                <w:sz w:val="20"/>
                <w:szCs w:val="20"/>
                <w:lang w:val="en-GB"/>
              </w:rPr>
            </w:pPr>
            <w:r w:rsidRPr="008C2A1A">
              <w:rPr>
                <w:rFonts w:ascii="Garamond" w:hAnsi="Garamond"/>
                <w:b w:val="0"/>
                <w:bCs w:val="0"/>
                <w:color w:val="000000" w:themeColor="text1"/>
                <w:sz w:val="20"/>
                <w:szCs w:val="20"/>
                <w:lang w:val="en-GB"/>
              </w:rPr>
              <w:t xml:space="preserve">&gt; 105 – 115g </w:t>
            </w:r>
          </w:p>
        </w:tc>
        <w:tc>
          <w:tcPr>
            <w:tcW w:w="2264" w:type="dxa"/>
          </w:tcPr>
          <w:p w14:paraId="1CF3B608" w14:textId="77777777" w:rsidR="00B94180" w:rsidRPr="008C2A1A" w:rsidRDefault="00B94180" w:rsidP="00951B95">
            <w:pPr>
              <w:jc w:val="both"/>
              <w:cnfStyle w:val="000000100000" w:firstRow="0" w:lastRow="0" w:firstColumn="0" w:lastColumn="0" w:oddVBand="0" w:evenVBand="0" w:oddHBand="1" w:evenHBand="0" w:firstRowFirstColumn="0" w:firstRowLastColumn="0" w:lastRowFirstColumn="0" w:lastRowLastColumn="0"/>
              <w:rPr>
                <w:rFonts w:ascii="Garamond" w:hAnsi="Garamond"/>
                <w:color w:val="000000" w:themeColor="text1"/>
                <w:sz w:val="20"/>
                <w:szCs w:val="20"/>
                <w:lang w:val="en-GB"/>
              </w:rPr>
            </w:pPr>
            <w:r w:rsidRPr="008C2A1A">
              <w:rPr>
                <w:rFonts w:ascii="Garamond" w:hAnsi="Garamond"/>
                <w:color w:val="000000" w:themeColor="text1"/>
                <w:sz w:val="20"/>
                <w:szCs w:val="20"/>
                <w:lang w:val="en-GB"/>
              </w:rPr>
              <w:t>&gt; 105g – 125g</w:t>
            </w:r>
          </w:p>
        </w:tc>
        <w:tc>
          <w:tcPr>
            <w:tcW w:w="2264" w:type="dxa"/>
          </w:tcPr>
          <w:p w14:paraId="4C9B0DE6" w14:textId="77777777" w:rsidR="00B94180" w:rsidRPr="008C2A1A" w:rsidRDefault="00B94180" w:rsidP="00951B95">
            <w:pPr>
              <w:jc w:val="both"/>
              <w:cnfStyle w:val="000000100000" w:firstRow="0" w:lastRow="0" w:firstColumn="0" w:lastColumn="0" w:oddVBand="0" w:evenVBand="0" w:oddHBand="1" w:evenHBand="0" w:firstRowFirstColumn="0" w:firstRowLastColumn="0" w:lastRowFirstColumn="0" w:lastRowLastColumn="0"/>
              <w:rPr>
                <w:rFonts w:ascii="Garamond" w:hAnsi="Garamond"/>
                <w:color w:val="000000" w:themeColor="text1"/>
                <w:sz w:val="20"/>
                <w:szCs w:val="20"/>
                <w:lang w:val="en-GB"/>
              </w:rPr>
            </w:pPr>
            <w:r w:rsidRPr="008C2A1A">
              <w:rPr>
                <w:rFonts w:ascii="Garamond" w:hAnsi="Garamond"/>
                <w:color w:val="000000" w:themeColor="text1"/>
                <w:sz w:val="20"/>
                <w:szCs w:val="20"/>
                <w:lang w:val="en-GB"/>
              </w:rPr>
              <w:t>80%</w:t>
            </w:r>
          </w:p>
        </w:tc>
        <w:tc>
          <w:tcPr>
            <w:tcW w:w="2264" w:type="dxa"/>
          </w:tcPr>
          <w:p w14:paraId="737104D9" w14:textId="77777777" w:rsidR="00B94180" w:rsidRPr="008C2A1A" w:rsidRDefault="00B94180" w:rsidP="00951B95">
            <w:pPr>
              <w:jc w:val="both"/>
              <w:cnfStyle w:val="000000100000" w:firstRow="0" w:lastRow="0" w:firstColumn="0" w:lastColumn="0" w:oddVBand="0" w:evenVBand="0" w:oddHBand="1" w:evenHBand="0" w:firstRowFirstColumn="0" w:firstRowLastColumn="0" w:lastRowFirstColumn="0" w:lastRowLastColumn="0"/>
              <w:rPr>
                <w:rFonts w:ascii="Garamond" w:hAnsi="Garamond"/>
                <w:color w:val="000000" w:themeColor="text1"/>
                <w:sz w:val="20"/>
                <w:szCs w:val="20"/>
                <w:lang w:val="en-GB"/>
              </w:rPr>
            </w:pPr>
            <w:r w:rsidRPr="008C2A1A">
              <w:rPr>
                <w:rFonts w:ascii="Garamond" w:hAnsi="Garamond"/>
                <w:color w:val="000000" w:themeColor="text1"/>
                <w:sz w:val="20"/>
                <w:szCs w:val="20"/>
                <w:lang w:val="en-GB"/>
              </w:rPr>
              <w:t>20%</w:t>
            </w:r>
          </w:p>
        </w:tc>
      </w:tr>
      <w:tr w:rsidR="008C2A1A" w:rsidRPr="008C2A1A" w14:paraId="18C890AF" w14:textId="77777777" w:rsidTr="00951B95">
        <w:tc>
          <w:tcPr>
            <w:cnfStyle w:val="001000000000" w:firstRow="0" w:lastRow="0" w:firstColumn="1" w:lastColumn="0" w:oddVBand="0" w:evenVBand="0" w:oddHBand="0" w:evenHBand="0" w:firstRowFirstColumn="0" w:firstRowLastColumn="0" w:lastRowFirstColumn="0" w:lastRowLastColumn="0"/>
            <w:tcW w:w="2264" w:type="dxa"/>
          </w:tcPr>
          <w:p w14:paraId="4842AB44" w14:textId="77777777" w:rsidR="00B94180" w:rsidRPr="008C2A1A" w:rsidRDefault="00B94180" w:rsidP="00951B95">
            <w:pPr>
              <w:jc w:val="both"/>
              <w:rPr>
                <w:rFonts w:ascii="Garamond" w:hAnsi="Garamond"/>
                <w:b w:val="0"/>
                <w:bCs w:val="0"/>
                <w:color w:val="000000" w:themeColor="text1"/>
                <w:sz w:val="20"/>
                <w:szCs w:val="20"/>
                <w:lang w:val="en-GB"/>
              </w:rPr>
            </w:pPr>
            <w:r w:rsidRPr="008C2A1A">
              <w:rPr>
                <w:rFonts w:ascii="Garamond" w:hAnsi="Garamond"/>
                <w:b w:val="0"/>
                <w:bCs w:val="0"/>
                <w:color w:val="000000" w:themeColor="text1"/>
                <w:sz w:val="20"/>
                <w:szCs w:val="20"/>
                <w:lang w:val="en-GB"/>
              </w:rPr>
              <w:t>&gt; 115g – 145g</w:t>
            </w:r>
          </w:p>
        </w:tc>
        <w:tc>
          <w:tcPr>
            <w:tcW w:w="2264" w:type="dxa"/>
          </w:tcPr>
          <w:p w14:paraId="40B12892" w14:textId="77777777" w:rsidR="00B94180" w:rsidRPr="008C2A1A" w:rsidRDefault="00B94180" w:rsidP="00951B95">
            <w:pPr>
              <w:jc w:val="both"/>
              <w:cnfStyle w:val="000000000000" w:firstRow="0" w:lastRow="0" w:firstColumn="0" w:lastColumn="0" w:oddVBand="0" w:evenVBand="0" w:oddHBand="0" w:evenHBand="0" w:firstRowFirstColumn="0" w:firstRowLastColumn="0" w:lastRowFirstColumn="0" w:lastRowLastColumn="0"/>
              <w:rPr>
                <w:rFonts w:ascii="Garamond" w:hAnsi="Garamond"/>
                <w:color w:val="000000" w:themeColor="text1"/>
                <w:sz w:val="20"/>
                <w:szCs w:val="20"/>
                <w:lang w:val="en-GB"/>
              </w:rPr>
            </w:pPr>
            <w:r w:rsidRPr="008C2A1A">
              <w:rPr>
                <w:rFonts w:ascii="Garamond" w:hAnsi="Garamond"/>
                <w:color w:val="000000" w:themeColor="text1"/>
                <w:sz w:val="20"/>
                <w:szCs w:val="20"/>
                <w:lang w:val="en-GB"/>
              </w:rPr>
              <w:t>&gt; 125g – 155g</w:t>
            </w:r>
          </w:p>
        </w:tc>
        <w:tc>
          <w:tcPr>
            <w:tcW w:w="2264" w:type="dxa"/>
          </w:tcPr>
          <w:p w14:paraId="676E2CD9" w14:textId="77777777" w:rsidR="00B94180" w:rsidRPr="008C2A1A" w:rsidRDefault="00B94180" w:rsidP="00951B95">
            <w:pPr>
              <w:jc w:val="both"/>
              <w:cnfStyle w:val="000000000000" w:firstRow="0" w:lastRow="0" w:firstColumn="0" w:lastColumn="0" w:oddVBand="0" w:evenVBand="0" w:oddHBand="0" w:evenHBand="0" w:firstRowFirstColumn="0" w:firstRowLastColumn="0" w:lastRowFirstColumn="0" w:lastRowLastColumn="0"/>
              <w:rPr>
                <w:rFonts w:ascii="Garamond" w:hAnsi="Garamond"/>
                <w:color w:val="000000" w:themeColor="text1"/>
                <w:sz w:val="20"/>
                <w:szCs w:val="20"/>
                <w:lang w:val="en-GB"/>
              </w:rPr>
            </w:pPr>
            <w:r w:rsidRPr="008C2A1A">
              <w:rPr>
                <w:rFonts w:ascii="Garamond" w:hAnsi="Garamond"/>
                <w:color w:val="000000" w:themeColor="text1"/>
                <w:sz w:val="20"/>
                <w:szCs w:val="20"/>
                <w:lang w:val="en-GB"/>
              </w:rPr>
              <w:t>75%</w:t>
            </w:r>
          </w:p>
        </w:tc>
        <w:tc>
          <w:tcPr>
            <w:tcW w:w="2264" w:type="dxa"/>
          </w:tcPr>
          <w:p w14:paraId="08BB6970" w14:textId="77777777" w:rsidR="00B94180" w:rsidRPr="008C2A1A" w:rsidRDefault="00B94180" w:rsidP="00951B95">
            <w:pPr>
              <w:jc w:val="both"/>
              <w:cnfStyle w:val="000000000000" w:firstRow="0" w:lastRow="0" w:firstColumn="0" w:lastColumn="0" w:oddVBand="0" w:evenVBand="0" w:oddHBand="0" w:evenHBand="0" w:firstRowFirstColumn="0" w:firstRowLastColumn="0" w:lastRowFirstColumn="0" w:lastRowLastColumn="0"/>
              <w:rPr>
                <w:rFonts w:ascii="Garamond" w:hAnsi="Garamond"/>
                <w:color w:val="000000" w:themeColor="text1"/>
                <w:sz w:val="20"/>
                <w:szCs w:val="20"/>
                <w:lang w:val="en-GB"/>
              </w:rPr>
            </w:pPr>
            <w:r w:rsidRPr="008C2A1A">
              <w:rPr>
                <w:rFonts w:ascii="Garamond" w:hAnsi="Garamond"/>
                <w:color w:val="000000" w:themeColor="text1"/>
                <w:sz w:val="20"/>
                <w:szCs w:val="20"/>
                <w:lang w:val="en-GB"/>
              </w:rPr>
              <w:t>25%</w:t>
            </w:r>
          </w:p>
        </w:tc>
      </w:tr>
      <w:tr w:rsidR="008C2A1A" w:rsidRPr="008C2A1A" w14:paraId="221E8179" w14:textId="77777777" w:rsidTr="00951B9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64" w:type="dxa"/>
          </w:tcPr>
          <w:p w14:paraId="61633661" w14:textId="77777777" w:rsidR="00B94180" w:rsidRPr="008C2A1A" w:rsidRDefault="00B94180" w:rsidP="00951B95">
            <w:pPr>
              <w:jc w:val="both"/>
              <w:rPr>
                <w:rFonts w:ascii="Garamond" w:hAnsi="Garamond"/>
                <w:b w:val="0"/>
                <w:bCs w:val="0"/>
                <w:color w:val="000000" w:themeColor="text1"/>
                <w:sz w:val="20"/>
                <w:szCs w:val="20"/>
                <w:lang w:val="en-GB"/>
              </w:rPr>
            </w:pPr>
            <w:r w:rsidRPr="008C2A1A">
              <w:rPr>
                <w:rFonts w:ascii="Garamond" w:hAnsi="Garamond"/>
                <w:b w:val="0"/>
                <w:bCs w:val="0"/>
                <w:color w:val="000000" w:themeColor="text1"/>
                <w:sz w:val="20"/>
                <w:szCs w:val="20"/>
                <w:lang w:val="en-GB"/>
              </w:rPr>
              <w:lastRenderedPageBreak/>
              <w:t xml:space="preserve">&gt; 145g – 170g </w:t>
            </w:r>
          </w:p>
        </w:tc>
        <w:tc>
          <w:tcPr>
            <w:tcW w:w="2264" w:type="dxa"/>
          </w:tcPr>
          <w:p w14:paraId="362A18E8" w14:textId="77777777" w:rsidR="00B94180" w:rsidRPr="008C2A1A" w:rsidRDefault="00B94180" w:rsidP="00951B95">
            <w:pPr>
              <w:jc w:val="both"/>
              <w:cnfStyle w:val="000000100000" w:firstRow="0" w:lastRow="0" w:firstColumn="0" w:lastColumn="0" w:oddVBand="0" w:evenVBand="0" w:oddHBand="1" w:evenHBand="0" w:firstRowFirstColumn="0" w:firstRowLastColumn="0" w:lastRowFirstColumn="0" w:lastRowLastColumn="0"/>
              <w:rPr>
                <w:rFonts w:ascii="Garamond" w:hAnsi="Garamond"/>
                <w:color w:val="000000" w:themeColor="text1"/>
                <w:sz w:val="20"/>
                <w:szCs w:val="20"/>
                <w:lang w:val="en-GB"/>
              </w:rPr>
            </w:pPr>
            <w:r w:rsidRPr="008C2A1A">
              <w:rPr>
                <w:rFonts w:ascii="Garamond" w:hAnsi="Garamond"/>
                <w:color w:val="000000" w:themeColor="text1"/>
                <w:sz w:val="20"/>
                <w:szCs w:val="20"/>
                <w:lang w:val="en-GB"/>
              </w:rPr>
              <w:t>&gt; 155g – 180g</w:t>
            </w:r>
          </w:p>
        </w:tc>
        <w:tc>
          <w:tcPr>
            <w:tcW w:w="2264" w:type="dxa"/>
          </w:tcPr>
          <w:p w14:paraId="080A44D1" w14:textId="77777777" w:rsidR="00B94180" w:rsidRPr="008C2A1A" w:rsidRDefault="00B94180" w:rsidP="00951B95">
            <w:pPr>
              <w:jc w:val="both"/>
              <w:cnfStyle w:val="000000100000" w:firstRow="0" w:lastRow="0" w:firstColumn="0" w:lastColumn="0" w:oddVBand="0" w:evenVBand="0" w:oddHBand="1" w:evenHBand="0" w:firstRowFirstColumn="0" w:firstRowLastColumn="0" w:lastRowFirstColumn="0" w:lastRowLastColumn="0"/>
              <w:rPr>
                <w:rFonts w:ascii="Garamond" w:hAnsi="Garamond"/>
                <w:color w:val="000000" w:themeColor="text1"/>
                <w:sz w:val="20"/>
                <w:szCs w:val="20"/>
                <w:lang w:val="en-GB"/>
              </w:rPr>
            </w:pPr>
            <w:r w:rsidRPr="008C2A1A">
              <w:rPr>
                <w:rFonts w:ascii="Garamond" w:hAnsi="Garamond"/>
                <w:color w:val="000000" w:themeColor="text1"/>
                <w:sz w:val="20"/>
                <w:szCs w:val="20"/>
                <w:lang w:val="en-GB"/>
              </w:rPr>
              <w:t>70%</w:t>
            </w:r>
          </w:p>
        </w:tc>
        <w:tc>
          <w:tcPr>
            <w:tcW w:w="2264" w:type="dxa"/>
          </w:tcPr>
          <w:p w14:paraId="0CFEB2D0" w14:textId="77777777" w:rsidR="00B94180" w:rsidRPr="008C2A1A" w:rsidRDefault="00B94180" w:rsidP="00951B95">
            <w:pPr>
              <w:jc w:val="both"/>
              <w:cnfStyle w:val="000000100000" w:firstRow="0" w:lastRow="0" w:firstColumn="0" w:lastColumn="0" w:oddVBand="0" w:evenVBand="0" w:oddHBand="1" w:evenHBand="0" w:firstRowFirstColumn="0" w:firstRowLastColumn="0" w:lastRowFirstColumn="0" w:lastRowLastColumn="0"/>
              <w:rPr>
                <w:rFonts w:ascii="Garamond" w:hAnsi="Garamond"/>
                <w:color w:val="000000" w:themeColor="text1"/>
                <w:sz w:val="20"/>
                <w:szCs w:val="20"/>
                <w:lang w:val="en-GB"/>
              </w:rPr>
            </w:pPr>
            <w:r w:rsidRPr="008C2A1A">
              <w:rPr>
                <w:rFonts w:ascii="Garamond" w:hAnsi="Garamond"/>
                <w:color w:val="000000" w:themeColor="text1"/>
                <w:sz w:val="20"/>
                <w:szCs w:val="20"/>
                <w:lang w:val="en-GB"/>
              </w:rPr>
              <w:t>30%</w:t>
            </w:r>
          </w:p>
        </w:tc>
      </w:tr>
      <w:tr w:rsidR="008C2A1A" w:rsidRPr="008C2A1A" w14:paraId="7EB7C5DC" w14:textId="77777777" w:rsidTr="00951B95">
        <w:tc>
          <w:tcPr>
            <w:cnfStyle w:val="001000000000" w:firstRow="0" w:lastRow="0" w:firstColumn="1" w:lastColumn="0" w:oddVBand="0" w:evenVBand="0" w:oddHBand="0" w:evenHBand="0" w:firstRowFirstColumn="0" w:firstRowLastColumn="0" w:lastRowFirstColumn="0" w:lastRowLastColumn="0"/>
            <w:tcW w:w="2264" w:type="dxa"/>
          </w:tcPr>
          <w:p w14:paraId="0759C35F" w14:textId="77777777" w:rsidR="00B94180" w:rsidRPr="008C2A1A" w:rsidRDefault="00B94180" w:rsidP="00951B95">
            <w:pPr>
              <w:jc w:val="both"/>
              <w:rPr>
                <w:rFonts w:ascii="Garamond" w:hAnsi="Garamond"/>
                <w:b w:val="0"/>
                <w:bCs w:val="0"/>
                <w:color w:val="000000" w:themeColor="text1"/>
                <w:sz w:val="20"/>
                <w:szCs w:val="20"/>
                <w:lang w:val="en-GB"/>
              </w:rPr>
            </w:pPr>
            <w:r w:rsidRPr="008C2A1A">
              <w:rPr>
                <w:rFonts w:ascii="Garamond" w:hAnsi="Garamond"/>
                <w:b w:val="0"/>
                <w:bCs w:val="0"/>
                <w:color w:val="000000" w:themeColor="text1"/>
                <w:sz w:val="20"/>
                <w:szCs w:val="20"/>
                <w:lang w:val="en-GB"/>
              </w:rPr>
              <w:t>&gt; 170g – 195g</w:t>
            </w:r>
          </w:p>
        </w:tc>
        <w:tc>
          <w:tcPr>
            <w:tcW w:w="2264" w:type="dxa"/>
          </w:tcPr>
          <w:p w14:paraId="19A8C0C5" w14:textId="77777777" w:rsidR="00B94180" w:rsidRPr="008C2A1A" w:rsidRDefault="00B94180" w:rsidP="00951B95">
            <w:pPr>
              <w:jc w:val="both"/>
              <w:cnfStyle w:val="000000000000" w:firstRow="0" w:lastRow="0" w:firstColumn="0" w:lastColumn="0" w:oddVBand="0" w:evenVBand="0" w:oddHBand="0" w:evenHBand="0" w:firstRowFirstColumn="0" w:firstRowLastColumn="0" w:lastRowFirstColumn="0" w:lastRowLastColumn="0"/>
              <w:rPr>
                <w:rFonts w:ascii="Garamond" w:hAnsi="Garamond"/>
                <w:color w:val="000000" w:themeColor="text1"/>
                <w:sz w:val="20"/>
                <w:szCs w:val="20"/>
                <w:lang w:val="en-GB"/>
              </w:rPr>
            </w:pPr>
            <w:r w:rsidRPr="008C2A1A">
              <w:rPr>
                <w:rFonts w:ascii="Garamond" w:hAnsi="Garamond"/>
                <w:color w:val="000000" w:themeColor="text1"/>
                <w:sz w:val="20"/>
                <w:szCs w:val="20"/>
                <w:lang w:val="en-GB"/>
              </w:rPr>
              <w:t>&gt; 180g – 205g</w:t>
            </w:r>
          </w:p>
        </w:tc>
        <w:tc>
          <w:tcPr>
            <w:tcW w:w="2264" w:type="dxa"/>
          </w:tcPr>
          <w:p w14:paraId="79F81450" w14:textId="77777777" w:rsidR="00B94180" w:rsidRPr="008C2A1A" w:rsidRDefault="00B94180" w:rsidP="00951B95">
            <w:pPr>
              <w:jc w:val="both"/>
              <w:cnfStyle w:val="000000000000" w:firstRow="0" w:lastRow="0" w:firstColumn="0" w:lastColumn="0" w:oddVBand="0" w:evenVBand="0" w:oddHBand="0" w:evenHBand="0" w:firstRowFirstColumn="0" w:firstRowLastColumn="0" w:lastRowFirstColumn="0" w:lastRowLastColumn="0"/>
              <w:rPr>
                <w:rFonts w:ascii="Garamond" w:hAnsi="Garamond"/>
                <w:color w:val="000000" w:themeColor="text1"/>
                <w:sz w:val="20"/>
                <w:szCs w:val="20"/>
                <w:lang w:val="en-GB"/>
              </w:rPr>
            </w:pPr>
            <w:r w:rsidRPr="008C2A1A">
              <w:rPr>
                <w:rFonts w:ascii="Garamond" w:hAnsi="Garamond"/>
                <w:color w:val="000000" w:themeColor="text1"/>
                <w:sz w:val="20"/>
                <w:szCs w:val="20"/>
                <w:lang w:val="en-GB"/>
              </w:rPr>
              <w:t>60%</w:t>
            </w:r>
          </w:p>
        </w:tc>
        <w:tc>
          <w:tcPr>
            <w:tcW w:w="2264" w:type="dxa"/>
          </w:tcPr>
          <w:p w14:paraId="3D303D98" w14:textId="77777777" w:rsidR="00B94180" w:rsidRPr="008C2A1A" w:rsidRDefault="00B94180" w:rsidP="00951B95">
            <w:pPr>
              <w:jc w:val="both"/>
              <w:cnfStyle w:val="000000000000" w:firstRow="0" w:lastRow="0" w:firstColumn="0" w:lastColumn="0" w:oddVBand="0" w:evenVBand="0" w:oddHBand="0" w:evenHBand="0" w:firstRowFirstColumn="0" w:firstRowLastColumn="0" w:lastRowFirstColumn="0" w:lastRowLastColumn="0"/>
              <w:rPr>
                <w:rFonts w:ascii="Garamond" w:hAnsi="Garamond"/>
                <w:color w:val="000000" w:themeColor="text1"/>
                <w:sz w:val="20"/>
                <w:szCs w:val="20"/>
                <w:lang w:val="en-GB"/>
              </w:rPr>
            </w:pPr>
            <w:r w:rsidRPr="008C2A1A">
              <w:rPr>
                <w:rFonts w:ascii="Garamond" w:hAnsi="Garamond"/>
                <w:color w:val="000000" w:themeColor="text1"/>
                <w:sz w:val="20"/>
                <w:szCs w:val="20"/>
                <w:lang w:val="en-GB"/>
              </w:rPr>
              <w:t>40%</w:t>
            </w:r>
          </w:p>
        </w:tc>
      </w:tr>
      <w:tr w:rsidR="008C2A1A" w:rsidRPr="008C2A1A" w14:paraId="699A505F" w14:textId="77777777" w:rsidTr="00951B9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64" w:type="dxa"/>
          </w:tcPr>
          <w:p w14:paraId="6B2E7A5C" w14:textId="77777777" w:rsidR="00B94180" w:rsidRPr="008C2A1A" w:rsidRDefault="00B94180" w:rsidP="00951B95">
            <w:pPr>
              <w:jc w:val="both"/>
              <w:rPr>
                <w:rFonts w:ascii="Garamond" w:hAnsi="Garamond"/>
                <w:b w:val="0"/>
                <w:bCs w:val="0"/>
                <w:color w:val="000000" w:themeColor="text1"/>
                <w:sz w:val="20"/>
                <w:szCs w:val="20"/>
                <w:lang w:val="en-GB"/>
              </w:rPr>
            </w:pPr>
            <w:r w:rsidRPr="008C2A1A">
              <w:rPr>
                <w:rFonts w:ascii="Garamond" w:hAnsi="Garamond"/>
                <w:b w:val="0"/>
                <w:bCs w:val="0"/>
                <w:color w:val="000000" w:themeColor="text1"/>
                <w:sz w:val="20"/>
                <w:szCs w:val="20"/>
                <w:lang w:val="en-GB"/>
              </w:rPr>
              <w:t>&gt; 195g or no available data</w:t>
            </w:r>
          </w:p>
        </w:tc>
        <w:tc>
          <w:tcPr>
            <w:tcW w:w="2264" w:type="dxa"/>
          </w:tcPr>
          <w:p w14:paraId="71191BEC" w14:textId="77777777" w:rsidR="00B94180" w:rsidRPr="008C2A1A" w:rsidRDefault="00B94180" w:rsidP="00951B95">
            <w:pPr>
              <w:jc w:val="both"/>
              <w:cnfStyle w:val="000000100000" w:firstRow="0" w:lastRow="0" w:firstColumn="0" w:lastColumn="0" w:oddVBand="0" w:evenVBand="0" w:oddHBand="1" w:evenHBand="0" w:firstRowFirstColumn="0" w:firstRowLastColumn="0" w:lastRowFirstColumn="0" w:lastRowLastColumn="0"/>
              <w:rPr>
                <w:rFonts w:ascii="Garamond" w:hAnsi="Garamond"/>
                <w:color w:val="000000" w:themeColor="text1"/>
                <w:sz w:val="20"/>
                <w:szCs w:val="20"/>
                <w:lang w:val="en-GB"/>
              </w:rPr>
            </w:pPr>
            <w:r w:rsidRPr="008C2A1A">
              <w:rPr>
                <w:rFonts w:ascii="Garamond" w:hAnsi="Garamond"/>
                <w:color w:val="000000" w:themeColor="text1"/>
                <w:sz w:val="20"/>
                <w:szCs w:val="20"/>
                <w:lang w:val="en-GB"/>
              </w:rPr>
              <w:t>&gt; 205g or no available data</w:t>
            </w:r>
          </w:p>
        </w:tc>
        <w:tc>
          <w:tcPr>
            <w:tcW w:w="2264" w:type="dxa"/>
          </w:tcPr>
          <w:p w14:paraId="6B511A5A" w14:textId="77777777" w:rsidR="00B94180" w:rsidRPr="008C2A1A" w:rsidRDefault="00B94180" w:rsidP="00951B95">
            <w:pPr>
              <w:jc w:val="both"/>
              <w:cnfStyle w:val="000000100000" w:firstRow="0" w:lastRow="0" w:firstColumn="0" w:lastColumn="0" w:oddVBand="0" w:evenVBand="0" w:oddHBand="1" w:evenHBand="0" w:firstRowFirstColumn="0" w:firstRowLastColumn="0" w:lastRowFirstColumn="0" w:lastRowLastColumn="0"/>
              <w:rPr>
                <w:rFonts w:ascii="Garamond" w:hAnsi="Garamond"/>
                <w:color w:val="000000" w:themeColor="text1"/>
                <w:sz w:val="20"/>
                <w:szCs w:val="20"/>
                <w:lang w:val="en-GB"/>
              </w:rPr>
            </w:pPr>
            <w:r w:rsidRPr="008C2A1A">
              <w:rPr>
                <w:rFonts w:ascii="Garamond" w:hAnsi="Garamond"/>
                <w:color w:val="000000" w:themeColor="text1"/>
                <w:sz w:val="20"/>
                <w:szCs w:val="20"/>
                <w:lang w:val="en-GB"/>
              </w:rPr>
              <w:t>50%</w:t>
            </w:r>
          </w:p>
        </w:tc>
        <w:tc>
          <w:tcPr>
            <w:tcW w:w="2264" w:type="dxa"/>
          </w:tcPr>
          <w:p w14:paraId="216CE502" w14:textId="77777777" w:rsidR="00B94180" w:rsidRPr="008C2A1A" w:rsidRDefault="00B94180" w:rsidP="00951B95">
            <w:pPr>
              <w:jc w:val="both"/>
              <w:cnfStyle w:val="000000100000" w:firstRow="0" w:lastRow="0" w:firstColumn="0" w:lastColumn="0" w:oddVBand="0" w:evenVBand="0" w:oddHBand="1" w:evenHBand="0" w:firstRowFirstColumn="0" w:firstRowLastColumn="0" w:lastRowFirstColumn="0" w:lastRowLastColumn="0"/>
              <w:rPr>
                <w:rFonts w:ascii="Garamond" w:hAnsi="Garamond"/>
                <w:color w:val="000000" w:themeColor="text1"/>
                <w:sz w:val="20"/>
                <w:szCs w:val="20"/>
                <w:lang w:val="en-GB"/>
              </w:rPr>
            </w:pPr>
            <w:r w:rsidRPr="008C2A1A">
              <w:rPr>
                <w:rFonts w:ascii="Garamond" w:hAnsi="Garamond"/>
                <w:color w:val="000000" w:themeColor="text1"/>
                <w:sz w:val="20"/>
                <w:szCs w:val="20"/>
                <w:lang w:val="en-GB"/>
              </w:rPr>
              <w:t>50%</w:t>
            </w:r>
          </w:p>
        </w:tc>
      </w:tr>
    </w:tbl>
    <w:p w14:paraId="600A33C3" w14:textId="77777777" w:rsidR="00B94180" w:rsidRPr="008C2A1A" w:rsidRDefault="00B94180" w:rsidP="00C01851">
      <w:pPr>
        <w:jc w:val="both"/>
        <w:rPr>
          <w:rFonts w:ascii="Garamond" w:hAnsi="Garamond"/>
          <w:color w:val="000000" w:themeColor="text1"/>
          <w:lang w:val="en-GB"/>
        </w:rPr>
      </w:pPr>
    </w:p>
    <w:p w14:paraId="0270A539" w14:textId="0E7EB365" w:rsidR="00B94180" w:rsidRPr="008C2A1A" w:rsidRDefault="00B94180" w:rsidP="00C01851">
      <w:pPr>
        <w:jc w:val="both"/>
        <w:rPr>
          <w:rFonts w:ascii="Garamond" w:hAnsi="Garamond"/>
          <w:color w:val="000000" w:themeColor="text1"/>
          <w:lang w:val="en-GB"/>
        </w:rPr>
      </w:pPr>
      <w:r w:rsidRPr="008C2A1A">
        <w:rPr>
          <w:rFonts w:ascii="Garamond" w:hAnsi="Garamond"/>
          <w:color w:val="000000" w:themeColor="text1"/>
          <w:lang w:val="en-GB"/>
        </w:rPr>
        <w:t>Electric vehicles are assimilated to the category of vehicles emitting 0g of CO</w:t>
      </w:r>
      <w:r w:rsidRPr="008C2A1A">
        <w:rPr>
          <w:rFonts w:ascii="Garamond" w:hAnsi="Garamond"/>
          <w:color w:val="000000" w:themeColor="text1"/>
          <w:vertAlign w:val="subscript"/>
          <w:lang w:val="en-GB"/>
        </w:rPr>
        <w:t>2</w:t>
      </w:r>
      <w:r w:rsidRPr="008C2A1A">
        <w:rPr>
          <w:rFonts w:ascii="Garamond" w:hAnsi="Garamond"/>
          <w:color w:val="000000" w:themeColor="text1"/>
          <w:lang w:val="en-GB"/>
        </w:rPr>
        <w:t xml:space="preserve"> per </w:t>
      </w:r>
      <w:proofErr w:type="spellStart"/>
      <w:r w:rsidRPr="008C2A1A">
        <w:rPr>
          <w:rFonts w:ascii="Garamond" w:hAnsi="Garamond"/>
          <w:color w:val="000000" w:themeColor="text1"/>
          <w:lang w:val="en-GB"/>
        </w:rPr>
        <w:t>kilometer</w:t>
      </w:r>
      <w:proofErr w:type="spellEnd"/>
      <w:r w:rsidRPr="008C2A1A">
        <w:rPr>
          <w:rFonts w:ascii="Garamond" w:hAnsi="Garamond"/>
          <w:color w:val="000000" w:themeColor="text1"/>
          <w:lang w:val="en-GB"/>
        </w:rPr>
        <w:t xml:space="preserve"> and, therefore, can be deducted at a level of 120%. Regarding hybrid vehicles, CO</w:t>
      </w:r>
      <w:r w:rsidRPr="008C2A1A">
        <w:rPr>
          <w:rFonts w:ascii="Garamond" w:hAnsi="Garamond"/>
          <w:color w:val="000000" w:themeColor="text1"/>
          <w:vertAlign w:val="subscript"/>
          <w:lang w:val="en-GB"/>
        </w:rPr>
        <w:t>2</w:t>
      </w:r>
      <w:r w:rsidRPr="008C2A1A">
        <w:rPr>
          <w:rFonts w:ascii="Garamond" w:hAnsi="Garamond"/>
          <w:color w:val="000000" w:themeColor="text1"/>
          <w:lang w:val="en-GB"/>
        </w:rPr>
        <w:t xml:space="preserve"> emissions and the fuel are assessed on the basis on the data applicable to the combustion engine. Nevertheless, this rule is modified </w:t>
      </w:r>
      <w:r w:rsidRPr="008C2A1A">
        <w:rPr>
          <w:rFonts w:ascii="Garamond" w:hAnsi="Garamond"/>
          <w:color w:val="000000" w:themeColor="text1"/>
          <w:shd w:val="clear" w:color="auto" w:fill="FFFFFF"/>
          <w:lang w:val="en-GB"/>
        </w:rPr>
        <w:t>from January 1</w:t>
      </w:r>
      <w:r w:rsidRPr="008C2A1A">
        <w:rPr>
          <w:rFonts w:ascii="Garamond" w:hAnsi="Garamond"/>
          <w:color w:val="000000" w:themeColor="text1"/>
          <w:shd w:val="clear" w:color="auto" w:fill="FFFFFF"/>
          <w:vertAlign w:val="superscript"/>
          <w:lang w:val="en-GB"/>
        </w:rPr>
        <w:t>st</w:t>
      </w:r>
      <w:r w:rsidRPr="008C2A1A">
        <w:rPr>
          <w:rFonts w:ascii="Garamond" w:hAnsi="Garamond"/>
          <w:color w:val="000000" w:themeColor="text1"/>
          <w:shd w:val="clear" w:color="auto" w:fill="FFFFFF"/>
          <w:lang w:val="en-GB"/>
        </w:rPr>
        <w:t>, 2020, for plug-in hybrid vehicles purchased after January 1</w:t>
      </w:r>
      <w:r w:rsidRPr="008C2A1A">
        <w:rPr>
          <w:rFonts w:ascii="Garamond" w:hAnsi="Garamond"/>
          <w:color w:val="000000" w:themeColor="text1"/>
          <w:shd w:val="clear" w:color="auto" w:fill="FFFFFF"/>
          <w:vertAlign w:val="superscript"/>
          <w:lang w:val="en-GB"/>
        </w:rPr>
        <w:t>st</w:t>
      </w:r>
      <w:r w:rsidRPr="008C2A1A">
        <w:rPr>
          <w:rFonts w:ascii="Garamond" w:hAnsi="Garamond"/>
          <w:color w:val="000000" w:themeColor="text1"/>
          <w:shd w:val="clear" w:color="auto" w:fill="FFFFFF"/>
          <w:lang w:val="en-GB"/>
        </w:rPr>
        <w:t>, 2018, as commented in the section of this chapter related to the benefit in kind.</w:t>
      </w:r>
      <w:r w:rsidRPr="008C2A1A">
        <w:rPr>
          <w:rFonts w:ascii="Garamond" w:hAnsi="Garamond"/>
          <w:color w:val="000000" w:themeColor="text1"/>
          <w:lang w:val="en-GB"/>
        </w:rPr>
        <w:t xml:space="preserve"> In addition, there are certain exceptions to this rule. In particular, fuel expenses are always deductible at 75 percent, regardless the type of fuel used by and the CO</w:t>
      </w:r>
      <w:r w:rsidRPr="008C2A1A">
        <w:rPr>
          <w:rFonts w:ascii="Garamond" w:hAnsi="Garamond"/>
          <w:color w:val="000000" w:themeColor="text1"/>
          <w:vertAlign w:val="subscript"/>
          <w:lang w:val="en-GB"/>
        </w:rPr>
        <w:t>2</w:t>
      </w:r>
      <w:r w:rsidRPr="008C2A1A">
        <w:rPr>
          <w:rFonts w:ascii="Garamond" w:hAnsi="Garamond"/>
          <w:color w:val="000000" w:themeColor="text1"/>
          <w:lang w:val="en-GB"/>
        </w:rPr>
        <w:t xml:space="preserve"> emissions per </w:t>
      </w:r>
      <w:proofErr w:type="spellStart"/>
      <w:r w:rsidRPr="008C2A1A">
        <w:rPr>
          <w:rFonts w:ascii="Garamond" w:hAnsi="Garamond"/>
          <w:color w:val="000000" w:themeColor="text1"/>
          <w:lang w:val="en-GB"/>
        </w:rPr>
        <w:t>kilometer</w:t>
      </w:r>
      <w:proofErr w:type="spellEnd"/>
      <w:r w:rsidRPr="008C2A1A">
        <w:rPr>
          <w:rFonts w:ascii="Garamond" w:hAnsi="Garamond"/>
          <w:color w:val="000000" w:themeColor="text1"/>
          <w:lang w:val="en-GB"/>
        </w:rPr>
        <w:t xml:space="preserve"> of the vehicle. This means that 25% of fuel expenses must be reintegrated into the tax base. Fuel expenses also include electricity used to charge electric vehicles. </w:t>
      </w:r>
    </w:p>
    <w:p w14:paraId="367F25F8" w14:textId="77777777" w:rsidR="00B94180" w:rsidRPr="008C2A1A" w:rsidRDefault="00B94180" w:rsidP="00C01851">
      <w:pPr>
        <w:jc w:val="both"/>
        <w:rPr>
          <w:rFonts w:ascii="Garamond" w:hAnsi="Garamond"/>
          <w:color w:val="000000" w:themeColor="text1"/>
          <w:lang w:val="en-GB"/>
        </w:rPr>
      </w:pPr>
    </w:p>
    <w:p w14:paraId="46E05FA8" w14:textId="2DB4D06E" w:rsidR="00B94180" w:rsidRPr="008C2A1A" w:rsidRDefault="00B94180" w:rsidP="00C01851">
      <w:pPr>
        <w:jc w:val="both"/>
        <w:rPr>
          <w:rFonts w:ascii="Garamond" w:hAnsi="Garamond"/>
          <w:color w:val="000000" w:themeColor="text1"/>
          <w:lang w:val="en-GB"/>
        </w:rPr>
      </w:pPr>
      <w:r w:rsidRPr="008C2A1A">
        <w:rPr>
          <w:rFonts w:ascii="Garamond" w:hAnsi="Garamond"/>
          <w:color w:val="000000" w:themeColor="text1"/>
          <w:lang w:val="en-GB"/>
        </w:rPr>
        <w:t xml:space="preserve">From the fiscal year 2021 on, the deduction rate formula for car expenses will be modified as follows: </w:t>
      </w:r>
    </w:p>
    <w:p w14:paraId="28C2823B" w14:textId="77777777" w:rsidR="00B94180" w:rsidRPr="008C2A1A" w:rsidRDefault="00B94180" w:rsidP="00C01851">
      <w:pPr>
        <w:jc w:val="both"/>
        <w:rPr>
          <w:rFonts w:ascii="Garamond" w:hAnsi="Garamond"/>
          <w:color w:val="000000" w:themeColor="text1"/>
          <w:lang w:val="en-GB"/>
        </w:rPr>
      </w:pPr>
    </w:p>
    <w:tbl>
      <w:tblPr>
        <w:tblStyle w:val="Tabelraster"/>
        <w:tblW w:w="0" w:type="auto"/>
        <w:tblLook w:val="04A0" w:firstRow="1" w:lastRow="0" w:firstColumn="1" w:lastColumn="0" w:noHBand="0" w:noVBand="1"/>
      </w:tblPr>
      <w:tblGrid>
        <w:gridCol w:w="9056"/>
      </w:tblGrid>
      <w:tr w:rsidR="008C2A1A" w:rsidRPr="002D6EB7" w14:paraId="7288B3FE" w14:textId="77777777" w:rsidTr="00951B95">
        <w:tc>
          <w:tcPr>
            <w:tcW w:w="9056" w:type="dxa"/>
          </w:tcPr>
          <w:p w14:paraId="490ACEE0" w14:textId="77777777" w:rsidR="00B94180" w:rsidRPr="008C2A1A" w:rsidRDefault="00B94180" w:rsidP="00951B95">
            <w:pPr>
              <w:jc w:val="both"/>
              <w:rPr>
                <w:rFonts w:ascii="Garamond" w:hAnsi="Garamond"/>
                <w:b/>
                <w:bCs/>
                <w:color w:val="000000" w:themeColor="text1"/>
                <w:sz w:val="21"/>
                <w:szCs w:val="21"/>
                <w:lang w:val="en-GB"/>
              </w:rPr>
            </w:pPr>
            <w:r w:rsidRPr="008C2A1A">
              <w:rPr>
                <w:rFonts w:ascii="Garamond" w:hAnsi="Garamond"/>
                <w:b/>
                <w:bCs/>
                <w:color w:val="000000" w:themeColor="text1"/>
                <w:sz w:val="21"/>
                <w:szCs w:val="21"/>
                <w:lang w:val="en-GB"/>
              </w:rPr>
              <w:t>120% - (0,5 % * fuel coefficient * CO</w:t>
            </w:r>
            <w:r w:rsidRPr="008C2A1A">
              <w:rPr>
                <w:rFonts w:ascii="Garamond" w:hAnsi="Garamond"/>
                <w:b/>
                <w:bCs/>
                <w:color w:val="000000" w:themeColor="text1"/>
                <w:sz w:val="21"/>
                <w:szCs w:val="21"/>
                <w:vertAlign w:val="subscript"/>
                <w:lang w:val="en-GB"/>
              </w:rPr>
              <w:t>2</w:t>
            </w:r>
            <w:r w:rsidRPr="008C2A1A">
              <w:rPr>
                <w:rFonts w:ascii="Garamond" w:hAnsi="Garamond"/>
                <w:b/>
                <w:bCs/>
                <w:color w:val="000000" w:themeColor="text1"/>
                <w:sz w:val="21"/>
                <w:szCs w:val="21"/>
                <w:lang w:val="en-GB"/>
              </w:rPr>
              <w:t>/km)</w:t>
            </w:r>
          </w:p>
          <w:p w14:paraId="3EAF3F1E" w14:textId="77777777" w:rsidR="00B94180" w:rsidRPr="008C2A1A" w:rsidRDefault="00B94180" w:rsidP="00951B95">
            <w:pPr>
              <w:jc w:val="both"/>
              <w:rPr>
                <w:rFonts w:ascii="Garamond" w:hAnsi="Garamond"/>
                <w:color w:val="000000" w:themeColor="text1"/>
                <w:sz w:val="21"/>
                <w:szCs w:val="21"/>
                <w:lang w:val="en-GB"/>
              </w:rPr>
            </w:pPr>
            <w:proofErr w:type="spellStart"/>
            <w:r w:rsidRPr="008C2A1A">
              <w:rPr>
                <w:rFonts w:ascii="Garamond" w:hAnsi="Garamond"/>
                <w:color w:val="000000" w:themeColor="text1"/>
                <w:sz w:val="21"/>
                <w:szCs w:val="21"/>
                <w:lang w:val="en-GB"/>
              </w:rPr>
              <w:t>Coeff</w:t>
            </w:r>
            <w:proofErr w:type="spellEnd"/>
            <w:r w:rsidRPr="008C2A1A">
              <w:rPr>
                <w:rFonts w:ascii="Garamond" w:hAnsi="Garamond"/>
                <w:color w:val="000000" w:themeColor="text1"/>
                <w:sz w:val="21"/>
                <w:szCs w:val="21"/>
                <w:lang w:val="en-GB"/>
              </w:rPr>
              <w:t>. Diesel: 1</w:t>
            </w:r>
          </w:p>
          <w:p w14:paraId="64153046" w14:textId="77777777" w:rsidR="00B94180" w:rsidRPr="008C2A1A" w:rsidRDefault="00B94180" w:rsidP="00951B95">
            <w:pPr>
              <w:jc w:val="both"/>
              <w:rPr>
                <w:rFonts w:ascii="Garamond" w:hAnsi="Garamond"/>
                <w:color w:val="000000" w:themeColor="text1"/>
                <w:sz w:val="21"/>
                <w:szCs w:val="21"/>
                <w:lang w:val="en-GB"/>
              </w:rPr>
            </w:pPr>
            <w:proofErr w:type="spellStart"/>
            <w:r w:rsidRPr="008C2A1A">
              <w:rPr>
                <w:rFonts w:ascii="Garamond" w:hAnsi="Garamond"/>
                <w:color w:val="000000" w:themeColor="text1"/>
                <w:sz w:val="21"/>
                <w:szCs w:val="21"/>
                <w:lang w:val="en-GB"/>
              </w:rPr>
              <w:t>Coeff</w:t>
            </w:r>
            <w:proofErr w:type="spellEnd"/>
            <w:r w:rsidRPr="008C2A1A">
              <w:rPr>
                <w:rFonts w:ascii="Garamond" w:hAnsi="Garamond"/>
                <w:color w:val="000000" w:themeColor="text1"/>
                <w:sz w:val="21"/>
                <w:szCs w:val="21"/>
                <w:lang w:val="en-GB"/>
              </w:rPr>
              <w:t>. Petrol: 0,95</w:t>
            </w:r>
          </w:p>
          <w:p w14:paraId="1BE9C71F" w14:textId="77777777" w:rsidR="00B94180" w:rsidRPr="008C2A1A" w:rsidRDefault="00B94180" w:rsidP="00951B95">
            <w:pPr>
              <w:jc w:val="both"/>
              <w:rPr>
                <w:rFonts w:ascii="Garamond" w:hAnsi="Garamond"/>
                <w:color w:val="000000" w:themeColor="text1"/>
                <w:lang w:val="en-GB"/>
              </w:rPr>
            </w:pPr>
            <w:proofErr w:type="spellStart"/>
            <w:r w:rsidRPr="008C2A1A">
              <w:rPr>
                <w:rFonts w:ascii="Garamond" w:hAnsi="Garamond"/>
                <w:color w:val="000000" w:themeColor="text1"/>
                <w:sz w:val="21"/>
                <w:szCs w:val="21"/>
                <w:lang w:val="en-GB"/>
              </w:rPr>
              <w:t>Coeff</w:t>
            </w:r>
            <w:proofErr w:type="spellEnd"/>
            <w:r w:rsidRPr="008C2A1A">
              <w:rPr>
                <w:rFonts w:ascii="Garamond" w:hAnsi="Garamond"/>
                <w:color w:val="000000" w:themeColor="text1"/>
                <w:sz w:val="21"/>
                <w:szCs w:val="21"/>
                <w:lang w:val="en-GB"/>
              </w:rPr>
              <w:t xml:space="preserve"> Gas (engine power &lt; 12 fiscal horses): 0,90</w:t>
            </w:r>
          </w:p>
        </w:tc>
      </w:tr>
    </w:tbl>
    <w:p w14:paraId="016E1F46" w14:textId="77777777" w:rsidR="00B94180" w:rsidRPr="008C2A1A" w:rsidRDefault="00B94180" w:rsidP="00C01851">
      <w:pPr>
        <w:jc w:val="both"/>
        <w:rPr>
          <w:rFonts w:ascii="Garamond" w:hAnsi="Garamond"/>
          <w:color w:val="000000" w:themeColor="text1"/>
          <w:lang w:val="en-GB"/>
        </w:rPr>
      </w:pPr>
    </w:p>
    <w:p w14:paraId="78B2679D" w14:textId="77777777" w:rsidR="00B94180" w:rsidRPr="008C2A1A" w:rsidRDefault="00B94180" w:rsidP="00C01851">
      <w:pPr>
        <w:jc w:val="both"/>
        <w:rPr>
          <w:rFonts w:ascii="Garamond" w:hAnsi="Garamond"/>
          <w:color w:val="000000" w:themeColor="text1"/>
          <w:lang w:val="en-GB"/>
        </w:rPr>
      </w:pPr>
      <w:r w:rsidRPr="008C2A1A">
        <w:rPr>
          <w:rFonts w:ascii="Garamond" w:hAnsi="Garamond"/>
          <w:color w:val="000000" w:themeColor="text1"/>
          <w:lang w:val="en-GB"/>
        </w:rPr>
        <w:t>For particularly pollutant cars – those emitting 200 gr CO</w:t>
      </w:r>
      <w:r w:rsidRPr="008C2A1A">
        <w:rPr>
          <w:rFonts w:ascii="Garamond" w:hAnsi="Garamond"/>
          <w:color w:val="000000" w:themeColor="text1"/>
          <w:vertAlign w:val="subscript"/>
          <w:lang w:val="en-GB"/>
        </w:rPr>
        <w:t>2</w:t>
      </w:r>
      <w:r w:rsidRPr="008C2A1A">
        <w:rPr>
          <w:rFonts w:ascii="Garamond" w:hAnsi="Garamond"/>
          <w:color w:val="000000" w:themeColor="text1"/>
          <w:lang w:val="en-GB"/>
        </w:rPr>
        <w:t xml:space="preserve">/ km or more – the deduction will be limited to 40 percent. Furthermore, electric vehicle expenses deduction will be limited to 100 percent, instead of 120 percent previously. </w:t>
      </w:r>
    </w:p>
    <w:p w14:paraId="6F3DF229" w14:textId="77777777" w:rsidR="00B94180" w:rsidRPr="008C2A1A" w:rsidRDefault="00B94180" w:rsidP="00C01851">
      <w:pPr>
        <w:jc w:val="both"/>
        <w:rPr>
          <w:rFonts w:ascii="Garamond" w:hAnsi="Garamond"/>
          <w:color w:val="000000" w:themeColor="text1"/>
          <w:lang w:val="en-GB"/>
        </w:rPr>
      </w:pPr>
    </w:p>
    <w:p w14:paraId="36800B80" w14:textId="7B36064D" w:rsidR="00B94180" w:rsidRPr="008C2A1A" w:rsidRDefault="00B94180" w:rsidP="00C01851">
      <w:pPr>
        <w:jc w:val="both"/>
        <w:rPr>
          <w:rFonts w:ascii="Garamond" w:hAnsi="Garamond"/>
          <w:color w:val="000000" w:themeColor="text1"/>
          <w:lang w:val="en-GB"/>
        </w:rPr>
      </w:pPr>
      <w:r w:rsidRPr="008C2A1A">
        <w:rPr>
          <w:rFonts w:ascii="Garamond" w:hAnsi="Garamond"/>
          <w:color w:val="000000" w:themeColor="text1"/>
          <w:lang w:val="en-GB"/>
        </w:rPr>
        <w:t xml:space="preserve">Car expenses corresponding to the </w:t>
      </w:r>
      <w:r w:rsidRPr="008C2A1A">
        <w:rPr>
          <w:rFonts w:ascii="Garamond" w:hAnsi="Garamond"/>
          <w:i/>
          <w:iCs/>
          <w:color w:val="000000" w:themeColor="text1"/>
          <w:lang w:val="en-GB"/>
        </w:rPr>
        <w:t>private use</w:t>
      </w:r>
      <w:r w:rsidRPr="008C2A1A">
        <w:rPr>
          <w:rFonts w:ascii="Garamond" w:hAnsi="Garamond"/>
          <w:color w:val="000000" w:themeColor="text1"/>
          <w:lang w:val="en-GB"/>
        </w:rPr>
        <w:t xml:space="preserve"> of the vehicle are considered as professional charges, normally deductible at a rate of 100 percent, just like salary expenses. Indeed, as mentioned, from the perspective of workers, benefiting from a company car for their private and home-work trips is qualified as a benefit in kind. However, Art. 198, § 1</w:t>
      </w:r>
      <w:r w:rsidRPr="008C2A1A">
        <w:rPr>
          <w:rFonts w:ascii="Garamond" w:hAnsi="Garamond"/>
          <w:color w:val="000000" w:themeColor="text1"/>
          <w:vertAlign w:val="superscript"/>
          <w:lang w:val="en-GB"/>
        </w:rPr>
        <w:t>st</w:t>
      </w:r>
      <w:r w:rsidRPr="008C2A1A">
        <w:rPr>
          <w:rFonts w:ascii="Garamond" w:hAnsi="Garamond"/>
          <w:color w:val="000000" w:themeColor="text1"/>
          <w:lang w:val="en-GB"/>
        </w:rPr>
        <w:t>, 9°-9°bis characterize a share of the amount of the benefit in kind resulting from the private use of a company car as a disallowed expense. It is assessed on the basis of the following formula:</w:t>
      </w:r>
    </w:p>
    <w:p w14:paraId="69460A09" w14:textId="77777777" w:rsidR="00B94180" w:rsidRPr="008C2A1A" w:rsidRDefault="00B94180" w:rsidP="00C01851">
      <w:pPr>
        <w:jc w:val="both"/>
        <w:rPr>
          <w:rFonts w:ascii="Garamond" w:hAnsi="Garamond"/>
          <w:color w:val="000000" w:themeColor="text1"/>
          <w:lang w:val="en-GB"/>
        </w:rPr>
      </w:pPr>
    </w:p>
    <w:tbl>
      <w:tblPr>
        <w:tblStyle w:val="Tabelraster"/>
        <w:tblW w:w="0" w:type="auto"/>
        <w:tblLook w:val="04A0" w:firstRow="1" w:lastRow="0" w:firstColumn="1" w:lastColumn="0" w:noHBand="0" w:noVBand="1"/>
      </w:tblPr>
      <w:tblGrid>
        <w:gridCol w:w="9056"/>
      </w:tblGrid>
      <w:tr w:rsidR="008C2A1A" w:rsidRPr="002D6EB7" w14:paraId="600B6F3F" w14:textId="77777777" w:rsidTr="00951B95">
        <w:tc>
          <w:tcPr>
            <w:tcW w:w="9056" w:type="dxa"/>
          </w:tcPr>
          <w:p w14:paraId="3EFBE19F" w14:textId="393F3914" w:rsidR="00B94180" w:rsidRPr="008C2A1A" w:rsidRDefault="00B94180" w:rsidP="00971DAC">
            <w:pPr>
              <w:jc w:val="both"/>
              <w:rPr>
                <w:rFonts w:ascii="Garamond" w:hAnsi="Garamond"/>
                <w:color w:val="000000" w:themeColor="text1"/>
                <w:sz w:val="20"/>
                <w:szCs w:val="20"/>
                <w:lang w:val="en-GB"/>
              </w:rPr>
            </w:pPr>
            <w:r w:rsidRPr="008C2A1A">
              <w:rPr>
                <w:rFonts w:ascii="Garamond" w:hAnsi="Garamond"/>
                <w:color w:val="000000" w:themeColor="text1"/>
                <w:sz w:val="20"/>
                <w:szCs w:val="20"/>
                <w:lang w:val="en-GB"/>
              </w:rPr>
              <w:t xml:space="preserve">Disallowed expenses:  </w:t>
            </w:r>
            <w:r w:rsidRPr="008C2A1A">
              <w:rPr>
                <w:rFonts w:ascii="Garamond" w:hAnsi="Garamond"/>
                <w:b/>
                <w:bCs/>
                <w:color w:val="000000" w:themeColor="text1"/>
                <w:sz w:val="20"/>
                <w:szCs w:val="20"/>
                <w:lang w:val="en-GB"/>
              </w:rPr>
              <w:t>17/100 x Fringe benefit value</w:t>
            </w:r>
          </w:p>
        </w:tc>
      </w:tr>
    </w:tbl>
    <w:p w14:paraId="31B79F9A" w14:textId="77777777" w:rsidR="00B94180" w:rsidRPr="008C2A1A" w:rsidRDefault="00B94180" w:rsidP="00C01851">
      <w:pPr>
        <w:jc w:val="both"/>
        <w:rPr>
          <w:rFonts w:ascii="Garamond" w:hAnsi="Garamond"/>
          <w:color w:val="000000" w:themeColor="text1"/>
          <w:lang w:val="en-GB"/>
        </w:rPr>
      </w:pPr>
    </w:p>
    <w:p w14:paraId="6C729702" w14:textId="77777777" w:rsidR="00B94180" w:rsidRPr="008C2A1A" w:rsidRDefault="00B94180" w:rsidP="00C01851">
      <w:pPr>
        <w:jc w:val="both"/>
        <w:rPr>
          <w:rFonts w:ascii="Garamond" w:hAnsi="Garamond"/>
          <w:color w:val="000000" w:themeColor="text1"/>
          <w:lang w:val="en-GB"/>
        </w:rPr>
      </w:pPr>
      <w:r w:rsidRPr="008C2A1A">
        <w:rPr>
          <w:rFonts w:ascii="Garamond" w:hAnsi="Garamond"/>
          <w:color w:val="000000" w:themeColor="text1"/>
          <w:lang w:val="en-GB"/>
        </w:rPr>
        <w:t xml:space="preserve">The underlying purpose of this provision is that the employer should bear a part (1/7) of the fiscal cost associated with the benefit in kind of the employee. </w:t>
      </w:r>
    </w:p>
    <w:p w14:paraId="03180D2F" w14:textId="77777777" w:rsidR="00B94180" w:rsidRPr="008C2A1A" w:rsidRDefault="00B94180" w:rsidP="00C01851">
      <w:pPr>
        <w:jc w:val="both"/>
        <w:rPr>
          <w:rFonts w:ascii="Garamond" w:hAnsi="Garamond"/>
          <w:color w:val="000000" w:themeColor="text1"/>
          <w:lang w:val="en-GB"/>
        </w:rPr>
      </w:pPr>
    </w:p>
    <w:p w14:paraId="4CBE7574" w14:textId="77777777" w:rsidR="00B94180" w:rsidRPr="008C2A1A" w:rsidRDefault="00B94180" w:rsidP="00C01851">
      <w:pPr>
        <w:jc w:val="both"/>
        <w:rPr>
          <w:rFonts w:ascii="Garamond" w:hAnsi="Garamond"/>
          <w:color w:val="000000" w:themeColor="text1"/>
          <w:lang w:val="en-GB"/>
        </w:rPr>
      </w:pPr>
      <w:r w:rsidRPr="008C2A1A">
        <w:rPr>
          <w:rFonts w:ascii="Garamond" w:hAnsi="Garamond"/>
          <w:color w:val="000000" w:themeColor="text1"/>
          <w:lang w:val="en-GB"/>
        </w:rPr>
        <w:t>However, from January 1</w:t>
      </w:r>
      <w:r w:rsidRPr="008C2A1A">
        <w:rPr>
          <w:rFonts w:ascii="Garamond" w:hAnsi="Garamond"/>
          <w:color w:val="000000" w:themeColor="text1"/>
          <w:vertAlign w:val="superscript"/>
          <w:lang w:val="en-GB"/>
        </w:rPr>
        <w:t>st</w:t>
      </w:r>
      <w:r w:rsidRPr="008C2A1A">
        <w:rPr>
          <w:rFonts w:ascii="Garamond" w:hAnsi="Garamond"/>
          <w:color w:val="000000" w:themeColor="text1"/>
          <w:lang w:val="en-GB"/>
        </w:rPr>
        <w:t xml:space="preserve">, 2017, when the company also provides the fuel necessary to the company car, the expense is calculated as follows: </w:t>
      </w:r>
    </w:p>
    <w:p w14:paraId="41ACB185" w14:textId="77777777" w:rsidR="00B94180" w:rsidRPr="008C2A1A" w:rsidRDefault="00B94180" w:rsidP="00C01851">
      <w:pPr>
        <w:jc w:val="both"/>
        <w:rPr>
          <w:rFonts w:ascii="Garamond" w:hAnsi="Garamond"/>
          <w:color w:val="000000" w:themeColor="text1"/>
          <w:lang w:val="en-GB"/>
        </w:rPr>
      </w:pPr>
    </w:p>
    <w:tbl>
      <w:tblPr>
        <w:tblStyle w:val="Tabelraster"/>
        <w:tblW w:w="0" w:type="auto"/>
        <w:tblLook w:val="04A0" w:firstRow="1" w:lastRow="0" w:firstColumn="1" w:lastColumn="0" w:noHBand="0" w:noVBand="1"/>
      </w:tblPr>
      <w:tblGrid>
        <w:gridCol w:w="9056"/>
      </w:tblGrid>
      <w:tr w:rsidR="008C2A1A" w:rsidRPr="002D6EB7" w14:paraId="6F9C6BF9" w14:textId="77777777" w:rsidTr="00951B95">
        <w:tc>
          <w:tcPr>
            <w:tcW w:w="9056" w:type="dxa"/>
          </w:tcPr>
          <w:p w14:paraId="192305A6" w14:textId="6D2C7CBC" w:rsidR="00B94180" w:rsidRPr="008C2A1A" w:rsidRDefault="00B94180" w:rsidP="00971DAC">
            <w:pPr>
              <w:jc w:val="both"/>
              <w:rPr>
                <w:rFonts w:ascii="Garamond" w:hAnsi="Garamond"/>
                <w:color w:val="000000" w:themeColor="text1"/>
                <w:sz w:val="20"/>
                <w:szCs w:val="20"/>
                <w:lang w:val="en-GB"/>
              </w:rPr>
            </w:pPr>
            <w:r w:rsidRPr="008C2A1A">
              <w:rPr>
                <w:rFonts w:ascii="Garamond" w:hAnsi="Garamond"/>
                <w:color w:val="000000" w:themeColor="text1"/>
                <w:sz w:val="20"/>
                <w:szCs w:val="20"/>
                <w:lang w:val="en-GB"/>
              </w:rPr>
              <w:t xml:space="preserve">Disallowed expenses:  </w:t>
            </w:r>
            <w:r w:rsidRPr="008C2A1A">
              <w:rPr>
                <w:rFonts w:ascii="Garamond" w:hAnsi="Garamond"/>
                <w:b/>
                <w:bCs/>
                <w:color w:val="000000" w:themeColor="text1"/>
                <w:sz w:val="20"/>
                <w:szCs w:val="20"/>
                <w:lang w:val="en-GB"/>
              </w:rPr>
              <w:t>40/100 x Fringe benefit value</w:t>
            </w:r>
          </w:p>
        </w:tc>
      </w:tr>
    </w:tbl>
    <w:p w14:paraId="5EE711E9" w14:textId="77777777" w:rsidR="00B94180" w:rsidRPr="008C2A1A" w:rsidRDefault="00B94180" w:rsidP="00C01851">
      <w:pPr>
        <w:jc w:val="both"/>
        <w:rPr>
          <w:rFonts w:ascii="Garamond" w:hAnsi="Garamond"/>
          <w:color w:val="000000" w:themeColor="text1"/>
          <w:lang w:val="en-GB"/>
        </w:rPr>
      </w:pPr>
    </w:p>
    <w:p w14:paraId="61A70B8F" w14:textId="2B7324E9" w:rsidR="00B94180" w:rsidRPr="008C2A1A" w:rsidRDefault="00B94180" w:rsidP="00C01851">
      <w:pPr>
        <w:jc w:val="both"/>
        <w:rPr>
          <w:rFonts w:ascii="Garamond" w:eastAsiaTheme="minorEastAsia" w:hAnsi="Garamond" w:cs="AppleSystemUIFont"/>
          <w:color w:val="000000" w:themeColor="text1"/>
          <w:lang w:val="en-GB"/>
        </w:rPr>
      </w:pPr>
      <w:r w:rsidRPr="008C2A1A">
        <w:rPr>
          <w:rFonts w:ascii="Garamond" w:eastAsiaTheme="minorEastAsia" w:hAnsi="Garamond" w:cs="AppleSystemUIFont"/>
          <w:color w:val="000000" w:themeColor="text1"/>
          <w:lang w:val="en-GB"/>
        </w:rPr>
        <w:t xml:space="preserve">Finally, the amount of </w:t>
      </w:r>
      <w:r w:rsidRPr="008C2A1A">
        <w:rPr>
          <w:rFonts w:ascii="Garamond" w:hAnsi="Garamond"/>
          <w:color w:val="000000" w:themeColor="text1"/>
          <w:lang w:val="en-GB"/>
        </w:rPr>
        <w:t>disallowed expenses</w:t>
      </w:r>
      <w:r w:rsidRPr="008C2A1A">
        <w:rPr>
          <w:rFonts w:ascii="Garamond" w:eastAsiaTheme="minorEastAsia" w:hAnsi="Garamond" w:cs="AppleSystemUIFont"/>
          <w:color w:val="000000" w:themeColor="text1"/>
          <w:lang w:val="en-GB"/>
        </w:rPr>
        <w:t xml:space="preserve"> must be reduced by the intervention of the employee when the vehicle is not provided for free (Art. 36 </w:t>
      </w:r>
      <w:proofErr w:type="gramStart"/>
      <w:r w:rsidRPr="008C2A1A">
        <w:rPr>
          <w:rFonts w:ascii="Garamond" w:eastAsiaTheme="minorEastAsia" w:hAnsi="Garamond" w:cs="AppleSystemUIFont"/>
          <w:color w:val="000000" w:themeColor="text1"/>
          <w:lang w:val="en-GB"/>
        </w:rPr>
        <w:t>ITC )</w:t>
      </w:r>
      <w:proofErr w:type="gramEnd"/>
      <w:r w:rsidRPr="008C2A1A">
        <w:rPr>
          <w:rFonts w:ascii="Garamond" w:eastAsiaTheme="minorEastAsia" w:hAnsi="Garamond" w:cs="AppleSystemUIFont"/>
          <w:color w:val="000000" w:themeColor="text1"/>
          <w:lang w:val="en-GB"/>
        </w:rPr>
        <w:t>.</w:t>
      </w:r>
    </w:p>
    <w:p w14:paraId="607346B6" w14:textId="77777777" w:rsidR="00B94180" w:rsidRPr="008C2A1A" w:rsidRDefault="00B94180" w:rsidP="00C01851">
      <w:pPr>
        <w:jc w:val="both"/>
        <w:rPr>
          <w:rFonts w:ascii="Garamond" w:eastAsiaTheme="minorEastAsia" w:hAnsi="Garamond" w:cs="AppleSystemUIFont"/>
          <w:color w:val="000000" w:themeColor="text1"/>
          <w:lang w:val="en-GB"/>
        </w:rPr>
      </w:pPr>
    </w:p>
    <w:p w14:paraId="416CA52F" w14:textId="77777777" w:rsidR="00B94180" w:rsidRPr="008C2A1A" w:rsidRDefault="00B94180" w:rsidP="00C01851">
      <w:pPr>
        <w:jc w:val="both"/>
        <w:rPr>
          <w:rFonts w:ascii="Garamond" w:eastAsiaTheme="minorEastAsia" w:hAnsi="Garamond" w:cs="AppleSystemUIFont"/>
          <w:b/>
          <w:color w:val="000000" w:themeColor="text1"/>
          <w:lang w:val="en-GB"/>
        </w:rPr>
      </w:pPr>
      <w:proofErr w:type="gramStart"/>
      <w:r w:rsidRPr="008C2A1A">
        <w:rPr>
          <w:rFonts w:ascii="Garamond" w:eastAsiaTheme="minorEastAsia" w:hAnsi="Garamond" w:cs="AppleSystemUIFont"/>
          <w:b/>
          <w:color w:val="000000" w:themeColor="text1"/>
          <w:lang w:val="en-GB"/>
        </w:rPr>
        <w:t>3.3  Social</w:t>
      </w:r>
      <w:proofErr w:type="gramEnd"/>
      <w:r w:rsidRPr="008C2A1A">
        <w:rPr>
          <w:rFonts w:ascii="Garamond" w:eastAsiaTheme="minorEastAsia" w:hAnsi="Garamond" w:cs="AppleSystemUIFont"/>
          <w:b/>
          <w:color w:val="000000" w:themeColor="text1"/>
          <w:lang w:val="en-GB"/>
        </w:rPr>
        <w:t xml:space="preserve"> Security contributions</w:t>
      </w:r>
    </w:p>
    <w:p w14:paraId="0009D997" w14:textId="77777777" w:rsidR="00B94180" w:rsidRPr="008C2A1A" w:rsidRDefault="00B94180" w:rsidP="00C01851">
      <w:pPr>
        <w:jc w:val="both"/>
        <w:rPr>
          <w:rFonts w:ascii="Garamond" w:hAnsi="Garamond" w:cs="Arial"/>
          <w:color w:val="000000" w:themeColor="text1"/>
          <w:shd w:val="clear" w:color="auto" w:fill="FFFFFF"/>
          <w:lang w:val="en-GB"/>
        </w:rPr>
      </w:pPr>
    </w:p>
    <w:p w14:paraId="14ED1D58" w14:textId="77777777" w:rsidR="00B94180" w:rsidRPr="008C2A1A" w:rsidRDefault="00B94180" w:rsidP="00C01851">
      <w:pPr>
        <w:jc w:val="both"/>
        <w:rPr>
          <w:rFonts w:ascii="Garamond" w:hAnsi="Garamond"/>
          <w:color w:val="000000" w:themeColor="text1"/>
          <w:lang w:val="en-GB"/>
        </w:rPr>
      </w:pPr>
      <w:r w:rsidRPr="008C2A1A">
        <w:rPr>
          <w:rFonts w:ascii="Garamond" w:hAnsi="Garamond"/>
          <w:color w:val="000000" w:themeColor="text1"/>
          <w:lang w:val="en-GB"/>
        </w:rPr>
        <w:t>For the purpose of social security law, providing a company car is not qualified as a remuneration and, therefore, does not give rise to the payment of ordinary social security contributions. However, a</w:t>
      </w:r>
      <w:r w:rsidRPr="008C2A1A">
        <w:rPr>
          <w:rFonts w:ascii="Garamond" w:hAnsi="Garamond" w:cs="Arial"/>
          <w:color w:val="000000" w:themeColor="text1"/>
          <w:shd w:val="clear" w:color="auto" w:fill="FFFFFF"/>
          <w:lang w:val="en-GB"/>
        </w:rPr>
        <w:t xml:space="preserve"> solidarity contribution (CO2 contribution) for the use of a company car is due by the employer </w:t>
      </w:r>
      <w:r w:rsidRPr="008C2A1A">
        <w:rPr>
          <w:rFonts w:ascii="Garamond" w:hAnsi="Garamond" w:cs="Arial"/>
          <w:color w:val="000000" w:themeColor="text1"/>
          <w:shd w:val="clear" w:color="auto" w:fill="FFFFFF"/>
          <w:lang w:val="en-GB"/>
        </w:rPr>
        <w:lastRenderedPageBreak/>
        <w:t>on the benefit resulting from the private use of a company car, regardless the possible financial contribution of the employee</w:t>
      </w:r>
      <w:r w:rsidRPr="008C2A1A">
        <w:rPr>
          <w:rStyle w:val="Voetnootmarkering"/>
          <w:rFonts w:ascii="Garamond" w:hAnsi="Garamond" w:cs="Arial"/>
          <w:color w:val="000000" w:themeColor="text1"/>
          <w:shd w:val="clear" w:color="auto" w:fill="FFFFFF"/>
          <w:lang w:val="en-GB"/>
        </w:rPr>
        <w:footnoteReference w:id="13"/>
      </w:r>
      <w:r w:rsidRPr="008C2A1A">
        <w:rPr>
          <w:rFonts w:ascii="Garamond" w:hAnsi="Garamond" w:cs="Arial"/>
          <w:color w:val="000000" w:themeColor="text1"/>
          <w:shd w:val="clear" w:color="auto" w:fill="FFFFFF"/>
          <w:lang w:val="en-GB"/>
        </w:rPr>
        <w:t>. This contribution aims to finance national social security.</w:t>
      </w:r>
    </w:p>
    <w:p w14:paraId="678B883E" w14:textId="77777777" w:rsidR="00B94180" w:rsidRPr="008C2A1A" w:rsidRDefault="00B94180" w:rsidP="00C01851">
      <w:pPr>
        <w:jc w:val="both"/>
        <w:rPr>
          <w:rFonts w:ascii="Garamond" w:hAnsi="Garamond"/>
          <w:color w:val="000000" w:themeColor="text1"/>
          <w:lang w:val="en-GB"/>
        </w:rPr>
      </w:pPr>
    </w:p>
    <w:p w14:paraId="6EF6A0C2" w14:textId="4CA39D83" w:rsidR="00B94180" w:rsidRPr="008C2A1A" w:rsidRDefault="00B94180" w:rsidP="00C01851">
      <w:pPr>
        <w:jc w:val="both"/>
        <w:rPr>
          <w:rFonts w:ascii="Garamond" w:hAnsi="Garamond"/>
          <w:color w:val="000000" w:themeColor="text1"/>
          <w:lang w:val="en-GB"/>
        </w:rPr>
      </w:pPr>
      <w:r w:rsidRPr="008C2A1A">
        <w:rPr>
          <w:rFonts w:ascii="Garamond" w:hAnsi="Garamond"/>
          <w:color w:val="000000" w:themeColor="text1"/>
          <w:lang w:val="en-GB"/>
        </w:rPr>
        <w:t>There is a presumption that the company car is provided to the employee for private usage, unless the employer demonstrates either of the following conditions:</w:t>
      </w:r>
    </w:p>
    <w:p w14:paraId="0682323C" w14:textId="77777777" w:rsidR="00B94180" w:rsidRPr="008C2A1A" w:rsidRDefault="00B94180" w:rsidP="00C01851">
      <w:pPr>
        <w:pStyle w:val="Lijstalinea"/>
        <w:numPr>
          <w:ilvl w:val="0"/>
          <w:numId w:val="4"/>
        </w:numPr>
        <w:autoSpaceDE w:val="0"/>
        <w:autoSpaceDN w:val="0"/>
        <w:adjustRightInd w:val="0"/>
        <w:jc w:val="both"/>
        <w:rPr>
          <w:rFonts w:ascii="Garamond" w:eastAsiaTheme="minorEastAsia" w:hAnsi="Garamond" w:cs="AppleSystemUIFont"/>
          <w:color w:val="000000" w:themeColor="text1"/>
          <w:lang w:val="en-GB"/>
        </w:rPr>
      </w:pPr>
      <w:r w:rsidRPr="008C2A1A">
        <w:rPr>
          <w:rFonts w:ascii="Garamond" w:eastAsiaTheme="minorEastAsia" w:hAnsi="Garamond" w:cs="AppleSystemUIFont"/>
          <w:color w:val="000000" w:themeColor="text1"/>
          <w:lang w:val="en-GB"/>
        </w:rPr>
        <w:t>That the private use exclusively benefits to a person who is not included in the scope of the social security scheme for salaried workers;</w:t>
      </w:r>
    </w:p>
    <w:p w14:paraId="4BCDCFBC" w14:textId="77777777" w:rsidR="00B94180" w:rsidRPr="008C2A1A" w:rsidRDefault="00B94180" w:rsidP="00C01851">
      <w:pPr>
        <w:pStyle w:val="Lijstalinea"/>
        <w:numPr>
          <w:ilvl w:val="0"/>
          <w:numId w:val="4"/>
        </w:numPr>
        <w:autoSpaceDE w:val="0"/>
        <w:autoSpaceDN w:val="0"/>
        <w:adjustRightInd w:val="0"/>
        <w:jc w:val="both"/>
        <w:rPr>
          <w:rFonts w:ascii="Garamond" w:eastAsiaTheme="minorEastAsia" w:hAnsi="Garamond" w:cs="AppleSystemUIFont"/>
          <w:color w:val="000000" w:themeColor="text1"/>
          <w:lang w:val="en-GB"/>
        </w:rPr>
      </w:pPr>
      <w:r w:rsidRPr="008C2A1A">
        <w:rPr>
          <w:rFonts w:ascii="Garamond" w:eastAsiaTheme="minorEastAsia" w:hAnsi="Garamond" w:cs="AppleSystemUIFont"/>
          <w:color w:val="000000" w:themeColor="text1"/>
          <w:lang w:val="en-GB"/>
        </w:rPr>
        <w:t>That the use of the vehicle is strictly professional.</w:t>
      </w:r>
    </w:p>
    <w:p w14:paraId="31A73205" w14:textId="77777777" w:rsidR="00B94180" w:rsidRPr="008C2A1A" w:rsidRDefault="00B94180" w:rsidP="00C01851">
      <w:pPr>
        <w:autoSpaceDE w:val="0"/>
        <w:autoSpaceDN w:val="0"/>
        <w:adjustRightInd w:val="0"/>
        <w:jc w:val="both"/>
        <w:rPr>
          <w:rFonts w:ascii="Garamond" w:eastAsiaTheme="minorEastAsia" w:hAnsi="Garamond" w:cs="AppleSystemUIFont"/>
          <w:color w:val="000000" w:themeColor="text1"/>
          <w:lang w:val="en-GB"/>
        </w:rPr>
      </w:pPr>
    </w:p>
    <w:p w14:paraId="7636B1AB" w14:textId="3BDE7CA3" w:rsidR="00B94180" w:rsidRPr="008C2A1A" w:rsidRDefault="00B94180" w:rsidP="00C01851">
      <w:pPr>
        <w:autoSpaceDE w:val="0"/>
        <w:autoSpaceDN w:val="0"/>
        <w:adjustRightInd w:val="0"/>
        <w:jc w:val="both"/>
        <w:rPr>
          <w:rFonts w:ascii="Garamond" w:eastAsiaTheme="minorEastAsia" w:hAnsi="Garamond" w:cs="AppleSystemUIFont"/>
          <w:color w:val="000000" w:themeColor="text1"/>
          <w:lang w:val="en-GB"/>
        </w:rPr>
      </w:pPr>
      <w:r w:rsidRPr="008C2A1A">
        <w:rPr>
          <w:rFonts w:ascii="Garamond" w:eastAsiaTheme="minorEastAsia" w:hAnsi="Garamond" w:cs="AppleSystemUIFont"/>
          <w:color w:val="000000" w:themeColor="text1"/>
          <w:lang w:val="en-GB"/>
        </w:rPr>
        <w:t xml:space="preserve">The amount of the monthly contribution is calculated as follows, with a minimum of 26,47 euros: </w:t>
      </w:r>
    </w:p>
    <w:p w14:paraId="2B4AF4BE" w14:textId="77777777" w:rsidR="00B94180" w:rsidRPr="008C2A1A" w:rsidRDefault="00B94180" w:rsidP="00C01851">
      <w:pPr>
        <w:autoSpaceDE w:val="0"/>
        <w:autoSpaceDN w:val="0"/>
        <w:adjustRightInd w:val="0"/>
        <w:jc w:val="both"/>
        <w:rPr>
          <w:rFonts w:ascii="AppleSystemUIFont" w:eastAsiaTheme="minorEastAsia" w:hAnsi="AppleSystemUIFont" w:cs="AppleSystemUIFont"/>
          <w:color w:val="000000" w:themeColor="text1"/>
          <w:lang w:val="en-GB"/>
        </w:rPr>
      </w:pPr>
    </w:p>
    <w:tbl>
      <w:tblPr>
        <w:tblStyle w:val="Rastertabel2"/>
        <w:tblW w:w="0" w:type="auto"/>
        <w:tblLook w:val="04A0" w:firstRow="1" w:lastRow="0" w:firstColumn="1" w:lastColumn="0" w:noHBand="0" w:noVBand="1"/>
      </w:tblPr>
      <w:tblGrid>
        <w:gridCol w:w="3018"/>
        <w:gridCol w:w="3019"/>
        <w:gridCol w:w="3019"/>
      </w:tblGrid>
      <w:tr w:rsidR="008C2A1A" w:rsidRPr="008C2A1A" w14:paraId="50AE1E36" w14:textId="77777777" w:rsidTr="00951B95">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18" w:type="dxa"/>
          </w:tcPr>
          <w:p w14:paraId="759BEE2B" w14:textId="77777777" w:rsidR="00B94180" w:rsidRPr="008C2A1A" w:rsidRDefault="00B94180" w:rsidP="00951B95">
            <w:pPr>
              <w:autoSpaceDE w:val="0"/>
              <w:autoSpaceDN w:val="0"/>
              <w:adjustRightInd w:val="0"/>
              <w:jc w:val="both"/>
              <w:rPr>
                <w:rFonts w:ascii="Garamond" w:hAnsi="Garamond" w:cs="AppleSystemUIFont"/>
                <w:color w:val="000000" w:themeColor="text1"/>
                <w:sz w:val="21"/>
                <w:szCs w:val="21"/>
              </w:rPr>
            </w:pPr>
            <w:r w:rsidRPr="008C2A1A">
              <w:rPr>
                <w:rFonts w:ascii="Garamond" w:hAnsi="Garamond" w:cs="AppleSystemUIFont"/>
                <w:color w:val="000000" w:themeColor="text1"/>
                <w:sz w:val="21"/>
                <w:szCs w:val="21"/>
              </w:rPr>
              <w:t xml:space="preserve">Fuel </w:t>
            </w:r>
          </w:p>
        </w:tc>
        <w:tc>
          <w:tcPr>
            <w:tcW w:w="3019" w:type="dxa"/>
          </w:tcPr>
          <w:p w14:paraId="7A0CDCF5" w14:textId="77777777" w:rsidR="00B94180" w:rsidRPr="008C2A1A" w:rsidRDefault="00B94180" w:rsidP="00951B95">
            <w:pPr>
              <w:autoSpaceDE w:val="0"/>
              <w:autoSpaceDN w:val="0"/>
              <w:adjustRightInd w:val="0"/>
              <w:jc w:val="both"/>
              <w:cnfStyle w:val="100000000000" w:firstRow="1" w:lastRow="0" w:firstColumn="0" w:lastColumn="0" w:oddVBand="0" w:evenVBand="0" w:oddHBand="0" w:evenHBand="0" w:firstRowFirstColumn="0" w:firstRowLastColumn="0" w:lastRowFirstColumn="0" w:lastRowLastColumn="0"/>
              <w:rPr>
                <w:rFonts w:ascii="Garamond" w:hAnsi="Garamond" w:cs="AppleSystemUIFont"/>
                <w:color w:val="000000" w:themeColor="text1"/>
                <w:sz w:val="21"/>
                <w:szCs w:val="21"/>
              </w:rPr>
            </w:pPr>
            <w:r w:rsidRPr="008C2A1A">
              <w:rPr>
                <w:rFonts w:ascii="Garamond" w:hAnsi="Garamond" w:cs="AppleSystemUIFont"/>
                <w:color w:val="000000" w:themeColor="text1"/>
                <w:sz w:val="21"/>
                <w:szCs w:val="21"/>
              </w:rPr>
              <w:t>Formula</w:t>
            </w:r>
          </w:p>
        </w:tc>
        <w:tc>
          <w:tcPr>
            <w:tcW w:w="3019" w:type="dxa"/>
          </w:tcPr>
          <w:p w14:paraId="5A858E3A" w14:textId="77777777" w:rsidR="00B94180" w:rsidRPr="008C2A1A" w:rsidRDefault="00B94180" w:rsidP="00951B95">
            <w:pPr>
              <w:autoSpaceDE w:val="0"/>
              <w:autoSpaceDN w:val="0"/>
              <w:adjustRightInd w:val="0"/>
              <w:jc w:val="both"/>
              <w:cnfStyle w:val="100000000000" w:firstRow="1" w:lastRow="0" w:firstColumn="0" w:lastColumn="0" w:oddVBand="0" w:evenVBand="0" w:oddHBand="0" w:evenHBand="0" w:firstRowFirstColumn="0" w:firstRowLastColumn="0" w:lastRowFirstColumn="0" w:lastRowLastColumn="0"/>
              <w:rPr>
                <w:rFonts w:ascii="Garamond" w:hAnsi="Garamond" w:cs="AppleSystemUIFont"/>
                <w:color w:val="000000" w:themeColor="text1"/>
                <w:sz w:val="21"/>
                <w:szCs w:val="21"/>
              </w:rPr>
            </w:pPr>
            <w:r w:rsidRPr="008C2A1A">
              <w:rPr>
                <w:rFonts w:ascii="Garamond" w:hAnsi="Garamond" w:cs="AppleSystemUIFont"/>
                <w:color w:val="000000" w:themeColor="text1"/>
                <w:sz w:val="21"/>
                <w:szCs w:val="21"/>
              </w:rPr>
              <w:t>Index coefficient</w:t>
            </w:r>
          </w:p>
        </w:tc>
      </w:tr>
      <w:tr w:rsidR="008C2A1A" w:rsidRPr="008C2A1A" w14:paraId="08BCA2A4" w14:textId="77777777" w:rsidTr="00951B9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18" w:type="dxa"/>
          </w:tcPr>
          <w:p w14:paraId="42C9E0F9" w14:textId="77777777" w:rsidR="00B94180" w:rsidRPr="008C2A1A" w:rsidRDefault="00B94180" w:rsidP="00951B95">
            <w:pPr>
              <w:autoSpaceDE w:val="0"/>
              <w:autoSpaceDN w:val="0"/>
              <w:adjustRightInd w:val="0"/>
              <w:jc w:val="both"/>
              <w:rPr>
                <w:rFonts w:ascii="Garamond" w:hAnsi="Garamond" w:cs="AppleSystemUIFont"/>
                <w:b w:val="0"/>
                <w:bCs w:val="0"/>
                <w:color w:val="000000" w:themeColor="text1"/>
                <w:sz w:val="21"/>
                <w:szCs w:val="21"/>
              </w:rPr>
            </w:pPr>
            <w:proofErr w:type="spellStart"/>
            <w:r w:rsidRPr="008C2A1A">
              <w:rPr>
                <w:rFonts w:ascii="Garamond" w:hAnsi="Garamond" w:cs="AppleSystemUIFont"/>
                <w:b w:val="0"/>
                <w:bCs w:val="0"/>
                <w:color w:val="000000" w:themeColor="text1"/>
                <w:sz w:val="21"/>
                <w:szCs w:val="21"/>
              </w:rPr>
              <w:t>Petrol</w:t>
            </w:r>
            <w:proofErr w:type="spellEnd"/>
          </w:p>
        </w:tc>
        <w:tc>
          <w:tcPr>
            <w:tcW w:w="3019" w:type="dxa"/>
          </w:tcPr>
          <w:p w14:paraId="55C884C0" w14:textId="77777777" w:rsidR="00B94180" w:rsidRPr="008C2A1A" w:rsidRDefault="00B94180" w:rsidP="00951B95">
            <w:pPr>
              <w:autoSpaceDE w:val="0"/>
              <w:autoSpaceDN w:val="0"/>
              <w:adjustRightInd w:val="0"/>
              <w:jc w:val="both"/>
              <w:cnfStyle w:val="000000100000" w:firstRow="0" w:lastRow="0" w:firstColumn="0" w:lastColumn="0" w:oddVBand="0" w:evenVBand="0" w:oddHBand="1" w:evenHBand="0" w:firstRowFirstColumn="0" w:firstRowLastColumn="0" w:lastRowFirstColumn="0" w:lastRowLastColumn="0"/>
              <w:rPr>
                <w:rFonts w:ascii="Garamond" w:hAnsi="Garamond" w:cs="AppleSystemUIFont"/>
                <w:color w:val="000000" w:themeColor="text1"/>
                <w:sz w:val="21"/>
                <w:szCs w:val="21"/>
              </w:rPr>
            </w:pPr>
            <w:r w:rsidRPr="008C2A1A">
              <w:rPr>
                <w:rFonts w:ascii="Garamond" w:hAnsi="Garamond" w:cs="AppleSystemUIFont"/>
                <w:color w:val="000000" w:themeColor="text1"/>
                <w:sz w:val="21"/>
                <w:szCs w:val="21"/>
              </w:rPr>
              <w:sym w:font="Symbol" w:char="F05B"/>
            </w:r>
            <w:r w:rsidRPr="008C2A1A">
              <w:rPr>
                <w:rFonts w:ascii="Garamond" w:hAnsi="Garamond" w:cs="AppleSystemUIFont"/>
                <w:color w:val="000000" w:themeColor="text1"/>
                <w:sz w:val="21"/>
                <w:szCs w:val="21"/>
              </w:rPr>
              <w:t>(CO</w:t>
            </w:r>
            <w:r w:rsidRPr="008C2A1A">
              <w:rPr>
                <w:rFonts w:ascii="Garamond" w:hAnsi="Garamond" w:cs="AppleSystemUIFont"/>
                <w:color w:val="000000" w:themeColor="text1"/>
                <w:sz w:val="21"/>
                <w:szCs w:val="21"/>
                <w:vertAlign w:val="subscript"/>
              </w:rPr>
              <w:t>2</w:t>
            </w:r>
            <w:r w:rsidRPr="008C2A1A">
              <w:rPr>
                <w:rFonts w:ascii="Garamond" w:hAnsi="Garamond" w:cs="AppleSystemUIFont"/>
                <w:color w:val="000000" w:themeColor="text1"/>
                <w:sz w:val="21"/>
                <w:szCs w:val="21"/>
              </w:rPr>
              <w:t xml:space="preserve"> x 9) – 768</w:t>
            </w:r>
            <w:r w:rsidRPr="008C2A1A">
              <w:rPr>
                <w:rFonts w:ascii="Garamond" w:hAnsi="Garamond" w:cs="AppleSystemUIFont"/>
                <w:color w:val="000000" w:themeColor="text1"/>
                <w:sz w:val="21"/>
                <w:szCs w:val="21"/>
              </w:rPr>
              <w:sym w:font="Symbol" w:char="F05D"/>
            </w:r>
            <w:r w:rsidRPr="008C2A1A">
              <w:rPr>
                <w:rFonts w:ascii="Garamond" w:hAnsi="Garamond" w:cs="AppleSystemUIFont"/>
                <w:color w:val="000000" w:themeColor="text1"/>
                <w:sz w:val="21"/>
                <w:szCs w:val="21"/>
              </w:rPr>
              <w:t xml:space="preserve"> / 12</w:t>
            </w:r>
          </w:p>
        </w:tc>
        <w:tc>
          <w:tcPr>
            <w:tcW w:w="3019" w:type="dxa"/>
          </w:tcPr>
          <w:p w14:paraId="0899A0DB" w14:textId="77777777" w:rsidR="00B94180" w:rsidRPr="008C2A1A" w:rsidRDefault="00B94180" w:rsidP="00951B95">
            <w:pPr>
              <w:autoSpaceDE w:val="0"/>
              <w:autoSpaceDN w:val="0"/>
              <w:adjustRightInd w:val="0"/>
              <w:jc w:val="both"/>
              <w:cnfStyle w:val="000000100000" w:firstRow="0" w:lastRow="0" w:firstColumn="0" w:lastColumn="0" w:oddVBand="0" w:evenVBand="0" w:oddHBand="1" w:evenHBand="0" w:firstRowFirstColumn="0" w:firstRowLastColumn="0" w:lastRowFirstColumn="0" w:lastRowLastColumn="0"/>
              <w:rPr>
                <w:rFonts w:ascii="Garamond" w:hAnsi="Garamond" w:cs="AppleSystemUIFont"/>
                <w:color w:val="000000" w:themeColor="text1"/>
                <w:sz w:val="21"/>
                <w:szCs w:val="21"/>
              </w:rPr>
            </w:pPr>
            <w:r w:rsidRPr="008C2A1A">
              <w:rPr>
                <w:rFonts w:ascii="Garamond" w:hAnsi="Garamond" w:cs="AppleSystemUIFont"/>
                <w:color w:val="000000" w:themeColor="text1"/>
                <w:sz w:val="21"/>
                <w:szCs w:val="21"/>
              </w:rPr>
              <w:t>X 1,2708</w:t>
            </w:r>
          </w:p>
        </w:tc>
      </w:tr>
      <w:tr w:rsidR="008C2A1A" w:rsidRPr="008C2A1A" w14:paraId="5242BE3D" w14:textId="77777777" w:rsidTr="00951B95">
        <w:tc>
          <w:tcPr>
            <w:cnfStyle w:val="001000000000" w:firstRow="0" w:lastRow="0" w:firstColumn="1" w:lastColumn="0" w:oddVBand="0" w:evenVBand="0" w:oddHBand="0" w:evenHBand="0" w:firstRowFirstColumn="0" w:firstRowLastColumn="0" w:lastRowFirstColumn="0" w:lastRowLastColumn="0"/>
            <w:tcW w:w="3018" w:type="dxa"/>
          </w:tcPr>
          <w:p w14:paraId="47B82014" w14:textId="77777777" w:rsidR="00B94180" w:rsidRPr="008C2A1A" w:rsidRDefault="00B94180" w:rsidP="00951B95">
            <w:pPr>
              <w:autoSpaceDE w:val="0"/>
              <w:autoSpaceDN w:val="0"/>
              <w:adjustRightInd w:val="0"/>
              <w:jc w:val="both"/>
              <w:rPr>
                <w:rFonts w:ascii="Garamond" w:hAnsi="Garamond" w:cs="AppleSystemUIFont"/>
                <w:b w:val="0"/>
                <w:bCs w:val="0"/>
                <w:color w:val="000000" w:themeColor="text1"/>
                <w:sz w:val="21"/>
                <w:szCs w:val="21"/>
              </w:rPr>
            </w:pPr>
            <w:r w:rsidRPr="008C2A1A">
              <w:rPr>
                <w:rFonts w:ascii="Garamond" w:hAnsi="Garamond" w:cs="AppleSystemUIFont"/>
                <w:b w:val="0"/>
                <w:bCs w:val="0"/>
                <w:color w:val="000000" w:themeColor="text1"/>
                <w:sz w:val="21"/>
                <w:szCs w:val="21"/>
              </w:rPr>
              <w:t>Diesel</w:t>
            </w:r>
          </w:p>
        </w:tc>
        <w:tc>
          <w:tcPr>
            <w:tcW w:w="3019" w:type="dxa"/>
          </w:tcPr>
          <w:p w14:paraId="7DB38970" w14:textId="77777777" w:rsidR="00B94180" w:rsidRPr="008C2A1A" w:rsidRDefault="00B94180" w:rsidP="00951B95">
            <w:pPr>
              <w:autoSpaceDE w:val="0"/>
              <w:autoSpaceDN w:val="0"/>
              <w:adjustRightInd w:val="0"/>
              <w:jc w:val="both"/>
              <w:cnfStyle w:val="000000000000" w:firstRow="0" w:lastRow="0" w:firstColumn="0" w:lastColumn="0" w:oddVBand="0" w:evenVBand="0" w:oddHBand="0" w:evenHBand="0" w:firstRowFirstColumn="0" w:firstRowLastColumn="0" w:lastRowFirstColumn="0" w:lastRowLastColumn="0"/>
              <w:rPr>
                <w:rFonts w:ascii="Garamond" w:hAnsi="Garamond" w:cs="AppleSystemUIFont"/>
                <w:color w:val="000000" w:themeColor="text1"/>
                <w:sz w:val="21"/>
                <w:szCs w:val="21"/>
              </w:rPr>
            </w:pPr>
            <w:r w:rsidRPr="008C2A1A">
              <w:rPr>
                <w:rFonts w:ascii="Garamond" w:hAnsi="Garamond" w:cs="AppleSystemUIFont"/>
                <w:color w:val="000000" w:themeColor="text1"/>
                <w:sz w:val="21"/>
                <w:szCs w:val="21"/>
              </w:rPr>
              <w:sym w:font="Symbol" w:char="F05B"/>
            </w:r>
            <w:r w:rsidRPr="008C2A1A">
              <w:rPr>
                <w:rFonts w:ascii="Garamond" w:hAnsi="Garamond" w:cs="AppleSystemUIFont"/>
                <w:color w:val="000000" w:themeColor="text1"/>
                <w:sz w:val="21"/>
                <w:szCs w:val="21"/>
              </w:rPr>
              <w:t>(CO</w:t>
            </w:r>
            <w:r w:rsidRPr="008C2A1A">
              <w:rPr>
                <w:rFonts w:ascii="Garamond" w:hAnsi="Garamond" w:cs="AppleSystemUIFont"/>
                <w:color w:val="000000" w:themeColor="text1"/>
                <w:sz w:val="21"/>
                <w:szCs w:val="21"/>
                <w:vertAlign w:val="subscript"/>
              </w:rPr>
              <w:t>2</w:t>
            </w:r>
            <w:r w:rsidRPr="008C2A1A">
              <w:rPr>
                <w:rFonts w:ascii="Garamond" w:hAnsi="Garamond" w:cs="AppleSystemUIFont"/>
                <w:color w:val="000000" w:themeColor="text1"/>
                <w:sz w:val="21"/>
                <w:szCs w:val="21"/>
              </w:rPr>
              <w:t xml:space="preserve"> x 9) – 600</w:t>
            </w:r>
            <w:r w:rsidRPr="008C2A1A">
              <w:rPr>
                <w:rFonts w:ascii="Garamond" w:hAnsi="Garamond" w:cs="AppleSystemUIFont"/>
                <w:color w:val="000000" w:themeColor="text1"/>
                <w:sz w:val="21"/>
                <w:szCs w:val="21"/>
              </w:rPr>
              <w:sym w:font="Symbol" w:char="F05D"/>
            </w:r>
            <w:r w:rsidRPr="008C2A1A">
              <w:rPr>
                <w:rFonts w:ascii="Garamond" w:hAnsi="Garamond" w:cs="AppleSystemUIFont"/>
                <w:color w:val="000000" w:themeColor="text1"/>
                <w:sz w:val="21"/>
                <w:szCs w:val="21"/>
              </w:rPr>
              <w:t xml:space="preserve"> / 12</w:t>
            </w:r>
          </w:p>
        </w:tc>
        <w:tc>
          <w:tcPr>
            <w:tcW w:w="3019" w:type="dxa"/>
          </w:tcPr>
          <w:p w14:paraId="6BAC7649" w14:textId="77777777" w:rsidR="00B94180" w:rsidRPr="008C2A1A" w:rsidRDefault="00B94180" w:rsidP="00951B95">
            <w:pPr>
              <w:autoSpaceDE w:val="0"/>
              <w:autoSpaceDN w:val="0"/>
              <w:adjustRightInd w:val="0"/>
              <w:jc w:val="both"/>
              <w:cnfStyle w:val="000000000000" w:firstRow="0" w:lastRow="0" w:firstColumn="0" w:lastColumn="0" w:oddVBand="0" w:evenVBand="0" w:oddHBand="0" w:evenHBand="0" w:firstRowFirstColumn="0" w:firstRowLastColumn="0" w:lastRowFirstColumn="0" w:lastRowLastColumn="0"/>
              <w:rPr>
                <w:rFonts w:ascii="Garamond" w:hAnsi="Garamond" w:cs="AppleSystemUIFont"/>
                <w:color w:val="000000" w:themeColor="text1"/>
                <w:sz w:val="21"/>
                <w:szCs w:val="21"/>
              </w:rPr>
            </w:pPr>
            <w:r w:rsidRPr="008C2A1A">
              <w:rPr>
                <w:rFonts w:ascii="Garamond" w:hAnsi="Garamond" w:cs="AppleSystemUIFont"/>
                <w:color w:val="000000" w:themeColor="text1"/>
                <w:sz w:val="21"/>
                <w:szCs w:val="21"/>
              </w:rPr>
              <w:t>X 1,2708</w:t>
            </w:r>
          </w:p>
        </w:tc>
      </w:tr>
      <w:tr w:rsidR="008C2A1A" w:rsidRPr="008C2A1A" w14:paraId="06BEBDC3" w14:textId="77777777" w:rsidTr="00951B9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18" w:type="dxa"/>
          </w:tcPr>
          <w:p w14:paraId="6588FD67" w14:textId="77777777" w:rsidR="00B94180" w:rsidRPr="008C2A1A" w:rsidRDefault="00B94180" w:rsidP="00951B95">
            <w:pPr>
              <w:autoSpaceDE w:val="0"/>
              <w:autoSpaceDN w:val="0"/>
              <w:adjustRightInd w:val="0"/>
              <w:jc w:val="both"/>
              <w:rPr>
                <w:rFonts w:ascii="Garamond" w:hAnsi="Garamond" w:cs="AppleSystemUIFont"/>
                <w:b w:val="0"/>
                <w:bCs w:val="0"/>
                <w:color w:val="000000" w:themeColor="text1"/>
                <w:sz w:val="21"/>
                <w:szCs w:val="21"/>
              </w:rPr>
            </w:pPr>
            <w:r w:rsidRPr="008C2A1A">
              <w:rPr>
                <w:rFonts w:ascii="Garamond" w:hAnsi="Garamond" w:cs="AppleSystemUIFont"/>
                <w:b w:val="0"/>
                <w:bCs w:val="0"/>
                <w:color w:val="000000" w:themeColor="text1"/>
                <w:sz w:val="21"/>
                <w:szCs w:val="21"/>
              </w:rPr>
              <w:t>LPG</w:t>
            </w:r>
          </w:p>
        </w:tc>
        <w:tc>
          <w:tcPr>
            <w:tcW w:w="3019" w:type="dxa"/>
          </w:tcPr>
          <w:p w14:paraId="536E510D" w14:textId="77777777" w:rsidR="00B94180" w:rsidRPr="008C2A1A" w:rsidRDefault="00B94180" w:rsidP="00951B95">
            <w:pPr>
              <w:autoSpaceDE w:val="0"/>
              <w:autoSpaceDN w:val="0"/>
              <w:adjustRightInd w:val="0"/>
              <w:jc w:val="both"/>
              <w:cnfStyle w:val="000000100000" w:firstRow="0" w:lastRow="0" w:firstColumn="0" w:lastColumn="0" w:oddVBand="0" w:evenVBand="0" w:oddHBand="1" w:evenHBand="0" w:firstRowFirstColumn="0" w:firstRowLastColumn="0" w:lastRowFirstColumn="0" w:lastRowLastColumn="0"/>
              <w:rPr>
                <w:rFonts w:ascii="Garamond" w:hAnsi="Garamond" w:cs="AppleSystemUIFont"/>
                <w:color w:val="000000" w:themeColor="text1"/>
                <w:sz w:val="21"/>
                <w:szCs w:val="21"/>
              </w:rPr>
            </w:pPr>
            <w:r w:rsidRPr="008C2A1A">
              <w:rPr>
                <w:rFonts w:ascii="Garamond" w:hAnsi="Garamond" w:cs="AppleSystemUIFont"/>
                <w:color w:val="000000" w:themeColor="text1"/>
                <w:sz w:val="21"/>
                <w:szCs w:val="21"/>
              </w:rPr>
              <w:sym w:font="Symbol" w:char="F05B"/>
            </w:r>
            <w:r w:rsidRPr="008C2A1A">
              <w:rPr>
                <w:rFonts w:ascii="Garamond" w:hAnsi="Garamond" w:cs="AppleSystemUIFont"/>
                <w:color w:val="000000" w:themeColor="text1"/>
                <w:sz w:val="21"/>
                <w:szCs w:val="21"/>
              </w:rPr>
              <w:t>(CO</w:t>
            </w:r>
            <w:r w:rsidRPr="008C2A1A">
              <w:rPr>
                <w:rFonts w:ascii="Garamond" w:hAnsi="Garamond" w:cs="AppleSystemUIFont"/>
                <w:color w:val="000000" w:themeColor="text1"/>
                <w:sz w:val="21"/>
                <w:szCs w:val="21"/>
                <w:vertAlign w:val="subscript"/>
              </w:rPr>
              <w:t>2</w:t>
            </w:r>
            <w:r w:rsidRPr="008C2A1A">
              <w:rPr>
                <w:rFonts w:ascii="Garamond" w:hAnsi="Garamond" w:cs="AppleSystemUIFont"/>
                <w:color w:val="000000" w:themeColor="text1"/>
                <w:sz w:val="21"/>
                <w:szCs w:val="21"/>
              </w:rPr>
              <w:t xml:space="preserve"> x 9) – 990</w:t>
            </w:r>
            <w:r w:rsidRPr="008C2A1A">
              <w:rPr>
                <w:rFonts w:ascii="Garamond" w:hAnsi="Garamond" w:cs="AppleSystemUIFont"/>
                <w:color w:val="000000" w:themeColor="text1"/>
                <w:sz w:val="21"/>
                <w:szCs w:val="21"/>
              </w:rPr>
              <w:sym w:font="Symbol" w:char="F05D"/>
            </w:r>
            <w:r w:rsidRPr="008C2A1A">
              <w:rPr>
                <w:rFonts w:ascii="Garamond" w:hAnsi="Garamond" w:cs="AppleSystemUIFont"/>
                <w:color w:val="000000" w:themeColor="text1"/>
                <w:sz w:val="21"/>
                <w:szCs w:val="21"/>
              </w:rPr>
              <w:t xml:space="preserve"> / 12</w:t>
            </w:r>
          </w:p>
        </w:tc>
        <w:tc>
          <w:tcPr>
            <w:tcW w:w="3019" w:type="dxa"/>
          </w:tcPr>
          <w:p w14:paraId="4A284A7F" w14:textId="77777777" w:rsidR="00B94180" w:rsidRPr="008C2A1A" w:rsidRDefault="00B94180" w:rsidP="00951B95">
            <w:pPr>
              <w:autoSpaceDE w:val="0"/>
              <w:autoSpaceDN w:val="0"/>
              <w:adjustRightInd w:val="0"/>
              <w:jc w:val="both"/>
              <w:cnfStyle w:val="000000100000" w:firstRow="0" w:lastRow="0" w:firstColumn="0" w:lastColumn="0" w:oddVBand="0" w:evenVBand="0" w:oddHBand="1" w:evenHBand="0" w:firstRowFirstColumn="0" w:firstRowLastColumn="0" w:lastRowFirstColumn="0" w:lastRowLastColumn="0"/>
              <w:rPr>
                <w:rFonts w:ascii="Garamond" w:hAnsi="Garamond" w:cs="AppleSystemUIFont"/>
                <w:color w:val="000000" w:themeColor="text1"/>
                <w:sz w:val="21"/>
                <w:szCs w:val="21"/>
              </w:rPr>
            </w:pPr>
            <w:r w:rsidRPr="008C2A1A">
              <w:rPr>
                <w:rFonts w:ascii="Garamond" w:hAnsi="Garamond" w:cs="AppleSystemUIFont"/>
                <w:color w:val="000000" w:themeColor="text1"/>
                <w:sz w:val="21"/>
                <w:szCs w:val="21"/>
              </w:rPr>
              <w:t>X 1,2708</w:t>
            </w:r>
          </w:p>
        </w:tc>
      </w:tr>
      <w:tr w:rsidR="008C2A1A" w:rsidRPr="008C2A1A" w14:paraId="2906102D" w14:textId="77777777" w:rsidTr="00951B95">
        <w:tc>
          <w:tcPr>
            <w:cnfStyle w:val="001000000000" w:firstRow="0" w:lastRow="0" w:firstColumn="1" w:lastColumn="0" w:oddVBand="0" w:evenVBand="0" w:oddHBand="0" w:evenHBand="0" w:firstRowFirstColumn="0" w:firstRowLastColumn="0" w:lastRowFirstColumn="0" w:lastRowLastColumn="0"/>
            <w:tcW w:w="3018" w:type="dxa"/>
          </w:tcPr>
          <w:p w14:paraId="5E828A3A" w14:textId="77777777" w:rsidR="00B94180" w:rsidRPr="008C2A1A" w:rsidRDefault="00B94180" w:rsidP="00951B95">
            <w:pPr>
              <w:autoSpaceDE w:val="0"/>
              <w:autoSpaceDN w:val="0"/>
              <w:adjustRightInd w:val="0"/>
              <w:jc w:val="both"/>
              <w:rPr>
                <w:rFonts w:ascii="Garamond" w:hAnsi="Garamond" w:cs="AppleSystemUIFont"/>
                <w:b w:val="0"/>
                <w:bCs w:val="0"/>
                <w:color w:val="000000" w:themeColor="text1"/>
                <w:sz w:val="21"/>
                <w:szCs w:val="21"/>
              </w:rPr>
            </w:pPr>
            <w:r w:rsidRPr="008C2A1A">
              <w:rPr>
                <w:rFonts w:ascii="Garamond" w:hAnsi="Garamond" w:cs="AppleSystemUIFont"/>
                <w:b w:val="0"/>
                <w:bCs w:val="0"/>
                <w:color w:val="000000" w:themeColor="text1"/>
                <w:sz w:val="21"/>
                <w:szCs w:val="21"/>
              </w:rPr>
              <w:t xml:space="preserve">Electric </w:t>
            </w:r>
          </w:p>
        </w:tc>
        <w:tc>
          <w:tcPr>
            <w:tcW w:w="3019" w:type="dxa"/>
          </w:tcPr>
          <w:p w14:paraId="50FDA93D" w14:textId="77777777" w:rsidR="00B94180" w:rsidRPr="008C2A1A" w:rsidRDefault="00B94180" w:rsidP="00951B95">
            <w:pPr>
              <w:autoSpaceDE w:val="0"/>
              <w:autoSpaceDN w:val="0"/>
              <w:adjustRightInd w:val="0"/>
              <w:jc w:val="both"/>
              <w:cnfStyle w:val="000000000000" w:firstRow="0" w:lastRow="0" w:firstColumn="0" w:lastColumn="0" w:oddVBand="0" w:evenVBand="0" w:oddHBand="0" w:evenHBand="0" w:firstRowFirstColumn="0" w:firstRowLastColumn="0" w:lastRowFirstColumn="0" w:lastRowLastColumn="0"/>
              <w:rPr>
                <w:rFonts w:ascii="Garamond" w:hAnsi="Garamond" w:cs="AppleSystemUIFont"/>
                <w:color w:val="000000" w:themeColor="text1"/>
                <w:sz w:val="21"/>
                <w:szCs w:val="21"/>
              </w:rPr>
            </w:pPr>
            <w:r w:rsidRPr="008C2A1A">
              <w:rPr>
                <w:rFonts w:ascii="Garamond" w:hAnsi="Garamond" w:cs="AppleSystemUIFont"/>
                <w:color w:val="000000" w:themeColor="text1"/>
                <w:sz w:val="21"/>
                <w:szCs w:val="21"/>
              </w:rPr>
              <w:t>20,83 euros</w:t>
            </w:r>
          </w:p>
        </w:tc>
        <w:tc>
          <w:tcPr>
            <w:tcW w:w="3019" w:type="dxa"/>
          </w:tcPr>
          <w:p w14:paraId="2E525EA8" w14:textId="77777777" w:rsidR="00B94180" w:rsidRPr="008C2A1A" w:rsidRDefault="00B94180" w:rsidP="00951B95">
            <w:pPr>
              <w:autoSpaceDE w:val="0"/>
              <w:autoSpaceDN w:val="0"/>
              <w:adjustRightInd w:val="0"/>
              <w:jc w:val="both"/>
              <w:cnfStyle w:val="000000000000" w:firstRow="0" w:lastRow="0" w:firstColumn="0" w:lastColumn="0" w:oddVBand="0" w:evenVBand="0" w:oddHBand="0" w:evenHBand="0" w:firstRowFirstColumn="0" w:firstRowLastColumn="0" w:lastRowFirstColumn="0" w:lastRowLastColumn="0"/>
              <w:rPr>
                <w:rFonts w:ascii="Garamond" w:hAnsi="Garamond" w:cs="AppleSystemUIFont"/>
                <w:color w:val="000000" w:themeColor="text1"/>
                <w:sz w:val="21"/>
                <w:szCs w:val="21"/>
              </w:rPr>
            </w:pPr>
            <w:r w:rsidRPr="008C2A1A">
              <w:rPr>
                <w:rFonts w:ascii="Garamond" w:hAnsi="Garamond" w:cs="AppleSystemUIFont"/>
                <w:color w:val="000000" w:themeColor="text1"/>
                <w:sz w:val="21"/>
                <w:szCs w:val="21"/>
              </w:rPr>
              <w:t>X 1,2708</w:t>
            </w:r>
          </w:p>
        </w:tc>
      </w:tr>
    </w:tbl>
    <w:p w14:paraId="68A74A37" w14:textId="77777777" w:rsidR="00B94180" w:rsidRPr="008C2A1A" w:rsidRDefault="00B94180" w:rsidP="00C01851">
      <w:pPr>
        <w:jc w:val="both"/>
        <w:rPr>
          <w:rFonts w:ascii="Garamond" w:hAnsi="Garamond"/>
          <w:color w:val="000000" w:themeColor="text1"/>
          <w:lang w:val="en-GB"/>
        </w:rPr>
      </w:pPr>
    </w:p>
    <w:p w14:paraId="3EB7EC37" w14:textId="25483A94" w:rsidR="00F5334A" w:rsidRPr="008C2A1A" w:rsidRDefault="00F5334A" w:rsidP="00F5334A">
      <w:pPr>
        <w:jc w:val="both"/>
        <w:rPr>
          <w:rFonts w:ascii="Garamond" w:eastAsiaTheme="minorEastAsia" w:hAnsi="Garamond" w:cs="AppleSystemUIFont"/>
          <w:color w:val="000000" w:themeColor="text1"/>
          <w:lang w:val="en-GB"/>
        </w:rPr>
      </w:pPr>
      <w:r w:rsidRPr="008C2A1A">
        <w:rPr>
          <w:rFonts w:ascii="Garamond" w:eastAsiaTheme="minorEastAsia" w:hAnsi="Garamond" w:cs="AppleSystemUIFont"/>
          <w:color w:val="000000" w:themeColor="text1"/>
          <w:lang w:val="en-GB"/>
        </w:rPr>
        <w:t>Taken all together, these elements of the current fiscal system make that rewarding labo</w:t>
      </w:r>
      <w:r w:rsidR="00C65E05" w:rsidRPr="008C2A1A">
        <w:rPr>
          <w:rFonts w:ascii="Garamond" w:eastAsiaTheme="minorEastAsia" w:hAnsi="Garamond" w:cs="AppleSystemUIFont"/>
          <w:color w:val="000000" w:themeColor="text1"/>
          <w:lang w:val="en-GB"/>
        </w:rPr>
        <w:t>u</w:t>
      </w:r>
      <w:r w:rsidRPr="008C2A1A">
        <w:rPr>
          <w:rFonts w:ascii="Garamond" w:eastAsiaTheme="minorEastAsia" w:hAnsi="Garamond" w:cs="AppleSystemUIFont"/>
          <w:color w:val="000000" w:themeColor="text1"/>
          <w:lang w:val="en-GB"/>
        </w:rPr>
        <w:t>r in the form of a company car is more advantageous than a compensation in monetary terms. The reader will be able to change all the above parameters (and more) in the online simulation tool CoCaTax, which is presented in section 5, and use it to evaluate the consequences of such a reform. One possibility would be to supress the fiscal advantages for company cars and reduce the overall fiscal pressure on (labour) income</w:t>
      </w:r>
      <w:r w:rsidR="00513179" w:rsidRPr="008C2A1A">
        <w:rPr>
          <w:rFonts w:ascii="Garamond" w:eastAsiaTheme="minorEastAsia" w:hAnsi="Garamond" w:cs="AppleSystemUIFont"/>
          <w:color w:val="000000" w:themeColor="text1"/>
          <w:lang w:val="en-GB"/>
        </w:rPr>
        <w:t xml:space="preserve">. </w:t>
      </w:r>
      <w:r w:rsidR="00C65E05" w:rsidRPr="008C2A1A">
        <w:rPr>
          <w:rFonts w:ascii="Garamond" w:eastAsiaTheme="minorEastAsia" w:hAnsi="Garamond" w:cs="AppleSystemUIFont"/>
          <w:color w:val="000000" w:themeColor="text1"/>
          <w:lang w:val="en-GB"/>
        </w:rPr>
        <w:t>This would imply that beneficiaries of a company car, mainly active in the private sector, lose their fiscal advantage in exchange for a reduction in fiscal pressure for a far larger subset of the population. The recent political consensus seems to prefer fiscal reforms that limit the reduction in fiscal pressure to the part of the population that currently benefits from the fiscal advantages for company cars, as the two reform scenarios in the next section illustrate.</w:t>
      </w:r>
    </w:p>
    <w:p w14:paraId="74D6FED6" w14:textId="77777777" w:rsidR="00B94180" w:rsidRPr="008C2A1A" w:rsidRDefault="00B94180" w:rsidP="00C01851">
      <w:pPr>
        <w:jc w:val="both"/>
        <w:rPr>
          <w:rFonts w:ascii="Garamond" w:hAnsi="Garamond"/>
          <w:color w:val="000000" w:themeColor="text1"/>
          <w:lang w:val="en-GB"/>
        </w:rPr>
      </w:pPr>
    </w:p>
    <w:p w14:paraId="76FB564B" w14:textId="77777777" w:rsidR="00B94180" w:rsidRPr="008C2A1A" w:rsidRDefault="00B94180" w:rsidP="00C01851">
      <w:pPr>
        <w:pStyle w:val="Kop2"/>
        <w:jc w:val="both"/>
        <w:rPr>
          <w:color w:val="000000" w:themeColor="text1"/>
          <w:lang w:val="en-GB"/>
        </w:rPr>
      </w:pPr>
      <w:r w:rsidRPr="008C2A1A">
        <w:rPr>
          <w:color w:val="000000" w:themeColor="text1"/>
          <w:lang w:val="en-GB"/>
        </w:rPr>
        <w:t xml:space="preserve">4. Reform scenarios: Mobility allowance (or 'cash for car') and the mobility budget </w:t>
      </w:r>
    </w:p>
    <w:p w14:paraId="232A7382" w14:textId="77777777" w:rsidR="00B94180" w:rsidRPr="008C2A1A" w:rsidRDefault="00B94180" w:rsidP="00C01851">
      <w:pPr>
        <w:jc w:val="both"/>
        <w:rPr>
          <w:color w:val="000000" w:themeColor="text1"/>
          <w:lang w:val="en-GB"/>
        </w:rPr>
      </w:pPr>
    </w:p>
    <w:p w14:paraId="2E9E0A3C" w14:textId="491F51CA" w:rsidR="00B94180" w:rsidRPr="008C2A1A" w:rsidRDefault="00B94180" w:rsidP="00C01851">
      <w:pPr>
        <w:jc w:val="both"/>
        <w:rPr>
          <w:rFonts w:ascii="Garamond" w:hAnsi="Garamond"/>
          <w:color w:val="000000" w:themeColor="text1"/>
          <w:lang w:val="en-GB"/>
        </w:rPr>
      </w:pPr>
      <w:r w:rsidRPr="008C2A1A">
        <w:rPr>
          <w:rFonts w:ascii="Garamond" w:hAnsi="Garamond"/>
          <w:color w:val="000000" w:themeColor="text1"/>
          <w:lang w:val="en-GB"/>
        </w:rPr>
        <w:t>The generous fiscal treatment of company cars has come to be under scrutiny in Belgium as it is in most other OECD countries. On the one hand, the acute congestion problems that Belgium faces and increasing awareness of the health damages due to air pollution mean that the implicit subsidies to car mobility implied by the current fiscal treatment of company cars loose political support. On the other hand, the high fiscal pressure on labour incomes makes it difficult to entirely abandon the fiscal advantages currently provided to those having a company car. For these reasons, the federal government has taken several initiatives in the past years that try to reconcile a reduction of the fiscal pressure on labour income, especially in the private sector, with a decrease of the fiscal advantages for car mobility. In this section, we discuss two of these reforms: the mobility allowance and the mobility budget.</w:t>
      </w:r>
      <w:r w:rsidR="00AF58FF" w:rsidRPr="008C2A1A">
        <w:rPr>
          <w:rStyle w:val="Voetnootmarkering"/>
          <w:rFonts w:ascii="Garamond" w:hAnsi="Garamond"/>
          <w:color w:val="000000" w:themeColor="text1"/>
          <w:lang w:val="en-GB"/>
        </w:rPr>
        <w:footnoteReference w:id="14"/>
      </w:r>
    </w:p>
    <w:p w14:paraId="7FFB68A0" w14:textId="77777777" w:rsidR="00B94180" w:rsidRPr="008C2A1A" w:rsidRDefault="00B94180" w:rsidP="00C01851">
      <w:pPr>
        <w:jc w:val="both"/>
        <w:rPr>
          <w:rFonts w:ascii="Garamond" w:hAnsi="Garamond"/>
          <w:color w:val="000000" w:themeColor="text1"/>
          <w:lang w:val="en-GB"/>
        </w:rPr>
      </w:pPr>
    </w:p>
    <w:p w14:paraId="6AE9B13E" w14:textId="77777777" w:rsidR="00B94180" w:rsidRPr="008C2A1A" w:rsidRDefault="00B94180" w:rsidP="00C01851">
      <w:pPr>
        <w:pStyle w:val="Kop3"/>
        <w:jc w:val="both"/>
        <w:rPr>
          <w:rFonts w:ascii="Garamond" w:hAnsi="Garamond"/>
          <w:b/>
          <w:color w:val="000000" w:themeColor="text1"/>
          <w:lang w:val="en-GB"/>
        </w:rPr>
      </w:pPr>
      <w:r w:rsidRPr="008C2A1A">
        <w:rPr>
          <w:rFonts w:ascii="Garamond" w:hAnsi="Garamond"/>
          <w:b/>
          <w:color w:val="000000" w:themeColor="text1"/>
          <w:lang w:val="en-GB"/>
        </w:rPr>
        <w:t>4.1 The mobility allowance</w:t>
      </w:r>
    </w:p>
    <w:p w14:paraId="22417FC0" w14:textId="77777777" w:rsidR="00B94180" w:rsidRPr="008C2A1A" w:rsidRDefault="00B94180" w:rsidP="00C01851">
      <w:pPr>
        <w:jc w:val="both"/>
        <w:rPr>
          <w:rFonts w:ascii="Garamond" w:hAnsi="Garamond"/>
          <w:color w:val="000000" w:themeColor="text1"/>
          <w:lang w:val="en-GB"/>
        </w:rPr>
      </w:pPr>
    </w:p>
    <w:p w14:paraId="45CEB5B4" w14:textId="72C70900" w:rsidR="00B94180" w:rsidRPr="008C2A1A" w:rsidRDefault="00B94180" w:rsidP="00C01851">
      <w:pPr>
        <w:jc w:val="both"/>
        <w:rPr>
          <w:rFonts w:ascii="Garamond" w:hAnsi="Garamond"/>
          <w:color w:val="000000" w:themeColor="text1"/>
          <w:lang w:val="en-GB"/>
        </w:rPr>
      </w:pPr>
      <w:r w:rsidRPr="008C2A1A">
        <w:rPr>
          <w:rFonts w:ascii="Garamond" w:hAnsi="Garamond"/>
          <w:color w:val="000000" w:themeColor="text1"/>
          <w:lang w:val="en-GB"/>
        </w:rPr>
        <w:t>The mobility allowance – also known as “cash for car” – was introduced by the law of March 30, 2018</w:t>
      </w:r>
      <w:r w:rsidRPr="008C2A1A">
        <w:rPr>
          <w:rStyle w:val="Voetnootmarkering"/>
          <w:rFonts w:ascii="Garamond" w:hAnsi="Garamond"/>
          <w:color w:val="000000" w:themeColor="text1"/>
          <w:lang w:val="en-GB"/>
        </w:rPr>
        <w:footnoteReference w:id="15"/>
      </w:r>
      <w:r w:rsidRPr="008C2A1A">
        <w:rPr>
          <w:rFonts w:ascii="Garamond" w:hAnsi="Garamond"/>
          <w:color w:val="000000" w:themeColor="text1"/>
          <w:lang w:val="en-GB"/>
        </w:rPr>
        <w:t xml:space="preserve">. This new scheme enables workers who are provided with a company car for a certain duration to exchange this car against a mobility allowance that benefits from the same advantageous </w:t>
      </w:r>
      <w:r w:rsidRPr="008C2A1A">
        <w:rPr>
          <w:rFonts w:ascii="Garamond" w:hAnsi="Garamond"/>
          <w:color w:val="000000" w:themeColor="text1"/>
          <w:lang w:val="en-GB"/>
        </w:rPr>
        <w:lastRenderedPageBreak/>
        <w:t xml:space="preserve">tax and social status than that of a company car. The purpose of this measure is to reduce the level of congestion on Belgian roads. Based on this background, it is aimed to provide an alternative, comparable to company cars in terms of remuneration costs, under the form of an amount of money, benefiting from the same advantageous scheme as a company car. In other words, the purpose of the reform was to enable a reduction of company cars through the substitution of this benefit in kind by a favourably taxed amount of cash. </w:t>
      </w:r>
    </w:p>
    <w:p w14:paraId="499A0AF7" w14:textId="77777777" w:rsidR="00B94180" w:rsidRPr="008C2A1A" w:rsidRDefault="00B94180" w:rsidP="00C01851">
      <w:pPr>
        <w:jc w:val="both"/>
        <w:rPr>
          <w:rFonts w:ascii="Garamond" w:hAnsi="Garamond"/>
          <w:color w:val="000000" w:themeColor="text1"/>
          <w:lang w:val="en-GB"/>
        </w:rPr>
      </w:pPr>
    </w:p>
    <w:p w14:paraId="35A37E4C" w14:textId="5DCEF9EE" w:rsidR="00B94180" w:rsidRPr="008C2A1A" w:rsidRDefault="00B94180" w:rsidP="00C01851">
      <w:pPr>
        <w:jc w:val="both"/>
        <w:rPr>
          <w:rFonts w:ascii="Garamond" w:hAnsi="Garamond"/>
          <w:color w:val="000000" w:themeColor="text1"/>
          <w:lang w:val="en-GB"/>
        </w:rPr>
      </w:pPr>
      <w:r w:rsidRPr="008C2A1A">
        <w:rPr>
          <w:rFonts w:ascii="Garamond" w:hAnsi="Garamond"/>
          <w:color w:val="000000" w:themeColor="text1"/>
          <w:lang w:val="en-GB"/>
        </w:rPr>
        <w:t xml:space="preserve">The </w:t>
      </w:r>
      <w:r w:rsidRPr="008C2A1A">
        <w:rPr>
          <w:rFonts w:ascii="Garamond" w:hAnsi="Garamond"/>
          <w:b/>
          <w:color w:val="000000" w:themeColor="text1"/>
          <w:lang w:val="en-GB"/>
        </w:rPr>
        <w:t>legal regime</w:t>
      </w:r>
      <w:r w:rsidRPr="008C2A1A">
        <w:rPr>
          <w:rFonts w:ascii="Garamond" w:hAnsi="Garamond"/>
          <w:color w:val="000000" w:themeColor="text1"/>
          <w:lang w:val="en-GB"/>
        </w:rPr>
        <w:t xml:space="preserve"> of the mobility allowance applies to workers who return their company car. For this purpose, the concept of worker is given a broad meaning; they are referred to as any person who provides work under the authority of another person, even though these benefits are provided in the public sector or for free.  Company cars are defined as vehicles, as referred to at Art. 65 ITC (cars, mix cars, minibus, etc.), which are registered in the name of the employer or which are subject to a contract of use (leasing, hiring, etc), concluded in the name of the employer and put at the disposition of the employee for its personal use (home-work commuting and/or purely private commuting). The regime relies on a voluntary basis; it results from the voluntary agreement between the employer and the employee. On the one hand, the employer may take the initiative to instore a mobility allowance and to determine the possible conditions that need to be fulfilled. On the other hand, the employee is free to accept or reject this offer.</w:t>
      </w:r>
    </w:p>
    <w:p w14:paraId="5C30F7E8" w14:textId="77777777" w:rsidR="00B94180" w:rsidRPr="008C2A1A" w:rsidRDefault="00B94180" w:rsidP="00C01851">
      <w:pPr>
        <w:jc w:val="both"/>
        <w:rPr>
          <w:rFonts w:ascii="Garamond" w:hAnsi="Garamond"/>
          <w:color w:val="000000" w:themeColor="text1"/>
          <w:lang w:val="en-GB"/>
        </w:rPr>
      </w:pPr>
    </w:p>
    <w:p w14:paraId="5DA3785D" w14:textId="40EA8750" w:rsidR="00B94180" w:rsidRPr="008C2A1A" w:rsidRDefault="00B94180" w:rsidP="00C01851">
      <w:pPr>
        <w:jc w:val="both"/>
        <w:rPr>
          <w:rFonts w:ascii="Garamond" w:hAnsi="Garamond"/>
          <w:color w:val="000000" w:themeColor="text1"/>
          <w:lang w:val="en-GB"/>
        </w:rPr>
      </w:pPr>
      <w:r w:rsidRPr="008C2A1A">
        <w:rPr>
          <w:rFonts w:ascii="Garamond" w:hAnsi="Garamond"/>
          <w:color w:val="000000" w:themeColor="text1"/>
          <w:lang w:val="en-GB"/>
        </w:rPr>
        <w:t>In the current framework, the mobility allowance is limited to companies in which the employer has been providing company cars for a certain duration. In addition, employees must also fulfil the following conditions. At the moment of the demand, they must have benefitted from a company car for at least three months without interruption. Moreover, during the past 36 months before the demand, they must have benefitted from a company car during at least 12 months with their current employer. This provision was deeply criticised by the Council of State as it was a source of discrimination.</w:t>
      </w:r>
      <w:r w:rsidR="009241CD" w:rsidRPr="008C2A1A">
        <w:rPr>
          <w:rStyle w:val="Voetnootmarkering"/>
          <w:rFonts w:ascii="Garamond" w:hAnsi="Garamond"/>
          <w:color w:val="000000" w:themeColor="text1"/>
          <w:lang w:val="en-GB"/>
        </w:rPr>
        <w:footnoteReference w:id="16"/>
      </w:r>
      <w:r w:rsidRPr="008C2A1A">
        <w:rPr>
          <w:rFonts w:ascii="Garamond" w:hAnsi="Garamond"/>
          <w:color w:val="000000" w:themeColor="text1"/>
          <w:lang w:val="en-GB"/>
        </w:rPr>
        <w:t xml:space="preserve"> Granting the mobility allowance generates, in principle, the removal of the company car and all other advantages that are linked to it (e.g. the fuel card), as well as the exemptions allowed for the commuting trips. The law of March 30, 2018 also regulates the cases in which the mobility allowance must be disqualified.</w:t>
      </w:r>
    </w:p>
    <w:p w14:paraId="634D7601" w14:textId="6086F1A5" w:rsidR="00B94180" w:rsidRPr="008C2A1A" w:rsidRDefault="00B94180" w:rsidP="00C01851">
      <w:pPr>
        <w:jc w:val="both"/>
        <w:rPr>
          <w:rFonts w:ascii="Garamond" w:hAnsi="Garamond"/>
          <w:color w:val="000000" w:themeColor="text1"/>
          <w:lang w:val="en-GB"/>
        </w:rPr>
      </w:pPr>
      <w:r w:rsidRPr="008C2A1A">
        <w:rPr>
          <w:rFonts w:ascii="Garamond" w:hAnsi="Garamond"/>
          <w:color w:val="000000" w:themeColor="text1"/>
          <w:lang w:val="en-GB"/>
        </w:rPr>
        <w:br/>
        <w:t>The amount of the mobility allowance is calculated on the basis of the catalogue value of the returned company car, as computed for the evaluation of the benefit in kind. This corresponds to the price of the vehicle, in a new condition, as sold to individuals, including options and value added tax effectively paid, and regardless reduction, diminutions, rebates and discounts. The mobility allowance equals, per year, twenty percent of 6/7 of this catalogue value, except when the employer took over fuel expenses for the private use of the returned vehicle. Then, the percentage is set at twenty-four percent. The amount effectively perceived is not subject to the personal income tax. However, the taxpayer should declare of fringe benefit of 4% of 6/7 of the catalogue value.</w:t>
      </w:r>
    </w:p>
    <w:p w14:paraId="2DB4E59F" w14:textId="77777777" w:rsidR="00B94180" w:rsidRPr="008C2A1A" w:rsidRDefault="00B94180" w:rsidP="00C01851">
      <w:pPr>
        <w:jc w:val="both"/>
        <w:rPr>
          <w:rFonts w:ascii="Garamond" w:hAnsi="Garamond"/>
          <w:color w:val="000000" w:themeColor="text1"/>
          <w:lang w:val="en-GB"/>
        </w:rPr>
      </w:pPr>
    </w:p>
    <w:tbl>
      <w:tblPr>
        <w:tblStyle w:val="Tabelraster"/>
        <w:tblW w:w="0" w:type="auto"/>
        <w:tblLook w:val="04A0" w:firstRow="1" w:lastRow="0" w:firstColumn="1" w:lastColumn="0" w:noHBand="0" w:noVBand="1"/>
      </w:tblPr>
      <w:tblGrid>
        <w:gridCol w:w="9056"/>
      </w:tblGrid>
      <w:tr w:rsidR="008C2A1A" w:rsidRPr="002D6EB7" w14:paraId="63AD36B0" w14:textId="77777777" w:rsidTr="007C56D0">
        <w:trPr>
          <w:trHeight w:val="669"/>
        </w:trPr>
        <w:tc>
          <w:tcPr>
            <w:tcW w:w="9056" w:type="dxa"/>
          </w:tcPr>
          <w:p w14:paraId="0FD9D5C3" w14:textId="77777777" w:rsidR="00B94180" w:rsidRPr="008C2A1A" w:rsidRDefault="00B94180" w:rsidP="00951B95">
            <w:pPr>
              <w:jc w:val="both"/>
              <w:rPr>
                <w:rFonts w:ascii="Garamond" w:hAnsi="Garamond"/>
                <w:b/>
                <w:bCs/>
                <w:color w:val="000000" w:themeColor="text1"/>
                <w:sz w:val="21"/>
                <w:szCs w:val="21"/>
                <w:lang w:val="en-GB"/>
              </w:rPr>
            </w:pPr>
            <w:r w:rsidRPr="008C2A1A">
              <w:rPr>
                <w:rFonts w:ascii="Garamond" w:hAnsi="Garamond"/>
                <w:color w:val="000000" w:themeColor="text1"/>
                <w:sz w:val="21"/>
                <w:szCs w:val="21"/>
                <w:lang w:val="en-GB"/>
              </w:rPr>
              <w:t xml:space="preserve">Mobility allowance, company car without fuel card: </w:t>
            </w:r>
            <w:r w:rsidRPr="008C2A1A">
              <w:rPr>
                <w:rFonts w:ascii="Garamond" w:hAnsi="Garamond"/>
                <w:b/>
                <w:bCs/>
                <w:color w:val="000000" w:themeColor="text1"/>
                <w:sz w:val="21"/>
                <w:szCs w:val="21"/>
                <w:lang w:val="en-GB"/>
              </w:rPr>
              <w:t>catalogue value * 6/7 * 20 %</w:t>
            </w:r>
          </w:p>
          <w:p w14:paraId="4F6365D8" w14:textId="77777777" w:rsidR="00B94180" w:rsidRPr="008C2A1A" w:rsidRDefault="00B94180" w:rsidP="00951B95">
            <w:pPr>
              <w:jc w:val="both"/>
              <w:rPr>
                <w:rFonts w:ascii="Garamond" w:hAnsi="Garamond"/>
                <w:b/>
                <w:bCs/>
                <w:color w:val="000000" w:themeColor="text1"/>
                <w:sz w:val="21"/>
                <w:szCs w:val="21"/>
                <w:lang w:val="en-GB"/>
              </w:rPr>
            </w:pPr>
            <w:r w:rsidRPr="008C2A1A">
              <w:rPr>
                <w:rFonts w:ascii="Garamond" w:hAnsi="Garamond"/>
                <w:color w:val="000000" w:themeColor="text1"/>
                <w:sz w:val="21"/>
                <w:szCs w:val="21"/>
                <w:lang w:val="en-GB"/>
              </w:rPr>
              <w:t>Mobility allowance, company car with fuel card:</w:t>
            </w:r>
            <w:r w:rsidRPr="008C2A1A">
              <w:rPr>
                <w:rFonts w:ascii="Garamond" w:hAnsi="Garamond"/>
                <w:b/>
                <w:bCs/>
                <w:color w:val="000000" w:themeColor="text1"/>
                <w:sz w:val="21"/>
                <w:szCs w:val="21"/>
                <w:lang w:val="en-GB"/>
              </w:rPr>
              <w:t xml:space="preserve"> catalogue value * 6/7 * 24%</w:t>
            </w:r>
          </w:p>
          <w:p w14:paraId="32EA5AE1" w14:textId="03EA8577" w:rsidR="00B94180" w:rsidRPr="008C2A1A" w:rsidRDefault="00B94180" w:rsidP="00951B95">
            <w:pPr>
              <w:jc w:val="both"/>
              <w:rPr>
                <w:rFonts w:ascii="Garamond" w:hAnsi="Garamond"/>
                <w:color w:val="000000" w:themeColor="text1"/>
                <w:lang w:val="en-GB"/>
              </w:rPr>
            </w:pPr>
            <w:r w:rsidRPr="008C2A1A">
              <w:rPr>
                <w:rFonts w:ascii="Garamond" w:hAnsi="Garamond"/>
                <w:color w:val="000000" w:themeColor="text1"/>
                <w:sz w:val="21"/>
                <w:szCs w:val="21"/>
                <w:lang w:val="en-GB"/>
              </w:rPr>
              <w:t xml:space="preserve">Mobility allowance, fringe benefit: </w:t>
            </w:r>
            <w:r w:rsidRPr="008C2A1A">
              <w:rPr>
                <w:rFonts w:ascii="Garamond" w:hAnsi="Garamond"/>
                <w:b/>
                <w:color w:val="000000" w:themeColor="text1"/>
                <w:sz w:val="21"/>
                <w:szCs w:val="21"/>
                <w:lang w:val="en-GB"/>
              </w:rPr>
              <w:t>catalogue value * 6/7 * 4%</w:t>
            </w:r>
          </w:p>
        </w:tc>
      </w:tr>
    </w:tbl>
    <w:p w14:paraId="0717ECAF" w14:textId="77777777" w:rsidR="00B94180" w:rsidRPr="008C2A1A" w:rsidRDefault="00B94180" w:rsidP="00C01851">
      <w:pPr>
        <w:jc w:val="both"/>
        <w:rPr>
          <w:rFonts w:ascii="Garamond" w:hAnsi="Garamond"/>
          <w:color w:val="000000" w:themeColor="text1"/>
          <w:lang w:val="en-GB"/>
        </w:rPr>
      </w:pPr>
    </w:p>
    <w:p w14:paraId="3BDFBAE2" w14:textId="3843BA8B" w:rsidR="00B94180" w:rsidRPr="008C2A1A" w:rsidRDefault="00B94180" w:rsidP="00C01851">
      <w:pPr>
        <w:jc w:val="both"/>
        <w:rPr>
          <w:rFonts w:ascii="Garamond" w:hAnsi="Garamond"/>
          <w:color w:val="000000" w:themeColor="text1"/>
          <w:lang w:val="en-GB"/>
        </w:rPr>
      </w:pPr>
      <w:r w:rsidRPr="008C2A1A">
        <w:rPr>
          <w:rFonts w:ascii="Garamond" w:hAnsi="Garamond"/>
          <w:color w:val="000000" w:themeColor="text1"/>
          <w:lang w:val="en-GB"/>
        </w:rPr>
        <w:t xml:space="preserve">The amount obtained is reduced by the possible personal intervention paid by the employee to benefit from the company car. The personal intervention is assessed on the basis of the amount paid during the last month before the company car return, and then multiplied by twelve, in order to obtain the annual basis. Specific calculation methods apply for a number of particular cases. The amount obtained represents a fixed value that does not vary during the entire employee’s career but that is indexed.  As regards the tax regime of the employer, 17 percent or 40 percent of the </w:t>
      </w:r>
      <w:r w:rsidRPr="008C2A1A">
        <w:rPr>
          <w:rFonts w:ascii="Garamond" w:hAnsi="Garamond"/>
          <w:color w:val="000000" w:themeColor="text1"/>
          <w:lang w:val="en-GB"/>
        </w:rPr>
        <w:lastRenderedPageBreak/>
        <w:t xml:space="preserve">mobility allowance is qualified as a disallowed expense, depending on whether fuel expenses of the returned car were paid by the employer or not. In addition, the mobility allowance is deductible at a rate of 75 percent. For the purpose of social security law, the mobility allowance is not characterized as a remuneration. Hence, it does not give rise to the payment of social security contributions. Nevertheless, just like in the case of company cars, a CO2 solidarity contribution is due. It is computed on the basis of the amount of the last solidarity contribution paid, as calculated for the vehicle replaced by the mobility allowance.  </w:t>
      </w:r>
    </w:p>
    <w:p w14:paraId="11114A9E" w14:textId="6752FB7E" w:rsidR="00B94180" w:rsidRPr="008C2A1A" w:rsidRDefault="00B94180" w:rsidP="00C01851">
      <w:pPr>
        <w:jc w:val="both"/>
        <w:rPr>
          <w:rFonts w:ascii="Garamond" w:hAnsi="Garamond"/>
          <w:color w:val="000000" w:themeColor="text1"/>
          <w:lang w:val="en-GB"/>
        </w:rPr>
      </w:pPr>
    </w:p>
    <w:p w14:paraId="7587104C" w14:textId="42D5C88F" w:rsidR="00A95335" w:rsidRPr="008C2A1A" w:rsidRDefault="00C9554B" w:rsidP="00C01851">
      <w:pPr>
        <w:jc w:val="both"/>
        <w:rPr>
          <w:rFonts w:ascii="Garamond" w:hAnsi="Garamond"/>
          <w:color w:val="000000" w:themeColor="text1"/>
          <w:lang w:val="en-GB"/>
        </w:rPr>
      </w:pPr>
      <w:r w:rsidRPr="008C2A1A">
        <w:rPr>
          <w:rFonts w:ascii="Garamond" w:hAnsi="Garamond"/>
          <w:color w:val="000000" w:themeColor="text1"/>
          <w:lang w:val="en-GB"/>
        </w:rPr>
        <w:t>Bringing these elements together, a few things stand out w</w:t>
      </w:r>
      <w:r w:rsidR="00DE5C42" w:rsidRPr="008C2A1A">
        <w:rPr>
          <w:rFonts w:ascii="Garamond" w:hAnsi="Garamond"/>
          <w:color w:val="000000" w:themeColor="text1"/>
          <w:lang w:val="en-GB"/>
        </w:rPr>
        <w:t xml:space="preserve">ith </w:t>
      </w:r>
      <w:r w:rsidRPr="008C2A1A">
        <w:rPr>
          <w:rFonts w:ascii="Garamond" w:hAnsi="Garamond"/>
          <w:color w:val="000000" w:themeColor="text1"/>
          <w:lang w:val="en-GB"/>
        </w:rPr>
        <w:t>r</w:t>
      </w:r>
      <w:r w:rsidR="00DE5C42" w:rsidRPr="008C2A1A">
        <w:rPr>
          <w:rFonts w:ascii="Garamond" w:hAnsi="Garamond"/>
          <w:color w:val="000000" w:themeColor="text1"/>
          <w:lang w:val="en-GB"/>
        </w:rPr>
        <w:t>espect to</w:t>
      </w:r>
      <w:r w:rsidRPr="008C2A1A">
        <w:rPr>
          <w:rFonts w:ascii="Garamond" w:hAnsi="Garamond"/>
          <w:color w:val="000000" w:themeColor="text1"/>
          <w:lang w:val="en-GB"/>
        </w:rPr>
        <w:t xml:space="preserve"> the mobility allowance. First, this reform maintains the fiscal advantage for company cars, by making only a fraction of the allowance taxable and keeping the social security contributions equivalent to those on a company car. The allowance is also </w:t>
      </w:r>
      <w:r w:rsidR="00F0716B" w:rsidRPr="008C2A1A">
        <w:rPr>
          <w:rFonts w:ascii="Garamond" w:hAnsi="Garamond"/>
          <w:color w:val="000000" w:themeColor="text1"/>
          <w:lang w:val="en-GB"/>
        </w:rPr>
        <w:t xml:space="preserve">specifically targeting current users of a company car, </w:t>
      </w:r>
      <w:r w:rsidR="00CB524E" w:rsidRPr="008C2A1A">
        <w:rPr>
          <w:rFonts w:ascii="Garamond" w:hAnsi="Garamond"/>
          <w:color w:val="000000" w:themeColor="text1"/>
          <w:lang w:val="en-GB"/>
        </w:rPr>
        <w:t xml:space="preserve">thus excluding, e.g., the largest part of public sector workers, who are paid at legally fixed monetary salaries. This construction raises some questions about horizontal equity in the public debate. Second, the amount of the allowance is based on the catalogue value of the company car and not on the total costs of the actual use of the company car. This feature will be highlighted in the analysis in section 6 of this chapter. Third, this particular formula to fix the amount of the mobility allowance also risks encouraging forms of strategic behaviour by the employees and employers. </w:t>
      </w:r>
      <w:r w:rsidR="00483423" w:rsidRPr="008C2A1A">
        <w:rPr>
          <w:rFonts w:ascii="Garamond" w:hAnsi="Garamond"/>
          <w:color w:val="000000" w:themeColor="text1"/>
          <w:lang w:val="en-GB"/>
        </w:rPr>
        <w:t>Because the amount is determined</w:t>
      </w:r>
      <w:r w:rsidR="009C2357" w:rsidRPr="008C2A1A">
        <w:rPr>
          <w:rFonts w:ascii="Garamond" w:hAnsi="Garamond"/>
          <w:color w:val="000000" w:themeColor="text1"/>
          <w:lang w:val="en-GB"/>
        </w:rPr>
        <w:t xml:space="preserve"> on the basis of the company car's catalogue value at the time of switching to the mobility allowance, employees (and employers) have an incentive to wait for a career stage that implies a large and expensive company car. Moreover, since the </w:t>
      </w:r>
      <w:r w:rsidR="00BB3E28" w:rsidRPr="008C2A1A">
        <w:rPr>
          <w:rFonts w:ascii="Garamond" w:hAnsi="Garamond"/>
          <w:color w:val="000000" w:themeColor="text1"/>
          <w:lang w:val="en-GB"/>
        </w:rPr>
        <w:t>solidarity contribution paid on the mobility allowance depends on</w:t>
      </w:r>
      <w:r w:rsidR="009C2357" w:rsidRPr="008C2A1A">
        <w:rPr>
          <w:rFonts w:ascii="Garamond" w:hAnsi="Garamond"/>
          <w:color w:val="000000" w:themeColor="text1"/>
          <w:lang w:val="en-GB"/>
        </w:rPr>
        <w:t xml:space="preserve"> the engin</w:t>
      </w:r>
      <w:r w:rsidR="00BB3E28" w:rsidRPr="008C2A1A">
        <w:rPr>
          <w:rFonts w:ascii="Garamond" w:hAnsi="Garamond"/>
          <w:color w:val="000000" w:themeColor="text1"/>
          <w:lang w:val="en-GB"/>
        </w:rPr>
        <w:t xml:space="preserve">e type of the company car handed in, employees and employers have an incentive to invest in a clean car for two years to reduce to social security contributions in the remainder of the career. A </w:t>
      </w:r>
      <w:proofErr w:type="gramStart"/>
      <w:r w:rsidR="00BB3E28" w:rsidRPr="008C2A1A">
        <w:rPr>
          <w:rFonts w:ascii="Garamond" w:hAnsi="Garamond"/>
          <w:color w:val="000000" w:themeColor="text1"/>
          <w:lang w:val="en-GB"/>
        </w:rPr>
        <w:t>two year</w:t>
      </w:r>
      <w:proofErr w:type="gramEnd"/>
      <w:r w:rsidR="00BB3E28" w:rsidRPr="008C2A1A">
        <w:rPr>
          <w:rFonts w:ascii="Garamond" w:hAnsi="Garamond"/>
          <w:color w:val="000000" w:themeColor="text1"/>
          <w:lang w:val="en-GB"/>
        </w:rPr>
        <w:t xml:space="preserve"> reduction in car emissions can thus come at considerable overall cost for social security.</w:t>
      </w:r>
    </w:p>
    <w:p w14:paraId="5F68530F" w14:textId="77777777" w:rsidR="00B94180" w:rsidRPr="008C2A1A" w:rsidRDefault="00B94180" w:rsidP="00C01851">
      <w:pPr>
        <w:jc w:val="both"/>
        <w:rPr>
          <w:rFonts w:ascii="Garamond" w:hAnsi="Garamond"/>
          <w:color w:val="000000" w:themeColor="text1"/>
          <w:lang w:val="en-GB"/>
        </w:rPr>
      </w:pPr>
    </w:p>
    <w:p w14:paraId="4047411D" w14:textId="77777777" w:rsidR="00B94180" w:rsidRPr="008C2A1A" w:rsidRDefault="00B94180" w:rsidP="00C01851">
      <w:pPr>
        <w:pStyle w:val="Kop3"/>
        <w:jc w:val="both"/>
        <w:rPr>
          <w:rFonts w:ascii="Garamond" w:hAnsi="Garamond"/>
          <w:b/>
          <w:color w:val="000000" w:themeColor="text1"/>
          <w:lang w:val="en-GB"/>
        </w:rPr>
      </w:pPr>
      <w:r w:rsidRPr="008C2A1A">
        <w:rPr>
          <w:rFonts w:ascii="Garamond" w:hAnsi="Garamond"/>
          <w:b/>
          <w:color w:val="000000" w:themeColor="text1"/>
          <w:lang w:val="en-GB"/>
        </w:rPr>
        <w:t>4.2 The mobility budget</w:t>
      </w:r>
    </w:p>
    <w:p w14:paraId="0899C723" w14:textId="77777777" w:rsidR="00B94180" w:rsidRPr="008C2A1A" w:rsidRDefault="00B94180" w:rsidP="00C01851">
      <w:pPr>
        <w:jc w:val="both"/>
        <w:rPr>
          <w:rFonts w:ascii="Garamond" w:hAnsi="Garamond"/>
          <w:color w:val="000000" w:themeColor="text1"/>
          <w:lang w:val="en-GB"/>
        </w:rPr>
      </w:pPr>
    </w:p>
    <w:p w14:paraId="0E7935C7" w14:textId="19582E6E" w:rsidR="00C01851" w:rsidRPr="008C2A1A" w:rsidRDefault="00B94180" w:rsidP="00C01851">
      <w:pPr>
        <w:jc w:val="both"/>
        <w:rPr>
          <w:rFonts w:ascii="Garamond" w:hAnsi="Garamond"/>
          <w:color w:val="000000" w:themeColor="text1"/>
          <w:lang w:val="en-GB"/>
        </w:rPr>
      </w:pPr>
      <w:r w:rsidRPr="008C2A1A">
        <w:rPr>
          <w:rFonts w:ascii="Garamond" w:hAnsi="Garamond"/>
          <w:color w:val="000000" w:themeColor="text1"/>
          <w:lang w:val="en-GB"/>
        </w:rPr>
        <w:t>The implementation of a mobility budget was discussed at the Chamber of the Representatives, prior to the adoption of the mobility allowance (or ‘cash for car’).</w:t>
      </w:r>
      <w:r w:rsidR="00C01851" w:rsidRPr="008C2A1A">
        <w:rPr>
          <w:rFonts w:ascii="Garamond" w:hAnsi="Garamond"/>
          <w:color w:val="000000" w:themeColor="text1"/>
          <w:lang w:val="en-GB"/>
        </w:rPr>
        <w:t xml:space="preserve"> This option was actually supported by the Council of State, different organisations (the NLC and the CEC) and by a number of deputies. The objective seems now, a few months after the adoption of the law of March 30, 2018 introducing the mobility allowance, to complete the mobility allowance scheme. Indeed, given that the mobility allowance represents an “all or nothing” solution, because the company car is either returned or retained, the government considers it appropriate to offer a second alternative to employees, under the form of a mobility budget.</w:t>
      </w:r>
      <w:r w:rsidR="00C01851" w:rsidRPr="008C2A1A">
        <w:rPr>
          <w:rFonts w:ascii="ArialMT" w:hAnsi="ArialMT"/>
          <w:color w:val="000000" w:themeColor="text1"/>
          <w:sz w:val="22"/>
          <w:szCs w:val="22"/>
          <w:lang w:val="en-US"/>
        </w:rPr>
        <w:t xml:space="preserve"> </w:t>
      </w:r>
    </w:p>
    <w:p w14:paraId="5B10BF46" w14:textId="77777777" w:rsidR="00C01851" w:rsidRPr="008C2A1A" w:rsidRDefault="00C01851" w:rsidP="00C01851">
      <w:pPr>
        <w:jc w:val="both"/>
        <w:rPr>
          <w:rFonts w:ascii="Garamond" w:hAnsi="Garamond"/>
          <w:color w:val="000000" w:themeColor="text1"/>
          <w:lang w:val="en-GB"/>
        </w:rPr>
      </w:pPr>
    </w:p>
    <w:p w14:paraId="554BB7A1" w14:textId="07DE1CF6" w:rsidR="00C01851" w:rsidRPr="008C2A1A" w:rsidRDefault="00C01851" w:rsidP="00087D26">
      <w:pPr>
        <w:jc w:val="both"/>
        <w:rPr>
          <w:rFonts w:ascii="Garamond" w:hAnsi="Garamond"/>
          <w:color w:val="000000" w:themeColor="text1"/>
          <w:lang w:val="en-GB"/>
        </w:rPr>
      </w:pPr>
      <w:r w:rsidRPr="008C2A1A">
        <w:rPr>
          <w:rFonts w:ascii="Garamond" w:hAnsi="Garamond"/>
          <w:color w:val="000000" w:themeColor="text1"/>
          <w:lang w:val="en-GB"/>
        </w:rPr>
        <w:t xml:space="preserve">The mobility budget </w:t>
      </w:r>
      <w:r w:rsidR="00681043" w:rsidRPr="008C2A1A">
        <w:rPr>
          <w:rFonts w:ascii="Garamond" w:hAnsi="Garamond"/>
          <w:color w:val="000000" w:themeColor="text1"/>
          <w:lang w:val="en-GB"/>
        </w:rPr>
        <w:t>could be used to finance</w:t>
      </w:r>
      <w:r w:rsidR="00AA6472" w:rsidRPr="008C2A1A">
        <w:rPr>
          <w:rFonts w:ascii="Garamond" w:hAnsi="Garamond"/>
          <w:color w:val="000000" w:themeColor="text1"/>
          <w:lang w:val="en-GB"/>
        </w:rPr>
        <w:t xml:space="preserve"> a company car that is respectful of the environment and / or alternative and sustainable modes of transport. The remaining amount is</w:t>
      </w:r>
      <w:r w:rsidR="00087D26" w:rsidRPr="008C2A1A">
        <w:rPr>
          <w:rFonts w:ascii="Garamond" w:hAnsi="Garamond"/>
          <w:color w:val="000000" w:themeColor="text1"/>
          <w:lang w:val="en-GB"/>
        </w:rPr>
        <w:t xml:space="preserve"> given in cash to the worker.</w:t>
      </w:r>
      <w:r w:rsidRPr="008C2A1A">
        <w:rPr>
          <w:rFonts w:ascii="Garamond" w:hAnsi="Garamond"/>
          <w:color w:val="000000" w:themeColor="text1"/>
          <w:lang w:val="en-GB"/>
        </w:rPr>
        <w:t xml:space="preserve"> </w:t>
      </w:r>
      <w:r w:rsidR="00087D26" w:rsidRPr="008C2A1A">
        <w:rPr>
          <w:rFonts w:ascii="Garamond" w:hAnsi="Garamond"/>
          <w:color w:val="000000" w:themeColor="text1"/>
          <w:lang w:val="en-GB"/>
        </w:rPr>
        <w:t>The eligible company cars are either</w:t>
      </w:r>
      <w:r w:rsidRPr="008C2A1A">
        <w:rPr>
          <w:rFonts w:ascii="Garamond" w:hAnsi="Garamond"/>
          <w:color w:val="000000" w:themeColor="text1"/>
          <w:lang w:val="en-GB"/>
        </w:rPr>
        <w:t xml:space="preserve"> electric car</w:t>
      </w:r>
      <w:r w:rsidR="00087D26" w:rsidRPr="008C2A1A">
        <w:rPr>
          <w:rFonts w:ascii="Garamond" w:hAnsi="Garamond"/>
          <w:color w:val="000000" w:themeColor="text1"/>
          <w:lang w:val="en-GB"/>
        </w:rPr>
        <w:t>s</w:t>
      </w:r>
      <w:r w:rsidRPr="008C2A1A">
        <w:rPr>
          <w:rFonts w:ascii="Garamond" w:hAnsi="Garamond"/>
          <w:color w:val="000000" w:themeColor="text1"/>
          <w:lang w:val="en-GB"/>
        </w:rPr>
        <w:t xml:space="preserve"> or car</w:t>
      </w:r>
      <w:r w:rsidR="00087D26" w:rsidRPr="008C2A1A">
        <w:rPr>
          <w:rFonts w:ascii="Garamond" w:hAnsi="Garamond"/>
          <w:color w:val="000000" w:themeColor="text1"/>
          <w:lang w:val="en-GB"/>
        </w:rPr>
        <w:t>s</w:t>
      </w:r>
      <w:r w:rsidRPr="008C2A1A">
        <w:rPr>
          <w:rFonts w:ascii="Garamond" w:hAnsi="Garamond"/>
          <w:color w:val="000000" w:themeColor="text1"/>
          <w:lang w:val="en-GB"/>
        </w:rPr>
        <w:t xml:space="preserve"> emitting maximum 95g of CO</w:t>
      </w:r>
      <w:r w:rsidRPr="008C2A1A">
        <w:rPr>
          <w:rFonts w:ascii="Garamond" w:hAnsi="Garamond"/>
          <w:color w:val="000000" w:themeColor="text1"/>
          <w:vertAlign w:val="subscript"/>
          <w:lang w:val="en-GB"/>
        </w:rPr>
        <w:t>2</w:t>
      </w:r>
      <w:r w:rsidR="00087D26" w:rsidRPr="008C2A1A">
        <w:rPr>
          <w:rFonts w:ascii="Garamond" w:hAnsi="Garamond"/>
          <w:color w:val="000000" w:themeColor="text1"/>
          <w:lang w:val="en-GB"/>
        </w:rPr>
        <w:t xml:space="preserve">, while the sustainable modes of transport </w:t>
      </w:r>
      <w:r w:rsidRPr="008C2A1A">
        <w:rPr>
          <w:rFonts w:ascii="Garamond" w:hAnsi="Garamond"/>
          <w:color w:val="000000" w:themeColor="text1"/>
          <w:lang w:val="en-GB"/>
        </w:rPr>
        <w:t>include “soft” mobility, collective</w:t>
      </w:r>
      <w:r w:rsidR="00087D26" w:rsidRPr="008C2A1A">
        <w:rPr>
          <w:rFonts w:ascii="Garamond" w:hAnsi="Garamond"/>
          <w:color w:val="000000" w:themeColor="text1"/>
          <w:lang w:val="en-GB"/>
        </w:rPr>
        <w:t xml:space="preserve"> transport and shared transport.</w:t>
      </w:r>
      <w:r w:rsidRPr="008C2A1A">
        <w:rPr>
          <w:rFonts w:ascii="Garamond" w:hAnsi="Garamond"/>
          <w:color w:val="000000" w:themeColor="text1"/>
          <w:lang w:val="en-GB"/>
        </w:rPr>
        <w:t xml:space="preserve"> The choice for employees to live close – within a perimeter of maximum 5 </w:t>
      </w:r>
      <w:proofErr w:type="spellStart"/>
      <w:r w:rsidR="005D2694" w:rsidRPr="008C2A1A">
        <w:rPr>
          <w:rFonts w:ascii="Garamond" w:hAnsi="Garamond"/>
          <w:color w:val="000000" w:themeColor="text1"/>
          <w:lang w:val="en-GB"/>
        </w:rPr>
        <w:t>kilometer</w:t>
      </w:r>
      <w:proofErr w:type="spellEnd"/>
      <w:r w:rsidRPr="008C2A1A">
        <w:rPr>
          <w:rFonts w:ascii="Garamond" w:hAnsi="Garamond"/>
          <w:color w:val="000000" w:themeColor="text1"/>
          <w:lang w:val="en-GB"/>
        </w:rPr>
        <w:t xml:space="preserve"> – to their place of work is also encompassed </w:t>
      </w:r>
      <w:r w:rsidR="00087D26" w:rsidRPr="008C2A1A">
        <w:rPr>
          <w:rFonts w:ascii="Garamond" w:hAnsi="Garamond"/>
          <w:color w:val="000000" w:themeColor="text1"/>
          <w:lang w:val="en-GB"/>
        </w:rPr>
        <w:t>in this category.</w:t>
      </w:r>
    </w:p>
    <w:p w14:paraId="54D082D0" w14:textId="77777777" w:rsidR="00C01851" w:rsidRPr="008C2A1A" w:rsidRDefault="00C01851" w:rsidP="00C01851">
      <w:pPr>
        <w:jc w:val="both"/>
        <w:rPr>
          <w:rFonts w:ascii="Garamond" w:hAnsi="Garamond"/>
          <w:color w:val="000000" w:themeColor="text1"/>
          <w:lang w:val="en-GB"/>
        </w:rPr>
      </w:pPr>
    </w:p>
    <w:p w14:paraId="5E3751E8" w14:textId="77777777" w:rsidR="00C01851" w:rsidRPr="008C2A1A" w:rsidRDefault="00C01851" w:rsidP="00C01851">
      <w:pPr>
        <w:jc w:val="both"/>
        <w:rPr>
          <w:rFonts w:ascii="Garamond" w:hAnsi="Garamond"/>
          <w:color w:val="000000" w:themeColor="text1"/>
          <w:lang w:val="en-US"/>
        </w:rPr>
      </w:pPr>
      <w:r w:rsidRPr="008C2A1A">
        <w:rPr>
          <w:rFonts w:ascii="Garamond" w:hAnsi="Garamond"/>
          <w:color w:val="000000" w:themeColor="text1"/>
          <w:lang w:val="en-GB"/>
        </w:rPr>
        <w:t xml:space="preserve">Just like the mobility allowance, the mobility budget is based on the agreement between the employer and the employee, and should be non-discriminatory. The amount of the mobility budget is calculated on the basis of the gross yearly cost for the employer generated by a company </w:t>
      </w:r>
      <w:proofErr w:type="gramStart"/>
      <w:r w:rsidRPr="008C2A1A">
        <w:rPr>
          <w:rFonts w:ascii="Garamond" w:hAnsi="Garamond"/>
          <w:color w:val="000000" w:themeColor="text1"/>
          <w:lang w:val="en-GB"/>
        </w:rPr>
        <w:t>car,  including</w:t>
      </w:r>
      <w:proofErr w:type="gramEnd"/>
      <w:r w:rsidRPr="008C2A1A">
        <w:rPr>
          <w:rFonts w:ascii="Garamond" w:hAnsi="Garamond"/>
          <w:color w:val="000000" w:themeColor="text1"/>
          <w:lang w:val="en-GB"/>
        </w:rPr>
        <w:t xml:space="preserve"> the fiscal and para-fiscal expenses and other expenses such as financing costs, fuel costs and the solidarity contribution. </w:t>
      </w:r>
      <w:r w:rsidRPr="008C2A1A">
        <w:rPr>
          <w:rFonts w:ascii="Garamond" w:hAnsi="Garamond"/>
          <w:color w:val="000000" w:themeColor="text1"/>
          <w:lang w:val="en-US"/>
        </w:rPr>
        <w:t>It is also provided that the mobility budget, contrary to the mobility allowance, evolves with the position of the employee.</w:t>
      </w:r>
    </w:p>
    <w:p w14:paraId="0B4E2426" w14:textId="77777777" w:rsidR="00C01851" w:rsidRPr="008C2A1A" w:rsidRDefault="00C01851" w:rsidP="00C01851">
      <w:pPr>
        <w:jc w:val="both"/>
        <w:rPr>
          <w:rFonts w:ascii="Garamond" w:hAnsi="Garamond"/>
          <w:color w:val="000000" w:themeColor="text1"/>
          <w:lang w:val="en-GB"/>
        </w:rPr>
      </w:pPr>
    </w:p>
    <w:p w14:paraId="49D4B4A2" w14:textId="273DD559" w:rsidR="00755757" w:rsidRPr="008C2A1A" w:rsidRDefault="00C01851" w:rsidP="00C01851">
      <w:pPr>
        <w:jc w:val="both"/>
        <w:rPr>
          <w:rFonts w:ascii="Garamond" w:hAnsi="Garamond"/>
          <w:color w:val="000000" w:themeColor="text1"/>
          <w:lang w:val="en-US"/>
        </w:rPr>
      </w:pPr>
      <w:r w:rsidRPr="008C2A1A">
        <w:rPr>
          <w:rFonts w:ascii="Garamond" w:hAnsi="Garamond"/>
          <w:color w:val="000000" w:themeColor="text1"/>
          <w:lang w:val="en-GB"/>
        </w:rPr>
        <w:lastRenderedPageBreak/>
        <w:t>From a tax perspective, the mobility budget is treated as follows. The first pillar – the “clean” company car – is taxed like a ‘traditional’ company car. This notably implies that a solidarity contribution must be paid by the employer, and that this advantage represents a taxable benefit in kind for the worker. Nevertheless, these financial contributions will generally be lower than those due for traditional company car because these clean vehicles will emit less CO</w:t>
      </w:r>
      <w:r w:rsidRPr="008C2A1A">
        <w:rPr>
          <w:rFonts w:ascii="Garamond" w:hAnsi="Garamond"/>
          <w:color w:val="000000" w:themeColor="text1"/>
          <w:vertAlign w:val="subscript"/>
          <w:lang w:val="en-GB"/>
        </w:rPr>
        <w:t>2</w:t>
      </w:r>
      <w:r w:rsidRPr="008C2A1A">
        <w:rPr>
          <w:rFonts w:ascii="Garamond" w:hAnsi="Garamond"/>
          <w:color w:val="000000" w:themeColor="text1"/>
          <w:lang w:val="en-GB"/>
        </w:rPr>
        <w:t>. The second pillar</w:t>
      </w:r>
      <w:r w:rsidR="00BC2ABA" w:rsidRPr="008C2A1A">
        <w:rPr>
          <w:rFonts w:ascii="Garamond" w:hAnsi="Garamond"/>
          <w:color w:val="000000" w:themeColor="text1"/>
          <w:lang w:val="en-GB"/>
        </w:rPr>
        <w:t xml:space="preserve"> – sustainable mode of transport -</w:t>
      </w:r>
      <w:r w:rsidRPr="008C2A1A">
        <w:rPr>
          <w:rFonts w:ascii="Garamond" w:hAnsi="Garamond"/>
          <w:color w:val="000000" w:themeColor="text1"/>
          <w:lang w:val="en-GB"/>
        </w:rPr>
        <w:t xml:space="preserve"> is totally deductible by the employer and exonerated from taxes for the employee. By contrast, the third pillar</w:t>
      </w:r>
      <w:r w:rsidR="00EA4E1D" w:rsidRPr="008C2A1A">
        <w:rPr>
          <w:rFonts w:ascii="Garamond" w:hAnsi="Garamond"/>
          <w:color w:val="000000" w:themeColor="text1"/>
          <w:lang w:val="en-GB"/>
        </w:rPr>
        <w:t xml:space="preserve"> - cash -</w:t>
      </w:r>
      <w:r w:rsidRPr="008C2A1A">
        <w:rPr>
          <w:rFonts w:ascii="Garamond" w:hAnsi="Garamond"/>
          <w:color w:val="000000" w:themeColor="text1"/>
          <w:lang w:val="en-GB"/>
        </w:rPr>
        <w:t xml:space="preserve"> is subject to an </w:t>
      </w:r>
      <w:r w:rsidRPr="008C2A1A">
        <w:rPr>
          <w:rFonts w:ascii="Garamond" w:hAnsi="Garamond"/>
          <w:i/>
          <w:iCs/>
          <w:color w:val="000000" w:themeColor="text1"/>
          <w:lang w:val="en-GB"/>
        </w:rPr>
        <w:t>ad hoc</w:t>
      </w:r>
      <w:r w:rsidRPr="008C2A1A">
        <w:rPr>
          <w:rFonts w:ascii="Garamond" w:hAnsi="Garamond"/>
          <w:color w:val="000000" w:themeColor="text1"/>
          <w:lang w:val="en-GB"/>
        </w:rPr>
        <w:t xml:space="preserve"> social contribution of 38,07 percent. This amount corresponds to the sum of social contributions due by the employer (25 percent) and those due by the employee (13,07 percent) on the ‘ordinary’ salary. </w:t>
      </w:r>
      <w:r w:rsidRPr="008C2A1A">
        <w:rPr>
          <w:rFonts w:ascii="Garamond" w:hAnsi="Garamond"/>
          <w:color w:val="000000" w:themeColor="text1"/>
          <w:lang w:val="en-US"/>
        </w:rPr>
        <w:t>The underlying purpose is to discourage the use of the third pillar, and favor the second one.</w:t>
      </w:r>
      <w:r w:rsidR="007C56D0" w:rsidRPr="008C2A1A">
        <w:rPr>
          <w:rFonts w:ascii="Garamond" w:hAnsi="Garamond"/>
          <w:color w:val="000000" w:themeColor="text1"/>
          <w:lang w:val="en-US"/>
        </w:rPr>
        <w:t xml:space="preserve"> </w:t>
      </w:r>
    </w:p>
    <w:p w14:paraId="350C8A25" w14:textId="3D1C6C75" w:rsidR="00BB3E28" w:rsidRPr="008C2A1A" w:rsidRDefault="00BB3E28" w:rsidP="00C01851">
      <w:pPr>
        <w:jc w:val="both"/>
        <w:rPr>
          <w:rFonts w:ascii="Garamond" w:hAnsi="Garamond"/>
          <w:color w:val="000000" w:themeColor="text1"/>
          <w:lang w:val="en-US"/>
        </w:rPr>
      </w:pPr>
    </w:p>
    <w:p w14:paraId="06799521" w14:textId="44D4935F" w:rsidR="00BB3E28" w:rsidRPr="008C2A1A" w:rsidRDefault="00894A5F" w:rsidP="00C01851">
      <w:pPr>
        <w:jc w:val="both"/>
        <w:rPr>
          <w:rFonts w:ascii="Garamond" w:hAnsi="Garamond"/>
          <w:color w:val="000000" w:themeColor="text1"/>
          <w:lang w:val="en-US"/>
        </w:rPr>
      </w:pPr>
      <w:r w:rsidRPr="008C2A1A">
        <w:rPr>
          <w:rFonts w:ascii="Garamond" w:hAnsi="Garamond"/>
          <w:color w:val="000000" w:themeColor="text1"/>
          <w:lang w:val="en-US"/>
        </w:rPr>
        <w:t xml:space="preserve">Note that the mobility budget remedies </w:t>
      </w:r>
      <w:r w:rsidR="004815AA" w:rsidRPr="008C2A1A">
        <w:rPr>
          <w:rFonts w:ascii="Garamond" w:hAnsi="Garamond"/>
          <w:color w:val="000000" w:themeColor="text1"/>
          <w:lang w:val="en-US"/>
        </w:rPr>
        <w:t xml:space="preserve">some potential weaknesses of the mobility allowance, by making the </w:t>
      </w:r>
      <w:r w:rsidR="00514A39" w:rsidRPr="008C2A1A">
        <w:rPr>
          <w:rFonts w:ascii="Garamond" w:hAnsi="Garamond"/>
          <w:color w:val="000000" w:themeColor="text1"/>
          <w:lang w:val="en-US"/>
        </w:rPr>
        <w:t xml:space="preserve">total amount a function of the </w:t>
      </w:r>
      <w:r w:rsidR="004815AA" w:rsidRPr="008C2A1A">
        <w:rPr>
          <w:rFonts w:ascii="Garamond" w:hAnsi="Garamond"/>
          <w:color w:val="000000" w:themeColor="text1"/>
          <w:lang w:val="en-US"/>
        </w:rPr>
        <w:t xml:space="preserve">actual costs and by allowing the mobility budget to evolve throughout an employee's career. This reduces the scope for the kind of strategic </w:t>
      </w:r>
      <w:proofErr w:type="spellStart"/>
      <w:r w:rsidR="004815AA" w:rsidRPr="008C2A1A">
        <w:rPr>
          <w:rFonts w:ascii="Garamond" w:hAnsi="Garamond"/>
          <w:color w:val="000000" w:themeColor="text1"/>
          <w:lang w:val="en-US"/>
        </w:rPr>
        <w:t>behaviour</w:t>
      </w:r>
      <w:proofErr w:type="spellEnd"/>
      <w:r w:rsidR="004815AA" w:rsidRPr="008C2A1A">
        <w:rPr>
          <w:rFonts w:ascii="Garamond" w:hAnsi="Garamond"/>
          <w:color w:val="000000" w:themeColor="text1"/>
          <w:lang w:val="en-US"/>
        </w:rPr>
        <w:t xml:space="preserve"> that was discussed above. However, to the extent that </w:t>
      </w:r>
      <w:r w:rsidR="00FC3DAD" w:rsidRPr="008C2A1A">
        <w:rPr>
          <w:rFonts w:ascii="Garamond" w:hAnsi="Garamond"/>
          <w:color w:val="000000" w:themeColor="text1"/>
          <w:lang w:val="en-US"/>
        </w:rPr>
        <w:t>the systems of mobility allowance and mobility budget co-exist and that lawmakers leave it up to citizens to choose between</w:t>
      </w:r>
      <w:r w:rsidR="00514A39" w:rsidRPr="008C2A1A">
        <w:rPr>
          <w:rFonts w:ascii="Garamond" w:hAnsi="Garamond"/>
          <w:color w:val="000000" w:themeColor="text1"/>
          <w:lang w:val="en-US"/>
        </w:rPr>
        <w:t xml:space="preserve"> both systems</w:t>
      </w:r>
      <w:r w:rsidR="00471956" w:rsidRPr="008C2A1A">
        <w:rPr>
          <w:rFonts w:ascii="Garamond" w:hAnsi="Garamond"/>
          <w:color w:val="000000" w:themeColor="text1"/>
          <w:lang w:val="en-US"/>
        </w:rPr>
        <w:t>, the combination of systems will</w:t>
      </w:r>
      <w:r w:rsidR="00F75CC2" w:rsidRPr="008C2A1A">
        <w:rPr>
          <w:rFonts w:ascii="Garamond" w:hAnsi="Garamond"/>
          <w:color w:val="000000" w:themeColor="text1"/>
          <w:lang w:val="en-US"/>
        </w:rPr>
        <w:t xml:space="preserve"> result</w:t>
      </w:r>
      <w:r w:rsidR="008B7C45" w:rsidRPr="008C2A1A">
        <w:rPr>
          <w:rFonts w:ascii="Garamond" w:hAnsi="Garamond"/>
          <w:color w:val="000000" w:themeColor="text1"/>
          <w:lang w:val="en-US"/>
        </w:rPr>
        <w:t xml:space="preserve"> </w:t>
      </w:r>
      <w:r w:rsidR="00F75CC2" w:rsidRPr="008C2A1A">
        <w:rPr>
          <w:rFonts w:ascii="Garamond" w:hAnsi="Garamond"/>
          <w:color w:val="000000" w:themeColor="text1"/>
          <w:lang w:val="en-US"/>
        </w:rPr>
        <w:t xml:space="preserve">in </w:t>
      </w:r>
      <w:r w:rsidR="008B7C45" w:rsidRPr="008C2A1A">
        <w:rPr>
          <w:rFonts w:ascii="Garamond" w:hAnsi="Garamond"/>
          <w:color w:val="000000" w:themeColor="text1"/>
          <w:lang w:val="en-US"/>
        </w:rPr>
        <w:t xml:space="preserve">higher </w:t>
      </w:r>
      <w:r w:rsidR="00F75CC2" w:rsidRPr="008C2A1A">
        <w:rPr>
          <w:rFonts w:ascii="Garamond" w:hAnsi="Garamond"/>
          <w:color w:val="000000" w:themeColor="text1"/>
          <w:lang w:val="en-US"/>
        </w:rPr>
        <w:t xml:space="preserve">fiscal advantages </w:t>
      </w:r>
      <w:r w:rsidR="008B7C45" w:rsidRPr="008C2A1A">
        <w:rPr>
          <w:rFonts w:ascii="Garamond" w:hAnsi="Garamond"/>
          <w:color w:val="000000" w:themeColor="text1"/>
          <w:lang w:val="en-US"/>
        </w:rPr>
        <w:t xml:space="preserve">than if only one </w:t>
      </w:r>
      <w:r w:rsidR="00471956" w:rsidRPr="008C2A1A">
        <w:rPr>
          <w:rFonts w:ascii="Garamond" w:hAnsi="Garamond"/>
          <w:color w:val="000000" w:themeColor="text1"/>
          <w:lang w:val="en-US"/>
        </w:rPr>
        <w:t xml:space="preserve">option </w:t>
      </w:r>
      <w:r w:rsidR="006A1D6F" w:rsidRPr="008C2A1A">
        <w:rPr>
          <w:rFonts w:ascii="Garamond" w:hAnsi="Garamond"/>
          <w:color w:val="000000" w:themeColor="text1"/>
          <w:lang w:val="en-US"/>
        </w:rPr>
        <w:t>was available</w:t>
      </w:r>
      <w:r w:rsidR="008B7C45" w:rsidRPr="008C2A1A">
        <w:rPr>
          <w:rFonts w:ascii="Garamond" w:hAnsi="Garamond"/>
          <w:color w:val="000000" w:themeColor="text1"/>
          <w:lang w:val="en-US"/>
        </w:rPr>
        <w:t xml:space="preserve">. This is because, if given the choice, mainly employees that make very little use of their company car stand to gain substantially from a mobility allowance. More intensive company car users benefit more from the mobility budget or from keeping their company car. Section 6 </w:t>
      </w:r>
      <w:r w:rsidR="00693D69" w:rsidRPr="008C2A1A">
        <w:rPr>
          <w:rFonts w:ascii="Garamond" w:hAnsi="Garamond"/>
          <w:color w:val="000000" w:themeColor="text1"/>
          <w:lang w:val="en-US"/>
        </w:rPr>
        <w:t>illustrates how CoCaTax can be use</w:t>
      </w:r>
      <w:r w:rsidR="008B7C45" w:rsidRPr="008C2A1A">
        <w:rPr>
          <w:rFonts w:ascii="Garamond" w:hAnsi="Garamond"/>
          <w:color w:val="000000" w:themeColor="text1"/>
          <w:lang w:val="en-US"/>
        </w:rPr>
        <w:t>d to stu</w:t>
      </w:r>
      <w:r w:rsidR="00693D69" w:rsidRPr="008C2A1A">
        <w:rPr>
          <w:rFonts w:ascii="Garamond" w:hAnsi="Garamond"/>
          <w:color w:val="000000" w:themeColor="text1"/>
          <w:lang w:val="en-US"/>
        </w:rPr>
        <w:t>dy these reforms</w:t>
      </w:r>
      <w:r w:rsidR="008B7C45" w:rsidRPr="008C2A1A">
        <w:rPr>
          <w:rFonts w:ascii="Garamond" w:hAnsi="Garamond"/>
          <w:color w:val="000000" w:themeColor="text1"/>
          <w:lang w:val="en-US"/>
        </w:rPr>
        <w:t>.</w:t>
      </w:r>
    </w:p>
    <w:p w14:paraId="09F64D2A" w14:textId="77777777" w:rsidR="00CB6F21" w:rsidRPr="008C2A1A" w:rsidRDefault="00CB6F21" w:rsidP="00C01851">
      <w:pPr>
        <w:jc w:val="both"/>
        <w:rPr>
          <w:rFonts w:ascii="Garamond" w:hAnsi="Garamond"/>
          <w:color w:val="000000" w:themeColor="text1"/>
          <w:lang w:val="en-US"/>
        </w:rPr>
      </w:pPr>
    </w:p>
    <w:p w14:paraId="00227CFA" w14:textId="77777777" w:rsidR="00B9727A" w:rsidRPr="008C2A1A" w:rsidRDefault="0028403B" w:rsidP="00CB6F21">
      <w:pPr>
        <w:pStyle w:val="Kop2"/>
        <w:rPr>
          <w:color w:val="000000" w:themeColor="text1"/>
          <w:lang w:val="en-US"/>
        </w:rPr>
      </w:pPr>
      <w:r w:rsidRPr="008C2A1A">
        <w:rPr>
          <w:color w:val="000000" w:themeColor="text1"/>
          <w:lang w:val="en-US"/>
        </w:rPr>
        <w:t xml:space="preserve">5. </w:t>
      </w:r>
      <w:r w:rsidR="00B9727A" w:rsidRPr="008C2A1A">
        <w:rPr>
          <w:color w:val="000000" w:themeColor="text1"/>
          <w:lang w:val="en-US"/>
        </w:rPr>
        <w:t>CoCaTax: A micro-simulation model for Company Car Taxation</w:t>
      </w:r>
    </w:p>
    <w:p w14:paraId="4621394B" w14:textId="4790D8A9" w:rsidR="00B9727A" w:rsidRPr="008C2A1A" w:rsidRDefault="004C3D43" w:rsidP="00FE760F">
      <w:pPr>
        <w:pStyle w:val="Normaalweb"/>
        <w:contextualSpacing/>
        <w:jc w:val="both"/>
        <w:rPr>
          <w:rFonts w:ascii="Garamond" w:hAnsi="Garamond"/>
          <w:color w:val="000000" w:themeColor="text1"/>
          <w:lang w:val="en-US"/>
        </w:rPr>
      </w:pPr>
      <w:r w:rsidRPr="008C2A1A">
        <w:rPr>
          <w:rFonts w:ascii="Garamond" w:hAnsi="Garamond"/>
          <w:color w:val="000000" w:themeColor="text1"/>
          <w:lang w:val="en-US"/>
        </w:rPr>
        <w:t>The previous sections of this chapter have illustrated that the fiscal regime with respect to company cars is relatively complicated, because it is affected by several fiscal instruments. These instruments are mainly the personal income tax, the corporate income tax, the VAT and excise taxes, social sec</w:t>
      </w:r>
      <w:r w:rsidR="00955ED9" w:rsidRPr="008C2A1A">
        <w:rPr>
          <w:rFonts w:ascii="Garamond" w:hAnsi="Garamond"/>
          <w:color w:val="000000" w:themeColor="text1"/>
          <w:lang w:val="en-US"/>
        </w:rPr>
        <w:t xml:space="preserve">urity contributions. </w:t>
      </w:r>
      <w:r w:rsidR="00054CCB" w:rsidRPr="008C2A1A">
        <w:rPr>
          <w:rFonts w:ascii="Garamond" w:hAnsi="Garamond"/>
          <w:color w:val="000000" w:themeColor="text1"/>
          <w:lang w:val="en-US"/>
        </w:rPr>
        <w:t>R</w:t>
      </w:r>
      <w:r w:rsidRPr="008C2A1A">
        <w:rPr>
          <w:rFonts w:ascii="Garamond" w:hAnsi="Garamond"/>
          <w:color w:val="000000" w:themeColor="text1"/>
          <w:lang w:val="en-US"/>
        </w:rPr>
        <w:t xml:space="preserve">eforms of the fiscal treatment of company cars </w:t>
      </w:r>
      <w:r w:rsidR="00054CCB" w:rsidRPr="008C2A1A">
        <w:rPr>
          <w:rFonts w:ascii="Garamond" w:hAnsi="Garamond"/>
          <w:color w:val="000000" w:themeColor="text1"/>
          <w:lang w:val="en-US"/>
        </w:rPr>
        <w:t>may either target the tax base of these instruments or their rate structure. W</w:t>
      </w:r>
      <w:r w:rsidRPr="008C2A1A">
        <w:rPr>
          <w:rFonts w:ascii="Garamond" w:hAnsi="Garamond"/>
          <w:color w:val="000000" w:themeColor="text1"/>
          <w:lang w:val="en-US"/>
        </w:rPr>
        <w:t>e have construct</w:t>
      </w:r>
      <w:r w:rsidR="00054CCB" w:rsidRPr="008C2A1A">
        <w:rPr>
          <w:rFonts w:ascii="Garamond" w:hAnsi="Garamond"/>
          <w:color w:val="000000" w:themeColor="text1"/>
          <w:lang w:val="en-US"/>
        </w:rPr>
        <w:t>ed</w:t>
      </w:r>
      <w:r w:rsidRPr="008C2A1A">
        <w:rPr>
          <w:rFonts w:ascii="Garamond" w:hAnsi="Garamond"/>
          <w:color w:val="000000" w:themeColor="text1"/>
          <w:lang w:val="en-US"/>
        </w:rPr>
        <w:t xml:space="preserve"> an online interactive simulation tool, which we baptized </w:t>
      </w:r>
      <w:r w:rsidRPr="008C2A1A">
        <w:rPr>
          <w:rFonts w:ascii="Garamond" w:hAnsi="Garamond"/>
          <w:b/>
          <w:color w:val="000000" w:themeColor="text1"/>
          <w:lang w:val="en-US"/>
        </w:rPr>
        <w:t>CoCaTax</w:t>
      </w:r>
      <w:r w:rsidR="00054CCB" w:rsidRPr="008C2A1A">
        <w:rPr>
          <w:rFonts w:ascii="Garamond" w:hAnsi="Garamond"/>
          <w:color w:val="000000" w:themeColor="text1"/>
          <w:lang w:val="en-US"/>
        </w:rPr>
        <w:t xml:space="preserve"> (for Company Car Taxation)</w:t>
      </w:r>
      <w:r w:rsidR="00894A5F" w:rsidRPr="008C2A1A">
        <w:rPr>
          <w:rFonts w:ascii="Garamond" w:hAnsi="Garamond"/>
          <w:color w:val="000000" w:themeColor="text1"/>
          <w:lang w:val="en-US"/>
        </w:rPr>
        <w:t xml:space="preserve"> and which is available on www.CoCaTax.be,</w:t>
      </w:r>
      <w:r w:rsidR="00054CCB" w:rsidRPr="008C2A1A">
        <w:rPr>
          <w:rFonts w:ascii="Garamond" w:hAnsi="Garamond"/>
          <w:color w:val="000000" w:themeColor="text1"/>
          <w:lang w:val="en-US"/>
        </w:rPr>
        <w:t xml:space="preserve"> to analyze such reforms.</w:t>
      </w:r>
      <w:r w:rsidR="00AB550B" w:rsidRPr="008C2A1A">
        <w:rPr>
          <w:rStyle w:val="Voetnootmarkering"/>
          <w:rFonts w:ascii="Garamond" w:hAnsi="Garamond"/>
          <w:color w:val="000000" w:themeColor="text1"/>
          <w:lang w:val="en-US"/>
        </w:rPr>
        <w:footnoteReference w:id="17"/>
      </w:r>
      <w:r w:rsidRPr="008C2A1A">
        <w:rPr>
          <w:rFonts w:ascii="Garamond" w:hAnsi="Garamond"/>
          <w:color w:val="000000" w:themeColor="text1"/>
          <w:lang w:val="en-US"/>
        </w:rPr>
        <w:t xml:space="preserve"> This </w:t>
      </w:r>
      <w:r w:rsidR="00572CA7" w:rsidRPr="008C2A1A">
        <w:rPr>
          <w:rFonts w:ascii="Garamond" w:hAnsi="Garamond"/>
          <w:color w:val="000000" w:themeColor="text1"/>
          <w:lang w:val="en-US"/>
        </w:rPr>
        <w:t>simulation tool</w:t>
      </w:r>
      <w:r w:rsidRPr="008C2A1A">
        <w:rPr>
          <w:rFonts w:ascii="Garamond" w:hAnsi="Garamond"/>
          <w:color w:val="000000" w:themeColor="text1"/>
          <w:lang w:val="en-US"/>
        </w:rPr>
        <w:t xml:space="preserve"> allows the </w:t>
      </w:r>
      <w:r w:rsidR="00572CA7" w:rsidRPr="008C2A1A">
        <w:rPr>
          <w:rFonts w:ascii="Garamond" w:hAnsi="Garamond"/>
          <w:color w:val="000000" w:themeColor="text1"/>
          <w:lang w:val="en-US"/>
        </w:rPr>
        <w:t>users</w:t>
      </w:r>
      <w:r w:rsidRPr="008C2A1A">
        <w:rPr>
          <w:rFonts w:ascii="Garamond" w:hAnsi="Garamond"/>
          <w:color w:val="000000" w:themeColor="text1"/>
          <w:lang w:val="en-US"/>
        </w:rPr>
        <w:t xml:space="preserve"> to specify themselves </w:t>
      </w:r>
      <w:r w:rsidR="00572CA7" w:rsidRPr="008C2A1A">
        <w:rPr>
          <w:rFonts w:ascii="Garamond" w:hAnsi="Garamond"/>
          <w:color w:val="000000" w:themeColor="text1"/>
          <w:lang w:val="en-US"/>
        </w:rPr>
        <w:t xml:space="preserve">the reform they want to analyze, </w:t>
      </w:r>
      <w:r w:rsidRPr="008C2A1A">
        <w:rPr>
          <w:rFonts w:ascii="Garamond" w:hAnsi="Garamond"/>
          <w:color w:val="000000" w:themeColor="text1"/>
          <w:lang w:val="en-US"/>
        </w:rPr>
        <w:t xml:space="preserve">by allowing them to change the parameters concerning the treatment of company cars in the different fiscal instruments. </w:t>
      </w:r>
      <w:r w:rsidR="005D53AB" w:rsidRPr="008C2A1A">
        <w:rPr>
          <w:rFonts w:ascii="Garamond" w:hAnsi="Garamond"/>
          <w:color w:val="000000" w:themeColor="text1"/>
          <w:lang w:val="en-US"/>
        </w:rPr>
        <w:t>Co</w:t>
      </w:r>
      <w:r w:rsidR="00894A5F" w:rsidRPr="008C2A1A">
        <w:rPr>
          <w:rFonts w:ascii="Garamond" w:hAnsi="Garamond"/>
          <w:color w:val="000000" w:themeColor="text1"/>
          <w:lang w:val="en-US"/>
        </w:rPr>
        <w:t>C</w:t>
      </w:r>
      <w:r w:rsidR="005D53AB" w:rsidRPr="008C2A1A">
        <w:rPr>
          <w:rFonts w:ascii="Garamond" w:hAnsi="Garamond"/>
          <w:color w:val="000000" w:themeColor="text1"/>
          <w:lang w:val="en-US"/>
        </w:rPr>
        <w:t>a</w:t>
      </w:r>
      <w:r w:rsidR="00894A5F" w:rsidRPr="008C2A1A">
        <w:rPr>
          <w:rFonts w:ascii="Garamond" w:hAnsi="Garamond"/>
          <w:color w:val="000000" w:themeColor="text1"/>
          <w:lang w:val="en-US"/>
        </w:rPr>
        <w:t>T</w:t>
      </w:r>
      <w:r w:rsidR="005D53AB" w:rsidRPr="008C2A1A">
        <w:rPr>
          <w:rFonts w:ascii="Garamond" w:hAnsi="Garamond"/>
          <w:color w:val="000000" w:themeColor="text1"/>
          <w:lang w:val="en-US"/>
        </w:rPr>
        <w:t>ax also include</w:t>
      </w:r>
      <w:r w:rsidR="00894A5F" w:rsidRPr="008C2A1A">
        <w:rPr>
          <w:rFonts w:ascii="Garamond" w:hAnsi="Garamond"/>
          <w:color w:val="000000" w:themeColor="text1"/>
          <w:lang w:val="en-US"/>
        </w:rPr>
        <w:t>s</w:t>
      </w:r>
      <w:r w:rsidR="005D53AB" w:rsidRPr="008C2A1A">
        <w:rPr>
          <w:rFonts w:ascii="Garamond" w:hAnsi="Garamond"/>
          <w:color w:val="000000" w:themeColor="text1"/>
          <w:lang w:val="en-US"/>
        </w:rPr>
        <w:t xml:space="preserve"> the 'Cash for Cars' and 'Mobility budget' scenarios, as well as a number of parameters indicating how the user expects the individuals in the dataset to react to these reforms. </w:t>
      </w:r>
      <w:r w:rsidR="00076372" w:rsidRPr="008C2A1A">
        <w:rPr>
          <w:rFonts w:ascii="Garamond" w:hAnsi="Garamond"/>
          <w:color w:val="000000" w:themeColor="text1"/>
          <w:lang w:val="en-US"/>
        </w:rPr>
        <w:t xml:space="preserve">For each </w:t>
      </w:r>
      <w:r w:rsidR="00894A5F" w:rsidRPr="008C2A1A">
        <w:rPr>
          <w:rFonts w:ascii="Garamond" w:hAnsi="Garamond"/>
          <w:color w:val="000000" w:themeColor="text1"/>
          <w:lang w:val="en-US"/>
        </w:rPr>
        <w:t xml:space="preserve">simulated </w:t>
      </w:r>
      <w:r w:rsidR="00076372" w:rsidRPr="008C2A1A">
        <w:rPr>
          <w:rFonts w:ascii="Garamond" w:hAnsi="Garamond"/>
          <w:color w:val="000000" w:themeColor="text1"/>
          <w:lang w:val="en-US"/>
        </w:rPr>
        <w:t>scenario</w:t>
      </w:r>
      <w:r w:rsidR="000E6005" w:rsidRPr="008C2A1A">
        <w:rPr>
          <w:rFonts w:ascii="Garamond" w:hAnsi="Garamond"/>
          <w:color w:val="000000" w:themeColor="text1"/>
          <w:lang w:val="en-US"/>
        </w:rPr>
        <w:t>,</w:t>
      </w:r>
      <w:r w:rsidRPr="008C2A1A">
        <w:rPr>
          <w:rFonts w:ascii="Garamond" w:hAnsi="Garamond"/>
          <w:color w:val="000000" w:themeColor="text1"/>
          <w:lang w:val="en-US"/>
        </w:rPr>
        <w:t xml:space="preserve"> CoCaTax </w:t>
      </w:r>
      <w:r w:rsidR="000E6005" w:rsidRPr="008C2A1A">
        <w:rPr>
          <w:rFonts w:ascii="Garamond" w:hAnsi="Garamond"/>
          <w:color w:val="000000" w:themeColor="text1"/>
          <w:lang w:val="en-US"/>
        </w:rPr>
        <w:t>present</w:t>
      </w:r>
      <w:r w:rsidR="00076372" w:rsidRPr="008C2A1A">
        <w:rPr>
          <w:rFonts w:ascii="Garamond" w:hAnsi="Garamond"/>
          <w:color w:val="000000" w:themeColor="text1"/>
          <w:lang w:val="en-US"/>
        </w:rPr>
        <w:t>s</w:t>
      </w:r>
      <w:r w:rsidR="000E6005" w:rsidRPr="008C2A1A">
        <w:rPr>
          <w:rFonts w:ascii="Garamond" w:hAnsi="Garamond"/>
          <w:color w:val="000000" w:themeColor="text1"/>
          <w:lang w:val="en-US"/>
        </w:rPr>
        <w:t xml:space="preserve"> a</w:t>
      </w:r>
      <w:r w:rsidRPr="008C2A1A">
        <w:rPr>
          <w:rFonts w:ascii="Garamond" w:hAnsi="Garamond"/>
          <w:color w:val="000000" w:themeColor="text1"/>
          <w:lang w:val="en-US"/>
        </w:rPr>
        <w:t xml:space="preserve"> detailed </w:t>
      </w:r>
      <w:r w:rsidR="00076372" w:rsidRPr="008C2A1A">
        <w:rPr>
          <w:rFonts w:ascii="Garamond" w:hAnsi="Garamond"/>
          <w:color w:val="000000" w:themeColor="text1"/>
          <w:lang w:val="en-US"/>
        </w:rPr>
        <w:t xml:space="preserve">graphical </w:t>
      </w:r>
      <w:r w:rsidRPr="008C2A1A">
        <w:rPr>
          <w:rFonts w:ascii="Garamond" w:hAnsi="Garamond"/>
          <w:color w:val="000000" w:themeColor="text1"/>
          <w:lang w:val="en-US"/>
        </w:rPr>
        <w:t>a</w:t>
      </w:r>
      <w:r w:rsidR="00076372" w:rsidRPr="008C2A1A">
        <w:rPr>
          <w:rFonts w:ascii="Garamond" w:hAnsi="Garamond"/>
          <w:color w:val="000000" w:themeColor="text1"/>
          <w:lang w:val="en-US"/>
        </w:rPr>
        <w:t>nalysis of the consequences of the</w:t>
      </w:r>
      <w:r w:rsidRPr="008C2A1A">
        <w:rPr>
          <w:rFonts w:ascii="Garamond" w:hAnsi="Garamond"/>
          <w:color w:val="000000" w:themeColor="text1"/>
          <w:lang w:val="en-US"/>
        </w:rPr>
        <w:t xml:space="preserve"> </w:t>
      </w:r>
      <w:r w:rsidR="00076372" w:rsidRPr="008C2A1A">
        <w:rPr>
          <w:rFonts w:ascii="Garamond" w:hAnsi="Garamond"/>
          <w:color w:val="000000" w:themeColor="text1"/>
          <w:lang w:val="en-US"/>
        </w:rPr>
        <w:t>reform on the revenue of the different levels of the state (for each instrument), on the disposable income of individuals (per region, sectors, age, etc.), on measures of poverty and inequalities, on mobility, on labor cost</w:t>
      </w:r>
      <w:r w:rsidR="009C23AC" w:rsidRPr="008C2A1A">
        <w:rPr>
          <w:rFonts w:ascii="Garamond" w:hAnsi="Garamond"/>
          <w:color w:val="000000" w:themeColor="text1"/>
          <w:lang w:val="en-US"/>
        </w:rPr>
        <w:t>s</w:t>
      </w:r>
      <w:r w:rsidR="00076372" w:rsidRPr="008C2A1A">
        <w:rPr>
          <w:rFonts w:ascii="Garamond" w:hAnsi="Garamond"/>
          <w:color w:val="000000" w:themeColor="text1"/>
          <w:lang w:val="en-US"/>
        </w:rPr>
        <w:t>, etc.</w:t>
      </w:r>
      <w:r w:rsidRPr="008C2A1A">
        <w:rPr>
          <w:rFonts w:ascii="Garamond" w:hAnsi="Garamond"/>
          <w:color w:val="000000" w:themeColor="text1"/>
          <w:lang w:val="en-US"/>
        </w:rPr>
        <w:t xml:space="preserve"> </w:t>
      </w:r>
    </w:p>
    <w:p w14:paraId="039FCE1D" w14:textId="77777777" w:rsidR="004C3D43" w:rsidRPr="008C2A1A" w:rsidRDefault="004C3D43" w:rsidP="00FE760F">
      <w:pPr>
        <w:pStyle w:val="Normaalweb"/>
        <w:contextualSpacing/>
        <w:jc w:val="both"/>
        <w:rPr>
          <w:rFonts w:ascii="Garamond" w:hAnsi="Garamond"/>
          <w:color w:val="000000" w:themeColor="text1"/>
          <w:lang w:val="en-US"/>
        </w:rPr>
      </w:pPr>
    </w:p>
    <w:p w14:paraId="24B2E48F" w14:textId="33107B27" w:rsidR="004C3D43" w:rsidRPr="008C2A1A" w:rsidRDefault="002378CF" w:rsidP="00FE760F">
      <w:pPr>
        <w:pStyle w:val="Normaalweb"/>
        <w:contextualSpacing/>
        <w:jc w:val="both"/>
        <w:rPr>
          <w:rFonts w:ascii="Garamond" w:hAnsi="Garamond"/>
          <w:color w:val="000000" w:themeColor="text1"/>
          <w:lang w:val="en-US"/>
        </w:rPr>
      </w:pPr>
      <w:r w:rsidRPr="008C2A1A">
        <w:rPr>
          <w:rFonts w:ascii="Garamond" w:hAnsi="Garamond"/>
          <w:color w:val="000000" w:themeColor="text1"/>
          <w:lang w:val="en-US"/>
        </w:rPr>
        <w:t>CoCaTax is a</w:t>
      </w:r>
      <w:r w:rsidR="004C3D43" w:rsidRPr="008C2A1A">
        <w:rPr>
          <w:rFonts w:ascii="Garamond" w:hAnsi="Garamond"/>
          <w:color w:val="000000" w:themeColor="text1"/>
          <w:lang w:val="en-US"/>
        </w:rPr>
        <w:t xml:space="preserve"> </w:t>
      </w:r>
      <w:r w:rsidR="004C3D43" w:rsidRPr="008C2A1A">
        <w:rPr>
          <w:rFonts w:ascii="Garamond" w:hAnsi="Garamond"/>
          <w:b/>
          <w:color w:val="000000" w:themeColor="text1"/>
          <w:lang w:val="en-US"/>
        </w:rPr>
        <w:t>micro-simulation model</w:t>
      </w:r>
      <w:r w:rsidR="004C3D43" w:rsidRPr="008C2A1A">
        <w:rPr>
          <w:rFonts w:ascii="Garamond" w:hAnsi="Garamond"/>
          <w:color w:val="000000" w:themeColor="text1"/>
          <w:lang w:val="en-US"/>
        </w:rPr>
        <w:t xml:space="preserve"> </w:t>
      </w:r>
      <w:r w:rsidR="00F51E9A" w:rsidRPr="008C2A1A">
        <w:rPr>
          <w:rFonts w:ascii="Garamond" w:hAnsi="Garamond"/>
          <w:color w:val="000000" w:themeColor="text1"/>
          <w:lang w:val="en-US"/>
        </w:rPr>
        <w:t>of the fis</w:t>
      </w:r>
      <w:r w:rsidR="00B02996" w:rsidRPr="008C2A1A">
        <w:rPr>
          <w:rFonts w:ascii="Garamond" w:hAnsi="Garamond"/>
          <w:color w:val="000000" w:themeColor="text1"/>
          <w:lang w:val="en-US"/>
        </w:rPr>
        <w:t>cal instruments regarding</w:t>
      </w:r>
      <w:r w:rsidR="004C3D43" w:rsidRPr="008C2A1A">
        <w:rPr>
          <w:rFonts w:ascii="Garamond" w:hAnsi="Garamond"/>
          <w:color w:val="000000" w:themeColor="text1"/>
          <w:lang w:val="en-US"/>
        </w:rPr>
        <w:t xml:space="preserve"> company cars, i.e., a model that simulates the fiscal system on micro-data. Figure 1 illustrates the construction and functioning of a micro-simulation model such as CoCaTax. </w:t>
      </w:r>
      <w:r w:rsidR="003308A7" w:rsidRPr="008C2A1A">
        <w:rPr>
          <w:rFonts w:ascii="Garamond" w:hAnsi="Garamond"/>
          <w:color w:val="000000" w:themeColor="text1"/>
          <w:lang w:val="en-US"/>
        </w:rPr>
        <w:t xml:space="preserve"> The different steps in the construction and functioning of a micro-</w:t>
      </w:r>
      <w:r w:rsidR="00834602" w:rsidRPr="008C2A1A">
        <w:rPr>
          <w:rFonts w:ascii="Garamond" w:hAnsi="Garamond"/>
          <w:color w:val="000000" w:themeColor="text1"/>
          <w:lang w:val="en-US"/>
        </w:rPr>
        <w:t>simulation model</w:t>
      </w:r>
      <w:r w:rsidR="003308A7" w:rsidRPr="008C2A1A">
        <w:rPr>
          <w:rFonts w:ascii="Garamond" w:hAnsi="Garamond"/>
          <w:color w:val="000000" w:themeColor="text1"/>
          <w:lang w:val="en-US"/>
        </w:rPr>
        <w:t xml:space="preserve"> are indicated by the numbers in the heptagons next to the flow arrow. </w:t>
      </w:r>
    </w:p>
    <w:p w14:paraId="7DF71A5C" w14:textId="77777777" w:rsidR="003308A7" w:rsidRPr="008C2A1A" w:rsidRDefault="003308A7" w:rsidP="00FE760F">
      <w:pPr>
        <w:pStyle w:val="Normaalweb"/>
        <w:contextualSpacing/>
        <w:jc w:val="both"/>
        <w:rPr>
          <w:rFonts w:ascii="Garamond" w:hAnsi="Garamond"/>
          <w:color w:val="000000" w:themeColor="text1"/>
          <w:lang w:val="en-US"/>
        </w:rPr>
      </w:pPr>
    </w:p>
    <w:p w14:paraId="0BBB4884" w14:textId="77777777" w:rsidR="003308A7" w:rsidRPr="008C2A1A" w:rsidRDefault="003308A7" w:rsidP="00FE760F">
      <w:pPr>
        <w:pStyle w:val="Normaalweb"/>
        <w:keepNext/>
        <w:contextualSpacing/>
        <w:jc w:val="both"/>
        <w:rPr>
          <w:color w:val="000000" w:themeColor="text1"/>
        </w:rPr>
      </w:pPr>
      <w:r w:rsidRPr="008C2A1A">
        <w:rPr>
          <w:noProof/>
          <w:color w:val="000000" w:themeColor="text1"/>
          <w:lang w:val="fr-FR" w:eastAsia="fr-FR"/>
        </w:rPr>
        <w:lastRenderedPageBreak/>
        <w:drawing>
          <wp:inline distT="0" distB="0" distL="0" distR="0" wp14:anchorId="0EC72141" wp14:editId="085369F9">
            <wp:extent cx="4786334" cy="2968625"/>
            <wp:effectExtent l="0" t="0" r="1905" b="3175"/>
            <wp:docPr id="3" name="Afbeelding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microsim.png"/>
                    <pic:cNvPicPr/>
                  </pic:nvPicPr>
                  <pic:blipFill>
                    <a:blip r:embed="rId9">
                      <a:extLst>
                        <a:ext uri="{28A0092B-C50C-407E-A947-70E740481C1C}">
                          <a14:useLocalDpi xmlns:a14="http://schemas.microsoft.com/office/drawing/2010/main" val="0"/>
                        </a:ext>
                      </a:extLst>
                    </a:blip>
                    <a:stretch>
                      <a:fillRect/>
                    </a:stretch>
                  </pic:blipFill>
                  <pic:spPr>
                    <a:xfrm>
                      <a:off x="0" y="0"/>
                      <a:ext cx="4788852" cy="2970187"/>
                    </a:xfrm>
                    <a:prstGeom prst="rect">
                      <a:avLst/>
                    </a:prstGeom>
                  </pic:spPr>
                </pic:pic>
              </a:graphicData>
            </a:graphic>
          </wp:inline>
        </w:drawing>
      </w:r>
    </w:p>
    <w:p w14:paraId="2AD9A4A1" w14:textId="606639F2" w:rsidR="003308A7" w:rsidRPr="008C2A1A" w:rsidRDefault="003308A7" w:rsidP="00FE760F">
      <w:pPr>
        <w:pStyle w:val="Bijschrift"/>
        <w:jc w:val="both"/>
        <w:rPr>
          <w:rFonts w:ascii="Garamond" w:hAnsi="Garamond"/>
          <w:color w:val="000000" w:themeColor="text1"/>
          <w:lang w:val="en-US"/>
        </w:rPr>
      </w:pPr>
      <w:r w:rsidRPr="008C2A1A">
        <w:rPr>
          <w:color w:val="000000" w:themeColor="text1"/>
          <w:lang w:val="en-US"/>
        </w:rPr>
        <w:t xml:space="preserve">Figure </w:t>
      </w:r>
      <w:r w:rsidRPr="008C2A1A">
        <w:rPr>
          <w:color w:val="000000" w:themeColor="text1"/>
        </w:rPr>
        <w:fldChar w:fldCharType="begin"/>
      </w:r>
      <w:r w:rsidRPr="008C2A1A">
        <w:rPr>
          <w:color w:val="000000" w:themeColor="text1"/>
          <w:lang w:val="en-US"/>
        </w:rPr>
        <w:instrText xml:space="preserve"> SEQ Figure \* ARABIC </w:instrText>
      </w:r>
      <w:r w:rsidRPr="008C2A1A">
        <w:rPr>
          <w:color w:val="000000" w:themeColor="text1"/>
        </w:rPr>
        <w:fldChar w:fldCharType="separate"/>
      </w:r>
      <w:r w:rsidR="002D6EB7">
        <w:rPr>
          <w:noProof/>
          <w:color w:val="000000" w:themeColor="text1"/>
          <w:lang w:val="en-US"/>
        </w:rPr>
        <w:t>1</w:t>
      </w:r>
      <w:r w:rsidRPr="008C2A1A">
        <w:rPr>
          <w:color w:val="000000" w:themeColor="text1"/>
        </w:rPr>
        <w:fldChar w:fldCharType="end"/>
      </w:r>
      <w:r w:rsidRPr="008C2A1A">
        <w:rPr>
          <w:color w:val="000000" w:themeColor="text1"/>
          <w:lang w:val="en-US"/>
        </w:rPr>
        <w:t>: Schematic summary of a micro-simulation model</w:t>
      </w:r>
    </w:p>
    <w:p w14:paraId="7A8D828F" w14:textId="12AE9A54" w:rsidR="003308A7" w:rsidRPr="008C2A1A" w:rsidRDefault="00834602" w:rsidP="001362D6">
      <w:pPr>
        <w:pStyle w:val="Normaalweb"/>
        <w:contextualSpacing/>
        <w:jc w:val="both"/>
        <w:rPr>
          <w:rFonts w:ascii="Garamond" w:hAnsi="Garamond"/>
          <w:color w:val="000000" w:themeColor="text1"/>
          <w:lang w:val="en-US"/>
        </w:rPr>
      </w:pPr>
      <w:r w:rsidRPr="008C2A1A">
        <w:rPr>
          <w:rFonts w:ascii="Garamond" w:hAnsi="Garamond"/>
          <w:color w:val="000000" w:themeColor="text1"/>
          <w:lang w:val="en-US"/>
        </w:rPr>
        <w:t>The first step (arrow 1) in</w:t>
      </w:r>
      <w:r w:rsidR="003308A7" w:rsidRPr="008C2A1A">
        <w:rPr>
          <w:rFonts w:ascii="Garamond" w:hAnsi="Garamond"/>
          <w:color w:val="000000" w:themeColor="text1"/>
          <w:lang w:val="en-US"/>
        </w:rPr>
        <w:t xml:space="preserve"> the construction of a micro-simulation model consists of building a suitable </w:t>
      </w:r>
      <w:r w:rsidR="003308A7" w:rsidRPr="008C2A1A">
        <w:rPr>
          <w:rFonts w:ascii="Garamond" w:hAnsi="Garamond"/>
          <w:b/>
          <w:color w:val="000000" w:themeColor="text1"/>
          <w:lang w:val="en-US"/>
        </w:rPr>
        <w:t>micro-dataset</w:t>
      </w:r>
      <w:r w:rsidR="003308A7" w:rsidRPr="008C2A1A">
        <w:rPr>
          <w:rFonts w:ascii="Garamond" w:hAnsi="Garamond"/>
          <w:color w:val="000000" w:themeColor="text1"/>
          <w:lang w:val="en-US"/>
        </w:rPr>
        <w:t xml:space="preserve">. </w:t>
      </w:r>
      <w:r w:rsidRPr="008C2A1A">
        <w:rPr>
          <w:rFonts w:ascii="Garamond" w:hAnsi="Garamond"/>
          <w:color w:val="000000" w:themeColor="text1"/>
          <w:lang w:val="en-US"/>
        </w:rPr>
        <w:t xml:space="preserve">The model uses </w:t>
      </w:r>
      <w:r w:rsidR="003308A7" w:rsidRPr="008C2A1A">
        <w:rPr>
          <w:rFonts w:ascii="Garamond" w:hAnsi="Garamond"/>
          <w:color w:val="000000" w:themeColor="text1"/>
          <w:lang w:val="en-US"/>
        </w:rPr>
        <w:t xml:space="preserve">data </w:t>
      </w:r>
      <w:r w:rsidR="00462C77" w:rsidRPr="008C2A1A">
        <w:rPr>
          <w:rFonts w:ascii="Garamond" w:hAnsi="Garamond"/>
          <w:color w:val="000000" w:themeColor="text1"/>
          <w:lang w:val="en-US"/>
        </w:rPr>
        <w:t>on the</w:t>
      </w:r>
      <w:r w:rsidR="003308A7" w:rsidRPr="008C2A1A">
        <w:rPr>
          <w:rFonts w:ascii="Garamond" w:hAnsi="Garamond"/>
          <w:color w:val="000000" w:themeColor="text1"/>
          <w:lang w:val="en-US"/>
        </w:rPr>
        <w:t xml:space="preserve"> socio-economic background</w:t>
      </w:r>
      <w:r w:rsidR="00462C77" w:rsidRPr="008C2A1A">
        <w:rPr>
          <w:rFonts w:ascii="Garamond" w:hAnsi="Garamond"/>
          <w:color w:val="000000" w:themeColor="text1"/>
          <w:lang w:val="en-US"/>
        </w:rPr>
        <w:t xml:space="preserve"> of each individual</w:t>
      </w:r>
      <w:r w:rsidR="003308A7" w:rsidRPr="008C2A1A">
        <w:rPr>
          <w:rFonts w:ascii="Garamond" w:hAnsi="Garamond"/>
          <w:color w:val="000000" w:themeColor="text1"/>
          <w:lang w:val="en-US"/>
        </w:rPr>
        <w:t xml:space="preserve">, the </w:t>
      </w:r>
      <w:r w:rsidR="00462C77" w:rsidRPr="008C2A1A">
        <w:rPr>
          <w:rFonts w:ascii="Garamond" w:hAnsi="Garamond"/>
          <w:color w:val="000000" w:themeColor="text1"/>
          <w:lang w:val="en-US"/>
        </w:rPr>
        <w:t>information needed to compute their fiscal and para-fiscal revenue (</w:t>
      </w:r>
      <w:r w:rsidR="003308A7" w:rsidRPr="008C2A1A">
        <w:rPr>
          <w:rFonts w:ascii="Garamond" w:hAnsi="Garamond"/>
          <w:color w:val="000000" w:themeColor="text1"/>
          <w:lang w:val="en-US"/>
        </w:rPr>
        <w:t>different income sources</w:t>
      </w:r>
      <w:r w:rsidR="00462C77" w:rsidRPr="008C2A1A">
        <w:rPr>
          <w:rFonts w:ascii="Garamond" w:hAnsi="Garamond"/>
          <w:color w:val="000000" w:themeColor="text1"/>
          <w:lang w:val="en-US"/>
        </w:rPr>
        <w:t xml:space="preserve">, </w:t>
      </w:r>
      <w:r w:rsidR="00990A42" w:rsidRPr="008C2A1A">
        <w:rPr>
          <w:rFonts w:ascii="Garamond" w:hAnsi="Garamond"/>
          <w:color w:val="000000" w:themeColor="text1"/>
          <w:lang w:val="en-US"/>
        </w:rPr>
        <w:t>household composition, etc.)</w:t>
      </w:r>
      <w:r w:rsidR="003308A7" w:rsidRPr="008C2A1A">
        <w:rPr>
          <w:rFonts w:ascii="Garamond" w:hAnsi="Garamond"/>
          <w:color w:val="000000" w:themeColor="text1"/>
          <w:lang w:val="en-US"/>
        </w:rPr>
        <w:t>, and detailed informa</w:t>
      </w:r>
      <w:r w:rsidR="005D6E42" w:rsidRPr="008C2A1A">
        <w:rPr>
          <w:rFonts w:ascii="Garamond" w:hAnsi="Garamond"/>
          <w:color w:val="000000" w:themeColor="text1"/>
          <w:lang w:val="en-US"/>
        </w:rPr>
        <w:t>tion related to their</w:t>
      </w:r>
      <w:r w:rsidR="003308A7" w:rsidRPr="008C2A1A">
        <w:rPr>
          <w:rFonts w:ascii="Garamond" w:hAnsi="Garamond"/>
          <w:color w:val="000000" w:themeColor="text1"/>
          <w:lang w:val="en-US"/>
        </w:rPr>
        <w:t xml:space="preserve"> f</w:t>
      </w:r>
      <w:r w:rsidR="005D6E42" w:rsidRPr="008C2A1A">
        <w:rPr>
          <w:rFonts w:ascii="Garamond" w:hAnsi="Garamond"/>
          <w:color w:val="000000" w:themeColor="text1"/>
          <w:lang w:val="en-US"/>
        </w:rPr>
        <w:t>ringe benefits in general, and</w:t>
      </w:r>
      <w:r w:rsidR="003308A7" w:rsidRPr="008C2A1A">
        <w:rPr>
          <w:rFonts w:ascii="Garamond" w:hAnsi="Garamond"/>
          <w:color w:val="000000" w:themeColor="text1"/>
          <w:lang w:val="en-US"/>
        </w:rPr>
        <w:t xml:space="preserve"> company car in particular</w:t>
      </w:r>
      <w:r w:rsidR="005D6E42" w:rsidRPr="008C2A1A">
        <w:rPr>
          <w:rFonts w:ascii="Garamond" w:hAnsi="Garamond"/>
          <w:color w:val="000000" w:themeColor="text1"/>
          <w:lang w:val="en-US"/>
        </w:rPr>
        <w:t xml:space="preserve"> (characteristics of the cars, fuel card, kilometer driven for professional and private use, etc.)</w:t>
      </w:r>
      <w:r w:rsidR="003308A7" w:rsidRPr="008C2A1A">
        <w:rPr>
          <w:rFonts w:ascii="Garamond" w:hAnsi="Garamond"/>
          <w:color w:val="000000" w:themeColor="text1"/>
          <w:lang w:val="en-US"/>
        </w:rPr>
        <w:t xml:space="preserve">. To our knowledge, no existing representative dataset covers all these required pieces of information for Belgium. </w:t>
      </w:r>
      <w:r w:rsidR="00990A42" w:rsidRPr="008C2A1A">
        <w:rPr>
          <w:rFonts w:ascii="Garamond" w:hAnsi="Garamond"/>
          <w:color w:val="000000" w:themeColor="text1"/>
          <w:lang w:val="en-US"/>
        </w:rPr>
        <w:t>W</w:t>
      </w:r>
      <w:r w:rsidR="002F1379" w:rsidRPr="008C2A1A">
        <w:rPr>
          <w:rFonts w:ascii="Garamond" w:hAnsi="Garamond"/>
          <w:color w:val="000000" w:themeColor="text1"/>
          <w:lang w:val="en-US"/>
        </w:rPr>
        <w:t>e</w:t>
      </w:r>
      <w:r w:rsidR="00990A42" w:rsidRPr="008C2A1A">
        <w:rPr>
          <w:rFonts w:ascii="Garamond" w:hAnsi="Garamond"/>
          <w:color w:val="000000" w:themeColor="text1"/>
          <w:lang w:val="en-US"/>
        </w:rPr>
        <w:t xml:space="preserve"> therefore</w:t>
      </w:r>
      <w:r w:rsidR="002F1379" w:rsidRPr="008C2A1A">
        <w:rPr>
          <w:rFonts w:ascii="Garamond" w:hAnsi="Garamond"/>
          <w:color w:val="000000" w:themeColor="text1"/>
          <w:lang w:val="en-US"/>
        </w:rPr>
        <w:t xml:space="preserve"> merge different existing datasets, each containing parts of the required information, into one single dataset with all the necessary information by means of statistical matching techniques. The foundation for the synthetic dataset on which CoCaTax runs is the latest round of the EU-SILC dataset, the European Survey on Income and Living Conditions. </w:t>
      </w:r>
      <w:r w:rsidR="00735EC9" w:rsidRPr="008C2A1A">
        <w:rPr>
          <w:rFonts w:ascii="Garamond" w:hAnsi="Garamond"/>
          <w:color w:val="000000" w:themeColor="text1"/>
          <w:lang w:val="en-US"/>
        </w:rPr>
        <w:t xml:space="preserve">This dataset contains a lot of information on the socio-economic background, income sources and major expenditures for a representative sample of about </w:t>
      </w:r>
      <w:r w:rsidR="00CB6C1C" w:rsidRPr="008C2A1A">
        <w:rPr>
          <w:rFonts w:ascii="Garamond" w:hAnsi="Garamond"/>
          <w:color w:val="000000" w:themeColor="text1"/>
          <w:lang w:val="en-US"/>
        </w:rPr>
        <w:t>27 000</w:t>
      </w:r>
      <w:r w:rsidR="00735EC9" w:rsidRPr="008C2A1A">
        <w:rPr>
          <w:rFonts w:ascii="Garamond" w:hAnsi="Garamond"/>
          <w:color w:val="000000" w:themeColor="text1"/>
          <w:lang w:val="en-US"/>
        </w:rPr>
        <w:t xml:space="preserve"> Belgian citizens. The EU-SILC dataset does not, however, contain information about transport behavior in general and company car use in particular. To this end, we employ a second dataset (the "donor dataset") that contains detailed information about company car use and mobility, and use it to complete the EU-SILC data. We identify for each individual in the EU-SILC data the individual that is the most similar in the donor dataset, and </w:t>
      </w:r>
      <w:r w:rsidR="00336D1F" w:rsidRPr="008C2A1A">
        <w:rPr>
          <w:rFonts w:ascii="Garamond" w:hAnsi="Garamond"/>
          <w:color w:val="000000" w:themeColor="text1"/>
          <w:lang w:val="en-US"/>
        </w:rPr>
        <w:t>use</w:t>
      </w:r>
      <w:r w:rsidR="00735EC9" w:rsidRPr="008C2A1A">
        <w:rPr>
          <w:rFonts w:ascii="Garamond" w:hAnsi="Garamond"/>
          <w:color w:val="000000" w:themeColor="text1"/>
          <w:lang w:val="en-US"/>
        </w:rPr>
        <w:t xml:space="preserve"> the information on this individual's m</w:t>
      </w:r>
      <w:r w:rsidR="00336D1F" w:rsidRPr="008C2A1A">
        <w:rPr>
          <w:rFonts w:ascii="Garamond" w:hAnsi="Garamond"/>
          <w:color w:val="000000" w:themeColor="text1"/>
          <w:lang w:val="en-US"/>
        </w:rPr>
        <w:t xml:space="preserve">obility and company car use to </w:t>
      </w:r>
      <w:r w:rsidR="006B4882" w:rsidRPr="008C2A1A">
        <w:rPr>
          <w:rFonts w:ascii="Garamond" w:hAnsi="Garamond"/>
          <w:color w:val="000000" w:themeColor="text1"/>
          <w:lang w:val="en-US"/>
        </w:rPr>
        <w:t>fill</w:t>
      </w:r>
      <w:r w:rsidR="00735EC9" w:rsidRPr="008C2A1A">
        <w:rPr>
          <w:rFonts w:ascii="Garamond" w:hAnsi="Garamond"/>
          <w:color w:val="000000" w:themeColor="text1"/>
          <w:lang w:val="en-US"/>
        </w:rPr>
        <w:t xml:space="preserve"> the EU-SILC data. To find the best fit, we use a technique called 'minimal distance random hot deck matching'. W</w:t>
      </w:r>
      <w:r w:rsidR="009D0814" w:rsidRPr="008C2A1A">
        <w:rPr>
          <w:rFonts w:ascii="Garamond" w:hAnsi="Garamond"/>
          <w:color w:val="000000" w:themeColor="text1"/>
          <w:lang w:val="en-US"/>
        </w:rPr>
        <w:t>e</w:t>
      </w:r>
      <w:r w:rsidR="00735EC9" w:rsidRPr="008C2A1A">
        <w:rPr>
          <w:rFonts w:ascii="Garamond" w:hAnsi="Garamond"/>
          <w:color w:val="000000" w:themeColor="text1"/>
          <w:lang w:val="en-US"/>
        </w:rPr>
        <w:t xml:space="preserve"> identify a range of socio-economic variables th</w:t>
      </w:r>
      <w:r w:rsidR="00A31E12" w:rsidRPr="008C2A1A">
        <w:rPr>
          <w:rFonts w:ascii="Garamond" w:hAnsi="Garamond"/>
          <w:color w:val="000000" w:themeColor="text1"/>
          <w:lang w:val="en-US"/>
        </w:rPr>
        <w:t>at are present in both datasets, and</w:t>
      </w:r>
      <w:r w:rsidR="00735EC9" w:rsidRPr="008C2A1A">
        <w:rPr>
          <w:rFonts w:ascii="Garamond" w:hAnsi="Garamond"/>
          <w:color w:val="000000" w:themeColor="text1"/>
          <w:lang w:val="en-US"/>
        </w:rPr>
        <w:t xml:space="preserve"> </w:t>
      </w:r>
      <w:r w:rsidR="009D0814" w:rsidRPr="008C2A1A">
        <w:rPr>
          <w:rFonts w:ascii="Garamond" w:hAnsi="Garamond"/>
          <w:color w:val="000000" w:themeColor="text1"/>
          <w:lang w:val="en-US"/>
        </w:rPr>
        <w:t xml:space="preserve">select two subsets of variables for our </w:t>
      </w:r>
      <w:r w:rsidR="00F55BAF" w:rsidRPr="008C2A1A">
        <w:rPr>
          <w:rFonts w:ascii="Garamond" w:hAnsi="Garamond"/>
          <w:color w:val="000000" w:themeColor="text1"/>
          <w:lang w:val="en-US"/>
        </w:rPr>
        <w:t>statistical matching procedure.</w:t>
      </w:r>
      <w:r w:rsidR="00735EC9" w:rsidRPr="008C2A1A">
        <w:rPr>
          <w:rFonts w:ascii="Garamond" w:hAnsi="Garamond"/>
          <w:color w:val="000000" w:themeColor="text1"/>
          <w:lang w:val="en-US"/>
        </w:rPr>
        <w:t xml:space="preserve"> </w:t>
      </w:r>
      <w:r w:rsidR="00DF1BBA" w:rsidRPr="008C2A1A">
        <w:rPr>
          <w:rFonts w:ascii="Garamond" w:hAnsi="Garamond"/>
          <w:color w:val="000000" w:themeColor="text1"/>
          <w:lang w:val="en-US"/>
        </w:rPr>
        <w:t>The</w:t>
      </w:r>
      <w:r w:rsidR="002E17A8" w:rsidRPr="008C2A1A">
        <w:rPr>
          <w:rFonts w:ascii="Garamond" w:hAnsi="Garamond"/>
          <w:color w:val="000000" w:themeColor="text1"/>
          <w:lang w:val="en-US"/>
        </w:rPr>
        <w:t xml:space="preserve"> first set contains</w:t>
      </w:r>
      <w:r w:rsidR="009D0814" w:rsidRPr="008C2A1A">
        <w:rPr>
          <w:rFonts w:ascii="Garamond" w:hAnsi="Garamond"/>
          <w:color w:val="000000" w:themeColor="text1"/>
          <w:lang w:val="en-US"/>
        </w:rPr>
        <w:t xml:space="preserve"> categorical variables, such as gender, employment status, region, economic sector of activity (public sector, private sector) and education level. When searching for the best match for an individual in the EU-SILC data, we only consider individuals in the donor dataset</w:t>
      </w:r>
      <w:r w:rsidR="00EA7B00" w:rsidRPr="008C2A1A">
        <w:rPr>
          <w:rFonts w:ascii="Garamond" w:hAnsi="Garamond"/>
          <w:color w:val="000000" w:themeColor="text1"/>
          <w:lang w:val="en-US"/>
        </w:rPr>
        <w:t xml:space="preserve"> with the same characteristics</w:t>
      </w:r>
      <w:r w:rsidR="00D3105D" w:rsidRPr="008C2A1A">
        <w:rPr>
          <w:rFonts w:ascii="Garamond" w:hAnsi="Garamond"/>
          <w:color w:val="000000" w:themeColor="text1"/>
          <w:lang w:val="en-US"/>
        </w:rPr>
        <w:t xml:space="preserve"> over these</w:t>
      </w:r>
      <w:r w:rsidR="00EA7B00" w:rsidRPr="008C2A1A">
        <w:rPr>
          <w:rFonts w:ascii="Garamond" w:hAnsi="Garamond"/>
          <w:color w:val="000000" w:themeColor="text1"/>
          <w:lang w:val="en-US"/>
        </w:rPr>
        <w:t xml:space="preserve"> categorical variables.</w:t>
      </w:r>
      <w:r w:rsidR="009D0814" w:rsidRPr="008C2A1A">
        <w:rPr>
          <w:rFonts w:ascii="Garamond" w:hAnsi="Garamond"/>
          <w:color w:val="000000" w:themeColor="text1"/>
          <w:lang w:val="en-US"/>
        </w:rPr>
        <w:t xml:space="preserve"> </w:t>
      </w:r>
      <w:r w:rsidR="008A7919" w:rsidRPr="008C2A1A">
        <w:rPr>
          <w:rFonts w:ascii="Garamond" w:hAnsi="Garamond"/>
          <w:color w:val="000000" w:themeColor="text1"/>
          <w:lang w:val="en-US"/>
        </w:rPr>
        <w:t>A second set of common</w:t>
      </w:r>
      <w:r w:rsidR="009D0814" w:rsidRPr="008C2A1A">
        <w:rPr>
          <w:rFonts w:ascii="Garamond" w:hAnsi="Garamond"/>
          <w:color w:val="000000" w:themeColor="text1"/>
          <w:lang w:val="en-US"/>
        </w:rPr>
        <w:t xml:space="preserve"> variables</w:t>
      </w:r>
      <w:r w:rsidR="008A7919" w:rsidRPr="008C2A1A">
        <w:rPr>
          <w:rFonts w:ascii="Garamond" w:hAnsi="Garamond"/>
          <w:color w:val="000000" w:themeColor="text1"/>
          <w:lang w:val="en-US"/>
        </w:rPr>
        <w:t xml:space="preserve"> (e.g. labor income, age, number of children)</w:t>
      </w:r>
      <w:r w:rsidR="009D0814" w:rsidRPr="008C2A1A">
        <w:rPr>
          <w:rFonts w:ascii="Garamond" w:hAnsi="Garamond"/>
          <w:color w:val="000000" w:themeColor="text1"/>
          <w:lang w:val="en-US"/>
        </w:rPr>
        <w:t xml:space="preserve"> is then used to determine the</w:t>
      </w:r>
      <w:r w:rsidR="002411FB" w:rsidRPr="008C2A1A">
        <w:rPr>
          <w:rFonts w:ascii="Garamond" w:hAnsi="Garamond"/>
          <w:color w:val="000000" w:themeColor="text1"/>
          <w:lang w:val="en-US"/>
        </w:rPr>
        <w:t xml:space="preserve"> </w:t>
      </w:r>
      <w:r w:rsidR="00423476" w:rsidRPr="008C2A1A">
        <w:rPr>
          <w:rFonts w:ascii="Garamond" w:hAnsi="Garamond"/>
          <w:color w:val="000000" w:themeColor="text1"/>
          <w:lang w:val="en-US"/>
        </w:rPr>
        <w:t xml:space="preserve">most similar </w:t>
      </w:r>
      <w:r w:rsidR="009D0814" w:rsidRPr="008C2A1A">
        <w:rPr>
          <w:rFonts w:ascii="Garamond" w:hAnsi="Garamond"/>
          <w:color w:val="000000" w:themeColor="text1"/>
          <w:lang w:val="en-US"/>
        </w:rPr>
        <w:t>individual in the donor dataset</w:t>
      </w:r>
      <w:r w:rsidR="00A42237" w:rsidRPr="008C2A1A">
        <w:rPr>
          <w:rFonts w:ascii="Garamond" w:hAnsi="Garamond"/>
          <w:color w:val="000000" w:themeColor="text1"/>
          <w:lang w:val="en-US"/>
        </w:rPr>
        <w:t xml:space="preserve">, and use the information w.r.t. </w:t>
      </w:r>
      <w:r w:rsidR="001362D6" w:rsidRPr="008C2A1A">
        <w:rPr>
          <w:rFonts w:ascii="Garamond" w:hAnsi="Garamond"/>
          <w:color w:val="000000" w:themeColor="text1"/>
          <w:lang w:val="en-US"/>
        </w:rPr>
        <w:t xml:space="preserve">the company car and mobility in the donor dataset </w:t>
      </w:r>
      <w:r w:rsidR="00A42237" w:rsidRPr="008C2A1A">
        <w:rPr>
          <w:rFonts w:ascii="Garamond" w:hAnsi="Garamond"/>
          <w:color w:val="000000" w:themeColor="text1"/>
          <w:lang w:val="en-US"/>
        </w:rPr>
        <w:t xml:space="preserve">to complete the EU-SILC data </w:t>
      </w:r>
      <w:r w:rsidR="001362D6" w:rsidRPr="008C2A1A">
        <w:rPr>
          <w:rFonts w:ascii="Garamond" w:hAnsi="Garamond"/>
          <w:color w:val="000000" w:themeColor="text1"/>
          <w:lang w:val="en-US"/>
        </w:rPr>
        <w:t>in this respect</w:t>
      </w:r>
      <w:r w:rsidR="00A42237" w:rsidRPr="008C2A1A">
        <w:rPr>
          <w:rFonts w:ascii="Garamond" w:hAnsi="Garamond"/>
          <w:color w:val="000000" w:themeColor="text1"/>
          <w:lang w:val="en-US"/>
        </w:rPr>
        <w:t>. After doing this for all individuals, we verify whether the resulting dataset fits on the aggregate level with the real-world data, and we correct the matching procedure where it seems necessary. Note that merging two datasets by statistical matching should result in a synthetic dataset that corresponds statistically to the real world</w:t>
      </w:r>
      <w:r w:rsidR="001362D6" w:rsidRPr="008C2A1A">
        <w:rPr>
          <w:rFonts w:ascii="Garamond" w:hAnsi="Garamond"/>
          <w:color w:val="000000" w:themeColor="text1"/>
          <w:lang w:val="en-US"/>
        </w:rPr>
        <w:t xml:space="preserve"> on average, but not at the level of an individual observation</w:t>
      </w:r>
      <w:r w:rsidR="00A42237" w:rsidRPr="008C2A1A">
        <w:rPr>
          <w:rFonts w:ascii="Garamond" w:hAnsi="Garamond"/>
          <w:color w:val="000000" w:themeColor="text1"/>
          <w:lang w:val="en-US"/>
        </w:rPr>
        <w:t xml:space="preserve">. </w:t>
      </w:r>
      <w:r w:rsidR="00AB550B" w:rsidRPr="008C2A1A">
        <w:rPr>
          <w:rFonts w:ascii="Garamond" w:hAnsi="Garamond"/>
          <w:color w:val="000000" w:themeColor="text1"/>
          <w:lang w:val="en-US"/>
        </w:rPr>
        <w:t xml:space="preserve">Figure 2 illustrates this </w:t>
      </w:r>
      <w:r w:rsidR="00AB550B" w:rsidRPr="008C2A1A">
        <w:rPr>
          <w:rFonts w:ascii="Garamond" w:hAnsi="Garamond"/>
          <w:color w:val="000000" w:themeColor="text1"/>
          <w:lang w:val="en-US"/>
        </w:rPr>
        <w:lastRenderedPageBreak/>
        <w:t>process</w:t>
      </w:r>
      <w:r w:rsidR="00CC16A7" w:rsidRPr="008C2A1A">
        <w:rPr>
          <w:rFonts w:ascii="Garamond" w:hAnsi="Garamond"/>
          <w:color w:val="000000" w:themeColor="text1"/>
          <w:lang w:val="en-US"/>
        </w:rPr>
        <w:t xml:space="preserve"> for only 3 variables</w:t>
      </w:r>
      <w:r w:rsidR="00AB550B" w:rsidRPr="008C2A1A">
        <w:rPr>
          <w:rFonts w:ascii="Garamond" w:hAnsi="Garamond"/>
          <w:color w:val="000000" w:themeColor="text1"/>
          <w:lang w:val="en-US"/>
        </w:rPr>
        <w:t xml:space="preserve">, with </w:t>
      </w:r>
      <w:r w:rsidR="00CC16A7" w:rsidRPr="008C2A1A">
        <w:rPr>
          <w:rFonts w:ascii="Garamond" w:hAnsi="Garamond"/>
          <w:color w:val="000000" w:themeColor="text1"/>
          <w:lang w:val="en-US"/>
        </w:rPr>
        <w:t>'education' as a categorical variable, 'income' as a continuous variable and 'car' as the variable that is missing in the receiving dataset. For individual 12 in the receiving dataset, we look amongst the individuals in the donor dataset with the same education level for the one that is most similar in terms of income, and copy the car information of this individual into the receiving dataset.</w:t>
      </w:r>
    </w:p>
    <w:p w14:paraId="4436DC1B" w14:textId="07A6C450" w:rsidR="00AB550B" w:rsidRPr="008C2A1A" w:rsidRDefault="00AB550B" w:rsidP="001362D6">
      <w:pPr>
        <w:pStyle w:val="Normaalweb"/>
        <w:contextualSpacing/>
        <w:jc w:val="both"/>
        <w:rPr>
          <w:rFonts w:ascii="Garamond" w:hAnsi="Garamond"/>
          <w:color w:val="000000" w:themeColor="text1"/>
          <w:lang w:val="en-US"/>
        </w:rPr>
      </w:pPr>
    </w:p>
    <w:p w14:paraId="7700AAC3" w14:textId="77777777" w:rsidR="00AB550B" w:rsidRPr="008C2A1A" w:rsidRDefault="00AB550B" w:rsidP="00AB550B">
      <w:pPr>
        <w:pStyle w:val="Normaalweb"/>
        <w:keepNext/>
        <w:contextualSpacing/>
        <w:jc w:val="both"/>
        <w:rPr>
          <w:color w:val="000000" w:themeColor="text1"/>
        </w:rPr>
      </w:pPr>
      <w:r w:rsidRPr="008C2A1A">
        <w:rPr>
          <w:rFonts w:ascii="Garamond" w:hAnsi="Garamond"/>
          <w:noProof/>
          <w:color w:val="000000" w:themeColor="text1"/>
          <w:lang w:val="fr-FR" w:eastAsia="fr-FR"/>
        </w:rPr>
        <w:drawing>
          <wp:inline distT="0" distB="0" distL="0" distR="0" wp14:anchorId="79C981B0" wp14:editId="3409BDDC">
            <wp:extent cx="5756910" cy="1423035"/>
            <wp:effectExtent l="0" t="0" r="0" b="0"/>
            <wp:docPr id="1" name="Afbeelding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HotDeckMatching.png"/>
                    <pic:cNvPicPr/>
                  </pic:nvPicPr>
                  <pic:blipFill>
                    <a:blip r:embed="rId10">
                      <a:extLst>
                        <a:ext uri="{28A0092B-C50C-407E-A947-70E740481C1C}">
                          <a14:useLocalDpi xmlns:a14="http://schemas.microsoft.com/office/drawing/2010/main" val="0"/>
                        </a:ext>
                      </a:extLst>
                    </a:blip>
                    <a:stretch>
                      <a:fillRect/>
                    </a:stretch>
                  </pic:blipFill>
                  <pic:spPr>
                    <a:xfrm>
                      <a:off x="0" y="0"/>
                      <a:ext cx="5756910" cy="1423035"/>
                    </a:xfrm>
                    <a:prstGeom prst="rect">
                      <a:avLst/>
                    </a:prstGeom>
                  </pic:spPr>
                </pic:pic>
              </a:graphicData>
            </a:graphic>
          </wp:inline>
        </w:drawing>
      </w:r>
    </w:p>
    <w:p w14:paraId="21D6B27E" w14:textId="7BBE3C26" w:rsidR="009D0814" w:rsidRPr="008C2A1A" w:rsidRDefault="00AB550B" w:rsidP="00AB550B">
      <w:pPr>
        <w:pStyle w:val="Bijschrift"/>
        <w:jc w:val="both"/>
        <w:rPr>
          <w:rFonts w:ascii="Garamond" w:hAnsi="Garamond"/>
          <w:color w:val="000000" w:themeColor="text1"/>
          <w:lang w:val="en-US"/>
        </w:rPr>
      </w:pPr>
      <w:r w:rsidRPr="008C2A1A">
        <w:rPr>
          <w:color w:val="000000" w:themeColor="text1"/>
          <w:lang w:val="en-US"/>
        </w:rPr>
        <w:t xml:space="preserve">Figure </w:t>
      </w:r>
      <w:r w:rsidRPr="008C2A1A">
        <w:rPr>
          <w:color w:val="000000" w:themeColor="text1"/>
        </w:rPr>
        <w:fldChar w:fldCharType="begin"/>
      </w:r>
      <w:r w:rsidRPr="008C2A1A">
        <w:rPr>
          <w:color w:val="000000" w:themeColor="text1"/>
          <w:lang w:val="en-US"/>
        </w:rPr>
        <w:instrText xml:space="preserve"> SEQ Figure \* ARABIC </w:instrText>
      </w:r>
      <w:r w:rsidRPr="008C2A1A">
        <w:rPr>
          <w:color w:val="000000" w:themeColor="text1"/>
        </w:rPr>
        <w:fldChar w:fldCharType="separate"/>
      </w:r>
      <w:r w:rsidR="002D6EB7">
        <w:rPr>
          <w:noProof/>
          <w:color w:val="000000" w:themeColor="text1"/>
          <w:lang w:val="en-US"/>
        </w:rPr>
        <w:t>2</w:t>
      </w:r>
      <w:r w:rsidRPr="008C2A1A">
        <w:rPr>
          <w:color w:val="000000" w:themeColor="text1"/>
        </w:rPr>
        <w:fldChar w:fldCharType="end"/>
      </w:r>
      <w:r w:rsidRPr="008C2A1A">
        <w:rPr>
          <w:color w:val="000000" w:themeColor="text1"/>
          <w:lang w:val="en-US"/>
        </w:rPr>
        <w:t>: Hot deck</w:t>
      </w:r>
      <w:r w:rsidR="00CC16A7" w:rsidRPr="008C2A1A">
        <w:rPr>
          <w:color w:val="000000" w:themeColor="text1"/>
          <w:lang w:val="en-US"/>
        </w:rPr>
        <w:t xml:space="preserve"> minimal distance</w:t>
      </w:r>
      <w:r w:rsidRPr="008C2A1A">
        <w:rPr>
          <w:color w:val="000000" w:themeColor="text1"/>
          <w:lang w:val="en-US"/>
        </w:rPr>
        <w:t xml:space="preserve"> statistical matching</w:t>
      </w:r>
    </w:p>
    <w:p w14:paraId="448A6011" w14:textId="2F6645FE" w:rsidR="000E7A51" w:rsidRPr="008C2A1A" w:rsidRDefault="00A03278" w:rsidP="00FE760F">
      <w:pPr>
        <w:pStyle w:val="Normaalweb"/>
        <w:contextualSpacing/>
        <w:jc w:val="both"/>
        <w:rPr>
          <w:rFonts w:ascii="Garamond" w:hAnsi="Garamond"/>
          <w:color w:val="000000" w:themeColor="text1"/>
          <w:lang w:val="en-US"/>
        </w:rPr>
      </w:pPr>
      <w:r w:rsidRPr="008C2A1A">
        <w:rPr>
          <w:rFonts w:ascii="Garamond" w:hAnsi="Garamond"/>
          <w:color w:val="000000" w:themeColor="text1"/>
          <w:lang w:val="en-US"/>
        </w:rPr>
        <w:t>We then feed the</w:t>
      </w:r>
      <w:r w:rsidR="009D0814" w:rsidRPr="008C2A1A">
        <w:rPr>
          <w:rFonts w:ascii="Garamond" w:hAnsi="Garamond"/>
          <w:color w:val="000000" w:themeColor="text1"/>
          <w:lang w:val="en-US"/>
        </w:rPr>
        <w:t xml:space="preserve"> </w:t>
      </w:r>
      <w:r w:rsidRPr="008C2A1A">
        <w:rPr>
          <w:rFonts w:ascii="Garamond" w:hAnsi="Garamond"/>
          <w:color w:val="000000" w:themeColor="text1"/>
          <w:lang w:val="en-US"/>
        </w:rPr>
        <w:t xml:space="preserve">resulting </w:t>
      </w:r>
      <w:r w:rsidR="009D0814" w:rsidRPr="008C2A1A">
        <w:rPr>
          <w:rFonts w:ascii="Garamond" w:hAnsi="Garamond"/>
          <w:color w:val="000000" w:themeColor="text1"/>
          <w:lang w:val="en-US"/>
        </w:rPr>
        <w:t xml:space="preserve">synthetic dataset in </w:t>
      </w:r>
      <w:r w:rsidR="000E7A51" w:rsidRPr="008C2A1A">
        <w:rPr>
          <w:rFonts w:ascii="Garamond" w:hAnsi="Garamond"/>
          <w:color w:val="000000" w:themeColor="text1"/>
          <w:lang w:val="en-US"/>
        </w:rPr>
        <w:t xml:space="preserve">CoCaTax </w:t>
      </w:r>
      <w:r w:rsidR="005D1A69" w:rsidRPr="008C2A1A">
        <w:rPr>
          <w:rFonts w:ascii="Garamond" w:hAnsi="Garamond"/>
          <w:color w:val="000000" w:themeColor="text1"/>
          <w:lang w:val="en-US"/>
        </w:rPr>
        <w:t>to simulate</w:t>
      </w:r>
      <w:r w:rsidR="000E7A51" w:rsidRPr="008C2A1A">
        <w:rPr>
          <w:rFonts w:ascii="Garamond" w:hAnsi="Garamond"/>
          <w:color w:val="000000" w:themeColor="text1"/>
          <w:lang w:val="en-US"/>
        </w:rPr>
        <w:t xml:space="preserve"> core elements of the personal income tax, corporate income tax, the VAT and the social security contributions. </w:t>
      </w:r>
      <w:r w:rsidR="00F44552" w:rsidRPr="008C2A1A">
        <w:rPr>
          <w:rFonts w:ascii="Garamond" w:hAnsi="Garamond"/>
          <w:color w:val="000000" w:themeColor="text1"/>
          <w:lang w:val="en-US"/>
        </w:rPr>
        <w:t>CoCaTax computes a</w:t>
      </w:r>
      <w:r w:rsidR="00D66BC7" w:rsidRPr="008C2A1A">
        <w:rPr>
          <w:rFonts w:ascii="Garamond" w:hAnsi="Garamond"/>
          <w:color w:val="000000" w:themeColor="text1"/>
          <w:lang w:val="en-US"/>
        </w:rPr>
        <w:t xml:space="preserve"> simplified version of the fiscal system, but include</w:t>
      </w:r>
      <w:r w:rsidR="00684D41" w:rsidRPr="008C2A1A">
        <w:rPr>
          <w:rFonts w:ascii="Garamond" w:hAnsi="Garamond"/>
          <w:color w:val="000000" w:themeColor="text1"/>
          <w:lang w:val="en-US"/>
        </w:rPr>
        <w:t>s</w:t>
      </w:r>
      <w:r w:rsidR="000E7A51" w:rsidRPr="008C2A1A">
        <w:rPr>
          <w:rFonts w:ascii="Garamond" w:hAnsi="Garamond"/>
          <w:color w:val="000000" w:themeColor="text1"/>
          <w:lang w:val="en-US"/>
        </w:rPr>
        <w:t xml:space="preserve"> </w:t>
      </w:r>
      <w:r w:rsidR="00D66BC7" w:rsidRPr="008C2A1A">
        <w:rPr>
          <w:rFonts w:ascii="Garamond" w:hAnsi="Garamond"/>
          <w:color w:val="000000" w:themeColor="text1"/>
          <w:lang w:val="en-US"/>
        </w:rPr>
        <w:t>the</w:t>
      </w:r>
      <w:r w:rsidR="000E7A51" w:rsidRPr="008C2A1A">
        <w:rPr>
          <w:rFonts w:ascii="Garamond" w:hAnsi="Garamond"/>
          <w:color w:val="000000" w:themeColor="text1"/>
          <w:lang w:val="en-US"/>
        </w:rPr>
        <w:t xml:space="preserve"> elements related to the treatment of company cars in much more detail. For the personal income tax, CoCaTax </w:t>
      </w:r>
      <w:r w:rsidR="007D7884" w:rsidRPr="008C2A1A">
        <w:rPr>
          <w:rFonts w:ascii="Garamond" w:hAnsi="Garamond"/>
          <w:color w:val="000000" w:themeColor="text1"/>
          <w:lang w:val="en-US"/>
        </w:rPr>
        <w:t>considers</w:t>
      </w:r>
      <w:r w:rsidR="000E7A51" w:rsidRPr="008C2A1A">
        <w:rPr>
          <w:rFonts w:ascii="Garamond" w:hAnsi="Garamond"/>
          <w:color w:val="000000" w:themeColor="text1"/>
          <w:lang w:val="en-US"/>
        </w:rPr>
        <w:t xml:space="preserve"> the details of the basic rate structure and zero rate band as well as the fiscal treatment of fringe benefits and company cars </w:t>
      </w:r>
      <w:r w:rsidR="000E3193" w:rsidRPr="008C2A1A">
        <w:rPr>
          <w:rFonts w:ascii="Garamond" w:hAnsi="Garamond"/>
          <w:color w:val="000000" w:themeColor="text1"/>
          <w:lang w:val="en-US"/>
        </w:rPr>
        <w:t>but</w:t>
      </w:r>
      <w:r w:rsidR="000E7A51" w:rsidRPr="008C2A1A">
        <w:rPr>
          <w:rFonts w:ascii="Garamond" w:hAnsi="Garamond"/>
          <w:color w:val="000000" w:themeColor="text1"/>
          <w:lang w:val="en-US"/>
        </w:rPr>
        <w:t xml:space="preserve"> it makes abstraction of most deductions, reductions or tax credits that are unrelated to company cars. CoCaTax models the general rate structure</w:t>
      </w:r>
      <w:r w:rsidR="00B10D6F" w:rsidRPr="008C2A1A">
        <w:rPr>
          <w:rFonts w:ascii="Garamond" w:hAnsi="Garamond"/>
          <w:color w:val="000000" w:themeColor="text1"/>
          <w:lang w:val="en-US"/>
        </w:rPr>
        <w:t xml:space="preserve"> of social security contributions for employees and</w:t>
      </w:r>
      <w:r w:rsidR="000E7A51" w:rsidRPr="008C2A1A">
        <w:rPr>
          <w:rFonts w:ascii="Garamond" w:hAnsi="Garamond"/>
          <w:color w:val="000000" w:themeColor="text1"/>
          <w:lang w:val="en-US"/>
        </w:rPr>
        <w:t xml:space="preserve"> self-employed, and</w:t>
      </w:r>
      <w:r w:rsidR="00B10D6F" w:rsidRPr="008C2A1A">
        <w:rPr>
          <w:rFonts w:ascii="Garamond" w:hAnsi="Garamond"/>
          <w:color w:val="000000" w:themeColor="text1"/>
          <w:lang w:val="en-US"/>
        </w:rPr>
        <w:t xml:space="preserve"> include</w:t>
      </w:r>
      <w:r w:rsidR="000E7A51" w:rsidRPr="008C2A1A">
        <w:rPr>
          <w:rFonts w:ascii="Garamond" w:hAnsi="Garamond"/>
          <w:color w:val="000000" w:themeColor="text1"/>
          <w:lang w:val="en-US"/>
        </w:rPr>
        <w:t xml:space="preserve"> the details </w:t>
      </w:r>
      <w:r w:rsidR="00B10D6F" w:rsidRPr="008C2A1A">
        <w:rPr>
          <w:rFonts w:ascii="Garamond" w:hAnsi="Garamond"/>
          <w:color w:val="000000" w:themeColor="text1"/>
          <w:lang w:val="en-US"/>
        </w:rPr>
        <w:t xml:space="preserve">of the solidarity contribution associated to the </w:t>
      </w:r>
      <w:r w:rsidR="000E7A51" w:rsidRPr="008C2A1A">
        <w:rPr>
          <w:rFonts w:ascii="Garamond" w:hAnsi="Garamond"/>
          <w:color w:val="000000" w:themeColor="text1"/>
          <w:lang w:val="en-US"/>
        </w:rPr>
        <w:t xml:space="preserve">company cars. </w:t>
      </w:r>
      <w:r w:rsidR="00B10D6F" w:rsidRPr="008C2A1A">
        <w:rPr>
          <w:rFonts w:ascii="Garamond" w:hAnsi="Garamond"/>
          <w:color w:val="000000" w:themeColor="text1"/>
          <w:lang w:val="en-US"/>
        </w:rPr>
        <w:t xml:space="preserve">Similarly, </w:t>
      </w:r>
      <w:r w:rsidR="000E7A51" w:rsidRPr="008C2A1A">
        <w:rPr>
          <w:rFonts w:ascii="Garamond" w:hAnsi="Garamond"/>
          <w:color w:val="000000" w:themeColor="text1"/>
          <w:lang w:val="en-US"/>
        </w:rPr>
        <w:t>CoCaTax only computes the elements related to the treatment of company cars in detail</w:t>
      </w:r>
      <w:r w:rsidR="0086069F" w:rsidRPr="008C2A1A">
        <w:rPr>
          <w:rFonts w:ascii="Garamond" w:hAnsi="Garamond"/>
          <w:color w:val="000000" w:themeColor="text1"/>
          <w:lang w:val="en-US"/>
        </w:rPr>
        <w:t xml:space="preserve"> for the corporate income tax and VAT</w:t>
      </w:r>
      <w:r w:rsidR="000E7A51" w:rsidRPr="008C2A1A">
        <w:rPr>
          <w:rFonts w:ascii="Garamond" w:hAnsi="Garamond"/>
          <w:color w:val="000000" w:themeColor="text1"/>
          <w:lang w:val="en-US"/>
        </w:rPr>
        <w:t xml:space="preserve">. </w:t>
      </w:r>
    </w:p>
    <w:p w14:paraId="0B945348" w14:textId="4117AECF" w:rsidR="009D0814" w:rsidRPr="008C2A1A" w:rsidRDefault="0086069F" w:rsidP="00FE760F">
      <w:pPr>
        <w:pStyle w:val="Normaalweb"/>
        <w:contextualSpacing/>
        <w:jc w:val="both"/>
        <w:rPr>
          <w:rFonts w:ascii="Garamond" w:hAnsi="Garamond"/>
          <w:color w:val="000000" w:themeColor="text1"/>
          <w:lang w:val="en-US"/>
        </w:rPr>
      </w:pPr>
      <w:r w:rsidRPr="008C2A1A">
        <w:rPr>
          <w:rFonts w:ascii="Garamond" w:hAnsi="Garamond"/>
          <w:color w:val="000000" w:themeColor="text1"/>
          <w:lang w:val="en-US"/>
        </w:rPr>
        <w:t>The model</w:t>
      </w:r>
      <w:r w:rsidR="000E7A51" w:rsidRPr="008C2A1A">
        <w:rPr>
          <w:rFonts w:ascii="Garamond" w:hAnsi="Garamond"/>
          <w:color w:val="000000" w:themeColor="text1"/>
          <w:lang w:val="en-US"/>
        </w:rPr>
        <w:t xml:space="preserve"> simulates the above elements of the fiscal system twice. CoCaTax </w:t>
      </w:r>
      <w:r w:rsidR="00800E72" w:rsidRPr="008C2A1A">
        <w:rPr>
          <w:rFonts w:ascii="Garamond" w:hAnsi="Garamond"/>
          <w:color w:val="000000" w:themeColor="text1"/>
          <w:lang w:val="en-US"/>
        </w:rPr>
        <w:t>first</w:t>
      </w:r>
      <w:r w:rsidR="000E7A51" w:rsidRPr="008C2A1A">
        <w:rPr>
          <w:rFonts w:ascii="Garamond" w:hAnsi="Garamond"/>
          <w:color w:val="000000" w:themeColor="text1"/>
          <w:lang w:val="en-US"/>
        </w:rPr>
        <w:t xml:space="preserve"> applies </w:t>
      </w:r>
      <w:r w:rsidR="00800E72" w:rsidRPr="008C2A1A">
        <w:rPr>
          <w:rFonts w:ascii="Garamond" w:hAnsi="Garamond"/>
          <w:color w:val="000000" w:themeColor="text1"/>
          <w:lang w:val="en-US"/>
        </w:rPr>
        <w:t xml:space="preserve">the current fiscal system </w:t>
      </w:r>
      <w:r w:rsidR="000E7A51" w:rsidRPr="008C2A1A">
        <w:rPr>
          <w:rFonts w:ascii="Garamond" w:hAnsi="Garamond"/>
          <w:color w:val="000000" w:themeColor="text1"/>
          <w:lang w:val="en-US"/>
        </w:rPr>
        <w:t xml:space="preserve">(Figure 1, arrow 2), computing for each individual </w:t>
      </w:r>
      <w:r w:rsidR="00800E72" w:rsidRPr="008C2A1A">
        <w:rPr>
          <w:rFonts w:ascii="Garamond" w:hAnsi="Garamond"/>
          <w:color w:val="000000" w:themeColor="text1"/>
          <w:lang w:val="en-US"/>
        </w:rPr>
        <w:t xml:space="preserve">in the synthetic dataset </w:t>
      </w:r>
      <w:r w:rsidR="000E7A51" w:rsidRPr="008C2A1A">
        <w:rPr>
          <w:rFonts w:ascii="Garamond" w:hAnsi="Garamond"/>
          <w:color w:val="000000" w:themeColor="text1"/>
          <w:lang w:val="en-US"/>
        </w:rPr>
        <w:t xml:space="preserve">the different tax contributions, disposable incomes etc. Next, CoCaTax allows its users to </w:t>
      </w:r>
      <w:r w:rsidR="00C44896" w:rsidRPr="008C2A1A">
        <w:rPr>
          <w:rFonts w:ascii="Garamond" w:hAnsi="Garamond"/>
          <w:color w:val="000000" w:themeColor="text1"/>
          <w:lang w:val="en-US"/>
        </w:rPr>
        <w:t>define a fiscal reform w.r.t. the treatment of company cars in</w:t>
      </w:r>
      <w:r w:rsidR="00774F68" w:rsidRPr="008C2A1A">
        <w:rPr>
          <w:rFonts w:ascii="Garamond" w:hAnsi="Garamond"/>
          <w:color w:val="000000" w:themeColor="text1"/>
          <w:lang w:val="en-US"/>
        </w:rPr>
        <w:t xml:space="preserve"> its interactive user interface,</w:t>
      </w:r>
      <w:r w:rsidR="00C44896" w:rsidRPr="008C2A1A">
        <w:rPr>
          <w:rFonts w:ascii="Garamond" w:hAnsi="Garamond"/>
          <w:color w:val="000000" w:themeColor="text1"/>
          <w:lang w:val="en-US"/>
        </w:rPr>
        <w:t xml:space="preserve"> </w:t>
      </w:r>
      <w:r w:rsidR="007D7884" w:rsidRPr="008C2A1A">
        <w:rPr>
          <w:rFonts w:ascii="Garamond" w:hAnsi="Garamond"/>
          <w:color w:val="000000" w:themeColor="text1"/>
          <w:lang w:val="en-US"/>
        </w:rPr>
        <w:t>compares the results of the base</w:t>
      </w:r>
      <w:r w:rsidR="00774F68" w:rsidRPr="008C2A1A">
        <w:rPr>
          <w:rFonts w:ascii="Garamond" w:hAnsi="Garamond"/>
          <w:color w:val="000000" w:themeColor="text1"/>
          <w:lang w:val="en-US"/>
        </w:rPr>
        <w:t>line and reformed fiscal system and</w:t>
      </w:r>
      <w:r w:rsidR="007D7884" w:rsidRPr="008C2A1A">
        <w:rPr>
          <w:rFonts w:ascii="Garamond" w:hAnsi="Garamond"/>
          <w:color w:val="000000" w:themeColor="text1"/>
          <w:lang w:val="en-US"/>
        </w:rPr>
        <w:t xml:space="preserve"> summarizes the </w:t>
      </w:r>
      <w:r w:rsidR="00774F68" w:rsidRPr="008C2A1A">
        <w:rPr>
          <w:rFonts w:ascii="Garamond" w:hAnsi="Garamond"/>
          <w:color w:val="000000" w:themeColor="text1"/>
          <w:lang w:val="en-US"/>
        </w:rPr>
        <w:t>effect of the reform</w:t>
      </w:r>
      <w:r w:rsidR="007D7884" w:rsidRPr="008C2A1A">
        <w:rPr>
          <w:rFonts w:ascii="Garamond" w:hAnsi="Garamond"/>
          <w:color w:val="000000" w:themeColor="text1"/>
          <w:lang w:val="en-US"/>
        </w:rPr>
        <w:t xml:space="preserve"> in a broad range of tables and graphics (Figure 1, arrow 4). </w:t>
      </w:r>
      <w:r w:rsidR="00774F68" w:rsidRPr="008C2A1A">
        <w:rPr>
          <w:rFonts w:ascii="Garamond" w:hAnsi="Garamond"/>
          <w:color w:val="000000" w:themeColor="text1"/>
          <w:lang w:val="en-US"/>
        </w:rPr>
        <w:t>B</w:t>
      </w:r>
      <w:r w:rsidR="007D7884" w:rsidRPr="008C2A1A">
        <w:rPr>
          <w:rFonts w:ascii="Garamond" w:hAnsi="Garamond"/>
          <w:color w:val="000000" w:themeColor="text1"/>
          <w:lang w:val="en-US"/>
        </w:rPr>
        <w:t xml:space="preserve">ecause the analysis in CoCaTax focuses on the differences before and after the fiscal reform, the fact that large parts of the different fiscal instruments are only computed in a highly stylized version in CoCaTax </w:t>
      </w:r>
      <w:r w:rsidR="00EC7DE9" w:rsidRPr="008C2A1A">
        <w:rPr>
          <w:rFonts w:ascii="Garamond" w:hAnsi="Garamond"/>
          <w:color w:val="000000" w:themeColor="text1"/>
          <w:lang w:val="en-US"/>
        </w:rPr>
        <w:t>is less of an issue</w:t>
      </w:r>
      <w:r w:rsidR="007D7884" w:rsidRPr="008C2A1A">
        <w:rPr>
          <w:rFonts w:ascii="Garamond" w:hAnsi="Garamond"/>
          <w:color w:val="000000" w:themeColor="text1"/>
          <w:lang w:val="en-US"/>
        </w:rPr>
        <w:t xml:space="preserve">. </w:t>
      </w:r>
      <w:r w:rsidR="007E2CDC" w:rsidRPr="008C2A1A">
        <w:rPr>
          <w:rFonts w:ascii="Garamond" w:hAnsi="Garamond"/>
          <w:color w:val="000000" w:themeColor="text1"/>
          <w:lang w:val="en-US"/>
        </w:rPr>
        <w:t xml:space="preserve">Since the </w:t>
      </w:r>
      <w:r w:rsidR="007D7884" w:rsidRPr="008C2A1A">
        <w:rPr>
          <w:rFonts w:ascii="Garamond" w:hAnsi="Garamond"/>
          <w:color w:val="000000" w:themeColor="text1"/>
          <w:lang w:val="en-US"/>
        </w:rPr>
        <w:t xml:space="preserve">details of </w:t>
      </w:r>
      <w:r w:rsidR="007E2CDC" w:rsidRPr="008C2A1A">
        <w:rPr>
          <w:rFonts w:ascii="Garamond" w:hAnsi="Garamond"/>
          <w:color w:val="000000" w:themeColor="text1"/>
          <w:lang w:val="en-US"/>
        </w:rPr>
        <w:t xml:space="preserve">the </w:t>
      </w:r>
      <w:r w:rsidR="007D7884" w:rsidRPr="008C2A1A">
        <w:rPr>
          <w:rFonts w:ascii="Garamond" w:hAnsi="Garamond"/>
          <w:color w:val="000000" w:themeColor="text1"/>
          <w:lang w:val="en-US"/>
        </w:rPr>
        <w:t xml:space="preserve">fiscal instruments that are unrelated to the treatment of company cars </w:t>
      </w:r>
      <w:r w:rsidR="00471274" w:rsidRPr="008C2A1A">
        <w:rPr>
          <w:rFonts w:ascii="Garamond" w:hAnsi="Garamond"/>
          <w:color w:val="000000" w:themeColor="text1"/>
          <w:lang w:val="en-US"/>
        </w:rPr>
        <w:t>do not change</w:t>
      </w:r>
      <w:r w:rsidR="007D7884" w:rsidRPr="008C2A1A">
        <w:rPr>
          <w:rFonts w:ascii="Garamond" w:hAnsi="Garamond"/>
          <w:color w:val="000000" w:themeColor="text1"/>
          <w:lang w:val="en-US"/>
        </w:rPr>
        <w:t xml:space="preserve"> in the reform, they would cancel out anyway when CoCaTax computes the difference between the situation before and after the fiscal reform. </w:t>
      </w:r>
    </w:p>
    <w:p w14:paraId="544BA23C" w14:textId="77777777" w:rsidR="007D7884" w:rsidRPr="008C2A1A" w:rsidRDefault="007D7884" w:rsidP="00FE760F">
      <w:pPr>
        <w:pStyle w:val="Normaalweb"/>
        <w:contextualSpacing/>
        <w:jc w:val="both"/>
        <w:rPr>
          <w:rFonts w:ascii="Garamond" w:hAnsi="Garamond"/>
          <w:color w:val="000000" w:themeColor="text1"/>
          <w:lang w:val="en-US"/>
        </w:rPr>
      </w:pPr>
    </w:p>
    <w:p w14:paraId="749BB0A9" w14:textId="5B3B5F44" w:rsidR="007D7884" w:rsidRPr="008C2A1A" w:rsidRDefault="00E006DF" w:rsidP="00FE760F">
      <w:pPr>
        <w:pStyle w:val="Normaalweb"/>
        <w:contextualSpacing/>
        <w:jc w:val="both"/>
        <w:rPr>
          <w:rFonts w:ascii="Garamond" w:hAnsi="Garamond"/>
          <w:color w:val="000000" w:themeColor="text1"/>
          <w:lang w:val="en-US"/>
        </w:rPr>
      </w:pPr>
      <w:r w:rsidRPr="008C2A1A">
        <w:rPr>
          <w:rFonts w:ascii="Garamond" w:hAnsi="Garamond"/>
          <w:color w:val="000000" w:themeColor="text1"/>
          <w:lang w:val="en-US"/>
        </w:rPr>
        <w:t>The above scheme describes the bare essence of a micro-simulation mo</w:t>
      </w:r>
      <w:r w:rsidR="00022E48" w:rsidRPr="008C2A1A">
        <w:rPr>
          <w:rFonts w:ascii="Garamond" w:hAnsi="Garamond"/>
          <w:color w:val="000000" w:themeColor="text1"/>
          <w:lang w:val="en-US"/>
        </w:rPr>
        <w:t>del of the fiscal system. It is arithmetic in the sense that it</w:t>
      </w:r>
      <w:r w:rsidRPr="008C2A1A">
        <w:rPr>
          <w:rFonts w:ascii="Garamond" w:hAnsi="Garamond"/>
          <w:color w:val="000000" w:themeColor="text1"/>
          <w:lang w:val="en-US"/>
        </w:rPr>
        <w:t xml:space="preserve"> applies the rules of the baseline and reformed fiscal system to each individual in the micro-dataset, assuming that the</w:t>
      </w:r>
      <w:r w:rsidR="00022E48" w:rsidRPr="008C2A1A">
        <w:rPr>
          <w:rFonts w:ascii="Garamond" w:hAnsi="Garamond"/>
          <w:color w:val="000000" w:themeColor="text1"/>
          <w:lang w:val="en-US"/>
        </w:rPr>
        <w:t>y</w:t>
      </w:r>
      <w:r w:rsidRPr="008C2A1A">
        <w:rPr>
          <w:rFonts w:ascii="Garamond" w:hAnsi="Garamond"/>
          <w:color w:val="000000" w:themeColor="text1"/>
          <w:lang w:val="en-US"/>
        </w:rPr>
        <w:t xml:space="preserve"> do not alter their </w:t>
      </w:r>
      <w:proofErr w:type="spellStart"/>
      <w:r w:rsidRPr="008C2A1A">
        <w:rPr>
          <w:rFonts w:ascii="Garamond" w:hAnsi="Garamond"/>
          <w:b/>
          <w:color w:val="000000" w:themeColor="text1"/>
          <w:lang w:val="en-US"/>
        </w:rPr>
        <w:t>behavio</w:t>
      </w:r>
      <w:r w:rsidR="00E67785" w:rsidRPr="008C2A1A">
        <w:rPr>
          <w:rFonts w:ascii="Garamond" w:hAnsi="Garamond"/>
          <w:b/>
          <w:color w:val="000000" w:themeColor="text1"/>
          <w:lang w:val="en-US"/>
        </w:rPr>
        <w:t>u</w:t>
      </w:r>
      <w:r w:rsidRPr="008C2A1A">
        <w:rPr>
          <w:rFonts w:ascii="Garamond" w:hAnsi="Garamond"/>
          <w:b/>
          <w:color w:val="000000" w:themeColor="text1"/>
          <w:lang w:val="en-US"/>
        </w:rPr>
        <w:t>r</w:t>
      </w:r>
      <w:proofErr w:type="spellEnd"/>
      <w:r w:rsidR="00022E48" w:rsidRPr="008C2A1A">
        <w:rPr>
          <w:rFonts w:ascii="Garamond" w:hAnsi="Garamond"/>
          <w:color w:val="000000" w:themeColor="text1"/>
          <w:lang w:val="en-US"/>
        </w:rPr>
        <w:t xml:space="preserve"> after the reform.</w:t>
      </w:r>
      <w:r w:rsidRPr="008C2A1A">
        <w:rPr>
          <w:rFonts w:ascii="Garamond" w:hAnsi="Garamond"/>
          <w:color w:val="000000" w:themeColor="text1"/>
          <w:lang w:val="en-US"/>
        </w:rPr>
        <w:t xml:space="preserve"> </w:t>
      </w:r>
      <w:r w:rsidR="00575A6E" w:rsidRPr="008C2A1A">
        <w:rPr>
          <w:rFonts w:ascii="Garamond" w:hAnsi="Garamond"/>
          <w:color w:val="000000" w:themeColor="text1"/>
          <w:lang w:val="en-US"/>
        </w:rPr>
        <w:t>This sort of analysis is sometimes referred to as an analysis of the "day af</w:t>
      </w:r>
      <w:r w:rsidR="00022E48" w:rsidRPr="008C2A1A">
        <w:rPr>
          <w:rFonts w:ascii="Garamond" w:hAnsi="Garamond"/>
          <w:color w:val="000000" w:themeColor="text1"/>
          <w:lang w:val="en-US"/>
        </w:rPr>
        <w:t>ter effects" of a fiscal reform.</w:t>
      </w:r>
      <w:r w:rsidR="00575A6E" w:rsidRPr="008C2A1A">
        <w:rPr>
          <w:rFonts w:ascii="Garamond" w:hAnsi="Garamond"/>
          <w:color w:val="000000" w:themeColor="text1"/>
          <w:lang w:val="en-US"/>
        </w:rPr>
        <w:t xml:space="preserve"> i.e., the effects </w:t>
      </w:r>
      <w:r w:rsidR="00022E48" w:rsidRPr="008C2A1A">
        <w:rPr>
          <w:rFonts w:ascii="Garamond" w:hAnsi="Garamond"/>
          <w:color w:val="000000" w:themeColor="text1"/>
          <w:lang w:val="en-US"/>
        </w:rPr>
        <w:t>of the</w:t>
      </w:r>
      <w:r w:rsidR="00575A6E" w:rsidRPr="008C2A1A">
        <w:rPr>
          <w:rFonts w:ascii="Garamond" w:hAnsi="Garamond"/>
          <w:color w:val="000000" w:themeColor="text1"/>
          <w:lang w:val="en-US"/>
        </w:rPr>
        <w:t xml:space="preserve"> </w:t>
      </w:r>
      <w:r w:rsidR="00022E48" w:rsidRPr="008C2A1A">
        <w:rPr>
          <w:rFonts w:ascii="Garamond" w:hAnsi="Garamond"/>
          <w:color w:val="000000" w:themeColor="text1"/>
          <w:lang w:val="en-US"/>
        </w:rPr>
        <w:t>reform</w:t>
      </w:r>
      <w:r w:rsidR="00575A6E" w:rsidRPr="008C2A1A">
        <w:rPr>
          <w:rFonts w:ascii="Garamond" w:hAnsi="Garamond"/>
          <w:color w:val="000000" w:themeColor="text1"/>
          <w:lang w:val="en-US"/>
        </w:rPr>
        <w:t xml:space="preserve"> before the individuals adapt their behavior to their new environment. However, </w:t>
      </w:r>
      <w:r w:rsidR="00EE0129" w:rsidRPr="008C2A1A">
        <w:rPr>
          <w:rFonts w:ascii="Garamond" w:hAnsi="Garamond"/>
          <w:color w:val="000000" w:themeColor="text1"/>
          <w:lang w:val="en-US"/>
        </w:rPr>
        <w:t xml:space="preserve">(one of) the main argument in favor of a reform the fiscal treatment of company cars is precisely the </w:t>
      </w:r>
      <w:r w:rsidR="00F028F5" w:rsidRPr="008C2A1A">
        <w:rPr>
          <w:rFonts w:ascii="Garamond" w:hAnsi="Garamond"/>
          <w:color w:val="000000" w:themeColor="text1"/>
          <w:lang w:val="en-US"/>
        </w:rPr>
        <w:t xml:space="preserve">expected </w:t>
      </w:r>
      <w:r w:rsidR="00575A6E" w:rsidRPr="008C2A1A">
        <w:rPr>
          <w:rFonts w:ascii="Garamond" w:hAnsi="Garamond"/>
          <w:color w:val="000000" w:themeColor="text1"/>
          <w:lang w:val="en-US"/>
        </w:rPr>
        <w:t xml:space="preserve">behavioral changes </w:t>
      </w:r>
      <w:r w:rsidR="00EE0129" w:rsidRPr="008C2A1A">
        <w:rPr>
          <w:rFonts w:ascii="Garamond" w:hAnsi="Garamond"/>
          <w:color w:val="000000" w:themeColor="text1"/>
          <w:lang w:val="en-US"/>
        </w:rPr>
        <w:t>they woul</w:t>
      </w:r>
      <w:r w:rsidR="0026010E" w:rsidRPr="008C2A1A">
        <w:rPr>
          <w:rFonts w:ascii="Garamond" w:hAnsi="Garamond"/>
          <w:color w:val="000000" w:themeColor="text1"/>
          <w:lang w:val="en-US"/>
        </w:rPr>
        <w:t xml:space="preserve">d induce. </w:t>
      </w:r>
      <w:r w:rsidR="00575A6E" w:rsidRPr="008C2A1A">
        <w:rPr>
          <w:rFonts w:ascii="Garamond" w:hAnsi="Garamond"/>
          <w:color w:val="000000" w:themeColor="text1"/>
          <w:lang w:val="en-US"/>
        </w:rPr>
        <w:t xml:space="preserve">The fiscal treatment of company cars </w:t>
      </w:r>
      <w:r w:rsidR="00AF223A" w:rsidRPr="008C2A1A">
        <w:rPr>
          <w:rFonts w:ascii="Garamond" w:hAnsi="Garamond"/>
          <w:color w:val="000000" w:themeColor="text1"/>
          <w:lang w:val="en-US"/>
        </w:rPr>
        <w:t>cause</w:t>
      </w:r>
      <w:r w:rsidR="00575A6E" w:rsidRPr="008C2A1A">
        <w:rPr>
          <w:rFonts w:ascii="Garamond" w:hAnsi="Garamond"/>
          <w:color w:val="000000" w:themeColor="text1"/>
          <w:lang w:val="en-US"/>
        </w:rPr>
        <w:t xml:space="preserve"> socially undesirable impact</w:t>
      </w:r>
      <w:r w:rsidR="00AF223A" w:rsidRPr="008C2A1A">
        <w:rPr>
          <w:rFonts w:ascii="Garamond" w:hAnsi="Garamond"/>
          <w:color w:val="000000" w:themeColor="text1"/>
          <w:lang w:val="en-US"/>
        </w:rPr>
        <w:t>s, among others</w:t>
      </w:r>
      <w:r w:rsidR="00575A6E" w:rsidRPr="008C2A1A">
        <w:rPr>
          <w:rFonts w:ascii="Garamond" w:hAnsi="Garamond"/>
          <w:color w:val="000000" w:themeColor="text1"/>
          <w:lang w:val="en-US"/>
        </w:rPr>
        <w:t xml:space="preserve"> in terms of congestion or air pollution.</w:t>
      </w:r>
      <w:r w:rsidR="00AF223A" w:rsidRPr="008C2A1A">
        <w:rPr>
          <w:rFonts w:ascii="Garamond" w:hAnsi="Garamond"/>
          <w:color w:val="000000" w:themeColor="text1"/>
          <w:lang w:val="en-US"/>
        </w:rPr>
        <w:t xml:space="preserve"> R</w:t>
      </w:r>
      <w:r w:rsidR="00575A6E" w:rsidRPr="008C2A1A">
        <w:rPr>
          <w:rFonts w:ascii="Garamond" w:hAnsi="Garamond"/>
          <w:color w:val="000000" w:themeColor="text1"/>
          <w:lang w:val="en-US"/>
        </w:rPr>
        <w:t xml:space="preserve">educing (the growth of) car use, making people switch from more polluting Diesel engines to gasoline or other engines, making people trade heavier company cars with bigger engines for smaller ones, are crucial </w:t>
      </w:r>
      <w:r w:rsidR="00BD7C29" w:rsidRPr="008C2A1A">
        <w:rPr>
          <w:rFonts w:ascii="Garamond" w:hAnsi="Garamond"/>
          <w:color w:val="000000" w:themeColor="text1"/>
          <w:lang w:val="en-US"/>
        </w:rPr>
        <w:t>aspects of the evaluation of reforms of the fiscal treatment of company cars.</w:t>
      </w:r>
    </w:p>
    <w:p w14:paraId="5EEAE4DA" w14:textId="77777777" w:rsidR="00371AD0" w:rsidRPr="008C2A1A" w:rsidRDefault="00371AD0" w:rsidP="00FE760F">
      <w:pPr>
        <w:pStyle w:val="Normaalweb"/>
        <w:contextualSpacing/>
        <w:jc w:val="both"/>
        <w:rPr>
          <w:rFonts w:ascii="Garamond" w:hAnsi="Garamond"/>
          <w:color w:val="000000" w:themeColor="text1"/>
          <w:lang w:val="en-US"/>
        </w:rPr>
      </w:pPr>
    </w:p>
    <w:p w14:paraId="7441FC59" w14:textId="442871CA" w:rsidR="00884537" w:rsidRPr="008C2A1A" w:rsidRDefault="0031424E" w:rsidP="00FE760F">
      <w:pPr>
        <w:pStyle w:val="Normaalweb"/>
        <w:contextualSpacing/>
        <w:jc w:val="both"/>
        <w:rPr>
          <w:rFonts w:ascii="Garamond" w:hAnsi="Garamond"/>
          <w:color w:val="000000" w:themeColor="text1"/>
          <w:lang w:val="en-US"/>
        </w:rPr>
      </w:pPr>
      <w:r w:rsidRPr="008C2A1A">
        <w:rPr>
          <w:rFonts w:ascii="Garamond" w:hAnsi="Garamond"/>
          <w:color w:val="000000" w:themeColor="text1"/>
          <w:lang w:val="en-US"/>
        </w:rPr>
        <w:t>Simulating behavioral react</w:t>
      </w:r>
      <w:r w:rsidR="009454AA" w:rsidRPr="008C2A1A">
        <w:rPr>
          <w:rFonts w:ascii="Garamond" w:hAnsi="Garamond"/>
          <w:color w:val="000000" w:themeColor="text1"/>
          <w:lang w:val="en-US"/>
        </w:rPr>
        <w:t xml:space="preserve">ions to fiscal reforms is </w:t>
      </w:r>
      <w:proofErr w:type="spellStart"/>
      <w:r w:rsidR="009454AA" w:rsidRPr="008C2A1A">
        <w:rPr>
          <w:rFonts w:ascii="Garamond" w:hAnsi="Garamond"/>
          <w:i/>
          <w:color w:val="000000" w:themeColor="text1"/>
          <w:lang w:val="en-US"/>
        </w:rPr>
        <w:t>stricto</w:t>
      </w:r>
      <w:proofErr w:type="spellEnd"/>
      <w:r w:rsidRPr="008C2A1A">
        <w:rPr>
          <w:rFonts w:ascii="Garamond" w:hAnsi="Garamond"/>
          <w:i/>
          <w:color w:val="000000" w:themeColor="text1"/>
          <w:lang w:val="en-US"/>
        </w:rPr>
        <w:t xml:space="preserve"> </w:t>
      </w:r>
      <w:proofErr w:type="spellStart"/>
      <w:r w:rsidRPr="008C2A1A">
        <w:rPr>
          <w:rFonts w:ascii="Garamond" w:hAnsi="Garamond"/>
          <w:i/>
          <w:color w:val="000000" w:themeColor="text1"/>
          <w:lang w:val="en-US"/>
        </w:rPr>
        <w:t>sensu</w:t>
      </w:r>
      <w:proofErr w:type="spellEnd"/>
      <w:r w:rsidRPr="008C2A1A">
        <w:rPr>
          <w:rFonts w:ascii="Garamond" w:hAnsi="Garamond"/>
          <w:color w:val="000000" w:themeColor="text1"/>
          <w:lang w:val="en-US"/>
        </w:rPr>
        <w:t xml:space="preserve"> not a part of micro-simulation models, but is managed by behavioral modules that </w:t>
      </w:r>
      <w:r w:rsidR="009454AA" w:rsidRPr="008C2A1A">
        <w:rPr>
          <w:rFonts w:ascii="Garamond" w:hAnsi="Garamond"/>
          <w:color w:val="000000" w:themeColor="text1"/>
          <w:lang w:val="en-US"/>
        </w:rPr>
        <w:t>can be</w:t>
      </w:r>
      <w:r w:rsidRPr="008C2A1A">
        <w:rPr>
          <w:rFonts w:ascii="Garamond" w:hAnsi="Garamond"/>
          <w:color w:val="000000" w:themeColor="text1"/>
          <w:lang w:val="en-US"/>
        </w:rPr>
        <w:t xml:space="preserve"> integrated in the simulation model. </w:t>
      </w:r>
      <w:r w:rsidR="00540A7B" w:rsidRPr="008C2A1A">
        <w:rPr>
          <w:rFonts w:ascii="Garamond" w:hAnsi="Garamond"/>
          <w:color w:val="000000" w:themeColor="text1"/>
          <w:lang w:val="en-US"/>
        </w:rPr>
        <w:t>In</w:t>
      </w:r>
      <w:r w:rsidR="001D1868" w:rsidRPr="008C2A1A">
        <w:rPr>
          <w:rFonts w:ascii="Garamond" w:hAnsi="Garamond"/>
          <w:color w:val="000000" w:themeColor="text1"/>
          <w:lang w:val="en-US"/>
        </w:rPr>
        <w:t xml:space="preserve"> CoCaTax, the behavioral module uses an estimation of how individual (company) car users react to changes in the fiscal treatment</w:t>
      </w:r>
      <w:r w:rsidR="006F76F7" w:rsidRPr="008C2A1A">
        <w:rPr>
          <w:rFonts w:ascii="Garamond" w:hAnsi="Garamond"/>
          <w:color w:val="000000" w:themeColor="text1"/>
          <w:lang w:val="en-US"/>
        </w:rPr>
        <w:t>, i.e. to changes in relative price, of a (company) car</w:t>
      </w:r>
      <w:r w:rsidR="001D1868" w:rsidRPr="008C2A1A">
        <w:rPr>
          <w:rFonts w:ascii="Garamond" w:hAnsi="Garamond"/>
          <w:color w:val="000000" w:themeColor="text1"/>
          <w:lang w:val="en-US"/>
        </w:rPr>
        <w:t xml:space="preserve"> (F</w:t>
      </w:r>
      <w:r w:rsidR="006F76F7" w:rsidRPr="008C2A1A">
        <w:rPr>
          <w:rFonts w:ascii="Garamond" w:hAnsi="Garamond"/>
          <w:color w:val="000000" w:themeColor="text1"/>
          <w:lang w:val="en-US"/>
        </w:rPr>
        <w:t>igure 1, arrow 5). Behavioral changes</w:t>
      </w:r>
      <w:r w:rsidR="00E45212" w:rsidRPr="008C2A1A">
        <w:rPr>
          <w:rFonts w:ascii="Garamond" w:hAnsi="Garamond"/>
          <w:color w:val="000000" w:themeColor="text1"/>
          <w:lang w:val="en-US"/>
        </w:rPr>
        <w:t xml:space="preserve"> may occur</w:t>
      </w:r>
      <w:r w:rsidR="006F76F7" w:rsidRPr="008C2A1A">
        <w:rPr>
          <w:rFonts w:ascii="Garamond" w:hAnsi="Garamond"/>
          <w:color w:val="000000" w:themeColor="text1"/>
          <w:lang w:val="en-US"/>
        </w:rPr>
        <w:t xml:space="preserve"> in terms</w:t>
      </w:r>
      <w:r w:rsidR="001D1868" w:rsidRPr="008C2A1A">
        <w:rPr>
          <w:rFonts w:ascii="Garamond" w:hAnsi="Garamond"/>
          <w:color w:val="000000" w:themeColor="text1"/>
          <w:lang w:val="en-US"/>
        </w:rPr>
        <w:t xml:space="preserve"> </w:t>
      </w:r>
      <w:r w:rsidR="00E45212" w:rsidRPr="008C2A1A">
        <w:rPr>
          <w:rFonts w:ascii="Garamond" w:hAnsi="Garamond"/>
          <w:color w:val="000000" w:themeColor="text1"/>
          <w:lang w:val="en-US"/>
        </w:rPr>
        <w:t>of</w:t>
      </w:r>
      <w:r w:rsidR="001D1868" w:rsidRPr="008C2A1A">
        <w:rPr>
          <w:rFonts w:ascii="Garamond" w:hAnsi="Garamond"/>
          <w:color w:val="000000" w:themeColor="text1"/>
          <w:lang w:val="en-US"/>
        </w:rPr>
        <w:t xml:space="preserve"> the </w:t>
      </w:r>
      <w:r w:rsidR="00E45212" w:rsidRPr="008C2A1A">
        <w:rPr>
          <w:rFonts w:ascii="Garamond" w:hAnsi="Garamond"/>
          <w:color w:val="000000" w:themeColor="text1"/>
          <w:lang w:val="en-US"/>
        </w:rPr>
        <w:t>modal choice among</w:t>
      </w:r>
      <w:r w:rsidR="001D1868" w:rsidRPr="008C2A1A">
        <w:rPr>
          <w:rFonts w:ascii="Garamond" w:hAnsi="Garamond"/>
          <w:color w:val="000000" w:themeColor="text1"/>
          <w:lang w:val="en-US"/>
        </w:rPr>
        <w:t xml:space="preserve"> </w:t>
      </w:r>
      <w:r w:rsidR="00E45212" w:rsidRPr="008C2A1A">
        <w:rPr>
          <w:rFonts w:ascii="Garamond" w:hAnsi="Garamond"/>
          <w:color w:val="000000" w:themeColor="text1"/>
          <w:lang w:val="en-US"/>
        </w:rPr>
        <w:t>car, train, bus, bicycle etc.</w:t>
      </w:r>
      <w:r w:rsidR="001D1868" w:rsidRPr="008C2A1A">
        <w:rPr>
          <w:rFonts w:ascii="Garamond" w:hAnsi="Garamond"/>
          <w:color w:val="000000" w:themeColor="text1"/>
          <w:lang w:val="en-US"/>
        </w:rPr>
        <w:t xml:space="preserve">, </w:t>
      </w:r>
      <w:r w:rsidR="00E45212" w:rsidRPr="008C2A1A">
        <w:rPr>
          <w:rFonts w:ascii="Garamond" w:hAnsi="Garamond"/>
          <w:color w:val="000000" w:themeColor="text1"/>
          <w:lang w:val="en-US"/>
        </w:rPr>
        <w:t>in terms of</w:t>
      </w:r>
      <w:r w:rsidR="001D1868" w:rsidRPr="008C2A1A">
        <w:rPr>
          <w:rFonts w:ascii="Garamond" w:hAnsi="Garamond"/>
          <w:color w:val="000000" w:themeColor="text1"/>
          <w:lang w:val="en-US"/>
        </w:rPr>
        <w:t xml:space="preserve"> the</w:t>
      </w:r>
      <w:r w:rsidR="00E45212" w:rsidRPr="008C2A1A">
        <w:rPr>
          <w:rFonts w:ascii="Garamond" w:hAnsi="Garamond"/>
          <w:color w:val="000000" w:themeColor="text1"/>
          <w:lang w:val="en-US"/>
        </w:rPr>
        <w:t xml:space="preserve"> choice of</w:t>
      </w:r>
      <w:r w:rsidR="001D1868" w:rsidRPr="008C2A1A">
        <w:rPr>
          <w:rFonts w:ascii="Garamond" w:hAnsi="Garamond"/>
          <w:color w:val="000000" w:themeColor="text1"/>
          <w:lang w:val="en-US"/>
        </w:rPr>
        <w:t xml:space="preserve"> different car models, </w:t>
      </w:r>
      <w:r w:rsidR="00E45212" w:rsidRPr="008C2A1A">
        <w:rPr>
          <w:rFonts w:ascii="Garamond" w:hAnsi="Garamond"/>
          <w:color w:val="000000" w:themeColor="text1"/>
          <w:lang w:val="en-US"/>
        </w:rPr>
        <w:t xml:space="preserve">of </w:t>
      </w:r>
      <w:r w:rsidR="001D1868" w:rsidRPr="008C2A1A">
        <w:rPr>
          <w:rFonts w:ascii="Garamond" w:hAnsi="Garamond"/>
          <w:color w:val="000000" w:themeColor="text1"/>
          <w:lang w:val="en-US"/>
        </w:rPr>
        <w:t xml:space="preserve">the total distance covered etc. Based on the </w:t>
      </w:r>
      <w:proofErr w:type="spellStart"/>
      <w:r w:rsidR="001D1868" w:rsidRPr="008C2A1A">
        <w:rPr>
          <w:rFonts w:ascii="Garamond" w:hAnsi="Garamond"/>
          <w:color w:val="000000" w:themeColor="text1"/>
          <w:lang w:val="en-US"/>
        </w:rPr>
        <w:t>the</w:t>
      </w:r>
      <w:proofErr w:type="spellEnd"/>
      <w:r w:rsidR="001D1868" w:rsidRPr="008C2A1A">
        <w:rPr>
          <w:rFonts w:ascii="Garamond" w:hAnsi="Garamond"/>
          <w:color w:val="000000" w:themeColor="text1"/>
          <w:lang w:val="en-US"/>
        </w:rPr>
        <w:t xml:space="preserve"> changes in the relative prices of the different mobility options, </w:t>
      </w:r>
      <w:r w:rsidR="00C373A0" w:rsidRPr="008C2A1A">
        <w:rPr>
          <w:rFonts w:ascii="Garamond" w:hAnsi="Garamond"/>
          <w:color w:val="000000" w:themeColor="text1"/>
          <w:lang w:val="en-US"/>
        </w:rPr>
        <w:t xml:space="preserve">the behavioral module then reconsiders the (mobility) behavior of each individual in the synthetic micro-dataset (Figure 1, arrow 6). If the behavioral model indicates that an individual who currently drives a BMW 320 D company car is most likely to switch to a Toyota Prius hybrid car </w:t>
      </w:r>
      <w:r w:rsidR="00E45212" w:rsidRPr="008C2A1A">
        <w:rPr>
          <w:rFonts w:ascii="Garamond" w:hAnsi="Garamond"/>
          <w:color w:val="000000" w:themeColor="text1"/>
          <w:lang w:val="en-US"/>
        </w:rPr>
        <w:t>and use</w:t>
      </w:r>
      <w:r w:rsidR="00C373A0" w:rsidRPr="008C2A1A">
        <w:rPr>
          <w:rFonts w:ascii="Garamond" w:hAnsi="Garamond"/>
          <w:color w:val="000000" w:themeColor="text1"/>
          <w:lang w:val="en-US"/>
        </w:rPr>
        <w:t xml:space="preserve"> his bicycle half of the time to commute to work, then the behavioral module changes the data for this individual accordingly in the synthetic dataset. </w:t>
      </w:r>
      <w:r w:rsidR="00884537" w:rsidRPr="008C2A1A">
        <w:rPr>
          <w:rFonts w:ascii="Garamond" w:hAnsi="Garamond"/>
          <w:color w:val="000000" w:themeColor="text1"/>
          <w:lang w:val="en-US"/>
        </w:rPr>
        <w:t>In doing so for each indiv</w:t>
      </w:r>
      <w:r w:rsidR="00E45212" w:rsidRPr="008C2A1A">
        <w:rPr>
          <w:rFonts w:ascii="Garamond" w:hAnsi="Garamond"/>
          <w:color w:val="000000" w:themeColor="text1"/>
          <w:lang w:val="en-US"/>
        </w:rPr>
        <w:t>idual, CoCaTax creates a second</w:t>
      </w:r>
      <w:r w:rsidR="00884537" w:rsidRPr="008C2A1A">
        <w:rPr>
          <w:rFonts w:ascii="Garamond" w:hAnsi="Garamond"/>
          <w:color w:val="000000" w:themeColor="text1"/>
          <w:lang w:val="en-US"/>
        </w:rPr>
        <w:t xml:space="preserve"> counterfactual dataset </w:t>
      </w:r>
      <w:r w:rsidR="00E45212" w:rsidRPr="008C2A1A">
        <w:rPr>
          <w:rFonts w:ascii="Garamond" w:hAnsi="Garamond"/>
          <w:color w:val="000000" w:themeColor="text1"/>
          <w:lang w:val="en-US"/>
        </w:rPr>
        <w:t>that</w:t>
      </w:r>
      <w:r w:rsidR="008E3AC2" w:rsidRPr="008C2A1A">
        <w:rPr>
          <w:rFonts w:ascii="Garamond" w:hAnsi="Garamond"/>
          <w:color w:val="000000" w:themeColor="text1"/>
          <w:lang w:val="en-US"/>
        </w:rPr>
        <w:t xml:space="preserve"> considers</w:t>
      </w:r>
      <w:r w:rsidR="00884537" w:rsidRPr="008C2A1A">
        <w:rPr>
          <w:rFonts w:ascii="Garamond" w:hAnsi="Garamond"/>
          <w:color w:val="000000" w:themeColor="text1"/>
          <w:lang w:val="en-US"/>
        </w:rPr>
        <w:t xml:space="preserve"> the </w:t>
      </w:r>
      <w:r w:rsidR="00E45212" w:rsidRPr="008C2A1A">
        <w:rPr>
          <w:rFonts w:ascii="Garamond" w:hAnsi="Garamond"/>
          <w:color w:val="000000" w:themeColor="text1"/>
          <w:lang w:val="en-US"/>
        </w:rPr>
        <w:t xml:space="preserve">estimated </w:t>
      </w:r>
      <w:r w:rsidR="00884537" w:rsidRPr="008C2A1A">
        <w:rPr>
          <w:rFonts w:ascii="Garamond" w:hAnsi="Garamond"/>
          <w:color w:val="000000" w:themeColor="text1"/>
          <w:lang w:val="en-US"/>
        </w:rPr>
        <w:t>behavioral reactions to the fisc</w:t>
      </w:r>
      <w:r w:rsidR="008E3AC2" w:rsidRPr="008C2A1A">
        <w:rPr>
          <w:rFonts w:ascii="Garamond" w:hAnsi="Garamond"/>
          <w:color w:val="000000" w:themeColor="text1"/>
          <w:lang w:val="en-US"/>
        </w:rPr>
        <w:t xml:space="preserve">al reform. </w:t>
      </w:r>
      <w:proofErr w:type="spellStart"/>
      <w:r w:rsidR="00EC06C9" w:rsidRPr="008C2A1A">
        <w:rPr>
          <w:rFonts w:ascii="Garamond" w:hAnsi="Garamond"/>
          <w:color w:val="000000" w:themeColor="text1"/>
          <w:lang w:val="en-US"/>
        </w:rPr>
        <w:t>Cocatax</w:t>
      </w:r>
      <w:proofErr w:type="spellEnd"/>
      <w:r w:rsidR="00EC06C9" w:rsidRPr="008C2A1A">
        <w:rPr>
          <w:rFonts w:ascii="Garamond" w:hAnsi="Garamond"/>
          <w:color w:val="000000" w:themeColor="text1"/>
          <w:lang w:val="en-US"/>
        </w:rPr>
        <w:t xml:space="preserve"> then computes the outcomes of the reformed fiscal rules applied on the new dataset, and compares it to the benchmark scenario. </w:t>
      </w:r>
    </w:p>
    <w:p w14:paraId="5EA22879" w14:textId="77777777" w:rsidR="00EC06C9" w:rsidRPr="008C2A1A" w:rsidRDefault="00EC06C9" w:rsidP="00FE760F">
      <w:pPr>
        <w:pStyle w:val="Normaalweb"/>
        <w:contextualSpacing/>
        <w:jc w:val="both"/>
        <w:rPr>
          <w:rFonts w:ascii="Garamond" w:hAnsi="Garamond"/>
          <w:color w:val="000000" w:themeColor="text1"/>
          <w:lang w:val="en-US"/>
        </w:rPr>
      </w:pPr>
    </w:p>
    <w:p w14:paraId="62F90BF2" w14:textId="39CCE611" w:rsidR="00B65C19" w:rsidRPr="008C2A1A" w:rsidRDefault="00CD30E9" w:rsidP="005D53AB">
      <w:pPr>
        <w:pStyle w:val="Normaalweb"/>
        <w:contextualSpacing/>
        <w:jc w:val="both"/>
        <w:rPr>
          <w:rFonts w:ascii="Garamond" w:hAnsi="Garamond"/>
          <w:color w:val="000000" w:themeColor="text1"/>
          <w:lang w:val="en-US"/>
        </w:rPr>
      </w:pPr>
      <w:r w:rsidRPr="008C2A1A">
        <w:rPr>
          <w:rFonts w:ascii="Garamond" w:hAnsi="Garamond"/>
          <w:color w:val="000000" w:themeColor="text1"/>
          <w:lang w:val="en-US"/>
        </w:rPr>
        <w:t xml:space="preserve">CoCaTax is designed as a polyvalent and modular platform to allow for further </w:t>
      </w:r>
      <w:r w:rsidRPr="008C2A1A">
        <w:rPr>
          <w:rFonts w:ascii="Garamond" w:hAnsi="Garamond"/>
          <w:b/>
          <w:color w:val="000000" w:themeColor="text1"/>
          <w:lang w:val="en-US"/>
        </w:rPr>
        <w:t>updates and upgrades</w:t>
      </w:r>
      <w:r w:rsidRPr="008C2A1A">
        <w:rPr>
          <w:rFonts w:ascii="Garamond" w:hAnsi="Garamond"/>
          <w:color w:val="000000" w:themeColor="text1"/>
          <w:lang w:val="en-US"/>
        </w:rPr>
        <w:t xml:space="preserve">. </w:t>
      </w:r>
      <w:r w:rsidR="001F73CE" w:rsidRPr="008C2A1A">
        <w:rPr>
          <w:rFonts w:ascii="Garamond" w:hAnsi="Garamond"/>
          <w:color w:val="000000" w:themeColor="text1"/>
          <w:lang w:val="en-US"/>
        </w:rPr>
        <w:t>Some of the modules</w:t>
      </w:r>
      <w:r w:rsidRPr="008C2A1A">
        <w:rPr>
          <w:rFonts w:ascii="Garamond" w:hAnsi="Garamond"/>
          <w:color w:val="000000" w:themeColor="text1"/>
          <w:lang w:val="en-US"/>
        </w:rPr>
        <w:t xml:space="preserve"> that represent elements of the fiscal system in a simplified </w:t>
      </w:r>
      <w:r w:rsidR="00F70B9F" w:rsidRPr="008C2A1A">
        <w:rPr>
          <w:rFonts w:ascii="Garamond" w:hAnsi="Garamond"/>
          <w:color w:val="000000" w:themeColor="text1"/>
          <w:lang w:val="en-US"/>
        </w:rPr>
        <w:t>form in early versions of CoCaTax</w:t>
      </w:r>
      <w:r w:rsidRPr="008C2A1A">
        <w:rPr>
          <w:rFonts w:ascii="Garamond" w:hAnsi="Garamond"/>
          <w:color w:val="000000" w:themeColor="text1"/>
          <w:lang w:val="en-US"/>
        </w:rPr>
        <w:t xml:space="preserve"> will be developed later on to cover the fiscal system in more detail</w:t>
      </w:r>
      <w:r w:rsidR="00F70B9F" w:rsidRPr="008C2A1A">
        <w:rPr>
          <w:rFonts w:ascii="Garamond" w:hAnsi="Garamond"/>
          <w:color w:val="000000" w:themeColor="text1"/>
          <w:lang w:val="en-US"/>
        </w:rPr>
        <w:t>s</w:t>
      </w:r>
      <w:r w:rsidRPr="008C2A1A">
        <w:rPr>
          <w:rFonts w:ascii="Garamond" w:hAnsi="Garamond"/>
          <w:color w:val="000000" w:themeColor="text1"/>
          <w:lang w:val="en-US"/>
        </w:rPr>
        <w:t>. The design of CoCaTax allows for such upgrades without significant interference in the remainder of the simulation model. The most recent information about what is included in the latest version of CoCaTax can be found in the version release notes</w:t>
      </w:r>
      <w:r w:rsidR="00B65C19" w:rsidRPr="008C2A1A">
        <w:rPr>
          <w:rFonts w:ascii="Garamond" w:hAnsi="Garamond"/>
          <w:color w:val="000000" w:themeColor="text1"/>
          <w:lang w:val="en-US"/>
        </w:rPr>
        <w:t>, which can be found in the Documents</w:t>
      </w:r>
      <w:r w:rsidR="005D53AB" w:rsidRPr="008C2A1A">
        <w:rPr>
          <w:rFonts w:ascii="Garamond" w:hAnsi="Garamond"/>
          <w:color w:val="000000" w:themeColor="text1"/>
          <w:lang w:val="en-US"/>
        </w:rPr>
        <w:t xml:space="preserve"> section of CoCaTax</w:t>
      </w:r>
      <w:r w:rsidR="00B65C19" w:rsidRPr="008C2A1A">
        <w:rPr>
          <w:rFonts w:ascii="Garamond" w:hAnsi="Garamond"/>
          <w:color w:val="000000" w:themeColor="text1"/>
          <w:lang w:val="en-US"/>
        </w:rPr>
        <w:t xml:space="preserve">. </w:t>
      </w:r>
    </w:p>
    <w:p w14:paraId="074C1C75" w14:textId="0A4A14CF" w:rsidR="00594280" w:rsidRPr="008C2A1A" w:rsidRDefault="00B65C19" w:rsidP="00FE760F">
      <w:pPr>
        <w:jc w:val="both"/>
        <w:rPr>
          <w:rFonts w:ascii="Garamond" w:hAnsi="Garamond"/>
          <w:color w:val="000000" w:themeColor="text1"/>
          <w:lang w:val="en-US"/>
        </w:rPr>
      </w:pPr>
      <w:r w:rsidRPr="008C2A1A">
        <w:rPr>
          <w:rFonts w:ascii="Garamond" w:hAnsi="Garamond"/>
          <w:color w:val="000000" w:themeColor="text1"/>
          <w:lang w:val="en-US"/>
        </w:rPr>
        <w:t xml:space="preserve">Note that CoCaTax has an important number of </w:t>
      </w:r>
      <w:r w:rsidRPr="008C2A1A">
        <w:rPr>
          <w:rFonts w:ascii="Garamond" w:hAnsi="Garamond"/>
          <w:b/>
          <w:color w:val="000000" w:themeColor="text1"/>
          <w:lang w:val="en-US"/>
        </w:rPr>
        <w:t>limitations</w:t>
      </w:r>
      <w:r w:rsidRPr="008C2A1A">
        <w:rPr>
          <w:rFonts w:ascii="Garamond" w:hAnsi="Garamond"/>
          <w:color w:val="000000" w:themeColor="text1"/>
          <w:lang w:val="en-US"/>
        </w:rPr>
        <w:t xml:space="preserve">. </w:t>
      </w:r>
      <w:r w:rsidR="00832B1F" w:rsidRPr="008C2A1A">
        <w:rPr>
          <w:rFonts w:ascii="Garamond" w:hAnsi="Garamond"/>
          <w:color w:val="000000" w:themeColor="text1"/>
          <w:lang w:val="en-US"/>
        </w:rPr>
        <w:t xml:space="preserve">These limitations are </w:t>
      </w:r>
      <w:r w:rsidR="00AB45A4" w:rsidRPr="008C2A1A">
        <w:rPr>
          <w:rFonts w:ascii="Garamond" w:hAnsi="Garamond"/>
          <w:color w:val="000000" w:themeColor="text1"/>
          <w:lang w:val="en-US"/>
        </w:rPr>
        <w:t>related</w:t>
      </w:r>
      <w:r w:rsidR="00832B1F" w:rsidRPr="008C2A1A">
        <w:rPr>
          <w:rFonts w:ascii="Garamond" w:hAnsi="Garamond"/>
          <w:color w:val="000000" w:themeColor="text1"/>
          <w:lang w:val="en-US"/>
        </w:rPr>
        <w:t xml:space="preserve"> </w:t>
      </w:r>
      <w:r w:rsidR="00AB45A4" w:rsidRPr="008C2A1A">
        <w:rPr>
          <w:rFonts w:ascii="Garamond" w:hAnsi="Garamond"/>
          <w:color w:val="000000" w:themeColor="text1"/>
          <w:lang w:val="en-US"/>
        </w:rPr>
        <w:t>to</w:t>
      </w:r>
      <w:r w:rsidR="00832B1F" w:rsidRPr="008C2A1A">
        <w:rPr>
          <w:rFonts w:ascii="Garamond" w:hAnsi="Garamond"/>
          <w:color w:val="000000" w:themeColor="text1"/>
          <w:lang w:val="en-US"/>
        </w:rPr>
        <w:t xml:space="preserve"> the limited reach of the micro-dataset on which CoCaTax </w:t>
      </w:r>
      <w:r w:rsidR="00AB45A4" w:rsidRPr="008C2A1A">
        <w:rPr>
          <w:rFonts w:ascii="Garamond" w:hAnsi="Garamond"/>
          <w:color w:val="000000" w:themeColor="text1"/>
          <w:lang w:val="en-US"/>
        </w:rPr>
        <w:t xml:space="preserve">runs </w:t>
      </w:r>
      <w:r w:rsidR="00832B1F" w:rsidRPr="008C2A1A">
        <w:rPr>
          <w:rFonts w:ascii="Garamond" w:hAnsi="Garamond"/>
          <w:color w:val="000000" w:themeColor="text1"/>
          <w:lang w:val="en-US"/>
        </w:rPr>
        <w:t>and</w:t>
      </w:r>
      <w:r w:rsidR="00AB45A4" w:rsidRPr="008C2A1A">
        <w:rPr>
          <w:rFonts w:ascii="Garamond" w:hAnsi="Garamond"/>
          <w:color w:val="000000" w:themeColor="text1"/>
          <w:lang w:val="en-US"/>
        </w:rPr>
        <w:t xml:space="preserve"> to</w:t>
      </w:r>
      <w:r w:rsidR="00832B1F" w:rsidRPr="008C2A1A">
        <w:rPr>
          <w:rFonts w:ascii="Garamond" w:hAnsi="Garamond"/>
          <w:color w:val="000000" w:themeColor="text1"/>
          <w:lang w:val="en-US"/>
        </w:rPr>
        <w:t xml:space="preserve"> the highly stylized fashion in which most fiscal instruments are modelled and analyzed in this model. </w:t>
      </w:r>
      <w:r w:rsidR="005A4744" w:rsidRPr="008C2A1A">
        <w:rPr>
          <w:rFonts w:ascii="Garamond" w:hAnsi="Garamond"/>
          <w:color w:val="000000" w:themeColor="text1"/>
          <w:lang w:val="en-US"/>
        </w:rPr>
        <w:t>D</w:t>
      </w:r>
      <w:r w:rsidR="00832B1F" w:rsidRPr="008C2A1A">
        <w:rPr>
          <w:rFonts w:ascii="Garamond" w:hAnsi="Garamond"/>
          <w:color w:val="000000" w:themeColor="text1"/>
          <w:lang w:val="en-US"/>
        </w:rPr>
        <w:t>ata limitations are a consequence of different factors. First, the EU-SILC is a r</w:t>
      </w:r>
      <w:r w:rsidR="00024A8E" w:rsidRPr="008C2A1A">
        <w:rPr>
          <w:rFonts w:ascii="Garamond" w:hAnsi="Garamond"/>
          <w:color w:val="000000" w:themeColor="text1"/>
          <w:lang w:val="en-US"/>
        </w:rPr>
        <w:t xml:space="preserve">epresentative dataset, but all in all </w:t>
      </w:r>
      <w:r w:rsidR="00832B1F" w:rsidRPr="008C2A1A">
        <w:rPr>
          <w:rFonts w:ascii="Garamond" w:hAnsi="Garamond"/>
          <w:color w:val="000000" w:themeColor="text1"/>
          <w:lang w:val="en-US"/>
        </w:rPr>
        <w:t xml:space="preserve">a relatively limited sample of the </w:t>
      </w:r>
      <w:r w:rsidR="00D1416F" w:rsidRPr="008C2A1A">
        <w:rPr>
          <w:rFonts w:ascii="Garamond" w:hAnsi="Garamond"/>
          <w:color w:val="000000" w:themeColor="text1"/>
          <w:lang w:val="en-US"/>
        </w:rPr>
        <w:t>entire population, and thus subject to</w:t>
      </w:r>
      <w:r w:rsidR="00832B1F" w:rsidRPr="008C2A1A">
        <w:rPr>
          <w:rFonts w:ascii="Garamond" w:hAnsi="Garamond"/>
          <w:color w:val="000000" w:themeColor="text1"/>
          <w:lang w:val="en-US"/>
        </w:rPr>
        <w:t xml:space="preserve"> potential sampling errors. Second, although EU-SILC </w:t>
      </w:r>
      <w:r w:rsidR="00D1416F" w:rsidRPr="008C2A1A">
        <w:rPr>
          <w:rFonts w:ascii="Garamond" w:hAnsi="Garamond"/>
          <w:color w:val="000000" w:themeColor="text1"/>
          <w:lang w:val="en-US"/>
        </w:rPr>
        <w:t xml:space="preserve">data </w:t>
      </w:r>
      <w:r w:rsidR="00832B1F" w:rsidRPr="008C2A1A">
        <w:rPr>
          <w:rFonts w:ascii="Garamond" w:hAnsi="Garamond"/>
          <w:color w:val="000000" w:themeColor="text1"/>
          <w:lang w:val="en-US"/>
        </w:rPr>
        <w:t>are relatively rich when it comes to income va</w:t>
      </w:r>
      <w:r w:rsidR="00673BA5" w:rsidRPr="008C2A1A">
        <w:rPr>
          <w:rFonts w:ascii="Garamond" w:hAnsi="Garamond"/>
          <w:color w:val="000000" w:themeColor="text1"/>
          <w:lang w:val="en-US"/>
        </w:rPr>
        <w:t>riables, the data are not</w:t>
      </w:r>
      <w:r w:rsidR="00832B1F" w:rsidRPr="008C2A1A">
        <w:rPr>
          <w:rFonts w:ascii="Garamond" w:hAnsi="Garamond"/>
          <w:color w:val="000000" w:themeColor="text1"/>
          <w:lang w:val="en-US"/>
        </w:rPr>
        <w:t xml:space="preserve"> detailed enough to f</w:t>
      </w:r>
      <w:r w:rsidR="007C56D0" w:rsidRPr="008C2A1A">
        <w:rPr>
          <w:rFonts w:ascii="Garamond" w:hAnsi="Garamond"/>
          <w:color w:val="000000" w:themeColor="text1"/>
          <w:lang w:val="en-US"/>
        </w:rPr>
        <w:t>ill in all fiel</w:t>
      </w:r>
      <w:r w:rsidR="00832B1F" w:rsidRPr="008C2A1A">
        <w:rPr>
          <w:rFonts w:ascii="Garamond" w:hAnsi="Garamond"/>
          <w:color w:val="000000" w:themeColor="text1"/>
          <w:lang w:val="en-US"/>
        </w:rPr>
        <w:t xml:space="preserve">ds of, e.g., a personal income tax form, such that we have to rely on approximations on many instances. Third, the EU-SILC are based on </w:t>
      </w:r>
      <w:r w:rsidR="00673BA5" w:rsidRPr="008C2A1A">
        <w:rPr>
          <w:rFonts w:ascii="Garamond" w:hAnsi="Garamond"/>
          <w:color w:val="000000" w:themeColor="text1"/>
          <w:lang w:val="en-US"/>
        </w:rPr>
        <w:t>survey</w:t>
      </w:r>
      <w:r w:rsidR="00832B1F" w:rsidRPr="008C2A1A">
        <w:rPr>
          <w:rFonts w:ascii="Garamond" w:hAnsi="Garamond"/>
          <w:color w:val="000000" w:themeColor="text1"/>
          <w:lang w:val="en-US"/>
        </w:rPr>
        <w:t>, and respondents can lie or ref</w:t>
      </w:r>
      <w:r w:rsidR="00DF1A35" w:rsidRPr="008C2A1A">
        <w:rPr>
          <w:rFonts w:ascii="Garamond" w:hAnsi="Garamond"/>
          <w:color w:val="000000" w:themeColor="text1"/>
          <w:lang w:val="en-US"/>
        </w:rPr>
        <w:t>use to answer (especially on</w:t>
      </w:r>
      <w:r w:rsidR="00832B1F" w:rsidRPr="008C2A1A">
        <w:rPr>
          <w:rFonts w:ascii="Garamond" w:hAnsi="Garamond"/>
          <w:color w:val="000000" w:themeColor="text1"/>
          <w:lang w:val="en-US"/>
        </w:rPr>
        <w:t xml:space="preserve"> their income, debt etc.). Fourth, the statistical matching procedure to merge different datasets is necessarily imperfect, and will generate some additional distortions in the data. Fifth, in order to protect the confidentiality of our micro-data while making to interactive simulation tool available online, the data used in the online version of CoCaT</w:t>
      </w:r>
      <w:r w:rsidR="00A90F3F" w:rsidRPr="008C2A1A">
        <w:rPr>
          <w:rFonts w:ascii="Garamond" w:hAnsi="Garamond"/>
          <w:color w:val="000000" w:themeColor="text1"/>
          <w:lang w:val="en-US"/>
        </w:rPr>
        <w:t>ax are simulated from the</w:t>
      </w:r>
      <w:r w:rsidR="00832B1F" w:rsidRPr="008C2A1A">
        <w:rPr>
          <w:rFonts w:ascii="Garamond" w:hAnsi="Garamond"/>
          <w:color w:val="000000" w:themeColor="text1"/>
          <w:lang w:val="en-US"/>
        </w:rPr>
        <w:t xml:space="preserve"> </w:t>
      </w:r>
      <w:r w:rsidR="00673BA5" w:rsidRPr="008C2A1A">
        <w:rPr>
          <w:rFonts w:ascii="Garamond" w:hAnsi="Garamond"/>
          <w:color w:val="000000" w:themeColor="text1"/>
          <w:lang w:val="en-US"/>
        </w:rPr>
        <w:t>original</w:t>
      </w:r>
      <w:r w:rsidR="00832B1F" w:rsidRPr="008C2A1A">
        <w:rPr>
          <w:rFonts w:ascii="Garamond" w:hAnsi="Garamond"/>
          <w:color w:val="000000" w:themeColor="text1"/>
          <w:lang w:val="en-US"/>
        </w:rPr>
        <w:t xml:space="preserve"> data. These simulated data are drawn according to the precise joint distributions of the </w:t>
      </w:r>
      <w:r w:rsidR="00673BA5" w:rsidRPr="008C2A1A">
        <w:rPr>
          <w:rFonts w:ascii="Garamond" w:hAnsi="Garamond"/>
          <w:color w:val="000000" w:themeColor="text1"/>
          <w:lang w:val="en-US"/>
        </w:rPr>
        <w:t>original</w:t>
      </w:r>
      <w:r w:rsidR="00832B1F" w:rsidRPr="008C2A1A">
        <w:rPr>
          <w:rFonts w:ascii="Garamond" w:hAnsi="Garamond"/>
          <w:color w:val="000000" w:themeColor="text1"/>
          <w:lang w:val="en-US"/>
        </w:rPr>
        <w:t xml:space="preserve"> data, and the </w:t>
      </w:r>
      <w:r w:rsidR="00594280" w:rsidRPr="008C2A1A">
        <w:rPr>
          <w:rFonts w:ascii="Garamond" w:hAnsi="Garamond"/>
          <w:color w:val="000000" w:themeColor="text1"/>
          <w:lang w:val="en-US"/>
        </w:rPr>
        <w:t xml:space="preserve">online version of the </w:t>
      </w:r>
      <w:r w:rsidR="00832B1F" w:rsidRPr="008C2A1A">
        <w:rPr>
          <w:rFonts w:ascii="Garamond" w:hAnsi="Garamond"/>
          <w:color w:val="000000" w:themeColor="text1"/>
          <w:lang w:val="en-US"/>
        </w:rPr>
        <w:t xml:space="preserve">simulation tool is extensively </w:t>
      </w:r>
      <w:r w:rsidR="00594280" w:rsidRPr="008C2A1A">
        <w:rPr>
          <w:rFonts w:ascii="Garamond" w:hAnsi="Garamond"/>
          <w:color w:val="000000" w:themeColor="text1"/>
          <w:lang w:val="en-US"/>
        </w:rPr>
        <w:t xml:space="preserve">compared to the simulation tool on the real data to validate it, but this process is bound to generate some extra noise on the results as well. </w:t>
      </w:r>
    </w:p>
    <w:p w14:paraId="0DEC6A4E" w14:textId="3C7DC3B6" w:rsidR="00594280" w:rsidRPr="008C2A1A" w:rsidRDefault="00594280" w:rsidP="00FE760F">
      <w:pPr>
        <w:pStyle w:val="Normaalweb"/>
        <w:jc w:val="both"/>
        <w:rPr>
          <w:rFonts w:ascii="Garamond" w:hAnsi="Garamond"/>
          <w:color w:val="000000" w:themeColor="text1"/>
          <w:lang w:val="en-US"/>
        </w:rPr>
      </w:pPr>
      <w:r w:rsidRPr="008C2A1A">
        <w:rPr>
          <w:rFonts w:ascii="Garamond" w:hAnsi="Garamond"/>
          <w:color w:val="000000" w:themeColor="text1"/>
          <w:lang w:val="en-US"/>
        </w:rPr>
        <w:t xml:space="preserve">Nevertheless, </w:t>
      </w:r>
      <w:r w:rsidR="00D2527D" w:rsidRPr="008C2A1A">
        <w:rPr>
          <w:rFonts w:ascii="Garamond" w:hAnsi="Garamond"/>
          <w:color w:val="000000" w:themeColor="text1"/>
          <w:lang w:val="en-US"/>
        </w:rPr>
        <w:t>Co</w:t>
      </w:r>
      <w:r w:rsidR="00894A5F" w:rsidRPr="008C2A1A">
        <w:rPr>
          <w:rFonts w:ascii="Garamond" w:hAnsi="Garamond"/>
          <w:color w:val="000000" w:themeColor="text1"/>
          <w:lang w:val="en-US"/>
        </w:rPr>
        <w:t>C</w:t>
      </w:r>
      <w:r w:rsidR="00D2527D" w:rsidRPr="008C2A1A">
        <w:rPr>
          <w:rFonts w:ascii="Garamond" w:hAnsi="Garamond"/>
          <w:color w:val="000000" w:themeColor="text1"/>
          <w:lang w:val="en-US"/>
        </w:rPr>
        <w:t>a</w:t>
      </w:r>
      <w:r w:rsidR="00894A5F" w:rsidRPr="008C2A1A">
        <w:rPr>
          <w:rFonts w:ascii="Garamond" w:hAnsi="Garamond"/>
          <w:color w:val="000000" w:themeColor="text1"/>
          <w:lang w:val="en-US"/>
        </w:rPr>
        <w:t>T</w:t>
      </w:r>
      <w:r w:rsidR="00D2527D" w:rsidRPr="008C2A1A">
        <w:rPr>
          <w:rFonts w:ascii="Garamond" w:hAnsi="Garamond"/>
          <w:color w:val="000000" w:themeColor="text1"/>
          <w:lang w:val="en-US"/>
        </w:rPr>
        <w:t>ax</w:t>
      </w:r>
      <w:r w:rsidRPr="008C2A1A">
        <w:rPr>
          <w:rFonts w:ascii="Garamond" w:hAnsi="Garamond"/>
          <w:color w:val="000000" w:themeColor="text1"/>
          <w:lang w:val="en-US"/>
        </w:rPr>
        <w:t xml:space="preserve"> compute</w:t>
      </w:r>
      <w:r w:rsidR="00D2527D" w:rsidRPr="008C2A1A">
        <w:rPr>
          <w:rFonts w:ascii="Garamond" w:hAnsi="Garamond"/>
          <w:color w:val="000000" w:themeColor="text1"/>
          <w:lang w:val="en-US"/>
        </w:rPr>
        <w:t>s</w:t>
      </w:r>
      <w:r w:rsidRPr="008C2A1A">
        <w:rPr>
          <w:rFonts w:ascii="Garamond" w:hAnsi="Garamond"/>
          <w:color w:val="000000" w:themeColor="text1"/>
          <w:lang w:val="en-US"/>
        </w:rPr>
        <w:t xml:space="preserve"> a broad range of elements of the fiscal treatment of company cars, for a broad and representative sample of society, and shows the final results of these computations in a transparent fashion. In this sense, although far from perfect, it should provide anyone interested in this issue with a far more detailed and broad view of the impact of a fiscal reform than the usual computations </w:t>
      </w:r>
      <w:r w:rsidR="00B832ED" w:rsidRPr="008C2A1A">
        <w:rPr>
          <w:rFonts w:ascii="Garamond" w:hAnsi="Garamond"/>
          <w:color w:val="000000" w:themeColor="text1"/>
          <w:lang w:val="en-US"/>
        </w:rPr>
        <w:t xml:space="preserve">done </w:t>
      </w:r>
      <w:r w:rsidRPr="008C2A1A">
        <w:rPr>
          <w:rFonts w:ascii="Garamond" w:hAnsi="Garamond"/>
          <w:color w:val="000000" w:themeColor="text1"/>
          <w:lang w:val="en-US"/>
        </w:rPr>
        <w:t xml:space="preserve">for a few 'representative' cases (typically, a single person with average income and a married couple with 2 children and average income). </w:t>
      </w:r>
    </w:p>
    <w:p w14:paraId="3883354C" w14:textId="77777777" w:rsidR="008A1E25" w:rsidRPr="008C2A1A" w:rsidRDefault="008A1E25" w:rsidP="00FE760F">
      <w:pPr>
        <w:pStyle w:val="Kop1"/>
        <w:jc w:val="both"/>
        <w:rPr>
          <w:rFonts w:ascii="Garamond" w:hAnsi="Garamond"/>
          <w:color w:val="000000" w:themeColor="text1"/>
          <w:sz w:val="28"/>
          <w:lang w:val="en-US"/>
        </w:rPr>
      </w:pPr>
      <w:r w:rsidRPr="008C2A1A">
        <w:rPr>
          <w:rFonts w:ascii="Garamond" w:hAnsi="Garamond"/>
          <w:color w:val="000000" w:themeColor="text1"/>
          <w:sz w:val="28"/>
          <w:lang w:val="en-US"/>
        </w:rPr>
        <w:t>6. Cash for car and the mobility budget: preliminary results</w:t>
      </w:r>
    </w:p>
    <w:p w14:paraId="12DE43AF" w14:textId="77777777" w:rsidR="008A1E25" w:rsidRPr="008C2A1A" w:rsidRDefault="008A1E25" w:rsidP="008A1E25">
      <w:pPr>
        <w:rPr>
          <w:color w:val="000000" w:themeColor="text1"/>
          <w:lang w:val="en-US"/>
        </w:rPr>
      </w:pPr>
    </w:p>
    <w:p w14:paraId="5EB1C48C" w14:textId="0C04A205" w:rsidR="00F306D2" w:rsidRPr="008C2A1A" w:rsidRDefault="00F306D2" w:rsidP="00F306D2">
      <w:pPr>
        <w:jc w:val="both"/>
        <w:rPr>
          <w:rFonts w:ascii="Garamond" w:hAnsi="Garamond"/>
          <w:color w:val="000000" w:themeColor="text1"/>
          <w:lang w:val="en-GB"/>
        </w:rPr>
      </w:pPr>
      <w:r w:rsidRPr="008C2A1A">
        <w:rPr>
          <w:rFonts w:ascii="Garamond" w:hAnsi="Garamond"/>
          <w:color w:val="000000" w:themeColor="text1"/>
          <w:lang w:val="en-GB"/>
        </w:rPr>
        <w:lastRenderedPageBreak/>
        <w:t>In this section, we use CoCaTax to study the effect of the mobility allowance and the mobility budget on public finance, firm profits and workers’ disposable incomes. At the time of the redaction of this chapter, CoCaTax still runs on test data dating from 2006-2008</w:t>
      </w:r>
      <w:r w:rsidR="002604E0" w:rsidRPr="008C2A1A">
        <w:rPr>
          <w:rFonts w:ascii="Garamond" w:hAnsi="Garamond"/>
          <w:color w:val="000000" w:themeColor="text1"/>
          <w:lang w:val="en-GB"/>
        </w:rPr>
        <w:t>, so the figures of this section should be interpreted with care</w:t>
      </w:r>
      <w:r w:rsidRPr="008C2A1A">
        <w:rPr>
          <w:rFonts w:ascii="Garamond" w:hAnsi="Garamond"/>
          <w:color w:val="000000" w:themeColor="text1"/>
          <w:lang w:val="en-GB"/>
        </w:rPr>
        <w:t>. Furthermore, the simulation tool does not yet include a proper behavioural module to predict which individuals choose to trade in a company car for the mobility allowance or the mobility budget.</w:t>
      </w:r>
      <w:r w:rsidRPr="008C2A1A">
        <w:rPr>
          <w:rStyle w:val="Voetnootmarkering"/>
          <w:rFonts w:ascii="Garamond" w:hAnsi="Garamond"/>
          <w:color w:val="000000" w:themeColor="text1"/>
          <w:lang w:val="en-GB"/>
        </w:rPr>
        <w:footnoteReference w:id="18"/>
      </w:r>
      <w:r w:rsidRPr="008C2A1A">
        <w:rPr>
          <w:rFonts w:ascii="Garamond" w:hAnsi="Garamond"/>
          <w:color w:val="000000" w:themeColor="text1"/>
          <w:lang w:val="en-GB"/>
        </w:rPr>
        <w:t xml:space="preserve"> Rather, CoCaTax users choose the probability with which a worker turns in a company car. Workers can therefore trade in a company car in the present simulation results while it is disadvantageous in terms of disposable income. Similarly, a firm may lose money if a worker turns in his car and therefore might decide to refuse such a request. That being said, the workers’ decisions depend on their utility, not only on their disposable income; e.g., environmental concerns matter as well. It is possible that workers who lose in monetary terms by turning in a company car do anyways in reality. In the same spirit, a firm whose costs would increase if a worker returns his company car may be in favour of it, e.g., to develop its image. </w:t>
      </w:r>
    </w:p>
    <w:p w14:paraId="64CE0D0B" w14:textId="77777777" w:rsidR="00F306D2" w:rsidRPr="008C2A1A" w:rsidRDefault="00F306D2" w:rsidP="00F306D2">
      <w:pPr>
        <w:jc w:val="both"/>
        <w:rPr>
          <w:rFonts w:ascii="Garamond" w:hAnsi="Garamond"/>
          <w:color w:val="000000" w:themeColor="text1"/>
          <w:lang w:val="en-GB"/>
        </w:rPr>
      </w:pPr>
    </w:p>
    <w:p w14:paraId="4FD74533" w14:textId="77777777" w:rsidR="00F306D2" w:rsidRPr="008C2A1A" w:rsidRDefault="00F306D2" w:rsidP="00F306D2">
      <w:pPr>
        <w:jc w:val="both"/>
        <w:rPr>
          <w:rFonts w:ascii="Garamond" w:hAnsi="Garamond"/>
          <w:color w:val="000000" w:themeColor="text1"/>
          <w:lang w:val="en-GB"/>
        </w:rPr>
      </w:pPr>
      <w:r w:rsidRPr="008C2A1A">
        <w:rPr>
          <w:rFonts w:ascii="Garamond" w:hAnsi="Garamond"/>
          <w:color w:val="000000" w:themeColor="text1"/>
          <w:lang w:val="en-GB"/>
        </w:rPr>
        <w:t>We will limit our attention in this chapter to the average effects of the reforms per turned in company car for the employers, the employees and the state. We only analyse a benchmark scenario where the reforms - mobility allowance and mobility budget - are imposed on all company car users rather than left to the discretion of employees and employers. The results should however be qualitatively similar if only a fraction of company cars were abandoned, since we only look at the average effects. Finally, we also restrict ourselves to the default parameters of the two reforms, i.e., as currently foreseen by law or law project. Readers are invited to test a broad set of variations on this scenario themselves on www.CoCaTax.be.</w:t>
      </w:r>
    </w:p>
    <w:p w14:paraId="10868614" w14:textId="77777777" w:rsidR="00F306D2" w:rsidRPr="008C2A1A" w:rsidRDefault="00F306D2" w:rsidP="00F306D2">
      <w:pPr>
        <w:jc w:val="both"/>
        <w:rPr>
          <w:rFonts w:ascii="Garamond" w:hAnsi="Garamond"/>
          <w:color w:val="000000" w:themeColor="text1"/>
          <w:lang w:val="en-GB"/>
        </w:rPr>
      </w:pPr>
    </w:p>
    <w:p w14:paraId="13D26ADC" w14:textId="77777777" w:rsidR="00F306D2" w:rsidRPr="008C2A1A" w:rsidRDefault="00F306D2" w:rsidP="00F306D2">
      <w:pPr>
        <w:jc w:val="both"/>
        <w:rPr>
          <w:rFonts w:ascii="Garamond" w:hAnsi="Garamond"/>
          <w:color w:val="000000" w:themeColor="text1"/>
          <w:lang w:val="en-GB"/>
        </w:rPr>
      </w:pPr>
      <w:r w:rsidRPr="008C2A1A">
        <w:rPr>
          <w:rFonts w:ascii="Garamond" w:hAnsi="Garamond"/>
          <w:color w:val="000000" w:themeColor="text1"/>
          <w:lang w:val="en-GB"/>
        </w:rPr>
        <w:t xml:space="preserve">The net profits of employers are affected by the reforms for many reasons: the total costs of providing a company car can disappear or change if a smaller car is provided; the mobility allowance or mobility budget have to be paid; the solidarity contribution is replaced by a social contribution on the cash received under the mobility budget; the financial contribution of the workers for the private use of a company car disappears and, finally, the VAT paid on the professional trips cannot be reimbursed anymore. When a car is turned in, the firm continues to pay the costs of professional trips. For the present exercise, we assume that these costs are on average 25% lower if the company car is replaced by a smaller and cheaper car. Where we compute the variation in employee's disposable income, this is defined as the sum of monetary incomes (salary, mobility allowance and the cash of the mobility budget) net of taxes and of the monetary value of private mobility services provided by the firm (sum of company car costs associated with private trips and the part of the mobility budget spent on durable transports). </w:t>
      </w:r>
      <w:r w:rsidRPr="008C2A1A">
        <w:rPr>
          <w:rFonts w:ascii="Garamond" w:hAnsi="Garamond"/>
          <w:color w:val="000000" w:themeColor="text1"/>
          <w:lang w:val="en-US"/>
        </w:rPr>
        <w:t xml:space="preserve">Finally, we will assume for the sake of simplicity that </w:t>
      </w:r>
      <w:r w:rsidRPr="008C2A1A">
        <w:rPr>
          <w:rFonts w:ascii="Garamond" w:hAnsi="Garamond"/>
          <w:color w:val="000000" w:themeColor="text1"/>
          <w:lang w:val="en-GB"/>
        </w:rPr>
        <w:t>VAT and corporate income tax revenues are fully allocated to the federal government, while the personal income tax revenue is split between federal, regional and local governments.</w:t>
      </w:r>
      <w:r w:rsidRPr="008C2A1A">
        <w:rPr>
          <w:rStyle w:val="Voetnootmarkering"/>
          <w:rFonts w:ascii="Garamond" w:hAnsi="Garamond"/>
          <w:color w:val="000000" w:themeColor="text1"/>
          <w:lang w:val="en-GB"/>
        </w:rPr>
        <w:footnoteReference w:id="19"/>
      </w:r>
    </w:p>
    <w:p w14:paraId="0A5A393D" w14:textId="77777777" w:rsidR="00F306D2" w:rsidRPr="008C2A1A" w:rsidRDefault="00F306D2" w:rsidP="00F306D2">
      <w:pPr>
        <w:jc w:val="both"/>
        <w:rPr>
          <w:rFonts w:ascii="Garamond" w:hAnsi="Garamond"/>
          <w:color w:val="000000" w:themeColor="text1"/>
          <w:lang w:val="en-GB"/>
        </w:rPr>
      </w:pPr>
    </w:p>
    <w:p w14:paraId="089A9C63" w14:textId="0103BED2" w:rsidR="00497E4A" w:rsidRPr="008C2A1A" w:rsidRDefault="00F306D2" w:rsidP="00497E4A">
      <w:pPr>
        <w:jc w:val="both"/>
        <w:rPr>
          <w:rFonts w:ascii="Garamond" w:hAnsi="Garamond"/>
          <w:color w:val="000000" w:themeColor="text1"/>
          <w:lang w:val="en-GB"/>
        </w:rPr>
      </w:pPr>
      <w:r w:rsidRPr="008C2A1A">
        <w:rPr>
          <w:rFonts w:ascii="Garamond" w:hAnsi="Garamond"/>
          <w:color w:val="000000" w:themeColor="text1"/>
          <w:lang w:val="en-GB"/>
        </w:rPr>
        <w:t xml:space="preserve">In CoCaTax, the reforms increase the pie to be shared amongst employees, employers and the state because cheaper cars are used for professional trips. This also implies a change in how the pie is shared among those agents. </w:t>
      </w:r>
      <w:r w:rsidR="00497E4A" w:rsidRPr="008C2A1A">
        <w:rPr>
          <w:rFonts w:ascii="Garamond" w:hAnsi="Garamond"/>
          <w:color w:val="000000" w:themeColor="text1"/>
          <w:lang w:val="en-GB"/>
        </w:rPr>
        <w:t xml:space="preserve">Table </w:t>
      </w:r>
      <w:r w:rsidR="00582E3E" w:rsidRPr="008C2A1A">
        <w:rPr>
          <w:rFonts w:ascii="Garamond" w:hAnsi="Garamond"/>
          <w:color w:val="000000" w:themeColor="text1"/>
          <w:lang w:val="en-GB"/>
        </w:rPr>
        <w:t>2</w:t>
      </w:r>
      <w:r w:rsidR="00CA52C7" w:rsidRPr="008C2A1A">
        <w:rPr>
          <w:rFonts w:ascii="Garamond" w:hAnsi="Garamond"/>
          <w:color w:val="000000" w:themeColor="text1"/>
          <w:lang w:val="en-GB"/>
        </w:rPr>
        <w:t xml:space="preserve"> contains the results presented and analysed </w:t>
      </w:r>
      <w:r w:rsidR="00497E4A" w:rsidRPr="008C2A1A">
        <w:rPr>
          <w:rFonts w:ascii="Garamond" w:hAnsi="Garamond"/>
          <w:color w:val="000000" w:themeColor="text1"/>
          <w:lang w:val="en-GB"/>
        </w:rPr>
        <w:t>in this section</w:t>
      </w:r>
      <w:r w:rsidR="00CA52C7" w:rsidRPr="008C2A1A">
        <w:rPr>
          <w:rFonts w:ascii="Garamond" w:hAnsi="Garamond"/>
          <w:color w:val="000000" w:themeColor="text1"/>
          <w:lang w:val="en-GB"/>
        </w:rPr>
        <w:t>, by providing</w:t>
      </w:r>
      <w:r w:rsidR="00497E4A" w:rsidRPr="008C2A1A">
        <w:rPr>
          <w:rFonts w:ascii="Garamond" w:hAnsi="Garamond"/>
          <w:color w:val="000000" w:themeColor="text1"/>
          <w:lang w:val="en-GB"/>
        </w:rPr>
        <w:t xml:space="preserve"> </w:t>
      </w:r>
      <w:r w:rsidR="00CA52C7" w:rsidRPr="008C2A1A">
        <w:rPr>
          <w:rFonts w:ascii="Garamond" w:hAnsi="Garamond"/>
          <w:color w:val="000000" w:themeColor="text1"/>
          <w:lang w:val="en-GB"/>
        </w:rPr>
        <w:t>the</w:t>
      </w:r>
      <w:r w:rsidR="00497E4A" w:rsidRPr="008C2A1A">
        <w:rPr>
          <w:rFonts w:ascii="Garamond" w:hAnsi="Garamond"/>
          <w:color w:val="000000" w:themeColor="text1"/>
          <w:lang w:val="en-GB"/>
        </w:rPr>
        <w:t xml:space="preserve"> decomposition of the effects of t</w:t>
      </w:r>
      <w:r w:rsidR="00CA52C7" w:rsidRPr="008C2A1A">
        <w:rPr>
          <w:rFonts w:ascii="Garamond" w:hAnsi="Garamond"/>
          <w:color w:val="000000" w:themeColor="text1"/>
          <w:lang w:val="en-GB"/>
        </w:rPr>
        <w:t>he reform through the different mechanisms</w:t>
      </w:r>
      <w:r w:rsidR="00497E4A" w:rsidRPr="008C2A1A">
        <w:rPr>
          <w:rFonts w:ascii="Garamond" w:hAnsi="Garamond"/>
          <w:color w:val="000000" w:themeColor="text1"/>
          <w:lang w:val="en-GB"/>
        </w:rPr>
        <w:t>.</w:t>
      </w:r>
      <w:r w:rsidR="00497E4A" w:rsidRPr="008C2A1A">
        <w:rPr>
          <w:rStyle w:val="Voetnootmarkering"/>
          <w:rFonts w:ascii="Garamond" w:hAnsi="Garamond"/>
          <w:color w:val="000000" w:themeColor="text1"/>
          <w:lang w:val="en-GB"/>
        </w:rPr>
        <w:footnoteReference w:id="20"/>
      </w:r>
      <w:r w:rsidR="00497E4A" w:rsidRPr="008C2A1A">
        <w:rPr>
          <w:rFonts w:ascii="Garamond" w:hAnsi="Garamond"/>
          <w:color w:val="000000" w:themeColor="text1"/>
          <w:lang w:val="en-GB"/>
        </w:rPr>
        <w:t xml:space="preserve"> </w:t>
      </w:r>
      <w:r w:rsidR="00CA52C7" w:rsidRPr="008C2A1A">
        <w:rPr>
          <w:rFonts w:ascii="Garamond" w:hAnsi="Garamond"/>
          <w:color w:val="000000" w:themeColor="text1"/>
          <w:lang w:val="en-GB"/>
        </w:rPr>
        <w:t xml:space="preserve"> </w:t>
      </w:r>
    </w:p>
    <w:p w14:paraId="2F66A7FD" w14:textId="77777777" w:rsidR="00CA52C7" w:rsidRPr="008C2A1A" w:rsidRDefault="00CA52C7" w:rsidP="00582E3E">
      <w:pPr>
        <w:ind w:firstLine="708"/>
        <w:jc w:val="both"/>
        <w:rPr>
          <w:rFonts w:ascii="Garamond" w:hAnsi="Garamond"/>
          <w:color w:val="000000" w:themeColor="text1"/>
          <w:lang w:val="en-GB"/>
        </w:rPr>
      </w:pPr>
    </w:p>
    <w:p w14:paraId="0D85AC67" w14:textId="728060CB" w:rsidR="00582E3E" w:rsidRPr="008C2A1A" w:rsidRDefault="00582E3E" w:rsidP="00582E3E">
      <w:pPr>
        <w:pStyle w:val="Bijschrift"/>
        <w:keepNext/>
        <w:jc w:val="both"/>
        <w:rPr>
          <w:color w:val="000000" w:themeColor="text1"/>
          <w:lang w:val="en-US"/>
        </w:rPr>
      </w:pPr>
      <w:r w:rsidRPr="008C2A1A">
        <w:rPr>
          <w:color w:val="000000" w:themeColor="text1"/>
          <w:lang w:val="en-US"/>
        </w:rPr>
        <w:t xml:space="preserve">Table </w:t>
      </w:r>
      <w:r w:rsidR="00772E76" w:rsidRPr="008C2A1A">
        <w:rPr>
          <w:color w:val="000000" w:themeColor="text1"/>
        </w:rPr>
        <w:fldChar w:fldCharType="begin"/>
      </w:r>
      <w:r w:rsidR="00772E76" w:rsidRPr="008C2A1A">
        <w:rPr>
          <w:color w:val="000000" w:themeColor="text1"/>
          <w:lang w:val="en-US"/>
        </w:rPr>
        <w:instrText xml:space="preserve"> SEQ Table \* ARABIC </w:instrText>
      </w:r>
      <w:r w:rsidR="00772E76" w:rsidRPr="008C2A1A">
        <w:rPr>
          <w:color w:val="000000" w:themeColor="text1"/>
        </w:rPr>
        <w:fldChar w:fldCharType="separate"/>
      </w:r>
      <w:r w:rsidR="002D6EB7">
        <w:rPr>
          <w:noProof/>
          <w:color w:val="000000" w:themeColor="text1"/>
          <w:lang w:val="en-US"/>
        </w:rPr>
        <w:t>2</w:t>
      </w:r>
      <w:r w:rsidR="00772E76" w:rsidRPr="008C2A1A">
        <w:rPr>
          <w:noProof/>
          <w:color w:val="000000" w:themeColor="text1"/>
        </w:rPr>
        <w:fldChar w:fldCharType="end"/>
      </w:r>
      <w:r w:rsidRPr="008C2A1A">
        <w:rPr>
          <w:color w:val="000000" w:themeColor="text1"/>
          <w:lang w:val="en-US"/>
        </w:rPr>
        <w:t xml:space="preserve">: Impact of the reforms on the </w:t>
      </w:r>
      <w:proofErr w:type="spellStart"/>
      <w:r w:rsidRPr="008C2A1A">
        <w:rPr>
          <w:color w:val="000000" w:themeColor="text1"/>
          <w:lang w:val="en-US"/>
        </w:rPr>
        <w:t>differents</w:t>
      </w:r>
      <w:proofErr w:type="spellEnd"/>
      <w:r w:rsidRPr="008C2A1A">
        <w:rPr>
          <w:color w:val="000000" w:themeColor="text1"/>
          <w:lang w:val="en-US"/>
        </w:rPr>
        <w:t xml:space="preserve"> actors</w:t>
      </w:r>
    </w:p>
    <w:p w14:paraId="691BE210" w14:textId="55707D67" w:rsidR="00C9717F" w:rsidRPr="008C2A1A" w:rsidRDefault="00582E3E" w:rsidP="00F306D2">
      <w:pPr>
        <w:jc w:val="both"/>
        <w:rPr>
          <w:rFonts w:ascii="Garamond" w:hAnsi="Garamond"/>
          <w:color w:val="000000" w:themeColor="text1"/>
          <w:lang w:val="en-GB"/>
        </w:rPr>
      </w:pPr>
      <w:r w:rsidRPr="008C2A1A">
        <w:rPr>
          <w:rFonts w:ascii="Garamond" w:hAnsi="Garamond"/>
          <w:noProof/>
          <w:color w:val="000000" w:themeColor="text1"/>
          <w:lang w:val="fr-FR" w:eastAsia="fr-FR"/>
        </w:rPr>
        <w:drawing>
          <wp:inline distT="0" distB="0" distL="0" distR="0" wp14:anchorId="5787B51A" wp14:editId="5EA7C23B">
            <wp:extent cx="4572000" cy="7163611"/>
            <wp:effectExtent l="0" t="0" r="0" b="0"/>
            <wp:docPr id="7" name="Imag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4572000" cy="7163611"/>
                    </a:xfrm>
                    <a:prstGeom prst="rect">
                      <a:avLst/>
                    </a:prstGeom>
                  </pic:spPr>
                </pic:pic>
              </a:graphicData>
            </a:graphic>
          </wp:inline>
        </w:drawing>
      </w:r>
    </w:p>
    <w:p w14:paraId="39934EA1" w14:textId="30EC2211" w:rsidR="00F306D2" w:rsidRPr="008C2A1A" w:rsidRDefault="00F306D2" w:rsidP="00F306D2">
      <w:pPr>
        <w:pStyle w:val="Kop1"/>
        <w:jc w:val="both"/>
        <w:rPr>
          <w:rFonts w:ascii="Garamond" w:hAnsi="Garamond"/>
          <w:b/>
          <w:color w:val="000000" w:themeColor="text1"/>
          <w:sz w:val="24"/>
          <w:lang w:val="en-GB"/>
        </w:rPr>
      </w:pPr>
      <w:r w:rsidRPr="008C2A1A">
        <w:rPr>
          <w:rFonts w:ascii="Garamond" w:hAnsi="Garamond"/>
          <w:b/>
          <w:color w:val="000000" w:themeColor="text1"/>
          <w:sz w:val="24"/>
          <w:lang w:val="en-GB"/>
        </w:rPr>
        <w:t>6.1 Mobility allowance</w:t>
      </w:r>
    </w:p>
    <w:p w14:paraId="633C556C" w14:textId="0108C012" w:rsidR="00F306D2" w:rsidRPr="008C2A1A" w:rsidRDefault="00F306D2" w:rsidP="00F306D2">
      <w:pPr>
        <w:jc w:val="both"/>
        <w:rPr>
          <w:rFonts w:ascii="Garamond" w:hAnsi="Garamond"/>
          <w:color w:val="000000" w:themeColor="text1"/>
          <w:lang w:val="en-GB"/>
        </w:rPr>
      </w:pPr>
      <w:r w:rsidRPr="008C2A1A">
        <w:rPr>
          <w:rFonts w:ascii="Garamond" w:hAnsi="Garamond"/>
          <w:color w:val="000000" w:themeColor="text1"/>
          <w:lang w:val="en-GB"/>
        </w:rPr>
        <w:t xml:space="preserve">We first analyse the effect of the mobility allowance on disposable income. First, the reform induces, on average, a reduction in personal income taxes of </w:t>
      </w:r>
      <w:r w:rsidR="00CB5778" w:rsidRPr="008C2A1A">
        <w:rPr>
          <w:rFonts w:ascii="Garamond" w:hAnsi="Garamond"/>
          <w:color w:val="000000" w:themeColor="text1"/>
          <w:lang w:val="en-GB"/>
        </w:rPr>
        <w:t>70</w:t>
      </w:r>
      <w:r w:rsidRPr="008C2A1A">
        <w:rPr>
          <w:rFonts w:ascii="Garamond" w:hAnsi="Garamond"/>
          <w:color w:val="000000" w:themeColor="text1"/>
          <w:lang w:val="en-GB"/>
        </w:rPr>
        <w:t xml:space="preserve">€ per year for those who turn in </w:t>
      </w:r>
      <w:r w:rsidRPr="008C2A1A">
        <w:rPr>
          <w:rFonts w:ascii="Garamond" w:hAnsi="Garamond"/>
          <w:color w:val="000000" w:themeColor="text1"/>
          <w:lang w:val="en-GB"/>
        </w:rPr>
        <w:lastRenderedPageBreak/>
        <w:t>their company car. Under bo</w:t>
      </w:r>
      <w:r w:rsidR="00BD46F3" w:rsidRPr="008C2A1A">
        <w:rPr>
          <w:rFonts w:ascii="Garamond" w:hAnsi="Garamond"/>
          <w:color w:val="000000" w:themeColor="text1"/>
          <w:lang w:val="en-GB"/>
        </w:rPr>
        <w:t>th regimes, the gross salary is</w:t>
      </w:r>
      <w:r w:rsidRPr="008C2A1A">
        <w:rPr>
          <w:rFonts w:ascii="Garamond" w:hAnsi="Garamond"/>
          <w:color w:val="000000" w:themeColor="text1"/>
          <w:lang w:val="en-GB"/>
        </w:rPr>
        <w:t xml:space="preserve"> kept identical in CoCaTax,</w:t>
      </w:r>
      <w:r w:rsidRPr="008C2A1A">
        <w:rPr>
          <w:rStyle w:val="Voetnootmarkering"/>
          <w:rFonts w:ascii="Garamond" w:hAnsi="Garamond"/>
          <w:color w:val="000000" w:themeColor="text1"/>
          <w:lang w:val="en-GB"/>
        </w:rPr>
        <w:footnoteReference w:id="21"/>
      </w:r>
      <w:r w:rsidRPr="008C2A1A">
        <w:rPr>
          <w:rFonts w:ascii="Garamond" w:hAnsi="Garamond"/>
          <w:color w:val="000000" w:themeColor="text1"/>
          <w:lang w:val="en-GB"/>
        </w:rPr>
        <w:t xml:space="preserve"> but a change occurs in the fiscal value of the fringe benefit, i.e. the amount of fringe benefits reported in the fiscal declaration. It is equal to 4% of 6/7 of the catalogue value of the returned car (without fuel card) under the mobility allowance, and on average more than that under the current company car regime.</w:t>
      </w:r>
      <w:r w:rsidRPr="008C2A1A">
        <w:rPr>
          <w:rStyle w:val="Voetnootmarkering"/>
          <w:rFonts w:ascii="Garamond" w:hAnsi="Garamond"/>
          <w:color w:val="000000" w:themeColor="text1"/>
          <w:lang w:val="en-GB"/>
        </w:rPr>
        <w:footnoteReference w:id="22"/>
      </w:r>
      <w:r w:rsidRPr="008C2A1A">
        <w:rPr>
          <w:rFonts w:ascii="Garamond" w:hAnsi="Garamond"/>
          <w:color w:val="000000" w:themeColor="text1"/>
          <w:lang w:val="en-GB"/>
        </w:rPr>
        <w:t xml:space="preserve"> Second, however, the value of the company car for the employee, which we assume to be equal to the cost supported by the firm for the private trips (opportunity cost principle), is on average higher than the cash obtained under the reform (</w:t>
      </w:r>
      <w:r w:rsidR="00CB5778" w:rsidRPr="008C2A1A">
        <w:rPr>
          <w:rFonts w:ascii="Garamond" w:hAnsi="Garamond"/>
          <w:color w:val="000000" w:themeColor="text1"/>
          <w:lang w:val="en-GB"/>
        </w:rPr>
        <w:t>respectively 5785€</w:t>
      </w:r>
      <w:r w:rsidRPr="008C2A1A">
        <w:rPr>
          <w:rFonts w:ascii="Garamond" w:hAnsi="Garamond"/>
          <w:color w:val="000000" w:themeColor="text1"/>
          <w:lang w:val="en-GB"/>
        </w:rPr>
        <w:t xml:space="preserve"> and </w:t>
      </w:r>
      <w:r w:rsidR="00CB5778" w:rsidRPr="008C2A1A">
        <w:rPr>
          <w:rFonts w:ascii="Garamond" w:hAnsi="Garamond"/>
          <w:color w:val="000000" w:themeColor="text1"/>
          <w:lang w:val="en-GB"/>
        </w:rPr>
        <w:t>4830€</w:t>
      </w:r>
      <w:r w:rsidRPr="008C2A1A">
        <w:rPr>
          <w:rFonts w:ascii="Garamond" w:hAnsi="Garamond"/>
          <w:color w:val="000000" w:themeColor="text1"/>
          <w:lang w:val="en-GB"/>
        </w:rPr>
        <w:t>). Since the latter effect dominates the personal income tax effect and the reform does not change social security contributions (both for employees and employers), we find that the disposable income of the employees is reduced</w:t>
      </w:r>
      <w:r w:rsidR="00DD0BA4" w:rsidRPr="008C2A1A">
        <w:rPr>
          <w:rFonts w:ascii="Garamond" w:hAnsi="Garamond"/>
          <w:color w:val="000000" w:themeColor="text1"/>
          <w:lang w:val="en-GB"/>
        </w:rPr>
        <w:t xml:space="preserve"> by </w:t>
      </w:r>
      <w:r w:rsidR="00CB5778" w:rsidRPr="008C2A1A">
        <w:rPr>
          <w:rFonts w:ascii="Garamond" w:hAnsi="Garamond"/>
          <w:color w:val="000000" w:themeColor="text1"/>
          <w:lang w:val="en-GB"/>
        </w:rPr>
        <w:t>299</w:t>
      </w:r>
      <w:r w:rsidR="00DD0BA4" w:rsidRPr="008C2A1A">
        <w:rPr>
          <w:rFonts w:ascii="Garamond" w:hAnsi="Garamond"/>
          <w:color w:val="000000" w:themeColor="text1"/>
          <w:lang w:val="en-GB"/>
        </w:rPr>
        <w:t>€ per year for those who turn in their company car</w:t>
      </w:r>
      <w:r w:rsidRPr="008C2A1A">
        <w:rPr>
          <w:rFonts w:ascii="Garamond" w:hAnsi="Garamond"/>
          <w:color w:val="000000" w:themeColor="text1"/>
          <w:lang w:val="en-GB"/>
        </w:rPr>
        <w:t xml:space="preserve">. Figure 3 depicts the effect of the reform on each individual as a function of their commuting distance, which can be understood as a measure of the importance of private use of the company car. The reform benefits on average those living close to their work (less than 15 kilometers), and thus </w:t>
      </w:r>
      <w:r w:rsidR="00F32C7B" w:rsidRPr="008C2A1A">
        <w:rPr>
          <w:rFonts w:ascii="Garamond" w:hAnsi="Garamond"/>
          <w:color w:val="000000" w:themeColor="text1"/>
          <w:lang w:val="en-GB"/>
        </w:rPr>
        <w:t xml:space="preserve">having </w:t>
      </w:r>
      <w:r w:rsidRPr="008C2A1A">
        <w:rPr>
          <w:rFonts w:ascii="Garamond" w:hAnsi="Garamond"/>
          <w:color w:val="000000" w:themeColor="text1"/>
          <w:lang w:val="en-GB"/>
        </w:rPr>
        <w:t>a relatively low private use of the company car, while it reduces the disposa</w:t>
      </w:r>
      <w:r w:rsidR="00EF47FD" w:rsidRPr="008C2A1A">
        <w:rPr>
          <w:rFonts w:ascii="Garamond" w:hAnsi="Garamond"/>
          <w:color w:val="000000" w:themeColor="text1"/>
          <w:lang w:val="en-GB"/>
        </w:rPr>
        <w:t>ble</w:t>
      </w:r>
      <w:r w:rsidRPr="008C2A1A">
        <w:rPr>
          <w:rFonts w:ascii="Garamond" w:hAnsi="Garamond"/>
          <w:color w:val="000000" w:themeColor="text1"/>
          <w:lang w:val="en-GB"/>
        </w:rPr>
        <w:t xml:space="preserve"> income of the others</w:t>
      </w:r>
      <w:r w:rsidR="00EF47FD" w:rsidRPr="008C2A1A">
        <w:rPr>
          <w:rFonts w:ascii="Garamond" w:hAnsi="Garamond"/>
          <w:color w:val="000000" w:themeColor="text1"/>
          <w:lang w:val="en-GB"/>
        </w:rPr>
        <w:t xml:space="preserve">. The reason is that </w:t>
      </w:r>
      <w:r w:rsidRPr="008C2A1A">
        <w:rPr>
          <w:rFonts w:ascii="Garamond" w:hAnsi="Garamond"/>
          <w:color w:val="000000" w:themeColor="text1"/>
          <w:lang w:val="en-GB"/>
        </w:rPr>
        <w:t xml:space="preserve">the amount of cash obtained under the mobility allowance does not depend on the kilometers driven for private purpose. </w:t>
      </w:r>
    </w:p>
    <w:p w14:paraId="1CA5EF65" w14:textId="77777777" w:rsidR="00F306D2" w:rsidRPr="008C2A1A" w:rsidRDefault="00F306D2" w:rsidP="00F306D2">
      <w:pPr>
        <w:jc w:val="both"/>
        <w:rPr>
          <w:rFonts w:ascii="Garamond" w:hAnsi="Garamond"/>
          <w:color w:val="000000" w:themeColor="text1"/>
          <w:lang w:val="en-GB"/>
        </w:rPr>
      </w:pPr>
    </w:p>
    <w:p w14:paraId="61EFFA29" w14:textId="77777777" w:rsidR="00F306D2" w:rsidRPr="008C2A1A" w:rsidRDefault="00F306D2" w:rsidP="00DC390D">
      <w:pPr>
        <w:keepNext/>
        <w:jc w:val="center"/>
        <w:rPr>
          <w:color w:val="000000" w:themeColor="text1"/>
        </w:rPr>
      </w:pPr>
      <w:r w:rsidRPr="008C2A1A">
        <w:rPr>
          <w:rFonts w:ascii="Garamond" w:hAnsi="Garamond"/>
          <w:noProof/>
          <w:color w:val="000000" w:themeColor="text1"/>
          <w:lang w:val="fr-FR" w:eastAsia="fr-FR"/>
        </w:rPr>
        <w:drawing>
          <wp:inline distT="0" distB="0" distL="0" distR="0" wp14:anchorId="327C9155" wp14:editId="373E6231">
            <wp:extent cx="4090035" cy="2363522"/>
            <wp:effectExtent l="0" t="0" r="0" b="0"/>
            <wp:docPr id="2" name="Imag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Capture d’écran 2018-12-06 à 15.02.20.png"/>
                    <pic:cNvPicPr/>
                  </pic:nvPicPr>
                  <pic:blipFill>
                    <a:blip r:embed="rId12">
                      <a:extLst>
                        <a:ext uri="{28A0092B-C50C-407E-A947-70E740481C1C}">
                          <a14:useLocalDpi xmlns:a14="http://schemas.microsoft.com/office/drawing/2010/main" val="0"/>
                        </a:ext>
                      </a:extLst>
                    </a:blip>
                    <a:stretch>
                      <a:fillRect/>
                    </a:stretch>
                  </pic:blipFill>
                  <pic:spPr>
                    <a:xfrm>
                      <a:off x="0" y="0"/>
                      <a:ext cx="4096602" cy="2367317"/>
                    </a:xfrm>
                    <a:prstGeom prst="rect">
                      <a:avLst/>
                    </a:prstGeom>
                  </pic:spPr>
                </pic:pic>
              </a:graphicData>
            </a:graphic>
          </wp:inline>
        </w:drawing>
      </w:r>
    </w:p>
    <w:p w14:paraId="6A9DBB07" w14:textId="6718D27F" w:rsidR="00F306D2" w:rsidRPr="008C2A1A" w:rsidRDefault="00F306D2" w:rsidP="00F306D2">
      <w:pPr>
        <w:pStyle w:val="Bijschrift"/>
        <w:jc w:val="both"/>
        <w:rPr>
          <w:color w:val="000000" w:themeColor="text1"/>
          <w:lang w:val="en-US"/>
        </w:rPr>
      </w:pPr>
      <w:r w:rsidRPr="008C2A1A">
        <w:rPr>
          <w:color w:val="000000" w:themeColor="text1"/>
          <w:lang w:val="en-US"/>
        </w:rPr>
        <w:t xml:space="preserve">Figure </w:t>
      </w:r>
      <w:r w:rsidRPr="008C2A1A">
        <w:rPr>
          <w:color w:val="000000" w:themeColor="text1"/>
        </w:rPr>
        <w:fldChar w:fldCharType="begin"/>
      </w:r>
      <w:r w:rsidRPr="008C2A1A">
        <w:rPr>
          <w:color w:val="000000" w:themeColor="text1"/>
          <w:lang w:val="en-US"/>
        </w:rPr>
        <w:instrText xml:space="preserve"> SEQ Figure \* ARABIC </w:instrText>
      </w:r>
      <w:r w:rsidRPr="008C2A1A">
        <w:rPr>
          <w:color w:val="000000" w:themeColor="text1"/>
        </w:rPr>
        <w:fldChar w:fldCharType="separate"/>
      </w:r>
      <w:r w:rsidR="002D6EB7">
        <w:rPr>
          <w:noProof/>
          <w:color w:val="000000" w:themeColor="text1"/>
          <w:lang w:val="en-US"/>
        </w:rPr>
        <w:t>3</w:t>
      </w:r>
      <w:r w:rsidRPr="008C2A1A">
        <w:rPr>
          <w:color w:val="000000" w:themeColor="text1"/>
        </w:rPr>
        <w:fldChar w:fldCharType="end"/>
      </w:r>
      <w:r w:rsidRPr="008C2A1A">
        <w:rPr>
          <w:color w:val="000000" w:themeColor="text1"/>
          <w:lang w:val="en-US"/>
        </w:rPr>
        <w:t>: Change in disposable income in function of commuting distance</w:t>
      </w:r>
    </w:p>
    <w:p w14:paraId="5F41BE05" w14:textId="325434A7" w:rsidR="00F306D2" w:rsidRPr="008C2A1A" w:rsidRDefault="00F306D2" w:rsidP="007D4F29">
      <w:pPr>
        <w:jc w:val="both"/>
        <w:rPr>
          <w:rFonts w:ascii="Garamond" w:hAnsi="Garamond"/>
          <w:color w:val="000000" w:themeColor="text1"/>
          <w:lang w:val="en-GB"/>
        </w:rPr>
      </w:pPr>
      <w:r w:rsidRPr="008C2A1A">
        <w:rPr>
          <w:rFonts w:ascii="Garamond" w:hAnsi="Garamond"/>
          <w:color w:val="000000" w:themeColor="text1"/>
          <w:lang w:val="en-GB"/>
        </w:rPr>
        <w:t>For the fiscal and parafiscal revenue, we find that the fiscal revenue increases globally. It increases for the VAT, decreases for the personal income tax (see above) and does not change significantly for the c</w:t>
      </w:r>
      <w:r w:rsidR="00F32C7B" w:rsidRPr="008C2A1A">
        <w:rPr>
          <w:rFonts w:ascii="Garamond" w:hAnsi="Garamond"/>
          <w:color w:val="000000" w:themeColor="text1"/>
          <w:lang w:val="en-GB"/>
        </w:rPr>
        <w:t xml:space="preserve">orporate income tax (respectively </w:t>
      </w:r>
      <w:r w:rsidR="00CB5778" w:rsidRPr="008C2A1A">
        <w:rPr>
          <w:rFonts w:ascii="Garamond" w:hAnsi="Garamond"/>
          <w:color w:val="000000" w:themeColor="text1"/>
          <w:lang w:val="en-GB"/>
        </w:rPr>
        <w:t>370, 70€ and 0</w:t>
      </w:r>
      <w:r w:rsidR="00F32C7B" w:rsidRPr="008C2A1A">
        <w:rPr>
          <w:rFonts w:ascii="Garamond" w:hAnsi="Garamond"/>
          <w:color w:val="000000" w:themeColor="text1"/>
          <w:lang w:val="en-GB"/>
        </w:rPr>
        <w:t xml:space="preserve">€ per turned </w:t>
      </w:r>
      <w:r w:rsidR="00722539" w:rsidRPr="008C2A1A">
        <w:rPr>
          <w:rFonts w:ascii="Garamond" w:hAnsi="Garamond"/>
          <w:color w:val="000000" w:themeColor="text1"/>
          <w:lang w:val="en-GB"/>
        </w:rPr>
        <w:t xml:space="preserve">in company </w:t>
      </w:r>
      <w:r w:rsidR="00F32C7B" w:rsidRPr="008C2A1A">
        <w:rPr>
          <w:rFonts w:ascii="Garamond" w:hAnsi="Garamond"/>
          <w:color w:val="000000" w:themeColor="text1"/>
          <w:lang w:val="en-GB"/>
        </w:rPr>
        <w:t>car)</w:t>
      </w:r>
      <w:r w:rsidRPr="008C2A1A">
        <w:rPr>
          <w:rFonts w:ascii="Garamond" w:hAnsi="Garamond"/>
          <w:color w:val="000000" w:themeColor="text1"/>
          <w:lang w:val="en-GB"/>
        </w:rPr>
        <w:t xml:space="preserve">. The VAT revenues are affected by two channels. First, the VAT due on business trips can only be recovered by the firm when made by company car. Under the mobility allowance, the firm thus contributes more to the VAT. Second, the VAT paid by the employees on their own consumption decreases due to a reduction in disposable income. We find that the first effect dominates (422€ and </w:t>
      </w:r>
      <w:r w:rsidR="00CB5778" w:rsidRPr="008C2A1A">
        <w:rPr>
          <w:rFonts w:ascii="Garamond" w:hAnsi="Garamond"/>
          <w:color w:val="000000" w:themeColor="text1"/>
          <w:lang w:val="en-GB"/>
        </w:rPr>
        <w:t>52€</w:t>
      </w:r>
      <w:r w:rsidRPr="008C2A1A">
        <w:rPr>
          <w:rFonts w:ascii="Garamond" w:hAnsi="Garamond"/>
          <w:color w:val="000000" w:themeColor="text1"/>
          <w:lang w:val="en-GB"/>
        </w:rPr>
        <w:t xml:space="preserve"> per returned car respectively), resulting in a higher amount collected by the state.</w:t>
      </w:r>
      <w:r w:rsidRPr="008C2A1A">
        <w:rPr>
          <w:rStyle w:val="Voetnootmarkering"/>
          <w:rFonts w:ascii="Garamond" w:hAnsi="Garamond"/>
          <w:color w:val="000000" w:themeColor="text1"/>
          <w:lang w:val="en-GB"/>
        </w:rPr>
        <w:footnoteReference w:id="23"/>
      </w:r>
      <w:r w:rsidRPr="008C2A1A">
        <w:rPr>
          <w:rFonts w:ascii="Garamond" w:hAnsi="Garamond"/>
          <w:color w:val="000000" w:themeColor="text1"/>
          <w:lang w:val="en-GB"/>
        </w:rPr>
        <w:t xml:space="preserve"> Corporate income taxes are nearly not affected. On the one hand, both the deductible sums (the cash and the cost of the company car, respectively) and the rate applied to these sums decrease under the reform. On the other hand, firms can deduct their additional VAT expenses under the reform. Adding up these </w:t>
      </w:r>
      <w:r w:rsidRPr="008C2A1A">
        <w:rPr>
          <w:rFonts w:ascii="Garamond" w:hAnsi="Garamond"/>
          <w:color w:val="000000" w:themeColor="text1"/>
          <w:lang w:val="en-GB"/>
        </w:rPr>
        <w:lastRenderedPageBreak/>
        <w:t xml:space="preserve">effects, the employees pay on average </w:t>
      </w:r>
      <w:r w:rsidR="00CB5778" w:rsidRPr="008C2A1A">
        <w:rPr>
          <w:rFonts w:ascii="Garamond" w:hAnsi="Garamond"/>
          <w:color w:val="000000" w:themeColor="text1"/>
          <w:lang w:val="en-GB"/>
        </w:rPr>
        <w:t>0.</w:t>
      </w:r>
      <w:r w:rsidRPr="008C2A1A">
        <w:rPr>
          <w:rFonts w:ascii="Garamond" w:hAnsi="Garamond"/>
          <w:color w:val="000000" w:themeColor="text1"/>
          <w:lang w:val="en-GB"/>
        </w:rPr>
        <w:t>19€ less of corporate income taxes per turned in company car. The overall effect on the federal government is slightly positive while the other levels of the state see a small reduction of their revenue. Finally, for the parafiscal revenue we see no change, because social security contributions are by construction kept constant in the mobility allowance reform.</w:t>
      </w:r>
    </w:p>
    <w:p w14:paraId="59B1EC3B" w14:textId="77777777" w:rsidR="007D4F29" w:rsidRPr="008C2A1A" w:rsidRDefault="007D4F29" w:rsidP="007D4F29">
      <w:pPr>
        <w:jc w:val="both"/>
        <w:rPr>
          <w:rFonts w:ascii="Garamond" w:hAnsi="Garamond"/>
          <w:color w:val="000000" w:themeColor="text1"/>
          <w:lang w:val="en-GB"/>
        </w:rPr>
      </w:pPr>
    </w:p>
    <w:p w14:paraId="54A06132" w14:textId="2EB115F3" w:rsidR="00F306D2" w:rsidRPr="008C2A1A" w:rsidRDefault="00A82CF7" w:rsidP="00D701F9">
      <w:pPr>
        <w:jc w:val="both"/>
        <w:rPr>
          <w:rFonts w:ascii="Garamond" w:hAnsi="Garamond"/>
          <w:color w:val="000000" w:themeColor="text1"/>
          <w:lang w:val="en-US"/>
        </w:rPr>
      </w:pPr>
      <w:r w:rsidRPr="008C2A1A">
        <w:rPr>
          <w:rFonts w:ascii="Garamond" w:hAnsi="Garamond"/>
          <w:color w:val="000000" w:themeColor="text1"/>
          <w:lang w:val="en-GB"/>
        </w:rPr>
        <w:t>The employer</w:t>
      </w:r>
      <w:r w:rsidR="00F306D2" w:rsidRPr="008C2A1A">
        <w:rPr>
          <w:rFonts w:ascii="Garamond" w:hAnsi="Garamond"/>
          <w:color w:val="000000" w:themeColor="text1"/>
          <w:lang w:val="en-GB"/>
        </w:rPr>
        <w:t>s</w:t>
      </w:r>
      <w:r w:rsidRPr="008C2A1A">
        <w:rPr>
          <w:rFonts w:ascii="Garamond" w:hAnsi="Garamond"/>
          <w:color w:val="000000" w:themeColor="text1"/>
          <w:lang w:val="en-GB"/>
        </w:rPr>
        <w:t>’</w:t>
      </w:r>
      <w:r w:rsidR="00F306D2" w:rsidRPr="008C2A1A">
        <w:rPr>
          <w:rFonts w:ascii="Garamond" w:hAnsi="Garamond"/>
          <w:color w:val="000000" w:themeColor="text1"/>
          <w:lang w:val="en-GB"/>
        </w:rPr>
        <w:t xml:space="preserve"> profit</w:t>
      </w:r>
      <w:r w:rsidRPr="008C2A1A">
        <w:rPr>
          <w:rFonts w:ascii="Garamond" w:hAnsi="Garamond"/>
          <w:color w:val="000000" w:themeColor="text1"/>
          <w:lang w:val="en-GB"/>
        </w:rPr>
        <w:t>s</w:t>
      </w:r>
      <w:r w:rsidR="00F306D2" w:rsidRPr="008C2A1A">
        <w:rPr>
          <w:rFonts w:ascii="Garamond" w:hAnsi="Garamond"/>
          <w:color w:val="000000" w:themeColor="text1"/>
          <w:lang w:val="en-GB"/>
        </w:rPr>
        <w:t xml:space="preserve"> increase on average by 81€ per year per turned in company car</w:t>
      </w:r>
      <w:r w:rsidR="00CB5778" w:rsidRPr="008C2A1A">
        <w:rPr>
          <w:rFonts w:ascii="Garamond" w:hAnsi="Garamond"/>
          <w:color w:val="000000" w:themeColor="text1"/>
          <w:lang w:val="en-GB"/>
        </w:rPr>
        <w:t>.</w:t>
      </w:r>
      <w:r w:rsidR="003B2C34" w:rsidRPr="008C2A1A">
        <w:rPr>
          <w:rFonts w:ascii="Garamond" w:hAnsi="Garamond"/>
          <w:color w:val="000000" w:themeColor="text1"/>
          <w:lang w:val="en-GB"/>
        </w:rPr>
        <w:t xml:space="preserve"> The main reason</w:t>
      </w:r>
      <w:r w:rsidR="00D701F9" w:rsidRPr="008C2A1A">
        <w:rPr>
          <w:rFonts w:ascii="Garamond" w:hAnsi="Garamond"/>
          <w:color w:val="000000" w:themeColor="text1"/>
          <w:lang w:val="en-GB"/>
        </w:rPr>
        <w:t xml:space="preserve"> </w:t>
      </w:r>
      <w:r w:rsidR="002F633C" w:rsidRPr="008C2A1A">
        <w:rPr>
          <w:rFonts w:ascii="Garamond" w:hAnsi="Garamond"/>
          <w:color w:val="000000" w:themeColor="text1"/>
          <w:lang w:val="en-GB"/>
        </w:rPr>
        <w:t>is that</w:t>
      </w:r>
      <w:r w:rsidR="00CB5778" w:rsidRPr="008C2A1A">
        <w:rPr>
          <w:rFonts w:ascii="Garamond" w:hAnsi="Garamond"/>
          <w:color w:val="000000" w:themeColor="text1"/>
          <w:lang w:val="en-GB"/>
        </w:rPr>
        <w:t xml:space="preserve"> the additional VAT</w:t>
      </w:r>
      <w:r w:rsidR="002F633C" w:rsidRPr="008C2A1A">
        <w:rPr>
          <w:rFonts w:ascii="Garamond" w:hAnsi="Garamond"/>
          <w:color w:val="000000" w:themeColor="text1"/>
          <w:lang w:val="en-GB"/>
        </w:rPr>
        <w:t xml:space="preserve"> </w:t>
      </w:r>
      <w:r w:rsidR="008769B8" w:rsidRPr="008C2A1A">
        <w:rPr>
          <w:rFonts w:ascii="Garamond" w:hAnsi="Garamond"/>
          <w:color w:val="000000" w:themeColor="text1"/>
          <w:lang w:val="en-GB"/>
        </w:rPr>
        <w:t>paid</w:t>
      </w:r>
      <w:r w:rsidR="00CB5778" w:rsidRPr="008C2A1A">
        <w:rPr>
          <w:rFonts w:ascii="Garamond" w:hAnsi="Garamond"/>
          <w:color w:val="000000" w:themeColor="text1"/>
          <w:lang w:val="en-GB"/>
        </w:rPr>
        <w:t xml:space="preserve"> </w:t>
      </w:r>
      <w:r w:rsidR="00DC0E2A" w:rsidRPr="008C2A1A">
        <w:rPr>
          <w:rFonts w:ascii="Garamond" w:hAnsi="Garamond"/>
          <w:color w:val="000000" w:themeColor="text1"/>
          <w:lang w:val="en-GB"/>
        </w:rPr>
        <w:t xml:space="preserve">is </w:t>
      </w:r>
      <w:r w:rsidR="00CB5778" w:rsidRPr="008C2A1A">
        <w:rPr>
          <w:rFonts w:ascii="Garamond" w:hAnsi="Garamond"/>
          <w:color w:val="000000" w:themeColor="text1"/>
          <w:lang w:val="en-GB"/>
        </w:rPr>
        <w:t>more than compensated by the reduction of the labour cost</w:t>
      </w:r>
      <w:r w:rsidR="00DF4594" w:rsidRPr="008C2A1A">
        <w:rPr>
          <w:rFonts w:ascii="Garamond" w:hAnsi="Garamond"/>
          <w:color w:val="000000" w:themeColor="text1"/>
          <w:lang w:val="en-GB"/>
        </w:rPr>
        <w:t>.</w:t>
      </w:r>
    </w:p>
    <w:p w14:paraId="27BDAC02" w14:textId="0710BAED" w:rsidR="00F306D2" w:rsidRPr="008C2A1A" w:rsidRDefault="00F306D2" w:rsidP="00F306D2">
      <w:pPr>
        <w:jc w:val="both"/>
        <w:rPr>
          <w:rFonts w:ascii="Garamond" w:hAnsi="Garamond"/>
          <w:color w:val="000000" w:themeColor="text1"/>
          <w:lang w:val="en-US"/>
        </w:rPr>
      </w:pPr>
    </w:p>
    <w:p w14:paraId="753DB090" w14:textId="507F78FA" w:rsidR="004E7573" w:rsidRPr="008C2A1A" w:rsidRDefault="004E7573" w:rsidP="00DB1C77">
      <w:pPr>
        <w:jc w:val="both"/>
        <w:rPr>
          <w:rFonts w:ascii="Garamond" w:hAnsi="Garamond"/>
          <w:b/>
          <w:color w:val="000000" w:themeColor="text1"/>
          <w:lang w:val="en-GB"/>
        </w:rPr>
      </w:pPr>
      <w:r w:rsidRPr="008C2A1A">
        <w:rPr>
          <w:rFonts w:ascii="Garamond" w:hAnsi="Garamond"/>
          <w:b/>
          <w:color w:val="000000" w:themeColor="text1"/>
          <w:lang w:val="en-GB"/>
        </w:rPr>
        <w:t>6.2. Mobility budget</w:t>
      </w:r>
    </w:p>
    <w:p w14:paraId="5AAB744B" w14:textId="05FE9EA2" w:rsidR="004E7573" w:rsidRPr="008C2A1A" w:rsidRDefault="004E7573" w:rsidP="004E7573">
      <w:pPr>
        <w:jc w:val="both"/>
        <w:rPr>
          <w:rFonts w:ascii="Garamond" w:hAnsi="Garamond"/>
          <w:color w:val="000000" w:themeColor="text1"/>
          <w:lang w:val="en-GB"/>
        </w:rPr>
      </w:pPr>
      <w:r w:rsidRPr="008C2A1A">
        <w:rPr>
          <w:rFonts w:ascii="Garamond" w:hAnsi="Garamond"/>
          <w:color w:val="000000" w:themeColor="text1"/>
          <w:lang w:val="en-GB"/>
        </w:rPr>
        <w:t>We now turn to the mobility budget, an amount paid by the employer to the employee who turn</w:t>
      </w:r>
      <w:r w:rsidR="002604E0" w:rsidRPr="008C2A1A">
        <w:rPr>
          <w:rFonts w:ascii="Garamond" w:hAnsi="Garamond"/>
          <w:color w:val="000000" w:themeColor="text1"/>
          <w:lang w:val="en-GB"/>
        </w:rPr>
        <w:t>s in</w:t>
      </w:r>
      <w:r w:rsidRPr="008C2A1A">
        <w:rPr>
          <w:rFonts w:ascii="Garamond" w:hAnsi="Garamond"/>
          <w:color w:val="000000" w:themeColor="text1"/>
          <w:lang w:val="en-GB"/>
        </w:rPr>
        <w:t xml:space="preserve"> his </w:t>
      </w:r>
      <w:r w:rsidR="002604E0" w:rsidRPr="008C2A1A">
        <w:rPr>
          <w:rFonts w:ascii="Garamond" w:hAnsi="Garamond"/>
          <w:color w:val="000000" w:themeColor="text1"/>
          <w:lang w:val="en-GB"/>
        </w:rPr>
        <w:t xml:space="preserve">company </w:t>
      </w:r>
      <w:r w:rsidRPr="008C2A1A">
        <w:rPr>
          <w:rFonts w:ascii="Garamond" w:hAnsi="Garamond"/>
          <w:color w:val="000000" w:themeColor="text1"/>
          <w:lang w:val="en-GB"/>
        </w:rPr>
        <w:t xml:space="preserve">car and which can be allocated on </w:t>
      </w:r>
      <w:r w:rsidR="002604E0" w:rsidRPr="008C2A1A">
        <w:rPr>
          <w:rFonts w:ascii="Garamond" w:hAnsi="Garamond"/>
          <w:color w:val="000000" w:themeColor="text1"/>
          <w:lang w:val="en-GB"/>
        </w:rPr>
        <w:t xml:space="preserve">(cleaner) </w:t>
      </w:r>
      <w:r w:rsidRPr="008C2A1A">
        <w:rPr>
          <w:rFonts w:ascii="Garamond" w:hAnsi="Garamond"/>
          <w:color w:val="000000" w:themeColor="text1"/>
          <w:lang w:val="en-GB"/>
        </w:rPr>
        <w:t xml:space="preserve">company car expenses, sustainable transport expenses and cash. </w:t>
      </w:r>
      <w:r w:rsidR="009F54FD" w:rsidRPr="008C2A1A">
        <w:rPr>
          <w:rFonts w:ascii="Garamond" w:hAnsi="Garamond"/>
          <w:color w:val="000000" w:themeColor="text1"/>
          <w:lang w:val="en-GB"/>
        </w:rPr>
        <w:t xml:space="preserve">The mobility budget is the difference between the total cost of the company car and the financial contribution of the employee, and amounts on average to </w:t>
      </w:r>
      <w:r w:rsidR="009D3525" w:rsidRPr="008C2A1A">
        <w:rPr>
          <w:rFonts w:ascii="Garamond" w:hAnsi="Garamond"/>
          <w:color w:val="000000" w:themeColor="text1"/>
          <w:lang w:val="en-GB"/>
        </w:rPr>
        <w:t>5997</w:t>
      </w:r>
      <w:r w:rsidR="009F54FD" w:rsidRPr="008C2A1A">
        <w:rPr>
          <w:rFonts w:ascii="Garamond" w:hAnsi="Garamond"/>
          <w:color w:val="000000" w:themeColor="text1"/>
          <w:lang w:val="en-GB"/>
        </w:rPr>
        <w:t>€</w:t>
      </w:r>
      <w:r w:rsidR="002604E0" w:rsidRPr="008C2A1A">
        <w:rPr>
          <w:rFonts w:ascii="Garamond" w:hAnsi="Garamond"/>
          <w:color w:val="000000" w:themeColor="text1"/>
          <w:lang w:val="en-GB"/>
        </w:rPr>
        <w:t xml:space="preserve"> for our test data</w:t>
      </w:r>
      <w:r w:rsidR="009F54FD" w:rsidRPr="008C2A1A">
        <w:rPr>
          <w:rFonts w:ascii="Garamond" w:hAnsi="Garamond"/>
          <w:color w:val="000000" w:themeColor="text1"/>
          <w:lang w:val="en-GB"/>
        </w:rPr>
        <w:t xml:space="preserve">. </w:t>
      </w:r>
      <w:r w:rsidRPr="008C2A1A">
        <w:rPr>
          <w:rFonts w:ascii="Garamond" w:hAnsi="Garamond"/>
          <w:color w:val="000000" w:themeColor="text1"/>
          <w:lang w:val="en-GB"/>
        </w:rPr>
        <w:t xml:space="preserve">We assume that 80% of mobility budget beneficiaries keep a company car </w:t>
      </w:r>
      <w:r w:rsidR="002604E0" w:rsidRPr="008C2A1A">
        <w:rPr>
          <w:rFonts w:ascii="Garamond" w:hAnsi="Garamond"/>
          <w:color w:val="000000" w:themeColor="text1"/>
          <w:lang w:val="en-GB"/>
        </w:rPr>
        <w:t>after</w:t>
      </w:r>
      <w:r w:rsidRPr="008C2A1A">
        <w:rPr>
          <w:rFonts w:ascii="Garamond" w:hAnsi="Garamond"/>
          <w:color w:val="000000" w:themeColor="text1"/>
          <w:lang w:val="en-GB"/>
        </w:rPr>
        <w:t xml:space="preserve"> the reform and that the fraction of the remaining budget allocated to cash is drawn from a uniform distribution on 0%-100%.</w:t>
      </w:r>
    </w:p>
    <w:p w14:paraId="7E9939BC" w14:textId="77777777" w:rsidR="004E7573" w:rsidRPr="008C2A1A" w:rsidRDefault="004E7573" w:rsidP="00DB1C77">
      <w:pPr>
        <w:jc w:val="both"/>
        <w:rPr>
          <w:rFonts w:ascii="Garamond" w:hAnsi="Garamond"/>
          <w:color w:val="000000" w:themeColor="text1"/>
          <w:lang w:val="en-GB"/>
        </w:rPr>
      </w:pPr>
    </w:p>
    <w:p w14:paraId="5748CEFE" w14:textId="3A765ABC" w:rsidR="004E7573" w:rsidRPr="008C2A1A" w:rsidRDefault="002604E0" w:rsidP="004E7573">
      <w:pPr>
        <w:jc w:val="both"/>
        <w:rPr>
          <w:rFonts w:ascii="Garamond" w:hAnsi="Garamond"/>
          <w:color w:val="000000" w:themeColor="text1"/>
          <w:lang w:val="en-GB"/>
        </w:rPr>
      </w:pPr>
      <w:r w:rsidRPr="008C2A1A">
        <w:rPr>
          <w:rFonts w:ascii="Garamond" w:hAnsi="Garamond"/>
          <w:color w:val="000000" w:themeColor="text1"/>
          <w:lang w:val="en-GB"/>
        </w:rPr>
        <w:t>In this case, t</w:t>
      </w:r>
      <w:r w:rsidR="004E7573" w:rsidRPr="008C2A1A">
        <w:rPr>
          <w:rFonts w:ascii="Garamond" w:hAnsi="Garamond"/>
          <w:color w:val="000000" w:themeColor="text1"/>
          <w:lang w:val="en-GB"/>
        </w:rPr>
        <w:t>he disposable income increases on average by 193€ per year per person. Even though the employee</w:t>
      </w:r>
      <w:r w:rsidR="000A7769" w:rsidRPr="008C2A1A">
        <w:rPr>
          <w:rFonts w:ascii="Garamond" w:hAnsi="Garamond"/>
          <w:color w:val="000000" w:themeColor="text1"/>
          <w:lang w:val="en-GB"/>
        </w:rPr>
        <w:t>s’</w:t>
      </w:r>
      <w:r w:rsidR="004E7573" w:rsidRPr="008C2A1A">
        <w:rPr>
          <w:rFonts w:ascii="Garamond" w:hAnsi="Garamond"/>
          <w:color w:val="000000" w:themeColor="text1"/>
          <w:lang w:val="en-GB"/>
        </w:rPr>
        <w:t xml:space="preserve"> social contributions increase (they are due on the cash pillar but not on the declared</w:t>
      </w:r>
      <w:r w:rsidR="000A7769" w:rsidRPr="008C2A1A">
        <w:rPr>
          <w:rFonts w:ascii="Garamond" w:hAnsi="Garamond"/>
          <w:color w:val="000000" w:themeColor="text1"/>
          <w:lang w:val="en-GB"/>
        </w:rPr>
        <w:t xml:space="preserve"> fringe benefits), they</w:t>
      </w:r>
      <w:r w:rsidR="004E7573" w:rsidRPr="008C2A1A">
        <w:rPr>
          <w:rFonts w:ascii="Garamond" w:hAnsi="Garamond"/>
          <w:color w:val="000000" w:themeColor="text1"/>
          <w:lang w:val="en-GB"/>
        </w:rPr>
        <w:t xml:space="preserve"> pay lower personal income taxes (the part of the mobility budget that is not spent on a company car is exempt from personal income tax</w:t>
      </w:r>
      <w:r w:rsidRPr="008C2A1A">
        <w:rPr>
          <w:rFonts w:ascii="Garamond" w:hAnsi="Garamond"/>
          <w:color w:val="000000" w:themeColor="text1"/>
          <w:lang w:val="en-GB"/>
        </w:rPr>
        <w:t>ation</w:t>
      </w:r>
      <w:r w:rsidR="004E7573" w:rsidRPr="008C2A1A">
        <w:rPr>
          <w:rFonts w:ascii="Garamond" w:hAnsi="Garamond"/>
          <w:color w:val="000000" w:themeColor="text1"/>
          <w:lang w:val="en-GB"/>
        </w:rPr>
        <w:t>) and benefit from the cheaper car used for professional trips.</w:t>
      </w:r>
      <w:r w:rsidR="009F54FD" w:rsidRPr="008C2A1A">
        <w:rPr>
          <w:rStyle w:val="Voetnootmarkering"/>
          <w:rFonts w:ascii="Garamond" w:hAnsi="Garamond"/>
          <w:color w:val="000000" w:themeColor="text1"/>
          <w:lang w:val="en-GB"/>
        </w:rPr>
        <w:footnoteReference w:id="24"/>
      </w:r>
      <w:r w:rsidR="004E7573" w:rsidRPr="008C2A1A">
        <w:rPr>
          <w:rFonts w:ascii="Garamond" w:hAnsi="Garamond"/>
          <w:color w:val="000000" w:themeColor="text1"/>
          <w:lang w:val="en-GB"/>
        </w:rPr>
        <w:t xml:space="preserve"> </w:t>
      </w:r>
    </w:p>
    <w:p w14:paraId="1F39BD1E" w14:textId="77777777" w:rsidR="004E7573" w:rsidRPr="008C2A1A" w:rsidRDefault="004E7573" w:rsidP="00DB1C77">
      <w:pPr>
        <w:jc w:val="both"/>
        <w:rPr>
          <w:rFonts w:ascii="Garamond" w:hAnsi="Garamond"/>
          <w:color w:val="000000" w:themeColor="text1"/>
          <w:lang w:val="en-GB"/>
        </w:rPr>
      </w:pPr>
    </w:p>
    <w:p w14:paraId="1BC42A9E" w14:textId="1DDAA7CB" w:rsidR="004E7573" w:rsidRPr="008C2A1A" w:rsidRDefault="004E7573" w:rsidP="00DB1C77">
      <w:pPr>
        <w:jc w:val="both"/>
        <w:rPr>
          <w:rFonts w:ascii="Garamond" w:hAnsi="Garamond"/>
          <w:color w:val="000000" w:themeColor="text1"/>
          <w:lang w:val="en-GB"/>
        </w:rPr>
      </w:pPr>
      <w:r w:rsidRPr="008C2A1A">
        <w:rPr>
          <w:rFonts w:ascii="Garamond" w:hAnsi="Garamond"/>
          <w:color w:val="000000" w:themeColor="text1"/>
          <w:lang w:val="en-GB"/>
        </w:rPr>
        <w:t>Th</w:t>
      </w:r>
      <w:r w:rsidR="000A7769" w:rsidRPr="008C2A1A">
        <w:rPr>
          <w:rFonts w:ascii="Garamond" w:hAnsi="Garamond"/>
          <w:color w:val="000000" w:themeColor="text1"/>
          <w:lang w:val="en-GB"/>
        </w:rPr>
        <w:t>e fiscal revenue of</w:t>
      </w:r>
      <w:r w:rsidRPr="008C2A1A">
        <w:rPr>
          <w:rFonts w:ascii="Garamond" w:hAnsi="Garamond"/>
          <w:color w:val="000000" w:themeColor="text1"/>
          <w:lang w:val="en-GB"/>
        </w:rPr>
        <w:t xml:space="preserve"> the federal government </w:t>
      </w:r>
      <w:r w:rsidR="005F47A7" w:rsidRPr="008C2A1A">
        <w:rPr>
          <w:rFonts w:ascii="Garamond" w:hAnsi="Garamond"/>
          <w:color w:val="000000" w:themeColor="text1"/>
          <w:lang w:val="en-GB"/>
        </w:rPr>
        <w:t>shrink</w:t>
      </w:r>
      <w:r w:rsidR="0019279A" w:rsidRPr="008C2A1A">
        <w:rPr>
          <w:rFonts w:ascii="Garamond" w:hAnsi="Garamond"/>
          <w:color w:val="000000" w:themeColor="text1"/>
          <w:lang w:val="en-GB"/>
        </w:rPr>
        <w:t>s</w:t>
      </w:r>
      <w:r w:rsidRPr="008C2A1A">
        <w:rPr>
          <w:rFonts w:ascii="Garamond" w:hAnsi="Garamond"/>
          <w:color w:val="000000" w:themeColor="text1"/>
          <w:lang w:val="en-GB"/>
        </w:rPr>
        <w:t>. In addition to the reduction in personal income taxes discussed above, the higher amount of VAT collected is more than compensated by a reduction of corporate incomes taxes</w:t>
      </w:r>
      <w:r w:rsidR="00C23BEA" w:rsidRPr="008C2A1A">
        <w:rPr>
          <w:rFonts w:ascii="Garamond" w:hAnsi="Garamond"/>
          <w:color w:val="000000" w:themeColor="text1"/>
          <w:lang w:val="en-GB"/>
        </w:rPr>
        <w:t xml:space="preserve"> (</w:t>
      </w:r>
      <w:r w:rsidR="009D3525" w:rsidRPr="008C2A1A">
        <w:rPr>
          <w:rFonts w:ascii="Garamond" w:hAnsi="Garamond"/>
          <w:color w:val="000000" w:themeColor="text1"/>
          <w:lang w:val="en-GB"/>
        </w:rPr>
        <w:t>172</w:t>
      </w:r>
      <w:r w:rsidR="00F578F2" w:rsidRPr="008C2A1A">
        <w:rPr>
          <w:rFonts w:ascii="Garamond" w:hAnsi="Garamond"/>
          <w:color w:val="000000" w:themeColor="text1"/>
          <w:lang w:val="en-GB"/>
        </w:rPr>
        <w:t>€</w:t>
      </w:r>
      <w:r w:rsidR="00C23BEA" w:rsidRPr="008C2A1A">
        <w:rPr>
          <w:rFonts w:ascii="Garamond" w:hAnsi="Garamond"/>
          <w:color w:val="000000" w:themeColor="text1"/>
          <w:lang w:val="en-GB"/>
        </w:rPr>
        <w:t xml:space="preserve"> and </w:t>
      </w:r>
      <w:r w:rsidR="009D3525" w:rsidRPr="008C2A1A">
        <w:rPr>
          <w:rFonts w:ascii="Garamond" w:hAnsi="Garamond"/>
          <w:color w:val="000000" w:themeColor="text1"/>
          <w:lang w:val="en-GB"/>
        </w:rPr>
        <w:t>275</w:t>
      </w:r>
      <w:r w:rsidR="00C23BEA" w:rsidRPr="008C2A1A">
        <w:rPr>
          <w:rFonts w:ascii="Garamond" w:hAnsi="Garamond"/>
          <w:color w:val="000000" w:themeColor="text1"/>
          <w:lang w:val="en-GB"/>
        </w:rPr>
        <w:t>€ per turned in car respectively)</w:t>
      </w:r>
      <w:r w:rsidRPr="008C2A1A">
        <w:rPr>
          <w:rFonts w:ascii="Garamond" w:hAnsi="Garamond"/>
          <w:color w:val="000000" w:themeColor="text1"/>
          <w:lang w:val="en-GB"/>
        </w:rPr>
        <w:t>. VAT revenues increase both because the costs incurred for business trips are deductible for company cars but not for private ones, and because disposable income, and therefore</w:t>
      </w:r>
      <w:r w:rsidR="002604E0" w:rsidRPr="008C2A1A">
        <w:rPr>
          <w:rFonts w:ascii="Garamond" w:hAnsi="Garamond"/>
          <w:color w:val="000000" w:themeColor="text1"/>
          <w:lang w:val="en-GB"/>
        </w:rPr>
        <w:t xml:space="preserve"> most likely</w:t>
      </w:r>
      <w:r w:rsidRPr="008C2A1A">
        <w:rPr>
          <w:rFonts w:ascii="Garamond" w:hAnsi="Garamond"/>
          <w:color w:val="000000" w:themeColor="text1"/>
          <w:lang w:val="en-GB"/>
        </w:rPr>
        <w:t xml:space="preserve"> consumption, increases. The corporate income tax revenues decrease since the mobility budget is equivalent to the cost of the company car, but only a fraction of company car expenses </w:t>
      </w:r>
      <w:proofErr w:type="gramStart"/>
      <w:r w:rsidRPr="008C2A1A">
        <w:rPr>
          <w:rFonts w:ascii="Garamond" w:hAnsi="Garamond"/>
          <w:color w:val="000000" w:themeColor="text1"/>
          <w:lang w:val="en-GB"/>
        </w:rPr>
        <w:t>are</w:t>
      </w:r>
      <w:proofErr w:type="gramEnd"/>
      <w:r w:rsidRPr="008C2A1A">
        <w:rPr>
          <w:rFonts w:ascii="Garamond" w:hAnsi="Garamond"/>
          <w:color w:val="000000" w:themeColor="text1"/>
          <w:lang w:val="en-GB"/>
        </w:rPr>
        <w:t xml:space="preserve"> deductible while the cash and the sustainable transport expenses can be fully deducted</w:t>
      </w:r>
      <w:r w:rsidR="002604E0" w:rsidRPr="008C2A1A">
        <w:rPr>
          <w:rFonts w:ascii="Garamond" w:hAnsi="Garamond"/>
          <w:color w:val="000000" w:themeColor="text1"/>
          <w:lang w:val="en-GB"/>
        </w:rPr>
        <w:t xml:space="preserve"> by the employer</w:t>
      </w:r>
      <w:r w:rsidRPr="008C2A1A">
        <w:rPr>
          <w:rFonts w:ascii="Garamond" w:hAnsi="Garamond"/>
          <w:color w:val="000000" w:themeColor="text1"/>
          <w:lang w:val="en-GB"/>
        </w:rPr>
        <w:t>. Parafiscal revenue</w:t>
      </w:r>
      <w:r w:rsidR="002604E0" w:rsidRPr="008C2A1A">
        <w:rPr>
          <w:rFonts w:ascii="Garamond" w:hAnsi="Garamond"/>
          <w:color w:val="000000" w:themeColor="text1"/>
          <w:lang w:val="en-GB"/>
        </w:rPr>
        <w:t>s</w:t>
      </w:r>
      <w:r w:rsidRPr="008C2A1A">
        <w:rPr>
          <w:rFonts w:ascii="Garamond" w:hAnsi="Garamond"/>
          <w:color w:val="000000" w:themeColor="text1"/>
          <w:lang w:val="en-GB"/>
        </w:rPr>
        <w:t xml:space="preserve"> increase as well</w:t>
      </w:r>
      <w:r w:rsidR="002604E0" w:rsidRPr="008C2A1A">
        <w:rPr>
          <w:rFonts w:ascii="Garamond" w:hAnsi="Garamond"/>
          <w:color w:val="000000" w:themeColor="text1"/>
          <w:lang w:val="en-GB"/>
        </w:rPr>
        <w:t>,</w:t>
      </w:r>
      <w:r w:rsidRPr="008C2A1A">
        <w:rPr>
          <w:rFonts w:ascii="Garamond" w:hAnsi="Garamond"/>
          <w:color w:val="000000" w:themeColor="text1"/>
          <w:lang w:val="en-GB"/>
        </w:rPr>
        <w:t xml:space="preserve"> </w:t>
      </w:r>
      <w:r w:rsidR="002604E0" w:rsidRPr="008C2A1A">
        <w:rPr>
          <w:rFonts w:ascii="Garamond" w:hAnsi="Garamond"/>
          <w:color w:val="000000" w:themeColor="text1"/>
          <w:lang w:val="en-GB"/>
        </w:rPr>
        <w:t>because</w:t>
      </w:r>
      <w:r w:rsidRPr="008C2A1A">
        <w:rPr>
          <w:rFonts w:ascii="Garamond" w:hAnsi="Garamond"/>
          <w:color w:val="000000" w:themeColor="text1"/>
          <w:lang w:val="en-GB"/>
        </w:rPr>
        <w:t xml:space="preserve"> the higher ordinary (i.e., employer and employee) social contributions collected on the cash part </w:t>
      </w:r>
      <w:r w:rsidR="002604E0" w:rsidRPr="008C2A1A">
        <w:rPr>
          <w:rFonts w:ascii="Garamond" w:hAnsi="Garamond"/>
          <w:color w:val="000000" w:themeColor="text1"/>
          <w:lang w:val="en-GB"/>
        </w:rPr>
        <w:t xml:space="preserve">of the mobility budget </w:t>
      </w:r>
      <w:r w:rsidRPr="008C2A1A">
        <w:rPr>
          <w:rFonts w:ascii="Garamond" w:hAnsi="Garamond"/>
          <w:color w:val="000000" w:themeColor="text1"/>
          <w:lang w:val="en-GB"/>
        </w:rPr>
        <w:t xml:space="preserve">outweigh the reduction </w:t>
      </w:r>
      <w:r w:rsidR="002604E0" w:rsidRPr="008C2A1A">
        <w:rPr>
          <w:rFonts w:ascii="Garamond" w:hAnsi="Garamond"/>
          <w:color w:val="000000" w:themeColor="text1"/>
          <w:lang w:val="en-GB"/>
        </w:rPr>
        <w:t>in</w:t>
      </w:r>
      <w:r w:rsidRPr="008C2A1A">
        <w:rPr>
          <w:rFonts w:ascii="Garamond" w:hAnsi="Garamond"/>
          <w:color w:val="000000" w:themeColor="text1"/>
          <w:lang w:val="en-GB"/>
        </w:rPr>
        <w:t xml:space="preserve"> solidarity contribution</w:t>
      </w:r>
      <w:r w:rsidR="002604E0" w:rsidRPr="008C2A1A">
        <w:rPr>
          <w:rFonts w:ascii="Garamond" w:hAnsi="Garamond"/>
          <w:color w:val="000000" w:themeColor="text1"/>
          <w:lang w:val="en-GB"/>
        </w:rPr>
        <w:t>s</w:t>
      </w:r>
      <w:r w:rsidRPr="008C2A1A">
        <w:rPr>
          <w:rFonts w:ascii="Garamond" w:hAnsi="Garamond"/>
          <w:color w:val="000000" w:themeColor="text1"/>
          <w:lang w:val="en-GB"/>
        </w:rPr>
        <w:t xml:space="preserve"> paid </w:t>
      </w:r>
      <w:r w:rsidR="001271E7" w:rsidRPr="008C2A1A">
        <w:rPr>
          <w:rFonts w:ascii="Garamond" w:hAnsi="Garamond"/>
          <w:color w:val="000000" w:themeColor="text1"/>
          <w:lang w:val="en-GB"/>
        </w:rPr>
        <w:t xml:space="preserve">on </w:t>
      </w:r>
      <w:r w:rsidRPr="008C2A1A">
        <w:rPr>
          <w:rFonts w:ascii="Garamond" w:hAnsi="Garamond"/>
          <w:color w:val="000000" w:themeColor="text1"/>
          <w:lang w:val="en-GB"/>
        </w:rPr>
        <w:t>the company cars</w:t>
      </w:r>
      <w:r w:rsidR="002604E0" w:rsidRPr="008C2A1A">
        <w:rPr>
          <w:rFonts w:ascii="Garamond" w:hAnsi="Garamond"/>
          <w:color w:val="000000" w:themeColor="text1"/>
          <w:lang w:val="en-GB"/>
        </w:rPr>
        <w:t xml:space="preserve"> in the current setup</w:t>
      </w:r>
      <w:r w:rsidRPr="008C2A1A">
        <w:rPr>
          <w:rFonts w:ascii="Garamond" w:hAnsi="Garamond"/>
          <w:color w:val="000000" w:themeColor="text1"/>
          <w:lang w:val="en-GB"/>
        </w:rPr>
        <w:t>.</w:t>
      </w:r>
    </w:p>
    <w:p w14:paraId="27DFD676" w14:textId="374321A4" w:rsidR="00EF47FD" w:rsidRPr="008C2A1A" w:rsidRDefault="00830832" w:rsidP="00F306D2">
      <w:pPr>
        <w:jc w:val="both"/>
        <w:rPr>
          <w:rFonts w:ascii="Garamond" w:hAnsi="Garamond"/>
          <w:color w:val="000000" w:themeColor="text1"/>
          <w:lang w:val="en-GB"/>
        </w:rPr>
      </w:pPr>
      <w:r w:rsidRPr="008C2A1A">
        <w:rPr>
          <w:rFonts w:ascii="Garamond" w:hAnsi="Garamond"/>
          <w:color w:val="000000" w:themeColor="text1"/>
          <w:lang w:val="en-GB"/>
        </w:rPr>
        <w:t>T</w:t>
      </w:r>
      <w:r w:rsidR="004E7573" w:rsidRPr="008C2A1A">
        <w:rPr>
          <w:rFonts w:ascii="Garamond" w:hAnsi="Garamond"/>
          <w:color w:val="000000" w:themeColor="text1"/>
          <w:lang w:val="en-GB"/>
        </w:rPr>
        <w:t xml:space="preserve">he employers’ profits increase on average by 5,06€ per year per </w:t>
      </w:r>
      <w:r w:rsidR="002604E0" w:rsidRPr="008C2A1A">
        <w:rPr>
          <w:rFonts w:ascii="Garamond" w:hAnsi="Garamond"/>
          <w:color w:val="000000" w:themeColor="text1"/>
          <w:lang w:val="en-GB"/>
        </w:rPr>
        <w:t xml:space="preserve">turned in company </w:t>
      </w:r>
      <w:r w:rsidR="004E7573" w:rsidRPr="008C2A1A">
        <w:rPr>
          <w:rFonts w:ascii="Garamond" w:hAnsi="Garamond"/>
          <w:color w:val="000000" w:themeColor="text1"/>
          <w:lang w:val="en-GB"/>
        </w:rPr>
        <w:t xml:space="preserve">car. </w:t>
      </w:r>
      <w:r w:rsidRPr="008C2A1A">
        <w:rPr>
          <w:rFonts w:ascii="Garamond" w:hAnsi="Garamond"/>
          <w:color w:val="000000" w:themeColor="text1"/>
          <w:lang w:val="en-GB"/>
        </w:rPr>
        <w:t>The main reason is that the additional VAT paid and the higher labour cost are compensated by a reduction in corporate income tax.</w:t>
      </w:r>
    </w:p>
    <w:p w14:paraId="41B6F5D9" w14:textId="004AAC75" w:rsidR="00B9727A" w:rsidRPr="008C2A1A" w:rsidRDefault="008A1E25" w:rsidP="00FE760F">
      <w:pPr>
        <w:pStyle w:val="Kop1"/>
        <w:jc w:val="both"/>
        <w:rPr>
          <w:rFonts w:ascii="Garamond" w:hAnsi="Garamond"/>
          <w:color w:val="000000" w:themeColor="text1"/>
          <w:sz w:val="28"/>
          <w:lang w:val="en-US"/>
        </w:rPr>
      </w:pPr>
      <w:r w:rsidRPr="008C2A1A">
        <w:rPr>
          <w:rFonts w:ascii="Garamond" w:hAnsi="Garamond"/>
          <w:color w:val="000000" w:themeColor="text1"/>
          <w:sz w:val="28"/>
          <w:lang w:val="en-US"/>
        </w:rPr>
        <w:t>7</w:t>
      </w:r>
      <w:r w:rsidR="0028403B" w:rsidRPr="008C2A1A">
        <w:rPr>
          <w:rFonts w:ascii="Garamond" w:hAnsi="Garamond"/>
          <w:color w:val="000000" w:themeColor="text1"/>
          <w:sz w:val="28"/>
          <w:lang w:val="en-US"/>
        </w:rPr>
        <w:t xml:space="preserve">. </w:t>
      </w:r>
      <w:r w:rsidR="00B9727A" w:rsidRPr="008C2A1A">
        <w:rPr>
          <w:rFonts w:ascii="Garamond" w:hAnsi="Garamond"/>
          <w:color w:val="000000" w:themeColor="text1"/>
          <w:sz w:val="28"/>
          <w:lang w:val="en-US"/>
        </w:rPr>
        <w:t>Conclusions</w:t>
      </w:r>
    </w:p>
    <w:p w14:paraId="12F6A095" w14:textId="77777777" w:rsidR="008A1E25" w:rsidRPr="008C2A1A" w:rsidRDefault="008A1E25" w:rsidP="008A1E25">
      <w:pPr>
        <w:rPr>
          <w:color w:val="000000" w:themeColor="text1"/>
          <w:lang w:val="en-US"/>
        </w:rPr>
      </w:pPr>
    </w:p>
    <w:p w14:paraId="1A7B291B" w14:textId="39143607" w:rsidR="008A1E25" w:rsidRPr="008C2A1A" w:rsidRDefault="008A1E25" w:rsidP="008A1E25">
      <w:pPr>
        <w:jc w:val="both"/>
        <w:rPr>
          <w:rFonts w:ascii="Garamond" w:hAnsi="Garamond"/>
          <w:color w:val="000000" w:themeColor="text1"/>
          <w:lang w:val="en-US"/>
        </w:rPr>
      </w:pPr>
      <w:r w:rsidRPr="008C2A1A">
        <w:rPr>
          <w:rFonts w:ascii="Garamond" w:hAnsi="Garamond"/>
          <w:color w:val="000000" w:themeColor="text1"/>
          <w:lang w:val="en-US"/>
        </w:rPr>
        <w:t>This chapter has depicted the current fiscal treatment of company cars in Belgium as well as two recent fiscal reforms w.r.t. company cars. It has also sketched the theoretical framework and has introduced Co</w:t>
      </w:r>
      <w:r w:rsidR="00894A5F" w:rsidRPr="008C2A1A">
        <w:rPr>
          <w:rFonts w:ascii="Garamond" w:hAnsi="Garamond"/>
          <w:color w:val="000000" w:themeColor="text1"/>
          <w:lang w:val="en-US"/>
        </w:rPr>
        <w:t>C</w:t>
      </w:r>
      <w:r w:rsidRPr="008C2A1A">
        <w:rPr>
          <w:rFonts w:ascii="Garamond" w:hAnsi="Garamond"/>
          <w:color w:val="000000" w:themeColor="text1"/>
          <w:lang w:val="en-US"/>
        </w:rPr>
        <w:t>a</w:t>
      </w:r>
      <w:r w:rsidR="00894A5F" w:rsidRPr="008C2A1A">
        <w:rPr>
          <w:rFonts w:ascii="Garamond" w:hAnsi="Garamond"/>
          <w:color w:val="000000" w:themeColor="text1"/>
          <w:lang w:val="en-US"/>
        </w:rPr>
        <w:t>T</w:t>
      </w:r>
      <w:r w:rsidRPr="008C2A1A">
        <w:rPr>
          <w:rFonts w:ascii="Garamond" w:hAnsi="Garamond"/>
          <w:color w:val="000000" w:themeColor="text1"/>
          <w:lang w:val="en-US"/>
        </w:rPr>
        <w:t xml:space="preserve">ax, an online simulation tool to analyze reforms of the fiscal treatment of company cars. In some ways, the problem with company cars is more acute in Belgium than in other OECD countries. The European Commission (2017) singles out Belgium as the European </w:t>
      </w:r>
      <w:r w:rsidRPr="008C2A1A">
        <w:rPr>
          <w:rFonts w:ascii="Garamond" w:hAnsi="Garamond"/>
          <w:color w:val="000000" w:themeColor="text1"/>
          <w:lang w:val="en-US"/>
        </w:rPr>
        <w:lastRenderedPageBreak/>
        <w:t xml:space="preserve">Union’s most congested country and identifies congestion and delays in transport as one of the principal strains on Belgian economic growth. At the same time, the tax burden on labor income is very high in Belgium, and in many respects the highest in the OECD (OECD, 2018). The two recent reforms, 'cash for cars' and the 'mobility budget', aim at maintaining the fiscal advantage of the current treatment of company, while at the same time being more appropriate considering the congestion and air pollution issues. </w:t>
      </w:r>
    </w:p>
    <w:p w14:paraId="01E4B466" w14:textId="77777777" w:rsidR="008A1E25" w:rsidRPr="008C2A1A" w:rsidRDefault="008A1E25" w:rsidP="008A1E25">
      <w:pPr>
        <w:jc w:val="both"/>
        <w:rPr>
          <w:rFonts w:ascii="Garamond" w:hAnsi="Garamond"/>
          <w:color w:val="000000" w:themeColor="text1"/>
          <w:lang w:val="en-US"/>
        </w:rPr>
      </w:pPr>
    </w:p>
    <w:p w14:paraId="3DE95A63" w14:textId="77777777" w:rsidR="008A1E25" w:rsidRPr="008C2A1A" w:rsidRDefault="008A1E25" w:rsidP="008A1E25">
      <w:pPr>
        <w:jc w:val="both"/>
        <w:rPr>
          <w:rFonts w:ascii="Garamond" w:hAnsi="Garamond"/>
          <w:color w:val="000000" w:themeColor="text1"/>
          <w:lang w:val="en-US"/>
        </w:rPr>
      </w:pPr>
      <w:r w:rsidRPr="008C2A1A">
        <w:rPr>
          <w:rFonts w:ascii="Garamond" w:hAnsi="Garamond"/>
          <w:color w:val="000000" w:themeColor="text1"/>
          <w:lang w:val="en-US"/>
        </w:rPr>
        <w:t xml:space="preserve">CoCaTax allows the public at large to simulate and assess </w:t>
      </w:r>
      <w:r w:rsidRPr="008C2A1A">
        <w:rPr>
          <w:rFonts w:ascii="Garamond" w:hAnsi="Garamond"/>
          <w:i/>
          <w:color w:val="000000" w:themeColor="text1"/>
          <w:lang w:val="en-US"/>
        </w:rPr>
        <w:t>ex ante</w:t>
      </w:r>
      <w:r w:rsidRPr="008C2A1A">
        <w:rPr>
          <w:rFonts w:ascii="Garamond" w:hAnsi="Garamond"/>
          <w:color w:val="000000" w:themeColor="text1"/>
          <w:lang w:val="en-US"/>
        </w:rPr>
        <w:t xml:space="preserve"> fiscal reforms in the treatment of company cars with respect to the personal income tax, social security contributions, the VAT and the corporate income tax. CoCaTax simulates the effect of a reform for each individual in a representative sample of Belgian society, based on the SILC data from Eurostat, and presents an extensive analysis and visualization of the consequences of the chosen fiscal reform to the users. As CoCaTax is currently running on outdated test data, we have only included a rough policy analysis to illustrate the potential of CoCaTax. In the near future, we will analyze in detail these two reforms and others with representative data. We will also enrich the model to include missing instruments such as excise taxes. Finally, we will model behavior. The proposed reforms explicitly aim at changing individual mobility behavior. We will integrate a proper multimodal transport model to predict individual reactions of car users (company and private car use, other transport modes, characteristics of the vehicles, etc.) and their effect on congestion and air pollution. </w:t>
      </w:r>
    </w:p>
    <w:p w14:paraId="3C3D5DB0" w14:textId="77777777" w:rsidR="008A1E25" w:rsidRPr="008C2A1A" w:rsidRDefault="008A1E25" w:rsidP="008A1E25">
      <w:pPr>
        <w:jc w:val="both"/>
        <w:rPr>
          <w:rFonts w:ascii="Garamond" w:hAnsi="Garamond"/>
          <w:color w:val="000000" w:themeColor="text1"/>
          <w:lang w:val="en-US"/>
        </w:rPr>
      </w:pPr>
    </w:p>
    <w:p w14:paraId="193FEBA0" w14:textId="77777777" w:rsidR="008A1E25" w:rsidRPr="008C2A1A" w:rsidRDefault="008A1E25" w:rsidP="008A1E25">
      <w:pPr>
        <w:jc w:val="both"/>
        <w:rPr>
          <w:rFonts w:ascii="Garamond" w:hAnsi="Garamond"/>
          <w:color w:val="000000" w:themeColor="text1"/>
          <w:lang w:val="en-US"/>
        </w:rPr>
      </w:pPr>
      <w:r w:rsidRPr="008C2A1A">
        <w:rPr>
          <w:rFonts w:ascii="Garamond" w:hAnsi="Garamond"/>
          <w:color w:val="000000" w:themeColor="text1"/>
          <w:lang w:val="en-US"/>
        </w:rPr>
        <w:t>In a second step, we plan to enlarge the scope of the model to include the interaction between private and public transports, and to analyze the effect of the introduction of congestion charges. Public and private transport being substitute mode of transport, they are interconnected: a public policy affecting the price (fiscal treatment of company cars, public transport subsidies, excises, etc.) or the infrastructures (RER, carpooling or bus lane, etc.) in one segment affects the demand for mobility in both segment. Public transports cause fewer external effects than private ones, and as such should be accounted for in a model that aims at evaluating, among others, the effect of public policies on congestion and pollution. Being able to analyze the interaction of public and private transport policies in a microsimulation model also enables the policymaker to identify the effect of the policy at the individual level, and therefore helps understanding its distributive effects. In that respect, the kilometer or congestion charges, which are by many considered to be the most efficient solution to congestion and air pollution, also raises several interesting questions. If company car users can avoid paying (part of) their kilometer charges, then they will not adapt their commuting behavior in the same proportion as others. This would therefore limit the effect of the policy on congestion. In addition, company car users would then be among the main beneficiary of the higher fluidity of the road traffic, thereby fostering the debate on the equity effect of kilometer charges.</w:t>
      </w:r>
    </w:p>
    <w:p w14:paraId="36D3D8FB" w14:textId="77777777" w:rsidR="008A1E25" w:rsidRPr="008C2A1A" w:rsidRDefault="008A1E25" w:rsidP="008A1E25">
      <w:pPr>
        <w:rPr>
          <w:color w:val="000000" w:themeColor="text1"/>
          <w:lang w:val="en-US"/>
        </w:rPr>
      </w:pPr>
    </w:p>
    <w:p w14:paraId="2B2611CA" w14:textId="77777777" w:rsidR="001C2928" w:rsidRPr="008C2A1A" w:rsidRDefault="001C2928" w:rsidP="00FE760F">
      <w:pPr>
        <w:pStyle w:val="Normaalweb"/>
        <w:contextualSpacing/>
        <w:jc w:val="both"/>
        <w:rPr>
          <w:rFonts w:ascii="Garamond" w:hAnsi="Garamond"/>
          <w:color w:val="000000" w:themeColor="text1"/>
          <w:lang w:val="en-US"/>
        </w:rPr>
      </w:pPr>
    </w:p>
    <w:p w14:paraId="143D2EE8" w14:textId="77777777" w:rsidR="005C7FB3" w:rsidRPr="008C2A1A" w:rsidRDefault="005C7FB3" w:rsidP="00FE760F">
      <w:pPr>
        <w:contextualSpacing/>
        <w:jc w:val="both"/>
        <w:rPr>
          <w:rFonts w:ascii="Garamond" w:eastAsia="Times New Roman" w:hAnsi="Garamond" w:cs="Times New Roman"/>
          <w:color w:val="000000" w:themeColor="text1"/>
          <w:lang w:val="en-US" w:eastAsia="nl-NL"/>
        </w:rPr>
      </w:pPr>
      <w:r w:rsidRPr="008C2A1A">
        <w:rPr>
          <w:rFonts w:ascii="Garamond" w:hAnsi="Garamond"/>
          <w:color w:val="000000" w:themeColor="text1"/>
          <w:lang w:val="en-US"/>
        </w:rPr>
        <w:br w:type="page"/>
      </w:r>
    </w:p>
    <w:p w14:paraId="0A3D352E" w14:textId="2A285B72" w:rsidR="005C7FB3" w:rsidRPr="008C2A1A" w:rsidRDefault="005C7FB3" w:rsidP="00FE760F">
      <w:pPr>
        <w:pStyle w:val="Normaalweb"/>
        <w:contextualSpacing/>
        <w:jc w:val="both"/>
        <w:rPr>
          <w:rFonts w:ascii="Garamond" w:hAnsi="Garamond"/>
          <w:color w:val="000000" w:themeColor="text1"/>
          <w:sz w:val="32"/>
          <w:lang w:val="en-US"/>
        </w:rPr>
      </w:pPr>
      <w:r w:rsidRPr="008C2A1A">
        <w:rPr>
          <w:rFonts w:ascii="Garamond" w:hAnsi="Garamond"/>
          <w:color w:val="000000" w:themeColor="text1"/>
          <w:sz w:val="32"/>
          <w:lang w:val="en-US"/>
        </w:rPr>
        <w:lastRenderedPageBreak/>
        <w:t>References</w:t>
      </w:r>
    </w:p>
    <w:p w14:paraId="6948F7BB" w14:textId="77777777" w:rsidR="007A0260" w:rsidRPr="008C2A1A" w:rsidRDefault="007A0260" w:rsidP="00FE760F">
      <w:pPr>
        <w:pStyle w:val="Normaalweb"/>
        <w:contextualSpacing/>
        <w:jc w:val="both"/>
        <w:rPr>
          <w:rFonts w:ascii="Garamond" w:hAnsi="Garamond"/>
          <w:color w:val="000000" w:themeColor="text1"/>
          <w:sz w:val="32"/>
          <w:lang w:val="en-US"/>
        </w:rPr>
      </w:pPr>
    </w:p>
    <w:p w14:paraId="692DD058" w14:textId="5E067890" w:rsidR="00C40A47" w:rsidRPr="008C2A1A" w:rsidRDefault="00C073E2" w:rsidP="007A0260">
      <w:pPr>
        <w:pStyle w:val="Normaalweb"/>
        <w:ind w:left="357"/>
        <w:jc w:val="both"/>
        <w:rPr>
          <w:rFonts w:ascii="Garamond" w:hAnsi="Garamond"/>
          <w:color w:val="000000" w:themeColor="text1"/>
          <w:sz w:val="22"/>
          <w:szCs w:val="22"/>
          <w:lang w:val="en-US"/>
        </w:rPr>
      </w:pPr>
      <w:r w:rsidRPr="008C2A1A">
        <w:rPr>
          <w:rFonts w:ascii="Garamond" w:hAnsi="Garamond"/>
          <w:color w:val="000000" w:themeColor="text1"/>
          <w:sz w:val="22"/>
          <w:szCs w:val="22"/>
          <w:lang w:val="en-US"/>
        </w:rPr>
        <w:t>BALDINO</w:t>
      </w:r>
      <w:r w:rsidR="00C40A47" w:rsidRPr="008C2A1A">
        <w:rPr>
          <w:rFonts w:ascii="Garamond" w:hAnsi="Garamond"/>
          <w:color w:val="000000" w:themeColor="text1"/>
          <w:sz w:val="22"/>
          <w:szCs w:val="22"/>
          <w:lang w:val="en-US"/>
        </w:rPr>
        <w:t xml:space="preserve">, C., </w:t>
      </w:r>
      <w:r w:rsidRPr="008C2A1A">
        <w:rPr>
          <w:rFonts w:ascii="Garamond" w:hAnsi="Garamond"/>
          <w:color w:val="000000" w:themeColor="text1"/>
          <w:sz w:val="22"/>
          <w:szCs w:val="22"/>
          <w:lang w:val="en-US"/>
        </w:rPr>
        <w:t>TIETGE</w:t>
      </w:r>
      <w:r w:rsidR="00C40A47" w:rsidRPr="008C2A1A">
        <w:rPr>
          <w:rFonts w:ascii="Garamond" w:hAnsi="Garamond"/>
          <w:color w:val="000000" w:themeColor="text1"/>
          <w:sz w:val="22"/>
          <w:szCs w:val="22"/>
          <w:lang w:val="en-US"/>
        </w:rPr>
        <w:t xml:space="preserve">, U., </w:t>
      </w:r>
      <w:r w:rsidRPr="008C2A1A">
        <w:rPr>
          <w:rFonts w:ascii="Garamond" w:hAnsi="Garamond"/>
          <w:color w:val="000000" w:themeColor="text1"/>
          <w:sz w:val="22"/>
          <w:szCs w:val="22"/>
          <w:lang w:val="en-US"/>
        </w:rPr>
        <w:t>MUNCRIEF</w:t>
      </w:r>
      <w:r w:rsidR="00C40A47" w:rsidRPr="008C2A1A">
        <w:rPr>
          <w:rFonts w:ascii="Garamond" w:hAnsi="Garamond"/>
          <w:color w:val="000000" w:themeColor="text1"/>
          <w:sz w:val="22"/>
          <w:szCs w:val="22"/>
          <w:lang w:val="en-US"/>
        </w:rPr>
        <w:t xml:space="preserve">, R., </w:t>
      </w:r>
      <w:proofErr w:type="gramStart"/>
      <w:r w:rsidRPr="008C2A1A">
        <w:rPr>
          <w:rFonts w:ascii="Garamond" w:hAnsi="Garamond"/>
          <w:color w:val="000000" w:themeColor="text1"/>
          <w:sz w:val="22"/>
          <w:szCs w:val="22"/>
          <w:lang w:val="en-US"/>
        </w:rPr>
        <w:t>BERNARD,</w:t>
      </w:r>
      <w:r w:rsidR="00C40A47" w:rsidRPr="008C2A1A">
        <w:rPr>
          <w:rFonts w:ascii="Garamond" w:hAnsi="Garamond"/>
          <w:color w:val="000000" w:themeColor="text1"/>
          <w:sz w:val="22"/>
          <w:szCs w:val="22"/>
          <w:lang w:val="en-US"/>
        </w:rPr>
        <w:t xml:space="preserve">  Y.</w:t>
      </w:r>
      <w:proofErr w:type="gramEnd"/>
      <w:r w:rsidR="00C40A47" w:rsidRPr="008C2A1A">
        <w:rPr>
          <w:rFonts w:ascii="Garamond" w:hAnsi="Garamond"/>
          <w:color w:val="000000" w:themeColor="text1"/>
          <w:sz w:val="22"/>
          <w:szCs w:val="22"/>
          <w:lang w:val="en-US"/>
        </w:rPr>
        <w:t xml:space="preserve"> and </w:t>
      </w:r>
      <w:r w:rsidRPr="008C2A1A">
        <w:rPr>
          <w:rFonts w:ascii="Garamond" w:hAnsi="Garamond"/>
          <w:color w:val="000000" w:themeColor="text1"/>
          <w:sz w:val="22"/>
          <w:szCs w:val="22"/>
          <w:lang w:val="en-US"/>
        </w:rPr>
        <w:t>MOCK</w:t>
      </w:r>
      <w:r w:rsidR="00C40A47" w:rsidRPr="008C2A1A">
        <w:rPr>
          <w:rFonts w:ascii="Garamond" w:hAnsi="Garamond"/>
          <w:color w:val="000000" w:themeColor="text1"/>
          <w:sz w:val="22"/>
          <w:szCs w:val="22"/>
          <w:lang w:val="en-US"/>
        </w:rPr>
        <w:t>, P.</w:t>
      </w:r>
      <w:r w:rsidR="00B52C31" w:rsidRPr="008C2A1A">
        <w:rPr>
          <w:rFonts w:ascii="Garamond" w:hAnsi="Garamond"/>
          <w:color w:val="000000" w:themeColor="text1"/>
          <w:sz w:val="22"/>
          <w:szCs w:val="22"/>
          <w:lang w:val="en-US"/>
        </w:rPr>
        <w:t>,</w:t>
      </w:r>
      <w:r w:rsidR="00C40A47" w:rsidRPr="008C2A1A">
        <w:rPr>
          <w:rFonts w:ascii="Garamond" w:hAnsi="Garamond"/>
          <w:color w:val="000000" w:themeColor="text1"/>
          <w:sz w:val="22"/>
          <w:szCs w:val="22"/>
          <w:lang w:val="en-US"/>
        </w:rPr>
        <w:t xml:space="preserve"> 2017</w:t>
      </w:r>
      <w:r w:rsidR="00B52C31" w:rsidRPr="008C2A1A">
        <w:rPr>
          <w:rFonts w:ascii="Garamond" w:hAnsi="Garamond"/>
          <w:color w:val="000000" w:themeColor="text1"/>
          <w:sz w:val="22"/>
          <w:szCs w:val="22"/>
          <w:lang w:val="en-US"/>
        </w:rPr>
        <w:t>.</w:t>
      </w:r>
      <w:r w:rsidR="00C40A47" w:rsidRPr="008C2A1A">
        <w:rPr>
          <w:rFonts w:ascii="Garamond" w:hAnsi="Garamond"/>
          <w:color w:val="000000" w:themeColor="text1"/>
          <w:sz w:val="22"/>
          <w:szCs w:val="22"/>
          <w:lang w:val="en-US"/>
        </w:rPr>
        <w:t xml:space="preserve"> </w:t>
      </w:r>
      <w:r w:rsidR="00C40A47" w:rsidRPr="008C2A1A">
        <w:rPr>
          <w:rFonts w:ascii="Garamond" w:hAnsi="Garamond"/>
          <w:bCs/>
          <w:color w:val="000000" w:themeColor="text1"/>
          <w:sz w:val="22"/>
          <w:szCs w:val="22"/>
          <w:lang w:val="en-US"/>
        </w:rPr>
        <w:t xml:space="preserve">Road Tested: </w:t>
      </w:r>
      <w:r w:rsidR="00C40A47" w:rsidRPr="008C2A1A">
        <w:rPr>
          <w:rFonts w:ascii="Garamond" w:hAnsi="Garamond"/>
          <w:color w:val="000000" w:themeColor="text1"/>
          <w:sz w:val="22"/>
          <w:szCs w:val="22"/>
          <w:lang w:val="en-US"/>
        </w:rPr>
        <w:t xml:space="preserve">Comparative Overview of Real-World Versus Type-Approval </w:t>
      </w:r>
      <w:proofErr w:type="spellStart"/>
      <w:r w:rsidR="00C40A47" w:rsidRPr="008C2A1A">
        <w:rPr>
          <w:rFonts w:ascii="Garamond" w:hAnsi="Garamond"/>
          <w:color w:val="000000" w:themeColor="text1"/>
          <w:sz w:val="22"/>
          <w:szCs w:val="22"/>
          <w:lang w:val="en-US"/>
        </w:rPr>
        <w:t>No</w:t>
      </w:r>
      <w:r w:rsidR="00894A5F" w:rsidRPr="008C2A1A">
        <w:rPr>
          <w:rFonts w:ascii="Garamond" w:hAnsi="Garamond"/>
          <w:color w:val="000000" w:themeColor="text1"/>
          <w:sz w:val="22"/>
          <w:szCs w:val="22"/>
          <w:vertAlign w:val="subscript"/>
          <w:lang w:val="en-US"/>
        </w:rPr>
        <w:t>x</w:t>
      </w:r>
      <w:proofErr w:type="spellEnd"/>
      <w:r w:rsidR="00C40A47" w:rsidRPr="008C2A1A">
        <w:rPr>
          <w:rFonts w:ascii="Garamond" w:hAnsi="Garamond"/>
          <w:color w:val="000000" w:themeColor="text1"/>
          <w:position w:val="-12"/>
          <w:sz w:val="22"/>
          <w:szCs w:val="22"/>
          <w:lang w:val="en-US"/>
        </w:rPr>
        <w:t xml:space="preserve"> </w:t>
      </w:r>
      <w:r w:rsidR="000F230B" w:rsidRPr="008C2A1A">
        <w:rPr>
          <w:rFonts w:ascii="Garamond" w:hAnsi="Garamond"/>
          <w:color w:val="000000" w:themeColor="text1"/>
          <w:sz w:val="22"/>
          <w:szCs w:val="22"/>
          <w:lang w:val="en-US"/>
        </w:rPr>
        <w:t>a</w:t>
      </w:r>
      <w:r w:rsidR="00C40A47" w:rsidRPr="008C2A1A">
        <w:rPr>
          <w:rFonts w:ascii="Garamond" w:hAnsi="Garamond"/>
          <w:color w:val="000000" w:themeColor="text1"/>
          <w:sz w:val="22"/>
          <w:szCs w:val="22"/>
          <w:lang w:val="en-US"/>
        </w:rPr>
        <w:t>nd C</w:t>
      </w:r>
      <w:r w:rsidR="00894A5F" w:rsidRPr="008C2A1A">
        <w:rPr>
          <w:rFonts w:ascii="Garamond" w:hAnsi="Garamond"/>
          <w:color w:val="000000" w:themeColor="text1"/>
          <w:sz w:val="22"/>
          <w:szCs w:val="22"/>
          <w:lang w:val="en-US"/>
        </w:rPr>
        <w:t>O</w:t>
      </w:r>
      <w:r w:rsidR="00894A5F" w:rsidRPr="008C2A1A">
        <w:rPr>
          <w:rFonts w:ascii="Garamond" w:hAnsi="Garamond"/>
          <w:color w:val="000000" w:themeColor="text1"/>
          <w:sz w:val="22"/>
          <w:szCs w:val="22"/>
          <w:vertAlign w:val="subscript"/>
          <w:lang w:val="en-US"/>
        </w:rPr>
        <w:t>2</w:t>
      </w:r>
      <w:r w:rsidR="00C40A47" w:rsidRPr="008C2A1A">
        <w:rPr>
          <w:rFonts w:ascii="Garamond" w:hAnsi="Garamond"/>
          <w:color w:val="000000" w:themeColor="text1"/>
          <w:position w:val="-12"/>
          <w:sz w:val="22"/>
          <w:szCs w:val="22"/>
          <w:lang w:val="en-US"/>
        </w:rPr>
        <w:t xml:space="preserve"> </w:t>
      </w:r>
      <w:r w:rsidR="00C40A47" w:rsidRPr="008C2A1A">
        <w:rPr>
          <w:rFonts w:ascii="Garamond" w:hAnsi="Garamond"/>
          <w:color w:val="000000" w:themeColor="text1"/>
          <w:sz w:val="22"/>
          <w:szCs w:val="22"/>
          <w:lang w:val="en-US"/>
        </w:rPr>
        <w:t xml:space="preserve">Emissions </w:t>
      </w:r>
      <w:r w:rsidR="000F230B" w:rsidRPr="008C2A1A">
        <w:rPr>
          <w:rFonts w:ascii="Garamond" w:hAnsi="Garamond"/>
          <w:color w:val="000000" w:themeColor="text1"/>
          <w:sz w:val="22"/>
          <w:szCs w:val="22"/>
          <w:lang w:val="en-US"/>
        </w:rPr>
        <w:t>f</w:t>
      </w:r>
      <w:r w:rsidR="00C40A47" w:rsidRPr="008C2A1A">
        <w:rPr>
          <w:rFonts w:ascii="Garamond" w:hAnsi="Garamond"/>
          <w:color w:val="000000" w:themeColor="text1"/>
          <w:sz w:val="22"/>
          <w:szCs w:val="22"/>
          <w:lang w:val="en-US"/>
        </w:rPr>
        <w:t xml:space="preserve">rom Diesel Cars </w:t>
      </w:r>
      <w:r w:rsidR="000F230B" w:rsidRPr="008C2A1A">
        <w:rPr>
          <w:rFonts w:ascii="Garamond" w:hAnsi="Garamond"/>
          <w:color w:val="000000" w:themeColor="text1"/>
          <w:sz w:val="22"/>
          <w:szCs w:val="22"/>
          <w:lang w:val="en-US"/>
        </w:rPr>
        <w:t>i</w:t>
      </w:r>
      <w:r w:rsidR="00C40A47" w:rsidRPr="008C2A1A">
        <w:rPr>
          <w:rFonts w:ascii="Garamond" w:hAnsi="Garamond"/>
          <w:color w:val="000000" w:themeColor="text1"/>
          <w:sz w:val="22"/>
          <w:szCs w:val="22"/>
          <w:lang w:val="en-US"/>
        </w:rPr>
        <w:t>n Europe</w:t>
      </w:r>
      <w:r w:rsidR="000F230B" w:rsidRPr="008C2A1A">
        <w:rPr>
          <w:rFonts w:ascii="Garamond" w:hAnsi="Garamond"/>
          <w:color w:val="000000" w:themeColor="text1"/>
          <w:sz w:val="22"/>
          <w:szCs w:val="22"/>
          <w:lang w:val="en-US"/>
        </w:rPr>
        <w:t>,</w:t>
      </w:r>
      <w:r w:rsidR="007A0260" w:rsidRPr="008C2A1A">
        <w:rPr>
          <w:rFonts w:ascii="Garamond" w:hAnsi="Garamond"/>
          <w:color w:val="000000" w:themeColor="text1"/>
          <w:sz w:val="22"/>
          <w:szCs w:val="22"/>
          <w:lang w:val="en-US"/>
        </w:rPr>
        <w:t xml:space="preserve"> </w:t>
      </w:r>
      <w:r w:rsidR="000F230B" w:rsidRPr="008C2A1A">
        <w:rPr>
          <w:rFonts w:ascii="Garamond" w:hAnsi="Garamond"/>
          <w:i/>
          <w:color w:val="000000" w:themeColor="text1"/>
          <w:sz w:val="22"/>
          <w:szCs w:val="22"/>
          <w:lang w:val="en-US"/>
        </w:rPr>
        <w:t>ICCT White Paper</w:t>
      </w:r>
      <w:r w:rsidR="000F230B" w:rsidRPr="008C2A1A">
        <w:rPr>
          <w:rFonts w:ascii="Garamond" w:hAnsi="Garamond"/>
          <w:color w:val="000000" w:themeColor="text1"/>
          <w:sz w:val="22"/>
          <w:szCs w:val="22"/>
          <w:lang w:val="en-US"/>
        </w:rPr>
        <w:t xml:space="preserve">. </w:t>
      </w:r>
    </w:p>
    <w:p w14:paraId="6A87B476" w14:textId="70D52AAF" w:rsidR="00EA2872" w:rsidRPr="008C2A1A" w:rsidRDefault="00C073E2" w:rsidP="007A0260">
      <w:pPr>
        <w:spacing w:before="100" w:beforeAutospacing="1" w:after="100" w:afterAutospacing="1"/>
        <w:ind w:left="357"/>
        <w:jc w:val="both"/>
        <w:rPr>
          <w:rFonts w:ascii="Garamond" w:hAnsi="Garamond"/>
          <w:color w:val="000000" w:themeColor="text1"/>
          <w:sz w:val="22"/>
          <w:szCs w:val="22"/>
          <w:lang w:val="en-GB"/>
        </w:rPr>
      </w:pPr>
      <w:r w:rsidRPr="008C2A1A">
        <w:rPr>
          <w:rFonts w:ascii="Garamond" w:hAnsi="Garamond"/>
          <w:color w:val="000000" w:themeColor="text1"/>
          <w:sz w:val="22"/>
          <w:szCs w:val="22"/>
          <w:lang w:val="en-GB"/>
        </w:rPr>
        <w:t>COPENHAGEN ECONOMICS</w:t>
      </w:r>
      <w:r w:rsidR="00B52C31" w:rsidRPr="008C2A1A">
        <w:rPr>
          <w:rFonts w:ascii="Garamond" w:hAnsi="Garamond"/>
          <w:color w:val="000000" w:themeColor="text1"/>
          <w:sz w:val="22"/>
          <w:szCs w:val="22"/>
          <w:lang w:val="en-GB"/>
        </w:rPr>
        <w:t>,</w:t>
      </w:r>
      <w:r w:rsidR="00EA2872" w:rsidRPr="008C2A1A">
        <w:rPr>
          <w:rFonts w:ascii="Garamond" w:hAnsi="Garamond"/>
          <w:color w:val="000000" w:themeColor="text1"/>
          <w:sz w:val="22"/>
          <w:szCs w:val="22"/>
          <w:lang w:val="en-GB"/>
        </w:rPr>
        <w:t xml:space="preserve"> 2010</w:t>
      </w:r>
      <w:r w:rsidR="00B52C31" w:rsidRPr="008C2A1A">
        <w:rPr>
          <w:rFonts w:ascii="Garamond" w:hAnsi="Garamond"/>
          <w:color w:val="000000" w:themeColor="text1"/>
          <w:sz w:val="22"/>
          <w:szCs w:val="22"/>
          <w:lang w:val="en-GB"/>
        </w:rPr>
        <w:t>.</w:t>
      </w:r>
      <w:r w:rsidR="00EA2872" w:rsidRPr="008C2A1A">
        <w:rPr>
          <w:rFonts w:ascii="Garamond" w:hAnsi="Garamond"/>
          <w:color w:val="000000" w:themeColor="text1"/>
          <w:sz w:val="22"/>
          <w:szCs w:val="22"/>
          <w:lang w:val="en-GB"/>
        </w:rPr>
        <w:t xml:space="preserve"> </w:t>
      </w:r>
      <w:r w:rsidR="00EA2872" w:rsidRPr="008C2A1A">
        <w:rPr>
          <w:rFonts w:ascii="Garamond" w:hAnsi="Garamond"/>
          <w:i/>
          <w:color w:val="000000" w:themeColor="text1"/>
          <w:sz w:val="22"/>
          <w:szCs w:val="22"/>
          <w:lang w:val="en-GB"/>
        </w:rPr>
        <w:t>Company Car Taxation: Subsidies, Welfare and Environment</w:t>
      </w:r>
      <w:r w:rsidR="00EA2872" w:rsidRPr="008C2A1A">
        <w:rPr>
          <w:rFonts w:ascii="Garamond" w:hAnsi="Garamond"/>
          <w:color w:val="000000" w:themeColor="text1"/>
          <w:sz w:val="22"/>
          <w:szCs w:val="22"/>
          <w:lang w:val="en-GB"/>
        </w:rPr>
        <w:t xml:space="preserve">, </w:t>
      </w:r>
      <w:r w:rsidR="00B52C31" w:rsidRPr="008C2A1A">
        <w:rPr>
          <w:rFonts w:ascii="Garamond" w:hAnsi="Garamond"/>
          <w:color w:val="000000" w:themeColor="text1"/>
          <w:sz w:val="22"/>
          <w:szCs w:val="22"/>
          <w:lang w:val="en-GB"/>
        </w:rPr>
        <w:t xml:space="preserve">Luxemburg: </w:t>
      </w:r>
      <w:r w:rsidR="00EA2872" w:rsidRPr="008C2A1A">
        <w:rPr>
          <w:rFonts w:ascii="Garamond" w:hAnsi="Garamond"/>
          <w:color w:val="000000" w:themeColor="text1"/>
          <w:sz w:val="22"/>
          <w:szCs w:val="22"/>
          <w:lang w:val="en-GB"/>
        </w:rPr>
        <w:t>Office for Official Publications of the European Communities.</w:t>
      </w:r>
    </w:p>
    <w:p w14:paraId="7323019C" w14:textId="4FB1A249" w:rsidR="00CD4A84" w:rsidRPr="008C2A1A" w:rsidRDefault="00C073E2" w:rsidP="007A0260">
      <w:pPr>
        <w:spacing w:before="100" w:beforeAutospacing="1" w:after="100" w:afterAutospacing="1"/>
        <w:ind w:left="357"/>
        <w:jc w:val="both"/>
        <w:rPr>
          <w:rFonts w:ascii="Garamond" w:hAnsi="Garamond"/>
          <w:color w:val="000000" w:themeColor="text1"/>
          <w:sz w:val="22"/>
          <w:szCs w:val="22"/>
          <w:lang w:val="en-US"/>
        </w:rPr>
      </w:pPr>
      <w:r w:rsidRPr="008C2A1A">
        <w:rPr>
          <w:rFonts w:ascii="Garamond" w:hAnsi="Garamond"/>
          <w:bCs/>
          <w:color w:val="000000" w:themeColor="text1"/>
          <w:sz w:val="22"/>
          <w:szCs w:val="22"/>
          <w:lang w:val="en-US"/>
        </w:rPr>
        <w:t>DE BLOCK</w:t>
      </w:r>
      <w:r w:rsidR="00CD4A84" w:rsidRPr="008C2A1A">
        <w:rPr>
          <w:rFonts w:ascii="Garamond" w:hAnsi="Garamond"/>
          <w:bCs/>
          <w:color w:val="000000" w:themeColor="text1"/>
          <w:sz w:val="22"/>
          <w:szCs w:val="22"/>
          <w:lang w:val="en-US"/>
        </w:rPr>
        <w:t>, Greet</w:t>
      </w:r>
      <w:r w:rsidR="00B52C31" w:rsidRPr="008C2A1A">
        <w:rPr>
          <w:rFonts w:ascii="Garamond" w:hAnsi="Garamond"/>
          <w:color w:val="000000" w:themeColor="text1"/>
          <w:sz w:val="22"/>
          <w:szCs w:val="22"/>
          <w:lang w:val="en-US"/>
        </w:rPr>
        <w:t xml:space="preserve"> and</w:t>
      </w:r>
      <w:r w:rsidR="00CD4A84" w:rsidRPr="008C2A1A">
        <w:rPr>
          <w:rFonts w:ascii="Garamond" w:hAnsi="Garamond"/>
          <w:color w:val="000000" w:themeColor="text1"/>
          <w:sz w:val="22"/>
          <w:szCs w:val="22"/>
          <w:lang w:val="en-US"/>
        </w:rPr>
        <w:t> </w:t>
      </w:r>
      <w:r w:rsidRPr="008C2A1A">
        <w:rPr>
          <w:rFonts w:ascii="Garamond" w:hAnsi="Garamond"/>
          <w:color w:val="000000" w:themeColor="text1"/>
          <w:sz w:val="22"/>
          <w:szCs w:val="22"/>
          <w:lang w:val="en-US"/>
        </w:rPr>
        <w:t>POLASKY</w:t>
      </w:r>
      <w:r w:rsidR="00CD4A84" w:rsidRPr="008C2A1A">
        <w:rPr>
          <w:rFonts w:ascii="Garamond" w:hAnsi="Garamond"/>
          <w:color w:val="000000" w:themeColor="text1"/>
          <w:sz w:val="22"/>
          <w:szCs w:val="22"/>
          <w:lang w:val="en-US"/>
        </w:rPr>
        <w:t xml:space="preserve"> Janet</w:t>
      </w:r>
      <w:r w:rsidR="00B52C31" w:rsidRPr="008C2A1A">
        <w:rPr>
          <w:rFonts w:ascii="Garamond" w:hAnsi="Garamond"/>
          <w:color w:val="000000" w:themeColor="text1"/>
          <w:sz w:val="22"/>
          <w:szCs w:val="22"/>
          <w:lang w:val="en-US"/>
        </w:rPr>
        <w:t xml:space="preserve">, </w:t>
      </w:r>
      <w:r w:rsidR="00CD4A84" w:rsidRPr="008C2A1A">
        <w:rPr>
          <w:rFonts w:ascii="Garamond" w:hAnsi="Garamond"/>
          <w:color w:val="000000" w:themeColor="text1"/>
          <w:sz w:val="22"/>
          <w:szCs w:val="22"/>
          <w:lang w:val="en-US"/>
        </w:rPr>
        <w:t>2011</w:t>
      </w:r>
      <w:r w:rsidR="00B52C31" w:rsidRPr="008C2A1A">
        <w:rPr>
          <w:rFonts w:ascii="Garamond" w:hAnsi="Garamond"/>
          <w:color w:val="000000" w:themeColor="text1"/>
          <w:sz w:val="22"/>
          <w:szCs w:val="22"/>
          <w:lang w:val="en-US"/>
        </w:rPr>
        <w:t xml:space="preserve">. </w:t>
      </w:r>
      <w:r w:rsidR="00CD4A84" w:rsidRPr="008C2A1A">
        <w:rPr>
          <w:rFonts w:ascii="Garamond" w:hAnsi="Garamond"/>
          <w:bCs/>
          <w:color w:val="000000" w:themeColor="text1"/>
          <w:sz w:val="22"/>
          <w:szCs w:val="22"/>
          <w:bdr w:val="none" w:sz="0" w:space="0" w:color="auto" w:frame="1"/>
          <w:lang w:val="en-US"/>
        </w:rPr>
        <w:t xml:space="preserve">Light railways and the rural-urban </w:t>
      </w:r>
      <w:proofErr w:type="gramStart"/>
      <w:r w:rsidR="00CD4A84" w:rsidRPr="008C2A1A">
        <w:rPr>
          <w:rFonts w:ascii="Garamond" w:hAnsi="Garamond"/>
          <w:bCs/>
          <w:color w:val="000000" w:themeColor="text1"/>
          <w:sz w:val="22"/>
          <w:szCs w:val="22"/>
          <w:bdr w:val="none" w:sz="0" w:space="0" w:color="auto" w:frame="1"/>
          <w:lang w:val="en-US"/>
        </w:rPr>
        <w:t>continuum :</w:t>
      </w:r>
      <w:proofErr w:type="gramEnd"/>
      <w:r w:rsidR="00CD4A84" w:rsidRPr="008C2A1A">
        <w:rPr>
          <w:rFonts w:ascii="Garamond" w:hAnsi="Garamond"/>
          <w:bCs/>
          <w:color w:val="000000" w:themeColor="text1"/>
          <w:sz w:val="22"/>
          <w:szCs w:val="22"/>
          <w:bdr w:val="none" w:sz="0" w:space="0" w:color="auto" w:frame="1"/>
          <w:lang w:val="en-US"/>
        </w:rPr>
        <w:t xml:space="preserve"> technology, space and society in late nineteenth-century Belgium</w:t>
      </w:r>
      <w:r w:rsidR="00B52C31" w:rsidRPr="008C2A1A">
        <w:rPr>
          <w:rFonts w:ascii="Garamond" w:hAnsi="Garamond"/>
          <w:bCs/>
          <w:color w:val="000000" w:themeColor="text1"/>
          <w:sz w:val="22"/>
          <w:szCs w:val="22"/>
          <w:bdr w:val="none" w:sz="0" w:space="0" w:color="auto" w:frame="1"/>
          <w:lang w:val="en-US"/>
        </w:rPr>
        <w:t>. In:</w:t>
      </w:r>
      <w:r w:rsidR="00CD4A84" w:rsidRPr="008C2A1A">
        <w:rPr>
          <w:rFonts w:ascii="Garamond" w:hAnsi="Garamond"/>
          <w:color w:val="000000" w:themeColor="text1"/>
          <w:sz w:val="22"/>
          <w:szCs w:val="22"/>
          <w:lang w:val="en-US"/>
        </w:rPr>
        <w:t xml:space="preserve"> </w:t>
      </w:r>
      <w:r w:rsidR="00CD4A84" w:rsidRPr="008C2A1A">
        <w:rPr>
          <w:rFonts w:ascii="Garamond" w:hAnsi="Garamond"/>
          <w:i/>
          <w:color w:val="000000" w:themeColor="text1"/>
          <w:sz w:val="22"/>
          <w:szCs w:val="22"/>
          <w:lang w:val="en-US"/>
        </w:rPr>
        <w:t>Journal of historical geography</w:t>
      </w:r>
      <w:r w:rsidR="00CD4A84" w:rsidRPr="008C2A1A">
        <w:rPr>
          <w:rFonts w:ascii="Garamond" w:hAnsi="Garamond"/>
          <w:color w:val="000000" w:themeColor="text1"/>
          <w:sz w:val="22"/>
          <w:szCs w:val="22"/>
          <w:lang w:val="en-US"/>
        </w:rPr>
        <w:t xml:space="preserve">, </w:t>
      </w:r>
      <w:r w:rsidR="00B52C31" w:rsidRPr="008C2A1A">
        <w:rPr>
          <w:rFonts w:ascii="Garamond" w:hAnsi="Garamond"/>
          <w:color w:val="000000" w:themeColor="text1"/>
          <w:sz w:val="22"/>
          <w:szCs w:val="22"/>
          <w:lang w:val="en-US"/>
        </w:rPr>
        <w:t xml:space="preserve">vol. </w:t>
      </w:r>
      <w:r w:rsidR="00CD4A84" w:rsidRPr="008C2A1A">
        <w:rPr>
          <w:rFonts w:ascii="Garamond" w:hAnsi="Garamond"/>
          <w:color w:val="000000" w:themeColor="text1"/>
          <w:sz w:val="22"/>
          <w:szCs w:val="22"/>
          <w:lang w:val="en-US"/>
        </w:rPr>
        <w:t xml:space="preserve">37, </w:t>
      </w:r>
      <w:proofErr w:type="spellStart"/>
      <w:r w:rsidR="00B52C31" w:rsidRPr="008C2A1A">
        <w:rPr>
          <w:rFonts w:ascii="Garamond" w:hAnsi="Garamond"/>
          <w:color w:val="000000" w:themeColor="text1"/>
          <w:sz w:val="22"/>
          <w:szCs w:val="22"/>
          <w:lang w:val="en-US"/>
        </w:rPr>
        <w:t>nr</w:t>
      </w:r>
      <w:proofErr w:type="spellEnd"/>
      <w:r w:rsidR="00B52C31" w:rsidRPr="008C2A1A">
        <w:rPr>
          <w:rFonts w:ascii="Garamond" w:hAnsi="Garamond"/>
          <w:color w:val="000000" w:themeColor="text1"/>
          <w:sz w:val="22"/>
          <w:szCs w:val="22"/>
          <w:lang w:val="en-US"/>
        </w:rPr>
        <w:t xml:space="preserve">. </w:t>
      </w:r>
      <w:r w:rsidR="00CD4A84" w:rsidRPr="008C2A1A">
        <w:rPr>
          <w:rFonts w:ascii="Garamond" w:hAnsi="Garamond"/>
          <w:color w:val="000000" w:themeColor="text1"/>
          <w:sz w:val="22"/>
          <w:szCs w:val="22"/>
          <w:lang w:val="en-US"/>
        </w:rPr>
        <w:t xml:space="preserve">3, </w:t>
      </w:r>
      <w:r w:rsidR="00B52C31" w:rsidRPr="008C2A1A">
        <w:rPr>
          <w:rFonts w:ascii="Garamond" w:hAnsi="Garamond"/>
          <w:color w:val="000000" w:themeColor="text1"/>
          <w:sz w:val="22"/>
          <w:szCs w:val="22"/>
          <w:lang w:val="en-US"/>
        </w:rPr>
        <w:t xml:space="preserve">pp. </w:t>
      </w:r>
      <w:r w:rsidR="00CD4A84" w:rsidRPr="008C2A1A">
        <w:rPr>
          <w:rFonts w:ascii="Garamond" w:hAnsi="Garamond"/>
          <w:color w:val="000000" w:themeColor="text1"/>
          <w:sz w:val="22"/>
          <w:szCs w:val="22"/>
          <w:lang w:val="en-US"/>
        </w:rPr>
        <w:t>312-328.</w:t>
      </w:r>
    </w:p>
    <w:p w14:paraId="2101A959" w14:textId="1872A0F8" w:rsidR="006E2B38" w:rsidRPr="008C2A1A" w:rsidRDefault="00C073E2" w:rsidP="007A0260">
      <w:pPr>
        <w:pStyle w:val="Normaalweb"/>
        <w:ind w:left="357"/>
        <w:jc w:val="both"/>
        <w:rPr>
          <w:rFonts w:ascii="Garamond" w:hAnsi="Garamond"/>
          <w:color w:val="000000" w:themeColor="text1"/>
          <w:sz w:val="22"/>
          <w:szCs w:val="22"/>
          <w:lang w:val="en-US"/>
        </w:rPr>
      </w:pPr>
      <w:r w:rsidRPr="008C2A1A">
        <w:rPr>
          <w:rFonts w:ascii="Garamond" w:hAnsi="Garamond"/>
          <w:color w:val="000000" w:themeColor="text1"/>
          <w:sz w:val="22"/>
          <w:szCs w:val="22"/>
          <w:lang w:val="en-US"/>
        </w:rPr>
        <w:t>DE BORGER</w:t>
      </w:r>
      <w:r w:rsidR="006E2B38" w:rsidRPr="008C2A1A">
        <w:rPr>
          <w:rFonts w:ascii="Garamond" w:hAnsi="Garamond"/>
          <w:color w:val="000000" w:themeColor="text1"/>
          <w:sz w:val="22"/>
          <w:szCs w:val="22"/>
          <w:lang w:val="en-US"/>
        </w:rPr>
        <w:t xml:space="preserve">, B and </w:t>
      </w:r>
      <w:r w:rsidRPr="008C2A1A">
        <w:rPr>
          <w:rFonts w:ascii="Garamond" w:hAnsi="Garamond"/>
          <w:color w:val="000000" w:themeColor="text1"/>
          <w:sz w:val="22"/>
          <w:szCs w:val="22"/>
          <w:lang w:val="en-US"/>
        </w:rPr>
        <w:t>PROOST</w:t>
      </w:r>
      <w:r w:rsidR="006E2B38" w:rsidRPr="008C2A1A">
        <w:rPr>
          <w:rFonts w:ascii="Garamond" w:hAnsi="Garamond"/>
          <w:color w:val="000000" w:themeColor="text1"/>
          <w:sz w:val="22"/>
          <w:szCs w:val="22"/>
          <w:lang w:val="en-US"/>
        </w:rPr>
        <w:t>, S.</w:t>
      </w:r>
      <w:r w:rsidR="00B52C31" w:rsidRPr="008C2A1A">
        <w:rPr>
          <w:rFonts w:ascii="Garamond" w:hAnsi="Garamond"/>
          <w:color w:val="000000" w:themeColor="text1"/>
          <w:sz w:val="22"/>
          <w:szCs w:val="22"/>
          <w:lang w:val="en-US"/>
        </w:rPr>
        <w:t xml:space="preserve">, </w:t>
      </w:r>
      <w:r w:rsidR="006E2B38" w:rsidRPr="008C2A1A">
        <w:rPr>
          <w:rFonts w:ascii="Garamond" w:hAnsi="Garamond"/>
          <w:color w:val="000000" w:themeColor="text1"/>
          <w:sz w:val="22"/>
          <w:szCs w:val="22"/>
          <w:lang w:val="en-US"/>
        </w:rPr>
        <w:t>2017</w:t>
      </w:r>
      <w:r w:rsidR="00B52C31" w:rsidRPr="008C2A1A">
        <w:rPr>
          <w:rFonts w:ascii="Garamond" w:hAnsi="Garamond"/>
          <w:color w:val="000000" w:themeColor="text1"/>
          <w:sz w:val="22"/>
          <w:szCs w:val="22"/>
          <w:lang w:val="en-US"/>
        </w:rPr>
        <w:t xml:space="preserve">. </w:t>
      </w:r>
      <w:r w:rsidR="006E2B38" w:rsidRPr="008C2A1A">
        <w:rPr>
          <w:rFonts w:ascii="Garamond" w:hAnsi="Garamond"/>
          <w:color w:val="000000" w:themeColor="text1"/>
          <w:sz w:val="22"/>
          <w:szCs w:val="22"/>
          <w:lang w:val="en-US"/>
        </w:rPr>
        <w:t>Tax and regulatory policies for European Transport–getting there, but in the slow lane</w:t>
      </w:r>
      <w:r w:rsidR="00B52C31" w:rsidRPr="008C2A1A">
        <w:rPr>
          <w:rFonts w:ascii="Garamond" w:hAnsi="Garamond"/>
          <w:color w:val="000000" w:themeColor="text1"/>
          <w:sz w:val="22"/>
          <w:szCs w:val="22"/>
          <w:lang w:val="en-US"/>
        </w:rPr>
        <w:t>.</w:t>
      </w:r>
      <w:r w:rsidR="006E2B38" w:rsidRPr="008C2A1A">
        <w:rPr>
          <w:rFonts w:ascii="Garamond" w:hAnsi="Garamond"/>
          <w:color w:val="000000" w:themeColor="text1"/>
          <w:sz w:val="22"/>
          <w:szCs w:val="22"/>
          <w:lang w:val="en-US"/>
        </w:rPr>
        <w:t xml:space="preserve"> </w:t>
      </w:r>
      <w:r w:rsidR="00B52C31" w:rsidRPr="008C2A1A">
        <w:rPr>
          <w:rFonts w:ascii="Garamond" w:hAnsi="Garamond"/>
          <w:color w:val="000000" w:themeColor="text1"/>
          <w:sz w:val="22"/>
          <w:szCs w:val="22"/>
          <w:lang w:val="en-US"/>
        </w:rPr>
        <w:t>I</w:t>
      </w:r>
      <w:r w:rsidR="006E2B38" w:rsidRPr="008C2A1A">
        <w:rPr>
          <w:rFonts w:ascii="Garamond" w:hAnsi="Garamond"/>
          <w:color w:val="000000" w:themeColor="text1"/>
          <w:sz w:val="22"/>
          <w:szCs w:val="22"/>
          <w:lang w:val="en-US"/>
        </w:rPr>
        <w:t>n</w:t>
      </w:r>
      <w:r w:rsidR="00B52C31" w:rsidRPr="008C2A1A">
        <w:rPr>
          <w:rFonts w:ascii="Garamond" w:hAnsi="Garamond"/>
          <w:color w:val="000000" w:themeColor="text1"/>
          <w:sz w:val="22"/>
          <w:szCs w:val="22"/>
          <w:lang w:val="en-US"/>
        </w:rPr>
        <w:t>:</w:t>
      </w:r>
      <w:r w:rsidR="006E2B38" w:rsidRPr="008C2A1A">
        <w:rPr>
          <w:rFonts w:ascii="Garamond" w:hAnsi="Garamond"/>
          <w:color w:val="000000" w:themeColor="text1"/>
          <w:sz w:val="22"/>
          <w:szCs w:val="22"/>
          <w:lang w:val="en-US"/>
        </w:rPr>
        <w:t xml:space="preserve"> Parry, I., </w:t>
      </w:r>
      <w:proofErr w:type="spellStart"/>
      <w:r w:rsidR="006E2B38" w:rsidRPr="008C2A1A">
        <w:rPr>
          <w:rFonts w:ascii="Garamond" w:hAnsi="Garamond"/>
          <w:color w:val="000000" w:themeColor="text1"/>
          <w:sz w:val="22"/>
          <w:szCs w:val="22"/>
          <w:lang w:val="en-US"/>
        </w:rPr>
        <w:t>Pittel</w:t>
      </w:r>
      <w:proofErr w:type="spellEnd"/>
      <w:r w:rsidR="006E2B38" w:rsidRPr="008C2A1A">
        <w:rPr>
          <w:rFonts w:ascii="Garamond" w:hAnsi="Garamond"/>
          <w:color w:val="000000" w:themeColor="text1"/>
          <w:sz w:val="22"/>
          <w:szCs w:val="22"/>
          <w:lang w:val="en-US"/>
        </w:rPr>
        <w:t xml:space="preserve">, K. and </w:t>
      </w:r>
      <w:proofErr w:type="spellStart"/>
      <w:proofErr w:type="gramStart"/>
      <w:r w:rsidR="006E2B38" w:rsidRPr="008C2A1A">
        <w:rPr>
          <w:rFonts w:ascii="Garamond" w:hAnsi="Garamond"/>
          <w:color w:val="000000" w:themeColor="text1"/>
          <w:sz w:val="22"/>
          <w:szCs w:val="22"/>
          <w:lang w:val="en-US"/>
        </w:rPr>
        <w:t>Vollebergh</w:t>
      </w:r>
      <w:proofErr w:type="spellEnd"/>
      <w:r w:rsidR="009B30C7" w:rsidRPr="008C2A1A">
        <w:rPr>
          <w:rFonts w:ascii="Garamond" w:hAnsi="Garamond"/>
          <w:color w:val="000000" w:themeColor="text1"/>
          <w:sz w:val="22"/>
          <w:szCs w:val="22"/>
          <w:lang w:val="en-US"/>
        </w:rPr>
        <w:t>,</w:t>
      </w:r>
      <w:r w:rsidR="00B52C31" w:rsidRPr="008C2A1A">
        <w:rPr>
          <w:rFonts w:ascii="Garamond" w:hAnsi="Garamond"/>
          <w:color w:val="000000" w:themeColor="text1"/>
          <w:sz w:val="22"/>
          <w:szCs w:val="22"/>
          <w:lang w:val="en-US"/>
        </w:rPr>
        <w:t xml:space="preserve">  </w:t>
      </w:r>
      <w:r w:rsidR="009B30C7" w:rsidRPr="008C2A1A">
        <w:rPr>
          <w:rFonts w:ascii="Garamond" w:hAnsi="Garamond"/>
          <w:color w:val="000000" w:themeColor="text1"/>
          <w:sz w:val="22"/>
          <w:szCs w:val="22"/>
          <w:lang w:val="en-US"/>
        </w:rPr>
        <w:t>H.</w:t>
      </w:r>
      <w:proofErr w:type="gramEnd"/>
      <w:r w:rsidR="009B30C7" w:rsidRPr="008C2A1A">
        <w:rPr>
          <w:rFonts w:ascii="Garamond" w:hAnsi="Garamond"/>
          <w:color w:val="000000" w:themeColor="text1"/>
          <w:sz w:val="22"/>
          <w:szCs w:val="22"/>
          <w:lang w:val="en-US"/>
        </w:rPr>
        <w:t xml:space="preserve"> (</w:t>
      </w:r>
      <w:r w:rsidR="006E2B38" w:rsidRPr="008C2A1A">
        <w:rPr>
          <w:rFonts w:ascii="Garamond" w:hAnsi="Garamond"/>
          <w:color w:val="000000" w:themeColor="text1"/>
          <w:sz w:val="22"/>
          <w:szCs w:val="22"/>
          <w:lang w:val="en-US"/>
        </w:rPr>
        <w:t>Eds</w:t>
      </w:r>
      <w:r w:rsidR="00B52C31" w:rsidRPr="008C2A1A">
        <w:rPr>
          <w:rFonts w:ascii="Garamond" w:hAnsi="Garamond"/>
          <w:color w:val="000000" w:themeColor="text1"/>
          <w:sz w:val="22"/>
          <w:szCs w:val="22"/>
          <w:lang w:val="en-US"/>
        </w:rPr>
        <w:t>.</w:t>
      </w:r>
      <w:r w:rsidR="009B30C7" w:rsidRPr="008C2A1A">
        <w:rPr>
          <w:rFonts w:ascii="Garamond" w:hAnsi="Garamond"/>
          <w:color w:val="000000" w:themeColor="text1"/>
          <w:sz w:val="22"/>
          <w:szCs w:val="22"/>
          <w:lang w:val="en-US"/>
        </w:rPr>
        <w:t>),</w:t>
      </w:r>
      <w:r w:rsidR="00B52C31" w:rsidRPr="008C2A1A">
        <w:rPr>
          <w:rFonts w:ascii="Garamond" w:hAnsi="Garamond"/>
          <w:color w:val="000000" w:themeColor="text1"/>
          <w:sz w:val="22"/>
          <w:szCs w:val="22"/>
          <w:lang w:val="en-US"/>
        </w:rPr>
        <w:t xml:space="preserve"> </w:t>
      </w:r>
      <w:r w:rsidR="006E2B38" w:rsidRPr="008C2A1A">
        <w:rPr>
          <w:rFonts w:ascii="Garamond" w:hAnsi="Garamond"/>
          <w:i/>
          <w:iCs/>
          <w:color w:val="000000" w:themeColor="text1"/>
          <w:sz w:val="22"/>
          <w:szCs w:val="22"/>
          <w:lang w:val="en-US"/>
        </w:rPr>
        <w:t>Energy Tax and Regulatory Policy in Europe: Reform Priorities</w:t>
      </w:r>
      <w:r w:rsidR="009B30C7" w:rsidRPr="008C2A1A">
        <w:rPr>
          <w:rFonts w:ascii="Garamond" w:hAnsi="Garamond"/>
          <w:color w:val="000000" w:themeColor="text1"/>
          <w:sz w:val="22"/>
          <w:szCs w:val="22"/>
          <w:lang w:val="en-US"/>
        </w:rPr>
        <w:t>.</w:t>
      </w:r>
      <w:r w:rsidR="006E2B38" w:rsidRPr="008C2A1A">
        <w:rPr>
          <w:rFonts w:ascii="Garamond" w:hAnsi="Garamond"/>
          <w:color w:val="000000" w:themeColor="text1"/>
          <w:sz w:val="22"/>
          <w:szCs w:val="22"/>
          <w:lang w:val="en-US"/>
        </w:rPr>
        <w:t xml:space="preserve"> </w:t>
      </w:r>
      <w:r w:rsidR="009B30C7" w:rsidRPr="008C2A1A">
        <w:rPr>
          <w:rFonts w:ascii="Garamond" w:hAnsi="Garamond"/>
          <w:color w:val="000000" w:themeColor="text1"/>
          <w:sz w:val="22"/>
          <w:szCs w:val="22"/>
          <w:lang w:val="en-US"/>
        </w:rPr>
        <w:t xml:space="preserve">Cambridge, MA: </w:t>
      </w:r>
      <w:r w:rsidR="006E2B38" w:rsidRPr="008C2A1A">
        <w:rPr>
          <w:rFonts w:ascii="Garamond" w:hAnsi="Garamond"/>
          <w:color w:val="000000" w:themeColor="text1"/>
          <w:sz w:val="22"/>
          <w:szCs w:val="22"/>
          <w:lang w:val="en-US"/>
        </w:rPr>
        <w:t xml:space="preserve">MIT Press. </w:t>
      </w:r>
    </w:p>
    <w:p w14:paraId="0C268B95" w14:textId="56283165" w:rsidR="006064FF" w:rsidRPr="008C2A1A" w:rsidRDefault="00C073E2" w:rsidP="007A0260">
      <w:pPr>
        <w:pStyle w:val="Normaalweb"/>
        <w:ind w:left="357"/>
        <w:jc w:val="both"/>
        <w:rPr>
          <w:rFonts w:ascii="Garamond" w:hAnsi="Garamond"/>
          <w:color w:val="000000" w:themeColor="text1"/>
          <w:sz w:val="22"/>
          <w:szCs w:val="22"/>
          <w:lang w:val="en-US"/>
        </w:rPr>
      </w:pPr>
      <w:r w:rsidRPr="008C2A1A">
        <w:rPr>
          <w:rFonts w:ascii="Garamond" w:hAnsi="Garamond"/>
          <w:color w:val="000000" w:themeColor="text1"/>
          <w:sz w:val="22"/>
          <w:szCs w:val="22"/>
          <w:lang w:val="en-US"/>
        </w:rPr>
        <w:t>DE BORGER</w:t>
      </w:r>
      <w:r w:rsidR="00B52C31" w:rsidRPr="008C2A1A">
        <w:rPr>
          <w:rFonts w:ascii="Garamond" w:hAnsi="Garamond"/>
          <w:color w:val="000000" w:themeColor="text1"/>
          <w:sz w:val="22"/>
          <w:szCs w:val="22"/>
          <w:lang w:val="en-US"/>
        </w:rPr>
        <w:t>,</w:t>
      </w:r>
      <w:r w:rsidR="006064FF" w:rsidRPr="008C2A1A">
        <w:rPr>
          <w:rFonts w:ascii="Garamond" w:hAnsi="Garamond"/>
          <w:color w:val="000000" w:themeColor="text1"/>
          <w:sz w:val="22"/>
          <w:szCs w:val="22"/>
          <w:lang w:val="en-US"/>
        </w:rPr>
        <w:t xml:space="preserve"> B</w:t>
      </w:r>
      <w:r w:rsidR="00B52C31" w:rsidRPr="008C2A1A">
        <w:rPr>
          <w:rFonts w:ascii="Garamond" w:hAnsi="Garamond"/>
          <w:color w:val="000000" w:themeColor="text1"/>
          <w:sz w:val="22"/>
          <w:szCs w:val="22"/>
          <w:lang w:val="en-US"/>
        </w:rPr>
        <w:t>. and</w:t>
      </w:r>
      <w:r w:rsidR="006064FF" w:rsidRPr="008C2A1A">
        <w:rPr>
          <w:rFonts w:ascii="Garamond" w:hAnsi="Garamond"/>
          <w:color w:val="000000" w:themeColor="text1"/>
          <w:sz w:val="22"/>
          <w:szCs w:val="22"/>
          <w:lang w:val="en-US"/>
        </w:rPr>
        <w:t xml:space="preserve"> </w:t>
      </w:r>
      <w:r w:rsidRPr="008C2A1A">
        <w:rPr>
          <w:rFonts w:ascii="Garamond" w:hAnsi="Garamond"/>
          <w:color w:val="000000" w:themeColor="text1"/>
          <w:sz w:val="22"/>
          <w:szCs w:val="22"/>
          <w:lang w:val="en-US"/>
        </w:rPr>
        <w:t>WUYTS</w:t>
      </w:r>
      <w:r w:rsidR="00B52C31" w:rsidRPr="008C2A1A">
        <w:rPr>
          <w:rFonts w:ascii="Garamond" w:hAnsi="Garamond"/>
          <w:color w:val="000000" w:themeColor="text1"/>
          <w:sz w:val="22"/>
          <w:szCs w:val="22"/>
          <w:lang w:val="en-US"/>
        </w:rPr>
        <w:t xml:space="preserve">, B., </w:t>
      </w:r>
      <w:r w:rsidR="006064FF" w:rsidRPr="008C2A1A">
        <w:rPr>
          <w:rFonts w:ascii="Garamond" w:hAnsi="Garamond"/>
          <w:color w:val="000000" w:themeColor="text1"/>
          <w:sz w:val="22"/>
          <w:szCs w:val="22"/>
          <w:lang w:val="en-US"/>
        </w:rPr>
        <w:t>2011</w:t>
      </w:r>
      <w:r w:rsidR="009B30C7" w:rsidRPr="008C2A1A">
        <w:rPr>
          <w:rFonts w:ascii="Garamond" w:hAnsi="Garamond"/>
          <w:color w:val="000000" w:themeColor="text1"/>
          <w:sz w:val="22"/>
          <w:szCs w:val="22"/>
          <w:lang w:val="en-US"/>
        </w:rPr>
        <w:t>.</w:t>
      </w:r>
      <w:r w:rsidR="006064FF" w:rsidRPr="008C2A1A">
        <w:rPr>
          <w:rFonts w:ascii="Garamond" w:hAnsi="Garamond"/>
          <w:color w:val="000000" w:themeColor="text1"/>
          <w:sz w:val="22"/>
          <w:szCs w:val="22"/>
          <w:lang w:val="en-US"/>
        </w:rPr>
        <w:t xml:space="preserve"> The tax treatment of company cars, commuting and optimal congestion taxes. </w:t>
      </w:r>
      <w:r w:rsidR="009B30C7" w:rsidRPr="008C2A1A">
        <w:rPr>
          <w:rFonts w:ascii="Garamond" w:hAnsi="Garamond"/>
          <w:color w:val="000000" w:themeColor="text1"/>
          <w:sz w:val="22"/>
          <w:szCs w:val="22"/>
          <w:lang w:val="en-US"/>
        </w:rPr>
        <w:t xml:space="preserve">In: </w:t>
      </w:r>
      <w:r w:rsidR="006064FF" w:rsidRPr="008C2A1A">
        <w:rPr>
          <w:rFonts w:ascii="Garamond" w:hAnsi="Garamond"/>
          <w:i/>
          <w:color w:val="000000" w:themeColor="text1"/>
          <w:sz w:val="22"/>
          <w:szCs w:val="22"/>
          <w:lang w:val="en-US"/>
        </w:rPr>
        <w:t>Transportation Research B</w:t>
      </w:r>
      <w:r w:rsidR="009B30C7" w:rsidRPr="008C2A1A">
        <w:rPr>
          <w:rFonts w:ascii="Garamond" w:hAnsi="Garamond"/>
          <w:i/>
          <w:color w:val="000000" w:themeColor="text1"/>
          <w:sz w:val="22"/>
          <w:szCs w:val="22"/>
          <w:lang w:val="en-US"/>
        </w:rPr>
        <w:t>.</w:t>
      </w:r>
      <w:r w:rsidR="006064FF" w:rsidRPr="008C2A1A">
        <w:rPr>
          <w:rFonts w:ascii="Garamond" w:hAnsi="Garamond"/>
          <w:color w:val="000000" w:themeColor="text1"/>
          <w:sz w:val="22"/>
          <w:szCs w:val="22"/>
          <w:lang w:val="en-US"/>
        </w:rPr>
        <w:t xml:space="preserve"> </w:t>
      </w:r>
      <w:r w:rsidR="009B30C7" w:rsidRPr="008C2A1A">
        <w:rPr>
          <w:rFonts w:ascii="Garamond" w:hAnsi="Garamond"/>
          <w:color w:val="000000" w:themeColor="text1"/>
          <w:sz w:val="22"/>
          <w:szCs w:val="22"/>
          <w:lang w:val="en-US"/>
        </w:rPr>
        <w:t xml:space="preserve">Vol. </w:t>
      </w:r>
      <w:r w:rsidR="006064FF" w:rsidRPr="008C2A1A">
        <w:rPr>
          <w:rFonts w:ascii="Garamond" w:hAnsi="Garamond"/>
          <w:color w:val="000000" w:themeColor="text1"/>
          <w:sz w:val="22"/>
          <w:szCs w:val="22"/>
          <w:lang w:val="en-US"/>
        </w:rPr>
        <w:t>45</w:t>
      </w:r>
      <w:r w:rsidR="009B30C7" w:rsidRPr="008C2A1A">
        <w:rPr>
          <w:rFonts w:ascii="Garamond" w:hAnsi="Garamond"/>
          <w:color w:val="000000" w:themeColor="text1"/>
          <w:sz w:val="22"/>
          <w:szCs w:val="22"/>
          <w:lang w:val="en-US"/>
        </w:rPr>
        <w:t xml:space="preserve">, </w:t>
      </w:r>
      <w:proofErr w:type="spellStart"/>
      <w:r w:rsidR="009B30C7" w:rsidRPr="008C2A1A">
        <w:rPr>
          <w:rFonts w:ascii="Garamond" w:hAnsi="Garamond"/>
          <w:color w:val="000000" w:themeColor="text1"/>
          <w:sz w:val="22"/>
          <w:szCs w:val="22"/>
          <w:lang w:val="en-US"/>
        </w:rPr>
        <w:t>nr</w:t>
      </w:r>
      <w:proofErr w:type="spellEnd"/>
      <w:r w:rsidR="009B30C7" w:rsidRPr="008C2A1A">
        <w:rPr>
          <w:rFonts w:ascii="Garamond" w:hAnsi="Garamond"/>
          <w:color w:val="000000" w:themeColor="text1"/>
          <w:sz w:val="22"/>
          <w:szCs w:val="22"/>
          <w:lang w:val="en-US"/>
        </w:rPr>
        <w:t xml:space="preserve">. </w:t>
      </w:r>
      <w:r w:rsidR="006064FF" w:rsidRPr="008C2A1A">
        <w:rPr>
          <w:rFonts w:ascii="Garamond" w:hAnsi="Garamond"/>
          <w:color w:val="000000" w:themeColor="text1"/>
          <w:sz w:val="22"/>
          <w:szCs w:val="22"/>
          <w:lang w:val="en-US"/>
        </w:rPr>
        <w:t>10</w:t>
      </w:r>
      <w:r w:rsidR="009B30C7" w:rsidRPr="008C2A1A">
        <w:rPr>
          <w:rFonts w:ascii="Garamond" w:hAnsi="Garamond"/>
          <w:color w:val="000000" w:themeColor="text1"/>
          <w:sz w:val="22"/>
          <w:szCs w:val="22"/>
          <w:lang w:val="en-US"/>
        </w:rPr>
        <w:t xml:space="preserve">, pp. </w:t>
      </w:r>
      <w:r w:rsidR="006064FF" w:rsidRPr="008C2A1A">
        <w:rPr>
          <w:rFonts w:ascii="Garamond" w:hAnsi="Garamond"/>
          <w:color w:val="000000" w:themeColor="text1"/>
          <w:sz w:val="22"/>
          <w:szCs w:val="22"/>
          <w:lang w:val="en-US"/>
        </w:rPr>
        <w:t>1527–1544.</w:t>
      </w:r>
    </w:p>
    <w:p w14:paraId="5D4B3FAB" w14:textId="2D9957DA" w:rsidR="00CD4A84" w:rsidRPr="008C2A1A" w:rsidRDefault="00C073E2" w:rsidP="007A0260">
      <w:pPr>
        <w:spacing w:before="100" w:beforeAutospacing="1" w:after="100" w:afterAutospacing="1"/>
        <w:ind w:left="357"/>
        <w:jc w:val="both"/>
        <w:rPr>
          <w:rFonts w:ascii="Garamond" w:hAnsi="Garamond"/>
          <w:color w:val="000000" w:themeColor="text1"/>
          <w:sz w:val="22"/>
          <w:szCs w:val="22"/>
          <w:lang w:val="en-US"/>
        </w:rPr>
      </w:pPr>
      <w:r w:rsidRPr="008C2A1A">
        <w:rPr>
          <w:rFonts w:ascii="Garamond" w:hAnsi="Garamond"/>
          <w:color w:val="000000" w:themeColor="text1"/>
          <w:sz w:val="22"/>
          <w:szCs w:val="22"/>
        </w:rPr>
        <w:t>DRIESEN</w:t>
      </w:r>
      <w:r w:rsidR="00CD4A84" w:rsidRPr="008C2A1A">
        <w:rPr>
          <w:rFonts w:ascii="Garamond" w:hAnsi="Garamond"/>
          <w:color w:val="000000" w:themeColor="text1"/>
          <w:sz w:val="22"/>
          <w:szCs w:val="22"/>
        </w:rPr>
        <w:t xml:space="preserve">, J., </w:t>
      </w:r>
      <w:r w:rsidR="00B52C31" w:rsidRPr="008C2A1A">
        <w:rPr>
          <w:rFonts w:ascii="Garamond" w:hAnsi="Garamond"/>
          <w:color w:val="000000" w:themeColor="text1"/>
          <w:sz w:val="22"/>
          <w:szCs w:val="22"/>
        </w:rPr>
        <w:t>LOECKX</w:t>
      </w:r>
      <w:r w:rsidR="00CD4A84" w:rsidRPr="008C2A1A">
        <w:rPr>
          <w:rFonts w:ascii="Garamond" w:hAnsi="Garamond"/>
          <w:color w:val="000000" w:themeColor="text1"/>
          <w:sz w:val="22"/>
          <w:szCs w:val="22"/>
        </w:rPr>
        <w:t xml:space="preserve">, A., </w:t>
      </w:r>
      <w:r w:rsidR="00B52C31" w:rsidRPr="008C2A1A">
        <w:rPr>
          <w:rFonts w:ascii="Garamond" w:hAnsi="Garamond"/>
          <w:color w:val="000000" w:themeColor="text1"/>
          <w:sz w:val="22"/>
          <w:szCs w:val="22"/>
        </w:rPr>
        <w:t>NEMERY DE BELLEVAUX</w:t>
      </w:r>
      <w:r w:rsidR="00CD4A84" w:rsidRPr="008C2A1A">
        <w:rPr>
          <w:rFonts w:ascii="Garamond" w:hAnsi="Garamond"/>
          <w:color w:val="000000" w:themeColor="text1"/>
          <w:sz w:val="22"/>
          <w:szCs w:val="22"/>
        </w:rPr>
        <w:t xml:space="preserve">, B., </w:t>
      </w:r>
      <w:r w:rsidR="00B52C31" w:rsidRPr="008C2A1A">
        <w:rPr>
          <w:rFonts w:ascii="Garamond" w:hAnsi="Garamond"/>
          <w:color w:val="000000" w:themeColor="text1"/>
          <w:sz w:val="22"/>
          <w:szCs w:val="22"/>
        </w:rPr>
        <w:t>PROOST,</w:t>
      </w:r>
      <w:r w:rsidR="00CD4A84" w:rsidRPr="008C2A1A">
        <w:rPr>
          <w:rFonts w:ascii="Garamond" w:hAnsi="Garamond"/>
          <w:color w:val="000000" w:themeColor="text1"/>
          <w:sz w:val="22"/>
          <w:szCs w:val="22"/>
        </w:rPr>
        <w:t xml:space="preserve"> S., </w:t>
      </w:r>
      <w:r w:rsidR="00B52C31" w:rsidRPr="008C2A1A">
        <w:rPr>
          <w:rFonts w:ascii="Garamond" w:hAnsi="Garamond"/>
          <w:color w:val="000000" w:themeColor="text1"/>
          <w:sz w:val="22"/>
          <w:szCs w:val="22"/>
        </w:rPr>
        <w:t>STEENBERGHEN</w:t>
      </w:r>
      <w:r w:rsidR="00CD4A84" w:rsidRPr="008C2A1A">
        <w:rPr>
          <w:rFonts w:ascii="Garamond" w:hAnsi="Garamond"/>
          <w:color w:val="000000" w:themeColor="text1"/>
          <w:sz w:val="22"/>
          <w:szCs w:val="22"/>
        </w:rPr>
        <w:t xml:space="preserve">, T., </w:t>
      </w:r>
      <w:r w:rsidR="00B52C31" w:rsidRPr="008C2A1A">
        <w:rPr>
          <w:rFonts w:ascii="Garamond" w:hAnsi="Garamond"/>
          <w:color w:val="000000" w:themeColor="text1"/>
          <w:sz w:val="22"/>
          <w:szCs w:val="22"/>
        </w:rPr>
        <w:t>TAMPÈRE</w:t>
      </w:r>
      <w:r w:rsidR="00CD4A84" w:rsidRPr="008C2A1A">
        <w:rPr>
          <w:rFonts w:ascii="Garamond" w:hAnsi="Garamond"/>
          <w:color w:val="000000" w:themeColor="text1"/>
          <w:sz w:val="22"/>
          <w:szCs w:val="22"/>
        </w:rPr>
        <w:t xml:space="preserve">, C., </w:t>
      </w:r>
      <w:r w:rsidR="00B52C31" w:rsidRPr="008C2A1A">
        <w:rPr>
          <w:rFonts w:ascii="Garamond" w:hAnsi="Garamond"/>
          <w:color w:val="000000" w:themeColor="text1"/>
          <w:sz w:val="22"/>
          <w:szCs w:val="22"/>
        </w:rPr>
        <w:t>TRUYTS</w:t>
      </w:r>
      <w:r w:rsidR="00CD4A84" w:rsidRPr="008C2A1A">
        <w:rPr>
          <w:rFonts w:ascii="Garamond" w:hAnsi="Garamond"/>
          <w:color w:val="000000" w:themeColor="text1"/>
          <w:sz w:val="22"/>
          <w:szCs w:val="22"/>
        </w:rPr>
        <w:t xml:space="preserve">, T. </w:t>
      </w:r>
      <w:proofErr w:type="spellStart"/>
      <w:r w:rsidR="00CD4A84" w:rsidRPr="008C2A1A">
        <w:rPr>
          <w:rFonts w:ascii="Garamond" w:hAnsi="Garamond"/>
          <w:color w:val="000000" w:themeColor="text1"/>
          <w:sz w:val="22"/>
          <w:szCs w:val="22"/>
        </w:rPr>
        <w:t>and</w:t>
      </w:r>
      <w:proofErr w:type="spellEnd"/>
      <w:r w:rsidR="00CD4A84" w:rsidRPr="008C2A1A">
        <w:rPr>
          <w:rFonts w:ascii="Garamond" w:hAnsi="Garamond"/>
          <w:color w:val="000000" w:themeColor="text1"/>
          <w:sz w:val="22"/>
          <w:szCs w:val="22"/>
        </w:rPr>
        <w:t xml:space="preserve"> </w:t>
      </w:r>
      <w:r w:rsidRPr="008C2A1A">
        <w:rPr>
          <w:rFonts w:ascii="Garamond" w:hAnsi="Garamond"/>
          <w:color w:val="000000" w:themeColor="text1"/>
          <w:sz w:val="22"/>
          <w:szCs w:val="22"/>
        </w:rPr>
        <w:t>VAN DEN BULCK</w:t>
      </w:r>
      <w:r w:rsidR="00CD4A84" w:rsidRPr="008C2A1A">
        <w:rPr>
          <w:rFonts w:ascii="Garamond" w:hAnsi="Garamond"/>
          <w:color w:val="000000" w:themeColor="text1"/>
          <w:sz w:val="22"/>
          <w:szCs w:val="22"/>
        </w:rPr>
        <w:t>, E.</w:t>
      </w:r>
      <w:r w:rsidR="00B52C31" w:rsidRPr="008C2A1A">
        <w:rPr>
          <w:rFonts w:ascii="Garamond" w:hAnsi="Garamond"/>
          <w:color w:val="000000" w:themeColor="text1"/>
          <w:sz w:val="22"/>
          <w:szCs w:val="22"/>
        </w:rPr>
        <w:t xml:space="preserve">, </w:t>
      </w:r>
      <w:r w:rsidR="00CD4A84" w:rsidRPr="008C2A1A">
        <w:rPr>
          <w:rFonts w:ascii="Garamond" w:hAnsi="Garamond"/>
          <w:color w:val="000000" w:themeColor="text1"/>
          <w:sz w:val="22"/>
          <w:szCs w:val="22"/>
        </w:rPr>
        <w:t>2013</w:t>
      </w:r>
      <w:r w:rsidR="00B52C31" w:rsidRPr="008C2A1A">
        <w:rPr>
          <w:rFonts w:ascii="Garamond" w:hAnsi="Garamond"/>
          <w:color w:val="000000" w:themeColor="text1"/>
          <w:sz w:val="22"/>
          <w:szCs w:val="22"/>
        </w:rPr>
        <w:t xml:space="preserve">. </w:t>
      </w:r>
      <w:r w:rsidR="00CD4A84" w:rsidRPr="008C2A1A">
        <w:rPr>
          <w:rFonts w:ascii="Garamond" w:hAnsi="Garamond"/>
          <w:i/>
          <w:color w:val="000000" w:themeColor="text1"/>
          <w:sz w:val="22"/>
          <w:szCs w:val="22"/>
          <w:lang w:val="en-US"/>
        </w:rPr>
        <w:t xml:space="preserve">Wat met de </w:t>
      </w:r>
      <w:proofErr w:type="spellStart"/>
      <w:proofErr w:type="gramStart"/>
      <w:r w:rsidR="00CD4A84" w:rsidRPr="008C2A1A">
        <w:rPr>
          <w:rFonts w:ascii="Garamond" w:hAnsi="Garamond"/>
          <w:i/>
          <w:color w:val="000000" w:themeColor="text1"/>
          <w:sz w:val="22"/>
          <w:szCs w:val="22"/>
          <w:lang w:val="en-US"/>
        </w:rPr>
        <w:t>verkeersknoop</w:t>
      </w:r>
      <w:proofErr w:type="spellEnd"/>
      <w:r w:rsidR="00CD4A84" w:rsidRPr="008C2A1A">
        <w:rPr>
          <w:rFonts w:ascii="Garamond" w:hAnsi="Garamond"/>
          <w:i/>
          <w:color w:val="000000" w:themeColor="text1"/>
          <w:sz w:val="22"/>
          <w:szCs w:val="22"/>
          <w:lang w:val="en-US"/>
        </w:rPr>
        <w:t>?</w:t>
      </w:r>
      <w:r w:rsidR="000822F1" w:rsidRPr="008C2A1A">
        <w:rPr>
          <w:rFonts w:ascii="Garamond" w:hAnsi="Garamond"/>
          <w:color w:val="000000" w:themeColor="text1"/>
          <w:sz w:val="22"/>
          <w:szCs w:val="22"/>
          <w:lang w:val="en-US"/>
        </w:rPr>
        <w:t>.</w:t>
      </w:r>
      <w:proofErr w:type="gramEnd"/>
      <w:r w:rsidR="00CD4A84" w:rsidRPr="008C2A1A">
        <w:rPr>
          <w:rFonts w:ascii="Garamond" w:hAnsi="Garamond"/>
          <w:color w:val="000000" w:themeColor="text1"/>
          <w:sz w:val="22"/>
          <w:szCs w:val="22"/>
          <w:lang w:val="en-US"/>
        </w:rPr>
        <w:t xml:space="preserve"> </w:t>
      </w:r>
      <w:proofErr w:type="spellStart"/>
      <w:r w:rsidR="000822F1" w:rsidRPr="008C2A1A">
        <w:rPr>
          <w:rFonts w:ascii="Garamond" w:hAnsi="Garamond"/>
          <w:color w:val="000000" w:themeColor="text1"/>
          <w:sz w:val="22"/>
          <w:szCs w:val="22"/>
          <w:lang w:val="en-US"/>
        </w:rPr>
        <w:t>Tielt</w:t>
      </w:r>
      <w:proofErr w:type="spellEnd"/>
      <w:r w:rsidR="000822F1" w:rsidRPr="008C2A1A">
        <w:rPr>
          <w:rFonts w:ascii="Garamond" w:hAnsi="Garamond"/>
          <w:color w:val="000000" w:themeColor="text1"/>
          <w:sz w:val="22"/>
          <w:szCs w:val="22"/>
          <w:lang w:val="en-US"/>
        </w:rPr>
        <w:t xml:space="preserve">: </w:t>
      </w:r>
      <w:proofErr w:type="spellStart"/>
      <w:r w:rsidR="00CD4A84" w:rsidRPr="008C2A1A">
        <w:rPr>
          <w:rFonts w:ascii="Garamond" w:hAnsi="Garamond"/>
          <w:color w:val="000000" w:themeColor="text1"/>
          <w:sz w:val="22"/>
          <w:szCs w:val="22"/>
          <w:lang w:val="en-US"/>
        </w:rPr>
        <w:t>Lannoo</w:t>
      </w:r>
      <w:proofErr w:type="spellEnd"/>
      <w:r w:rsidR="00CD4A84" w:rsidRPr="008C2A1A">
        <w:rPr>
          <w:rFonts w:ascii="Garamond" w:hAnsi="Garamond"/>
          <w:color w:val="000000" w:themeColor="text1"/>
          <w:sz w:val="22"/>
          <w:szCs w:val="22"/>
          <w:lang w:val="en-US"/>
        </w:rPr>
        <w:t xml:space="preserve"> Campus.</w:t>
      </w:r>
    </w:p>
    <w:p w14:paraId="7D1CFA78" w14:textId="72B6F840" w:rsidR="007A0260" w:rsidRPr="008C2A1A" w:rsidRDefault="00C073E2" w:rsidP="007A0260">
      <w:pPr>
        <w:pStyle w:val="Normaalweb"/>
        <w:ind w:left="357"/>
        <w:contextualSpacing/>
        <w:jc w:val="both"/>
        <w:rPr>
          <w:rFonts w:ascii="Garamond" w:hAnsi="Garamond"/>
          <w:color w:val="000000" w:themeColor="text1"/>
          <w:sz w:val="22"/>
          <w:szCs w:val="22"/>
          <w:lang w:val="en-US"/>
        </w:rPr>
      </w:pPr>
      <w:r w:rsidRPr="008C2A1A">
        <w:rPr>
          <w:rFonts w:ascii="Garamond" w:hAnsi="Garamond"/>
          <w:color w:val="000000" w:themeColor="text1"/>
          <w:sz w:val="22"/>
          <w:szCs w:val="22"/>
          <w:lang w:val="en-US"/>
        </w:rPr>
        <w:t>EUROPEAN COMMISSION</w:t>
      </w:r>
      <w:r w:rsidR="00B52C31" w:rsidRPr="008C2A1A">
        <w:rPr>
          <w:rFonts w:ascii="Garamond" w:hAnsi="Garamond"/>
          <w:color w:val="000000" w:themeColor="text1"/>
          <w:sz w:val="22"/>
          <w:szCs w:val="22"/>
          <w:lang w:val="en-US"/>
        </w:rPr>
        <w:t xml:space="preserve">, </w:t>
      </w:r>
      <w:r w:rsidR="00212B0F" w:rsidRPr="008C2A1A">
        <w:rPr>
          <w:rFonts w:ascii="Garamond" w:hAnsi="Garamond"/>
          <w:color w:val="000000" w:themeColor="text1"/>
          <w:sz w:val="22"/>
          <w:szCs w:val="22"/>
          <w:lang w:val="en-US"/>
        </w:rPr>
        <w:t>2017</w:t>
      </w:r>
      <w:r w:rsidR="00B52C31" w:rsidRPr="008C2A1A">
        <w:rPr>
          <w:rFonts w:ascii="Garamond" w:hAnsi="Garamond"/>
          <w:color w:val="000000" w:themeColor="text1"/>
          <w:sz w:val="22"/>
          <w:szCs w:val="22"/>
          <w:lang w:val="en-US"/>
        </w:rPr>
        <w:t xml:space="preserve">. </w:t>
      </w:r>
      <w:r w:rsidR="00F60A47" w:rsidRPr="008C2A1A">
        <w:rPr>
          <w:rFonts w:ascii="Garamond" w:hAnsi="Garamond"/>
          <w:i/>
          <w:color w:val="000000" w:themeColor="text1"/>
          <w:sz w:val="22"/>
          <w:szCs w:val="22"/>
          <w:lang w:val="en-US"/>
        </w:rPr>
        <w:t>Country report Belgium 2017</w:t>
      </w:r>
      <w:r w:rsidR="00ED3DAF" w:rsidRPr="008C2A1A">
        <w:rPr>
          <w:rFonts w:ascii="Garamond" w:hAnsi="Garamond"/>
          <w:color w:val="000000" w:themeColor="text1"/>
          <w:sz w:val="22"/>
          <w:szCs w:val="22"/>
          <w:lang w:val="en-US"/>
        </w:rPr>
        <w:t>.</w:t>
      </w:r>
      <w:r w:rsidR="00F60A47" w:rsidRPr="008C2A1A">
        <w:rPr>
          <w:rFonts w:ascii="Garamond" w:hAnsi="Garamond"/>
          <w:color w:val="000000" w:themeColor="text1"/>
          <w:sz w:val="22"/>
          <w:szCs w:val="22"/>
          <w:lang w:val="en-US"/>
        </w:rPr>
        <w:t xml:space="preserve"> Brussels. </w:t>
      </w:r>
    </w:p>
    <w:p w14:paraId="30AC9644" w14:textId="77777777" w:rsidR="007A0260" w:rsidRPr="008C2A1A" w:rsidRDefault="007A0260" w:rsidP="007A0260">
      <w:pPr>
        <w:pStyle w:val="Normaalweb"/>
        <w:ind w:left="357"/>
        <w:contextualSpacing/>
        <w:jc w:val="both"/>
        <w:rPr>
          <w:rFonts w:ascii="Garamond" w:hAnsi="Garamond"/>
          <w:color w:val="000000" w:themeColor="text1"/>
          <w:sz w:val="22"/>
          <w:szCs w:val="22"/>
          <w:lang w:val="en-US"/>
        </w:rPr>
      </w:pPr>
    </w:p>
    <w:p w14:paraId="00D52BB6" w14:textId="4D14924B" w:rsidR="00EA2872" w:rsidRPr="008C2A1A" w:rsidRDefault="00C073E2" w:rsidP="007A0260">
      <w:pPr>
        <w:pStyle w:val="Normaalweb"/>
        <w:shd w:val="clear" w:color="auto" w:fill="FFFFFF"/>
        <w:ind w:left="357"/>
        <w:jc w:val="both"/>
        <w:rPr>
          <w:rFonts w:ascii="Garamond" w:hAnsi="Garamond"/>
          <w:color w:val="000000" w:themeColor="text1"/>
          <w:sz w:val="22"/>
          <w:szCs w:val="22"/>
          <w:lang w:val="en-US"/>
        </w:rPr>
      </w:pPr>
      <w:r w:rsidRPr="008C2A1A">
        <w:rPr>
          <w:rFonts w:ascii="Garamond" w:hAnsi="Garamond"/>
          <w:color w:val="000000" w:themeColor="text1"/>
          <w:sz w:val="22"/>
          <w:szCs w:val="22"/>
          <w:lang w:val="en-US"/>
        </w:rPr>
        <w:t>HARDING</w:t>
      </w:r>
      <w:r w:rsidR="00EA2872" w:rsidRPr="008C2A1A">
        <w:rPr>
          <w:rFonts w:ascii="Garamond" w:hAnsi="Garamond"/>
          <w:color w:val="000000" w:themeColor="text1"/>
          <w:sz w:val="22"/>
          <w:szCs w:val="22"/>
          <w:lang w:val="en-US"/>
        </w:rPr>
        <w:t>, M.</w:t>
      </w:r>
      <w:r w:rsidR="00B52C31" w:rsidRPr="008C2A1A">
        <w:rPr>
          <w:rFonts w:ascii="Garamond" w:hAnsi="Garamond"/>
          <w:color w:val="000000" w:themeColor="text1"/>
          <w:sz w:val="22"/>
          <w:szCs w:val="22"/>
          <w:lang w:val="en-US"/>
        </w:rPr>
        <w:t xml:space="preserve">, </w:t>
      </w:r>
      <w:r w:rsidR="00EA2872" w:rsidRPr="008C2A1A">
        <w:rPr>
          <w:rFonts w:ascii="Garamond" w:hAnsi="Garamond"/>
          <w:color w:val="000000" w:themeColor="text1"/>
          <w:sz w:val="22"/>
          <w:szCs w:val="22"/>
          <w:lang w:val="en-US"/>
        </w:rPr>
        <w:t>2014</w:t>
      </w:r>
      <w:r w:rsidR="00B52C31" w:rsidRPr="008C2A1A">
        <w:rPr>
          <w:rFonts w:ascii="Garamond" w:hAnsi="Garamond"/>
          <w:color w:val="000000" w:themeColor="text1"/>
          <w:sz w:val="22"/>
          <w:szCs w:val="22"/>
          <w:lang w:val="en-US"/>
        </w:rPr>
        <w:t xml:space="preserve">. </w:t>
      </w:r>
      <w:r w:rsidR="00EA2872" w:rsidRPr="008C2A1A">
        <w:rPr>
          <w:rFonts w:ascii="Garamond" w:hAnsi="Garamond" w:cs="Arial"/>
          <w:bCs/>
          <w:color w:val="000000" w:themeColor="text1"/>
          <w:sz w:val="22"/>
          <w:szCs w:val="22"/>
          <w:lang w:val="en-US"/>
        </w:rPr>
        <w:t xml:space="preserve">Personal Tax Treatment of Company Cars and Commuting Expenses: Estimating </w:t>
      </w:r>
      <w:r w:rsidR="00ED3DAF" w:rsidRPr="008C2A1A">
        <w:rPr>
          <w:rFonts w:ascii="Garamond" w:hAnsi="Garamond" w:cs="Arial"/>
          <w:bCs/>
          <w:color w:val="000000" w:themeColor="text1"/>
          <w:sz w:val="22"/>
          <w:szCs w:val="22"/>
          <w:lang w:val="en-US"/>
        </w:rPr>
        <w:t>t</w:t>
      </w:r>
      <w:r w:rsidR="00EA2872" w:rsidRPr="008C2A1A">
        <w:rPr>
          <w:rFonts w:ascii="Garamond" w:hAnsi="Garamond" w:cs="Arial"/>
          <w:bCs/>
          <w:color w:val="000000" w:themeColor="text1"/>
          <w:sz w:val="22"/>
          <w:szCs w:val="22"/>
          <w:lang w:val="en-US"/>
        </w:rPr>
        <w:t xml:space="preserve">he Fiscal </w:t>
      </w:r>
      <w:r w:rsidR="00ED3DAF" w:rsidRPr="008C2A1A">
        <w:rPr>
          <w:rFonts w:ascii="Garamond" w:hAnsi="Garamond" w:cs="Arial"/>
          <w:bCs/>
          <w:color w:val="000000" w:themeColor="text1"/>
          <w:sz w:val="22"/>
          <w:szCs w:val="22"/>
          <w:lang w:val="en-US"/>
        </w:rPr>
        <w:t>a</w:t>
      </w:r>
      <w:r w:rsidR="00EA2872" w:rsidRPr="008C2A1A">
        <w:rPr>
          <w:rFonts w:ascii="Garamond" w:hAnsi="Garamond" w:cs="Arial"/>
          <w:bCs/>
          <w:color w:val="000000" w:themeColor="text1"/>
          <w:sz w:val="22"/>
          <w:szCs w:val="22"/>
          <w:lang w:val="en-US"/>
        </w:rPr>
        <w:t>nd Environmental Costs</w:t>
      </w:r>
      <w:r w:rsidR="00ED3DAF" w:rsidRPr="008C2A1A">
        <w:rPr>
          <w:rFonts w:ascii="Garamond" w:hAnsi="Garamond" w:cs="Arial"/>
          <w:bCs/>
          <w:color w:val="000000" w:themeColor="text1"/>
          <w:sz w:val="22"/>
          <w:szCs w:val="22"/>
          <w:lang w:val="en-US"/>
        </w:rPr>
        <w:t>. In:</w:t>
      </w:r>
      <w:r w:rsidR="00EA2872" w:rsidRPr="008C2A1A">
        <w:rPr>
          <w:rFonts w:ascii="Garamond" w:hAnsi="Garamond" w:cs="Arial"/>
          <w:bCs/>
          <w:color w:val="000000" w:themeColor="text1"/>
          <w:sz w:val="22"/>
          <w:szCs w:val="22"/>
          <w:lang w:val="en-US"/>
        </w:rPr>
        <w:t xml:space="preserve"> </w:t>
      </w:r>
      <w:r w:rsidR="00EA2872" w:rsidRPr="008C2A1A">
        <w:rPr>
          <w:rFonts w:ascii="Garamond" w:hAnsi="Garamond" w:cs="Arial"/>
          <w:bCs/>
          <w:i/>
          <w:color w:val="000000" w:themeColor="text1"/>
          <w:sz w:val="22"/>
          <w:szCs w:val="22"/>
          <w:lang w:val="en-US"/>
        </w:rPr>
        <w:t>OECD Taxation Papers</w:t>
      </w:r>
      <w:r w:rsidR="00ED3DAF" w:rsidRPr="008C2A1A">
        <w:rPr>
          <w:rFonts w:ascii="Garamond" w:hAnsi="Garamond" w:cs="Arial"/>
          <w:bCs/>
          <w:i/>
          <w:color w:val="000000" w:themeColor="text1"/>
          <w:sz w:val="22"/>
          <w:szCs w:val="22"/>
          <w:lang w:val="en-US"/>
        </w:rPr>
        <w:t>.</w:t>
      </w:r>
      <w:r w:rsidR="00EA2872" w:rsidRPr="008C2A1A">
        <w:rPr>
          <w:rFonts w:ascii="Garamond" w:hAnsi="Garamond" w:cs="Arial"/>
          <w:bCs/>
          <w:i/>
          <w:color w:val="000000" w:themeColor="text1"/>
          <w:sz w:val="22"/>
          <w:szCs w:val="22"/>
          <w:lang w:val="en-US"/>
        </w:rPr>
        <w:t xml:space="preserve"> </w:t>
      </w:r>
      <w:proofErr w:type="spellStart"/>
      <w:r w:rsidR="00EA2872" w:rsidRPr="008C2A1A">
        <w:rPr>
          <w:rFonts w:ascii="Garamond" w:hAnsi="Garamond" w:cs="Arial"/>
          <w:bCs/>
          <w:color w:val="000000" w:themeColor="text1"/>
          <w:sz w:val="22"/>
          <w:szCs w:val="22"/>
          <w:lang w:val="en-US"/>
        </w:rPr>
        <w:t>N</w:t>
      </w:r>
      <w:r w:rsidR="00ED3DAF" w:rsidRPr="008C2A1A">
        <w:rPr>
          <w:rFonts w:ascii="Garamond" w:hAnsi="Garamond" w:cs="Arial"/>
          <w:bCs/>
          <w:color w:val="000000" w:themeColor="text1"/>
          <w:sz w:val="22"/>
          <w:szCs w:val="22"/>
          <w:lang w:val="en-US"/>
        </w:rPr>
        <w:t>r</w:t>
      </w:r>
      <w:proofErr w:type="spellEnd"/>
      <w:r w:rsidR="00EA2872" w:rsidRPr="008C2A1A">
        <w:rPr>
          <w:rFonts w:ascii="Garamond" w:hAnsi="Garamond" w:cs="Arial"/>
          <w:bCs/>
          <w:color w:val="000000" w:themeColor="text1"/>
          <w:sz w:val="22"/>
          <w:szCs w:val="22"/>
          <w:lang w:val="en-US"/>
        </w:rPr>
        <w:t xml:space="preserve"> 20</w:t>
      </w:r>
      <w:r w:rsidR="00ED3DAF" w:rsidRPr="008C2A1A">
        <w:rPr>
          <w:rFonts w:ascii="Garamond" w:hAnsi="Garamond" w:cs="Arial"/>
          <w:bCs/>
          <w:color w:val="000000" w:themeColor="text1"/>
          <w:sz w:val="22"/>
          <w:szCs w:val="22"/>
          <w:lang w:val="en-US"/>
        </w:rPr>
        <w:t>. Paris:</w:t>
      </w:r>
      <w:r w:rsidR="00EA2872" w:rsidRPr="008C2A1A">
        <w:rPr>
          <w:rFonts w:ascii="Garamond" w:hAnsi="Garamond" w:cs="Arial"/>
          <w:bCs/>
          <w:color w:val="000000" w:themeColor="text1"/>
          <w:sz w:val="22"/>
          <w:szCs w:val="22"/>
          <w:lang w:val="en-US"/>
        </w:rPr>
        <w:t xml:space="preserve"> OECD Publishing.  </w:t>
      </w:r>
    </w:p>
    <w:p w14:paraId="0CFA8C02" w14:textId="50C6BEDF" w:rsidR="006064FF" w:rsidRPr="008C2A1A" w:rsidRDefault="00C073E2" w:rsidP="007A0260">
      <w:pPr>
        <w:pStyle w:val="Normaalweb"/>
        <w:ind w:left="357"/>
        <w:jc w:val="both"/>
        <w:rPr>
          <w:rFonts w:ascii="Garamond" w:hAnsi="Garamond"/>
          <w:color w:val="000000" w:themeColor="text1"/>
          <w:sz w:val="22"/>
          <w:szCs w:val="22"/>
          <w:lang w:val="en-US"/>
        </w:rPr>
      </w:pPr>
      <w:r w:rsidRPr="008C2A1A">
        <w:rPr>
          <w:rFonts w:ascii="Garamond" w:hAnsi="Garamond"/>
          <w:color w:val="000000" w:themeColor="text1"/>
          <w:sz w:val="22"/>
          <w:szCs w:val="22"/>
          <w:lang w:val="en-US"/>
        </w:rPr>
        <w:t>GUTIÉRREZ-I-PUIGARNAU</w:t>
      </w:r>
      <w:r w:rsidR="00B52C31" w:rsidRPr="008C2A1A">
        <w:rPr>
          <w:rFonts w:ascii="Garamond" w:hAnsi="Garamond"/>
          <w:color w:val="000000" w:themeColor="text1"/>
          <w:sz w:val="22"/>
          <w:szCs w:val="22"/>
          <w:lang w:val="en-US"/>
        </w:rPr>
        <w:t>,</w:t>
      </w:r>
      <w:r w:rsidRPr="008C2A1A">
        <w:rPr>
          <w:rFonts w:ascii="Garamond" w:hAnsi="Garamond"/>
          <w:color w:val="000000" w:themeColor="text1"/>
          <w:sz w:val="22"/>
          <w:szCs w:val="22"/>
          <w:lang w:val="en-US"/>
        </w:rPr>
        <w:t xml:space="preserve"> </w:t>
      </w:r>
      <w:r w:rsidR="006064FF" w:rsidRPr="008C2A1A">
        <w:rPr>
          <w:rFonts w:ascii="Garamond" w:hAnsi="Garamond"/>
          <w:color w:val="000000" w:themeColor="text1"/>
          <w:sz w:val="22"/>
          <w:szCs w:val="22"/>
          <w:lang w:val="en-US"/>
        </w:rPr>
        <w:t>E</w:t>
      </w:r>
      <w:r w:rsidR="00B52C31" w:rsidRPr="008C2A1A">
        <w:rPr>
          <w:rFonts w:ascii="Garamond" w:hAnsi="Garamond"/>
          <w:color w:val="000000" w:themeColor="text1"/>
          <w:sz w:val="22"/>
          <w:szCs w:val="22"/>
          <w:lang w:val="en-US"/>
        </w:rPr>
        <w:t>. and</w:t>
      </w:r>
      <w:r w:rsidR="006064FF" w:rsidRPr="008C2A1A">
        <w:rPr>
          <w:rFonts w:ascii="Garamond" w:hAnsi="Garamond"/>
          <w:color w:val="000000" w:themeColor="text1"/>
          <w:sz w:val="22"/>
          <w:szCs w:val="22"/>
          <w:lang w:val="en-US"/>
        </w:rPr>
        <w:t xml:space="preserve"> </w:t>
      </w:r>
      <w:r w:rsidRPr="008C2A1A">
        <w:rPr>
          <w:rFonts w:ascii="Garamond" w:hAnsi="Garamond"/>
          <w:color w:val="000000" w:themeColor="text1"/>
          <w:sz w:val="22"/>
          <w:szCs w:val="22"/>
          <w:lang w:val="en-US"/>
        </w:rPr>
        <w:t>VAN OMMEREN</w:t>
      </w:r>
      <w:r w:rsidR="00B52C31" w:rsidRPr="008C2A1A">
        <w:rPr>
          <w:rFonts w:ascii="Garamond" w:hAnsi="Garamond"/>
          <w:color w:val="000000" w:themeColor="text1"/>
          <w:sz w:val="22"/>
          <w:szCs w:val="22"/>
          <w:lang w:val="en-US"/>
        </w:rPr>
        <w:t>,</w:t>
      </w:r>
      <w:r w:rsidRPr="008C2A1A">
        <w:rPr>
          <w:rFonts w:ascii="Garamond" w:hAnsi="Garamond"/>
          <w:color w:val="000000" w:themeColor="text1"/>
          <w:sz w:val="22"/>
          <w:szCs w:val="22"/>
          <w:lang w:val="en-US"/>
        </w:rPr>
        <w:t xml:space="preserve"> </w:t>
      </w:r>
      <w:r w:rsidR="006064FF" w:rsidRPr="008C2A1A">
        <w:rPr>
          <w:rFonts w:ascii="Garamond" w:hAnsi="Garamond"/>
          <w:color w:val="000000" w:themeColor="text1"/>
          <w:sz w:val="22"/>
          <w:szCs w:val="22"/>
          <w:lang w:val="en-US"/>
        </w:rPr>
        <w:t>J</w:t>
      </w:r>
      <w:r w:rsidR="00B52C31" w:rsidRPr="008C2A1A">
        <w:rPr>
          <w:rFonts w:ascii="Garamond" w:hAnsi="Garamond"/>
          <w:color w:val="000000" w:themeColor="text1"/>
          <w:sz w:val="22"/>
          <w:szCs w:val="22"/>
          <w:lang w:val="en-US"/>
        </w:rPr>
        <w:t>.</w:t>
      </w:r>
      <w:r w:rsidR="006064FF" w:rsidRPr="008C2A1A">
        <w:rPr>
          <w:rFonts w:ascii="Garamond" w:hAnsi="Garamond"/>
          <w:color w:val="000000" w:themeColor="text1"/>
          <w:sz w:val="22"/>
          <w:szCs w:val="22"/>
          <w:lang w:val="en-US"/>
        </w:rPr>
        <w:t>N</w:t>
      </w:r>
      <w:r w:rsidR="00B52C31" w:rsidRPr="008C2A1A">
        <w:rPr>
          <w:rFonts w:ascii="Garamond" w:hAnsi="Garamond"/>
          <w:color w:val="000000" w:themeColor="text1"/>
          <w:sz w:val="22"/>
          <w:szCs w:val="22"/>
          <w:lang w:val="en-US"/>
        </w:rPr>
        <w:t xml:space="preserve">., </w:t>
      </w:r>
      <w:r w:rsidR="006064FF" w:rsidRPr="008C2A1A">
        <w:rPr>
          <w:rFonts w:ascii="Garamond" w:hAnsi="Garamond"/>
          <w:color w:val="000000" w:themeColor="text1"/>
          <w:sz w:val="22"/>
          <w:szCs w:val="22"/>
          <w:lang w:val="en-US"/>
        </w:rPr>
        <w:t>2011</w:t>
      </w:r>
      <w:r w:rsidR="00B52C31" w:rsidRPr="008C2A1A">
        <w:rPr>
          <w:rFonts w:ascii="Garamond" w:hAnsi="Garamond"/>
          <w:color w:val="000000" w:themeColor="text1"/>
          <w:sz w:val="22"/>
          <w:szCs w:val="22"/>
          <w:lang w:val="en-US"/>
        </w:rPr>
        <w:t xml:space="preserve">. </w:t>
      </w:r>
      <w:r w:rsidR="006064FF" w:rsidRPr="008C2A1A">
        <w:rPr>
          <w:rFonts w:ascii="Garamond" w:hAnsi="Garamond"/>
          <w:color w:val="000000" w:themeColor="text1"/>
          <w:sz w:val="22"/>
          <w:szCs w:val="22"/>
          <w:lang w:val="en-US"/>
        </w:rPr>
        <w:t>Welfare effects of distortionary fringe benefits taxation: the case of employer-provided cars</w:t>
      </w:r>
      <w:r w:rsidR="00ED3DAF" w:rsidRPr="008C2A1A">
        <w:rPr>
          <w:rFonts w:ascii="Garamond" w:hAnsi="Garamond"/>
          <w:color w:val="000000" w:themeColor="text1"/>
          <w:sz w:val="22"/>
          <w:szCs w:val="22"/>
          <w:lang w:val="en-US"/>
        </w:rPr>
        <w:t>. In:</w:t>
      </w:r>
      <w:r w:rsidR="006064FF" w:rsidRPr="008C2A1A">
        <w:rPr>
          <w:rFonts w:ascii="Garamond" w:hAnsi="Garamond"/>
          <w:color w:val="000000" w:themeColor="text1"/>
          <w:sz w:val="22"/>
          <w:szCs w:val="22"/>
          <w:lang w:val="en-US"/>
        </w:rPr>
        <w:t xml:space="preserve"> </w:t>
      </w:r>
      <w:r w:rsidR="006064FF" w:rsidRPr="008C2A1A">
        <w:rPr>
          <w:rFonts w:ascii="Garamond" w:hAnsi="Garamond"/>
          <w:i/>
          <w:color w:val="000000" w:themeColor="text1"/>
          <w:sz w:val="22"/>
          <w:szCs w:val="22"/>
          <w:lang w:val="en-US"/>
        </w:rPr>
        <w:t>International Economic Review</w:t>
      </w:r>
      <w:r w:rsidR="00ED3DAF" w:rsidRPr="008C2A1A">
        <w:rPr>
          <w:rFonts w:ascii="Garamond" w:hAnsi="Garamond"/>
          <w:color w:val="000000" w:themeColor="text1"/>
          <w:sz w:val="22"/>
          <w:szCs w:val="22"/>
          <w:lang w:val="en-US"/>
        </w:rPr>
        <w:t>.</w:t>
      </w:r>
      <w:r w:rsidR="006064FF" w:rsidRPr="008C2A1A">
        <w:rPr>
          <w:rFonts w:ascii="Garamond" w:hAnsi="Garamond"/>
          <w:color w:val="000000" w:themeColor="text1"/>
          <w:sz w:val="22"/>
          <w:szCs w:val="22"/>
          <w:lang w:val="en-US"/>
        </w:rPr>
        <w:t xml:space="preserve"> </w:t>
      </w:r>
      <w:r w:rsidR="00ED3DAF" w:rsidRPr="008C2A1A">
        <w:rPr>
          <w:rFonts w:ascii="Garamond" w:hAnsi="Garamond"/>
          <w:color w:val="000000" w:themeColor="text1"/>
          <w:sz w:val="22"/>
          <w:szCs w:val="22"/>
          <w:lang w:val="en-US"/>
        </w:rPr>
        <w:t xml:space="preserve">Vol. </w:t>
      </w:r>
      <w:r w:rsidR="006064FF" w:rsidRPr="008C2A1A">
        <w:rPr>
          <w:rFonts w:ascii="Garamond" w:hAnsi="Garamond"/>
          <w:color w:val="000000" w:themeColor="text1"/>
          <w:sz w:val="22"/>
          <w:szCs w:val="22"/>
          <w:lang w:val="en-US"/>
        </w:rPr>
        <w:t>52</w:t>
      </w:r>
      <w:r w:rsidR="00ED3DAF" w:rsidRPr="008C2A1A">
        <w:rPr>
          <w:rFonts w:ascii="Garamond" w:hAnsi="Garamond"/>
          <w:color w:val="000000" w:themeColor="text1"/>
          <w:sz w:val="22"/>
          <w:szCs w:val="22"/>
          <w:lang w:val="en-US"/>
        </w:rPr>
        <w:t xml:space="preserve">, </w:t>
      </w:r>
      <w:proofErr w:type="spellStart"/>
      <w:r w:rsidR="00ED3DAF" w:rsidRPr="008C2A1A">
        <w:rPr>
          <w:rFonts w:ascii="Garamond" w:hAnsi="Garamond"/>
          <w:color w:val="000000" w:themeColor="text1"/>
          <w:sz w:val="22"/>
          <w:szCs w:val="22"/>
          <w:lang w:val="en-US"/>
        </w:rPr>
        <w:t>nr</w:t>
      </w:r>
      <w:proofErr w:type="spellEnd"/>
      <w:r w:rsidR="00ED3DAF" w:rsidRPr="008C2A1A">
        <w:rPr>
          <w:rFonts w:ascii="Garamond" w:hAnsi="Garamond"/>
          <w:color w:val="000000" w:themeColor="text1"/>
          <w:sz w:val="22"/>
          <w:szCs w:val="22"/>
          <w:lang w:val="en-US"/>
        </w:rPr>
        <w:t xml:space="preserve">. </w:t>
      </w:r>
      <w:r w:rsidR="006064FF" w:rsidRPr="008C2A1A">
        <w:rPr>
          <w:rFonts w:ascii="Garamond" w:hAnsi="Garamond"/>
          <w:color w:val="000000" w:themeColor="text1"/>
          <w:sz w:val="22"/>
          <w:szCs w:val="22"/>
          <w:lang w:val="en-US"/>
        </w:rPr>
        <w:t>4),</w:t>
      </w:r>
      <w:r w:rsidR="00ED3DAF" w:rsidRPr="008C2A1A">
        <w:rPr>
          <w:rFonts w:ascii="Garamond" w:hAnsi="Garamond"/>
          <w:color w:val="000000" w:themeColor="text1"/>
          <w:sz w:val="22"/>
          <w:szCs w:val="22"/>
          <w:lang w:val="en-US"/>
        </w:rPr>
        <w:t xml:space="preserve"> pp.</w:t>
      </w:r>
      <w:r w:rsidR="006064FF" w:rsidRPr="008C2A1A">
        <w:rPr>
          <w:rFonts w:ascii="Garamond" w:hAnsi="Garamond"/>
          <w:color w:val="000000" w:themeColor="text1"/>
          <w:sz w:val="22"/>
          <w:szCs w:val="22"/>
          <w:lang w:val="en-US"/>
        </w:rPr>
        <w:t xml:space="preserve"> 1105–1122</w:t>
      </w:r>
      <w:r w:rsidR="00ED3DAF" w:rsidRPr="008C2A1A">
        <w:rPr>
          <w:rFonts w:ascii="Garamond" w:hAnsi="Garamond"/>
          <w:color w:val="000000" w:themeColor="text1"/>
          <w:sz w:val="22"/>
          <w:szCs w:val="22"/>
          <w:lang w:val="en-US"/>
        </w:rPr>
        <w:t>.</w:t>
      </w:r>
    </w:p>
    <w:p w14:paraId="02D9E69F" w14:textId="24BEDDAF" w:rsidR="00EA2872" w:rsidRPr="008C2A1A" w:rsidRDefault="00C073E2" w:rsidP="007A0260">
      <w:pPr>
        <w:pStyle w:val="Normaalweb"/>
        <w:ind w:left="357"/>
        <w:contextualSpacing/>
        <w:jc w:val="both"/>
        <w:rPr>
          <w:rFonts w:ascii="Garamond" w:hAnsi="Garamond"/>
          <w:color w:val="000000" w:themeColor="text1"/>
          <w:sz w:val="22"/>
          <w:szCs w:val="22"/>
          <w:lang w:val="en-US"/>
        </w:rPr>
      </w:pPr>
      <w:r w:rsidRPr="008C2A1A">
        <w:rPr>
          <w:rFonts w:ascii="Garamond" w:hAnsi="Garamond"/>
          <w:color w:val="000000" w:themeColor="text1"/>
          <w:sz w:val="22"/>
          <w:szCs w:val="22"/>
          <w:lang w:val="en-US"/>
        </w:rPr>
        <w:t>LAINE</w:t>
      </w:r>
      <w:r w:rsidR="003D0571" w:rsidRPr="008C2A1A">
        <w:rPr>
          <w:rFonts w:ascii="Garamond" w:hAnsi="Garamond"/>
          <w:color w:val="000000" w:themeColor="text1"/>
          <w:sz w:val="22"/>
          <w:szCs w:val="22"/>
          <w:lang w:val="en-US"/>
        </w:rPr>
        <w:t xml:space="preserve">, B. and </w:t>
      </w:r>
      <w:r w:rsidRPr="008C2A1A">
        <w:rPr>
          <w:rFonts w:ascii="Garamond" w:hAnsi="Garamond"/>
          <w:color w:val="000000" w:themeColor="text1"/>
          <w:sz w:val="22"/>
          <w:szCs w:val="22"/>
          <w:lang w:val="en-US"/>
        </w:rPr>
        <w:t>VAN STENBERGHEN</w:t>
      </w:r>
      <w:r w:rsidR="003D0571" w:rsidRPr="008C2A1A">
        <w:rPr>
          <w:rFonts w:ascii="Garamond" w:hAnsi="Garamond"/>
          <w:color w:val="000000" w:themeColor="text1"/>
          <w:sz w:val="22"/>
          <w:szCs w:val="22"/>
          <w:lang w:val="en-US"/>
        </w:rPr>
        <w:t>, A.</w:t>
      </w:r>
      <w:r w:rsidR="00B52C31" w:rsidRPr="008C2A1A">
        <w:rPr>
          <w:rFonts w:ascii="Garamond" w:hAnsi="Garamond"/>
          <w:color w:val="000000" w:themeColor="text1"/>
          <w:sz w:val="22"/>
          <w:szCs w:val="22"/>
          <w:lang w:val="en-US"/>
        </w:rPr>
        <w:t xml:space="preserve">, </w:t>
      </w:r>
      <w:r w:rsidR="003D0571" w:rsidRPr="008C2A1A">
        <w:rPr>
          <w:rFonts w:ascii="Garamond" w:hAnsi="Garamond"/>
          <w:color w:val="000000" w:themeColor="text1"/>
          <w:sz w:val="22"/>
          <w:szCs w:val="22"/>
          <w:lang w:val="en-US"/>
        </w:rPr>
        <w:t>2016</w:t>
      </w:r>
      <w:r w:rsidR="00B52C31" w:rsidRPr="008C2A1A">
        <w:rPr>
          <w:rFonts w:ascii="Garamond" w:hAnsi="Garamond"/>
          <w:color w:val="000000" w:themeColor="text1"/>
          <w:sz w:val="22"/>
          <w:szCs w:val="22"/>
          <w:lang w:val="en-US"/>
        </w:rPr>
        <w:t xml:space="preserve">. </w:t>
      </w:r>
      <w:r w:rsidR="003D0571" w:rsidRPr="008C2A1A">
        <w:rPr>
          <w:rFonts w:ascii="Garamond" w:hAnsi="Garamond"/>
          <w:color w:val="000000" w:themeColor="text1"/>
          <w:sz w:val="22"/>
          <w:szCs w:val="22"/>
          <w:lang w:val="en-US"/>
        </w:rPr>
        <w:t>The Fiscal Treatment of Company Cars in Belgium: Effects on Car Demand, Travel Behavior and External Costs</w:t>
      </w:r>
      <w:r w:rsidR="00ED3DAF" w:rsidRPr="008C2A1A">
        <w:rPr>
          <w:rFonts w:ascii="Garamond" w:hAnsi="Garamond"/>
          <w:color w:val="000000" w:themeColor="text1"/>
          <w:sz w:val="22"/>
          <w:szCs w:val="22"/>
          <w:lang w:val="en-US"/>
        </w:rPr>
        <w:t>.</w:t>
      </w:r>
      <w:r w:rsidR="003D0571" w:rsidRPr="008C2A1A">
        <w:rPr>
          <w:rFonts w:ascii="Garamond" w:hAnsi="Garamond"/>
          <w:color w:val="000000" w:themeColor="text1"/>
          <w:sz w:val="22"/>
          <w:szCs w:val="22"/>
          <w:lang w:val="en-US"/>
        </w:rPr>
        <w:t xml:space="preserve"> </w:t>
      </w:r>
      <w:r w:rsidR="003D0571" w:rsidRPr="008C2A1A">
        <w:rPr>
          <w:rFonts w:ascii="Garamond" w:hAnsi="Garamond"/>
          <w:i/>
          <w:color w:val="000000" w:themeColor="text1"/>
          <w:sz w:val="22"/>
          <w:szCs w:val="22"/>
          <w:lang w:val="en-US"/>
        </w:rPr>
        <w:t>Federal Planning Bureau Working Paper</w:t>
      </w:r>
      <w:r w:rsidR="00ED3DAF" w:rsidRPr="008C2A1A">
        <w:rPr>
          <w:rFonts w:ascii="Garamond" w:hAnsi="Garamond"/>
          <w:i/>
          <w:color w:val="000000" w:themeColor="text1"/>
          <w:sz w:val="22"/>
          <w:szCs w:val="22"/>
          <w:lang w:val="en-US"/>
        </w:rPr>
        <w:t>,</w:t>
      </w:r>
      <w:r w:rsidR="003D0571" w:rsidRPr="008C2A1A">
        <w:rPr>
          <w:rFonts w:ascii="Garamond" w:hAnsi="Garamond"/>
          <w:color w:val="000000" w:themeColor="text1"/>
          <w:sz w:val="22"/>
          <w:szCs w:val="22"/>
          <w:lang w:val="en-US"/>
        </w:rPr>
        <w:t xml:space="preserve"> </w:t>
      </w:r>
      <w:proofErr w:type="spellStart"/>
      <w:r w:rsidR="00ED3DAF" w:rsidRPr="008C2A1A">
        <w:rPr>
          <w:rFonts w:ascii="Garamond" w:hAnsi="Garamond"/>
          <w:color w:val="000000" w:themeColor="text1"/>
          <w:sz w:val="22"/>
          <w:szCs w:val="22"/>
          <w:lang w:val="en-US"/>
        </w:rPr>
        <w:t>nr</w:t>
      </w:r>
      <w:proofErr w:type="spellEnd"/>
      <w:r w:rsidR="00ED3DAF" w:rsidRPr="008C2A1A">
        <w:rPr>
          <w:rFonts w:ascii="Garamond" w:hAnsi="Garamond"/>
          <w:color w:val="000000" w:themeColor="text1"/>
          <w:sz w:val="22"/>
          <w:szCs w:val="22"/>
          <w:lang w:val="en-US"/>
        </w:rPr>
        <w:t xml:space="preserve">. </w:t>
      </w:r>
      <w:r w:rsidR="003D0571" w:rsidRPr="008C2A1A">
        <w:rPr>
          <w:rFonts w:ascii="Garamond" w:hAnsi="Garamond"/>
          <w:color w:val="000000" w:themeColor="text1"/>
          <w:sz w:val="22"/>
          <w:szCs w:val="22"/>
          <w:lang w:val="en-US"/>
        </w:rPr>
        <w:t>3 - 16</w:t>
      </w:r>
      <w:r w:rsidR="00ED3DAF" w:rsidRPr="008C2A1A">
        <w:rPr>
          <w:rFonts w:ascii="Garamond" w:hAnsi="Garamond"/>
          <w:color w:val="000000" w:themeColor="text1"/>
          <w:sz w:val="22"/>
          <w:szCs w:val="22"/>
          <w:lang w:val="en-US"/>
        </w:rPr>
        <w:t>. Brussels: Federal Planning Bureau</w:t>
      </w:r>
      <w:r w:rsidR="003D0571" w:rsidRPr="008C2A1A">
        <w:rPr>
          <w:rFonts w:ascii="Garamond" w:hAnsi="Garamond"/>
          <w:color w:val="000000" w:themeColor="text1"/>
          <w:sz w:val="22"/>
          <w:szCs w:val="22"/>
          <w:lang w:val="en-US"/>
        </w:rPr>
        <w:t>.</w:t>
      </w:r>
    </w:p>
    <w:p w14:paraId="1DAFD1A9" w14:textId="77777777" w:rsidR="007A0260" w:rsidRPr="008C2A1A" w:rsidRDefault="007A0260" w:rsidP="007A0260">
      <w:pPr>
        <w:pStyle w:val="Normaalweb"/>
        <w:ind w:left="357"/>
        <w:contextualSpacing/>
        <w:jc w:val="both"/>
        <w:rPr>
          <w:rFonts w:ascii="Garamond" w:hAnsi="Garamond"/>
          <w:color w:val="000000" w:themeColor="text1"/>
          <w:sz w:val="22"/>
          <w:szCs w:val="22"/>
          <w:lang w:val="en-US"/>
        </w:rPr>
      </w:pPr>
    </w:p>
    <w:p w14:paraId="7C712216" w14:textId="673320E0" w:rsidR="000046B8" w:rsidRPr="008C2A1A" w:rsidRDefault="00C073E2" w:rsidP="007A0260">
      <w:pPr>
        <w:pStyle w:val="Normaalweb"/>
        <w:ind w:left="357"/>
        <w:contextualSpacing/>
        <w:jc w:val="both"/>
        <w:rPr>
          <w:rFonts w:ascii="Garamond" w:hAnsi="Garamond"/>
          <w:color w:val="000000" w:themeColor="text1"/>
          <w:sz w:val="22"/>
          <w:szCs w:val="22"/>
          <w:lang w:val="en-US"/>
        </w:rPr>
      </w:pPr>
      <w:r w:rsidRPr="008C2A1A">
        <w:rPr>
          <w:rFonts w:ascii="Garamond" w:hAnsi="Garamond"/>
          <w:color w:val="000000" w:themeColor="text1"/>
          <w:sz w:val="22"/>
          <w:szCs w:val="22"/>
          <w:lang w:val="en-US"/>
        </w:rPr>
        <w:t>PIKETTY</w:t>
      </w:r>
      <w:r w:rsidR="000046B8" w:rsidRPr="008C2A1A">
        <w:rPr>
          <w:rFonts w:ascii="Garamond" w:hAnsi="Garamond"/>
          <w:color w:val="000000" w:themeColor="text1"/>
          <w:sz w:val="22"/>
          <w:szCs w:val="22"/>
          <w:lang w:val="en-US"/>
        </w:rPr>
        <w:t xml:space="preserve">, T and </w:t>
      </w:r>
      <w:r w:rsidRPr="008C2A1A">
        <w:rPr>
          <w:rFonts w:ascii="Garamond" w:hAnsi="Garamond"/>
          <w:color w:val="000000" w:themeColor="text1"/>
          <w:sz w:val="22"/>
          <w:szCs w:val="22"/>
          <w:lang w:val="en-US"/>
        </w:rPr>
        <w:t>SAEZ</w:t>
      </w:r>
      <w:r w:rsidR="000046B8" w:rsidRPr="008C2A1A">
        <w:rPr>
          <w:rFonts w:ascii="Garamond" w:hAnsi="Garamond"/>
          <w:color w:val="000000" w:themeColor="text1"/>
          <w:sz w:val="22"/>
          <w:szCs w:val="22"/>
          <w:lang w:val="en-US"/>
        </w:rPr>
        <w:t>, E.</w:t>
      </w:r>
      <w:r w:rsidR="00B52C31" w:rsidRPr="008C2A1A">
        <w:rPr>
          <w:rFonts w:ascii="Garamond" w:hAnsi="Garamond"/>
          <w:color w:val="000000" w:themeColor="text1"/>
          <w:sz w:val="22"/>
          <w:szCs w:val="22"/>
          <w:lang w:val="en-US"/>
        </w:rPr>
        <w:t xml:space="preserve">, </w:t>
      </w:r>
      <w:r w:rsidR="000046B8" w:rsidRPr="008C2A1A">
        <w:rPr>
          <w:rFonts w:ascii="Garamond" w:hAnsi="Garamond"/>
          <w:color w:val="000000" w:themeColor="text1"/>
          <w:sz w:val="22"/>
          <w:szCs w:val="22"/>
          <w:lang w:val="en-US"/>
        </w:rPr>
        <w:t>2013</w:t>
      </w:r>
      <w:r w:rsidR="00B52C31" w:rsidRPr="008C2A1A">
        <w:rPr>
          <w:rFonts w:ascii="Garamond" w:hAnsi="Garamond"/>
          <w:color w:val="000000" w:themeColor="text1"/>
          <w:sz w:val="22"/>
          <w:szCs w:val="22"/>
          <w:lang w:val="en-US"/>
        </w:rPr>
        <w:t xml:space="preserve">. </w:t>
      </w:r>
      <w:r w:rsidR="000046B8" w:rsidRPr="008C2A1A">
        <w:rPr>
          <w:rFonts w:ascii="Garamond" w:hAnsi="Garamond"/>
          <w:color w:val="000000" w:themeColor="text1"/>
          <w:sz w:val="22"/>
          <w:szCs w:val="22"/>
          <w:lang w:val="en-US"/>
        </w:rPr>
        <w:t>Optimal Labor Income Taxation</w:t>
      </w:r>
      <w:r w:rsidR="00ED3DAF" w:rsidRPr="008C2A1A">
        <w:rPr>
          <w:rFonts w:ascii="Garamond" w:hAnsi="Garamond"/>
          <w:color w:val="000000" w:themeColor="text1"/>
          <w:sz w:val="22"/>
          <w:szCs w:val="22"/>
          <w:lang w:val="en-US"/>
        </w:rPr>
        <w:t>.</w:t>
      </w:r>
      <w:r w:rsidR="000046B8" w:rsidRPr="008C2A1A">
        <w:rPr>
          <w:rFonts w:ascii="Garamond" w:hAnsi="Garamond"/>
          <w:color w:val="000000" w:themeColor="text1"/>
          <w:sz w:val="22"/>
          <w:szCs w:val="22"/>
          <w:lang w:val="en-US"/>
        </w:rPr>
        <w:t xml:space="preserve"> </w:t>
      </w:r>
      <w:r w:rsidR="000046B8" w:rsidRPr="008C2A1A">
        <w:rPr>
          <w:rFonts w:ascii="Garamond" w:hAnsi="Garamond"/>
          <w:i/>
          <w:color w:val="000000" w:themeColor="text1"/>
          <w:sz w:val="22"/>
          <w:szCs w:val="22"/>
          <w:lang w:val="en-US"/>
        </w:rPr>
        <w:t>Handbook of Public Economics</w:t>
      </w:r>
      <w:r w:rsidR="00ED3DAF" w:rsidRPr="008C2A1A">
        <w:rPr>
          <w:rFonts w:ascii="Garamond" w:hAnsi="Garamond"/>
          <w:color w:val="000000" w:themeColor="text1"/>
          <w:sz w:val="22"/>
          <w:szCs w:val="22"/>
          <w:lang w:val="en-US"/>
        </w:rPr>
        <w:t>.</w:t>
      </w:r>
      <w:r w:rsidR="000046B8" w:rsidRPr="008C2A1A">
        <w:rPr>
          <w:rFonts w:ascii="Garamond" w:hAnsi="Garamond"/>
          <w:color w:val="000000" w:themeColor="text1"/>
          <w:sz w:val="22"/>
          <w:szCs w:val="22"/>
          <w:lang w:val="en-US"/>
        </w:rPr>
        <w:t xml:space="preserve"> Vol. 5</w:t>
      </w:r>
      <w:r w:rsidR="00ED3DAF" w:rsidRPr="008C2A1A">
        <w:rPr>
          <w:rFonts w:ascii="Garamond" w:hAnsi="Garamond"/>
          <w:color w:val="000000" w:themeColor="text1"/>
          <w:sz w:val="22"/>
          <w:szCs w:val="22"/>
          <w:lang w:val="en-US"/>
        </w:rPr>
        <w:t>.</w:t>
      </w:r>
      <w:r w:rsidR="000046B8" w:rsidRPr="008C2A1A">
        <w:rPr>
          <w:rFonts w:ascii="Garamond" w:hAnsi="Garamond"/>
          <w:color w:val="000000" w:themeColor="text1"/>
          <w:sz w:val="22"/>
          <w:szCs w:val="22"/>
          <w:lang w:val="en-US"/>
        </w:rPr>
        <w:t xml:space="preserve"> </w:t>
      </w:r>
      <w:r w:rsidR="00ED3DAF" w:rsidRPr="008C2A1A">
        <w:rPr>
          <w:rFonts w:ascii="Garamond" w:hAnsi="Garamond"/>
          <w:color w:val="000000" w:themeColor="text1"/>
          <w:sz w:val="22"/>
          <w:szCs w:val="22"/>
          <w:lang w:val="en-US"/>
        </w:rPr>
        <w:t xml:space="preserve">Amsterdam: </w:t>
      </w:r>
      <w:r w:rsidR="000046B8" w:rsidRPr="008C2A1A">
        <w:rPr>
          <w:rFonts w:ascii="Garamond" w:hAnsi="Garamond"/>
          <w:color w:val="000000" w:themeColor="text1"/>
          <w:sz w:val="22"/>
          <w:szCs w:val="22"/>
          <w:lang w:val="en-US"/>
        </w:rPr>
        <w:t xml:space="preserve">North Holland Publishing. </w:t>
      </w:r>
    </w:p>
    <w:p w14:paraId="2BD25A4D" w14:textId="3FDF0720" w:rsidR="007A0260" w:rsidRPr="008C2A1A" w:rsidRDefault="007A0260" w:rsidP="007A0260">
      <w:pPr>
        <w:pStyle w:val="Normaalweb"/>
        <w:ind w:left="357"/>
        <w:contextualSpacing/>
        <w:jc w:val="both"/>
        <w:rPr>
          <w:rFonts w:ascii="Garamond" w:hAnsi="Garamond"/>
          <w:color w:val="000000" w:themeColor="text1"/>
          <w:sz w:val="22"/>
          <w:szCs w:val="22"/>
          <w:lang w:val="en-US"/>
        </w:rPr>
      </w:pPr>
    </w:p>
    <w:p w14:paraId="6A213794" w14:textId="2E84400B" w:rsidR="007A0260" w:rsidRPr="008C2A1A" w:rsidRDefault="00C073E2" w:rsidP="007A0260">
      <w:pPr>
        <w:pStyle w:val="Normaalweb"/>
        <w:ind w:left="357"/>
        <w:contextualSpacing/>
        <w:jc w:val="both"/>
        <w:rPr>
          <w:rFonts w:ascii="Garamond" w:hAnsi="Garamond"/>
          <w:color w:val="000000" w:themeColor="text1"/>
          <w:sz w:val="22"/>
          <w:szCs w:val="22"/>
          <w:lang w:val="en-US"/>
        </w:rPr>
      </w:pPr>
      <w:r w:rsidRPr="008C2A1A">
        <w:rPr>
          <w:rFonts w:ascii="Garamond" w:hAnsi="Garamond"/>
          <w:color w:val="000000" w:themeColor="text1"/>
          <w:sz w:val="22"/>
          <w:szCs w:val="22"/>
          <w:lang w:val="en-US"/>
        </w:rPr>
        <w:t>PROOST</w:t>
      </w:r>
      <w:r w:rsidR="007A0260" w:rsidRPr="008C2A1A">
        <w:rPr>
          <w:rFonts w:ascii="Garamond" w:hAnsi="Garamond"/>
          <w:color w:val="000000" w:themeColor="text1"/>
          <w:sz w:val="22"/>
          <w:szCs w:val="22"/>
          <w:lang w:val="en-US"/>
        </w:rPr>
        <w:t xml:space="preserve">, S. and </w:t>
      </w:r>
      <w:r w:rsidRPr="008C2A1A">
        <w:rPr>
          <w:rFonts w:ascii="Garamond" w:hAnsi="Garamond"/>
          <w:color w:val="000000" w:themeColor="text1"/>
          <w:sz w:val="22"/>
          <w:szCs w:val="22"/>
          <w:lang w:val="en-US"/>
        </w:rPr>
        <w:t>EVERS</w:t>
      </w:r>
      <w:r w:rsidR="007A0260" w:rsidRPr="008C2A1A">
        <w:rPr>
          <w:rFonts w:ascii="Garamond" w:hAnsi="Garamond"/>
          <w:color w:val="000000" w:themeColor="text1"/>
          <w:sz w:val="22"/>
          <w:szCs w:val="22"/>
          <w:lang w:val="en-US"/>
        </w:rPr>
        <w:t>, R.</w:t>
      </w:r>
      <w:r w:rsidR="00B52C31" w:rsidRPr="008C2A1A">
        <w:rPr>
          <w:rFonts w:ascii="Garamond" w:hAnsi="Garamond"/>
          <w:color w:val="000000" w:themeColor="text1"/>
          <w:sz w:val="22"/>
          <w:szCs w:val="22"/>
          <w:lang w:val="en-US"/>
        </w:rPr>
        <w:t xml:space="preserve">, </w:t>
      </w:r>
      <w:r w:rsidR="007A0260" w:rsidRPr="008C2A1A">
        <w:rPr>
          <w:rFonts w:ascii="Garamond" w:hAnsi="Garamond"/>
          <w:color w:val="000000" w:themeColor="text1"/>
          <w:sz w:val="22"/>
          <w:szCs w:val="22"/>
          <w:lang w:val="en-US"/>
        </w:rPr>
        <w:t>2018</w:t>
      </w:r>
      <w:r w:rsidR="00B52C31" w:rsidRPr="008C2A1A">
        <w:rPr>
          <w:rFonts w:ascii="Garamond" w:hAnsi="Garamond"/>
          <w:color w:val="000000" w:themeColor="text1"/>
          <w:sz w:val="22"/>
          <w:szCs w:val="22"/>
          <w:lang w:val="en-US"/>
        </w:rPr>
        <w:t xml:space="preserve">. </w:t>
      </w:r>
      <w:r w:rsidR="007A0260" w:rsidRPr="008C2A1A">
        <w:rPr>
          <w:rFonts w:ascii="Garamond" w:hAnsi="Garamond"/>
          <w:i/>
          <w:color w:val="000000" w:themeColor="text1"/>
          <w:sz w:val="22"/>
          <w:szCs w:val="22"/>
        </w:rPr>
        <w:t>Slimmer Onderweg. 25 snelwegen naar een leefbare mobiliteit</w:t>
      </w:r>
      <w:r w:rsidR="00ED3DAF" w:rsidRPr="008C2A1A">
        <w:rPr>
          <w:rFonts w:ascii="Garamond" w:hAnsi="Garamond"/>
          <w:color w:val="000000" w:themeColor="text1"/>
          <w:sz w:val="22"/>
          <w:szCs w:val="22"/>
        </w:rPr>
        <w:t>.</w:t>
      </w:r>
      <w:r w:rsidR="007A0260" w:rsidRPr="008C2A1A">
        <w:rPr>
          <w:rFonts w:ascii="Garamond" w:hAnsi="Garamond"/>
          <w:color w:val="000000" w:themeColor="text1"/>
          <w:sz w:val="22"/>
          <w:szCs w:val="22"/>
        </w:rPr>
        <w:t xml:space="preserve"> </w:t>
      </w:r>
      <w:r w:rsidR="007A0260" w:rsidRPr="008C2A1A">
        <w:rPr>
          <w:rFonts w:ascii="Garamond" w:hAnsi="Garamond"/>
          <w:color w:val="000000" w:themeColor="text1"/>
          <w:sz w:val="22"/>
          <w:szCs w:val="22"/>
          <w:lang w:val="en-US"/>
        </w:rPr>
        <w:t>Leuven,</w:t>
      </w:r>
      <w:r w:rsidR="00ED3DAF" w:rsidRPr="008C2A1A">
        <w:rPr>
          <w:rFonts w:ascii="Garamond" w:hAnsi="Garamond"/>
          <w:color w:val="000000" w:themeColor="text1"/>
          <w:sz w:val="22"/>
          <w:szCs w:val="22"/>
          <w:lang w:val="en-US"/>
        </w:rPr>
        <w:t xml:space="preserve"> </w:t>
      </w:r>
      <w:proofErr w:type="spellStart"/>
      <w:r w:rsidR="00ED3DAF" w:rsidRPr="008C2A1A">
        <w:rPr>
          <w:rFonts w:ascii="Garamond" w:hAnsi="Garamond"/>
          <w:color w:val="000000" w:themeColor="text1"/>
          <w:sz w:val="22"/>
          <w:szCs w:val="22"/>
          <w:lang w:val="en-US"/>
        </w:rPr>
        <w:t>Acco</w:t>
      </w:r>
      <w:proofErr w:type="spellEnd"/>
      <w:r w:rsidR="007A0260" w:rsidRPr="008C2A1A">
        <w:rPr>
          <w:rFonts w:ascii="Garamond" w:hAnsi="Garamond"/>
          <w:color w:val="000000" w:themeColor="text1"/>
          <w:sz w:val="22"/>
          <w:szCs w:val="22"/>
          <w:lang w:val="en-US"/>
        </w:rPr>
        <w:t>.</w:t>
      </w:r>
    </w:p>
    <w:p w14:paraId="1B3590A8" w14:textId="52FBF6F1" w:rsidR="00212B0F" w:rsidRPr="008C2A1A" w:rsidRDefault="00212B0F" w:rsidP="007A0260">
      <w:pPr>
        <w:spacing w:before="100" w:beforeAutospacing="1" w:after="100" w:afterAutospacing="1"/>
        <w:ind w:left="357"/>
        <w:jc w:val="both"/>
        <w:rPr>
          <w:rFonts w:ascii="Garamond" w:hAnsi="Garamond"/>
          <w:color w:val="000000" w:themeColor="text1"/>
          <w:sz w:val="22"/>
          <w:szCs w:val="22"/>
          <w:lang w:val="en-US"/>
        </w:rPr>
      </w:pPr>
      <w:r w:rsidRPr="008C2A1A">
        <w:rPr>
          <w:rFonts w:ascii="Garamond" w:hAnsi="Garamond"/>
          <w:color w:val="000000" w:themeColor="text1"/>
          <w:sz w:val="22"/>
          <w:szCs w:val="22"/>
          <w:lang w:val="en-US"/>
        </w:rPr>
        <w:t>OECD</w:t>
      </w:r>
      <w:r w:rsidR="00B52C31" w:rsidRPr="008C2A1A">
        <w:rPr>
          <w:rFonts w:ascii="Garamond" w:hAnsi="Garamond"/>
          <w:color w:val="000000" w:themeColor="text1"/>
          <w:sz w:val="22"/>
          <w:szCs w:val="22"/>
          <w:lang w:val="en-US"/>
        </w:rPr>
        <w:t xml:space="preserve">, </w:t>
      </w:r>
      <w:r w:rsidRPr="008C2A1A">
        <w:rPr>
          <w:rFonts w:ascii="Garamond" w:hAnsi="Garamond"/>
          <w:color w:val="000000" w:themeColor="text1"/>
          <w:sz w:val="22"/>
          <w:szCs w:val="22"/>
          <w:lang w:val="en-US"/>
        </w:rPr>
        <w:t>2014</w:t>
      </w:r>
      <w:r w:rsidR="00B52C31" w:rsidRPr="008C2A1A">
        <w:rPr>
          <w:rFonts w:ascii="Garamond" w:hAnsi="Garamond"/>
          <w:color w:val="000000" w:themeColor="text1"/>
          <w:sz w:val="22"/>
          <w:szCs w:val="22"/>
          <w:lang w:val="en-US"/>
        </w:rPr>
        <w:t xml:space="preserve">. </w:t>
      </w:r>
      <w:r w:rsidRPr="008C2A1A">
        <w:rPr>
          <w:rFonts w:ascii="Garamond" w:hAnsi="Garamond"/>
          <w:i/>
          <w:color w:val="000000" w:themeColor="text1"/>
          <w:sz w:val="22"/>
          <w:szCs w:val="22"/>
          <w:lang w:val="en-US"/>
        </w:rPr>
        <w:t>The Cost of Air Pollution: Health Impacts of Road Transport</w:t>
      </w:r>
      <w:r w:rsidR="00ED3DAF" w:rsidRPr="008C2A1A">
        <w:rPr>
          <w:rFonts w:ascii="Garamond" w:hAnsi="Garamond"/>
          <w:color w:val="000000" w:themeColor="text1"/>
          <w:sz w:val="22"/>
          <w:szCs w:val="22"/>
          <w:lang w:val="en-US"/>
        </w:rPr>
        <w:t>.</w:t>
      </w:r>
      <w:r w:rsidRPr="008C2A1A">
        <w:rPr>
          <w:rFonts w:ascii="Garamond" w:hAnsi="Garamond"/>
          <w:color w:val="000000" w:themeColor="text1"/>
          <w:sz w:val="22"/>
          <w:szCs w:val="22"/>
          <w:lang w:val="en-US"/>
        </w:rPr>
        <w:t xml:space="preserve"> </w:t>
      </w:r>
      <w:r w:rsidR="00ED3DAF" w:rsidRPr="008C2A1A">
        <w:rPr>
          <w:rFonts w:ascii="Garamond" w:hAnsi="Garamond"/>
          <w:color w:val="000000" w:themeColor="text1"/>
          <w:sz w:val="22"/>
          <w:szCs w:val="22"/>
          <w:lang w:val="en-US"/>
        </w:rPr>
        <w:t xml:space="preserve">Paris: </w:t>
      </w:r>
      <w:r w:rsidRPr="008C2A1A">
        <w:rPr>
          <w:rFonts w:ascii="Garamond" w:hAnsi="Garamond"/>
          <w:color w:val="000000" w:themeColor="text1"/>
          <w:sz w:val="22"/>
          <w:szCs w:val="22"/>
          <w:lang w:val="en-US"/>
        </w:rPr>
        <w:t>OECD Publishing.</w:t>
      </w:r>
    </w:p>
    <w:p w14:paraId="70FB4A21" w14:textId="1316640C" w:rsidR="00212B0F" w:rsidRPr="008C2A1A" w:rsidRDefault="00C073E2" w:rsidP="007A0260">
      <w:pPr>
        <w:spacing w:before="100" w:beforeAutospacing="1" w:after="100" w:afterAutospacing="1"/>
        <w:ind w:left="357"/>
        <w:jc w:val="both"/>
        <w:rPr>
          <w:rFonts w:ascii="Garamond" w:hAnsi="Garamond"/>
          <w:color w:val="000000" w:themeColor="text1"/>
          <w:sz w:val="22"/>
          <w:szCs w:val="22"/>
          <w:lang w:val="en-US"/>
        </w:rPr>
      </w:pPr>
      <w:r w:rsidRPr="008C2A1A">
        <w:rPr>
          <w:rFonts w:ascii="Garamond" w:hAnsi="Garamond"/>
          <w:color w:val="000000" w:themeColor="text1"/>
          <w:sz w:val="22"/>
          <w:szCs w:val="22"/>
          <w:lang w:val="en-US"/>
        </w:rPr>
        <w:t>RICARDO</w:t>
      </w:r>
      <w:r w:rsidR="00212B0F" w:rsidRPr="008C2A1A">
        <w:rPr>
          <w:rFonts w:ascii="Garamond" w:hAnsi="Garamond"/>
          <w:color w:val="000000" w:themeColor="text1"/>
          <w:sz w:val="22"/>
          <w:szCs w:val="22"/>
          <w:lang w:val="en-US"/>
        </w:rPr>
        <w:t>-AEA</w:t>
      </w:r>
      <w:r w:rsidR="00B52C31" w:rsidRPr="008C2A1A">
        <w:rPr>
          <w:rFonts w:ascii="Garamond" w:hAnsi="Garamond"/>
          <w:color w:val="000000" w:themeColor="text1"/>
          <w:sz w:val="22"/>
          <w:szCs w:val="22"/>
          <w:lang w:val="en-US"/>
        </w:rPr>
        <w:t xml:space="preserve">, </w:t>
      </w:r>
      <w:r w:rsidR="00212B0F" w:rsidRPr="008C2A1A">
        <w:rPr>
          <w:rFonts w:ascii="Garamond" w:hAnsi="Garamond"/>
          <w:color w:val="000000" w:themeColor="text1"/>
          <w:sz w:val="22"/>
          <w:szCs w:val="22"/>
          <w:lang w:val="en-US"/>
        </w:rPr>
        <w:t>2014</w:t>
      </w:r>
      <w:r w:rsidR="00B52C31" w:rsidRPr="008C2A1A">
        <w:rPr>
          <w:rFonts w:ascii="Garamond" w:hAnsi="Garamond"/>
          <w:color w:val="000000" w:themeColor="text1"/>
          <w:sz w:val="22"/>
          <w:szCs w:val="22"/>
          <w:lang w:val="en-US"/>
        </w:rPr>
        <w:t xml:space="preserve">. </w:t>
      </w:r>
      <w:r w:rsidR="00212B0F" w:rsidRPr="008C2A1A">
        <w:rPr>
          <w:rFonts w:ascii="Garamond" w:hAnsi="Garamond"/>
          <w:i/>
          <w:color w:val="000000" w:themeColor="text1"/>
          <w:sz w:val="22"/>
          <w:szCs w:val="22"/>
          <w:lang w:val="en-US"/>
        </w:rPr>
        <w:t>Update of the handbook on external costs of transport</w:t>
      </w:r>
      <w:r w:rsidR="00212B0F" w:rsidRPr="008C2A1A">
        <w:rPr>
          <w:rFonts w:ascii="Garamond" w:hAnsi="Garamond"/>
          <w:color w:val="000000" w:themeColor="text1"/>
          <w:sz w:val="22"/>
          <w:szCs w:val="22"/>
          <w:lang w:val="en-US"/>
        </w:rPr>
        <w:t xml:space="preserve">. </w:t>
      </w:r>
      <w:r w:rsidR="00ED3DAF" w:rsidRPr="008C2A1A">
        <w:rPr>
          <w:rFonts w:ascii="Garamond" w:hAnsi="Garamond"/>
          <w:color w:val="000000" w:themeColor="text1"/>
          <w:sz w:val="22"/>
          <w:szCs w:val="22"/>
          <w:lang w:val="en-US"/>
        </w:rPr>
        <w:t xml:space="preserve">London: </w:t>
      </w:r>
      <w:r w:rsidR="00212B0F" w:rsidRPr="008C2A1A">
        <w:rPr>
          <w:rFonts w:ascii="Garamond" w:hAnsi="Garamond"/>
          <w:color w:val="000000" w:themeColor="text1"/>
          <w:sz w:val="22"/>
          <w:szCs w:val="22"/>
          <w:lang w:val="en-US"/>
        </w:rPr>
        <w:t>European Commission.</w:t>
      </w:r>
    </w:p>
    <w:p w14:paraId="7357D0AB" w14:textId="738483EA" w:rsidR="00212B0F" w:rsidRPr="008C2A1A" w:rsidRDefault="00CD4A84" w:rsidP="007A0260">
      <w:pPr>
        <w:pStyle w:val="Normaalweb"/>
        <w:ind w:left="357"/>
        <w:contextualSpacing/>
        <w:jc w:val="both"/>
        <w:rPr>
          <w:rFonts w:ascii="Garamond" w:hAnsi="Garamond"/>
          <w:color w:val="000000" w:themeColor="text1"/>
          <w:sz w:val="22"/>
          <w:szCs w:val="22"/>
          <w:lang w:val="en-US"/>
        </w:rPr>
      </w:pPr>
      <w:r w:rsidRPr="008C2A1A">
        <w:rPr>
          <w:rFonts w:ascii="Garamond" w:hAnsi="Garamond"/>
          <w:color w:val="000000" w:themeColor="text1"/>
          <w:sz w:val="22"/>
          <w:szCs w:val="22"/>
          <w:lang w:val="en-US"/>
        </w:rPr>
        <w:t>OECD</w:t>
      </w:r>
      <w:r w:rsidR="00B52C31" w:rsidRPr="008C2A1A">
        <w:rPr>
          <w:rFonts w:ascii="Garamond" w:hAnsi="Garamond"/>
          <w:color w:val="000000" w:themeColor="text1"/>
          <w:sz w:val="22"/>
          <w:szCs w:val="22"/>
          <w:lang w:val="en-US"/>
        </w:rPr>
        <w:t xml:space="preserve">, </w:t>
      </w:r>
      <w:r w:rsidRPr="008C2A1A">
        <w:rPr>
          <w:rFonts w:ascii="Garamond" w:hAnsi="Garamond"/>
          <w:color w:val="000000" w:themeColor="text1"/>
          <w:sz w:val="22"/>
          <w:szCs w:val="22"/>
          <w:lang w:val="en-US"/>
        </w:rPr>
        <w:t>2018</w:t>
      </w:r>
      <w:r w:rsidR="00B52C31" w:rsidRPr="008C2A1A">
        <w:rPr>
          <w:rFonts w:ascii="Garamond" w:hAnsi="Garamond"/>
          <w:color w:val="000000" w:themeColor="text1"/>
          <w:sz w:val="22"/>
          <w:szCs w:val="22"/>
          <w:lang w:val="en-US"/>
        </w:rPr>
        <w:t xml:space="preserve">. </w:t>
      </w:r>
      <w:r w:rsidRPr="008C2A1A">
        <w:rPr>
          <w:rFonts w:ascii="Garamond" w:hAnsi="Garamond"/>
          <w:i/>
          <w:color w:val="000000" w:themeColor="text1"/>
          <w:sz w:val="22"/>
          <w:szCs w:val="22"/>
          <w:lang w:val="en-US"/>
        </w:rPr>
        <w:t>Taxing wages</w:t>
      </w:r>
      <w:r w:rsidR="00ED3DAF" w:rsidRPr="008C2A1A">
        <w:rPr>
          <w:rFonts w:ascii="Garamond" w:hAnsi="Garamond"/>
          <w:color w:val="000000" w:themeColor="text1"/>
          <w:sz w:val="22"/>
          <w:szCs w:val="22"/>
          <w:lang w:val="en-US"/>
        </w:rPr>
        <w:t xml:space="preserve">. Paris: </w:t>
      </w:r>
      <w:r w:rsidRPr="008C2A1A">
        <w:rPr>
          <w:rFonts w:ascii="Garamond" w:hAnsi="Garamond"/>
          <w:color w:val="000000" w:themeColor="text1"/>
          <w:sz w:val="22"/>
          <w:szCs w:val="22"/>
          <w:lang w:val="en-US"/>
        </w:rPr>
        <w:t>OECD Publishing.</w:t>
      </w:r>
    </w:p>
    <w:p w14:paraId="115D1CDA" w14:textId="77777777" w:rsidR="007A0260" w:rsidRPr="008C2A1A" w:rsidRDefault="007A0260" w:rsidP="007A0260">
      <w:pPr>
        <w:pStyle w:val="Normaalweb"/>
        <w:ind w:left="357"/>
        <w:contextualSpacing/>
        <w:jc w:val="both"/>
        <w:rPr>
          <w:rFonts w:ascii="Garamond" w:hAnsi="Garamond"/>
          <w:color w:val="000000" w:themeColor="text1"/>
          <w:sz w:val="22"/>
          <w:szCs w:val="22"/>
          <w:lang w:val="en-US"/>
        </w:rPr>
      </w:pPr>
    </w:p>
    <w:p w14:paraId="4A0DCEE6" w14:textId="13620F29" w:rsidR="00396031" w:rsidRPr="008C2A1A" w:rsidRDefault="00C073E2" w:rsidP="00C073E2">
      <w:pPr>
        <w:pStyle w:val="Normaalweb"/>
        <w:ind w:left="357"/>
        <w:contextualSpacing/>
        <w:jc w:val="both"/>
        <w:rPr>
          <w:rFonts w:ascii="Garamond" w:hAnsi="Garamond"/>
          <w:color w:val="000000" w:themeColor="text1"/>
          <w:sz w:val="22"/>
          <w:szCs w:val="22"/>
          <w:lang w:val="en-US"/>
        </w:rPr>
      </w:pPr>
      <w:r w:rsidRPr="008C2A1A">
        <w:rPr>
          <w:rFonts w:ascii="Garamond" w:hAnsi="Garamond"/>
          <w:color w:val="000000" w:themeColor="text1"/>
          <w:sz w:val="22"/>
          <w:szCs w:val="22"/>
          <w:lang w:val="en-US"/>
        </w:rPr>
        <w:t>VAN ESSEN</w:t>
      </w:r>
      <w:r w:rsidR="005C7FB3" w:rsidRPr="008C2A1A">
        <w:rPr>
          <w:rFonts w:ascii="Garamond" w:hAnsi="Garamond"/>
          <w:color w:val="000000" w:themeColor="text1"/>
          <w:sz w:val="22"/>
          <w:szCs w:val="22"/>
          <w:lang w:val="en-US"/>
        </w:rPr>
        <w:t xml:space="preserve">, H., </w:t>
      </w:r>
      <w:r w:rsidRPr="008C2A1A">
        <w:rPr>
          <w:rFonts w:ascii="Garamond" w:hAnsi="Garamond"/>
          <w:color w:val="000000" w:themeColor="text1"/>
          <w:sz w:val="22"/>
          <w:szCs w:val="22"/>
          <w:lang w:val="en-US"/>
        </w:rPr>
        <w:t>SCHROTEN</w:t>
      </w:r>
      <w:r w:rsidR="005C7FB3" w:rsidRPr="008C2A1A">
        <w:rPr>
          <w:rFonts w:ascii="Garamond" w:hAnsi="Garamond"/>
          <w:color w:val="000000" w:themeColor="text1"/>
          <w:sz w:val="22"/>
          <w:szCs w:val="22"/>
          <w:lang w:val="en-US"/>
        </w:rPr>
        <w:t xml:space="preserve">, A., </w:t>
      </w:r>
      <w:r w:rsidRPr="008C2A1A">
        <w:rPr>
          <w:rFonts w:ascii="Garamond" w:hAnsi="Garamond"/>
          <w:color w:val="000000" w:themeColor="text1"/>
          <w:sz w:val="22"/>
          <w:szCs w:val="22"/>
          <w:lang w:val="en-US"/>
        </w:rPr>
        <w:t>OTTEN</w:t>
      </w:r>
      <w:r w:rsidR="005C7FB3" w:rsidRPr="008C2A1A">
        <w:rPr>
          <w:rFonts w:ascii="Garamond" w:hAnsi="Garamond"/>
          <w:color w:val="000000" w:themeColor="text1"/>
          <w:sz w:val="22"/>
          <w:szCs w:val="22"/>
          <w:lang w:val="en-US"/>
        </w:rPr>
        <w:t xml:space="preserve">, M., </w:t>
      </w:r>
      <w:r w:rsidRPr="008C2A1A">
        <w:rPr>
          <w:rFonts w:ascii="Garamond" w:hAnsi="Garamond"/>
          <w:color w:val="000000" w:themeColor="text1"/>
          <w:sz w:val="22"/>
          <w:szCs w:val="22"/>
          <w:lang w:val="en-US"/>
        </w:rPr>
        <w:t>SUTTER</w:t>
      </w:r>
      <w:r w:rsidR="005C7FB3" w:rsidRPr="008C2A1A">
        <w:rPr>
          <w:rFonts w:ascii="Garamond" w:hAnsi="Garamond"/>
          <w:color w:val="000000" w:themeColor="text1"/>
          <w:sz w:val="22"/>
          <w:szCs w:val="22"/>
          <w:lang w:val="en-US"/>
        </w:rPr>
        <w:t xml:space="preserve">, D., </w:t>
      </w:r>
      <w:r w:rsidRPr="008C2A1A">
        <w:rPr>
          <w:rFonts w:ascii="Garamond" w:hAnsi="Garamond"/>
          <w:color w:val="000000" w:themeColor="text1"/>
          <w:sz w:val="22"/>
          <w:szCs w:val="22"/>
          <w:lang w:val="en-US"/>
        </w:rPr>
        <w:t>SCHREYER</w:t>
      </w:r>
      <w:r w:rsidR="005C7FB3" w:rsidRPr="008C2A1A">
        <w:rPr>
          <w:rFonts w:ascii="Garamond" w:hAnsi="Garamond"/>
          <w:color w:val="000000" w:themeColor="text1"/>
          <w:sz w:val="22"/>
          <w:szCs w:val="22"/>
          <w:lang w:val="en-US"/>
        </w:rPr>
        <w:t xml:space="preserve">, C., </w:t>
      </w:r>
      <w:r w:rsidRPr="008C2A1A">
        <w:rPr>
          <w:rFonts w:ascii="Garamond" w:hAnsi="Garamond"/>
          <w:color w:val="000000" w:themeColor="text1"/>
          <w:sz w:val="22"/>
          <w:szCs w:val="22"/>
          <w:lang w:val="en-US"/>
        </w:rPr>
        <w:t>ZANDONELLA</w:t>
      </w:r>
      <w:r w:rsidR="005C7FB3" w:rsidRPr="008C2A1A">
        <w:rPr>
          <w:rFonts w:ascii="Garamond" w:hAnsi="Garamond"/>
          <w:color w:val="000000" w:themeColor="text1"/>
          <w:sz w:val="22"/>
          <w:szCs w:val="22"/>
          <w:lang w:val="en-US"/>
        </w:rPr>
        <w:t xml:space="preserve">, R., </w:t>
      </w:r>
      <w:r w:rsidRPr="008C2A1A">
        <w:rPr>
          <w:rFonts w:ascii="Garamond" w:hAnsi="Garamond"/>
          <w:color w:val="000000" w:themeColor="text1"/>
          <w:sz w:val="22"/>
          <w:szCs w:val="22"/>
          <w:lang w:val="en-US"/>
        </w:rPr>
        <w:t>MAIBACH</w:t>
      </w:r>
      <w:r w:rsidR="005C7FB3" w:rsidRPr="008C2A1A">
        <w:rPr>
          <w:rFonts w:ascii="Garamond" w:hAnsi="Garamond"/>
          <w:color w:val="000000" w:themeColor="text1"/>
          <w:sz w:val="22"/>
          <w:szCs w:val="22"/>
          <w:lang w:val="en-US"/>
        </w:rPr>
        <w:t xml:space="preserve">, M. and </w:t>
      </w:r>
      <w:r w:rsidRPr="008C2A1A">
        <w:rPr>
          <w:rFonts w:ascii="Garamond" w:hAnsi="Garamond"/>
          <w:color w:val="000000" w:themeColor="text1"/>
          <w:sz w:val="22"/>
          <w:szCs w:val="22"/>
          <w:lang w:val="en-US"/>
        </w:rPr>
        <w:t>DOLL</w:t>
      </w:r>
      <w:r w:rsidR="005C7FB3" w:rsidRPr="008C2A1A">
        <w:rPr>
          <w:rFonts w:ascii="Garamond" w:hAnsi="Garamond"/>
          <w:color w:val="000000" w:themeColor="text1"/>
          <w:sz w:val="22"/>
          <w:szCs w:val="22"/>
          <w:lang w:val="en-US"/>
        </w:rPr>
        <w:t>, C.</w:t>
      </w:r>
      <w:r w:rsidR="00B52C31" w:rsidRPr="008C2A1A">
        <w:rPr>
          <w:rFonts w:ascii="Garamond" w:hAnsi="Garamond"/>
          <w:color w:val="000000" w:themeColor="text1"/>
          <w:sz w:val="22"/>
          <w:szCs w:val="22"/>
          <w:lang w:val="en-US"/>
        </w:rPr>
        <w:t xml:space="preserve">, </w:t>
      </w:r>
      <w:r w:rsidR="005C7FB3" w:rsidRPr="008C2A1A">
        <w:rPr>
          <w:rFonts w:ascii="Garamond" w:hAnsi="Garamond"/>
          <w:color w:val="000000" w:themeColor="text1"/>
          <w:sz w:val="22"/>
          <w:szCs w:val="22"/>
          <w:lang w:val="en-US"/>
        </w:rPr>
        <w:t>2011</w:t>
      </w:r>
      <w:r w:rsidR="00B52C31" w:rsidRPr="008C2A1A">
        <w:rPr>
          <w:rFonts w:ascii="Garamond" w:hAnsi="Garamond"/>
          <w:color w:val="000000" w:themeColor="text1"/>
          <w:sz w:val="22"/>
          <w:szCs w:val="22"/>
          <w:lang w:val="en-US"/>
        </w:rPr>
        <w:t xml:space="preserve">. </w:t>
      </w:r>
      <w:r w:rsidR="005C7FB3" w:rsidRPr="008C2A1A">
        <w:rPr>
          <w:rFonts w:ascii="Garamond" w:hAnsi="Garamond"/>
          <w:i/>
          <w:color w:val="000000" w:themeColor="text1"/>
          <w:sz w:val="22"/>
          <w:szCs w:val="22"/>
          <w:lang w:val="en-US"/>
        </w:rPr>
        <w:t>External Costs of Transport in Europe</w:t>
      </w:r>
      <w:r w:rsidR="00ED3DAF" w:rsidRPr="008C2A1A">
        <w:rPr>
          <w:rFonts w:ascii="Garamond" w:hAnsi="Garamond"/>
          <w:color w:val="000000" w:themeColor="text1"/>
          <w:sz w:val="22"/>
          <w:szCs w:val="22"/>
          <w:lang w:val="en-US"/>
        </w:rPr>
        <w:t>.</w:t>
      </w:r>
      <w:r w:rsidR="005C7FB3" w:rsidRPr="008C2A1A">
        <w:rPr>
          <w:rFonts w:ascii="Garamond" w:hAnsi="Garamond"/>
          <w:color w:val="000000" w:themeColor="text1"/>
          <w:sz w:val="22"/>
          <w:szCs w:val="22"/>
          <w:lang w:val="en-US"/>
        </w:rPr>
        <w:t xml:space="preserve"> </w:t>
      </w:r>
      <w:r w:rsidR="00ED3DAF" w:rsidRPr="008C2A1A">
        <w:rPr>
          <w:rFonts w:ascii="Garamond" w:hAnsi="Garamond"/>
          <w:color w:val="000000" w:themeColor="text1"/>
          <w:sz w:val="22"/>
          <w:szCs w:val="22"/>
          <w:lang w:val="en-US"/>
        </w:rPr>
        <w:t xml:space="preserve">Delft: </w:t>
      </w:r>
      <w:r w:rsidR="005C7FB3" w:rsidRPr="008C2A1A">
        <w:rPr>
          <w:rFonts w:ascii="Garamond" w:hAnsi="Garamond"/>
          <w:color w:val="000000" w:themeColor="text1"/>
          <w:sz w:val="22"/>
          <w:szCs w:val="22"/>
          <w:lang w:val="en-US"/>
        </w:rPr>
        <w:t xml:space="preserve">CE Delft. </w:t>
      </w:r>
    </w:p>
    <w:sectPr w:rsidR="00396031" w:rsidRPr="008C2A1A" w:rsidSect="00A50C7B">
      <w:footerReference w:type="even" r:id="rId13"/>
      <w:footerReference w:type="default" r:id="rId14"/>
      <w:pgSz w:w="11900" w:h="16840"/>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23A14C9" w14:textId="77777777" w:rsidR="000F2A7A" w:rsidRDefault="000F2A7A" w:rsidP="007C4EA0">
      <w:r>
        <w:separator/>
      </w:r>
    </w:p>
  </w:endnote>
  <w:endnote w:type="continuationSeparator" w:id="0">
    <w:p w14:paraId="742BD5CB" w14:textId="77777777" w:rsidR="000F2A7A" w:rsidRDefault="000F2A7A" w:rsidP="007C4EA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decorative"/>
    <w:pitch w:val="variable"/>
    <w:sig w:usb0="00000000" w:usb1="10000000" w:usb2="00000000" w:usb3="00000000" w:csb0="80000000" w:csb1="00000000"/>
  </w:font>
  <w:font w:name="Symbol">
    <w:panose1 w:val="05050102010706020507"/>
    <w:charset w:val="02"/>
    <w:family w:val="decorative"/>
    <w:pitch w:val="variable"/>
    <w:sig w:usb0="00000000" w:usb1="10000000" w:usb2="00000000" w:usb3="00000000" w:csb0="80000000" w:csb1="00000000"/>
  </w:font>
  <w:font w:name="Garamond">
    <w:panose1 w:val="02020404030301010803"/>
    <w:charset w:val="00"/>
    <w:family w:val="roman"/>
    <w:pitch w:val="variable"/>
    <w:sig w:usb0="00000287" w:usb1="00000000" w:usb2="00000000" w:usb3="00000000" w:csb0="0000009F" w:csb1="00000000"/>
  </w:font>
  <w:font w:name="DengXian">
    <w:altName w:val="等线"/>
    <w:panose1 w:val="02010600030101010101"/>
    <w:charset w:val="86"/>
    <w:family w:val="auto"/>
    <w:pitch w:val="variable"/>
    <w:sig w:usb0="A00002BF" w:usb1="38CF7CFA" w:usb2="00000016" w:usb3="00000000" w:csb0="0004000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DengXian Light">
    <w:panose1 w:val="02010600030101010101"/>
    <w:charset w:val="86"/>
    <w:family w:val="auto"/>
    <w:pitch w:val="variable"/>
    <w:sig w:usb0="A00002BF" w:usb1="38CF7CFA" w:usb2="00000016" w:usb3="00000000" w:csb0="0004000F" w:csb1="00000000"/>
  </w:font>
  <w:font w:name="AppleSystemUIFont">
    <w:altName w:val="Calibri"/>
    <w:panose1 w:val="020B0604020202020204"/>
    <w:charset w:val="00"/>
    <w:family w:val="auto"/>
    <w:notTrueType/>
    <w:pitch w:val="default"/>
    <w:sig w:usb0="00000003" w:usb1="00000000" w:usb2="00000000" w:usb3="00000000" w:csb0="00000001" w:csb1="00000000"/>
  </w:font>
  <w:font w:name="ArialMT">
    <w:altName w:val="Arial"/>
    <w:panose1 w:val="020B0604020202020204"/>
    <w:charset w:val="00"/>
    <w:family w:val="auto"/>
    <w:pitch w:val="variable"/>
    <w:sig w:usb0="E0002AFF" w:usb1="C0007843"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inanummer"/>
      </w:rPr>
      <w:id w:val="2008317681"/>
      <w:docPartObj>
        <w:docPartGallery w:val="Page Numbers (Bottom of Page)"/>
        <w:docPartUnique/>
      </w:docPartObj>
    </w:sdtPr>
    <w:sdtEndPr>
      <w:rPr>
        <w:rStyle w:val="Paginanummer"/>
      </w:rPr>
    </w:sdtEndPr>
    <w:sdtContent>
      <w:p w14:paraId="3B206235" w14:textId="77777777" w:rsidR="00261A8D" w:rsidRDefault="00261A8D" w:rsidP="00101CC8">
        <w:pPr>
          <w:pStyle w:val="Voettekst"/>
          <w:framePr w:wrap="none" w:vAnchor="text" w:hAnchor="margin" w:xAlign="right" w:y="1"/>
          <w:rPr>
            <w:rStyle w:val="Paginanummer"/>
          </w:rPr>
        </w:pPr>
        <w:r>
          <w:rPr>
            <w:rStyle w:val="Paginanummer"/>
          </w:rPr>
          <w:fldChar w:fldCharType="begin"/>
        </w:r>
        <w:r>
          <w:rPr>
            <w:rStyle w:val="Paginanummer"/>
          </w:rPr>
          <w:instrText xml:space="preserve"> PAGE </w:instrText>
        </w:r>
        <w:r>
          <w:rPr>
            <w:rStyle w:val="Paginanummer"/>
          </w:rPr>
          <w:fldChar w:fldCharType="end"/>
        </w:r>
      </w:p>
    </w:sdtContent>
  </w:sdt>
  <w:p w14:paraId="6464677D" w14:textId="77777777" w:rsidR="00261A8D" w:rsidRDefault="00261A8D" w:rsidP="00711C49">
    <w:pPr>
      <w:pStyle w:val="Voettekst"/>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inanummer"/>
      </w:rPr>
      <w:id w:val="1124430948"/>
      <w:docPartObj>
        <w:docPartGallery w:val="Page Numbers (Bottom of Page)"/>
        <w:docPartUnique/>
      </w:docPartObj>
    </w:sdtPr>
    <w:sdtEndPr>
      <w:rPr>
        <w:rStyle w:val="Paginanummer"/>
        <w:rFonts w:ascii="Garamond" w:hAnsi="Garamond"/>
      </w:rPr>
    </w:sdtEndPr>
    <w:sdtContent>
      <w:p w14:paraId="74FFE137" w14:textId="77777777" w:rsidR="00261A8D" w:rsidRPr="00834054" w:rsidRDefault="00261A8D" w:rsidP="00101CC8">
        <w:pPr>
          <w:pStyle w:val="Voettekst"/>
          <w:framePr w:wrap="none" w:vAnchor="text" w:hAnchor="margin" w:xAlign="right" w:y="1"/>
          <w:rPr>
            <w:rStyle w:val="Paginanummer"/>
            <w:rFonts w:ascii="Garamond" w:hAnsi="Garamond"/>
          </w:rPr>
        </w:pPr>
        <w:r w:rsidRPr="00834054">
          <w:rPr>
            <w:rStyle w:val="Paginanummer"/>
            <w:rFonts w:ascii="Garamond" w:hAnsi="Garamond"/>
          </w:rPr>
          <w:fldChar w:fldCharType="begin"/>
        </w:r>
        <w:r w:rsidRPr="00834054">
          <w:rPr>
            <w:rStyle w:val="Paginanummer"/>
            <w:rFonts w:ascii="Garamond" w:hAnsi="Garamond"/>
          </w:rPr>
          <w:instrText xml:space="preserve"> PAGE </w:instrText>
        </w:r>
        <w:r w:rsidRPr="00834054">
          <w:rPr>
            <w:rStyle w:val="Paginanummer"/>
            <w:rFonts w:ascii="Garamond" w:hAnsi="Garamond"/>
          </w:rPr>
          <w:fldChar w:fldCharType="separate"/>
        </w:r>
        <w:r w:rsidR="00693D69">
          <w:rPr>
            <w:rStyle w:val="Paginanummer"/>
            <w:rFonts w:ascii="Garamond" w:hAnsi="Garamond"/>
            <w:noProof/>
          </w:rPr>
          <w:t>24</w:t>
        </w:r>
        <w:r w:rsidRPr="00834054">
          <w:rPr>
            <w:rStyle w:val="Paginanummer"/>
            <w:rFonts w:ascii="Garamond" w:hAnsi="Garamond"/>
          </w:rPr>
          <w:fldChar w:fldCharType="end"/>
        </w:r>
      </w:p>
    </w:sdtContent>
  </w:sdt>
  <w:p w14:paraId="176FFBA3" w14:textId="77777777" w:rsidR="00261A8D" w:rsidRPr="00834054" w:rsidRDefault="00261A8D" w:rsidP="00711C49">
    <w:pPr>
      <w:pStyle w:val="Voettekst"/>
      <w:ind w:right="360"/>
      <w:rPr>
        <w:rFonts w:ascii="Garamond" w:hAnsi="Garamond"/>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4ADB552D" w14:textId="77777777" w:rsidR="000F2A7A" w:rsidRDefault="000F2A7A" w:rsidP="007C4EA0">
      <w:r>
        <w:separator/>
      </w:r>
    </w:p>
  </w:footnote>
  <w:footnote w:type="continuationSeparator" w:id="0">
    <w:p w14:paraId="7A3A26C7" w14:textId="77777777" w:rsidR="000F2A7A" w:rsidRDefault="000F2A7A" w:rsidP="007C4EA0">
      <w:r>
        <w:continuationSeparator/>
      </w:r>
    </w:p>
  </w:footnote>
  <w:footnote w:id="1">
    <w:p w14:paraId="4ADBE9C4" w14:textId="77777777" w:rsidR="00261A8D" w:rsidRPr="00EB2A14" w:rsidRDefault="00261A8D" w:rsidP="00E84D77">
      <w:pPr>
        <w:pStyle w:val="Voetnoottekst"/>
        <w:jc w:val="both"/>
        <w:rPr>
          <w:rFonts w:ascii="Garamond" w:hAnsi="Garamond"/>
          <w:lang w:val="en-US"/>
        </w:rPr>
      </w:pPr>
      <w:r w:rsidRPr="00EB2A14">
        <w:rPr>
          <w:rFonts w:ascii="Garamond" w:hAnsi="Garamond"/>
          <w:lang w:val="en-US"/>
        </w:rPr>
        <w:footnoteRef/>
      </w:r>
      <w:r w:rsidRPr="00EB2A14">
        <w:rPr>
          <w:rFonts w:ascii="Garamond" w:hAnsi="Garamond"/>
          <w:lang w:val="en-US"/>
        </w:rPr>
        <w:t xml:space="preserve"> Piketty and </w:t>
      </w:r>
      <w:proofErr w:type="spellStart"/>
      <w:r w:rsidRPr="00EB2A14">
        <w:rPr>
          <w:rFonts w:ascii="Garamond" w:hAnsi="Garamond"/>
          <w:lang w:val="en-US"/>
        </w:rPr>
        <w:t>Saez</w:t>
      </w:r>
      <w:proofErr w:type="spellEnd"/>
      <w:r w:rsidRPr="00EB2A14">
        <w:rPr>
          <w:rFonts w:ascii="Garamond" w:hAnsi="Garamond"/>
          <w:lang w:val="en-US"/>
        </w:rPr>
        <w:t xml:space="preserve"> (2013) cite OECD evidence to argue that labor income taxes make effectively up to about 75% of fiscal revenue in OECD countries on average. </w:t>
      </w:r>
    </w:p>
  </w:footnote>
  <w:footnote w:id="2">
    <w:p w14:paraId="71A3E874" w14:textId="77777777" w:rsidR="00261A8D" w:rsidRPr="00EB2A14" w:rsidRDefault="00261A8D" w:rsidP="00E84D77">
      <w:pPr>
        <w:pStyle w:val="Voetnoottekst"/>
        <w:jc w:val="both"/>
        <w:rPr>
          <w:rFonts w:ascii="Garamond" w:hAnsi="Garamond"/>
          <w:lang w:val="en-US"/>
        </w:rPr>
      </w:pPr>
      <w:r w:rsidRPr="00EB2A14">
        <w:rPr>
          <w:rFonts w:ascii="Garamond" w:hAnsi="Garamond"/>
          <w:lang w:val="en-US"/>
        </w:rPr>
        <w:footnoteRef/>
      </w:r>
      <w:r w:rsidRPr="00EB2A14">
        <w:rPr>
          <w:rFonts w:ascii="Garamond" w:hAnsi="Garamond"/>
          <w:lang w:val="en-US"/>
        </w:rPr>
        <w:t xml:space="preserve"> On the short term, the individual labor supply reactions are often relatively moderate, especially for main income earners, see, e.g., Piketty and </w:t>
      </w:r>
      <w:proofErr w:type="spellStart"/>
      <w:r w:rsidRPr="00EB2A14">
        <w:rPr>
          <w:rFonts w:ascii="Garamond" w:hAnsi="Garamond"/>
          <w:lang w:val="en-US"/>
        </w:rPr>
        <w:t>Saez</w:t>
      </w:r>
      <w:proofErr w:type="spellEnd"/>
      <w:r w:rsidRPr="00EB2A14">
        <w:rPr>
          <w:rFonts w:ascii="Garamond" w:hAnsi="Garamond"/>
          <w:lang w:val="en-US"/>
        </w:rPr>
        <w:t xml:space="preserve"> (2013) for a literature survey.</w:t>
      </w:r>
    </w:p>
  </w:footnote>
  <w:footnote w:id="3">
    <w:p w14:paraId="3819ABB1" w14:textId="77777777" w:rsidR="00261A8D" w:rsidRPr="00E84D77" w:rsidRDefault="00261A8D" w:rsidP="00E84D77">
      <w:pPr>
        <w:pStyle w:val="Voetnoottekst"/>
        <w:jc w:val="both"/>
        <w:rPr>
          <w:rFonts w:ascii="Garamond" w:hAnsi="Garamond"/>
          <w:sz w:val="18"/>
          <w:lang w:val="en-US"/>
        </w:rPr>
      </w:pPr>
      <w:r w:rsidRPr="00EB2A14">
        <w:rPr>
          <w:rFonts w:ascii="Garamond" w:hAnsi="Garamond"/>
          <w:lang w:val="en-US"/>
        </w:rPr>
        <w:footnoteRef/>
      </w:r>
      <w:r w:rsidRPr="00EB2A14">
        <w:rPr>
          <w:rFonts w:ascii="Garamond" w:hAnsi="Garamond"/>
          <w:lang w:val="en-US"/>
        </w:rPr>
        <w:t xml:space="preserve"> Note, however, that the difference in tax wedge with our neighboring countries and main trade partners is rather limited, because their fiscal system resembles ours.</w:t>
      </w:r>
    </w:p>
  </w:footnote>
  <w:footnote w:id="4">
    <w:p w14:paraId="4BDC8163" w14:textId="2D4276CC" w:rsidR="00261A8D" w:rsidRPr="00AD3AEF" w:rsidRDefault="00261A8D" w:rsidP="00D317D8">
      <w:pPr>
        <w:pStyle w:val="Voetnoottekst"/>
        <w:rPr>
          <w:lang w:val="en-US"/>
        </w:rPr>
      </w:pPr>
      <w:r>
        <w:rPr>
          <w:rStyle w:val="Voetnootmarkering"/>
          <w:rFonts w:eastAsiaTheme="majorEastAsia"/>
        </w:rPr>
        <w:footnoteRef/>
      </w:r>
      <w:r w:rsidRPr="00AD3AEF">
        <w:rPr>
          <w:lang w:val="en-US"/>
        </w:rPr>
        <w:t xml:space="preserve"> </w:t>
      </w:r>
      <w:r>
        <w:rPr>
          <w:rFonts w:ascii="Garamond" w:hAnsi="Garamond"/>
          <w:lang w:val="en-US"/>
        </w:rPr>
        <w:t xml:space="preserve">Based on recent figures of real-world emissions rather than emissions in laboratory conditions, </w:t>
      </w:r>
      <w:proofErr w:type="spellStart"/>
      <w:r>
        <w:rPr>
          <w:rFonts w:ascii="Garamond" w:hAnsi="Garamond"/>
          <w:lang w:val="en-US"/>
        </w:rPr>
        <w:t>Baldino</w:t>
      </w:r>
      <w:proofErr w:type="spellEnd"/>
      <w:r>
        <w:rPr>
          <w:rFonts w:ascii="Garamond" w:hAnsi="Garamond"/>
          <w:lang w:val="en-US"/>
        </w:rPr>
        <w:t xml:space="preserve"> et al. (2017) show that the real-world emissions of NOx of Diesel engines are higher than the official laboratory tests indicate (up to 7,5 times higher for euro 6 Diesel vehicles).</w:t>
      </w:r>
    </w:p>
  </w:footnote>
  <w:footnote w:id="5">
    <w:p w14:paraId="3D340711" w14:textId="5916558A" w:rsidR="00261A8D" w:rsidRPr="002D6EB7" w:rsidRDefault="00261A8D">
      <w:pPr>
        <w:pStyle w:val="Voetnoottekst"/>
        <w:rPr>
          <w:rFonts w:ascii="Garamond" w:hAnsi="Garamond"/>
          <w:color w:val="000000" w:themeColor="text1"/>
          <w:lang w:val="en-US"/>
        </w:rPr>
      </w:pPr>
      <w:r>
        <w:rPr>
          <w:rStyle w:val="Voetnootmarkering"/>
        </w:rPr>
        <w:footnoteRef/>
      </w:r>
      <w:r w:rsidRPr="007F0CB3">
        <w:rPr>
          <w:lang w:val="en-US"/>
        </w:rPr>
        <w:t xml:space="preserve"> </w:t>
      </w:r>
      <w:bookmarkStart w:id="0" w:name="_GoBack"/>
      <w:r w:rsidRPr="002D6EB7">
        <w:rPr>
          <w:rFonts w:ascii="Garamond" w:hAnsi="Garamond"/>
          <w:color w:val="000000" w:themeColor="text1"/>
          <w:lang w:val="en-US"/>
        </w:rPr>
        <w:t>The EU Emission Trading System (EU ETS) is a cornerstone of the European Union policy to combat climate change. Firms in industries that are covered by the EU ETS system must be able to present a permit for each ton of CO</w:t>
      </w:r>
      <w:r w:rsidRPr="002D6EB7">
        <w:rPr>
          <w:rFonts w:ascii="Garamond" w:hAnsi="Garamond"/>
          <w:color w:val="000000" w:themeColor="text1"/>
          <w:vertAlign w:val="subscript"/>
          <w:lang w:val="en-US"/>
        </w:rPr>
        <w:t>2</w:t>
      </w:r>
      <w:r w:rsidRPr="002D6EB7">
        <w:rPr>
          <w:rFonts w:ascii="Garamond" w:hAnsi="Garamond"/>
          <w:color w:val="000000" w:themeColor="text1"/>
          <w:lang w:val="en-US"/>
        </w:rPr>
        <w:t xml:space="preserve"> they emit. Profit maximization by the firms implies that they will reduce greenhouse gas emissions up to the point that the reduction costs equal the market price of an ETS permit. For this reason, the ETS permit market prices constitute an accurate estimate of the current CO</w:t>
      </w:r>
      <w:r w:rsidRPr="002D6EB7">
        <w:rPr>
          <w:rFonts w:ascii="Garamond" w:hAnsi="Garamond"/>
          <w:color w:val="000000" w:themeColor="text1"/>
          <w:vertAlign w:val="subscript"/>
          <w:lang w:val="en-US"/>
        </w:rPr>
        <w:t>2</w:t>
      </w:r>
      <w:r w:rsidRPr="002D6EB7">
        <w:rPr>
          <w:rFonts w:ascii="Garamond" w:hAnsi="Garamond"/>
          <w:color w:val="000000" w:themeColor="text1"/>
          <w:lang w:val="en-US"/>
        </w:rPr>
        <w:t xml:space="preserve"> reduction costs in the industry.</w:t>
      </w:r>
      <w:bookmarkEnd w:id="0"/>
    </w:p>
  </w:footnote>
  <w:footnote w:id="6">
    <w:p w14:paraId="667514E6" w14:textId="5B49380C" w:rsidR="00261A8D" w:rsidRPr="00CC759A" w:rsidRDefault="00261A8D" w:rsidP="00EB2A14">
      <w:pPr>
        <w:pStyle w:val="Voetnoottekst"/>
        <w:jc w:val="both"/>
        <w:rPr>
          <w:lang w:val="en-US"/>
        </w:rPr>
      </w:pPr>
      <w:r>
        <w:rPr>
          <w:rStyle w:val="Voetnootmarkering"/>
        </w:rPr>
        <w:footnoteRef/>
      </w:r>
      <w:r w:rsidRPr="00CC759A">
        <w:rPr>
          <w:lang w:val="en-US"/>
        </w:rPr>
        <w:t xml:space="preserve"> </w:t>
      </w:r>
      <w:r w:rsidRPr="00EB2A14">
        <w:rPr>
          <w:rFonts w:ascii="Garamond" w:eastAsiaTheme="minorEastAsia" w:hAnsi="Garamond" w:cs="AppleSystemUIFont"/>
          <w:color w:val="353535"/>
          <w:lang w:val="en-US"/>
        </w:rPr>
        <w:t>Income Tax Code of April 10, 1992, Belgian Official Journal July 30, 1992.</w:t>
      </w:r>
    </w:p>
  </w:footnote>
  <w:footnote w:id="7">
    <w:p w14:paraId="6B78ED62" w14:textId="436AA726" w:rsidR="00261A8D" w:rsidRPr="00CC759A" w:rsidRDefault="00261A8D" w:rsidP="00EB2A14">
      <w:pPr>
        <w:pStyle w:val="Voetnoottekst"/>
        <w:jc w:val="both"/>
        <w:rPr>
          <w:lang w:val="en-US"/>
        </w:rPr>
      </w:pPr>
      <w:r>
        <w:rPr>
          <w:rStyle w:val="Voetnootmarkering"/>
        </w:rPr>
        <w:footnoteRef/>
      </w:r>
      <w:r w:rsidRPr="00CC759A">
        <w:rPr>
          <w:lang w:val="en-US"/>
        </w:rPr>
        <w:t xml:space="preserve"> </w:t>
      </w:r>
      <w:r w:rsidRPr="00EB2A14">
        <w:rPr>
          <w:rFonts w:ascii="Garamond" w:eastAsiaTheme="minorEastAsia" w:hAnsi="Garamond" w:cs="AppleSystemUIFont"/>
          <w:color w:val="353535"/>
          <w:lang w:val="en-US"/>
        </w:rPr>
        <w:t>The ITC distinguishes different categories of professional income: employees’ salaries and wages, company managers’ remunerations, assisting spouses’ remunerations, profits from agricultural, industrial and commercial activities, proceeds from a liberal profession, profits and proceeds from former professional activities and replacement income (Art 23 ITC).</w:t>
      </w:r>
    </w:p>
  </w:footnote>
  <w:footnote w:id="8">
    <w:p w14:paraId="75C7C353" w14:textId="67C0F9C0" w:rsidR="00261A8D" w:rsidRPr="00CC759A" w:rsidRDefault="00261A8D" w:rsidP="00EB2A14">
      <w:pPr>
        <w:pStyle w:val="Voetnoottekst"/>
        <w:jc w:val="both"/>
        <w:rPr>
          <w:lang w:val="en-US"/>
        </w:rPr>
      </w:pPr>
      <w:r>
        <w:rPr>
          <w:rStyle w:val="Voetnootmarkering"/>
        </w:rPr>
        <w:footnoteRef/>
      </w:r>
      <w:r w:rsidRPr="00CC759A">
        <w:rPr>
          <w:lang w:val="en-US"/>
        </w:rPr>
        <w:t xml:space="preserve"> </w:t>
      </w:r>
      <w:r w:rsidRPr="00EB2A14">
        <w:rPr>
          <w:rFonts w:ascii="Garamond" w:eastAsiaTheme="minorEastAsia" w:hAnsi="Garamond" w:cs="AppleSystemUIFont"/>
          <w:color w:val="353535"/>
          <w:lang w:val="en-US"/>
        </w:rPr>
        <w:t>The amount expressed in euros are valid for the taxable year 2018</w:t>
      </w:r>
      <w:r>
        <w:rPr>
          <w:rFonts w:ascii="Garamond" w:eastAsiaTheme="minorEastAsia" w:hAnsi="Garamond" w:cs="AppleSystemUIFont"/>
          <w:color w:val="353535"/>
          <w:lang w:val="en-US"/>
        </w:rPr>
        <w:t>.</w:t>
      </w:r>
    </w:p>
  </w:footnote>
  <w:footnote w:id="9">
    <w:p w14:paraId="13AE9146" w14:textId="585CDDF5" w:rsidR="00261A8D" w:rsidRPr="00CC759A" w:rsidRDefault="00261A8D" w:rsidP="00EB2A14">
      <w:pPr>
        <w:pStyle w:val="Voetnoottekst"/>
        <w:jc w:val="both"/>
        <w:rPr>
          <w:lang w:val="en-US"/>
        </w:rPr>
      </w:pPr>
      <w:r>
        <w:rPr>
          <w:rStyle w:val="Voetnootmarkering"/>
        </w:rPr>
        <w:footnoteRef/>
      </w:r>
      <w:r w:rsidRPr="00CC759A">
        <w:rPr>
          <w:lang w:val="en-US"/>
        </w:rPr>
        <w:t xml:space="preserve"> </w:t>
      </w:r>
      <w:r w:rsidRPr="00EB2A14">
        <w:rPr>
          <w:rFonts w:ascii="Garamond" w:eastAsiaTheme="minorEastAsia" w:hAnsi="Garamond" w:cs="AppleSystemUIFont"/>
          <w:color w:val="353535"/>
          <w:lang w:val="en-US"/>
        </w:rPr>
        <w:t>In this case, it is not possible to benefit from the exoneration of the reimbursement of commuting trips</w:t>
      </w:r>
    </w:p>
  </w:footnote>
  <w:footnote w:id="10">
    <w:p w14:paraId="3FD139D2" w14:textId="77777777" w:rsidR="00261A8D" w:rsidRPr="008C4518" w:rsidRDefault="00261A8D" w:rsidP="003E1480">
      <w:pPr>
        <w:pStyle w:val="Geenafstand"/>
        <w:rPr>
          <w:lang w:val="en-US"/>
        </w:rPr>
      </w:pPr>
      <w:r w:rsidRPr="008C4518">
        <w:rPr>
          <w:rStyle w:val="Voetnootmarkering"/>
          <w:lang w:val="en-US"/>
        </w:rPr>
        <w:footnoteRef/>
      </w:r>
      <w:r w:rsidRPr="008C4518">
        <w:rPr>
          <w:lang w:val="en-US"/>
        </w:rPr>
        <w:t xml:space="preserve"> Law of December 28, 2011 introducing diverse provisions, </w:t>
      </w:r>
      <w:r w:rsidRPr="008C4518">
        <w:rPr>
          <w:i/>
          <w:iCs/>
          <w:lang w:val="en-US"/>
        </w:rPr>
        <w:t>Belgian</w:t>
      </w:r>
      <w:r w:rsidRPr="008C4518">
        <w:rPr>
          <w:lang w:val="en-US"/>
        </w:rPr>
        <w:t xml:space="preserve"> </w:t>
      </w:r>
      <w:r w:rsidRPr="008C4518">
        <w:rPr>
          <w:i/>
          <w:iCs/>
          <w:lang w:val="en-US"/>
        </w:rPr>
        <w:t>Official Journal</w:t>
      </w:r>
      <w:r w:rsidRPr="008C4518">
        <w:rPr>
          <w:lang w:val="en-US"/>
        </w:rPr>
        <w:t xml:space="preserve"> December 30, 2011, as modified by the Program Law of March 29, 2012, </w:t>
      </w:r>
      <w:r w:rsidRPr="008C4518">
        <w:rPr>
          <w:i/>
          <w:iCs/>
          <w:lang w:val="en-US"/>
        </w:rPr>
        <w:t>Belgian</w:t>
      </w:r>
      <w:r w:rsidRPr="008C4518">
        <w:rPr>
          <w:lang w:val="en-US"/>
        </w:rPr>
        <w:t xml:space="preserve"> </w:t>
      </w:r>
      <w:r w:rsidRPr="008C4518">
        <w:rPr>
          <w:i/>
          <w:iCs/>
          <w:lang w:val="en-US"/>
        </w:rPr>
        <w:t>Official Journal</w:t>
      </w:r>
      <w:r w:rsidRPr="008C4518">
        <w:rPr>
          <w:lang w:val="en-US"/>
        </w:rPr>
        <w:t xml:space="preserve"> April 6, 2012. </w:t>
      </w:r>
    </w:p>
  </w:footnote>
  <w:footnote w:id="11">
    <w:p w14:paraId="29BD0358" w14:textId="77777777" w:rsidR="00261A8D" w:rsidRPr="008C4518" w:rsidRDefault="00261A8D" w:rsidP="00C01851">
      <w:pPr>
        <w:pStyle w:val="Geenafstand"/>
        <w:rPr>
          <w:lang w:val="en-US"/>
        </w:rPr>
      </w:pPr>
      <w:r w:rsidRPr="008C4518">
        <w:rPr>
          <w:rStyle w:val="Voetnootmarkering"/>
          <w:lang w:val="en-US"/>
        </w:rPr>
        <w:footnoteRef/>
      </w:r>
      <w:r w:rsidRPr="008C4518">
        <w:rPr>
          <w:lang w:val="en-US"/>
        </w:rPr>
        <w:t xml:space="preserve"> Royal Decree of December 13, 2017, modifying, with respect to benefits in kind, the Royal Decree executing the ITC, resulting from the private use of a vehicle provided for free, </w:t>
      </w:r>
      <w:r w:rsidRPr="008C4518">
        <w:rPr>
          <w:i/>
          <w:iCs/>
          <w:lang w:val="en-US"/>
        </w:rPr>
        <w:t>Belgian</w:t>
      </w:r>
      <w:r w:rsidRPr="008C4518">
        <w:rPr>
          <w:lang w:val="en-US"/>
        </w:rPr>
        <w:t xml:space="preserve"> </w:t>
      </w:r>
      <w:r w:rsidRPr="008C4518">
        <w:rPr>
          <w:i/>
          <w:iCs/>
          <w:lang w:val="en-US"/>
        </w:rPr>
        <w:t xml:space="preserve">Official Journal </w:t>
      </w:r>
      <w:r w:rsidRPr="008C4518">
        <w:rPr>
          <w:lang w:val="en-US"/>
        </w:rPr>
        <w:t>December 19, 2018.</w:t>
      </w:r>
    </w:p>
  </w:footnote>
  <w:footnote w:id="12">
    <w:p w14:paraId="678F9EE3" w14:textId="77777777" w:rsidR="00261A8D" w:rsidRPr="008C4518" w:rsidRDefault="00261A8D" w:rsidP="00C01851">
      <w:pPr>
        <w:pStyle w:val="Geenafstand"/>
        <w:rPr>
          <w:lang w:val="en-US"/>
        </w:rPr>
      </w:pPr>
      <w:r w:rsidRPr="008C4518">
        <w:rPr>
          <w:rStyle w:val="Voetnootmarkering"/>
          <w:lang w:val="en-US"/>
        </w:rPr>
        <w:footnoteRef/>
      </w:r>
      <w:r w:rsidRPr="008C4518">
        <w:rPr>
          <w:lang w:val="en-US"/>
        </w:rPr>
        <w:t xml:space="preserve"> Law of December 25, 2017, reforming the corporate income tax, </w:t>
      </w:r>
      <w:r w:rsidRPr="008C4518">
        <w:rPr>
          <w:i/>
          <w:iCs/>
          <w:lang w:val="en-US"/>
        </w:rPr>
        <w:t>Belgian Official Journal</w:t>
      </w:r>
      <w:r w:rsidRPr="008C4518">
        <w:rPr>
          <w:lang w:val="en-US"/>
        </w:rPr>
        <w:t xml:space="preserve"> December 29, 2017, in particular Art. 3.</w:t>
      </w:r>
    </w:p>
  </w:footnote>
  <w:footnote w:id="13">
    <w:p w14:paraId="0B9265F9" w14:textId="77777777" w:rsidR="00261A8D" w:rsidRPr="008C4518" w:rsidRDefault="00261A8D" w:rsidP="00C01851">
      <w:pPr>
        <w:pStyle w:val="Voetnoottekst"/>
        <w:rPr>
          <w:rFonts w:ascii="Garamond" w:hAnsi="Garamond"/>
          <w:sz w:val="18"/>
          <w:szCs w:val="18"/>
          <w:lang w:val="en-US"/>
        </w:rPr>
      </w:pPr>
      <w:r w:rsidRPr="008C4518">
        <w:rPr>
          <w:rStyle w:val="Voetnootmarkering"/>
          <w:rFonts w:ascii="Garamond" w:hAnsi="Garamond"/>
          <w:sz w:val="18"/>
          <w:szCs w:val="18"/>
          <w:lang w:val="en-US"/>
        </w:rPr>
        <w:footnoteRef/>
      </w:r>
      <w:r w:rsidRPr="008C4518">
        <w:rPr>
          <w:rFonts w:ascii="Garamond" w:hAnsi="Garamond"/>
          <w:sz w:val="18"/>
          <w:szCs w:val="18"/>
          <w:lang w:val="en-US"/>
        </w:rPr>
        <w:t xml:space="preserve"> Administrative instruction of the NSSO, 2018/1 and Art. 38, 3 quarter of the Law of June 29, 1981</w:t>
      </w:r>
      <w:r w:rsidRPr="008C4518">
        <w:rPr>
          <w:rFonts w:ascii="Garamond" w:eastAsiaTheme="minorEastAsia" w:hAnsi="Garamond" w:cs="AppleSystemUIFont"/>
          <w:color w:val="353535"/>
          <w:sz w:val="18"/>
          <w:szCs w:val="18"/>
          <w:lang w:val="en-US"/>
        </w:rPr>
        <w:t xml:space="preserve"> setting general social security principles for paid employees, July 2, 1981.</w:t>
      </w:r>
    </w:p>
  </w:footnote>
  <w:footnote w:id="14">
    <w:p w14:paraId="6422B612" w14:textId="77777777" w:rsidR="00261A8D" w:rsidRPr="008C4518" w:rsidRDefault="00261A8D" w:rsidP="00AF58FF">
      <w:pPr>
        <w:pStyle w:val="Geenafstand"/>
        <w:rPr>
          <w:lang w:val="en-US"/>
        </w:rPr>
      </w:pPr>
      <w:r w:rsidRPr="008C4518">
        <w:rPr>
          <w:rStyle w:val="Voetnootmarkering"/>
          <w:lang w:val="en-US"/>
        </w:rPr>
        <w:footnoteRef/>
      </w:r>
      <w:r w:rsidRPr="008C4518">
        <w:rPr>
          <w:lang w:val="en-US"/>
        </w:rPr>
        <w:t xml:space="preserve"> The following paragraphs concern the « normal » tax framework that applies to the benefits of corporations. Specific schemes, which apply for instance to investment companies are not considered here.</w:t>
      </w:r>
    </w:p>
  </w:footnote>
  <w:footnote w:id="15">
    <w:p w14:paraId="4E8D03B3" w14:textId="519182A1" w:rsidR="00261A8D" w:rsidRPr="00CC759A" w:rsidRDefault="00261A8D" w:rsidP="00C01851">
      <w:pPr>
        <w:pStyle w:val="Geenafstand"/>
        <w:rPr>
          <w:lang w:val="en-US"/>
        </w:rPr>
      </w:pPr>
      <w:r w:rsidRPr="008C4518">
        <w:rPr>
          <w:rStyle w:val="Voetnootmarkering"/>
          <w:lang w:val="en-US"/>
        </w:rPr>
        <w:footnoteRef/>
      </w:r>
      <w:r w:rsidRPr="008C4518">
        <w:rPr>
          <w:lang w:val="en-US"/>
        </w:rPr>
        <w:t xml:space="preserve"> Law introducing a mobility allowance, </w:t>
      </w:r>
      <w:r w:rsidRPr="008C4518">
        <w:rPr>
          <w:i/>
          <w:iCs/>
          <w:lang w:val="en-US"/>
        </w:rPr>
        <w:t>Belgian Official Journal</w:t>
      </w:r>
      <w:r w:rsidRPr="008C4518">
        <w:rPr>
          <w:lang w:val="en-US"/>
        </w:rPr>
        <w:t xml:space="preserve"> May 7, 2018. </w:t>
      </w:r>
    </w:p>
  </w:footnote>
  <w:footnote w:id="16">
    <w:p w14:paraId="4888BE21" w14:textId="77777777" w:rsidR="00261A8D" w:rsidRPr="008C4518" w:rsidRDefault="00261A8D" w:rsidP="009241CD">
      <w:pPr>
        <w:pStyle w:val="Voetnoottekst"/>
        <w:rPr>
          <w:rFonts w:ascii="Garamond" w:hAnsi="Garamond"/>
          <w:sz w:val="18"/>
          <w:szCs w:val="18"/>
          <w:lang w:val="en-US"/>
        </w:rPr>
      </w:pPr>
      <w:r w:rsidRPr="008C4518">
        <w:rPr>
          <w:rStyle w:val="Voetnootmarkering"/>
          <w:rFonts w:ascii="Garamond" w:hAnsi="Garamond"/>
          <w:sz w:val="18"/>
          <w:szCs w:val="18"/>
          <w:lang w:val="en-US"/>
        </w:rPr>
        <w:footnoteRef/>
      </w:r>
      <w:r w:rsidRPr="008C4518">
        <w:rPr>
          <w:rFonts w:ascii="Garamond" w:hAnsi="Garamond"/>
          <w:sz w:val="18"/>
          <w:szCs w:val="18"/>
          <w:lang w:val="en-US"/>
        </w:rPr>
        <w:t xml:space="preserve"> </w:t>
      </w:r>
      <w:r w:rsidRPr="008C4518">
        <w:rPr>
          <w:rFonts w:ascii="Garamond" w:eastAsiaTheme="minorEastAsia" w:hAnsi="Garamond" w:cs="AppleSystemUIFont"/>
          <w:color w:val="353535"/>
          <w:sz w:val="18"/>
          <w:szCs w:val="18"/>
          <w:lang w:val="en-US"/>
        </w:rPr>
        <w:t xml:space="preserve">Council of State, advice n°62.233/1/3 of November 14, 2017, </w:t>
      </w:r>
      <w:r w:rsidRPr="008C4518">
        <w:rPr>
          <w:rFonts w:ascii="Garamond" w:hAnsi="Garamond"/>
          <w:i/>
          <w:iCs/>
          <w:sz w:val="18"/>
          <w:szCs w:val="18"/>
          <w:lang w:val="en-US"/>
        </w:rPr>
        <w:t>Parl. Doc.,</w:t>
      </w:r>
      <w:r w:rsidRPr="008C4518">
        <w:rPr>
          <w:rFonts w:ascii="Garamond" w:hAnsi="Garamond"/>
          <w:sz w:val="18"/>
          <w:szCs w:val="18"/>
          <w:lang w:val="en-US"/>
        </w:rPr>
        <w:t xml:space="preserve"> Chamber of </w:t>
      </w:r>
      <w:proofErr w:type="spellStart"/>
      <w:r w:rsidRPr="008C4518">
        <w:rPr>
          <w:rFonts w:ascii="Garamond" w:hAnsi="Garamond"/>
          <w:sz w:val="18"/>
          <w:szCs w:val="18"/>
          <w:lang w:val="en-US"/>
        </w:rPr>
        <w:t>Repr</w:t>
      </w:r>
      <w:proofErr w:type="spellEnd"/>
      <w:r w:rsidRPr="008C4518">
        <w:rPr>
          <w:rFonts w:ascii="Garamond" w:hAnsi="Garamond"/>
          <w:sz w:val="18"/>
          <w:szCs w:val="18"/>
          <w:lang w:val="en-US"/>
        </w:rPr>
        <w:t xml:space="preserve">., 2017-2018, </w:t>
      </w:r>
      <w:r w:rsidRPr="008C4518">
        <w:rPr>
          <w:rFonts w:ascii="Garamond" w:eastAsiaTheme="minorEastAsia" w:hAnsi="Garamond" w:cs="AppleSystemUIFont"/>
          <w:color w:val="353535"/>
          <w:sz w:val="18"/>
          <w:szCs w:val="18"/>
          <w:lang w:val="en-US"/>
        </w:rPr>
        <w:t>54-2838/1</w:t>
      </w:r>
      <w:r w:rsidRPr="008C4518">
        <w:rPr>
          <w:rFonts w:ascii="Garamond" w:hAnsi="Garamond"/>
          <w:sz w:val="18"/>
          <w:szCs w:val="18"/>
          <w:lang w:val="en-US"/>
        </w:rPr>
        <w:t xml:space="preserve">, p. 63 and f. </w:t>
      </w:r>
    </w:p>
  </w:footnote>
  <w:footnote w:id="17">
    <w:p w14:paraId="1AD4B306" w14:textId="058E2144" w:rsidR="00261A8D" w:rsidRPr="00AB550B" w:rsidRDefault="00261A8D" w:rsidP="00AB550B">
      <w:pPr>
        <w:pStyle w:val="Voetnoottekst"/>
        <w:jc w:val="both"/>
        <w:rPr>
          <w:lang w:val="en-US"/>
        </w:rPr>
      </w:pPr>
      <w:r>
        <w:rPr>
          <w:rStyle w:val="Voetnootmarkering"/>
        </w:rPr>
        <w:footnoteRef/>
      </w:r>
      <w:r w:rsidRPr="00AB550B">
        <w:rPr>
          <w:lang w:val="en-US"/>
        </w:rPr>
        <w:t xml:space="preserve"> </w:t>
      </w:r>
      <w:r>
        <w:rPr>
          <w:rFonts w:ascii="Garamond" w:hAnsi="Garamond"/>
          <w:lang w:val="en-US"/>
        </w:rPr>
        <w:t xml:space="preserve">CoCaTax was written in the statistical language R using the </w:t>
      </w:r>
      <w:proofErr w:type="spellStart"/>
      <w:r>
        <w:rPr>
          <w:rFonts w:ascii="Garamond" w:hAnsi="Garamond"/>
          <w:lang w:val="en-US"/>
        </w:rPr>
        <w:t>Tidyverse</w:t>
      </w:r>
      <w:proofErr w:type="spellEnd"/>
      <w:r>
        <w:rPr>
          <w:rFonts w:ascii="Garamond" w:hAnsi="Garamond"/>
          <w:lang w:val="en-US"/>
        </w:rPr>
        <w:t xml:space="preserve"> collection of packages for data analysis, Shiny package for the web interface, the </w:t>
      </w:r>
      <w:proofErr w:type="spellStart"/>
      <w:r>
        <w:rPr>
          <w:rFonts w:ascii="Garamond" w:hAnsi="Garamond"/>
          <w:lang w:val="en-US"/>
        </w:rPr>
        <w:t>ineq</w:t>
      </w:r>
      <w:proofErr w:type="spellEnd"/>
      <w:r>
        <w:rPr>
          <w:rFonts w:ascii="Garamond" w:hAnsi="Garamond"/>
          <w:lang w:val="en-US"/>
        </w:rPr>
        <w:t xml:space="preserve"> and </w:t>
      </w:r>
      <w:proofErr w:type="spellStart"/>
      <w:r>
        <w:rPr>
          <w:rFonts w:ascii="Garamond" w:hAnsi="Garamond"/>
          <w:lang w:val="en-US"/>
        </w:rPr>
        <w:t>gglorenz</w:t>
      </w:r>
      <w:proofErr w:type="spellEnd"/>
      <w:r>
        <w:rPr>
          <w:rFonts w:ascii="Garamond" w:hAnsi="Garamond"/>
          <w:lang w:val="en-US"/>
        </w:rPr>
        <w:t xml:space="preserve"> packages for the inequality analysis, and </w:t>
      </w:r>
      <w:proofErr w:type="spellStart"/>
      <w:r>
        <w:rPr>
          <w:rFonts w:ascii="Garamond" w:hAnsi="Garamond"/>
          <w:lang w:val="en-US"/>
        </w:rPr>
        <w:t>fBasics</w:t>
      </w:r>
      <w:proofErr w:type="spellEnd"/>
      <w:r>
        <w:rPr>
          <w:rFonts w:ascii="Garamond" w:hAnsi="Garamond"/>
          <w:lang w:val="en-US"/>
        </w:rPr>
        <w:t xml:space="preserve">, </w:t>
      </w:r>
      <w:proofErr w:type="spellStart"/>
      <w:r>
        <w:rPr>
          <w:rFonts w:ascii="Garamond" w:hAnsi="Garamond"/>
          <w:lang w:val="en-US"/>
        </w:rPr>
        <w:t>xtable</w:t>
      </w:r>
      <w:proofErr w:type="spellEnd"/>
      <w:r>
        <w:rPr>
          <w:rFonts w:ascii="Garamond" w:hAnsi="Garamond"/>
          <w:lang w:val="en-US"/>
        </w:rPr>
        <w:t xml:space="preserve">, reshape2 and scales for basic mathematical and statistical operations. The website www.CoCaTax.be runs on </w:t>
      </w:r>
      <w:proofErr w:type="spellStart"/>
      <w:r>
        <w:rPr>
          <w:rFonts w:ascii="Garamond" w:hAnsi="Garamond"/>
          <w:lang w:val="en-US"/>
        </w:rPr>
        <w:t>DigitalOcean</w:t>
      </w:r>
      <w:proofErr w:type="spellEnd"/>
      <w:r>
        <w:rPr>
          <w:rFonts w:ascii="Garamond" w:hAnsi="Garamond"/>
          <w:lang w:val="en-US"/>
        </w:rPr>
        <w:t xml:space="preserve"> servers using Docker and Shiny Server. </w:t>
      </w:r>
    </w:p>
  </w:footnote>
  <w:footnote w:id="18">
    <w:p w14:paraId="3B9EBF14" w14:textId="77777777" w:rsidR="00261A8D" w:rsidRPr="00F514B9" w:rsidRDefault="00261A8D" w:rsidP="00F306D2">
      <w:pPr>
        <w:pStyle w:val="Voetnoottekst"/>
        <w:jc w:val="both"/>
        <w:rPr>
          <w:rFonts w:ascii="Garamond" w:hAnsi="Garamond"/>
          <w:lang w:val="en-US"/>
        </w:rPr>
      </w:pPr>
      <w:r>
        <w:rPr>
          <w:rStyle w:val="Voetnootmarkering"/>
        </w:rPr>
        <w:footnoteRef/>
      </w:r>
      <w:r w:rsidRPr="00860F3F">
        <w:rPr>
          <w:lang w:val="en-US"/>
        </w:rPr>
        <w:t xml:space="preserve"> </w:t>
      </w:r>
      <w:r w:rsidRPr="00F514B9">
        <w:rPr>
          <w:rFonts w:ascii="Garamond" w:hAnsi="Garamond"/>
          <w:lang w:val="en-US"/>
        </w:rPr>
        <w:t xml:space="preserve">Other behavioral modules will also be added at a later stage (e.g. </w:t>
      </w:r>
      <w:r>
        <w:rPr>
          <w:rFonts w:ascii="Garamond" w:hAnsi="Garamond"/>
          <w:lang w:val="en-US"/>
        </w:rPr>
        <w:t>multi</w:t>
      </w:r>
      <w:r w:rsidRPr="00F514B9">
        <w:rPr>
          <w:rFonts w:ascii="Garamond" w:hAnsi="Garamond"/>
          <w:lang w:val="en-US"/>
        </w:rPr>
        <w:t xml:space="preserve">modal </w:t>
      </w:r>
      <w:r>
        <w:rPr>
          <w:rFonts w:ascii="Garamond" w:hAnsi="Garamond"/>
          <w:lang w:val="en-US"/>
        </w:rPr>
        <w:t xml:space="preserve">transport </w:t>
      </w:r>
      <w:r w:rsidRPr="00F514B9">
        <w:rPr>
          <w:rFonts w:ascii="Garamond" w:hAnsi="Garamond"/>
          <w:lang w:val="en-US"/>
        </w:rPr>
        <w:t xml:space="preserve">choices, </w:t>
      </w:r>
      <w:proofErr w:type="spellStart"/>
      <w:r w:rsidRPr="00F514B9">
        <w:rPr>
          <w:rFonts w:ascii="Garamond" w:hAnsi="Garamond"/>
          <w:lang w:val="en-US"/>
        </w:rPr>
        <w:t>labo</w:t>
      </w:r>
      <w:r>
        <w:rPr>
          <w:rFonts w:ascii="Garamond" w:hAnsi="Garamond"/>
          <w:lang w:val="en-US"/>
        </w:rPr>
        <w:t>u</w:t>
      </w:r>
      <w:r w:rsidRPr="00F514B9">
        <w:rPr>
          <w:rFonts w:ascii="Garamond" w:hAnsi="Garamond"/>
          <w:lang w:val="en-US"/>
        </w:rPr>
        <w:t>r</w:t>
      </w:r>
      <w:proofErr w:type="spellEnd"/>
      <w:r w:rsidRPr="00F514B9">
        <w:rPr>
          <w:rFonts w:ascii="Garamond" w:hAnsi="Garamond"/>
          <w:lang w:val="en-US"/>
        </w:rPr>
        <w:t xml:space="preserve"> demand and supply</w:t>
      </w:r>
      <w:r>
        <w:rPr>
          <w:rFonts w:ascii="Garamond" w:hAnsi="Garamond"/>
          <w:lang w:val="en-US"/>
        </w:rPr>
        <w:t>, consumption model...</w:t>
      </w:r>
      <w:r w:rsidRPr="00F514B9">
        <w:rPr>
          <w:rFonts w:ascii="Garamond" w:hAnsi="Garamond"/>
          <w:lang w:val="en-US"/>
        </w:rPr>
        <w:t>)</w:t>
      </w:r>
    </w:p>
  </w:footnote>
  <w:footnote w:id="19">
    <w:p w14:paraId="54153EA7" w14:textId="77777777" w:rsidR="00261A8D" w:rsidRPr="00F514B9" w:rsidRDefault="00261A8D" w:rsidP="00F306D2">
      <w:pPr>
        <w:pStyle w:val="Voetnoottekst"/>
        <w:jc w:val="both"/>
        <w:rPr>
          <w:rFonts w:ascii="Garamond" w:hAnsi="Garamond"/>
          <w:lang w:val="en-US"/>
        </w:rPr>
      </w:pPr>
      <w:r w:rsidRPr="00F514B9">
        <w:rPr>
          <w:rStyle w:val="Voetnootmarkering"/>
          <w:rFonts w:ascii="Garamond" w:hAnsi="Garamond"/>
        </w:rPr>
        <w:footnoteRef/>
      </w:r>
      <w:r w:rsidRPr="00F514B9">
        <w:rPr>
          <w:rFonts w:ascii="Garamond" w:hAnsi="Garamond"/>
          <w:lang w:val="en-US"/>
        </w:rPr>
        <w:t xml:space="preserve"> 24.957% of the </w:t>
      </w:r>
      <w:r>
        <w:rPr>
          <w:rFonts w:ascii="Garamond" w:hAnsi="Garamond"/>
          <w:lang w:val="en-US"/>
        </w:rPr>
        <w:t>S</w:t>
      </w:r>
      <w:r w:rsidRPr="00F514B9">
        <w:rPr>
          <w:rFonts w:ascii="Garamond" w:hAnsi="Garamond"/>
          <w:lang w:val="en-US"/>
        </w:rPr>
        <w:t xml:space="preserve">tate </w:t>
      </w:r>
      <w:r>
        <w:rPr>
          <w:rFonts w:ascii="Garamond" w:hAnsi="Garamond"/>
          <w:lang w:val="en-US"/>
        </w:rPr>
        <w:t>T</w:t>
      </w:r>
      <w:r w:rsidRPr="00F514B9">
        <w:rPr>
          <w:rFonts w:ascii="Garamond" w:hAnsi="Garamond"/>
          <w:lang w:val="en-US"/>
        </w:rPr>
        <w:t>ax (i.e., the “</w:t>
      </w:r>
      <w:proofErr w:type="spellStart"/>
      <w:r w:rsidRPr="00F514B9">
        <w:rPr>
          <w:rFonts w:ascii="Garamond" w:hAnsi="Garamond"/>
          <w:lang w:val="en-US"/>
        </w:rPr>
        <w:t>Impôt</w:t>
      </w:r>
      <w:proofErr w:type="spellEnd"/>
      <w:r w:rsidRPr="00F514B9">
        <w:rPr>
          <w:rFonts w:ascii="Garamond" w:hAnsi="Garamond"/>
          <w:lang w:val="en-US"/>
        </w:rPr>
        <w:t xml:space="preserve"> État”</w:t>
      </w:r>
      <w:r>
        <w:rPr>
          <w:rFonts w:ascii="Garamond" w:hAnsi="Garamond"/>
          <w:lang w:val="en-US"/>
        </w:rPr>
        <w:t>, "</w:t>
      </w:r>
      <w:proofErr w:type="spellStart"/>
      <w:r>
        <w:rPr>
          <w:rFonts w:ascii="Garamond" w:hAnsi="Garamond"/>
          <w:lang w:val="en-US"/>
        </w:rPr>
        <w:t>Belasting</w:t>
      </w:r>
      <w:proofErr w:type="spellEnd"/>
      <w:r>
        <w:rPr>
          <w:rFonts w:ascii="Garamond" w:hAnsi="Garamond"/>
          <w:lang w:val="en-US"/>
        </w:rPr>
        <w:t xml:space="preserve"> </w:t>
      </w:r>
      <w:proofErr w:type="spellStart"/>
      <w:r>
        <w:rPr>
          <w:rFonts w:ascii="Garamond" w:hAnsi="Garamond"/>
          <w:lang w:val="en-US"/>
        </w:rPr>
        <w:t>Staat</w:t>
      </w:r>
      <w:proofErr w:type="spellEnd"/>
      <w:r>
        <w:rPr>
          <w:rFonts w:ascii="Garamond" w:hAnsi="Garamond"/>
          <w:lang w:val="en-US"/>
        </w:rPr>
        <w:t>"</w:t>
      </w:r>
      <w:r w:rsidRPr="00F514B9">
        <w:rPr>
          <w:rFonts w:ascii="Garamond" w:hAnsi="Garamond"/>
          <w:lang w:val="en-US"/>
        </w:rPr>
        <w:t>) is allocated to the regional governments. In line with the EUROMOD country report for Belgium (</w:t>
      </w:r>
      <w:proofErr w:type="spellStart"/>
      <w:r w:rsidRPr="00F514B9">
        <w:rPr>
          <w:rFonts w:ascii="Garamond" w:hAnsi="Garamond"/>
          <w:lang w:val="en-US"/>
        </w:rPr>
        <w:t>Hufkens</w:t>
      </w:r>
      <w:proofErr w:type="spellEnd"/>
      <w:r w:rsidRPr="00F514B9">
        <w:rPr>
          <w:rFonts w:ascii="Garamond" w:hAnsi="Garamond"/>
          <w:lang w:val="en-US"/>
        </w:rPr>
        <w:t xml:space="preserve"> et al., 2017, p. 57), we further assume that the local tax rate is set at 7.5%.</w:t>
      </w:r>
    </w:p>
  </w:footnote>
  <w:footnote w:id="20">
    <w:p w14:paraId="53D41623" w14:textId="5DCF7B8B" w:rsidR="00497E4A" w:rsidRPr="00497E4A" w:rsidRDefault="00497E4A">
      <w:pPr>
        <w:pStyle w:val="Voetnoottekst"/>
        <w:rPr>
          <w:rFonts w:ascii="Garamond" w:hAnsi="Garamond"/>
          <w:lang w:val="en-US"/>
        </w:rPr>
      </w:pPr>
      <w:r w:rsidRPr="00497E4A">
        <w:rPr>
          <w:rFonts w:ascii="Garamond" w:hAnsi="Garamond"/>
          <w:lang w:val="en-US"/>
        </w:rPr>
        <w:footnoteRef/>
      </w:r>
      <w:r w:rsidRPr="00497E4A">
        <w:rPr>
          <w:rFonts w:ascii="Garamond" w:hAnsi="Garamond"/>
          <w:lang w:val="en-US"/>
        </w:rPr>
        <w:t xml:space="preserve"> The first lines are devoted to the variables that determines the employees’ consumption, followed by firms profits and fiscal and parafiscal revenues. The numbers in the column “mobility allowance” and “mobility budget” represent the difference, for each variable of interest, between the company car regime and the reform scenario. </w:t>
      </w:r>
      <w:r w:rsidR="005374F5" w:rsidRPr="00497E4A">
        <w:rPr>
          <w:rFonts w:ascii="Garamond" w:hAnsi="Garamond"/>
          <w:lang w:val="en-US"/>
        </w:rPr>
        <w:t xml:space="preserve">The numbers represent the effect of the reform </w:t>
      </w:r>
      <w:r w:rsidR="005374F5">
        <w:rPr>
          <w:rFonts w:ascii="Garamond" w:hAnsi="Garamond"/>
          <w:lang w:val="en-US"/>
        </w:rPr>
        <w:t>in € per turned in</w:t>
      </w:r>
      <w:r w:rsidR="005374F5" w:rsidRPr="00497E4A">
        <w:rPr>
          <w:rFonts w:ascii="Garamond" w:hAnsi="Garamond"/>
          <w:lang w:val="en-US"/>
        </w:rPr>
        <w:t xml:space="preserve"> car per year.</w:t>
      </w:r>
      <w:r w:rsidR="005374F5">
        <w:rPr>
          <w:rFonts w:ascii="Garamond" w:hAnsi="Garamond"/>
          <w:lang w:val="en-US"/>
        </w:rPr>
        <w:t xml:space="preserve"> Positive numbers indicate that the reform is </w:t>
      </w:r>
      <w:proofErr w:type="spellStart"/>
      <w:r w:rsidR="005374F5">
        <w:rPr>
          <w:rFonts w:ascii="Garamond" w:hAnsi="Garamond"/>
          <w:lang w:val="en-US"/>
        </w:rPr>
        <w:t>favourable</w:t>
      </w:r>
      <w:proofErr w:type="spellEnd"/>
      <w:r w:rsidR="005374F5">
        <w:rPr>
          <w:rFonts w:ascii="Garamond" w:hAnsi="Garamond"/>
          <w:lang w:val="en-US"/>
        </w:rPr>
        <w:t xml:space="preserve">. </w:t>
      </w:r>
    </w:p>
  </w:footnote>
  <w:footnote w:id="21">
    <w:p w14:paraId="4E116515" w14:textId="77777777" w:rsidR="00261A8D" w:rsidRPr="00DB3743" w:rsidRDefault="00261A8D" w:rsidP="00F306D2">
      <w:pPr>
        <w:pStyle w:val="Voetnoottekst"/>
        <w:rPr>
          <w:lang w:val="en-US"/>
        </w:rPr>
      </w:pPr>
      <w:r>
        <w:rPr>
          <w:rStyle w:val="Voetnootmarkering"/>
        </w:rPr>
        <w:footnoteRef/>
      </w:r>
      <w:r w:rsidRPr="00DB3743">
        <w:rPr>
          <w:lang w:val="en-US"/>
        </w:rPr>
        <w:t xml:space="preserve"> </w:t>
      </w:r>
      <w:r w:rsidRPr="00DB3743">
        <w:rPr>
          <w:rFonts w:ascii="Garamond" w:hAnsi="Garamond"/>
          <w:lang w:val="en-US"/>
        </w:rPr>
        <w:t xml:space="preserve">The current version of CoCaTax lacks a general equilibrium model that can predict such changes in </w:t>
      </w:r>
      <w:proofErr w:type="spellStart"/>
      <w:r w:rsidRPr="00DB3743">
        <w:rPr>
          <w:rFonts w:ascii="Garamond" w:hAnsi="Garamond"/>
          <w:lang w:val="en-US"/>
        </w:rPr>
        <w:t>labour</w:t>
      </w:r>
      <w:proofErr w:type="spellEnd"/>
      <w:r w:rsidRPr="00DB3743">
        <w:rPr>
          <w:rFonts w:ascii="Garamond" w:hAnsi="Garamond"/>
          <w:lang w:val="en-US"/>
        </w:rPr>
        <w:t xml:space="preserve"> costs in the market equilibrium.</w:t>
      </w:r>
    </w:p>
  </w:footnote>
  <w:footnote w:id="22">
    <w:p w14:paraId="0C5FBD5C" w14:textId="77777777" w:rsidR="00261A8D" w:rsidRPr="00F514B9" w:rsidRDefault="00261A8D" w:rsidP="00F306D2">
      <w:pPr>
        <w:pStyle w:val="Voetnoottekst"/>
        <w:jc w:val="both"/>
        <w:rPr>
          <w:rFonts w:ascii="Garamond" w:hAnsi="Garamond"/>
          <w:lang w:val="en-US"/>
        </w:rPr>
      </w:pPr>
      <w:r w:rsidRPr="00F514B9">
        <w:rPr>
          <w:rFonts w:ascii="Garamond" w:hAnsi="Garamond"/>
          <w:lang w:val="nl-BE"/>
        </w:rPr>
        <w:footnoteRef/>
      </w:r>
      <w:r w:rsidRPr="00F514B9">
        <w:rPr>
          <w:rFonts w:ascii="Garamond" w:hAnsi="Garamond"/>
          <w:lang w:val="en-US"/>
        </w:rPr>
        <w:t xml:space="preserve"> This proportion would be equal to 6/7 of 4.84% for a gasoline vehicle with CO2 emissions of 105 g/km and aged between 2 and 3 years. Notice however that the personal income tax may increase for individuals that were paying a deductible financial contribution or for those having and electric vehicle.</w:t>
      </w:r>
    </w:p>
    <w:p w14:paraId="4FF02705" w14:textId="77777777" w:rsidR="00261A8D" w:rsidRPr="00F514B9" w:rsidRDefault="00261A8D" w:rsidP="00F306D2">
      <w:pPr>
        <w:pStyle w:val="Voetnoottekst"/>
        <w:jc w:val="both"/>
        <w:rPr>
          <w:rFonts w:ascii="Garamond" w:hAnsi="Garamond"/>
          <w:lang w:val="en-GB"/>
        </w:rPr>
      </w:pPr>
    </w:p>
  </w:footnote>
  <w:footnote w:id="23">
    <w:p w14:paraId="4B15D849" w14:textId="7C8B97A5" w:rsidR="00261A8D" w:rsidRPr="00F514B9" w:rsidRDefault="00261A8D" w:rsidP="00F306D2">
      <w:pPr>
        <w:pStyle w:val="Voetnoottekst"/>
        <w:jc w:val="both"/>
        <w:rPr>
          <w:rFonts w:ascii="Garamond" w:hAnsi="Garamond"/>
          <w:lang w:val="en-US"/>
        </w:rPr>
      </w:pPr>
      <w:r w:rsidRPr="00F514B9">
        <w:rPr>
          <w:rStyle w:val="Voetnootmarkering"/>
          <w:rFonts w:ascii="Garamond" w:hAnsi="Garamond"/>
        </w:rPr>
        <w:footnoteRef/>
      </w:r>
      <w:r w:rsidRPr="00F514B9">
        <w:rPr>
          <w:rFonts w:ascii="Garamond" w:hAnsi="Garamond"/>
          <w:lang w:val="en-US"/>
        </w:rPr>
        <w:t xml:space="preserve"> </w:t>
      </w:r>
      <w:r w:rsidRPr="00DB7F39">
        <w:rPr>
          <w:rFonts w:ascii="Garamond" w:hAnsi="Garamond"/>
          <w:lang w:val="en-GB"/>
        </w:rPr>
        <w:t xml:space="preserve">The </w:t>
      </w:r>
      <w:r w:rsidR="00DB7F39" w:rsidRPr="00DB7F39">
        <w:rPr>
          <w:rFonts w:ascii="Garamond" w:hAnsi="Garamond"/>
          <w:lang w:val="en-GB"/>
        </w:rPr>
        <w:t>52</w:t>
      </w:r>
      <w:r w:rsidRPr="00DB7F39">
        <w:rPr>
          <w:rFonts w:ascii="Garamond" w:hAnsi="Garamond"/>
          <w:lang w:val="en-GB"/>
        </w:rPr>
        <w:t>€ should</w:t>
      </w:r>
      <w:r w:rsidRPr="00F514B9">
        <w:rPr>
          <w:rFonts w:ascii="Garamond" w:hAnsi="Garamond"/>
          <w:lang w:val="en-GB"/>
        </w:rPr>
        <w:t xml:space="preserve"> however be seen as an upper bound on the expected effect on VAT as we assume that the cash obtained in return of the car is entirely spent on expenditures that are taxed at a VAT rate of 21%.</w:t>
      </w:r>
    </w:p>
  </w:footnote>
  <w:footnote w:id="24">
    <w:p w14:paraId="5249027B" w14:textId="01150F05" w:rsidR="009F54FD" w:rsidRPr="009F54FD" w:rsidRDefault="009F54FD" w:rsidP="0019279A">
      <w:pPr>
        <w:pStyle w:val="Voetnoottekst"/>
        <w:jc w:val="both"/>
        <w:rPr>
          <w:lang w:val="en-US"/>
        </w:rPr>
      </w:pPr>
      <w:r>
        <w:rPr>
          <w:rStyle w:val="Voetnootmarkering"/>
        </w:rPr>
        <w:footnoteRef/>
      </w:r>
      <w:r w:rsidRPr="009339EC">
        <w:rPr>
          <w:lang w:val="en-US"/>
        </w:rPr>
        <w:t xml:space="preserve"> </w:t>
      </w:r>
      <w:r w:rsidRPr="0019279A">
        <w:rPr>
          <w:rFonts w:ascii="Garamond" w:hAnsi="Garamond"/>
          <w:lang w:val="en-GB"/>
        </w:rPr>
        <w:t>The amount of the mobility budget is equivalent to the entire company car costs, not only the private ones. Therefore, we assume that the mobility budget beneficiaries pay the professional trips. Since they use a smaller car, they get the surplus associated to the cost difference of the</w:t>
      </w:r>
      <w:r w:rsidR="0019279A" w:rsidRPr="0019279A">
        <w:rPr>
          <w:rFonts w:ascii="Garamond" w:hAnsi="Garamond"/>
          <w:lang w:val="en-GB"/>
        </w:rPr>
        <w:t xml:space="preserve"> professional trips (</w:t>
      </w:r>
      <w:r w:rsidR="009D3525" w:rsidRPr="009D3525">
        <w:rPr>
          <w:rFonts w:ascii="Garamond" w:hAnsi="Garamond"/>
          <w:lang w:val="en-GB"/>
        </w:rPr>
        <w:t>854</w:t>
      </w:r>
      <w:r w:rsidR="0019279A" w:rsidRPr="009D3525">
        <w:rPr>
          <w:rFonts w:ascii="Garamond" w:hAnsi="Garamond"/>
          <w:lang w:val="en-GB"/>
        </w:rPr>
        <w:t xml:space="preserve">€ and </w:t>
      </w:r>
      <w:r w:rsidR="009D3525" w:rsidRPr="009D3525">
        <w:rPr>
          <w:rFonts w:ascii="Garamond" w:hAnsi="Garamond"/>
          <w:lang w:val="en-GB"/>
        </w:rPr>
        <w:t>692</w:t>
      </w:r>
      <w:r w:rsidR="0019279A" w:rsidRPr="009D3525">
        <w:rPr>
          <w:rFonts w:ascii="Garamond" w:hAnsi="Garamond"/>
          <w:lang w:val="en-GB"/>
        </w:rPr>
        <w:t>€ on average before and after the reform)</w:t>
      </w:r>
      <w:r w:rsidR="0019279A">
        <w:rPr>
          <w:lang w:val="en-GB"/>
        </w:rPr>
        <w:t xml:space="preserve"> </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44F5F7D"/>
    <w:multiLevelType w:val="hybridMultilevel"/>
    <w:tmpl w:val="43A4747E"/>
    <w:lvl w:ilvl="0" w:tplc="E71EE596">
      <w:numFmt w:val="bullet"/>
      <w:lvlText w:val="-"/>
      <w:lvlJc w:val="left"/>
      <w:pPr>
        <w:ind w:left="720" w:hanging="360"/>
      </w:pPr>
      <w:rPr>
        <w:rFonts w:ascii="Times New Roman" w:eastAsia="Times New Roman" w:hAnsi="Times New Roman"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 w15:restartNumberingAfterBreak="0">
    <w:nsid w:val="28E76E4D"/>
    <w:multiLevelType w:val="hybridMultilevel"/>
    <w:tmpl w:val="D19E0F86"/>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 w15:restartNumberingAfterBreak="0">
    <w:nsid w:val="2B632865"/>
    <w:multiLevelType w:val="hybridMultilevel"/>
    <w:tmpl w:val="4E34B72E"/>
    <w:lvl w:ilvl="0" w:tplc="2488C3F6">
      <w:numFmt w:val="bullet"/>
      <w:lvlText w:val="-"/>
      <w:lvlJc w:val="left"/>
      <w:pPr>
        <w:ind w:left="1070" w:hanging="360"/>
      </w:pPr>
      <w:rPr>
        <w:rFonts w:ascii="Garamond" w:eastAsiaTheme="minorEastAsia" w:hAnsi="Garamond" w:cstheme="minorBid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 w15:restartNumberingAfterBreak="0">
    <w:nsid w:val="336C7AB6"/>
    <w:multiLevelType w:val="hybridMultilevel"/>
    <w:tmpl w:val="CA9EB2F0"/>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4" w15:restartNumberingAfterBreak="0">
    <w:nsid w:val="40135376"/>
    <w:multiLevelType w:val="hybridMultilevel"/>
    <w:tmpl w:val="32984762"/>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5" w15:restartNumberingAfterBreak="0">
    <w:nsid w:val="4ACE7A78"/>
    <w:multiLevelType w:val="hybridMultilevel"/>
    <w:tmpl w:val="4E1257D4"/>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6" w15:restartNumberingAfterBreak="0">
    <w:nsid w:val="4D2248A8"/>
    <w:multiLevelType w:val="hybridMultilevel"/>
    <w:tmpl w:val="2B5A8EF6"/>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7" w15:restartNumberingAfterBreak="0">
    <w:nsid w:val="4E3F0134"/>
    <w:multiLevelType w:val="hybridMultilevel"/>
    <w:tmpl w:val="919C858E"/>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8" w15:restartNumberingAfterBreak="0">
    <w:nsid w:val="5C5F662B"/>
    <w:multiLevelType w:val="hybridMultilevel"/>
    <w:tmpl w:val="85604790"/>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9" w15:restartNumberingAfterBreak="0">
    <w:nsid w:val="63CC5C73"/>
    <w:multiLevelType w:val="hybridMultilevel"/>
    <w:tmpl w:val="2B3C2906"/>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0" w15:restartNumberingAfterBreak="0">
    <w:nsid w:val="7CF47203"/>
    <w:multiLevelType w:val="hybridMultilevel"/>
    <w:tmpl w:val="4B4E5B8E"/>
    <w:lvl w:ilvl="0" w:tplc="04130001">
      <w:start w:val="1"/>
      <w:numFmt w:val="bullet"/>
      <w:lvlText w:val=""/>
      <w:lvlJc w:val="left"/>
      <w:pPr>
        <w:ind w:left="720" w:hanging="360"/>
      </w:pPr>
      <w:rPr>
        <w:rFonts w:ascii="Symbol" w:hAnsi="Symbol" w:hint="default"/>
      </w:rPr>
    </w:lvl>
    <w:lvl w:ilvl="1" w:tplc="04130003">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num w:numId="1">
    <w:abstractNumId w:val="10"/>
  </w:num>
  <w:num w:numId="2">
    <w:abstractNumId w:val="8"/>
  </w:num>
  <w:num w:numId="3">
    <w:abstractNumId w:val="4"/>
  </w:num>
  <w:num w:numId="4">
    <w:abstractNumId w:val="2"/>
  </w:num>
  <w:num w:numId="5">
    <w:abstractNumId w:val="1"/>
  </w:num>
  <w:num w:numId="6">
    <w:abstractNumId w:val="9"/>
  </w:num>
  <w:num w:numId="7">
    <w:abstractNumId w:val="3"/>
  </w:num>
  <w:num w:numId="8">
    <w:abstractNumId w:val="7"/>
  </w:num>
  <w:num w:numId="9">
    <w:abstractNumId w:val="6"/>
  </w:num>
  <w:num w:numId="10">
    <w:abstractNumId w:val="5"/>
  </w:num>
  <w:num w:numId="1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66"/>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53B94"/>
    <w:rsid w:val="000046B8"/>
    <w:rsid w:val="000061EA"/>
    <w:rsid w:val="00006979"/>
    <w:rsid w:val="000227AE"/>
    <w:rsid w:val="00022E48"/>
    <w:rsid w:val="000240CE"/>
    <w:rsid w:val="00024A8E"/>
    <w:rsid w:val="00030889"/>
    <w:rsid w:val="000347F4"/>
    <w:rsid w:val="0003498E"/>
    <w:rsid w:val="00054CCB"/>
    <w:rsid w:val="00056558"/>
    <w:rsid w:val="0006112D"/>
    <w:rsid w:val="00064678"/>
    <w:rsid w:val="000652FE"/>
    <w:rsid w:val="00076372"/>
    <w:rsid w:val="000809FA"/>
    <w:rsid w:val="000822F1"/>
    <w:rsid w:val="00087D26"/>
    <w:rsid w:val="0009037B"/>
    <w:rsid w:val="00092A99"/>
    <w:rsid w:val="00097160"/>
    <w:rsid w:val="000A6345"/>
    <w:rsid w:val="000A7769"/>
    <w:rsid w:val="000A77E7"/>
    <w:rsid w:val="000B2013"/>
    <w:rsid w:val="000B2C4D"/>
    <w:rsid w:val="000B2C9D"/>
    <w:rsid w:val="000B66AE"/>
    <w:rsid w:val="000C68EE"/>
    <w:rsid w:val="000C7AE5"/>
    <w:rsid w:val="000E0627"/>
    <w:rsid w:val="000E24DF"/>
    <w:rsid w:val="000E2CED"/>
    <w:rsid w:val="000E3193"/>
    <w:rsid w:val="000E33C4"/>
    <w:rsid w:val="000E378A"/>
    <w:rsid w:val="000E39AC"/>
    <w:rsid w:val="000E3D39"/>
    <w:rsid w:val="000E42F9"/>
    <w:rsid w:val="000E6005"/>
    <w:rsid w:val="000E7A51"/>
    <w:rsid w:val="000F230B"/>
    <w:rsid w:val="000F2A7A"/>
    <w:rsid w:val="000F30CC"/>
    <w:rsid w:val="000F5FD2"/>
    <w:rsid w:val="000F6C9A"/>
    <w:rsid w:val="00101CC8"/>
    <w:rsid w:val="001145C6"/>
    <w:rsid w:val="00116FE4"/>
    <w:rsid w:val="001271E7"/>
    <w:rsid w:val="00131E92"/>
    <w:rsid w:val="001326F5"/>
    <w:rsid w:val="00133C47"/>
    <w:rsid w:val="00134474"/>
    <w:rsid w:val="001356E0"/>
    <w:rsid w:val="001359F9"/>
    <w:rsid w:val="001362D6"/>
    <w:rsid w:val="00136EBD"/>
    <w:rsid w:val="001441F2"/>
    <w:rsid w:val="00144D9F"/>
    <w:rsid w:val="00145BE8"/>
    <w:rsid w:val="00162736"/>
    <w:rsid w:val="00170194"/>
    <w:rsid w:val="00173B80"/>
    <w:rsid w:val="00175711"/>
    <w:rsid w:val="00175FFE"/>
    <w:rsid w:val="00177254"/>
    <w:rsid w:val="00177887"/>
    <w:rsid w:val="0018545B"/>
    <w:rsid w:val="0019279A"/>
    <w:rsid w:val="0019693D"/>
    <w:rsid w:val="001A3ECC"/>
    <w:rsid w:val="001A5A61"/>
    <w:rsid w:val="001A5C83"/>
    <w:rsid w:val="001B20B9"/>
    <w:rsid w:val="001C0DB2"/>
    <w:rsid w:val="001C1CA6"/>
    <w:rsid w:val="001C2928"/>
    <w:rsid w:val="001C2FB0"/>
    <w:rsid w:val="001C67F5"/>
    <w:rsid w:val="001D053B"/>
    <w:rsid w:val="001D1868"/>
    <w:rsid w:val="001D3D60"/>
    <w:rsid w:val="001D4014"/>
    <w:rsid w:val="001D521D"/>
    <w:rsid w:val="001E4475"/>
    <w:rsid w:val="001E7C23"/>
    <w:rsid w:val="001F2CB9"/>
    <w:rsid w:val="001F2EFA"/>
    <w:rsid w:val="001F73CE"/>
    <w:rsid w:val="00200649"/>
    <w:rsid w:val="002030E5"/>
    <w:rsid w:val="00212B0F"/>
    <w:rsid w:val="00215466"/>
    <w:rsid w:val="0022108A"/>
    <w:rsid w:val="0023377C"/>
    <w:rsid w:val="00235865"/>
    <w:rsid w:val="00236D67"/>
    <w:rsid w:val="002378CF"/>
    <w:rsid w:val="002411FB"/>
    <w:rsid w:val="00243B84"/>
    <w:rsid w:val="00244106"/>
    <w:rsid w:val="00252BDA"/>
    <w:rsid w:val="00252EF6"/>
    <w:rsid w:val="00253AE1"/>
    <w:rsid w:val="00253B94"/>
    <w:rsid w:val="00253F36"/>
    <w:rsid w:val="00260107"/>
    <w:rsid w:val="0026010E"/>
    <w:rsid w:val="002604E0"/>
    <w:rsid w:val="00261A8D"/>
    <w:rsid w:val="00273D51"/>
    <w:rsid w:val="0027467F"/>
    <w:rsid w:val="00276A88"/>
    <w:rsid w:val="002770D7"/>
    <w:rsid w:val="0028403B"/>
    <w:rsid w:val="00294BEA"/>
    <w:rsid w:val="00296173"/>
    <w:rsid w:val="00297074"/>
    <w:rsid w:val="00297C6C"/>
    <w:rsid w:val="002A63C0"/>
    <w:rsid w:val="002B0741"/>
    <w:rsid w:val="002B13C4"/>
    <w:rsid w:val="002B4BBC"/>
    <w:rsid w:val="002B7A18"/>
    <w:rsid w:val="002C112F"/>
    <w:rsid w:val="002C2BE9"/>
    <w:rsid w:val="002D221E"/>
    <w:rsid w:val="002D4081"/>
    <w:rsid w:val="002D5579"/>
    <w:rsid w:val="002D6EB7"/>
    <w:rsid w:val="002E17A8"/>
    <w:rsid w:val="002E5748"/>
    <w:rsid w:val="002F1379"/>
    <w:rsid w:val="002F633C"/>
    <w:rsid w:val="0030713F"/>
    <w:rsid w:val="00307BC9"/>
    <w:rsid w:val="00310003"/>
    <w:rsid w:val="0031424E"/>
    <w:rsid w:val="00315041"/>
    <w:rsid w:val="003308A7"/>
    <w:rsid w:val="00331E7B"/>
    <w:rsid w:val="00336D1F"/>
    <w:rsid w:val="00350304"/>
    <w:rsid w:val="00356301"/>
    <w:rsid w:val="00363492"/>
    <w:rsid w:val="003716E6"/>
    <w:rsid w:val="00371AD0"/>
    <w:rsid w:val="00383DA8"/>
    <w:rsid w:val="00390CA8"/>
    <w:rsid w:val="00391194"/>
    <w:rsid w:val="00396031"/>
    <w:rsid w:val="003A1B53"/>
    <w:rsid w:val="003A1D65"/>
    <w:rsid w:val="003A3A94"/>
    <w:rsid w:val="003B0D67"/>
    <w:rsid w:val="003B2C34"/>
    <w:rsid w:val="003B3E65"/>
    <w:rsid w:val="003C4A46"/>
    <w:rsid w:val="003D0571"/>
    <w:rsid w:val="003E1480"/>
    <w:rsid w:val="003E1BFF"/>
    <w:rsid w:val="003E246C"/>
    <w:rsid w:val="003E3A44"/>
    <w:rsid w:val="003E4A71"/>
    <w:rsid w:val="003F2546"/>
    <w:rsid w:val="003F6C7E"/>
    <w:rsid w:val="00401AA1"/>
    <w:rsid w:val="004038BE"/>
    <w:rsid w:val="00404BBE"/>
    <w:rsid w:val="00410E1D"/>
    <w:rsid w:val="00415286"/>
    <w:rsid w:val="00415E19"/>
    <w:rsid w:val="004219D2"/>
    <w:rsid w:val="00423476"/>
    <w:rsid w:val="004249C2"/>
    <w:rsid w:val="004265B1"/>
    <w:rsid w:val="00435AA0"/>
    <w:rsid w:val="00436DE4"/>
    <w:rsid w:val="0043785B"/>
    <w:rsid w:val="00443B02"/>
    <w:rsid w:val="00445776"/>
    <w:rsid w:val="004563BB"/>
    <w:rsid w:val="0046164E"/>
    <w:rsid w:val="00462C77"/>
    <w:rsid w:val="00463C6E"/>
    <w:rsid w:val="00464D2B"/>
    <w:rsid w:val="0046652A"/>
    <w:rsid w:val="00471274"/>
    <w:rsid w:val="00471705"/>
    <w:rsid w:val="00471956"/>
    <w:rsid w:val="00475B00"/>
    <w:rsid w:val="00475EAF"/>
    <w:rsid w:val="004815AA"/>
    <w:rsid w:val="00483423"/>
    <w:rsid w:val="00484B70"/>
    <w:rsid w:val="004909B8"/>
    <w:rsid w:val="0049533D"/>
    <w:rsid w:val="00496604"/>
    <w:rsid w:val="00496C27"/>
    <w:rsid w:val="00497E4A"/>
    <w:rsid w:val="004A0007"/>
    <w:rsid w:val="004A10E6"/>
    <w:rsid w:val="004A1170"/>
    <w:rsid w:val="004A40E4"/>
    <w:rsid w:val="004A503D"/>
    <w:rsid w:val="004A56C5"/>
    <w:rsid w:val="004B5664"/>
    <w:rsid w:val="004C0F39"/>
    <w:rsid w:val="004C3D43"/>
    <w:rsid w:val="004C6899"/>
    <w:rsid w:val="004D4BFA"/>
    <w:rsid w:val="004E1D02"/>
    <w:rsid w:val="004E5688"/>
    <w:rsid w:val="004E5EDB"/>
    <w:rsid w:val="004E7573"/>
    <w:rsid w:val="004F43D8"/>
    <w:rsid w:val="004F64F9"/>
    <w:rsid w:val="0050686F"/>
    <w:rsid w:val="005076BD"/>
    <w:rsid w:val="00507A2B"/>
    <w:rsid w:val="0051187F"/>
    <w:rsid w:val="00513179"/>
    <w:rsid w:val="00514A39"/>
    <w:rsid w:val="00517307"/>
    <w:rsid w:val="005200C0"/>
    <w:rsid w:val="0052314C"/>
    <w:rsid w:val="005271FC"/>
    <w:rsid w:val="005362B4"/>
    <w:rsid w:val="005374F5"/>
    <w:rsid w:val="00540A7B"/>
    <w:rsid w:val="00542951"/>
    <w:rsid w:val="00543B55"/>
    <w:rsid w:val="00544A04"/>
    <w:rsid w:val="005452D6"/>
    <w:rsid w:val="00547773"/>
    <w:rsid w:val="00555D0A"/>
    <w:rsid w:val="0055605F"/>
    <w:rsid w:val="00561C49"/>
    <w:rsid w:val="00563215"/>
    <w:rsid w:val="005649D8"/>
    <w:rsid w:val="00566BBA"/>
    <w:rsid w:val="00572243"/>
    <w:rsid w:val="00572CA7"/>
    <w:rsid w:val="00575A6E"/>
    <w:rsid w:val="00577D77"/>
    <w:rsid w:val="00582E3E"/>
    <w:rsid w:val="00592887"/>
    <w:rsid w:val="00594280"/>
    <w:rsid w:val="005A0052"/>
    <w:rsid w:val="005A2DD0"/>
    <w:rsid w:val="005A31C8"/>
    <w:rsid w:val="005A4744"/>
    <w:rsid w:val="005A575C"/>
    <w:rsid w:val="005A5BB4"/>
    <w:rsid w:val="005B3AD6"/>
    <w:rsid w:val="005B466C"/>
    <w:rsid w:val="005C07A5"/>
    <w:rsid w:val="005C4A5D"/>
    <w:rsid w:val="005C649C"/>
    <w:rsid w:val="005C7FB3"/>
    <w:rsid w:val="005D1A69"/>
    <w:rsid w:val="005D2694"/>
    <w:rsid w:val="005D2CFF"/>
    <w:rsid w:val="005D53AB"/>
    <w:rsid w:val="005D6E42"/>
    <w:rsid w:val="005E1CFA"/>
    <w:rsid w:val="005E57EE"/>
    <w:rsid w:val="005E5D6C"/>
    <w:rsid w:val="005F2895"/>
    <w:rsid w:val="005F47A7"/>
    <w:rsid w:val="00602F97"/>
    <w:rsid w:val="00605410"/>
    <w:rsid w:val="006064FF"/>
    <w:rsid w:val="00611BA2"/>
    <w:rsid w:val="0061244E"/>
    <w:rsid w:val="00617AC8"/>
    <w:rsid w:val="00620093"/>
    <w:rsid w:val="006216C0"/>
    <w:rsid w:val="006263D5"/>
    <w:rsid w:val="00630B9E"/>
    <w:rsid w:val="006348BD"/>
    <w:rsid w:val="006434DC"/>
    <w:rsid w:val="0065272D"/>
    <w:rsid w:val="00670052"/>
    <w:rsid w:val="00673BA5"/>
    <w:rsid w:val="00681043"/>
    <w:rsid w:val="00681120"/>
    <w:rsid w:val="00681270"/>
    <w:rsid w:val="00682D6B"/>
    <w:rsid w:val="00684D41"/>
    <w:rsid w:val="00687C79"/>
    <w:rsid w:val="0069246C"/>
    <w:rsid w:val="00693D69"/>
    <w:rsid w:val="00695FC0"/>
    <w:rsid w:val="006A1D6F"/>
    <w:rsid w:val="006A3ADD"/>
    <w:rsid w:val="006A4008"/>
    <w:rsid w:val="006B30EF"/>
    <w:rsid w:val="006B33A7"/>
    <w:rsid w:val="006B4269"/>
    <w:rsid w:val="006B4882"/>
    <w:rsid w:val="006B5410"/>
    <w:rsid w:val="006D70B6"/>
    <w:rsid w:val="006E2B38"/>
    <w:rsid w:val="006E3A4C"/>
    <w:rsid w:val="006E3E98"/>
    <w:rsid w:val="006E5E3F"/>
    <w:rsid w:val="006F5923"/>
    <w:rsid w:val="006F6A58"/>
    <w:rsid w:val="006F76F7"/>
    <w:rsid w:val="007012C2"/>
    <w:rsid w:val="0070551D"/>
    <w:rsid w:val="007116D6"/>
    <w:rsid w:val="00711C49"/>
    <w:rsid w:val="007204A4"/>
    <w:rsid w:val="00722539"/>
    <w:rsid w:val="00726927"/>
    <w:rsid w:val="00732858"/>
    <w:rsid w:val="00735426"/>
    <w:rsid w:val="00735EC9"/>
    <w:rsid w:val="00742B83"/>
    <w:rsid w:val="00744868"/>
    <w:rsid w:val="00745ECA"/>
    <w:rsid w:val="00745EEE"/>
    <w:rsid w:val="00750965"/>
    <w:rsid w:val="00754F4F"/>
    <w:rsid w:val="00755757"/>
    <w:rsid w:val="00760F35"/>
    <w:rsid w:val="00760F51"/>
    <w:rsid w:val="00763FB1"/>
    <w:rsid w:val="00766551"/>
    <w:rsid w:val="00767BE3"/>
    <w:rsid w:val="00770005"/>
    <w:rsid w:val="00772E76"/>
    <w:rsid w:val="00774F68"/>
    <w:rsid w:val="00781337"/>
    <w:rsid w:val="00782814"/>
    <w:rsid w:val="00792B20"/>
    <w:rsid w:val="00795D5A"/>
    <w:rsid w:val="007A0260"/>
    <w:rsid w:val="007A1715"/>
    <w:rsid w:val="007A4E9A"/>
    <w:rsid w:val="007A6EDE"/>
    <w:rsid w:val="007B1C75"/>
    <w:rsid w:val="007B62A9"/>
    <w:rsid w:val="007C07F6"/>
    <w:rsid w:val="007C1D01"/>
    <w:rsid w:val="007C329E"/>
    <w:rsid w:val="007C4EA0"/>
    <w:rsid w:val="007C56D0"/>
    <w:rsid w:val="007D4F29"/>
    <w:rsid w:val="007D5ED1"/>
    <w:rsid w:val="007D7884"/>
    <w:rsid w:val="007E2CDC"/>
    <w:rsid w:val="007E62B8"/>
    <w:rsid w:val="007F0CB3"/>
    <w:rsid w:val="007F1B07"/>
    <w:rsid w:val="007F78F6"/>
    <w:rsid w:val="00800E72"/>
    <w:rsid w:val="00801201"/>
    <w:rsid w:val="00806E31"/>
    <w:rsid w:val="00810F0F"/>
    <w:rsid w:val="00826DB4"/>
    <w:rsid w:val="00827DA0"/>
    <w:rsid w:val="00830832"/>
    <w:rsid w:val="00832B1F"/>
    <w:rsid w:val="00833BFE"/>
    <w:rsid w:val="00834054"/>
    <w:rsid w:val="00834602"/>
    <w:rsid w:val="00851704"/>
    <w:rsid w:val="008534B3"/>
    <w:rsid w:val="00855719"/>
    <w:rsid w:val="0085665D"/>
    <w:rsid w:val="0086069F"/>
    <w:rsid w:val="008763A9"/>
    <w:rsid w:val="008769B8"/>
    <w:rsid w:val="00884537"/>
    <w:rsid w:val="008852A5"/>
    <w:rsid w:val="00890A3A"/>
    <w:rsid w:val="00894A5F"/>
    <w:rsid w:val="008A1E25"/>
    <w:rsid w:val="008A3BB5"/>
    <w:rsid w:val="008A66CB"/>
    <w:rsid w:val="008A7919"/>
    <w:rsid w:val="008B1E32"/>
    <w:rsid w:val="008B4C0D"/>
    <w:rsid w:val="008B7887"/>
    <w:rsid w:val="008B7C45"/>
    <w:rsid w:val="008C0763"/>
    <w:rsid w:val="008C2A1A"/>
    <w:rsid w:val="008D1A97"/>
    <w:rsid w:val="008E03AF"/>
    <w:rsid w:val="008E3AC2"/>
    <w:rsid w:val="008E580C"/>
    <w:rsid w:val="008E66F2"/>
    <w:rsid w:val="008E69CA"/>
    <w:rsid w:val="008F0D86"/>
    <w:rsid w:val="008F4A5C"/>
    <w:rsid w:val="0090470C"/>
    <w:rsid w:val="00911DFD"/>
    <w:rsid w:val="00913E8F"/>
    <w:rsid w:val="009241CD"/>
    <w:rsid w:val="00927865"/>
    <w:rsid w:val="00927D0B"/>
    <w:rsid w:val="00932E9E"/>
    <w:rsid w:val="009339EC"/>
    <w:rsid w:val="00935B7B"/>
    <w:rsid w:val="00940C45"/>
    <w:rsid w:val="009412C7"/>
    <w:rsid w:val="009454AA"/>
    <w:rsid w:val="00951B95"/>
    <w:rsid w:val="00951CFF"/>
    <w:rsid w:val="00955ED9"/>
    <w:rsid w:val="00956E30"/>
    <w:rsid w:val="00957B35"/>
    <w:rsid w:val="00962817"/>
    <w:rsid w:val="00962F10"/>
    <w:rsid w:val="00970A32"/>
    <w:rsid w:val="00971DAC"/>
    <w:rsid w:val="009800F2"/>
    <w:rsid w:val="00990A42"/>
    <w:rsid w:val="00992088"/>
    <w:rsid w:val="00993917"/>
    <w:rsid w:val="00993A13"/>
    <w:rsid w:val="00996EFB"/>
    <w:rsid w:val="009A0C65"/>
    <w:rsid w:val="009A27DD"/>
    <w:rsid w:val="009A2B54"/>
    <w:rsid w:val="009A70A0"/>
    <w:rsid w:val="009B1FC5"/>
    <w:rsid w:val="009B2CF2"/>
    <w:rsid w:val="009B30C7"/>
    <w:rsid w:val="009C2357"/>
    <w:rsid w:val="009C23AC"/>
    <w:rsid w:val="009C23B3"/>
    <w:rsid w:val="009C7DD4"/>
    <w:rsid w:val="009D0814"/>
    <w:rsid w:val="009D1654"/>
    <w:rsid w:val="009D2C10"/>
    <w:rsid w:val="009D3525"/>
    <w:rsid w:val="009F2C6B"/>
    <w:rsid w:val="009F54FD"/>
    <w:rsid w:val="009F5888"/>
    <w:rsid w:val="009F7116"/>
    <w:rsid w:val="00A02329"/>
    <w:rsid w:val="00A03278"/>
    <w:rsid w:val="00A0416A"/>
    <w:rsid w:val="00A046B3"/>
    <w:rsid w:val="00A049AC"/>
    <w:rsid w:val="00A067E4"/>
    <w:rsid w:val="00A11D7A"/>
    <w:rsid w:val="00A13242"/>
    <w:rsid w:val="00A20F86"/>
    <w:rsid w:val="00A24670"/>
    <w:rsid w:val="00A27995"/>
    <w:rsid w:val="00A31E12"/>
    <w:rsid w:val="00A40FB1"/>
    <w:rsid w:val="00A42237"/>
    <w:rsid w:val="00A46AAB"/>
    <w:rsid w:val="00A50527"/>
    <w:rsid w:val="00A50C7B"/>
    <w:rsid w:val="00A6637C"/>
    <w:rsid w:val="00A73E17"/>
    <w:rsid w:val="00A74F26"/>
    <w:rsid w:val="00A764F5"/>
    <w:rsid w:val="00A80DBF"/>
    <w:rsid w:val="00A80F96"/>
    <w:rsid w:val="00A811A2"/>
    <w:rsid w:val="00A82CF7"/>
    <w:rsid w:val="00A84A23"/>
    <w:rsid w:val="00A90F3F"/>
    <w:rsid w:val="00A95335"/>
    <w:rsid w:val="00AA6472"/>
    <w:rsid w:val="00AA6D0A"/>
    <w:rsid w:val="00AA7C01"/>
    <w:rsid w:val="00AB0A39"/>
    <w:rsid w:val="00AB1BCC"/>
    <w:rsid w:val="00AB45A4"/>
    <w:rsid w:val="00AB550B"/>
    <w:rsid w:val="00AB580D"/>
    <w:rsid w:val="00AD3396"/>
    <w:rsid w:val="00AD5133"/>
    <w:rsid w:val="00AD5627"/>
    <w:rsid w:val="00AD6C72"/>
    <w:rsid w:val="00AE32BA"/>
    <w:rsid w:val="00AF223A"/>
    <w:rsid w:val="00AF5341"/>
    <w:rsid w:val="00AF58FF"/>
    <w:rsid w:val="00B02996"/>
    <w:rsid w:val="00B042D8"/>
    <w:rsid w:val="00B10D6F"/>
    <w:rsid w:val="00B11570"/>
    <w:rsid w:val="00B14C76"/>
    <w:rsid w:val="00B21C2C"/>
    <w:rsid w:val="00B21E19"/>
    <w:rsid w:val="00B2284A"/>
    <w:rsid w:val="00B24409"/>
    <w:rsid w:val="00B31406"/>
    <w:rsid w:val="00B360C6"/>
    <w:rsid w:val="00B45E06"/>
    <w:rsid w:val="00B51CC1"/>
    <w:rsid w:val="00B52C31"/>
    <w:rsid w:val="00B533A6"/>
    <w:rsid w:val="00B65C19"/>
    <w:rsid w:val="00B7009C"/>
    <w:rsid w:val="00B710C2"/>
    <w:rsid w:val="00B71834"/>
    <w:rsid w:val="00B72B8F"/>
    <w:rsid w:val="00B76384"/>
    <w:rsid w:val="00B80835"/>
    <w:rsid w:val="00B832ED"/>
    <w:rsid w:val="00B93506"/>
    <w:rsid w:val="00B94180"/>
    <w:rsid w:val="00B94616"/>
    <w:rsid w:val="00B96E26"/>
    <w:rsid w:val="00B9727A"/>
    <w:rsid w:val="00BA11D0"/>
    <w:rsid w:val="00BB2711"/>
    <w:rsid w:val="00BB3198"/>
    <w:rsid w:val="00BB3220"/>
    <w:rsid w:val="00BB3A93"/>
    <w:rsid w:val="00BB3E28"/>
    <w:rsid w:val="00BC2ABA"/>
    <w:rsid w:val="00BD0265"/>
    <w:rsid w:val="00BD29E8"/>
    <w:rsid w:val="00BD2D84"/>
    <w:rsid w:val="00BD46F3"/>
    <w:rsid w:val="00BD7C29"/>
    <w:rsid w:val="00BE543B"/>
    <w:rsid w:val="00BE6841"/>
    <w:rsid w:val="00C00FE0"/>
    <w:rsid w:val="00C01851"/>
    <w:rsid w:val="00C026DB"/>
    <w:rsid w:val="00C05AF2"/>
    <w:rsid w:val="00C05E32"/>
    <w:rsid w:val="00C073E2"/>
    <w:rsid w:val="00C107AA"/>
    <w:rsid w:val="00C11080"/>
    <w:rsid w:val="00C23BEA"/>
    <w:rsid w:val="00C24F00"/>
    <w:rsid w:val="00C31F26"/>
    <w:rsid w:val="00C373A0"/>
    <w:rsid w:val="00C40A47"/>
    <w:rsid w:val="00C414A7"/>
    <w:rsid w:val="00C43344"/>
    <w:rsid w:val="00C44896"/>
    <w:rsid w:val="00C53124"/>
    <w:rsid w:val="00C536FC"/>
    <w:rsid w:val="00C56E94"/>
    <w:rsid w:val="00C6452A"/>
    <w:rsid w:val="00C65E05"/>
    <w:rsid w:val="00C71D03"/>
    <w:rsid w:val="00C75500"/>
    <w:rsid w:val="00C75801"/>
    <w:rsid w:val="00C7707D"/>
    <w:rsid w:val="00C821A2"/>
    <w:rsid w:val="00C86385"/>
    <w:rsid w:val="00C9554B"/>
    <w:rsid w:val="00C9717F"/>
    <w:rsid w:val="00CA16A8"/>
    <w:rsid w:val="00CA52C7"/>
    <w:rsid w:val="00CB26CB"/>
    <w:rsid w:val="00CB486F"/>
    <w:rsid w:val="00CB524E"/>
    <w:rsid w:val="00CB5778"/>
    <w:rsid w:val="00CB5C09"/>
    <w:rsid w:val="00CB6C1C"/>
    <w:rsid w:val="00CB6F21"/>
    <w:rsid w:val="00CC16A7"/>
    <w:rsid w:val="00CC2686"/>
    <w:rsid w:val="00CC759A"/>
    <w:rsid w:val="00CD30E9"/>
    <w:rsid w:val="00CD4A84"/>
    <w:rsid w:val="00CD58BF"/>
    <w:rsid w:val="00CD5EA8"/>
    <w:rsid w:val="00CD6617"/>
    <w:rsid w:val="00CE256F"/>
    <w:rsid w:val="00CE5412"/>
    <w:rsid w:val="00CE60DE"/>
    <w:rsid w:val="00CE67A2"/>
    <w:rsid w:val="00CF59CC"/>
    <w:rsid w:val="00CF5F08"/>
    <w:rsid w:val="00D012B8"/>
    <w:rsid w:val="00D02911"/>
    <w:rsid w:val="00D03261"/>
    <w:rsid w:val="00D07119"/>
    <w:rsid w:val="00D12BC3"/>
    <w:rsid w:val="00D1416F"/>
    <w:rsid w:val="00D159D0"/>
    <w:rsid w:val="00D16440"/>
    <w:rsid w:val="00D17C66"/>
    <w:rsid w:val="00D2527D"/>
    <w:rsid w:val="00D2655C"/>
    <w:rsid w:val="00D3105D"/>
    <w:rsid w:val="00D317D8"/>
    <w:rsid w:val="00D31CAF"/>
    <w:rsid w:val="00D32318"/>
    <w:rsid w:val="00D32AD1"/>
    <w:rsid w:val="00D42499"/>
    <w:rsid w:val="00D50268"/>
    <w:rsid w:val="00D51458"/>
    <w:rsid w:val="00D524B4"/>
    <w:rsid w:val="00D52A0A"/>
    <w:rsid w:val="00D539A7"/>
    <w:rsid w:val="00D66BC7"/>
    <w:rsid w:val="00D701F9"/>
    <w:rsid w:val="00D70B30"/>
    <w:rsid w:val="00D87AC1"/>
    <w:rsid w:val="00DA4459"/>
    <w:rsid w:val="00DA561D"/>
    <w:rsid w:val="00DB1C77"/>
    <w:rsid w:val="00DB4B05"/>
    <w:rsid w:val="00DB7F39"/>
    <w:rsid w:val="00DC0E2A"/>
    <w:rsid w:val="00DC390D"/>
    <w:rsid w:val="00DC5454"/>
    <w:rsid w:val="00DC5EF8"/>
    <w:rsid w:val="00DC6BF0"/>
    <w:rsid w:val="00DD0BA4"/>
    <w:rsid w:val="00DE4C66"/>
    <w:rsid w:val="00DE5C42"/>
    <w:rsid w:val="00DF0E86"/>
    <w:rsid w:val="00DF1A35"/>
    <w:rsid w:val="00DF1BBA"/>
    <w:rsid w:val="00DF4594"/>
    <w:rsid w:val="00E006DF"/>
    <w:rsid w:val="00E0457D"/>
    <w:rsid w:val="00E14B1D"/>
    <w:rsid w:val="00E15697"/>
    <w:rsid w:val="00E2765F"/>
    <w:rsid w:val="00E374BA"/>
    <w:rsid w:val="00E41F18"/>
    <w:rsid w:val="00E45212"/>
    <w:rsid w:val="00E47898"/>
    <w:rsid w:val="00E51BA4"/>
    <w:rsid w:val="00E60C1A"/>
    <w:rsid w:val="00E64228"/>
    <w:rsid w:val="00E65B8C"/>
    <w:rsid w:val="00E65CD1"/>
    <w:rsid w:val="00E67785"/>
    <w:rsid w:val="00E67C8F"/>
    <w:rsid w:val="00E737E0"/>
    <w:rsid w:val="00E82587"/>
    <w:rsid w:val="00E84D77"/>
    <w:rsid w:val="00E85EDA"/>
    <w:rsid w:val="00E86AE4"/>
    <w:rsid w:val="00E91550"/>
    <w:rsid w:val="00E947E0"/>
    <w:rsid w:val="00E95781"/>
    <w:rsid w:val="00EA23A8"/>
    <w:rsid w:val="00EA2525"/>
    <w:rsid w:val="00EA2872"/>
    <w:rsid w:val="00EA4E1D"/>
    <w:rsid w:val="00EA7519"/>
    <w:rsid w:val="00EA7B00"/>
    <w:rsid w:val="00EB0610"/>
    <w:rsid w:val="00EB2A14"/>
    <w:rsid w:val="00EB2DFB"/>
    <w:rsid w:val="00EB58CB"/>
    <w:rsid w:val="00EC06C9"/>
    <w:rsid w:val="00EC2D16"/>
    <w:rsid w:val="00EC544E"/>
    <w:rsid w:val="00EC7DE9"/>
    <w:rsid w:val="00ED0470"/>
    <w:rsid w:val="00ED3DAF"/>
    <w:rsid w:val="00EE0129"/>
    <w:rsid w:val="00EE34C6"/>
    <w:rsid w:val="00EE746C"/>
    <w:rsid w:val="00EF27E6"/>
    <w:rsid w:val="00EF47FD"/>
    <w:rsid w:val="00EF71A3"/>
    <w:rsid w:val="00F019B4"/>
    <w:rsid w:val="00F028F5"/>
    <w:rsid w:val="00F0716B"/>
    <w:rsid w:val="00F10F4D"/>
    <w:rsid w:val="00F224C9"/>
    <w:rsid w:val="00F22C76"/>
    <w:rsid w:val="00F2763D"/>
    <w:rsid w:val="00F306D2"/>
    <w:rsid w:val="00F32C7B"/>
    <w:rsid w:val="00F44552"/>
    <w:rsid w:val="00F45B1E"/>
    <w:rsid w:val="00F51E9A"/>
    <w:rsid w:val="00F5334A"/>
    <w:rsid w:val="00F55BAF"/>
    <w:rsid w:val="00F5712D"/>
    <w:rsid w:val="00F578F2"/>
    <w:rsid w:val="00F60A47"/>
    <w:rsid w:val="00F70B9F"/>
    <w:rsid w:val="00F72572"/>
    <w:rsid w:val="00F75CC2"/>
    <w:rsid w:val="00F77693"/>
    <w:rsid w:val="00F85DC6"/>
    <w:rsid w:val="00F9514F"/>
    <w:rsid w:val="00F97F28"/>
    <w:rsid w:val="00FA7D21"/>
    <w:rsid w:val="00FB44A0"/>
    <w:rsid w:val="00FC3DAD"/>
    <w:rsid w:val="00FC5A62"/>
    <w:rsid w:val="00FD348B"/>
    <w:rsid w:val="00FD4916"/>
    <w:rsid w:val="00FE09E7"/>
    <w:rsid w:val="00FE4E9B"/>
    <w:rsid w:val="00FE760F"/>
    <w:rsid w:val="00FF0420"/>
    <w:rsid w:val="00FF6311"/>
    <w:rsid w:val="00FF7A6E"/>
  </w:rsids>
  <m:mathPr>
    <m:mathFont m:val="Cambria Math"/>
    <m:brkBin m:val="before"/>
    <m:brkBinSub m:val="--"/>
    <m:smallFrac m:val="0"/>
    <m:dispDef/>
    <m:lMargin m:val="0"/>
    <m:rMargin m:val="0"/>
    <m:defJc m:val="centerGroup"/>
    <m:wrapIndent m:val="1440"/>
    <m:intLim m:val="subSup"/>
    <m:naryLim m:val="undOvr"/>
  </m:mathPr>
  <w:themeFontLang w:val="nl-NL"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E542679"/>
  <w14:defaultImageDpi w14:val="32767"/>
  <w15:chartTrackingRefBased/>
  <w15:docId w15:val="{F779D866-4FCD-3442-85CB-F38FF7EBDDB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4"/>
        <w:szCs w:val="24"/>
        <w:lang w:val="nl-NL" w:eastAsia="en-US"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Standaard">
    <w:name w:val="Normal"/>
    <w:qFormat/>
  </w:style>
  <w:style w:type="paragraph" w:styleId="Kop1">
    <w:name w:val="heading 1"/>
    <w:basedOn w:val="Standaard"/>
    <w:next w:val="Standaard"/>
    <w:link w:val="Kop1Char"/>
    <w:uiPriority w:val="9"/>
    <w:qFormat/>
    <w:rsid w:val="00B9727A"/>
    <w:pPr>
      <w:keepNext/>
      <w:keepLines/>
      <w:spacing w:before="240"/>
      <w:outlineLvl w:val="0"/>
    </w:pPr>
    <w:rPr>
      <w:rFonts w:asciiTheme="majorHAnsi" w:eastAsiaTheme="majorEastAsia" w:hAnsiTheme="majorHAnsi" w:cstheme="majorBidi"/>
      <w:color w:val="2F5496" w:themeColor="accent1" w:themeShade="BF"/>
      <w:sz w:val="32"/>
      <w:szCs w:val="32"/>
    </w:rPr>
  </w:style>
  <w:style w:type="paragraph" w:styleId="Kop2">
    <w:name w:val="heading 2"/>
    <w:basedOn w:val="Standaard"/>
    <w:next w:val="Standaard"/>
    <w:link w:val="Kop2Char"/>
    <w:uiPriority w:val="9"/>
    <w:unhideWhenUsed/>
    <w:qFormat/>
    <w:rsid w:val="007C4EA0"/>
    <w:pPr>
      <w:keepNext/>
      <w:keepLines/>
      <w:spacing w:before="40"/>
      <w:outlineLvl w:val="1"/>
    </w:pPr>
    <w:rPr>
      <w:rFonts w:asciiTheme="majorHAnsi" w:eastAsiaTheme="majorEastAsia" w:hAnsiTheme="majorHAnsi" w:cstheme="majorBidi"/>
      <w:color w:val="2F5496" w:themeColor="accent1" w:themeShade="BF"/>
      <w:sz w:val="26"/>
      <w:szCs w:val="26"/>
    </w:rPr>
  </w:style>
  <w:style w:type="paragraph" w:styleId="Kop3">
    <w:name w:val="heading 3"/>
    <w:basedOn w:val="Standaard"/>
    <w:next w:val="Standaard"/>
    <w:link w:val="Kop3Char"/>
    <w:uiPriority w:val="9"/>
    <w:semiHidden/>
    <w:unhideWhenUsed/>
    <w:qFormat/>
    <w:rsid w:val="007C4EA0"/>
    <w:pPr>
      <w:keepNext/>
      <w:keepLines/>
      <w:spacing w:before="40"/>
      <w:outlineLvl w:val="2"/>
    </w:pPr>
    <w:rPr>
      <w:rFonts w:asciiTheme="majorHAnsi" w:eastAsiaTheme="majorEastAsia" w:hAnsiTheme="majorHAnsi" w:cstheme="majorBidi"/>
      <w:color w:val="1F3763" w:themeColor="accent1" w:themeShade="7F"/>
    </w:r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paragraph" w:styleId="Normaalweb">
    <w:name w:val="Normal (Web)"/>
    <w:basedOn w:val="Standaard"/>
    <w:uiPriority w:val="99"/>
    <w:unhideWhenUsed/>
    <w:rsid w:val="00670052"/>
    <w:pPr>
      <w:spacing w:before="100" w:beforeAutospacing="1" w:after="100" w:afterAutospacing="1"/>
    </w:pPr>
    <w:rPr>
      <w:rFonts w:ascii="Times New Roman" w:eastAsia="Times New Roman" w:hAnsi="Times New Roman" w:cs="Times New Roman"/>
      <w:lang w:val="nl-BE" w:eastAsia="nl-NL"/>
    </w:rPr>
  </w:style>
  <w:style w:type="paragraph" w:styleId="Titel">
    <w:name w:val="Title"/>
    <w:basedOn w:val="Standaard"/>
    <w:next w:val="Standaard"/>
    <w:link w:val="TitelChar"/>
    <w:uiPriority w:val="10"/>
    <w:qFormat/>
    <w:rsid w:val="00B9727A"/>
    <w:pPr>
      <w:contextualSpacing/>
    </w:pPr>
    <w:rPr>
      <w:rFonts w:asciiTheme="majorHAnsi" w:eastAsiaTheme="majorEastAsia" w:hAnsiTheme="majorHAnsi" w:cstheme="majorBidi"/>
      <w:spacing w:val="-10"/>
      <w:kern w:val="28"/>
      <w:sz w:val="56"/>
      <w:szCs w:val="56"/>
    </w:rPr>
  </w:style>
  <w:style w:type="character" w:customStyle="1" w:styleId="TitelChar">
    <w:name w:val="Titel Char"/>
    <w:basedOn w:val="Standaardalinea-lettertype"/>
    <w:link w:val="Titel"/>
    <w:uiPriority w:val="10"/>
    <w:rsid w:val="00B9727A"/>
    <w:rPr>
      <w:rFonts w:asciiTheme="majorHAnsi" w:eastAsiaTheme="majorEastAsia" w:hAnsiTheme="majorHAnsi" w:cstheme="majorBidi"/>
      <w:spacing w:val="-10"/>
      <w:kern w:val="28"/>
      <w:sz w:val="56"/>
      <w:szCs w:val="56"/>
    </w:rPr>
  </w:style>
  <w:style w:type="character" w:customStyle="1" w:styleId="Kop1Char">
    <w:name w:val="Kop 1 Char"/>
    <w:basedOn w:val="Standaardalinea-lettertype"/>
    <w:link w:val="Kop1"/>
    <w:uiPriority w:val="9"/>
    <w:rsid w:val="00B9727A"/>
    <w:rPr>
      <w:rFonts w:asciiTheme="majorHAnsi" w:eastAsiaTheme="majorEastAsia" w:hAnsiTheme="majorHAnsi" w:cstheme="majorBidi"/>
      <w:color w:val="2F5496" w:themeColor="accent1" w:themeShade="BF"/>
      <w:sz w:val="32"/>
      <w:szCs w:val="32"/>
    </w:rPr>
  </w:style>
  <w:style w:type="table" w:styleId="Tabelraster">
    <w:name w:val="Table Grid"/>
    <w:basedOn w:val="Standaardtabel"/>
    <w:uiPriority w:val="39"/>
    <w:rsid w:val="00745EE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ijschrift">
    <w:name w:val="caption"/>
    <w:basedOn w:val="Standaard"/>
    <w:next w:val="Standaard"/>
    <w:uiPriority w:val="35"/>
    <w:unhideWhenUsed/>
    <w:qFormat/>
    <w:rsid w:val="003308A7"/>
    <w:pPr>
      <w:spacing w:after="200"/>
    </w:pPr>
    <w:rPr>
      <w:i/>
      <w:iCs/>
      <w:color w:val="44546A" w:themeColor="text2"/>
      <w:sz w:val="18"/>
      <w:szCs w:val="18"/>
    </w:rPr>
  </w:style>
  <w:style w:type="character" w:customStyle="1" w:styleId="Kop2Char">
    <w:name w:val="Kop 2 Char"/>
    <w:basedOn w:val="Standaardalinea-lettertype"/>
    <w:link w:val="Kop2"/>
    <w:uiPriority w:val="9"/>
    <w:rsid w:val="007C4EA0"/>
    <w:rPr>
      <w:rFonts w:asciiTheme="majorHAnsi" w:eastAsiaTheme="majorEastAsia" w:hAnsiTheme="majorHAnsi" w:cstheme="majorBidi"/>
      <w:color w:val="2F5496" w:themeColor="accent1" w:themeShade="BF"/>
      <w:sz w:val="26"/>
      <w:szCs w:val="26"/>
    </w:rPr>
  </w:style>
  <w:style w:type="character" w:customStyle="1" w:styleId="Kop3Char">
    <w:name w:val="Kop 3 Char"/>
    <w:basedOn w:val="Standaardalinea-lettertype"/>
    <w:link w:val="Kop3"/>
    <w:uiPriority w:val="9"/>
    <w:semiHidden/>
    <w:rsid w:val="007C4EA0"/>
    <w:rPr>
      <w:rFonts w:asciiTheme="majorHAnsi" w:eastAsiaTheme="majorEastAsia" w:hAnsiTheme="majorHAnsi" w:cstheme="majorBidi"/>
      <w:color w:val="1F3763" w:themeColor="accent1" w:themeShade="7F"/>
    </w:rPr>
  </w:style>
  <w:style w:type="paragraph" w:styleId="Lijstalinea">
    <w:name w:val="List Paragraph"/>
    <w:basedOn w:val="Standaard"/>
    <w:uiPriority w:val="34"/>
    <w:qFormat/>
    <w:rsid w:val="007C4EA0"/>
    <w:pPr>
      <w:ind w:left="720"/>
      <w:contextualSpacing/>
    </w:pPr>
    <w:rPr>
      <w:rFonts w:ascii="Times New Roman" w:eastAsia="Times New Roman" w:hAnsi="Times New Roman" w:cs="Times New Roman"/>
      <w:lang w:val="fr-BE" w:eastAsia="zh-CN"/>
    </w:rPr>
  </w:style>
  <w:style w:type="paragraph" w:styleId="Geenafstand">
    <w:name w:val="No Spacing"/>
    <w:uiPriority w:val="1"/>
    <w:qFormat/>
    <w:rsid w:val="007C4EA0"/>
    <w:rPr>
      <w:rFonts w:ascii="Garamond" w:eastAsiaTheme="minorEastAsia" w:hAnsi="Garamond"/>
      <w:sz w:val="18"/>
      <w:szCs w:val="18"/>
      <w:lang w:val="fr-FR" w:eastAsia="zh-CN"/>
    </w:rPr>
  </w:style>
  <w:style w:type="character" w:styleId="Hyperlink">
    <w:name w:val="Hyperlink"/>
    <w:basedOn w:val="Standaardalinea-lettertype"/>
    <w:uiPriority w:val="99"/>
    <w:unhideWhenUsed/>
    <w:rsid w:val="007C4EA0"/>
    <w:rPr>
      <w:color w:val="0563C1" w:themeColor="hyperlink"/>
      <w:u w:val="single"/>
    </w:rPr>
  </w:style>
  <w:style w:type="table" w:styleId="Rastertabel2">
    <w:name w:val="Grid Table 2"/>
    <w:basedOn w:val="Standaardtabel"/>
    <w:uiPriority w:val="47"/>
    <w:rsid w:val="007C4EA0"/>
    <w:rPr>
      <w:rFonts w:eastAsiaTheme="minorEastAsia"/>
      <w:lang w:val="fr-FR" w:eastAsia="zh-CN"/>
    </w:rPr>
    <w:tblPr>
      <w:tblStyleRowBandSize w:val="1"/>
      <w:tblStyleColBandSize w:val="1"/>
      <w:tblBorders>
        <w:top w:val="single" w:sz="2" w:space="0" w:color="666666" w:themeColor="text1" w:themeTint="99"/>
        <w:bottom w:val="single" w:sz="2" w:space="0" w:color="666666" w:themeColor="text1" w:themeTint="99"/>
        <w:insideH w:val="single" w:sz="2" w:space="0" w:color="666666" w:themeColor="text1" w:themeTint="99"/>
        <w:insideV w:val="single" w:sz="2" w:space="0" w:color="666666" w:themeColor="text1" w:themeTint="99"/>
      </w:tblBorders>
    </w:tblPr>
    <w:tblStylePr w:type="firstRow">
      <w:rPr>
        <w:b/>
        <w:bCs/>
      </w:rPr>
      <w:tblPr/>
      <w:tcPr>
        <w:tcBorders>
          <w:top w:val="nil"/>
          <w:bottom w:val="single" w:sz="12" w:space="0" w:color="666666" w:themeColor="text1" w:themeTint="99"/>
          <w:insideH w:val="nil"/>
          <w:insideV w:val="nil"/>
        </w:tcBorders>
        <w:shd w:val="clear" w:color="auto" w:fill="FFFFFF" w:themeFill="background1"/>
      </w:tcPr>
    </w:tblStylePr>
    <w:tblStylePr w:type="lastRow">
      <w:rPr>
        <w:b/>
        <w:bCs/>
      </w:rPr>
      <w:tblPr/>
      <w:tcPr>
        <w:tcBorders>
          <w:top w:val="double" w:sz="2" w:space="0" w:color="666666" w:themeColor="text1"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paragraph" w:styleId="Eindnoottekst">
    <w:name w:val="endnote text"/>
    <w:basedOn w:val="Standaard"/>
    <w:link w:val="EindnoottekstChar"/>
    <w:uiPriority w:val="99"/>
    <w:unhideWhenUsed/>
    <w:rsid w:val="007C4EA0"/>
    <w:rPr>
      <w:rFonts w:ascii="Times New Roman" w:eastAsia="Times New Roman" w:hAnsi="Times New Roman" w:cs="Times New Roman"/>
      <w:sz w:val="20"/>
      <w:szCs w:val="20"/>
      <w:lang w:val="fr-BE" w:eastAsia="zh-CN"/>
    </w:rPr>
  </w:style>
  <w:style w:type="character" w:customStyle="1" w:styleId="EindnoottekstChar">
    <w:name w:val="Eindnoottekst Char"/>
    <w:basedOn w:val="Standaardalinea-lettertype"/>
    <w:link w:val="Eindnoottekst"/>
    <w:uiPriority w:val="99"/>
    <w:rsid w:val="007C4EA0"/>
    <w:rPr>
      <w:rFonts w:ascii="Times New Roman" w:eastAsia="Times New Roman" w:hAnsi="Times New Roman" w:cs="Times New Roman"/>
      <w:sz w:val="20"/>
      <w:szCs w:val="20"/>
      <w:lang w:val="fr-BE" w:eastAsia="zh-CN"/>
    </w:rPr>
  </w:style>
  <w:style w:type="character" w:styleId="Eindnootmarkering">
    <w:name w:val="endnote reference"/>
    <w:basedOn w:val="Standaardalinea-lettertype"/>
    <w:uiPriority w:val="99"/>
    <w:unhideWhenUsed/>
    <w:rsid w:val="007C4EA0"/>
    <w:rPr>
      <w:vertAlign w:val="superscript"/>
    </w:rPr>
  </w:style>
  <w:style w:type="paragraph" w:styleId="Voettekst">
    <w:name w:val="footer"/>
    <w:basedOn w:val="Standaard"/>
    <w:link w:val="VoettekstChar"/>
    <w:uiPriority w:val="99"/>
    <w:unhideWhenUsed/>
    <w:rsid w:val="00711C49"/>
    <w:pPr>
      <w:tabs>
        <w:tab w:val="center" w:pos="4536"/>
        <w:tab w:val="right" w:pos="9072"/>
      </w:tabs>
    </w:pPr>
  </w:style>
  <w:style w:type="character" w:customStyle="1" w:styleId="VoettekstChar">
    <w:name w:val="Voettekst Char"/>
    <w:basedOn w:val="Standaardalinea-lettertype"/>
    <w:link w:val="Voettekst"/>
    <w:uiPriority w:val="99"/>
    <w:rsid w:val="00711C49"/>
  </w:style>
  <w:style w:type="character" w:styleId="Paginanummer">
    <w:name w:val="page number"/>
    <w:basedOn w:val="Standaardalinea-lettertype"/>
    <w:uiPriority w:val="99"/>
    <w:semiHidden/>
    <w:unhideWhenUsed/>
    <w:rsid w:val="00711C49"/>
  </w:style>
  <w:style w:type="character" w:styleId="Verwijzingopmerking">
    <w:name w:val="annotation reference"/>
    <w:basedOn w:val="Standaardalinea-lettertype"/>
    <w:uiPriority w:val="99"/>
    <w:semiHidden/>
    <w:unhideWhenUsed/>
    <w:rsid w:val="007C329E"/>
    <w:rPr>
      <w:sz w:val="16"/>
      <w:szCs w:val="16"/>
    </w:rPr>
  </w:style>
  <w:style w:type="paragraph" w:styleId="Tekstopmerking">
    <w:name w:val="annotation text"/>
    <w:basedOn w:val="Standaard"/>
    <w:link w:val="TekstopmerkingChar"/>
    <w:uiPriority w:val="99"/>
    <w:semiHidden/>
    <w:unhideWhenUsed/>
    <w:rsid w:val="007C329E"/>
    <w:rPr>
      <w:rFonts w:ascii="Times New Roman" w:eastAsia="Times New Roman" w:hAnsi="Times New Roman" w:cs="Times New Roman"/>
      <w:sz w:val="20"/>
      <w:szCs w:val="20"/>
      <w:lang w:val="fr-BE" w:eastAsia="zh-CN"/>
    </w:rPr>
  </w:style>
  <w:style w:type="character" w:customStyle="1" w:styleId="TekstopmerkingChar">
    <w:name w:val="Tekst opmerking Char"/>
    <w:basedOn w:val="Standaardalinea-lettertype"/>
    <w:link w:val="Tekstopmerking"/>
    <w:uiPriority w:val="99"/>
    <w:semiHidden/>
    <w:rsid w:val="007C329E"/>
    <w:rPr>
      <w:rFonts w:ascii="Times New Roman" w:eastAsia="Times New Roman" w:hAnsi="Times New Roman" w:cs="Times New Roman"/>
      <w:sz w:val="20"/>
      <w:szCs w:val="20"/>
      <w:lang w:val="fr-BE" w:eastAsia="zh-CN"/>
    </w:rPr>
  </w:style>
  <w:style w:type="paragraph" w:styleId="Ballontekst">
    <w:name w:val="Balloon Text"/>
    <w:basedOn w:val="Standaard"/>
    <w:link w:val="BallontekstChar"/>
    <w:uiPriority w:val="99"/>
    <w:semiHidden/>
    <w:unhideWhenUsed/>
    <w:rsid w:val="007C329E"/>
    <w:rPr>
      <w:rFonts w:ascii="Times New Roman" w:hAnsi="Times New Roman" w:cs="Times New Roman"/>
      <w:sz w:val="18"/>
      <w:szCs w:val="18"/>
    </w:rPr>
  </w:style>
  <w:style w:type="character" w:customStyle="1" w:styleId="BallontekstChar">
    <w:name w:val="Ballontekst Char"/>
    <w:basedOn w:val="Standaardalinea-lettertype"/>
    <w:link w:val="Ballontekst"/>
    <w:uiPriority w:val="99"/>
    <w:semiHidden/>
    <w:rsid w:val="007C329E"/>
    <w:rPr>
      <w:rFonts w:ascii="Times New Roman" w:hAnsi="Times New Roman" w:cs="Times New Roman"/>
      <w:sz w:val="18"/>
      <w:szCs w:val="18"/>
    </w:rPr>
  </w:style>
  <w:style w:type="paragraph" w:styleId="Onderwerpvanopmerking">
    <w:name w:val="annotation subject"/>
    <w:basedOn w:val="Tekstopmerking"/>
    <w:next w:val="Tekstopmerking"/>
    <w:link w:val="OnderwerpvanopmerkingChar"/>
    <w:uiPriority w:val="99"/>
    <w:semiHidden/>
    <w:unhideWhenUsed/>
    <w:rsid w:val="006B4882"/>
    <w:rPr>
      <w:rFonts w:asciiTheme="minorHAnsi" w:eastAsiaTheme="minorHAnsi" w:hAnsiTheme="minorHAnsi" w:cstheme="minorBidi"/>
      <w:b/>
      <w:bCs/>
      <w:lang w:val="nl-NL" w:eastAsia="en-US"/>
    </w:rPr>
  </w:style>
  <w:style w:type="character" w:customStyle="1" w:styleId="OnderwerpvanopmerkingChar">
    <w:name w:val="Onderwerp van opmerking Char"/>
    <w:basedOn w:val="TekstopmerkingChar"/>
    <w:link w:val="Onderwerpvanopmerking"/>
    <w:uiPriority w:val="99"/>
    <w:semiHidden/>
    <w:rsid w:val="006B4882"/>
    <w:rPr>
      <w:rFonts w:ascii="Times New Roman" w:eastAsia="Times New Roman" w:hAnsi="Times New Roman" w:cs="Times New Roman"/>
      <w:b/>
      <w:bCs/>
      <w:sz w:val="20"/>
      <w:szCs w:val="20"/>
      <w:lang w:val="fr-BE" w:eastAsia="zh-CN"/>
    </w:rPr>
  </w:style>
  <w:style w:type="paragraph" w:styleId="Documentstructuur">
    <w:name w:val="Document Map"/>
    <w:basedOn w:val="Standaard"/>
    <w:link w:val="DocumentstructuurChar"/>
    <w:uiPriority w:val="99"/>
    <w:semiHidden/>
    <w:unhideWhenUsed/>
    <w:rsid w:val="00097160"/>
    <w:rPr>
      <w:rFonts w:ascii="Times New Roman" w:hAnsi="Times New Roman" w:cs="Times New Roman"/>
    </w:rPr>
  </w:style>
  <w:style w:type="character" w:customStyle="1" w:styleId="DocumentstructuurChar">
    <w:name w:val="Documentstructuur Char"/>
    <w:basedOn w:val="Standaardalinea-lettertype"/>
    <w:link w:val="Documentstructuur"/>
    <w:uiPriority w:val="99"/>
    <w:semiHidden/>
    <w:rsid w:val="00097160"/>
    <w:rPr>
      <w:rFonts w:ascii="Times New Roman" w:hAnsi="Times New Roman" w:cs="Times New Roman"/>
    </w:rPr>
  </w:style>
  <w:style w:type="character" w:customStyle="1" w:styleId="Onopgelostemelding1">
    <w:name w:val="Onopgeloste melding1"/>
    <w:basedOn w:val="Standaardalinea-lettertype"/>
    <w:uiPriority w:val="99"/>
    <w:rsid w:val="00C05AF2"/>
    <w:rPr>
      <w:color w:val="605E5C"/>
      <w:shd w:val="clear" w:color="auto" w:fill="E1DFDD"/>
    </w:rPr>
  </w:style>
  <w:style w:type="paragraph" w:styleId="Revisie">
    <w:name w:val="Revision"/>
    <w:hidden/>
    <w:uiPriority w:val="99"/>
    <w:semiHidden/>
    <w:rsid w:val="00517307"/>
  </w:style>
  <w:style w:type="character" w:styleId="GevolgdeHyperlink">
    <w:name w:val="FollowedHyperlink"/>
    <w:basedOn w:val="Standaardalinea-lettertype"/>
    <w:uiPriority w:val="99"/>
    <w:semiHidden/>
    <w:unhideWhenUsed/>
    <w:rsid w:val="00517307"/>
    <w:rPr>
      <w:color w:val="954F72" w:themeColor="followedHyperlink"/>
      <w:u w:val="single"/>
    </w:rPr>
  </w:style>
  <w:style w:type="paragraph" w:styleId="Voetnoottekst">
    <w:name w:val="footnote text"/>
    <w:basedOn w:val="Standaard"/>
    <w:link w:val="VoetnoottekstChar"/>
    <w:uiPriority w:val="99"/>
    <w:unhideWhenUsed/>
    <w:rsid w:val="00B2284A"/>
    <w:rPr>
      <w:sz w:val="20"/>
      <w:szCs w:val="20"/>
    </w:rPr>
  </w:style>
  <w:style w:type="character" w:customStyle="1" w:styleId="VoetnoottekstChar">
    <w:name w:val="Voetnoottekst Char"/>
    <w:basedOn w:val="Standaardalinea-lettertype"/>
    <w:link w:val="Voetnoottekst"/>
    <w:uiPriority w:val="99"/>
    <w:rsid w:val="00B2284A"/>
    <w:rPr>
      <w:sz w:val="20"/>
      <w:szCs w:val="20"/>
    </w:rPr>
  </w:style>
  <w:style w:type="character" w:styleId="Voetnootmarkering">
    <w:name w:val="footnote reference"/>
    <w:basedOn w:val="Standaardalinea-lettertype"/>
    <w:uiPriority w:val="99"/>
    <w:unhideWhenUsed/>
    <w:rsid w:val="00B2284A"/>
    <w:rPr>
      <w:vertAlign w:val="superscript"/>
    </w:rPr>
  </w:style>
  <w:style w:type="paragraph" w:styleId="Koptekst">
    <w:name w:val="header"/>
    <w:basedOn w:val="Standaard"/>
    <w:link w:val="KoptekstChar"/>
    <w:uiPriority w:val="99"/>
    <w:unhideWhenUsed/>
    <w:rsid w:val="00834054"/>
    <w:pPr>
      <w:tabs>
        <w:tab w:val="center" w:pos="4536"/>
        <w:tab w:val="right" w:pos="9072"/>
      </w:tabs>
    </w:pPr>
  </w:style>
  <w:style w:type="character" w:customStyle="1" w:styleId="KoptekstChar">
    <w:name w:val="Koptekst Char"/>
    <w:basedOn w:val="Standaardalinea-lettertype"/>
    <w:link w:val="Koptekst"/>
    <w:uiPriority w:val="99"/>
    <w:rsid w:val="0083405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77944609">
      <w:bodyDiv w:val="1"/>
      <w:marLeft w:val="0"/>
      <w:marRight w:val="0"/>
      <w:marTop w:val="0"/>
      <w:marBottom w:val="0"/>
      <w:divBdr>
        <w:top w:val="none" w:sz="0" w:space="0" w:color="auto"/>
        <w:left w:val="none" w:sz="0" w:space="0" w:color="auto"/>
        <w:bottom w:val="none" w:sz="0" w:space="0" w:color="auto"/>
        <w:right w:val="none" w:sz="0" w:space="0" w:color="auto"/>
      </w:divBdr>
      <w:divsChild>
        <w:div w:id="514923942">
          <w:marLeft w:val="0"/>
          <w:marRight w:val="0"/>
          <w:marTop w:val="0"/>
          <w:marBottom w:val="0"/>
          <w:divBdr>
            <w:top w:val="none" w:sz="0" w:space="0" w:color="auto"/>
            <w:left w:val="none" w:sz="0" w:space="0" w:color="auto"/>
            <w:bottom w:val="none" w:sz="0" w:space="0" w:color="auto"/>
            <w:right w:val="none" w:sz="0" w:space="0" w:color="auto"/>
          </w:divBdr>
          <w:divsChild>
            <w:div w:id="2142335355">
              <w:marLeft w:val="0"/>
              <w:marRight w:val="0"/>
              <w:marTop w:val="0"/>
              <w:marBottom w:val="0"/>
              <w:divBdr>
                <w:top w:val="none" w:sz="0" w:space="0" w:color="auto"/>
                <w:left w:val="none" w:sz="0" w:space="0" w:color="auto"/>
                <w:bottom w:val="none" w:sz="0" w:space="0" w:color="auto"/>
                <w:right w:val="none" w:sz="0" w:space="0" w:color="auto"/>
              </w:divBdr>
              <w:divsChild>
                <w:div w:id="16196811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8088762">
      <w:bodyDiv w:val="1"/>
      <w:marLeft w:val="0"/>
      <w:marRight w:val="0"/>
      <w:marTop w:val="0"/>
      <w:marBottom w:val="0"/>
      <w:divBdr>
        <w:top w:val="none" w:sz="0" w:space="0" w:color="auto"/>
        <w:left w:val="none" w:sz="0" w:space="0" w:color="auto"/>
        <w:bottom w:val="none" w:sz="0" w:space="0" w:color="auto"/>
        <w:right w:val="none" w:sz="0" w:space="0" w:color="auto"/>
      </w:divBdr>
    </w:div>
    <w:div w:id="328362982">
      <w:bodyDiv w:val="1"/>
      <w:marLeft w:val="0"/>
      <w:marRight w:val="0"/>
      <w:marTop w:val="0"/>
      <w:marBottom w:val="0"/>
      <w:divBdr>
        <w:top w:val="none" w:sz="0" w:space="0" w:color="auto"/>
        <w:left w:val="none" w:sz="0" w:space="0" w:color="auto"/>
        <w:bottom w:val="none" w:sz="0" w:space="0" w:color="auto"/>
        <w:right w:val="none" w:sz="0" w:space="0" w:color="auto"/>
      </w:divBdr>
      <w:divsChild>
        <w:div w:id="2122450831">
          <w:marLeft w:val="0"/>
          <w:marRight w:val="0"/>
          <w:marTop w:val="0"/>
          <w:marBottom w:val="0"/>
          <w:divBdr>
            <w:top w:val="none" w:sz="0" w:space="0" w:color="auto"/>
            <w:left w:val="none" w:sz="0" w:space="0" w:color="auto"/>
            <w:bottom w:val="none" w:sz="0" w:space="0" w:color="auto"/>
            <w:right w:val="none" w:sz="0" w:space="0" w:color="auto"/>
          </w:divBdr>
          <w:divsChild>
            <w:div w:id="1908488453">
              <w:marLeft w:val="0"/>
              <w:marRight w:val="0"/>
              <w:marTop w:val="0"/>
              <w:marBottom w:val="0"/>
              <w:divBdr>
                <w:top w:val="none" w:sz="0" w:space="0" w:color="auto"/>
                <w:left w:val="none" w:sz="0" w:space="0" w:color="auto"/>
                <w:bottom w:val="none" w:sz="0" w:space="0" w:color="auto"/>
                <w:right w:val="none" w:sz="0" w:space="0" w:color="auto"/>
              </w:divBdr>
              <w:divsChild>
                <w:div w:id="629675449">
                  <w:marLeft w:val="0"/>
                  <w:marRight w:val="0"/>
                  <w:marTop w:val="0"/>
                  <w:marBottom w:val="0"/>
                  <w:divBdr>
                    <w:top w:val="none" w:sz="0" w:space="0" w:color="auto"/>
                    <w:left w:val="none" w:sz="0" w:space="0" w:color="auto"/>
                    <w:bottom w:val="none" w:sz="0" w:space="0" w:color="auto"/>
                    <w:right w:val="none" w:sz="0" w:space="0" w:color="auto"/>
                  </w:divBdr>
                  <w:divsChild>
                    <w:div w:id="16045303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39491775">
      <w:bodyDiv w:val="1"/>
      <w:marLeft w:val="0"/>
      <w:marRight w:val="0"/>
      <w:marTop w:val="0"/>
      <w:marBottom w:val="0"/>
      <w:divBdr>
        <w:top w:val="none" w:sz="0" w:space="0" w:color="auto"/>
        <w:left w:val="none" w:sz="0" w:space="0" w:color="auto"/>
        <w:bottom w:val="none" w:sz="0" w:space="0" w:color="auto"/>
        <w:right w:val="none" w:sz="0" w:space="0" w:color="auto"/>
      </w:divBdr>
      <w:divsChild>
        <w:div w:id="446126367">
          <w:marLeft w:val="0"/>
          <w:marRight w:val="0"/>
          <w:marTop w:val="0"/>
          <w:marBottom w:val="0"/>
          <w:divBdr>
            <w:top w:val="none" w:sz="0" w:space="0" w:color="auto"/>
            <w:left w:val="none" w:sz="0" w:space="0" w:color="auto"/>
            <w:bottom w:val="none" w:sz="0" w:space="0" w:color="auto"/>
            <w:right w:val="none" w:sz="0" w:space="0" w:color="auto"/>
          </w:divBdr>
          <w:divsChild>
            <w:div w:id="1134525880">
              <w:marLeft w:val="0"/>
              <w:marRight w:val="0"/>
              <w:marTop w:val="0"/>
              <w:marBottom w:val="0"/>
              <w:divBdr>
                <w:top w:val="none" w:sz="0" w:space="0" w:color="auto"/>
                <w:left w:val="none" w:sz="0" w:space="0" w:color="auto"/>
                <w:bottom w:val="none" w:sz="0" w:space="0" w:color="auto"/>
                <w:right w:val="none" w:sz="0" w:space="0" w:color="auto"/>
              </w:divBdr>
              <w:divsChild>
                <w:div w:id="20384339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58843624">
      <w:bodyDiv w:val="1"/>
      <w:marLeft w:val="0"/>
      <w:marRight w:val="0"/>
      <w:marTop w:val="0"/>
      <w:marBottom w:val="0"/>
      <w:divBdr>
        <w:top w:val="none" w:sz="0" w:space="0" w:color="auto"/>
        <w:left w:val="none" w:sz="0" w:space="0" w:color="auto"/>
        <w:bottom w:val="none" w:sz="0" w:space="0" w:color="auto"/>
        <w:right w:val="none" w:sz="0" w:space="0" w:color="auto"/>
      </w:divBdr>
      <w:divsChild>
        <w:div w:id="1128284305">
          <w:marLeft w:val="0"/>
          <w:marRight w:val="0"/>
          <w:marTop w:val="0"/>
          <w:marBottom w:val="0"/>
          <w:divBdr>
            <w:top w:val="none" w:sz="0" w:space="0" w:color="auto"/>
            <w:left w:val="none" w:sz="0" w:space="0" w:color="auto"/>
            <w:bottom w:val="none" w:sz="0" w:space="0" w:color="auto"/>
            <w:right w:val="none" w:sz="0" w:space="0" w:color="auto"/>
          </w:divBdr>
          <w:divsChild>
            <w:div w:id="714738383">
              <w:marLeft w:val="0"/>
              <w:marRight w:val="0"/>
              <w:marTop w:val="0"/>
              <w:marBottom w:val="0"/>
              <w:divBdr>
                <w:top w:val="none" w:sz="0" w:space="0" w:color="auto"/>
                <w:left w:val="none" w:sz="0" w:space="0" w:color="auto"/>
                <w:bottom w:val="none" w:sz="0" w:space="0" w:color="auto"/>
                <w:right w:val="none" w:sz="0" w:space="0" w:color="auto"/>
              </w:divBdr>
              <w:divsChild>
                <w:div w:id="16036816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79425928">
      <w:bodyDiv w:val="1"/>
      <w:marLeft w:val="0"/>
      <w:marRight w:val="0"/>
      <w:marTop w:val="0"/>
      <w:marBottom w:val="0"/>
      <w:divBdr>
        <w:top w:val="none" w:sz="0" w:space="0" w:color="auto"/>
        <w:left w:val="none" w:sz="0" w:space="0" w:color="auto"/>
        <w:bottom w:val="none" w:sz="0" w:space="0" w:color="auto"/>
        <w:right w:val="none" w:sz="0" w:space="0" w:color="auto"/>
      </w:divBdr>
      <w:divsChild>
        <w:div w:id="1597326311">
          <w:marLeft w:val="0"/>
          <w:marRight w:val="0"/>
          <w:marTop w:val="0"/>
          <w:marBottom w:val="0"/>
          <w:divBdr>
            <w:top w:val="none" w:sz="0" w:space="0" w:color="auto"/>
            <w:left w:val="none" w:sz="0" w:space="0" w:color="auto"/>
            <w:bottom w:val="none" w:sz="0" w:space="0" w:color="auto"/>
            <w:right w:val="none" w:sz="0" w:space="0" w:color="auto"/>
          </w:divBdr>
          <w:divsChild>
            <w:div w:id="190607764">
              <w:marLeft w:val="0"/>
              <w:marRight w:val="0"/>
              <w:marTop w:val="0"/>
              <w:marBottom w:val="0"/>
              <w:divBdr>
                <w:top w:val="none" w:sz="0" w:space="0" w:color="auto"/>
                <w:left w:val="none" w:sz="0" w:space="0" w:color="auto"/>
                <w:bottom w:val="none" w:sz="0" w:space="0" w:color="auto"/>
                <w:right w:val="none" w:sz="0" w:space="0" w:color="auto"/>
              </w:divBdr>
              <w:divsChild>
                <w:div w:id="12912095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82785369">
      <w:bodyDiv w:val="1"/>
      <w:marLeft w:val="0"/>
      <w:marRight w:val="0"/>
      <w:marTop w:val="0"/>
      <w:marBottom w:val="0"/>
      <w:divBdr>
        <w:top w:val="none" w:sz="0" w:space="0" w:color="auto"/>
        <w:left w:val="none" w:sz="0" w:space="0" w:color="auto"/>
        <w:bottom w:val="none" w:sz="0" w:space="0" w:color="auto"/>
        <w:right w:val="none" w:sz="0" w:space="0" w:color="auto"/>
      </w:divBdr>
      <w:divsChild>
        <w:div w:id="343168057">
          <w:marLeft w:val="0"/>
          <w:marRight w:val="0"/>
          <w:marTop w:val="0"/>
          <w:marBottom w:val="0"/>
          <w:divBdr>
            <w:top w:val="none" w:sz="0" w:space="0" w:color="auto"/>
            <w:left w:val="none" w:sz="0" w:space="0" w:color="auto"/>
            <w:bottom w:val="none" w:sz="0" w:space="0" w:color="auto"/>
            <w:right w:val="none" w:sz="0" w:space="0" w:color="auto"/>
          </w:divBdr>
          <w:divsChild>
            <w:div w:id="1411150373">
              <w:marLeft w:val="0"/>
              <w:marRight w:val="0"/>
              <w:marTop w:val="0"/>
              <w:marBottom w:val="0"/>
              <w:divBdr>
                <w:top w:val="none" w:sz="0" w:space="0" w:color="auto"/>
                <w:left w:val="none" w:sz="0" w:space="0" w:color="auto"/>
                <w:bottom w:val="none" w:sz="0" w:space="0" w:color="auto"/>
                <w:right w:val="none" w:sz="0" w:space="0" w:color="auto"/>
              </w:divBdr>
              <w:divsChild>
                <w:div w:id="2301928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62984121">
      <w:bodyDiv w:val="1"/>
      <w:marLeft w:val="0"/>
      <w:marRight w:val="0"/>
      <w:marTop w:val="0"/>
      <w:marBottom w:val="0"/>
      <w:divBdr>
        <w:top w:val="none" w:sz="0" w:space="0" w:color="auto"/>
        <w:left w:val="none" w:sz="0" w:space="0" w:color="auto"/>
        <w:bottom w:val="none" w:sz="0" w:space="0" w:color="auto"/>
        <w:right w:val="none" w:sz="0" w:space="0" w:color="auto"/>
      </w:divBdr>
    </w:div>
    <w:div w:id="864632188">
      <w:bodyDiv w:val="1"/>
      <w:marLeft w:val="0"/>
      <w:marRight w:val="0"/>
      <w:marTop w:val="0"/>
      <w:marBottom w:val="0"/>
      <w:divBdr>
        <w:top w:val="none" w:sz="0" w:space="0" w:color="auto"/>
        <w:left w:val="none" w:sz="0" w:space="0" w:color="auto"/>
        <w:bottom w:val="none" w:sz="0" w:space="0" w:color="auto"/>
        <w:right w:val="none" w:sz="0" w:space="0" w:color="auto"/>
      </w:divBdr>
      <w:divsChild>
        <w:div w:id="2046786760">
          <w:marLeft w:val="0"/>
          <w:marRight w:val="0"/>
          <w:marTop w:val="0"/>
          <w:marBottom w:val="0"/>
          <w:divBdr>
            <w:top w:val="none" w:sz="0" w:space="0" w:color="auto"/>
            <w:left w:val="none" w:sz="0" w:space="0" w:color="auto"/>
            <w:bottom w:val="none" w:sz="0" w:space="0" w:color="auto"/>
            <w:right w:val="none" w:sz="0" w:space="0" w:color="auto"/>
          </w:divBdr>
          <w:divsChild>
            <w:div w:id="1130242997">
              <w:marLeft w:val="0"/>
              <w:marRight w:val="0"/>
              <w:marTop w:val="0"/>
              <w:marBottom w:val="0"/>
              <w:divBdr>
                <w:top w:val="none" w:sz="0" w:space="0" w:color="auto"/>
                <w:left w:val="none" w:sz="0" w:space="0" w:color="auto"/>
                <w:bottom w:val="none" w:sz="0" w:space="0" w:color="auto"/>
                <w:right w:val="none" w:sz="0" w:space="0" w:color="auto"/>
              </w:divBdr>
              <w:divsChild>
                <w:div w:id="7095748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55940238">
      <w:bodyDiv w:val="1"/>
      <w:marLeft w:val="0"/>
      <w:marRight w:val="0"/>
      <w:marTop w:val="0"/>
      <w:marBottom w:val="0"/>
      <w:divBdr>
        <w:top w:val="none" w:sz="0" w:space="0" w:color="auto"/>
        <w:left w:val="none" w:sz="0" w:space="0" w:color="auto"/>
        <w:bottom w:val="none" w:sz="0" w:space="0" w:color="auto"/>
        <w:right w:val="none" w:sz="0" w:space="0" w:color="auto"/>
      </w:divBdr>
      <w:divsChild>
        <w:div w:id="2091005830">
          <w:marLeft w:val="0"/>
          <w:marRight w:val="0"/>
          <w:marTop w:val="0"/>
          <w:marBottom w:val="0"/>
          <w:divBdr>
            <w:top w:val="none" w:sz="0" w:space="0" w:color="auto"/>
            <w:left w:val="none" w:sz="0" w:space="0" w:color="auto"/>
            <w:bottom w:val="none" w:sz="0" w:space="0" w:color="auto"/>
            <w:right w:val="none" w:sz="0" w:space="0" w:color="auto"/>
          </w:divBdr>
          <w:divsChild>
            <w:div w:id="1271861289">
              <w:marLeft w:val="0"/>
              <w:marRight w:val="0"/>
              <w:marTop w:val="0"/>
              <w:marBottom w:val="0"/>
              <w:divBdr>
                <w:top w:val="none" w:sz="0" w:space="0" w:color="auto"/>
                <w:left w:val="none" w:sz="0" w:space="0" w:color="auto"/>
                <w:bottom w:val="none" w:sz="0" w:space="0" w:color="auto"/>
                <w:right w:val="none" w:sz="0" w:space="0" w:color="auto"/>
              </w:divBdr>
              <w:divsChild>
                <w:div w:id="3410067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43222053">
      <w:bodyDiv w:val="1"/>
      <w:marLeft w:val="0"/>
      <w:marRight w:val="0"/>
      <w:marTop w:val="0"/>
      <w:marBottom w:val="0"/>
      <w:divBdr>
        <w:top w:val="none" w:sz="0" w:space="0" w:color="auto"/>
        <w:left w:val="none" w:sz="0" w:space="0" w:color="auto"/>
        <w:bottom w:val="none" w:sz="0" w:space="0" w:color="auto"/>
        <w:right w:val="none" w:sz="0" w:space="0" w:color="auto"/>
      </w:divBdr>
    </w:div>
    <w:div w:id="1425999210">
      <w:bodyDiv w:val="1"/>
      <w:marLeft w:val="0"/>
      <w:marRight w:val="0"/>
      <w:marTop w:val="0"/>
      <w:marBottom w:val="0"/>
      <w:divBdr>
        <w:top w:val="none" w:sz="0" w:space="0" w:color="auto"/>
        <w:left w:val="none" w:sz="0" w:space="0" w:color="auto"/>
        <w:bottom w:val="none" w:sz="0" w:space="0" w:color="auto"/>
        <w:right w:val="none" w:sz="0" w:space="0" w:color="auto"/>
      </w:divBdr>
      <w:divsChild>
        <w:div w:id="537859176">
          <w:marLeft w:val="0"/>
          <w:marRight w:val="0"/>
          <w:marTop w:val="0"/>
          <w:marBottom w:val="0"/>
          <w:divBdr>
            <w:top w:val="none" w:sz="0" w:space="0" w:color="auto"/>
            <w:left w:val="none" w:sz="0" w:space="0" w:color="auto"/>
            <w:bottom w:val="none" w:sz="0" w:space="0" w:color="auto"/>
            <w:right w:val="none" w:sz="0" w:space="0" w:color="auto"/>
          </w:divBdr>
          <w:divsChild>
            <w:div w:id="234367083">
              <w:marLeft w:val="0"/>
              <w:marRight w:val="0"/>
              <w:marTop w:val="0"/>
              <w:marBottom w:val="0"/>
              <w:divBdr>
                <w:top w:val="none" w:sz="0" w:space="0" w:color="auto"/>
                <w:left w:val="none" w:sz="0" w:space="0" w:color="auto"/>
                <w:bottom w:val="none" w:sz="0" w:space="0" w:color="auto"/>
                <w:right w:val="none" w:sz="0" w:space="0" w:color="auto"/>
              </w:divBdr>
              <w:divsChild>
                <w:div w:id="588852611">
                  <w:marLeft w:val="0"/>
                  <w:marRight w:val="0"/>
                  <w:marTop w:val="0"/>
                  <w:marBottom w:val="0"/>
                  <w:divBdr>
                    <w:top w:val="none" w:sz="0" w:space="0" w:color="auto"/>
                    <w:left w:val="none" w:sz="0" w:space="0" w:color="auto"/>
                    <w:bottom w:val="none" w:sz="0" w:space="0" w:color="auto"/>
                    <w:right w:val="none" w:sz="0" w:space="0" w:color="auto"/>
                  </w:divBdr>
                  <w:divsChild>
                    <w:div w:id="21451546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34589060">
      <w:bodyDiv w:val="1"/>
      <w:marLeft w:val="0"/>
      <w:marRight w:val="0"/>
      <w:marTop w:val="0"/>
      <w:marBottom w:val="0"/>
      <w:divBdr>
        <w:top w:val="none" w:sz="0" w:space="0" w:color="auto"/>
        <w:left w:val="none" w:sz="0" w:space="0" w:color="auto"/>
        <w:bottom w:val="none" w:sz="0" w:space="0" w:color="auto"/>
        <w:right w:val="none" w:sz="0" w:space="0" w:color="auto"/>
      </w:divBdr>
      <w:divsChild>
        <w:div w:id="689529421">
          <w:marLeft w:val="0"/>
          <w:marRight w:val="0"/>
          <w:marTop w:val="0"/>
          <w:marBottom w:val="0"/>
          <w:divBdr>
            <w:top w:val="none" w:sz="0" w:space="0" w:color="auto"/>
            <w:left w:val="none" w:sz="0" w:space="0" w:color="auto"/>
            <w:bottom w:val="none" w:sz="0" w:space="0" w:color="auto"/>
            <w:right w:val="none" w:sz="0" w:space="0" w:color="auto"/>
          </w:divBdr>
          <w:divsChild>
            <w:div w:id="1931043084">
              <w:marLeft w:val="0"/>
              <w:marRight w:val="0"/>
              <w:marTop w:val="0"/>
              <w:marBottom w:val="0"/>
              <w:divBdr>
                <w:top w:val="none" w:sz="0" w:space="0" w:color="auto"/>
                <w:left w:val="none" w:sz="0" w:space="0" w:color="auto"/>
                <w:bottom w:val="none" w:sz="0" w:space="0" w:color="auto"/>
                <w:right w:val="none" w:sz="0" w:space="0" w:color="auto"/>
              </w:divBdr>
              <w:divsChild>
                <w:div w:id="6872183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51045296">
      <w:bodyDiv w:val="1"/>
      <w:marLeft w:val="0"/>
      <w:marRight w:val="0"/>
      <w:marTop w:val="0"/>
      <w:marBottom w:val="0"/>
      <w:divBdr>
        <w:top w:val="none" w:sz="0" w:space="0" w:color="auto"/>
        <w:left w:val="none" w:sz="0" w:space="0" w:color="auto"/>
        <w:bottom w:val="none" w:sz="0" w:space="0" w:color="auto"/>
        <w:right w:val="none" w:sz="0" w:space="0" w:color="auto"/>
      </w:divBdr>
      <w:divsChild>
        <w:div w:id="1101755035">
          <w:marLeft w:val="0"/>
          <w:marRight w:val="0"/>
          <w:marTop w:val="0"/>
          <w:marBottom w:val="0"/>
          <w:divBdr>
            <w:top w:val="none" w:sz="0" w:space="0" w:color="auto"/>
            <w:left w:val="none" w:sz="0" w:space="0" w:color="auto"/>
            <w:bottom w:val="none" w:sz="0" w:space="0" w:color="auto"/>
            <w:right w:val="none" w:sz="0" w:space="0" w:color="auto"/>
          </w:divBdr>
          <w:divsChild>
            <w:div w:id="375936765">
              <w:marLeft w:val="0"/>
              <w:marRight w:val="0"/>
              <w:marTop w:val="0"/>
              <w:marBottom w:val="0"/>
              <w:divBdr>
                <w:top w:val="none" w:sz="0" w:space="0" w:color="auto"/>
                <w:left w:val="none" w:sz="0" w:space="0" w:color="auto"/>
                <w:bottom w:val="none" w:sz="0" w:space="0" w:color="auto"/>
                <w:right w:val="none" w:sz="0" w:space="0" w:color="auto"/>
              </w:divBdr>
              <w:divsChild>
                <w:div w:id="11417107">
                  <w:marLeft w:val="0"/>
                  <w:marRight w:val="0"/>
                  <w:marTop w:val="0"/>
                  <w:marBottom w:val="0"/>
                  <w:divBdr>
                    <w:top w:val="none" w:sz="0" w:space="0" w:color="auto"/>
                    <w:left w:val="none" w:sz="0" w:space="0" w:color="auto"/>
                    <w:bottom w:val="none" w:sz="0" w:space="0" w:color="auto"/>
                    <w:right w:val="none" w:sz="0" w:space="0" w:color="auto"/>
                  </w:divBdr>
                  <w:divsChild>
                    <w:div w:id="19028627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7672366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5.png"/><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image" Target="media/image3.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footer" Target="footer2.xml"/></Relationships>
</file>

<file path=word/theme/theme1.xml><?xml version="1.0" encoding="utf-8"?>
<a:theme xmlns:a="http://schemas.openxmlformats.org/drawingml/2006/main" name="Office-th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14D2228-CC88-D743-800E-A747895CBFB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25</Pages>
  <Words>13374</Words>
  <Characters>73562</Characters>
  <Application>Microsoft Office Word</Application>
  <DocSecurity>0</DocSecurity>
  <Lines>613</Lines>
  <Paragraphs>173</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86763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Office-gebruiker</dc:creator>
  <cp:keywords/>
  <dc:description/>
  <cp:lastModifiedBy>tom truyts</cp:lastModifiedBy>
  <cp:revision>3</cp:revision>
  <cp:lastPrinted>2019-02-18T14:29:00Z</cp:lastPrinted>
  <dcterms:created xsi:type="dcterms:W3CDTF">2019-02-18T14:29:00Z</dcterms:created>
  <dcterms:modified xsi:type="dcterms:W3CDTF">2019-02-18T14:29:00Z</dcterms:modified>
</cp:coreProperties>
</file>