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AF247D" w14:textId="77777777" w:rsidR="00707861" w:rsidRDefault="00707861" w:rsidP="00707861">
      <w:pPr>
        <w:jc w:val="both"/>
        <w:rPr>
          <w:b/>
        </w:rPr>
      </w:pPr>
      <w:r>
        <w:rPr>
          <w:b/>
        </w:rPr>
        <w:t>E</w:t>
      </w:r>
      <w:r w:rsidRPr="000C6789">
        <w:rPr>
          <w:b/>
        </w:rPr>
        <w:t>ntre volonté réformatrice et valorisation personnelle</w:t>
      </w:r>
      <w:r>
        <w:rPr>
          <w:b/>
        </w:rPr>
        <w:t> : l</w:t>
      </w:r>
      <w:r w:rsidRPr="000C6789">
        <w:rPr>
          <w:b/>
        </w:rPr>
        <w:t xml:space="preserve">e </w:t>
      </w:r>
      <w:r w:rsidRPr="000C6789">
        <w:rPr>
          <w:b/>
          <w:i/>
        </w:rPr>
        <w:t xml:space="preserve">Registre </w:t>
      </w:r>
      <w:r w:rsidRPr="000C6789">
        <w:rPr>
          <w:b/>
        </w:rPr>
        <w:t xml:space="preserve">de Gilles li </w:t>
      </w:r>
      <w:proofErr w:type="spellStart"/>
      <w:r w:rsidRPr="000C6789">
        <w:rPr>
          <w:b/>
        </w:rPr>
        <w:t>Muisis</w:t>
      </w:r>
      <w:proofErr w:type="spellEnd"/>
      <w:r w:rsidRPr="000C6789">
        <w:rPr>
          <w:b/>
        </w:rPr>
        <w:t xml:space="preserve"> (Bibliothèque royale de Belgique</w:t>
      </w:r>
      <w:r>
        <w:rPr>
          <w:b/>
        </w:rPr>
        <w:t>, ms IV 119)</w:t>
      </w:r>
    </w:p>
    <w:p w14:paraId="4617C5DF" w14:textId="77777777" w:rsidR="00707861" w:rsidRDefault="00707861" w:rsidP="00707861">
      <w:pPr>
        <w:jc w:val="both"/>
      </w:pPr>
    </w:p>
    <w:p w14:paraId="6A2EB25B" w14:textId="452221C4" w:rsidR="00707861" w:rsidRDefault="008617E2" w:rsidP="00707861">
      <w:pPr>
        <w:jc w:val="both"/>
      </w:pPr>
      <w:r>
        <w:t xml:space="preserve">Gilles li </w:t>
      </w:r>
      <w:proofErr w:type="spellStart"/>
      <w:r>
        <w:t>Muisis</w:t>
      </w:r>
      <w:proofErr w:type="spellEnd"/>
      <w:r>
        <w:t xml:space="preserve"> </w:t>
      </w:r>
      <w:r w:rsidR="00707861" w:rsidRPr="000C6789">
        <w:t xml:space="preserve">est </w:t>
      </w:r>
      <w:r w:rsidR="00707861">
        <w:t>avant tout</w:t>
      </w:r>
      <w:r w:rsidR="00707861" w:rsidRPr="000C6789">
        <w:t xml:space="preserve"> </w:t>
      </w:r>
      <w:r w:rsidR="00707861">
        <w:t>re</w:t>
      </w:r>
      <w:r w:rsidR="00707861" w:rsidRPr="000C6789">
        <w:t xml:space="preserve">connu pour son œuvre historiographique et son activité réformatrice </w:t>
      </w:r>
      <w:r>
        <w:t>à Saint-Martin de Tournai</w:t>
      </w:r>
      <w:r w:rsidR="00707861" w:rsidRPr="000C6789">
        <w:t xml:space="preserve">. </w:t>
      </w:r>
      <w:r>
        <w:t xml:space="preserve">Son activité poétique </w:t>
      </w:r>
      <w:r w:rsidR="00707861" w:rsidRPr="000C6789">
        <w:t xml:space="preserve">jouit par contre d’une réputation </w:t>
      </w:r>
      <w:r w:rsidR="00707861">
        <w:t xml:space="preserve">bien </w:t>
      </w:r>
      <w:r w:rsidR="00707861" w:rsidRPr="000C6789">
        <w:t>plus contr</w:t>
      </w:r>
      <w:r w:rsidR="00707861">
        <w:t xml:space="preserve">astée. Conservé sous la cote IV </w:t>
      </w:r>
      <w:r w:rsidR="00707861" w:rsidRPr="000C6789">
        <w:t xml:space="preserve">119 à la Bibliothèque royale de Belgique, le </w:t>
      </w:r>
      <w:r w:rsidR="00707861" w:rsidRPr="000C6789">
        <w:rPr>
          <w:i/>
        </w:rPr>
        <w:t>Registre</w:t>
      </w:r>
      <w:r>
        <w:t xml:space="preserve"> de li </w:t>
      </w:r>
      <w:proofErr w:type="spellStart"/>
      <w:r>
        <w:t>Muisis</w:t>
      </w:r>
      <w:proofErr w:type="spellEnd"/>
      <w:r>
        <w:t xml:space="preserve"> en est le principal témoin. Illustré d’un cycle iconographique exécuté par </w:t>
      </w:r>
      <w:proofErr w:type="spellStart"/>
      <w:r>
        <w:t>Pierart</w:t>
      </w:r>
      <w:proofErr w:type="spellEnd"/>
      <w:r>
        <w:t xml:space="preserve"> </w:t>
      </w:r>
      <w:proofErr w:type="spellStart"/>
      <w:r>
        <w:t>dou</w:t>
      </w:r>
      <w:proofErr w:type="spellEnd"/>
      <w:r>
        <w:t xml:space="preserve"> Tielt, l</w:t>
      </w:r>
      <w:r w:rsidR="00707861" w:rsidRPr="000C6789">
        <w:t>e manuscrit comprend de nombreux textes, dans lesquels le vieil a</w:t>
      </w:r>
      <w:r>
        <w:t xml:space="preserve">bbé se livre à une description </w:t>
      </w:r>
      <w:r w:rsidR="00707861" w:rsidRPr="000C6789">
        <w:t>des différents états de la société</w:t>
      </w:r>
      <w:r>
        <w:t xml:space="preserve"> de son époque et dont </w:t>
      </w:r>
      <w:r w:rsidR="00707861" w:rsidRPr="000C6789">
        <w:t>qualité littéraire a été diversement appréciée</w:t>
      </w:r>
      <w:r w:rsidR="00707861" w:rsidRPr="00BE663C">
        <w:t>.</w:t>
      </w:r>
      <w:r w:rsidR="00707861">
        <w:t xml:space="preserve"> </w:t>
      </w:r>
      <w:r w:rsidR="00443943">
        <w:t>Dans le cadre de cet article</w:t>
      </w:r>
      <w:r w:rsidR="00707861" w:rsidRPr="00BE663C">
        <w:t xml:space="preserve">, nous </w:t>
      </w:r>
      <w:r w:rsidR="00443943">
        <w:t>entendons</w:t>
      </w:r>
      <w:r w:rsidR="00707861" w:rsidRPr="00BE663C">
        <w:t xml:space="preserve"> revenir sur ces </w:t>
      </w:r>
      <w:r>
        <w:t>miniatures</w:t>
      </w:r>
      <w:r w:rsidR="00707861" w:rsidRPr="00BE663C">
        <w:t xml:space="preserve"> </w:t>
      </w:r>
      <w:r>
        <w:t xml:space="preserve">afin </w:t>
      </w:r>
      <w:r w:rsidR="00707861" w:rsidRPr="00BE663C">
        <w:t xml:space="preserve">de saisir quel a pu être leur rôle dans l’économie globale de l’ouvrage et quels sont leurs liens potentiels avec les idéaux réformateurs de l’abbé. </w:t>
      </w:r>
      <w:r>
        <w:t>En abordant</w:t>
      </w:r>
      <w:r w:rsidR="00707861" w:rsidRPr="00BE663C">
        <w:t xml:space="preserve"> ce cycle iconographique en dialogue avec les textes poétiques de Gilles et </w:t>
      </w:r>
      <w:r>
        <w:t>en les replaçant</w:t>
      </w:r>
      <w:r w:rsidR="00707861" w:rsidRPr="00BE663C">
        <w:t xml:space="preserve"> d</w:t>
      </w:r>
      <w:r>
        <w:t xml:space="preserve">ans leur contexte de production, nous entendons montrer </w:t>
      </w:r>
      <w:r w:rsidR="00707861" w:rsidRPr="00BE663C">
        <w:t>que les miniatures du KBR IV 119 ne sont pas de simples illustrations ; au contraire, elles jouent un rôle important en renforçant le propos réformateur de l’abbé et, surtout, en lui permettant de laisser à la postérité une image valorisante de lui-même.</w:t>
      </w:r>
    </w:p>
    <w:p w14:paraId="497645A1" w14:textId="77777777" w:rsidR="008617E2" w:rsidRDefault="008617E2" w:rsidP="00707861">
      <w:pPr>
        <w:jc w:val="both"/>
      </w:pPr>
    </w:p>
    <w:p w14:paraId="5959FAC4" w14:textId="7D0C018F" w:rsidR="008617E2" w:rsidRPr="008617E2" w:rsidRDefault="008617E2" w:rsidP="00707861">
      <w:pPr>
        <w:jc w:val="both"/>
        <w:rPr>
          <w:lang w:val="en-US"/>
        </w:rPr>
      </w:pPr>
      <w:r w:rsidRPr="008617E2">
        <w:rPr>
          <w:lang w:val="en-US"/>
        </w:rPr>
        <w:t xml:space="preserve">Gilles li </w:t>
      </w:r>
      <w:proofErr w:type="spellStart"/>
      <w:r w:rsidRPr="008617E2">
        <w:rPr>
          <w:lang w:val="en-US"/>
        </w:rPr>
        <w:t>Muisis</w:t>
      </w:r>
      <w:proofErr w:type="spellEnd"/>
      <w:r w:rsidRPr="008617E2">
        <w:rPr>
          <w:lang w:val="en-US"/>
        </w:rPr>
        <w:t xml:space="preserve"> is </w:t>
      </w:r>
      <w:proofErr w:type="spellStart"/>
      <w:r w:rsidRPr="008617E2">
        <w:rPr>
          <w:lang w:val="en-US"/>
        </w:rPr>
        <w:t>well-known</w:t>
      </w:r>
      <w:proofErr w:type="spellEnd"/>
      <w:r w:rsidRPr="008617E2">
        <w:rPr>
          <w:lang w:val="en-US"/>
        </w:rPr>
        <w:t xml:space="preserve"> for his historiographical </w:t>
      </w:r>
      <w:r>
        <w:rPr>
          <w:lang w:val="en-US"/>
        </w:rPr>
        <w:t xml:space="preserve">production and his reformative activities at Saint-Martin of </w:t>
      </w:r>
      <w:proofErr w:type="spellStart"/>
      <w:r>
        <w:rPr>
          <w:lang w:val="en-US"/>
        </w:rPr>
        <w:t>Tournai</w:t>
      </w:r>
      <w:proofErr w:type="spellEnd"/>
      <w:r>
        <w:rPr>
          <w:lang w:val="en-US"/>
        </w:rPr>
        <w:t>. His poetical activity enjoys a far more contrasted reputation. Now kept at the Royal Library in Brussels (</w:t>
      </w:r>
      <w:proofErr w:type="spellStart"/>
      <w:r>
        <w:rPr>
          <w:lang w:val="en-US"/>
        </w:rPr>
        <w:t>ms.</w:t>
      </w:r>
      <w:proofErr w:type="spellEnd"/>
      <w:r>
        <w:rPr>
          <w:lang w:val="en-US"/>
        </w:rPr>
        <w:t xml:space="preserve"> IV 119), Li </w:t>
      </w:r>
      <w:proofErr w:type="spellStart"/>
      <w:r>
        <w:rPr>
          <w:lang w:val="en-US"/>
        </w:rPr>
        <w:t>Muisis</w:t>
      </w:r>
      <w:proofErr w:type="spellEnd"/>
      <w:r>
        <w:rPr>
          <w:lang w:val="en-US"/>
        </w:rPr>
        <w:t>’</w:t>
      </w:r>
      <w:r>
        <w:rPr>
          <w:i/>
          <w:lang w:val="en-US"/>
        </w:rPr>
        <w:t xml:space="preserve"> </w:t>
      </w:r>
      <w:proofErr w:type="spellStart"/>
      <w:r>
        <w:rPr>
          <w:i/>
          <w:lang w:val="en-US"/>
        </w:rPr>
        <w:t>Registre</w:t>
      </w:r>
      <w:proofErr w:type="spellEnd"/>
      <w:r>
        <w:rPr>
          <w:lang w:val="en-US"/>
        </w:rPr>
        <w:t xml:space="preserve"> is the main witness of this part of his work. Illustrated by an iconographical cycle produced by </w:t>
      </w:r>
      <w:proofErr w:type="spellStart"/>
      <w:r>
        <w:rPr>
          <w:lang w:val="en-US"/>
        </w:rPr>
        <w:t>Pierard</w:t>
      </w:r>
      <w:proofErr w:type="spellEnd"/>
      <w:r>
        <w:rPr>
          <w:lang w:val="en-US"/>
        </w:rPr>
        <w:t xml:space="preserve"> </w:t>
      </w:r>
      <w:proofErr w:type="spellStart"/>
      <w:r>
        <w:rPr>
          <w:lang w:val="en-US"/>
        </w:rPr>
        <w:t>dou</w:t>
      </w:r>
      <w:proofErr w:type="spellEnd"/>
      <w:r>
        <w:rPr>
          <w:lang w:val="en-US"/>
        </w:rPr>
        <w:t xml:space="preserve"> </w:t>
      </w:r>
      <w:proofErr w:type="spellStart"/>
      <w:r>
        <w:rPr>
          <w:lang w:val="en-US"/>
        </w:rPr>
        <w:t>Tielt</w:t>
      </w:r>
      <w:proofErr w:type="spellEnd"/>
      <w:r>
        <w:rPr>
          <w:lang w:val="en-US"/>
        </w:rPr>
        <w:t xml:space="preserve">, the manuscript includes numerous texts in which the abbot describes the different states of the society of his time. The literary quality of this collection has been diversely appreciated. In this article, my aim is to study the miniatures in order to grasp their function and their potential links with the reformative ideals of the abbot. </w:t>
      </w:r>
      <w:proofErr w:type="spellStart"/>
      <w:r>
        <w:rPr>
          <w:lang w:val="en-US"/>
        </w:rPr>
        <w:t>Analysing</w:t>
      </w:r>
      <w:proofErr w:type="spellEnd"/>
      <w:r>
        <w:rPr>
          <w:lang w:val="en-US"/>
        </w:rPr>
        <w:t xml:space="preserve"> these pictures in close connection with the texts of the manuscript enables to show that they are not simple illustrations. On the contrary, the play a crucial role by reinforcing the intention of Li </w:t>
      </w:r>
      <w:proofErr w:type="spellStart"/>
      <w:r>
        <w:rPr>
          <w:lang w:val="en-US"/>
        </w:rPr>
        <w:t>Muisis</w:t>
      </w:r>
      <w:proofErr w:type="spellEnd"/>
      <w:r>
        <w:rPr>
          <w:lang w:val="en-US"/>
        </w:rPr>
        <w:t xml:space="preserve"> and by allowing him to leave to the posterity a valorizing image of himself. </w:t>
      </w:r>
      <w:bookmarkStart w:id="0" w:name="_GoBack"/>
      <w:bookmarkEnd w:id="0"/>
    </w:p>
    <w:p w14:paraId="1C7D374F" w14:textId="77777777" w:rsidR="00707861" w:rsidRPr="008617E2" w:rsidRDefault="00707861" w:rsidP="00707861">
      <w:pPr>
        <w:jc w:val="both"/>
        <w:rPr>
          <w:lang w:val="en-US"/>
        </w:rPr>
      </w:pPr>
    </w:p>
    <w:p w14:paraId="0ABF9AE8" w14:textId="77777777" w:rsidR="00707861" w:rsidRPr="008617E2" w:rsidRDefault="00707861" w:rsidP="00707861">
      <w:pPr>
        <w:jc w:val="both"/>
        <w:rPr>
          <w:lang w:val="en-US"/>
        </w:rPr>
      </w:pPr>
    </w:p>
    <w:p w14:paraId="73A67B83" w14:textId="77777777" w:rsidR="00707861" w:rsidRPr="008617E2" w:rsidRDefault="00707861" w:rsidP="00707861">
      <w:pPr>
        <w:jc w:val="both"/>
        <w:rPr>
          <w:lang w:val="en-US"/>
        </w:rPr>
      </w:pPr>
    </w:p>
    <w:sectPr w:rsidR="00707861" w:rsidRPr="008617E2" w:rsidSect="003F6524">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CE7C33" w14:textId="77777777" w:rsidR="00E228AF" w:rsidRDefault="00E228AF" w:rsidP="00707861">
      <w:r>
        <w:separator/>
      </w:r>
    </w:p>
  </w:endnote>
  <w:endnote w:type="continuationSeparator" w:id="0">
    <w:p w14:paraId="6757959A" w14:textId="77777777" w:rsidR="00E228AF" w:rsidRDefault="00E228AF" w:rsidP="00707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00FB78" w14:textId="77777777" w:rsidR="00E228AF" w:rsidRDefault="00E228AF" w:rsidP="00707861">
      <w:r>
        <w:separator/>
      </w:r>
    </w:p>
  </w:footnote>
  <w:footnote w:type="continuationSeparator" w:id="0">
    <w:p w14:paraId="7B07F9C5" w14:textId="77777777" w:rsidR="00E228AF" w:rsidRDefault="00E228AF" w:rsidP="007078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861"/>
    <w:rsid w:val="003E152C"/>
    <w:rsid w:val="003F6524"/>
    <w:rsid w:val="00443943"/>
    <w:rsid w:val="005C379B"/>
    <w:rsid w:val="00707861"/>
    <w:rsid w:val="00753D21"/>
    <w:rsid w:val="008617E2"/>
    <w:rsid w:val="00AC5537"/>
    <w:rsid w:val="00DE7C4A"/>
    <w:rsid w:val="00E10C83"/>
    <w:rsid w:val="00E228AF"/>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77DC30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autoRedefine/>
    <w:uiPriority w:val="99"/>
    <w:unhideWhenUsed/>
    <w:qFormat/>
    <w:rsid w:val="00707861"/>
    <w:pPr>
      <w:jc w:val="both"/>
    </w:pPr>
    <w:rPr>
      <w:rFonts w:ascii="Times" w:eastAsiaTheme="majorEastAsia" w:hAnsi="Times" w:cstheme="majorBidi"/>
      <w:sz w:val="20"/>
      <w:szCs w:val="22"/>
      <w:lang w:eastAsia="fr-FR"/>
    </w:rPr>
  </w:style>
  <w:style w:type="character" w:customStyle="1" w:styleId="NotedebasdepageCar">
    <w:name w:val="Note de bas de page Car"/>
    <w:basedOn w:val="Policepardfaut"/>
    <w:link w:val="Notedebasdepage"/>
    <w:uiPriority w:val="99"/>
    <w:rsid w:val="00707861"/>
    <w:rPr>
      <w:rFonts w:ascii="Times" w:eastAsiaTheme="majorEastAsia" w:hAnsi="Times" w:cstheme="majorBidi"/>
      <w:sz w:val="20"/>
      <w:szCs w:val="22"/>
      <w:lang w:eastAsia="fr-FR"/>
    </w:rPr>
  </w:style>
  <w:style w:type="character" w:styleId="Appelnotedebasdep">
    <w:name w:val="footnote reference"/>
    <w:basedOn w:val="Policepardfaut"/>
    <w:uiPriority w:val="99"/>
    <w:unhideWhenUsed/>
    <w:rsid w:val="007078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Words>
  <Characters>2026</Characters>
  <Application>Microsoft Macintosh Word</Application>
  <DocSecurity>0</DocSecurity>
  <Lines>16</Lines>
  <Paragraphs>4</Paragraphs>
  <ScaleCrop>false</ScaleCrop>
  <LinksUpToDate>false</LinksUpToDate>
  <CharactersWithSpaces>2390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2</cp:revision>
  <dcterms:created xsi:type="dcterms:W3CDTF">2017-10-23T08:47:00Z</dcterms:created>
  <dcterms:modified xsi:type="dcterms:W3CDTF">2017-10-23T08:47:00Z</dcterms:modified>
</cp:coreProperties>
</file>