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0F1E" w:rsidRPr="00C50DED" w:rsidRDefault="001A0711" w:rsidP="007D2AD3">
      <w:pPr>
        <w:jc w:val="center"/>
        <w:rPr>
          <w:rFonts w:asciiTheme="majorBidi" w:hAnsiTheme="majorBidi" w:cstheme="majorBidi"/>
          <w:b/>
          <w:bCs/>
          <w:sz w:val="24"/>
          <w:szCs w:val="24"/>
          <w:lang w:val="en-GB"/>
        </w:rPr>
      </w:pPr>
      <w:r w:rsidRPr="00C50DED">
        <w:rPr>
          <w:rFonts w:asciiTheme="majorBidi" w:hAnsiTheme="majorBidi" w:cstheme="majorBidi"/>
          <w:b/>
          <w:bCs/>
          <w:sz w:val="24"/>
          <w:szCs w:val="24"/>
          <w:lang w:val="en-GB"/>
        </w:rPr>
        <w:t xml:space="preserve">On the composition and early circulation of the </w:t>
      </w:r>
      <w:proofErr w:type="spellStart"/>
      <w:r w:rsidRPr="00C50DED">
        <w:rPr>
          <w:rFonts w:asciiTheme="majorBidi" w:hAnsiTheme="majorBidi" w:cstheme="majorBidi"/>
          <w:b/>
          <w:bCs/>
          <w:i/>
          <w:iCs/>
          <w:sz w:val="24"/>
          <w:szCs w:val="24"/>
          <w:lang w:val="en-GB"/>
        </w:rPr>
        <w:t>Rasā’il</w:t>
      </w:r>
      <w:proofErr w:type="spellEnd"/>
      <w:r w:rsidRPr="00C50DED">
        <w:rPr>
          <w:rFonts w:asciiTheme="majorBidi" w:hAnsiTheme="majorBidi" w:cstheme="majorBidi"/>
          <w:b/>
          <w:bCs/>
          <w:i/>
          <w:iCs/>
          <w:sz w:val="24"/>
          <w:szCs w:val="24"/>
          <w:lang w:val="en-GB"/>
        </w:rPr>
        <w:t xml:space="preserve"> </w:t>
      </w:r>
      <w:proofErr w:type="spellStart"/>
      <w:r w:rsidRPr="00C50DED">
        <w:rPr>
          <w:rFonts w:asciiTheme="majorBidi" w:hAnsiTheme="majorBidi" w:cstheme="majorBidi"/>
          <w:b/>
          <w:bCs/>
          <w:i/>
          <w:iCs/>
          <w:sz w:val="24"/>
          <w:szCs w:val="24"/>
          <w:lang w:val="en-GB"/>
        </w:rPr>
        <w:t>Ikhwān</w:t>
      </w:r>
      <w:proofErr w:type="spellEnd"/>
      <w:r w:rsidRPr="00C50DED">
        <w:rPr>
          <w:rFonts w:asciiTheme="majorBidi" w:hAnsiTheme="majorBidi" w:cstheme="majorBidi"/>
          <w:b/>
          <w:bCs/>
          <w:i/>
          <w:iCs/>
          <w:sz w:val="24"/>
          <w:szCs w:val="24"/>
          <w:lang w:val="en-GB"/>
        </w:rPr>
        <w:t xml:space="preserve"> al-</w:t>
      </w:r>
      <w:proofErr w:type="spellStart"/>
      <w:r w:rsidRPr="00C50DED">
        <w:rPr>
          <w:rFonts w:asciiTheme="majorBidi" w:hAnsiTheme="majorBidi" w:cstheme="majorBidi"/>
          <w:b/>
          <w:bCs/>
          <w:i/>
          <w:iCs/>
          <w:sz w:val="24"/>
          <w:szCs w:val="24"/>
          <w:lang w:val="en-GB"/>
        </w:rPr>
        <w:t>Ṣafā</w:t>
      </w:r>
      <w:proofErr w:type="spellEnd"/>
      <w:r w:rsidRPr="00C50DED">
        <w:rPr>
          <w:rFonts w:asciiTheme="majorBidi" w:hAnsiTheme="majorBidi" w:cstheme="majorBidi"/>
          <w:b/>
          <w:bCs/>
          <w:i/>
          <w:iCs/>
          <w:sz w:val="24"/>
          <w:szCs w:val="24"/>
          <w:lang w:val="en-GB"/>
        </w:rPr>
        <w:t>’</w:t>
      </w:r>
      <w:r w:rsidRPr="00C50DED">
        <w:rPr>
          <w:rFonts w:asciiTheme="majorBidi" w:hAnsiTheme="majorBidi" w:cstheme="majorBidi"/>
          <w:b/>
          <w:bCs/>
          <w:sz w:val="24"/>
          <w:szCs w:val="24"/>
          <w:lang w:val="en-GB"/>
        </w:rPr>
        <w:t xml:space="preserve">: new insights from the OUP-IIS </w:t>
      </w:r>
      <w:r w:rsidR="004E0B76" w:rsidRPr="00C50DED">
        <w:rPr>
          <w:rFonts w:asciiTheme="majorBidi" w:hAnsiTheme="majorBidi" w:cstheme="majorBidi"/>
          <w:b/>
          <w:bCs/>
          <w:sz w:val="24"/>
          <w:szCs w:val="24"/>
          <w:lang w:val="en-GB"/>
        </w:rPr>
        <w:t>Epistle</w:t>
      </w:r>
      <w:r w:rsidR="00C274AE" w:rsidRPr="00C50DED">
        <w:rPr>
          <w:rFonts w:asciiTheme="majorBidi" w:hAnsiTheme="majorBidi" w:cstheme="majorBidi"/>
          <w:b/>
          <w:bCs/>
          <w:sz w:val="24"/>
          <w:szCs w:val="24"/>
          <w:lang w:val="en-GB"/>
        </w:rPr>
        <w:t>s</w:t>
      </w:r>
      <w:r w:rsidR="004E0B76" w:rsidRPr="00C50DED">
        <w:rPr>
          <w:rFonts w:asciiTheme="majorBidi" w:hAnsiTheme="majorBidi" w:cstheme="majorBidi"/>
          <w:b/>
          <w:bCs/>
          <w:sz w:val="24"/>
          <w:szCs w:val="24"/>
          <w:lang w:val="en-GB"/>
        </w:rPr>
        <w:t xml:space="preserve"> of the Brethren of Purity series</w:t>
      </w:r>
    </w:p>
    <w:p w:rsidR="00B70F1E" w:rsidRDefault="00B70F1E">
      <w:pPr>
        <w:rPr>
          <w:lang w:val="en-GB"/>
        </w:rPr>
      </w:pPr>
    </w:p>
    <w:p w:rsidR="00C50DED" w:rsidRDefault="00C50DED">
      <w:r w:rsidRPr="00C50DED">
        <w:t>Godefroid de Callataÿ (</w:t>
      </w:r>
      <w:proofErr w:type="spellStart"/>
      <w:r w:rsidRPr="00C50DED">
        <w:t>U</w:t>
      </w:r>
      <w:r>
        <w:t>CLouvain</w:t>
      </w:r>
      <w:proofErr w:type="spellEnd"/>
      <w:r>
        <w:t>)</w:t>
      </w:r>
    </w:p>
    <w:p w:rsidR="00C50DED" w:rsidRDefault="00C50DED">
      <w:hyperlink r:id="rId5" w:history="1">
        <w:r w:rsidRPr="00615342">
          <w:rPr>
            <w:rStyle w:val="Lienhypertexte"/>
          </w:rPr>
          <w:t>godefroid.decallatay@uclouvain.be</w:t>
        </w:r>
      </w:hyperlink>
    </w:p>
    <w:p w:rsidR="00C50DED" w:rsidRDefault="00C50DED"/>
    <w:p w:rsidR="00C50DED" w:rsidRPr="00C50DED" w:rsidRDefault="00C50DED"/>
    <w:p w:rsidR="00BF4138" w:rsidRPr="00C50DED" w:rsidRDefault="00BF4138">
      <w:proofErr w:type="gramStart"/>
      <w:r w:rsidRPr="00C50DED">
        <w:t>Abstract:</w:t>
      </w:r>
      <w:proofErr w:type="gramEnd"/>
    </w:p>
    <w:p w:rsidR="00BF4138" w:rsidRPr="00C50DED" w:rsidRDefault="00BF4138"/>
    <w:p w:rsidR="00BF4138" w:rsidRPr="00E8231F" w:rsidRDefault="00BF4138" w:rsidP="00364C31">
      <w:pPr>
        <w:pStyle w:val="Baskervillenormal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The collaborative project of critical edition of the whole corpus of </w:t>
      </w:r>
      <w:proofErr w:type="spellStart"/>
      <w:r w:rsidRPr="00BF4138">
        <w:rPr>
          <w:rFonts w:asciiTheme="majorBidi" w:hAnsiTheme="majorBidi" w:cstheme="majorBidi"/>
          <w:i/>
          <w:iCs/>
        </w:rPr>
        <w:t>Rasā’il</w:t>
      </w:r>
      <w:proofErr w:type="spellEnd"/>
      <w:r w:rsidRPr="00BF4138">
        <w:rPr>
          <w:rFonts w:asciiTheme="majorBidi" w:hAnsiTheme="majorBidi" w:cstheme="majorBidi"/>
          <w:i/>
          <w:iCs/>
        </w:rPr>
        <w:t xml:space="preserve"> </w:t>
      </w:r>
      <w:proofErr w:type="spellStart"/>
      <w:r w:rsidRPr="00BF4138">
        <w:rPr>
          <w:rFonts w:asciiTheme="majorBidi" w:hAnsiTheme="majorBidi" w:cstheme="majorBidi"/>
          <w:i/>
          <w:iCs/>
        </w:rPr>
        <w:t>Ikhwān</w:t>
      </w:r>
      <w:proofErr w:type="spellEnd"/>
      <w:r w:rsidRPr="00BF4138">
        <w:rPr>
          <w:rFonts w:asciiTheme="majorBidi" w:hAnsiTheme="majorBidi" w:cstheme="majorBidi"/>
          <w:i/>
          <w:iCs/>
        </w:rPr>
        <w:t xml:space="preserve"> al-</w:t>
      </w:r>
      <w:proofErr w:type="spellStart"/>
      <w:r w:rsidRPr="00BF4138">
        <w:rPr>
          <w:rFonts w:asciiTheme="majorBidi" w:hAnsiTheme="majorBidi" w:cstheme="majorBidi"/>
          <w:i/>
          <w:iCs/>
        </w:rPr>
        <w:t>Ṣafā</w:t>
      </w:r>
      <w:proofErr w:type="spellEnd"/>
      <w:r w:rsidRPr="00BF4138">
        <w:rPr>
          <w:rFonts w:asciiTheme="majorBidi" w:hAnsiTheme="majorBidi" w:cstheme="majorBidi"/>
          <w:i/>
          <w:iCs/>
        </w:rPr>
        <w:t>’</w:t>
      </w:r>
      <w:r>
        <w:rPr>
          <w:rFonts w:asciiTheme="majorBidi" w:hAnsiTheme="majorBidi" w:cstheme="majorBidi"/>
        </w:rPr>
        <w:t xml:space="preserve"> is about to be completed in the “Epistles of the Brethren of Purity” at Oxford University Press in association with the Institute of Ismaili Studies. Based on a set of about 20 manuscripts, this project has revealed a great complexity in the transmission of </w:t>
      </w:r>
      <w:r w:rsidR="000F28F7">
        <w:rPr>
          <w:rFonts w:asciiTheme="majorBidi" w:hAnsiTheme="majorBidi" w:cstheme="majorBidi"/>
        </w:rPr>
        <w:t xml:space="preserve">this corpus – a complexity that </w:t>
      </w:r>
      <w:r w:rsidR="00EA3034">
        <w:rPr>
          <w:rFonts w:asciiTheme="majorBidi" w:hAnsiTheme="majorBidi" w:cstheme="majorBidi"/>
        </w:rPr>
        <w:t xml:space="preserve">the </w:t>
      </w:r>
      <w:r w:rsidR="000F28F7">
        <w:rPr>
          <w:rFonts w:asciiTheme="majorBidi" w:hAnsiTheme="majorBidi" w:cstheme="majorBidi"/>
        </w:rPr>
        <w:t xml:space="preserve">contributors to the volumes published so far have </w:t>
      </w:r>
      <w:r w:rsidR="00EA3034">
        <w:rPr>
          <w:rFonts w:asciiTheme="majorBidi" w:hAnsiTheme="majorBidi" w:cstheme="majorBidi"/>
        </w:rPr>
        <w:t xml:space="preserve">all </w:t>
      </w:r>
      <w:r w:rsidR="000F28F7">
        <w:rPr>
          <w:rFonts w:asciiTheme="majorBidi" w:hAnsiTheme="majorBidi" w:cstheme="majorBidi"/>
        </w:rPr>
        <w:t xml:space="preserve">highlighted. In particular, </w:t>
      </w:r>
      <w:r w:rsidR="00F01407">
        <w:rPr>
          <w:rFonts w:asciiTheme="majorBidi" w:hAnsiTheme="majorBidi" w:cstheme="majorBidi"/>
        </w:rPr>
        <w:t xml:space="preserve">in the ultimate five epistles of the corpus as we have it, </w:t>
      </w:r>
      <w:r w:rsidR="000F28F7">
        <w:rPr>
          <w:rFonts w:asciiTheme="majorBidi" w:hAnsiTheme="majorBidi" w:cstheme="majorBidi"/>
        </w:rPr>
        <w:t>the OUP-IIS project</w:t>
      </w:r>
      <w:r w:rsidR="00A12DBC">
        <w:rPr>
          <w:rFonts w:asciiTheme="majorBidi" w:hAnsiTheme="majorBidi" w:cstheme="majorBidi"/>
        </w:rPr>
        <w:t xml:space="preserve"> </w:t>
      </w:r>
      <w:r w:rsidR="000F28F7">
        <w:rPr>
          <w:rFonts w:asciiTheme="majorBidi" w:hAnsiTheme="majorBidi" w:cstheme="majorBidi"/>
        </w:rPr>
        <w:t>reveal</w:t>
      </w:r>
      <w:r w:rsidR="007A05AB">
        <w:rPr>
          <w:rFonts w:asciiTheme="majorBidi" w:hAnsiTheme="majorBidi" w:cstheme="majorBidi"/>
        </w:rPr>
        <w:t>s</w:t>
      </w:r>
      <w:r w:rsidR="000F28F7">
        <w:rPr>
          <w:rFonts w:asciiTheme="majorBidi" w:hAnsiTheme="majorBidi" w:cstheme="majorBidi"/>
        </w:rPr>
        <w:t xml:space="preserve"> the existence</w:t>
      </w:r>
      <w:r w:rsidR="009F4678">
        <w:rPr>
          <w:rFonts w:asciiTheme="majorBidi" w:hAnsiTheme="majorBidi" w:cstheme="majorBidi"/>
        </w:rPr>
        <w:t xml:space="preserve"> of</w:t>
      </w:r>
      <w:bookmarkStart w:id="0" w:name="_GoBack"/>
      <w:bookmarkEnd w:id="0"/>
      <w:r w:rsidR="009F4678">
        <w:rPr>
          <w:rFonts w:asciiTheme="majorBidi" w:hAnsiTheme="majorBidi" w:cstheme="majorBidi"/>
        </w:rPr>
        <w:t xml:space="preserve"> </w:t>
      </w:r>
      <w:r w:rsidR="00E0137A">
        <w:rPr>
          <w:rFonts w:asciiTheme="majorBidi" w:hAnsiTheme="majorBidi" w:cstheme="majorBidi"/>
        </w:rPr>
        <w:t xml:space="preserve">significant </w:t>
      </w:r>
      <w:r w:rsidR="009F4678">
        <w:rPr>
          <w:rFonts w:asciiTheme="majorBidi" w:hAnsiTheme="majorBidi" w:cstheme="majorBidi"/>
        </w:rPr>
        <w:t>divergences between manuscript</w:t>
      </w:r>
      <w:r w:rsidR="00CC118C">
        <w:rPr>
          <w:rFonts w:asciiTheme="majorBidi" w:hAnsiTheme="majorBidi" w:cstheme="majorBidi"/>
        </w:rPr>
        <w:t xml:space="preserve">s. These include </w:t>
      </w:r>
      <w:r w:rsidR="00F01407">
        <w:rPr>
          <w:rFonts w:asciiTheme="majorBidi" w:hAnsiTheme="majorBidi" w:cstheme="majorBidi"/>
        </w:rPr>
        <w:t xml:space="preserve">two families of manuscripts presenting a </w:t>
      </w:r>
      <w:r w:rsidR="00665EB7">
        <w:rPr>
          <w:rFonts w:asciiTheme="majorBidi" w:hAnsiTheme="majorBidi" w:cstheme="majorBidi"/>
        </w:rPr>
        <w:t xml:space="preserve">thoroughly </w:t>
      </w:r>
      <w:r w:rsidR="009F4678">
        <w:rPr>
          <w:rFonts w:asciiTheme="majorBidi" w:hAnsiTheme="majorBidi" w:cstheme="majorBidi"/>
        </w:rPr>
        <w:t xml:space="preserve">different arrangement of chapters </w:t>
      </w:r>
      <w:r w:rsidR="002A2A3D">
        <w:rPr>
          <w:rFonts w:asciiTheme="majorBidi" w:hAnsiTheme="majorBidi" w:cstheme="majorBidi"/>
        </w:rPr>
        <w:t>in</w:t>
      </w:r>
      <w:r w:rsidR="00F01407">
        <w:rPr>
          <w:rFonts w:asciiTheme="majorBidi" w:hAnsiTheme="majorBidi" w:cstheme="majorBidi"/>
        </w:rPr>
        <w:t xml:space="preserve"> </w:t>
      </w:r>
      <w:r w:rsidR="009F4678">
        <w:rPr>
          <w:rFonts w:asciiTheme="majorBidi" w:hAnsiTheme="majorBidi" w:cstheme="majorBidi"/>
        </w:rPr>
        <w:t>Epistle 48</w:t>
      </w:r>
      <w:r w:rsidR="00F01407">
        <w:rPr>
          <w:rFonts w:asciiTheme="majorBidi" w:hAnsiTheme="majorBidi" w:cstheme="majorBidi"/>
        </w:rPr>
        <w:t xml:space="preserve"> (‘The Call to God’)</w:t>
      </w:r>
      <w:r w:rsidR="009F4678">
        <w:rPr>
          <w:rFonts w:asciiTheme="majorBidi" w:hAnsiTheme="majorBidi" w:cstheme="majorBidi"/>
        </w:rPr>
        <w:t xml:space="preserve">, the existence of </w:t>
      </w:r>
      <w:r w:rsidR="00F01407">
        <w:rPr>
          <w:rFonts w:asciiTheme="majorBidi" w:hAnsiTheme="majorBidi" w:cstheme="majorBidi"/>
        </w:rPr>
        <w:t xml:space="preserve">two or more </w:t>
      </w:r>
      <w:r w:rsidR="009F4678">
        <w:rPr>
          <w:rFonts w:asciiTheme="majorBidi" w:hAnsiTheme="majorBidi" w:cstheme="majorBidi"/>
        </w:rPr>
        <w:t>versions</w:t>
      </w:r>
      <w:r w:rsidR="00F01407">
        <w:rPr>
          <w:rFonts w:asciiTheme="majorBidi" w:hAnsiTheme="majorBidi" w:cstheme="majorBidi"/>
        </w:rPr>
        <w:t xml:space="preserve">, apparently mutually exclusive, for </w:t>
      </w:r>
      <w:r w:rsidR="009F4678">
        <w:rPr>
          <w:rFonts w:asciiTheme="majorBidi" w:hAnsiTheme="majorBidi" w:cstheme="majorBidi"/>
        </w:rPr>
        <w:t>Epistles 49</w:t>
      </w:r>
      <w:r w:rsidR="00F01407">
        <w:rPr>
          <w:rFonts w:asciiTheme="majorBidi" w:hAnsiTheme="majorBidi" w:cstheme="majorBidi"/>
        </w:rPr>
        <w:t xml:space="preserve"> (‘On the Spiritual Beings’)</w:t>
      </w:r>
      <w:r w:rsidR="009F4678">
        <w:rPr>
          <w:rFonts w:asciiTheme="majorBidi" w:hAnsiTheme="majorBidi" w:cstheme="majorBidi"/>
        </w:rPr>
        <w:t>, 51</w:t>
      </w:r>
      <w:r w:rsidR="00F01407">
        <w:rPr>
          <w:rFonts w:asciiTheme="majorBidi" w:hAnsiTheme="majorBidi" w:cstheme="majorBidi"/>
        </w:rPr>
        <w:t xml:space="preserve"> (‘On the Arrangement of the World’)</w:t>
      </w:r>
      <w:r w:rsidR="009F4678">
        <w:rPr>
          <w:rFonts w:asciiTheme="majorBidi" w:hAnsiTheme="majorBidi" w:cstheme="majorBidi"/>
        </w:rPr>
        <w:t>, and 52</w:t>
      </w:r>
      <w:r w:rsidR="00F01407">
        <w:rPr>
          <w:rFonts w:asciiTheme="majorBidi" w:hAnsiTheme="majorBidi" w:cstheme="majorBidi"/>
        </w:rPr>
        <w:t xml:space="preserve"> (‘On Magic’)</w:t>
      </w:r>
      <w:r w:rsidR="009F4678">
        <w:rPr>
          <w:rFonts w:asciiTheme="majorBidi" w:hAnsiTheme="majorBidi" w:cstheme="majorBidi"/>
        </w:rPr>
        <w:t xml:space="preserve">, </w:t>
      </w:r>
      <w:r w:rsidR="00F74EF6">
        <w:rPr>
          <w:rFonts w:asciiTheme="majorBidi" w:hAnsiTheme="majorBidi" w:cstheme="majorBidi"/>
        </w:rPr>
        <w:t>and</w:t>
      </w:r>
      <w:r w:rsidR="00E0137A">
        <w:rPr>
          <w:rFonts w:asciiTheme="majorBidi" w:hAnsiTheme="majorBidi" w:cstheme="majorBidi"/>
        </w:rPr>
        <w:t xml:space="preserve"> </w:t>
      </w:r>
      <w:r w:rsidR="002A2A3D">
        <w:rPr>
          <w:rFonts w:asciiTheme="majorBidi" w:hAnsiTheme="majorBidi" w:cstheme="majorBidi"/>
        </w:rPr>
        <w:t>an</w:t>
      </w:r>
      <w:r w:rsidR="00E0137A">
        <w:rPr>
          <w:rFonts w:asciiTheme="majorBidi" w:hAnsiTheme="majorBidi" w:cstheme="majorBidi"/>
        </w:rPr>
        <w:t xml:space="preserve"> exceptional</w:t>
      </w:r>
      <w:r w:rsidR="00F01407">
        <w:rPr>
          <w:rFonts w:asciiTheme="majorBidi" w:hAnsiTheme="majorBidi" w:cstheme="majorBidi"/>
        </w:rPr>
        <w:t xml:space="preserve"> </w:t>
      </w:r>
      <w:r w:rsidR="00B8357F">
        <w:rPr>
          <w:rFonts w:asciiTheme="majorBidi" w:hAnsiTheme="majorBidi" w:cstheme="majorBidi"/>
        </w:rPr>
        <w:t>‘esoteric addition’</w:t>
      </w:r>
      <w:r w:rsidR="00E0137A">
        <w:rPr>
          <w:rFonts w:asciiTheme="majorBidi" w:hAnsiTheme="majorBidi" w:cstheme="majorBidi"/>
        </w:rPr>
        <w:t xml:space="preserve"> </w:t>
      </w:r>
      <w:r w:rsidR="002A2A3D">
        <w:rPr>
          <w:rFonts w:asciiTheme="majorBidi" w:hAnsiTheme="majorBidi" w:cstheme="majorBidi"/>
        </w:rPr>
        <w:t>in</w:t>
      </w:r>
      <w:r w:rsidR="00F01407">
        <w:rPr>
          <w:rFonts w:asciiTheme="majorBidi" w:hAnsiTheme="majorBidi" w:cstheme="majorBidi"/>
        </w:rPr>
        <w:t xml:space="preserve"> </w:t>
      </w:r>
      <w:r w:rsidR="00E0137A">
        <w:rPr>
          <w:rFonts w:asciiTheme="majorBidi" w:hAnsiTheme="majorBidi" w:cstheme="majorBidi"/>
        </w:rPr>
        <w:t xml:space="preserve">one manuscript </w:t>
      </w:r>
      <w:r w:rsidR="002A2A3D">
        <w:rPr>
          <w:rFonts w:asciiTheme="majorBidi" w:hAnsiTheme="majorBidi" w:cstheme="majorBidi"/>
        </w:rPr>
        <w:t>of</w:t>
      </w:r>
      <w:r w:rsidR="00F01407">
        <w:rPr>
          <w:rFonts w:asciiTheme="majorBidi" w:hAnsiTheme="majorBidi" w:cstheme="majorBidi"/>
        </w:rPr>
        <w:t xml:space="preserve"> </w:t>
      </w:r>
      <w:r w:rsidR="00E0137A">
        <w:rPr>
          <w:rFonts w:asciiTheme="majorBidi" w:hAnsiTheme="majorBidi" w:cstheme="majorBidi"/>
        </w:rPr>
        <w:t>Epistle 50</w:t>
      </w:r>
      <w:r w:rsidR="00F01407">
        <w:rPr>
          <w:rFonts w:asciiTheme="majorBidi" w:hAnsiTheme="majorBidi" w:cstheme="majorBidi"/>
        </w:rPr>
        <w:t xml:space="preserve"> (</w:t>
      </w:r>
      <w:r w:rsidR="00665EB7">
        <w:rPr>
          <w:rFonts w:asciiTheme="majorBidi" w:hAnsiTheme="majorBidi" w:cstheme="majorBidi"/>
        </w:rPr>
        <w:t>‘</w:t>
      </w:r>
      <w:r w:rsidR="00F01407">
        <w:rPr>
          <w:rFonts w:asciiTheme="majorBidi" w:hAnsiTheme="majorBidi" w:cstheme="majorBidi"/>
        </w:rPr>
        <w:t xml:space="preserve">On the </w:t>
      </w:r>
      <w:r w:rsidR="00665EB7">
        <w:rPr>
          <w:rFonts w:asciiTheme="majorBidi" w:hAnsiTheme="majorBidi" w:cstheme="majorBidi"/>
        </w:rPr>
        <w:t>Species of Governance’</w:t>
      </w:r>
      <w:r w:rsidR="00E0137A">
        <w:rPr>
          <w:rFonts w:asciiTheme="majorBidi" w:hAnsiTheme="majorBidi" w:cstheme="majorBidi"/>
        </w:rPr>
        <w:t>).</w:t>
      </w:r>
      <w:r w:rsidR="008A0EC2">
        <w:rPr>
          <w:rFonts w:asciiTheme="majorBidi" w:hAnsiTheme="majorBidi" w:cstheme="majorBidi"/>
        </w:rPr>
        <w:t xml:space="preserve"> </w:t>
      </w:r>
      <w:r w:rsidR="00871BC7">
        <w:rPr>
          <w:rFonts w:asciiTheme="majorBidi" w:hAnsiTheme="majorBidi" w:cstheme="majorBidi"/>
        </w:rPr>
        <w:t>The present paper will</w:t>
      </w:r>
      <w:r w:rsidR="00825C54">
        <w:rPr>
          <w:rFonts w:asciiTheme="majorBidi" w:hAnsiTheme="majorBidi" w:cstheme="majorBidi"/>
        </w:rPr>
        <w:t xml:space="preserve"> </w:t>
      </w:r>
      <w:r w:rsidR="00871BC7">
        <w:rPr>
          <w:rFonts w:asciiTheme="majorBidi" w:hAnsiTheme="majorBidi" w:cstheme="majorBidi"/>
        </w:rPr>
        <w:t xml:space="preserve">stress </w:t>
      </w:r>
      <w:r w:rsidR="00825C54">
        <w:rPr>
          <w:rFonts w:asciiTheme="majorBidi" w:hAnsiTheme="majorBidi" w:cstheme="majorBidi"/>
        </w:rPr>
        <w:t>that this final part of the corpus is</w:t>
      </w:r>
      <w:r w:rsidR="00F74EF6">
        <w:rPr>
          <w:rFonts w:asciiTheme="majorBidi" w:hAnsiTheme="majorBidi" w:cstheme="majorBidi"/>
        </w:rPr>
        <w:t xml:space="preserve">: (1) </w:t>
      </w:r>
      <w:r w:rsidR="00210E17">
        <w:rPr>
          <w:rFonts w:asciiTheme="majorBidi" w:hAnsiTheme="majorBidi" w:cstheme="majorBidi"/>
        </w:rPr>
        <w:t>where the divide between an Ismaili-orientated group of manuscripts and the rest of the manuscripts is the most perceptible</w:t>
      </w:r>
      <w:r w:rsidR="00F74EF6">
        <w:rPr>
          <w:rFonts w:asciiTheme="majorBidi" w:hAnsiTheme="majorBidi" w:cstheme="majorBidi"/>
        </w:rPr>
        <w:t xml:space="preserve">; (2) </w:t>
      </w:r>
      <w:r w:rsidR="00210E17">
        <w:rPr>
          <w:rFonts w:asciiTheme="majorBidi" w:hAnsiTheme="majorBidi" w:cstheme="majorBidi"/>
        </w:rPr>
        <w:t xml:space="preserve">where the references to the </w:t>
      </w:r>
      <w:proofErr w:type="spellStart"/>
      <w:r w:rsidR="00210E17" w:rsidRPr="00210E17">
        <w:rPr>
          <w:rFonts w:asciiTheme="majorBidi" w:hAnsiTheme="majorBidi" w:cstheme="majorBidi"/>
          <w:i/>
          <w:iCs/>
        </w:rPr>
        <w:t>Risāla</w:t>
      </w:r>
      <w:proofErr w:type="spellEnd"/>
      <w:r w:rsidR="00210E17" w:rsidRPr="00210E17">
        <w:rPr>
          <w:rFonts w:asciiTheme="majorBidi" w:hAnsiTheme="majorBidi" w:cstheme="majorBidi"/>
          <w:i/>
          <w:iCs/>
        </w:rPr>
        <w:t xml:space="preserve"> al-</w:t>
      </w:r>
      <w:proofErr w:type="spellStart"/>
      <w:r w:rsidR="00210E17" w:rsidRPr="00210E17">
        <w:rPr>
          <w:rFonts w:asciiTheme="majorBidi" w:hAnsiTheme="majorBidi" w:cstheme="majorBidi"/>
          <w:i/>
          <w:iCs/>
        </w:rPr>
        <w:t>Jāmi‘a</w:t>
      </w:r>
      <w:proofErr w:type="spellEnd"/>
      <w:r w:rsidR="00210E17">
        <w:rPr>
          <w:rFonts w:asciiTheme="majorBidi" w:hAnsiTheme="majorBidi" w:cstheme="majorBidi"/>
        </w:rPr>
        <w:t xml:space="preserve">, the Comprehensive Epistle supposed to have been written by the same authors as the </w:t>
      </w:r>
      <w:proofErr w:type="spellStart"/>
      <w:r w:rsidR="00210E17" w:rsidRPr="00210E17">
        <w:rPr>
          <w:rFonts w:asciiTheme="majorBidi" w:hAnsiTheme="majorBidi" w:cstheme="majorBidi"/>
          <w:i/>
          <w:iCs/>
        </w:rPr>
        <w:t>Rasā’il</w:t>
      </w:r>
      <w:proofErr w:type="spellEnd"/>
      <w:r w:rsidR="00D825DD">
        <w:rPr>
          <w:rFonts w:asciiTheme="majorBidi" w:hAnsiTheme="majorBidi" w:cstheme="majorBidi"/>
        </w:rPr>
        <w:t xml:space="preserve">, </w:t>
      </w:r>
      <w:r w:rsidR="00825C54" w:rsidRPr="00825C54">
        <w:rPr>
          <w:rFonts w:asciiTheme="majorBidi" w:hAnsiTheme="majorBidi" w:cstheme="majorBidi"/>
        </w:rPr>
        <w:t>are least likely to have been interpolated</w:t>
      </w:r>
      <w:r w:rsidR="00F761E1">
        <w:rPr>
          <w:rFonts w:asciiTheme="majorBidi" w:hAnsiTheme="majorBidi" w:cstheme="majorBidi"/>
        </w:rPr>
        <w:t xml:space="preserve"> (</w:t>
      </w:r>
      <w:r w:rsidR="00825C54">
        <w:rPr>
          <w:rFonts w:asciiTheme="majorBidi" w:hAnsiTheme="majorBidi" w:cstheme="majorBidi"/>
        </w:rPr>
        <w:t>as was recently demonstrated by Janne Mattila</w:t>
      </w:r>
      <w:r w:rsidR="00F761E1">
        <w:rPr>
          <w:rFonts w:asciiTheme="majorBidi" w:hAnsiTheme="majorBidi" w:cstheme="majorBidi"/>
        </w:rPr>
        <w:t>)</w:t>
      </w:r>
      <w:r w:rsidR="00D825DD">
        <w:rPr>
          <w:rFonts w:asciiTheme="majorBidi" w:hAnsiTheme="majorBidi" w:cstheme="majorBidi"/>
        </w:rPr>
        <w:t xml:space="preserve">. Additionally, we shall argue </w:t>
      </w:r>
      <w:r w:rsidR="00825C54">
        <w:rPr>
          <w:rFonts w:asciiTheme="majorBidi" w:hAnsiTheme="majorBidi" w:cstheme="majorBidi"/>
        </w:rPr>
        <w:t xml:space="preserve">that </w:t>
      </w:r>
      <w:r w:rsidR="00F74EF6">
        <w:rPr>
          <w:rFonts w:asciiTheme="majorBidi" w:hAnsiTheme="majorBidi" w:cstheme="majorBidi"/>
        </w:rPr>
        <w:t xml:space="preserve">the integrality of </w:t>
      </w:r>
      <w:r w:rsidR="00D825DD">
        <w:rPr>
          <w:rFonts w:asciiTheme="majorBidi" w:hAnsiTheme="majorBidi" w:cstheme="majorBidi"/>
        </w:rPr>
        <w:t>both</w:t>
      </w:r>
      <w:r w:rsidR="00F74EF6">
        <w:rPr>
          <w:rFonts w:asciiTheme="majorBidi" w:hAnsiTheme="majorBidi" w:cstheme="majorBidi"/>
        </w:rPr>
        <w:t xml:space="preserve"> Epistle 51 and Epistle 52,</w:t>
      </w:r>
      <w:r w:rsidR="00D825DD">
        <w:rPr>
          <w:rFonts w:asciiTheme="majorBidi" w:hAnsiTheme="majorBidi" w:cstheme="majorBidi"/>
        </w:rPr>
        <w:t xml:space="preserve"> </w:t>
      </w:r>
      <w:r w:rsidR="00F74EF6">
        <w:rPr>
          <w:rFonts w:asciiTheme="majorBidi" w:hAnsiTheme="majorBidi" w:cstheme="majorBidi"/>
        </w:rPr>
        <w:t>in any of the</w:t>
      </w:r>
      <w:r w:rsidR="00D825DD">
        <w:rPr>
          <w:rFonts w:asciiTheme="majorBidi" w:hAnsiTheme="majorBidi" w:cstheme="majorBidi"/>
        </w:rPr>
        <w:t>ir</w:t>
      </w:r>
      <w:r w:rsidR="00F74EF6">
        <w:rPr>
          <w:rFonts w:asciiTheme="majorBidi" w:hAnsiTheme="majorBidi" w:cstheme="majorBidi"/>
        </w:rPr>
        <w:t xml:space="preserve"> versions</w:t>
      </w:r>
      <w:r w:rsidR="00D825DD">
        <w:rPr>
          <w:rFonts w:asciiTheme="majorBidi" w:hAnsiTheme="majorBidi" w:cstheme="majorBidi"/>
        </w:rPr>
        <w:t xml:space="preserve">, to what could be regarded as the original encyclopedic project, is </w:t>
      </w:r>
      <w:r w:rsidR="00BF2AA1">
        <w:rPr>
          <w:rFonts w:asciiTheme="majorBidi" w:hAnsiTheme="majorBidi" w:cstheme="majorBidi"/>
        </w:rPr>
        <w:t xml:space="preserve">to be discarded. </w:t>
      </w:r>
      <w:r w:rsidR="00364C31">
        <w:rPr>
          <w:rFonts w:asciiTheme="majorBidi" w:hAnsiTheme="majorBidi" w:cstheme="majorBidi"/>
        </w:rPr>
        <w:t xml:space="preserve">At the light of these observations, new venues of exploration will be proposed with relation to the composition and early circulation of the </w:t>
      </w:r>
      <w:proofErr w:type="spellStart"/>
      <w:r w:rsidR="00364C31" w:rsidRPr="00364C31">
        <w:rPr>
          <w:rFonts w:asciiTheme="majorBidi" w:hAnsiTheme="majorBidi" w:cstheme="majorBidi"/>
          <w:i/>
          <w:iCs/>
        </w:rPr>
        <w:t>Rasā’il</w:t>
      </w:r>
      <w:proofErr w:type="spellEnd"/>
      <w:r w:rsidR="00364C31" w:rsidRPr="00364C31">
        <w:rPr>
          <w:rFonts w:asciiTheme="majorBidi" w:hAnsiTheme="majorBidi" w:cstheme="majorBidi"/>
          <w:i/>
          <w:iCs/>
        </w:rPr>
        <w:t xml:space="preserve"> </w:t>
      </w:r>
      <w:proofErr w:type="spellStart"/>
      <w:r w:rsidR="00364C31" w:rsidRPr="00364C31">
        <w:rPr>
          <w:rFonts w:asciiTheme="majorBidi" w:hAnsiTheme="majorBidi" w:cstheme="majorBidi"/>
          <w:i/>
          <w:iCs/>
        </w:rPr>
        <w:t>Ikhwān</w:t>
      </w:r>
      <w:proofErr w:type="spellEnd"/>
      <w:r w:rsidR="00364C31" w:rsidRPr="00364C31">
        <w:rPr>
          <w:rFonts w:asciiTheme="majorBidi" w:hAnsiTheme="majorBidi" w:cstheme="majorBidi"/>
          <w:i/>
          <w:iCs/>
        </w:rPr>
        <w:t xml:space="preserve"> al-</w:t>
      </w:r>
      <w:proofErr w:type="spellStart"/>
      <w:r w:rsidR="00364C31" w:rsidRPr="00364C31">
        <w:rPr>
          <w:rFonts w:asciiTheme="majorBidi" w:hAnsiTheme="majorBidi" w:cstheme="majorBidi"/>
          <w:i/>
          <w:iCs/>
        </w:rPr>
        <w:t>Ṣafā</w:t>
      </w:r>
      <w:proofErr w:type="spellEnd"/>
      <w:r w:rsidR="00364C31" w:rsidRPr="00364C31">
        <w:rPr>
          <w:rFonts w:asciiTheme="majorBidi" w:hAnsiTheme="majorBidi" w:cstheme="majorBidi"/>
          <w:i/>
          <w:iCs/>
        </w:rPr>
        <w:t xml:space="preserve">’ </w:t>
      </w:r>
      <w:r w:rsidR="00364C31">
        <w:rPr>
          <w:rFonts w:asciiTheme="majorBidi" w:hAnsiTheme="majorBidi" w:cstheme="majorBidi"/>
        </w:rPr>
        <w:t xml:space="preserve">and the </w:t>
      </w:r>
      <w:proofErr w:type="spellStart"/>
      <w:r w:rsidR="00364C31" w:rsidRPr="00364C31">
        <w:rPr>
          <w:rFonts w:asciiTheme="majorBidi" w:hAnsiTheme="majorBidi" w:cstheme="majorBidi"/>
          <w:i/>
          <w:iCs/>
        </w:rPr>
        <w:t>Risāla</w:t>
      </w:r>
      <w:proofErr w:type="spellEnd"/>
      <w:r w:rsidR="00364C31" w:rsidRPr="00364C31">
        <w:rPr>
          <w:rFonts w:asciiTheme="majorBidi" w:hAnsiTheme="majorBidi" w:cstheme="majorBidi"/>
          <w:i/>
          <w:iCs/>
        </w:rPr>
        <w:t xml:space="preserve"> al-</w:t>
      </w:r>
      <w:proofErr w:type="spellStart"/>
      <w:proofErr w:type="gramStart"/>
      <w:r w:rsidR="00364C31" w:rsidRPr="00364C31">
        <w:rPr>
          <w:rFonts w:asciiTheme="majorBidi" w:hAnsiTheme="majorBidi" w:cstheme="majorBidi"/>
          <w:i/>
          <w:iCs/>
        </w:rPr>
        <w:t>Jāmi‘</w:t>
      </w:r>
      <w:proofErr w:type="gramEnd"/>
      <w:r w:rsidR="00364C31" w:rsidRPr="00364C31">
        <w:rPr>
          <w:rFonts w:asciiTheme="majorBidi" w:hAnsiTheme="majorBidi" w:cstheme="majorBidi"/>
          <w:i/>
          <w:iCs/>
        </w:rPr>
        <w:t>a</w:t>
      </w:r>
      <w:proofErr w:type="spellEnd"/>
      <w:r w:rsidR="00364C31">
        <w:rPr>
          <w:rFonts w:asciiTheme="majorBidi" w:hAnsiTheme="majorBidi" w:cstheme="majorBidi"/>
        </w:rPr>
        <w:t>.</w:t>
      </w:r>
    </w:p>
    <w:sectPr w:rsidR="00BF4138" w:rsidRPr="00E823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skerville">
    <w:altName w:val="Baskerville Old Face"/>
    <w:charset w:val="00"/>
    <w:family w:val="roman"/>
    <w:pitch w:val="variable"/>
    <w:sig w:usb0="80000067" w:usb1="02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074F9B"/>
    <w:multiLevelType w:val="hybridMultilevel"/>
    <w:tmpl w:val="2834A948"/>
    <w:lvl w:ilvl="0" w:tplc="128CD7C4">
      <w:start w:val="1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14E"/>
    <w:rsid w:val="000336BB"/>
    <w:rsid w:val="000F28F7"/>
    <w:rsid w:val="00126E44"/>
    <w:rsid w:val="001A0711"/>
    <w:rsid w:val="001E2529"/>
    <w:rsid w:val="001E6B4E"/>
    <w:rsid w:val="00210E17"/>
    <w:rsid w:val="00212952"/>
    <w:rsid w:val="0026613F"/>
    <w:rsid w:val="002A2A3D"/>
    <w:rsid w:val="00320FF6"/>
    <w:rsid w:val="00364C31"/>
    <w:rsid w:val="00373AD5"/>
    <w:rsid w:val="003A29D7"/>
    <w:rsid w:val="003C1E0A"/>
    <w:rsid w:val="004206B8"/>
    <w:rsid w:val="00423779"/>
    <w:rsid w:val="00440135"/>
    <w:rsid w:val="00455CBB"/>
    <w:rsid w:val="004C27FE"/>
    <w:rsid w:val="004E0B76"/>
    <w:rsid w:val="005215E4"/>
    <w:rsid w:val="00580FE1"/>
    <w:rsid w:val="0060705C"/>
    <w:rsid w:val="006531EA"/>
    <w:rsid w:val="00665EB7"/>
    <w:rsid w:val="006A6321"/>
    <w:rsid w:val="006C7848"/>
    <w:rsid w:val="007A05AB"/>
    <w:rsid w:val="007D2AD3"/>
    <w:rsid w:val="008143A2"/>
    <w:rsid w:val="00825C54"/>
    <w:rsid w:val="00833BB6"/>
    <w:rsid w:val="00871BC7"/>
    <w:rsid w:val="008A0EC2"/>
    <w:rsid w:val="00966D66"/>
    <w:rsid w:val="009F4678"/>
    <w:rsid w:val="00A12DBC"/>
    <w:rsid w:val="00A151BF"/>
    <w:rsid w:val="00A16661"/>
    <w:rsid w:val="00A507BD"/>
    <w:rsid w:val="00AC6C99"/>
    <w:rsid w:val="00B051E6"/>
    <w:rsid w:val="00B70F1E"/>
    <w:rsid w:val="00B8357F"/>
    <w:rsid w:val="00BF2AA1"/>
    <w:rsid w:val="00BF4138"/>
    <w:rsid w:val="00C274AE"/>
    <w:rsid w:val="00C50DED"/>
    <w:rsid w:val="00CC118C"/>
    <w:rsid w:val="00D11A22"/>
    <w:rsid w:val="00D47A2D"/>
    <w:rsid w:val="00D825DD"/>
    <w:rsid w:val="00D9424D"/>
    <w:rsid w:val="00DA77E4"/>
    <w:rsid w:val="00DD214E"/>
    <w:rsid w:val="00DD6FCE"/>
    <w:rsid w:val="00E0137A"/>
    <w:rsid w:val="00EA3034"/>
    <w:rsid w:val="00EE0A6E"/>
    <w:rsid w:val="00EE340C"/>
    <w:rsid w:val="00F01407"/>
    <w:rsid w:val="00F74EF6"/>
    <w:rsid w:val="00F76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FEF8F"/>
  <w15:chartTrackingRefBased/>
  <w15:docId w15:val="{4C95909A-511E-4871-A7A7-DE5F1F104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D214E"/>
    <w:pPr>
      <w:ind w:left="720"/>
      <w:contextualSpacing/>
    </w:pPr>
  </w:style>
  <w:style w:type="paragraph" w:customStyle="1" w:styleId="Baskervillenormal">
    <w:name w:val="Baskerville normal"/>
    <w:basedOn w:val="Normal"/>
    <w:qFormat/>
    <w:rsid w:val="00BF4138"/>
    <w:pPr>
      <w:spacing w:after="0" w:line="360" w:lineRule="auto"/>
    </w:pPr>
    <w:rPr>
      <w:rFonts w:ascii="Baskerville" w:hAnsi="Baskerville"/>
      <w:bCs/>
      <w:sz w:val="24"/>
      <w:szCs w:val="24"/>
      <w:lang w:val="en-US"/>
    </w:rPr>
  </w:style>
  <w:style w:type="character" w:styleId="Lienhypertexte">
    <w:name w:val="Hyperlink"/>
    <w:basedOn w:val="Policepardfaut"/>
    <w:uiPriority w:val="99"/>
    <w:unhideWhenUsed/>
    <w:rsid w:val="00C50DED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C50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godefroid.decallatay@uclouvain.b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328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Godefroid De Callatay</dc:creator>
  <cp:keywords/>
  <dc:description/>
  <cp:lastModifiedBy>Godefroid De Callatay</cp:lastModifiedBy>
  <cp:revision>2</cp:revision>
  <dcterms:created xsi:type="dcterms:W3CDTF">2022-09-06T19:49:00Z</dcterms:created>
  <dcterms:modified xsi:type="dcterms:W3CDTF">2022-09-06T19:49:00Z</dcterms:modified>
</cp:coreProperties>
</file>