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24C593" w14:textId="5827779D" w:rsidR="007A3410" w:rsidRDefault="007A3410" w:rsidP="007A3410">
      <w:pPr>
        <w:ind w:firstLine="0"/>
        <w:rPr>
          <w:rFonts w:ascii="Times New Roman" w:hAnsi="Times New Roman" w:cs="Times New Roman"/>
          <w:smallCaps/>
          <w:color w:val="000000" w:themeColor="text1"/>
          <w:lang w:val="en-GB"/>
        </w:rPr>
      </w:pPr>
      <w:r>
        <w:rPr>
          <w:rFonts w:ascii="Times New Roman" w:hAnsi="Times New Roman" w:cs="Times New Roman"/>
          <w:color w:val="000000" w:themeColor="text1"/>
          <w:lang w:val="en-GB"/>
        </w:rPr>
        <w:t xml:space="preserve">Review: </w:t>
      </w:r>
      <w:r w:rsidRPr="007A3410">
        <w:rPr>
          <w:rFonts w:ascii="Times New Roman" w:hAnsi="Times New Roman" w:cs="Times New Roman"/>
          <w:smallCaps/>
          <w:color w:val="000000" w:themeColor="text1"/>
          <w:lang w:val="en-GB"/>
        </w:rPr>
        <w:t xml:space="preserve">Colette Sirat, </w:t>
      </w:r>
      <w:r w:rsidRPr="007A3410">
        <w:rPr>
          <w:rFonts w:ascii="Times New Roman" w:hAnsi="Times New Roman" w:cs="Times New Roman"/>
          <w:i/>
          <w:iCs/>
          <w:color w:val="000000" w:themeColor="text1"/>
          <w:lang w:val="en-GB"/>
        </w:rPr>
        <w:t>Teaching and Studying Philosophy in Jewish Culture during the Middle Ages, Turnhout</w:t>
      </w:r>
      <w:r w:rsidRPr="007A3410">
        <w:rPr>
          <w:rFonts w:ascii="Times New Roman" w:hAnsi="Times New Roman" w:cs="Times New Roman"/>
          <w:color w:val="000000" w:themeColor="text1"/>
          <w:lang w:val="en-GB"/>
        </w:rPr>
        <w:t xml:space="preserve">, </w:t>
      </w:r>
      <w:proofErr w:type="spellStart"/>
      <w:r w:rsidRPr="007A3410">
        <w:rPr>
          <w:rFonts w:ascii="Times New Roman" w:hAnsi="Times New Roman" w:cs="Times New Roman"/>
          <w:color w:val="000000" w:themeColor="text1"/>
          <w:lang w:val="en-GB"/>
        </w:rPr>
        <w:t>Brepols</w:t>
      </w:r>
      <w:proofErr w:type="spellEnd"/>
      <w:r w:rsidRPr="007A3410">
        <w:rPr>
          <w:rFonts w:ascii="Times New Roman" w:hAnsi="Times New Roman" w:cs="Times New Roman"/>
          <w:color w:val="000000" w:themeColor="text1"/>
          <w:lang w:val="en-GB"/>
        </w:rPr>
        <w:t xml:space="preserve">, </w:t>
      </w:r>
      <w:proofErr w:type="gramStart"/>
      <w:r w:rsidRPr="007A3410">
        <w:rPr>
          <w:rFonts w:ascii="Times New Roman" w:hAnsi="Times New Roman" w:cs="Times New Roman"/>
          <w:color w:val="000000" w:themeColor="text1"/>
          <w:lang w:val="en-GB"/>
        </w:rPr>
        <w:t>2025 ;</w:t>
      </w:r>
      <w:proofErr w:type="gramEnd"/>
      <w:r w:rsidRPr="007A3410">
        <w:rPr>
          <w:rFonts w:ascii="Times New Roman" w:hAnsi="Times New Roman" w:cs="Times New Roman"/>
          <w:color w:val="000000" w:themeColor="text1"/>
          <w:lang w:val="en-GB"/>
        </w:rPr>
        <w:t xml:space="preserve"> 1 vol., 134 p. (Studies on the Faculty of Arts. History and Influence, 5). </w:t>
      </w:r>
      <w:proofErr w:type="gramStart"/>
      <w:r w:rsidRPr="007A3410">
        <w:rPr>
          <w:rFonts w:ascii="Times New Roman" w:hAnsi="Times New Roman" w:cs="Times New Roman"/>
          <w:color w:val="000000" w:themeColor="text1"/>
          <w:lang w:val="en-GB"/>
        </w:rPr>
        <w:t>ISBN :</w:t>
      </w:r>
      <w:proofErr w:type="gramEnd"/>
      <w:r w:rsidRPr="007A3410">
        <w:rPr>
          <w:rFonts w:ascii="Times New Roman" w:hAnsi="Times New Roman" w:cs="Times New Roman"/>
          <w:color w:val="000000" w:themeColor="text1"/>
          <w:lang w:val="en-GB"/>
        </w:rPr>
        <w:t xml:space="preserve"> 978-2-503</w:t>
      </w:r>
      <w:r w:rsidRPr="007A3410">
        <w:rPr>
          <w:rFonts w:ascii="Times New Roman" w:hAnsi="Times New Roman" w:cs="Times New Roman"/>
          <w:smallCaps/>
          <w:color w:val="000000" w:themeColor="text1"/>
          <w:lang w:val="en-GB"/>
        </w:rPr>
        <w:t xml:space="preserve">-61491-5. </w:t>
      </w:r>
      <w:proofErr w:type="gramStart"/>
      <w:r w:rsidRPr="007A3410">
        <w:rPr>
          <w:rFonts w:ascii="Times New Roman" w:hAnsi="Times New Roman" w:cs="Times New Roman"/>
          <w:smallCaps/>
          <w:color w:val="000000" w:themeColor="text1"/>
          <w:lang w:val="en-GB"/>
        </w:rPr>
        <w:t>Prix :</w:t>
      </w:r>
      <w:proofErr w:type="gramEnd"/>
      <w:r w:rsidRPr="007A3410">
        <w:rPr>
          <w:rFonts w:ascii="Times New Roman" w:hAnsi="Times New Roman" w:cs="Times New Roman"/>
          <w:smallCaps/>
          <w:color w:val="000000" w:themeColor="text1"/>
          <w:lang w:val="en-GB"/>
        </w:rPr>
        <w:t>€ 55,00.</w:t>
      </w:r>
    </w:p>
    <w:p w14:paraId="69BCF79A" w14:textId="77777777" w:rsidR="007A3410" w:rsidRDefault="007A3410" w:rsidP="007A3410">
      <w:pPr>
        <w:ind w:firstLine="0"/>
        <w:rPr>
          <w:rFonts w:ascii="Times New Roman" w:hAnsi="Times New Roman" w:cs="Times New Roman"/>
          <w:smallCaps/>
          <w:color w:val="000000" w:themeColor="text1"/>
          <w:lang w:val="en-GB"/>
        </w:rPr>
      </w:pPr>
    </w:p>
    <w:p w14:paraId="01686772" w14:textId="77777777" w:rsidR="007A3410" w:rsidRDefault="007A3410" w:rsidP="007A3410">
      <w:pPr>
        <w:ind w:firstLine="0"/>
        <w:rPr>
          <w:rFonts w:ascii="Times New Roman" w:hAnsi="Times New Roman" w:cs="Times New Roman"/>
          <w:i/>
          <w:iCs/>
          <w:color w:val="000000" w:themeColor="text1"/>
          <w:lang w:val="en-GB"/>
        </w:rPr>
      </w:pPr>
    </w:p>
    <w:p w14:paraId="3710EBD0" w14:textId="5E2D33B0" w:rsidR="000A2444" w:rsidRPr="007A3410" w:rsidRDefault="000A2444" w:rsidP="007A3410">
      <w:pPr>
        <w:ind w:firstLine="0"/>
        <w:rPr>
          <w:rFonts w:ascii="Times New Roman" w:hAnsi="Times New Roman" w:cs="Times New Roman"/>
          <w:i/>
          <w:iCs/>
          <w:color w:val="000000" w:themeColor="text1"/>
          <w:lang w:val="en-GB"/>
        </w:rPr>
      </w:pPr>
      <w:r w:rsidRPr="00F864FB">
        <w:rPr>
          <w:rFonts w:ascii="Times New Roman" w:hAnsi="Times New Roman" w:cs="Times New Roman"/>
          <w:color w:val="000000" w:themeColor="text1"/>
          <w:lang w:val="en-GB"/>
        </w:rPr>
        <w:t xml:space="preserve">In </w:t>
      </w:r>
      <w:r w:rsidRPr="00F864FB">
        <w:rPr>
          <w:rStyle w:val="Nadruk"/>
          <w:rFonts w:ascii="Times New Roman" w:eastAsiaTheme="majorEastAsia" w:hAnsi="Times New Roman" w:cs="Times New Roman"/>
          <w:color w:val="000000" w:themeColor="text1"/>
          <w:lang w:val="en-GB"/>
        </w:rPr>
        <w:t>Teaching and Studying Philosophy in Jewish Culture during the Middle Ages</w:t>
      </w:r>
      <w:r w:rsidRPr="00F864FB">
        <w:rPr>
          <w:rFonts w:ascii="Times New Roman" w:hAnsi="Times New Roman" w:cs="Times New Roman"/>
          <w:color w:val="000000" w:themeColor="text1"/>
          <w:lang w:val="en-GB"/>
        </w:rPr>
        <w:t xml:space="preserve">, Colette Sirat offers a work of remarkable clarity. Modest in length yet wide in chronological and geographical scope, this volume, published by </w:t>
      </w:r>
      <w:proofErr w:type="spellStart"/>
      <w:r w:rsidRPr="00F864FB">
        <w:rPr>
          <w:rFonts w:ascii="Times New Roman" w:hAnsi="Times New Roman" w:cs="Times New Roman"/>
          <w:color w:val="000000" w:themeColor="text1"/>
          <w:lang w:val="en-GB"/>
        </w:rPr>
        <w:t>Brepols</w:t>
      </w:r>
      <w:proofErr w:type="spellEnd"/>
      <w:r w:rsidRPr="00F864FB">
        <w:rPr>
          <w:rFonts w:ascii="Times New Roman" w:hAnsi="Times New Roman" w:cs="Times New Roman"/>
          <w:color w:val="000000" w:themeColor="text1"/>
          <w:lang w:val="en-GB"/>
        </w:rPr>
        <w:t xml:space="preserve"> in the series </w:t>
      </w:r>
      <w:r w:rsidRPr="00F864FB">
        <w:rPr>
          <w:rStyle w:val="Nadruk"/>
          <w:rFonts w:ascii="Times New Roman" w:eastAsiaTheme="majorEastAsia" w:hAnsi="Times New Roman" w:cs="Times New Roman"/>
          <w:color w:val="000000" w:themeColor="text1"/>
          <w:lang w:val="en-GB"/>
        </w:rPr>
        <w:t>Studies on the Faculty of Arts. History and Influence</w:t>
      </w:r>
      <w:r w:rsidRPr="00F864FB">
        <w:rPr>
          <w:rFonts w:ascii="Times New Roman" w:hAnsi="Times New Roman" w:cs="Times New Roman"/>
          <w:color w:val="000000" w:themeColor="text1"/>
          <w:lang w:val="en-GB"/>
        </w:rPr>
        <w:t xml:space="preserve">, accomplishes something that has long been needed but rarely attempted: a synthetic account of philosophical pedagogy within medieval Jewish culture. Rather than rehearsing once more the doctrines of great thinkers in isolation, Sirat asks how philosophy was </w:t>
      </w:r>
      <w:proofErr w:type="gramStart"/>
      <w:r w:rsidRPr="00F864FB">
        <w:rPr>
          <w:rFonts w:ascii="Times New Roman" w:hAnsi="Times New Roman" w:cs="Times New Roman"/>
          <w:color w:val="000000" w:themeColor="text1"/>
          <w:lang w:val="en-GB"/>
        </w:rPr>
        <w:t>actually taught</w:t>
      </w:r>
      <w:proofErr w:type="gramEnd"/>
      <w:r w:rsidRPr="00F864FB">
        <w:rPr>
          <w:rFonts w:ascii="Times New Roman" w:hAnsi="Times New Roman" w:cs="Times New Roman"/>
          <w:color w:val="000000" w:themeColor="text1"/>
          <w:lang w:val="en-GB"/>
        </w:rPr>
        <w:t>, transmitted, appropriated, and contested from the twelfth to the fifteenth century.</w:t>
      </w:r>
      <w:r w:rsidR="00224DF1" w:rsidRPr="00F864FB">
        <w:rPr>
          <w:rFonts w:ascii="Times New Roman" w:hAnsi="Times New Roman" w:cs="Times New Roman"/>
          <w:color w:val="000000" w:themeColor="text1"/>
          <w:lang w:val="en-GB"/>
        </w:rPr>
        <w:t xml:space="preserve"> </w:t>
      </w:r>
      <w:r w:rsidR="00224DF1" w:rsidRPr="00F864FB">
        <w:rPr>
          <w:rFonts w:ascii="Times New Roman" w:hAnsi="Times New Roman" w:cs="Times New Roman"/>
          <w:color w:val="000000"/>
          <w:lang w:val="en-GB"/>
        </w:rPr>
        <w:t>The book represents the mature fruit of reflections she has developed over several decades, during which the theme of education in medieval Jewish contexts surfaced repeatedly in her scholarship and gave rise to a number of focused studies.</w:t>
      </w:r>
      <w:r w:rsidR="00224DF1" w:rsidRPr="00F864FB">
        <w:rPr>
          <w:rStyle w:val="Voetnootmarkering"/>
          <w:rFonts w:ascii="Times New Roman" w:hAnsi="Times New Roman" w:cs="Times New Roman"/>
          <w:color w:val="000000" w:themeColor="text1"/>
          <w:lang w:val="en-GB"/>
        </w:rPr>
        <w:footnoteReference w:id="1"/>
      </w:r>
      <w:r w:rsidR="00224DF1" w:rsidRPr="00F864FB">
        <w:rPr>
          <w:rFonts w:ascii="Times New Roman" w:hAnsi="Times New Roman" w:cs="Times New Roman"/>
          <w:color w:val="000000"/>
          <w:lang w:val="en-GB"/>
        </w:rPr>
        <w:t xml:space="preserve"> These are now gathered, further developed and integrated into a concise yet substantial volume that serves both as a thorough introduction to the subject and, potentially, as a handbook for students engaging with the growing field of Jewish educational history. Although interest in the history of Jewish education has increased in recent years,</w:t>
      </w:r>
      <w:r w:rsidR="00224DF1" w:rsidRPr="00F864FB">
        <w:rPr>
          <w:rStyle w:val="Voetnootmarkering"/>
          <w:rFonts w:ascii="Times New Roman" w:hAnsi="Times New Roman" w:cs="Times New Roman"/>
          <w:color w:val="000000"/>
          <w:lang w:val="en-GB"/>
        </w:rPr>
        <w:footnoteReference w:id="2"/>
      </w:r>
      <w:r w:rsidR="00224DF1" w:rsidRPr="00F864FB">
        <w:rPr>
          <w:rFonts w:ascii="Times New Roman" w:hAnsi="Times New Roman" w:cs="Times New Roman"/>
          <w:color w:val="000000"/>
          <w:lang w:val="en-GB"/>
        </w:rPr>
        <w:t xml:space="preserve"> no previous study has systematically addressed Jewish philosophical education in the Middle Ages. In this respect, Sirat’s contribution is both timely and foundational.</w:t>
      </w:r>
      <w:r w:rsidRPr="00F864FB">
        <w:rPr>
          <w:rFonts w:ascii="Times New Roman" w:hAnsi="Times New Roman" w:cs="Times New Roman"/>
          <w:color w:val="000000" w:themeColor="text1"/>
          <w:lang w:val="en-GB"/>
        </w:rPr>
        <w:t xml:space="preserve"> </w:t>
      </w:r>
    </w:p>
    <w:p w14:paraId="397D8E9E" w14:textId="70D28024" w:rsidR="00224DF1" w:rsidRPr="00F864FB" w:rsidRDefault="000A2444" w:rsidP="00224DF1">
      <w:pPr>
        <w:pStyle w:val="Normaalweb"/>
        <w:spacing w:before="0" w:beforeAutospacing="0" w:after="0" w:afterAutospacing="0"/>
        <w:ind w:firstLine="708"/>
        <w:jc w:val="both"/>
        <w:rPr>
          <w:color w:val="000000" w:themeColor="text1"/>
          <w:lang w:val="en-GB"/>
        </w:rPr>
      </w:pPr>
      <w:r w:rsidRPr="00F864FB">
        <w:rPr>
          <w:color w:val="000000" w:themeColor="text1"/>
          <w:lang w:val="en-GB"/>
        </w:rPr>
        <w:t xml:space="preserve">The introduction establishes the </w:t>
      </w:r>
      <w:r w:rsidR="004A5909" w:rsidRPr="00F864FB">
        <w:rPr>
          <w:color w:val="000000" w:themeColor="text1"/>
          <w:lang w:val="en-GB"/>
        </w:rPr>
        <w:t xml:space="preserve">very broad </w:t>
      </w:r>
      <w:r w:rsidRPr="00F864FB">
        <w:rPr>
          <w:color w:val="000000" w:themeColor="text1"/>
          <w:lang w:val="en-GB"/>
        </w:rPr>
        <w:t xml:space="preserve">framework within which Sirat situates her inquiry. </w:t>
      </w:r>
      <w:r w:rsidR="0033097B" w:rsidRPr="00F864FB">
        <w:rPr>
          <w:color w:val="000000" w:themeColor="text1"/>
          <w:lang w:val="en-GB"/>
        </w:rPr>
        <w:t>She</w:t>
      </w:r>
      <w:r w:rsidRPr="00F864FB">
        <w:rPr>
          <w:color w:val="000000" w:themeColor="text1"/>
          <w:lang w:val="en-GB"/>
        </w:rPr>
        <w:t xml:space="preserve"> sketches the early formation of what she calls the “religions of the Book,” whose predominance divided much of the known world into overlapping yet distinct cultural spheres. Jewish communities lived in both Christian and Muslim polities, negotiating their intellectual and social existence between majority cultures while preserving their own textual traditions. In the early Middle Ages, education </w:t>
      </w:r>
      <w:proofErr w:type="spellStart"/>
      <w:r w:rsidRPr="00F864FB">
        <w:rPr>
          <w:color w:val="000000" w:themeColor="text1"/>
          <w:lang w:val="en-GB"/>
        </w:rPr>
        <w:t>centered</w:t>
      </w:r>
      <w:proofErr w:type="spellEnd"/>
      <w:r w:rsidRPr="00F864FB">
        <w:rPr>
          <w:color w:val="000000" w:themeColor="text1"/>
          <w:lang w:val="en-GB"/>
        </w:rPr>
        <w:t xml:space="preserve"> primarily on the transmission of religious texts. </w:t>
      </w:r>
      <w:proofErr w:type="spellStart"/>
      <w:r w:rsidRPr="00F864FB">
        <w:rPr>
          <w:color w:val="000000" w:themeColor="text1"/>
          <w:lang w:val="en-GB"/>
        </w:rPr>
        <w:t>Rabbanite</w:t>
      </w:r>
      <w:proofErr w:type="spellEnd"/>
      <w:r w:rsidRPr="00F864FB">
        <w:rPr>
          <w:color w:val="000000" w:themeColor="text1"/>
          <w:lang w:val="en-GB"/>
        </w:rPr>
        <w:t xml:space="preserve"> sages accepted the Talmud as Oral Torah, whereas Karaites rejected it, and these divergent attitudes toward authority already implied distinct intellectual temperaments. Sirat is attentive to the importance of vernacular languages and to the plurality of linguistic registers in which Jewish life unfolded. This sensitivity to language becomes crucial once philosophy enters </w:t>
      </w:r>
      <w:r w:rsidRPr="00F864FB">
        <w:rPr>
          <w:color w:val="000000" w:themeColor="text1"/>
          <w:lang w:val="en-GB"/>
        </w:rPr>
        <w:lastRenderedPageBreak/>
        <w:t>the picture.</w:t>
      </w:r>
      <w:r w:rsidR="00E420F9" w:rsidRPr="00F864FB">
        <w:rPr>
          <w:color w:val="000000" w:themeColor="text1"/>
          <w:lang w:val="en-GB"/>
        </w:rPr>
        <w:t xml:space="preserve"> In the introduction, however, one would expect a meta-reflection on what counts as </w:t>
      </w:r>
      <w:r w:rsidR="0033097B" w:rsidRPr="00F864FB">
        <w:rPr>
          <w:color w:val="000000" w:themeColor="text1"/>
          <w:lang w:val="en-GB"/>
        </w:rPr>
        <w:t xml:space="preserve">(philosophical) </w:t>
      </w:r>
      <w:r w:rsidR="00E420F9" w:rsidRPr="00F864FB">
        <w:rPr>
          <w:color w:val="000000" w:themeColor="text1"/>
          <w:lang w:val="en-GB"/>
        </w:rPr>
        <w:t xml:space="preserve">teaching in a Jewish Medieval context. Do our contemporary concepts of teacher, classroom, students still apply, as they might do in the case of the </w:t>
      </w:r>
      <w:r w:rsidR="00E420F9" w:rsidRPr="00F864FB">
        <w:rPr>
          <w:i/>
          <w:iCs/>
          <w:color w:val="000000" w:themeColor="text1"/>
          <w:lang w:val="en-GB"/>
        </w:rPr>
        <w:t xml:space="preserve">yeshivot, </w:t>
      </w:r>
      <w:r w:rsidR="00E420F9" w:rsidRPr="00F864FB">
        <w:rPr>
          <w:color w:val="000000" w:themeColor="text1"/>
          <w:lang w:val="en-GB"/>
        </w:rPr>
        <w:t xml:space="preserve">or </w:t>
      </w:r>
      <w:r w:rsidR="0033097B" w:rsidRPr="00F864FB">
        <w:rPr>
          <w:color w:val="000000" w:themeColor="text1"/>
          <w:lang w:val="en-GB"/>
        </w:rPr>
        <w:t xml:space="preserve">do we need other frameworks to conceptualize Jewish philosophical pedagogy in its broadness? </w:t>
      </w:r>
      <w:r w:rsidR="00224DF1" w:rsidRPr="00F864FB">
        <w:rPr>
          <w:color w:val="000000"/>
          <w:lang w:val="en-GB"/>
        </w:rPr>
        <w:t>And does translation</w:t>
      </w:r>
      <w:r w:rsidR="00C7079A" w:rsidRPr="00F864FB">
        <w:rPr>
          <w:color w:val="000000"/>
          <w:lang w:val="en-GB"/>
        </w:rPr>
        <w:t xml:space="preserve"> of philosophical texts</w:t>
      </w:r>
      <w:r w:rsidR="00224DF1" w:rsidRPr="00F864FB">
        <w:rPr>
          <w:color w:val="000000"/>
          <w:lang w:val="en-GB"/>
        </w:rPr>
        <w:t xml:space="preserve">, as a deliberate and creative act of knowledge transfer, already qualify as a form of philosophical instruction? </w:t>
      </w:r>
    </w:p>
    <w:p w14:paraId="0ECB35AF" w14:textId="772121BE" w:rsidR="000A2444" w:rsidRPr="00F864FB" w:rsidRDefault="000A2444" w:rsidP="00224DF1">
      <w:pPr>
        <w:pStyle w:val="Normaalweb"/>
        <w:spacing w:before="0" w:beforeAutospacing="0" w:after="0" w:afterAutospacing="0"/>
        <w:ind w:firstLine="708"/>
        <w:jc w:val="both"/>
        <w:rPr>
          <w:color w:val="000000" w:themeColor="text1"/>
          <w:lang w:val="en-GB"/>
        </w:rPr>
      </w:pPr>
      <w:r w:rsidRPr="00F864FB">
        <w:rPr>
          <w:color w:val="000000" w:themeColor="text1"/>
          <w:lang w:val="en-GB"/>
        </w:rPr>
        <w:t>Sirat</w:t>
      </w:r>
      <w:r w:rsidR="0033097B" w:rsidRPr="00F864FB">
        <w:rPr>
          <w:color w:val="000000" w:themeColor="text1"/>
          <w:lang w:val="en-GB"/>
        </w:rPr>
        <w:t xml:space="preserve"> does precise what she means by</w:t>
      </w:r>
      <w:r w:rsidRPr="00F864FB">
        <w:rPr>
          <w:color w:val="000000" w:themeColor="text1"/>
          <w:lang w:val="en-GB"/>
        </w:rPr>
        <w:t xml:space="preserve"> “Hebrew philosophy”</w:t>
      </w:r>
      <w:r w:rsidR="0033097B" w:rsidRPr="00F864FB">
        <w:rPr>
          <w:color w:val="000000" w:themeColor="text1"/>
          <w:lang w:val="en-GB"/>
        </w:rPr>
        <w:t>:</w:t>
      </w:r>
      <w:r w:rsidRPr="00F864FB">
        <w:rPr>
          <w:color w:val="000000" w:themeColor="text1"/>
          <w:lang w:val="en-GB"/>
        </w:rPr>
        <w:t xml:space="preserve"> she does not </w:t>
      </w:r>
      <w:r w:rsidR="0045115A">
        <w:rPr>
          <w:color w:val="000000" w:themeColor="text1"/>
          <w:lang w:val="en-GB"/>
        </w:rPr>
        <w:t xml:space="preserve">just </w:t>
      </w:r>
      <w:r w:rsidRPr="00F864FB">
        <w:rPr>
          <w:color w:val="000000" w:themeColor="text1"/>
          <w:lang w:val="en-GB"/>
        </w:rPr>
        <w:t xml:space="preserve">refer to works composed in Hebrew, but rather to philosophy used by Jews and embedded in Jewish intellectual networks. Many philosophical texts circulated in Arabic, sometimes in Hebrew characters; others were translated into Hebrew from Arabic or, more rarely, from Latin. These translations formed part of a vast movement of knowledge transfer that characterized the Abbasid world and, later, Christian Europe. </w:t>
      </w:r>
      <w:r w:rsidR="00224DF1" w:rsidRPr="00F864FB">
        <w:rPr>
          <w:color w:val="000000" w:themeColor="text1"/>
          <w:lang w:val="en-GB"/>
        </w:rPr>
        <w:t xml:space="preserve">Furthermore, </w:t>
      </w:r>
      <w:r w:rsidRPr="00F864FB">
        <w:rPr>
          <w:color w:val="000000" w:themeColor="text1"/>
          <w:lang w:val="en-GB"/>
        </w:rPr>
        <w:t xml:space="preserve">Sirat underscores the instability of Hebrew philosophical vocabulary in this period: there was no fixed technical lexicon, and terms fluctuated according to translator, region, and context. </w:t>
      </w:r>
      <w:r w:rsidR="0033097B" w:rsidRPr="00F864FB">
        <w:rPr>
          <w:color w:val="000000" w:themeColor="text1"/>
          <w:lang w:val="en-GB"/>
        </w:rPr>
        <w:t>Sirat’s attention to this point offers a new perspective to the growing research on Jewish Medieval philosophical vocabulary,</w:t>
      </w:r>
      <w:r w:rsidR="0033097B" w:rsidRPr="00F864FB">
        <w:rPr>
          <w:rStyle w:val="Voetnootmarkering"/>
          <w:color w:val="000000" w:themeColor="text1"/>
          <w:lang w:val="en-GB"/>
        </w:rPr>
        <w:footnoteReference w:id="3"/>
      </w:r>
      <w:r w:rsidR="0033097B" w:rsidRPr="00F864FB">
        <w:rPr>
          <w:color w:val="000000" w:themeColor="text1"/>
          <w:lang w:val="en-GB"/>
        </w:rPr>
        <w:t xml:space="preserve"> not as merely linguistic developments, but as traces of contact, of groups of students, of schools and of transmission between teacher and student.</w:t>
      </w:r>
    </w:p>
    <w:p w14:paraId="24D7304D" w14:textId="72EA5D1E" w:rsidR="000A2444" w:rsidRPr="00F864FB" w:rsidRDefault="00DD767A" w:rsidP="00224DF1">
      <w:pPr>
        <w:pStyle w:val="Normaalweb"/>
        <w:spacing w:before="0" w:beforeAutospacing="0" w:after="0" w:afterAutospacing="0"/>
        <w:ind w:firstLine="708"/>
        <w:jc w:val="both"/>
        <w:rPr>
          <w:color w:val="000000" w:themeColor="text1"/>
          <w:lang w:val="en-GB"/>
        </w:rPr>
      </w:pPr>
      <w:r w:rsidRPr="00F864FB">
        <w:rPr>
          <w:color w:val="000000" w:themeColor="text1"/>
          <w:lang w:val="en-GB"/>
        </w:rPr>
        <w:t>The introduction also offers a brief</w:t>
      </w:r>
      <w:r w:rsidR="000A2444" w:rsidRPr="00F864FB">
        <w:rPr>
          <w:color w:val="000000" w:themeColor="text1"/>
          <w:lang w:val="en-GB"/>
        </w:rPr>
        <w:t xml:space="preserve"> overview of the Islamic world between the ninth and twelfth centuries</w:t>
      </w:r>
      <w:r w:rsidRPr="00F864FB">
        <w:rPr>
          <w:color w:val="000000" w:themeColor="text1"/>
          <w:lang w:val="en-GB"/>
        </w:rPr>
        <w:t>, that</w:t>
      </w:r>
      <w:r w:rsidR="000A2444" w:rsidRPr="00F864FB">
        <w:rPr>
          <w:color w:val="000000" w:themeColor="text1"/>
          <w:lang w:val="en-GB"/>
        </w:rPr>
        <w:t xml:space="preserve"> carefully delineates the intellectual currents that would</w:t>
      </w:r>
      <w:r w:rsidRPr="00F864FB">
        <w:rPr>
          <w:color w:val="000000" w:themeColor="text1"/>
          <w:lang w:val="en-GB"/>
        </w:rPr>
        <w:t xml:space="preserve"> also</w:t>
      </w:r>
      <w:r w:rsidR="000A2444" w:rsidRPr="00F864FB">
        <w:rPr>
          <w:color w:val="000000" w:themeColor="text1"/>
          <w:lang w:val="en-GB"/>
        </w:rPr>
        <w:t xml:space="preserve"> later shape Jewish pedagogy. </w:t>
      </w:r>
      <w:r w:rsidR="00C7079A" w:rsidRPr="00F864FB">
        <w:rPr>
          <w:color w:val="000000" w:themeColor="text1"/>
          <w:lang w:val="en-GB"/>
        </w:rPr>
        <w:t>Indeed, t</w:t>
      </w:r>
      <w:r w:rsidR="000A2444" w:rsidRPr="00F864FB">
        <w:rPr>
          <w:color w:val="000000" w:themeColor="text1"/>
          <w:lang w:val="en-GB"/>
        </w:rPr>
        <w:t xml:space="preserve">wo rationalist tendencies flourished within Islam and found echoes in Judaism. The first, </w:t>
      </w:r>
      <w:proofErr w:type="spellStart"/>
      <w:r w:rsidR="000A2444" w:rsidRPr="007B15BB">
        <w:rPr>
          <w:i/>
          <w:iCs/>
          <w:color w:val="000000" w:themeColor="text1"/>
          <w:lang w:val="en-GB"/>
        </w:rPr>
        <w:t>kalām</w:t>
      </w:r>
      <w:proofErr w:type="spellEnd"/>
      <w:r w:rsidR="000A2444" w:rsidRPr="00F864FB">
        <w:rPr>
          <w:color w:val="000000" w:themeColor="text1"/>
          <w:lang w:val="en-GB"/>
        </w:rPr>
        <w:t xml:space="preserve">, was adopted by </w:t>
      </w:r>
      <w:proofErr w:type="spellStart"/>
      <w:r w:rsidR="000A2444" w:rsidRPr="00F864FB">
        <w:rPr>
          <w:color w:val="000000" w:themeColor="text1"/>
          <w:lang w:val="en-GB"/>
        </w:rPr>
        <w:t>Rabbanites</w:t>
      </w:r>
      <w:proofErr w:type="spellEnd"/>
      <w:r w:rsidR="004A5909" w:rsidRPr="00F864FB">
        <w:rPr>
          <w:color w:val="000000" w:themeColor="text1"/>
          <w:lang w:val="en-GB"/>
        </w:rPr>
        <w:t xml:space="preserve"> as well as</w:t>
      </w:r>
      <w:r w:rsidR="000A2444" w:rsidRPr="00F864FB">
        <w:rPr>
          <w:color w:val="000000" w:themeColor="text1"/>
          <w:lang w:val="en-GB"/>
        </w:rPr>
        <w:t xml:space="preserve"> by Karaite scholars, often referred to as </w:t>
      </w:r>
      <w:proofErr w:type="spellStart"/>
      <w:r w:rsidR="000A2444" w:rsidRPr="00F864FB">
        <w:rPr>
          <w:i/>
          <w:iCs/>
          <w:color w:val="000000" w:themeColor="text1"/>
          <w:lang w:val="en-GB"/>
        </w:rPr>
        <w:t>mutakallimūn</w:t>
      </w:r>
      <w:proofErr w:type="spellEnd"/>
      <w:r w:rsidR="000A2444" w:rsidRPr="00F864FB">
        <w:rPr>
          <w:color w:val="000000" w:themeColor="text1"/>
          <w:lang w:val="en-GB"/>
        </w:rPr>
        <w:t xml:space="preserve"> well into the modern period. The second current was rooted in Platonic and Aristotelian philosophy and the sciences inherited from the Greeks and transmitted by Christian and Muslim scholars. This latter trend was frequently regarded as “external sciences” and aroused suspicion in both Jewish and Islamic circles. Yet from the twelfth century onward, especially after the Almohad persecutions in Spain prompted migrations to Christian kingdoms and more tolerant Muslim regions, Jewish intellectuals increasingly engaged with Aristotelianism in sustained and creative ways. Arabic remained a major literary language for Jews even after their relocation, and philosophical study in Hebrew blossomed particularly in Provence, Spain, and Italy between 1200 and 1600. </w:t>
      </w:r>
      <w:r w:rsidRPr="00F864FB">
        <w:rPr>
          <w:color w:val="000000" w:themeColor="text1"/>
          <w:lang w:val="en-GB"/>
        </w:rPr>
        <w:t>However, i</w:t>
      </w:r>
      <w:r w:rsidR="000A2444" w:rsidRPr="00F864FB">
        <w:rPr>
          <w:color w:val="000000" w:themeColor="text1"/>
          <w:lang w:val="en-GB"/>
        </w:rPr>
        <w:t>n Ashkenaz,</w:t>
      </w:r>
      <w:r w:rsidRPr="00F864FB">
        <w:rPr>
          <w:color w:val="000000" w:themeColor="text1"/>
          <w:lang w:val="en-GB"/>
        </w:rPr>
        <w:t xml:space="preserve"> as Sirat underlines,</w:t>
      </w:r>
      <w:r w:rsidR="000A2444" w:rsidRPr="00F864FB">
        <w:rPr>
          <w:color w:val="000000" w:themeColor="text1"/>
          <w:lang w:val="en-GB"/>
        </w:rPr>
        <w:t xml:space="preserve"> resistance to philosophical study was more pronounced; there, the Talmud and its commentaries dominated the curriculum, and the dialectical style known as </w:t>
      </w:r>
      <w:r w:rsidR="000A2444" w:rsidRPr="00F864FB">
        <w:rPr>
          <w:i/>
          <w:iCs/>
          <w:color w:val="000000" w:themeColor="text1"/>
          <w:lang w:val="en-GB"/>
        </w:rPr>
        <w:t>pilpul</w:t>
      </w:r>
      <w:r w:rsidR="000A2444" w:rsidRPr="00F864FB">
        <w:rPr>
          <w:color w:val="000000" w:themeColor="text1"/>
          <w:lang w:val="en-GB"/>
        </w:rPr>
        <w:t xml:space="preserve"> flourished.</w:t>
      </w:r>
    </w:p>
    <w:p w14:paraId="6E64B683" w14:textId="47C418ED" w:rsidR="000A2444" w:rsidRPr="00F864FB" w:rsidRDefault="000A2444" w:rsidP="0054651F">
      <w:pPr>
        <w:pStyle w:val="Normaalweb"/>
        <w:spacing w:before="0" w:beforeAutospacing="0" w:after="0" w:afterAutospacing="0"/>
        <w:ind w:firstLine="708"/>
        <w:jc w:val="both"/>
        <w:rPr>
          <w:color w:val="000000" w:themeColor="text1"/>
          <w:lang w:val="en-GB"/>
        </w:rPr>
      </w:pPr>
      <w:r w:rsidRPr="00F864FB">
        <w:rPr>
          <w:color w:val="000000" w:themeColor="text1"/>
          <w:lang w:val="en-GB"/>
        </w:rPr>
        <w:t xml:space="preserve">Sirat’s first chapter, devoted to the twelfth century, traces the “discovery” of science from Spain and southeastern Italy. The </w:t>
      </w:r>
      <w:proofErr w:type="spellStart"/>
      <w:r w:rsidRPr="00F864FB">
        <w:rPr>
          <w:color w:val="000000" w:themeColor="text1"/>
          <w:lang w:val="en-GB"/>
        </w:rPr>
        <w:t>Tibbonid</w:t>
      </w:r>
      <w:proofErr w:type="spellEnd"/>
      <w:r w:rsidRPr="00F864FB">
        <w:rPr>
          <w:color w:val="000000" w:themeColor="text1"/>
          <w:lang w:val="en-GB"/>
        </w:rPr>
        <w:t xml:space="preserve"> family emerges as central in this process, translating Arabic works into Hebrew and composing original treatises for a cultivated audience. Sirat rightly insists on the sociological dimension of this development. Philosophy was not merely an elite pastime; it generated popular enthusiasm and heated controversy. The translation of the </w:t>
      </w:r>
      <w:r w:rsidRPr="00F864FB">
        <w:rPr>
          <w:rStyle w:val="Nadruk"/>
          <w:rFonts w:eastAsiaTheme="majorEastAsia"/>
          <w:color w:val="000000" w:themeColor="text1"/>
          <w:lang w:val="en-GB"/>
        </w:rPr>
        <w:t>Guide of the Perplexed</w:t>
      </w:r>
      <w:r w:rsidRPr="00F864FB">
        <w:rPr>
          <w:color w:val="000000" w:themeColor="text1"/>
          <w:lang w:val="en-GB"/>
        </w:rPr>
        <w:t xml:space="preserve"> by Samuel ibn Tibbon proved decisive in opening the work of Maimonides to Jews in Christian Europe. Yet it also triggered a bitter dispute culminating in excommunications in 1232. </w:t>
      </w:r>
    </w:p>
    <w:p w14:paraId="28BAB6CD" w14:textId="5815AE06" w:rsidR="000A2444" w:rsidRPr="00F864FB" w:rsidRDefault="000A2444" w:rsidP="00224DF1">
      <w:pPr>
        <w:pStyle w:val="Normaalweb"/>
        <w:spacing w:before="0" w:beforeAutospacing="0" w:after="0" w:afterAutospacing="0"/>
        <w:ind w:firstLine="708"/>
        <w:jc w:val="both"/>
        <w:rPr>
          <w:color w:val="000000" w:themeColor="text1"/>
          <w:lang w:val="en-GB"/>
        </w:rPr>
      </w:pPr>
      <w:r w:rsidRPr="00F864FB">
        <w:rPr>
          <w:color w:val="000000" w:themeColor="text1"/>
          <w:lang w:val="en-GB"/>
        </w:rPr>
        <w:t xml:space="preserve">The second and third chapters, treating the thirteenth century, form the heart of the book. Sirat situates the growth of philosophical study within specific urban and social contexts. Towns in Provence and Italy, characterized by relative material ease and more relaxed relations among </w:t>
      </w:r>
      <w:r w:rsidRPr="00F864FB">
        <w:rPr>
          <w:color w:val="000000" w:themeColor="text1"/>
          <w:lang w:val="en-GB"/>
        </w:rPr>
        <w:lastRenderedPageBreak/>
        <w:t xml:space="preserve">religious communities, fostered a middle class receptive to science and philosophy. Philosophical ideas entered Jewish culture not only through formal treatises but also through scriptural exegesis, poetry, and polemics. Sirat is particularly attentive to the production of encyclopaedias, introductions, and </w:t>
      </w:r>
      <w:r w:rsidR="0054651F" w:rsidRPr="00F864FB">
        <w:rPr>
          <w:color w:val="000000" w:themeColor="text1"/>
          <w:lang w:val="en-GB"/>
        </w:rPr>
        <w:t>glossaries</w:t>
      </w:r>
      <w:r w:rsidRPr="00F864FB">
        <w:rPr>
          <w:color w:val="000000" w:themeColor="text1"/>
          <w:lang w:val="en-GB"/>
        </w:rPr>
        <w:t xml:space="preserve"> designed to assist students unfamiliar with Arabic sources. Some of these were composed by scholars without knowledge of Arabic, who relied on oral transmission and partial access to Latin learning; others were written by scientists fully trained in the Arabic sciences, producing genuine encyclopaedic syntheses.</w:t>
      </w:r>
    </w:p>
    <w:p w14:paraId="1E03B004" w14:textId="54A72E6D" w:rsidR="000A2444" w:rsidRPr="00F864FB" w:rsidRDefault="000A2444" w:rsidP="00224DF1">
      <w:pPr>
        <w:pStyle w:val="Normaalweb"/>
        <w:spacing w:before="0" w:beforeAutospacing="0" w:after="0" w:afterAutospacing="0"/>
        <w:ind w:firstLine="708"/>
        <w:jc w:val="both"/>
        <w:rPr>
          <w:color w:val="000000" w:themeColor="text1"/>
          <w:lang w:val="en-GB"/>
        </w:rPr>
      </w:pPr>
      <w:r w:rsidRPr="00F864FB">
        <w:rPr>
          <w:color w:val="000000" w:themeColor="text1"/>
          <w:lang w:val="en-GB"/>
        </w:rPr>
        <w:t xml:space="preserve">Here Sirat’s methodological commitment becomes evident. Because Jewish medieval philosophy was not institutionally organized at the communal level, she relies on manuscript evidence: the number of extant copies, their scripts, marginalia, and personal annotations. </w:t>
      </w:r>
      <w:r w:rsidR="009155E6">
        <w:rPr>
          <w:color w:val="000000" w:themeColor="text1"/>
          <w:lang w:val="en-GB"/>
        </w:rPr>
        <w:t xml:space="preserve">« </w:t>
      </w:r>
      <w:r w:rsidRPr="00F864FB">
        <w:rPr>
          <w:color w:val="000000" w:themeColor="text1"/>
          <w:lang w:val="en-GB"/>
        </w:rPr>
        <w:t>The only incontestable testimony of reading is writing</w:t>
      </w:r>
      <w:r w:rsidR="009155E6">
        <w:rPr>
          <w:color w:val="000000" w:themeColor="text1"/>
          <w:lang w:val="en-GB"/>
        </w:rPr>
        <w:t xml:space="preserve"> »</w:t>
      </w:r>
      <w:r w:rsidR="002A4C2A" w:rsidRPr="00F864FB">
        <w:rPr>
          <w:color w:val="000000" w:themeColor="text1"/>
          <w:lang w:val="en-GB"/>
        </w:rPr>
        <w:t xml:space="preserve"> (</w:t>
      </w:r>
      <w:r w:rsidR="00DD767A" w:rsidRPr="00F864FB">
        <w:rPr>
          <w:color w:val="000000" w:themeColor="text1"/>
          <w:lang w:val="en-GB"/>
        </w:rPr>
        <w:t>p. 19</w:t>
      </w:r>
      <w:r w:rsidR="002A4C2A" w:rsidRPr="00F864FB">
        <w:rPr>
          <w:color w:val="000000" w:themeColor="text1"/>
          <w:lang w:val="en-GB"/>
        </w:rPr>
        <w:t>)</w:t>
      </w:r>
      <w:r w:rsidR="00DD767A" w:rsidRPr="00F864FB">
        <w:rPr>
          <w:color w:val="000000" w:themeColor="text1"/>
          <w:lang w:val="en-GB"/>
        </w:rPr>
        <w:t>,</w:t>
      </w:r>
      <w:r w:rsidRPr="00F864FB">
        <w:rPr>
          <w:color w:val="000000" w:themeColor="text1"/>
          <w:lang w:val="en-GB"/>
        </w:rPr>
        <w:t xml:space="preserve"> she observes, and this principle guides her meticulous descriptions of codices. Variants and glosses testify to oral transmission and to the lively discussions that accompanied textual study. The examples appended to the volume</w:t>
      </w:r>
      <w:r w:rsidR="002A4C2A" w:rsidRPr="00F864FB">
        <w:rPr>
          <w:color w:val="000000" w:themeColor="text1"/>
          <w:lang w:val="en-GB"/>
        </w:rPr>
        <w:t>,</w:t>
      </w:r>
      <w:r w:rsidR="00752BFD" w:rsidRPr="00F864FB">
        <w:rPr>
          <w:color w:val="000000" w:themeColor="text1"/>
          <w:lang w:val="en-GB"/>
        </w:rPr>
        <w:t xml:space="preserve"> namely </w:t>
      </w:r>
      <w:r w:rsidRPr="00F864FB">
        <w:rPr>
          <w:i/>
          <w:iCs/>
          <w:color w:val="000000" w:themeColor="text1"/>
          <w:lang w:val="en-GB"/>
        </w:rPr>
        <w:t>London, British Library, Add</w:t>
      </w:r>
      <w:r w:rsidRPr="00F864FB">
        <w:rPr>
          <w:color w:val="000000" w:themeColor="text1"/>
          <w:lang w:val="en-GB"/>
        </w:rPr>
        <w:t>. 14763</w:t>
      </w:r>
      <w:r w:rsidR="00752BFD" w:rsidRPr="00F864FB">
        <w:rPr>
          <w:color w:val="000000" w:themeColor="text1"/>
          <w:lang w:val="en-GB"/>
        </w:rPr>
        <w:t xml:space="preserve"> (</w:t>
      </w:r>
      <w:r w:rsidRPr="00F864FB">
        <w:rPr>
          <w:color w:val="000000" w:themeColor="text1"/>
          <w:lang w:val="en-GB"/>
        </w:rPr>
        <w:t xml:space="preserve">a 1242 copy of the </w:t>
      </w:r>
      <w:r w:rsidRPr="00F864FB">
        <w:rPr>
          <w:rStyle w:val="Nadruk"/>
          <w:rFonts w:eastAsiaTheme="majorEastAsia"/>
          <w:color w:val="000000" w:themeColor="text1"/>
          <w:lang w:val="en-GB"/>
        </w:rPr>
        <w:t>Guide</w:t>
      </w:r>
      <w:r w:rsidR="00752BFD" w:rsidRPr="00F864FB">
        <w:rPr>
          <w:color w:val="000000" w:themeColor="text1"/>
          <w:lang w:val="en-GB"/>
        </w:rPr>
        <w:t>)</w:t>
      </w:r>
      <w:r w:rsidR="0054651F" w:rsidRPr="00F864FB">
        <w:rPr>
          <w:color w:val="000000" w:themeColor="text1"/>
          <w:lang w:val="en-GB"/>
        </w:rPr>
        <w:t xml:space="preserve"> </w:t>
      </w:r>
      <w:r w:rsidR="0054651F" w:rsidRPr="00F864FB">
        <w:rPr>
          <w:i/>
          <w:iCs/>
          <w:color w:val="000000" w:themeColor="text1"/>
          <w:lang w:val="en-GB"/>
        </w:rPr>
        <w:t xml:space="preserve">Paris, BnF </w:t>
      </w:r>
      <w:proofErr w:type="spellStart"/>
      <w:r w:rsidR="0054651F" w:rsidRPr="00F864FB">
        <w:rPr>
          <w:i/>
          <w:iCs/>
          <w:color w:val="000000" w:themeColor="text1"/>
          <w:lang w:val="en-GB"/>
        </w:rPr>
        <w:t>hébr</w:t>
      </w:r>
      <w:proofErr w:type="spellEnd"/>
      <w:r w:rsidR="0054651F" w:rsidRPr="00F864FB">
        <w:rPr>
          <w:i/>
          <w:iCs/>
          <w:color w:val="000000" w:themeColor="text1"/>
          <w:lang w:val="en-GB"/>
        </w:rPr>
        <w:t>. 956</w:t>
      </w:r>
      <w:r w:rsidR="00752BFD" w:rsidRPr="00F864FB">
        <w:rPr>
          <w:i/>
          <w:iCs/>
          <w:color w:val="000000" w:themeColor="text1"/>
          <w:lang w:val="en-GB"/>
        </w:rPr>
        <w:t xml:space="preserve"> </w:t>
      </w:r>
      <w:r w:rsidR="00752BFD" w:rsidRPr="00F864FB">
        <w:rPr>
          <w:color w:val="000000" w:themeColor="text1"/>
          <w:lang w:val="en-GB"/>
        </w:rPr>
        <w:t xml:space="preserve">(with the </w:t>
      </w:r>
      <w:proofErr w:type="spellStart"/>
      <w:r w:rsidR="00752BFD" w:rsidRPr="00F864FB">
        <w:rPr>
          <w:color w:val="000000" w:themeColor="text1"/>
          <w:lang w:val="en-GB"/>
        </w:rPr>
        <w:t>titlle</w:t>
      </w:r>
      <w:proofErr w:type="spellEnd"/>
      <w:r w:rsidR="00752BFD" w:rsidRPr="00F864FB">
        <w:rPr>
          <w:color w:val="000000" w:themeColor="text1"/>
          <w:lang w:val="en-GB"/>
        </w:rPr>
        <w:t xml:space="preserve"> </w:t>
      </w:r>
      <w:r w:rsidR="00013D2A" w:rsidRPr="00F864FB">
        <w:rPr>
          <w:i/>
          <w:iCs/>
          <w:color w:val="000000" w:themeColor="text1"/>
          <w:lang w:val="en-GB"/>
        </w:rPr>
        <w:t>Sh</w:t>
      </w:r>
      <w:r w:rsidR="00752BFD" w:rsidRPr="00F864FB">
        <w:rPr>
          <w:i/>
          <w:iCs/>
          <w:color w:val="000000" w:themeColor="text1"/>
          <w:lang w:val="en-GB"/>
        </w:rPr>
        <w:t>ushan ha-</w:t>
      </w:r>
      <w:proofErr w:type="spellStart"/>
      <w:r w:rsidR="00752BFD" w:rsidRPr="00F864FB">
        <w:rPr>
          <w:i/>
          <w:iCs/>
          <w:color w:val="000000" w:themeColor="text1"/>
          <w:lang w:val="en-GB"/>
        </w:rPr>
        <w:t>Limudim</w:t>
      </w:r>
      <w:proofErr w:type="spellEnd"/>
      <w:r w:rsidR="00752BFD" w:rsidRPr="00F864FB">
        <w:rPr>
          <w:i/>
          <w:iCs/>
          <w:color w:val="000000" w:themeColor="text1"/>
          <w:lang w:val="en-GB"/>
        </w:rPr>
        <w:t xml:space="preserve">, </w:t>
      </w:r>
      <w:r w:rsidR="00752BFD" w:rsidRPr="00F864FB">
        <w:rPr>
          <w:color w:val="000000" w:themeColor="text1"/>
          <w:lang w:val="en-GB"/>
        </w:rPr>
        <w:t xml:space="preserve">i.e., </w:t>
      </w:r>
      <w:r w:rsidR="00752BFD" w:rsidRPr="00F864FB">
        <w:rPr>
          <w:i/>
          <w:iCs/>
          <w:color w:val="000000" w:themeColor="text1"/>
          <w:lang w:val="en-GB"/>
        </w:rPr>
        <w:t xml:space="preserve">The Lys of the studies, </w:t>
      </w:r>
      <w:r w:rsidR="0054651F" w:rsidRPr="00F864FB">
        <w:rPr>
          <w:color w:val="000000" w:themeColor="text1"/>
          <w:lang w:val="en-GB"/>
        </w:rPr>
        <w:t>possibly a manual of philosophy used in the middle of the 14th century by the circle of scholars studying philosophy in Provence</w:t>
      </w:r>
      <w:r w:rsidR="00752BFD" w:rsidRPr="00F864FB">
        <w:rPr>
          <w:color w:val="000000" w:themeColor="text1"/>
          <w:lang w:val="en-GB"/>
        </w:rPr>
        <w:t>)</w:t>
      </w:r>
      <w:r w:rsidR="0054651F" w:rsidRPr="00F864FB">
        <w:rPr>
          <w:color w:val="000000" w:themeColor="text1"/>
          <w:lang w:val="en-GB"/>
        </w:rPr>
        <w:t>,</w:t>
      </w:r>
      <w:r w:rsidRPr="00F864FB">
        <w:rPr>
          <w:color w:val="000000" w:themeColor="text1"/>
          <w:lang w:val="en-GB"/>
        </w:rPr>
        <w:t xml:space="preserve"> and </w:t>
      </w:r>
      <w:r w:rsidRPr="00F864FB">
        <w:rPr>
          <w:i/>
          <w:iCs/>
          <w:color w:val="000000" w:themeColor="text1"/>
          <w:lang w:val="en-GB"/>
        </w:rPr>
        <w:t xml:space="preserve">Paris, BnF </w:t>
      </w:r>
      <w:proofErr w:type="spellStart"/>
      <w:r w:rsidRPr="00F864FB">
        <w:rPr>
          <w:i/>
          <w:iCs/>
          <w:color w:val="000000" w:themeColor="text1"/>
          <w:lang w:val="en-GB"/>
        </w:rPr>
        <w:t>hébr</w:t>
      </w:r>
      <w:proofErr w:type="spellEnd"/>
      <w:r w:rsidRPr="00F864FB">
        <w:rPr>
          <w:i/>
          <w:iCs/>
          <w:color w:val="000000" w:themeColor="text1"/>
          <w:lang w:val="en-GB"/>
        </w:rPr>
        <w:t>. 1005</w:t>
      </w:r>
      <w:r w:rsidR="0054651F" w:rsidRPr="00F864FB">
        <w:rPr>
          <w:rStyle w:val="Voetnootmarkering"/>
          <w:color w:val="000000" w:themeColor="text1"/>
          <w:lang w:val="en-GB"/>
        </w:rPr>
        <w:footnoteReference w:id="4"/>
      </w:r>
      <w:r w:rsidRPr="00F864FB">
        <w:rPr>
          <w:color w:val="000000" w:themeColor="text1"/>
          <w:lang w:val="en-GB"/>
        </w:rPr>
        <w:t xml:space="preserve"> </w:t>
      </w:r>
      <w:r w:rsidR="00752BFD" w:rsidRPr="00F864FB">
        <w:rPr>
          <w:color w:val="000000" w:themeColor="text1"/>
          <w:lang w:val="en-GB"/>
        </w:rPr>
        <w:t>(</w:t>
      </w:r>
      <w:r w:rsidRPr="00F864FB">
        <w:rPr>
          <w:color w:val="000000" w:themeColor="text1"/>
          <w:lang w:val="en-GB"/>
        </w:rPr>
        <w:t>an elementary philosophical compendium</w:t>
      </w:r>
      <w:r w:rsidR="00752BFD" w:rsidRPr="00F864FB">
        <w:rPr>
          <w:color w:val="000000" w:themeColor="text1"/>
          <w:lang w:val="en-GB"/>
        </w:rPr>
        <w:t>)</w:t>
      </w:r>
      <w:r w:rsidR="00DC16C3" w:rsidRPr="00F864FB">
        <w:rPr>
          <w:color w:val="000000" w:themeColor="text1"/>
          <w:lang w:val="en-GB"/>
        </w:rPr>
        <w:t>,</w:t>
      </w:r>
      <w:r w:rsidR="002A4C2A" w:rsidRPr="00F864FB">
        <w:rPr>
          <w:color w:val="000000" w:themeColor="text1"/>
          <w:lang w:val="en-GB"/>
        </w:rPr>
        <w:t xml:space="preserve"> </w:t>
      </w:r>
      <w:r w:rsidRPr="00F864FB">
        <w:rPr>
          <w:color w:val="000000" w:themeColor="text1"/>
          <w:lang w:val="en-GB"/>
        </w:rPr>
        <w:t>are integral to her argument. Through them, she reconstructs circles of scholars,</w:t>
      </w:r>
      <w:r w:rsidR="0054651F" w:rsidRPr="00F864FB">
        <w:rPr>
          <w:color w:val="000000" w:themeColor="text1"/>
          <w:lang w:val="en-GB"/>
        </w:rPr>
        <w:t xml:space="preserve"> for instance,</w:t>
      </w:r>
      <w:r w:rsidRPr="00F864FB">
        <w:rPr>
          <w:color w:val="000000" w:themeColor="text1"/>
          <w:lang w:val="en-GB"/>
        </w:rPr>
        <w:t xml:space="preserve"> the so-called </w:t>
      </w:r>
      <w:proofErr w:type="spellStart"/>
      <w:r w:rsidRPr="00F864FB">
        <w:rPr>
          <w:i/>
          <w:iCs/>
          <w:color w:val="000000" w:themeColor="text1"/>
          <w:lang w:val="en-GB"/>
        </w:rPr>
        <w:t>meʿayyenim</w:t>
      </w:r>
      <w:proofErr w:type="spellEnd"/>
      <w:r w:rsidRPr="00F864FB">
        <w:rPr>
          <w:color w:val="000000" w:themeColor="text1"/>
          <w:lang w:val="en-GB"/>
        </w:rPr>
        <w:t xml:space="preserve"> of Provence, and glimpses the intellectual formation of students who moved from introductory manuals to the middle commentaries of Averroes.</w:t>
      </w:r>
    </w:p>
    <w:p w14:paraId="0E843F41" w14:textId="09C574DE" w:rsidR="000A2444" w:rsidRPr="00F864FB" w:rsidRDefault="000A2444" w:rsidP="00224DF1">
      <w:pPr>
        <w:pStyle w:val="Normaalweb"/>
        <w:spacing w:before="0" w:beforeAutospacing="0" w:after="0" w:afterAutospacing="0"/>
        <w:ind w:firstLine="708"/>
        <w:jc w:val="both"/>
        <w:rPr>
          <w:color w:val="000000" w:themeColor="text1"/>
          <w:lang w:val="en-GB"/>
        </w:rPr>
      </w:pPr>
      <w:r w:rsidRPr="00F864FB">
        <w:rPr>
          <w:color w:val="000000" w:themeColor="text1"/>
          <w:lang w:val="en-GB"/>
        </w:rPr>
        <w:t xml:space="preserve">The fourth chapter highlights the fourteenth century in Provence and Spain as a period of extraordinary vitality. The number of scientist-philosophers is indeed remarkable. The </w:t>
      </w:r>
      <w:r w:rsidR="00752BFD" w:rsidRPr="00F864FB">
        <w:rPr>
          <w:color w:val="000000" w:themeColor="text1"/>
          <w:lang w:val="en-GB"/>
        </w:rPr>
        <w:t xml:space="preserve">Hebrew </w:t>
      </w:r>
      <w:r w:rsidRPr="00F864FB">
        <w:rPr>
          <w:color w:val="000000" w:themeColor="text1"/>
          <w:lang w:val="en-GB"/>
        </w:rPr>
        <w:t xml:space="preserve">translations of the </w:t>
      </w:r>
      <w:r w:rsidR="00752BFD" w:rsidRPr="00F864FB">
        <w:rPr>
          <w:color w:val="000000" w:themeColor="text1"/>
          <w:lang w:val="en-GB"/>
        </w:rPr>
        <w:t xml:space="preserve">Ibn </w:t>
      </w:r>
      <w:proofErr w:type="spellStart"/>
      <w:r w:rsidRPr="00F864FB">
        <w:rPr>
          <w:color w:val="000000" w:themeColor="text1"/>
          <w:lang w:val="en-GB"/>
        </w:rPr>
        <w:t>Tibbon</w:t>
      </w:r>
      <w:proofErr w:type="spellEnd"/>
      <w:r w:rsidRPr="00F864FB">
        <w:rPr>
          <w:color w:val="000000" w:themeColor="text1"/>
          <w:lang w:val="en-GB"/>
        </w:rPr>
        <w:t xml:space="preserve"> family</w:t>
      </w:r>
      <w:r w:rsidR="00752BFD" w:rsidRPr="00F864FB">
        <w:rPr>
          <w:color w:val="000000" w:themeColor="text1"/>
          <w:lang w:val="en-GB"/>
        </w:rPr>
        <w:t xml:space="preserve"> and many others</w:t>
      </w:r>
      <w:r w:rsidRPr="00F864FB">
        <w:rPr>
          <w:color w:val="000000" w:themeColor="text1"/>
          <w:lang w:val="en-GB"/>
        </w:rPr>
        <w:t xml:space="preserve"> had rendered </w:t>
      </w:r>
      <w:r w:rsidR="00752BFD" w:rsidRPr="00F864FB">
        <w:rPr>
          <w:color w:val="000000" w:themeColor="text1"/>
          <w:lang w:val="en-GB"/>
        </w:rPr>
        <w:t xml:space="preserve">many texts </w:t>
      </w:r>
      <w:r w:rsidRPr="00F864FB">
        <w:rPr>
          <w:color w:val="000000" w:themeColor="text1"/>
          <w:lang w:val="en-GB"/>
        </w:rPr>
        <w:t>accessible</w:t>
      </w:r>
      <w:r w:rsidR="00752BFD" w:rsidRPr="00F864FB">
        <w:rPr>
          <w:color w:val="000000" w:themeColor="text1"/>
          <w:lang w:val="en-GB"/>
        </w:rPr>
        <w:t>.</w:t>
      </w:r>
      <w:r w:rsidRPr="00F864FB">
        <w:rPr>
          <w:color w:val="000000" w:themeColor="text1"/>
          <w:lang w:val="en-GB"/>
        </w:rPr>
        <w:t xml:space="preserve"> </w:t>
      </w:r>
      <w:r w:rsidR="00752BFD" w:rsidRPr="00F864FB">
        <w:rPr>
          <w:color w:val="000000" w:themeColor="text1"/>
          <w:lang w:val="en-GB"/>
        </w:rPr>
        <w:t>Especially</w:t>
      </w:r>
      <w:r w:rsidRPr="00F864FB">
        <w:rPr>
          <w:color w:val="000000" w:themeColor="text1"/>
          <w:lang w:val="en-GB"/>
        </w:rPr>
        <w:t xml:space="preserve"> </w:t>
      </w:r>
      <w:r w:rsidR="00752BFD" w:rsidRPr="00F864FB">
        <w:rPr>
          <w:color w:val="000000" w:themeColor="text1"/>
          <w:lang w:val="en-GB"/>
        </w:rPr>
        <w:t xml:space="preserve">the </w:t>
      </w:r>
      <w:r w:rsidRPr="00F864FB">
        <w:rPr>
          <w:color w:val="000000" w:themeColor="text1"/>
          <w:lang w:val="en-GB"/>
        </w:rPr>
        <w:t>commentaries of Averroes</w:t>
      </w:r>
      <w:r w:rsidR="00752BFD" w:rsidRPr="00F864FB">
        <w:rPr>
          <w:color w:val="000000" w:themeColor="text1"/>
          <w:lang w:val="en-GB"/>
        </w:rPr>
        <w:t xml:space="preserve"> on Aristotle </w:t>
      </w:r>
      <w:r w:rsidRPr="00F864FB">
        <w:rPr>
          <w:color w:val="000000" w:themeColor="text1"/>
          <w:lang w:val="en-GB"/>
        </w:rPr>
        <w:t>became foundational texts</w:t>
      </w:r>
      <w:r w:rsidR="00752BFD" w:rsidRPr="00F864FB">
        <w:rPr>
          <w:color w:val="000000" w:themeColor="text1"/>
          <w:lang w:val="en-GB"/>
        </w:rPr>
        <w:t>, with the “short commentaries” crucial for Jewish students in Provence, Spain and Italy</w:t>
      </w:r>
      <w:r w:rsidRPr="00F864FB">
        <w:rPr>
          <w:color w:val="000000" w:themeColor="text1"/>
          <w:lang w:val="en-GB"/>
        </w:rPr>
        <w:t>.</w:t>
      </w:r>
      <w:r w:rsidR="00752BFD" w:rsidRPr="00F864FB">
        <w:rPr>
          <w:color w:val="000000" w:themeColor="text1"/>
          <w:lang w:val="en-GB"/>
        </w:rPr>
        <w:t xml:space="preserve"> A more-or-less regular </w:t>
      </w:r>
      <w:r w:rsidR="00013D2A" w:rsidRPr="00F864FB">
        <w:rPr>
          <w:color w:val="000000" w:themeColor="text1"/>
          <w:lang w:val="en-GB"/>
        </w:rPr>
        <w:t xml:space="preserve">philosophical </w:t>
      </w:r>
      <w:r w:rsidR="00752BFD" w:rsidRPr="00F864FB">
        <w:rPr>
          <w:color w:val="000000" w:themeColor="text1"/>
          <w:lang w:val="en-GB"/>
        </w:rPr>
        <w:t>cursus emerges, including Al-Farabi’s classification of sciences, the “short” commentaries of Averroes, Maimonides’</w:t>
      </w:r>
      <w:r w:rsidR="007B15BB">
        <w:rPr>
          <w:color w:val="000000" w:themeColor="text1"/>
          <w:lang w:val="en-GB"/>
        </w:rPr>
        <w:t>s</w:t>
      </w:r>
      <w:r w:rsidR="00752BFD" w:rsidRPr="00F864FB">
        <w:rPr>
          <w:color w:val="000000" w:themeColor="text1"/>
          <w:lang w:val="en-GB"/>
        </w:rPr>
        <w:t xml:space="preserve"> </w:t>
      </w:r>
      <w:r w:rsidR="00752BFD" w:rsidRPr="00F864FB">
        <w:rPr>
          <w:i/>
          <w:iCs/>
          <w:color w:val="000000" w:themeColor="text1"/>
          <w:lang w:val="en-GB"/>
        </w:rPr>
        <w:t xml:space="preserve">Guide </w:t>
      </w:r>
      <w:r w:rsidR="00752BFD" w:rsidRPr="00F864FB">
        <w:rPr>
          <w:color w:val="000000" w:themeColor="text1"/>
          <w:lang w:val="en-GB"/>
        </w:rPr>
        <w:t>and other works</w:t>
      </w:r>
      <w:r w:rsidRPr="00F864FB">
        <w:rPr>
          <w:color w:val="000000" w:themeColor="text1"/>
          <w:lang w:val="en-GB"/>
        </w:rPr>
        <w:t>.</w:t>
      </w:r>
      <w:r w:rsidR="00752BFD" w:rsidRPr="00F864FB">
        <w:rPr>
          <w:color w:val="000000" w:themeColor="text1"/>
          <w:lang w:val="en-GB"/>
        </w:rPr>
        <w:t xml:space="preserve"> Jewish students first absorbed Jewish traditions, often through the commentary of Abraham ibn Ezra, before turning to science.</w:t>
      </w:r>
      <w:r w:rsidRPr="00F864FB">
        <w:rPr>
          <w:color w:val="000000" w:themeColor="text1"/>
          <w:lang w:val="en-GB"/>
        </w:rPr>
        <w:t xml:space="preserve"> Astrology, integrated into medicine and </w:t>
      </w:r>
      <w:r w:rsidR="007B15BB" w:rsidRPr="00F864FB">
        <w:rPr>
          <w:color w:val="000000" w:themeColor="text1"/>
          <w:lang w:val="en-GB"/>
        </w:rPr>
        <w:t>coloured</w:t>
      </w:r>
      <w:r w:rsidRPr="00F864FB">
        <w:rPr>
          <w:color w:val="000000" w:themeColor="text1"/>
          <w:lang w:val="en-GB"/>
        </w:rPr>
        <w:t xml:space="preserve"> by Neoplatonic motifs, flourished. Knowledge of Latin among Jews increased, and Christian logic began to circulate within Jewish milieus. The curriculum described in the </w:t>
      </w:r>
      <w:r w:rsidRPr="00F864FB">
        <w:rPr>
          <w:rStyle w:val="Nadruk"/>
          <w:rFonts w:eastAsiaTheme="majorEastAsia"/>
          <w:color w:val="000000" w:themeColor="text1"/>
          <w:lang w:val="en-GB"/>
        </w:rPr>
        <w:t>Shushan ha-</w:t>
      </w:r>
      <w:proofErr w:type="spellStart"/>
      <w:r w:rsidRPr="00F864FB">
        <w:rPr>
          <w:rStyle w:val="Nadruk"/>
          <w:rFonts w:eastAsiaTheme="majorEastAsia"/>
          <w:color w:val="000000" w:themeColor="text1"/>
          <w:lang w:val="en-GB"/>
        </w:rPr>
        <w:t>Limudim</w:t>
      </w:r>
      <w:proofErr w:type="spellEnd"/>
      <w:r w:rsidR="00013D2A" w:rsidRPr="00F864FB">
        <w:rPr>
          <w:rStyle w:val="Nadruk"/>
          <w:rFonts w:eastAsiaTheme="majorEastAsia"/>
          <w:color w:val="000000" w:themeColor="text1"/>
          <w:lang w:val="en-GB"/>
        </w:rPr>
        <w:t xml:space="preserve"> </w:t>
      </w:r>
      <w:r w:rsidR="00013D2A" w:rsidRPr="00F864FB">
        <w:rPr>
          <w:rStyle w:val="Nadruk"/>
          <w:rFonts w:eastAsiaTheme="majorEastAsia"/>
          <w:i w:val="0"/>
          <w:iCs w:val="0"/>
          <w:color w:val="000000" w:themeColor="text1"/>
          <w:lang w:val="en-GB"/>
        </w:rPr>
        <w:t>(</w:t>
      </w:r>
      <w:r w:rsidR="00013D2A" w:rsidRPr="00F864FB">
        <w:rPr>
          <w:i/>
          <w:iCs/>
          <w:color w:val="000000" w:themeColor="text1"/>
          <w:lang w:val="en-GB"/>
        </w:rPr>
        <w:t xml:space="preserve">Paris, BnF </w:t>
      </w:r>
      <w:proofErr w:type="spellStart"/>
      <w:r w:rsidR="00013D2A" w:rsidRPr="00F864FB">
        <w:rPr>
          <w:i/>
          <w:iCs/>
          <w:color w:val="000000" w:themeColor="text1"/>
          <w:lang w:val="en-GB"/>
        </w:rPr>
        <w:t>hébr</w:t>
      </w:r>
      <w:proofErr w:type="spellEnd"/>
      <w:r w:rsidR="00013D2A" w:rsidRPr="00F864FB">
        <w:rPr>
          <w:i/>
          <w:iCs/>
          <w:color w:val="000000" w:themeColor="text1"/>
          <w:lang w:val="en-GB"/>
        </w:rPr>
        <w:t xml:space="preserve">. 956, </w:t>
      </w:r>
      <w:r w:rsidR="00013D2A" w:rsidRPr="00F864FB">
        <w:rPr>
          <w:color w:val="000000" w:themeColor="text1"/>
          <w:lang w:val="en-GB"/>
        </w:rPr>
        <w:t>cited above)</w:t>
      </w:r>
      <w:r w:rsidRPr="00F864FB">
        <w:rPr>
          <w:color w:val="000000" w:themeColor="text1"/>
          <w:lang w:val="en-GB"/>
        </w:rPr>
        <w:t xml:space="preserve">, </w:t>
      </w:r>
      <w:r w:rsidR="00013D2A" w:rsidRPr="00F864FB">
        <w:rPr>
          <w:color w:val="000000" w:themeColor="text1"/>
          <w:lang w:val="en-GB"/>
        </w:rPr>
        <w:t>where works of</w:t>
      </w:r>
      <w:r w:rsidRPr="00F864FB">
        <w:rPr>
          <w:color w:val="000000" w:themeColor="text1"/>
          <w:lang w:val="en-GB"/>
        </w:rPr>
        <w:t xml:space="preserve"> Averroes</w:t>
      </w:r>
      <w:r w:rsidR="00013D2A" w:rsidRPr="00F864FB">
        <w:rPr>
          <w:color w:val="000000" w:themeColor="text1"/>
          <w:lang w:val="en-GB"/>
        </w:rPr>
        <w:t xml:space="preserve"> and</w:t>
      </w:r>
      <w:r w:rsidRPr="00F864FB">
        <w:rPr>
          <w:color w:val="000000" w:themeColor="text1"/>
          <w:lang w:val="en-GB"/>
        </w:rPr>
        <w:t xml:space="preserve"> al-Ghaz</w:t>
      </w:r>
      <w:r w:rsidR="00013D2A" w:rsidRPr="00F864FB">
        <w:rPr>
          <w:color w:val="000000" w:themeColor="text1"/>
          <w:lang w:val="en-GB"/>
        </w:rPr>
        <w:t>a</w:t>
      </w:r>
      <w:r w:rsidRPr="00F864FB">
        <w:rPr>
          <w:color w:val="000000" w:themeColor="text1"/>
          <w:lang w:val="en-GB"/>
        </w:rPr>
        <w:t>l</w:t>
      </w:r>
      <w:r w:rsidR="00013D2A" w:rsidRPr="00F864FB">
        <w:rPr>
          <w:color w:val="000000" w:themeColor="text1"/>
          <w:lang w:val="en-GB"/>
        </w:rPr>
        <w:t>i are copied and commented, as part of “metaphysics” to be studied at the very end of the cursus of sciences</w:t>
      </w:r>
      <w:r w:rsidRPr="00F864FB">
        <w:rPr>
          <w:color w:val="000000" w:themeColor="text1"/>
          <w:lang w:val="en-GB"/>
        </w:rPr>
        <w:t xml:space="preserve">, </w:t>
      </w:r>
      <w:r w:rsidR="00013D2A" w:rsidRPr="00F864FB">
        <w:rPr>
          <w:color w:val="000000" w:themeColor="text1"/>
          <w:lang w:val="en-GB"/>
        </w:rPr>
        <w:t>illustrates a manual of philosophy used at the end of the 13</w:t>
      </w:r>
      <w:r w:rsidR="00013D2A" w:rsidRPr="00F864FB">
        <w:rPr>
          <w:color w:val="000000" w:themeColor="text1"/>
          <w:vertAlign w:val="superscript"/>
          <w:lang w:val="en-GB"/>
        </w:rPr>
        <w:t>th</w:t>
      </w:r>
      <w:r w:rsidR="00013D2A" w:rsidRPr="00F864FB">
        <w:rPr>
          <w:color w:val="000000" w:themeColor="text1"/>
          <w:lang w:val="en-GB"/>
        </w:rPr>
        <w:t xml:space="preserve"> and first half of the 14</w:t>
      </w:r>
      <w:r w:rsidR="00013D2A" w:rsidRPr="00F864FB">
        <w:rPr>
          <w:color w:val="000000" w:themeColor="text1"/>
          <w:vertAlign w:val="superscript"/>
          <w:lang w:val="en-GB"/>
        </w:rPr>
        <w:t>th</w:t>
      </w:r>
      <w:r w:rsidR="00013D2A" w:rsidRPr="00F864FB">
        <w:rPr>
          <w:color w:val="000000" w:themeColor="text1"/>
          <w:lang w:val="en-GB"/>
        </w:rPr>
        <w:t xml:space="preserve"> century. </w:t>
      </w:r>
      <w:r w:rsidRPr="00F864FB">
        <w:rPr>
          <w:color w:val="000000" w:themeColor="text1"/>
          <w:lang w:val="en-GB"/>
        </w:rPr>
        <w:t xml:space="preserve"> </w:t>
      </w:r>
      <w:proofErr w:type="gramStart"/>
      <w:r w:rsidR="00013D2A" w:rsidRPr="00F864FB">
        <w:rPr>
          <w:color w:val="000000" w:themeColor="text1"/>
          <w:lang w:val="en-GB"/>
        </w:rPr>
        <w:t>Yet,</w:t>
      </w:r>
      <w:proofErr w:type="gramEnd"/>
      <w:r w:rsidR="00013D2A" w:rsidRPr="00F864FB">
        <w:rPr>
          <w:color w:val="000000" w:themeColor="text1"/>
          <w:lang w:val="en-GB"/>
        </w:rPr>
        <w:t xml:space="preserve"> </w:t>
      </w:r>
      <w:r w:rsidRPr="00F864FB">
        <w:rPr>
          <w:color w:val="000000" w:themeColor="text1"/>
          <w:lang w:val="en-GB"/>
        </w:rPr>
        <w:t>not all students proceeded to metaphysics, and those who did formed relatively small scholarly circles devoted to speculative inquiry</w:t>
      </w:r>
      <w:r w:rsidR="00013D2A" w:rsidRPr="00F864FB">
        <w:rPr>
          <w:color w:val="000000" w:themeColor="text1"/>
          <w:lang w:val="en-GB"/>
        </w:rPr>
        <w:t xml:space="preserve">, </w:t>
      </w:r>
      <w:r w:rsidR="007B15BB" w:rsidRPr="00F864FB">
        <w:rPr>
          <w:color w:val="000000" w:themeColor="text1"/>
          <w:lang w:val="en-GB"/>
        </w:rPr>
        <w:t>called</w:t>
      </w:r>
      <w:r w:rsidR="00013D2A" w:rsidRPr="00F864FB">
        <w:rPr>
          <w:color w:val="000000" w:themeColor="text1"/>
          <w:lang w:val="en-GB"/>
        </w:rPr>
        <w:t xml:space="preserve"> </w:t>
      </w:r>
      <w:proofErr w:type="spellStart"/>
      <w:r w:rsidR="00013D2A" w:rsidRPr="00F864FB">
        <w:rPr>
          <w:i/>
          <w:iCs/>
          <w:color w:val="000000" w:themeColor="text1"/>
          <w:lang w:val="en-GB"/>
        </w:rPr>
        <w:t>meʿayyenim</w:t>
      </w:r>
      <w:proofErr w:type="spellEnd"/>
      <w:r w:rsidR="00013D2A" w:rsidRPr="00F864FB">
        <w:rPr>
          <w:i/>
          <w:iCs/>
          <w:color w:val="000000" w:themeColor="text1"/>
          <w:lang w:val="en-GB"/>
        </w:rPr>
        <w:t xml:space="preserve"> </w:t>
      </w:r>
      <w:r w:rsidR="00013D2A" w:rsidRPr="00F864FB">
        <w:rPr>
          <w:color w:val="000000" w:themeColor="text1"/>
          <w:lang w:val="en-GB"/>
        </w:rPr>
        <w:t>(“searchers”)</w:t>
      </w:r>
      <w:r w:rsidRPr="00F864FB">
        <w:rPr>
          <w:color w:val="000000" w:themeColor="text1"/>
          <w:lang w:val="en-GB"/>
        </w:rPr>
        <w:t>.</w:t>
      </w:r>
    </w:p>
    <w:p w14:paraId="027B6421" w14:textId="67E71D8D" w:rsidR="000A2444" w:rsidRPr="00F864FB" w:rsidRDefault="000A2444" w:rsidP="00F864FB">
      <w:pPr>
        <w:pStyle w:val="Normaalweb"/>
        <w:spacing w:before="0" w:beforeAutospacing="0" w:after="0" w:afterAutospacing="0"/>
        <w:ind w:firstLine="708"/>
        <w:jc w:val="both"/>
        <w:rPr>
          <w:color w:val="000000" w:themeColor="text1"/>
          <w:lang w:val="en-GB"/>
        </w:rPr>
      </w:pPr>
      <w:r w:rsidRPr="00F864FB">
        <w:rPr>
          <w:color w:val="000000" w:themeColor="text1"/>
          <w:lang w:val="en-GB"/>
        </w:rPr>
        <w:t xml:space="preserve">The fifteenth century, marked by the Disputation of Tortosa and the expulsions from Iberian territories, presents a more precarious landscape. Jews were excluded from Christian universities, yet they </w:t>
      </w:r>
      <w:r w:rsidR="00F864FB" w:rsidRPr="00F864FB">
        <w:rPr>
          <w:color w:val="000000" w:themeColor="text1"/>
          <w:lang w:val="en-GB"/>
        </w:rPr>
        <w:t>modelled</w:t>
      </w:r>
      <w:r w:rsidRPr="00F864FB">
        <w:rPr>
          <w:color w:val="000000" w:themeColor="text1"/>
          <w:lang w:val="en-GB"/>
        </w:rPr>
        <w:t xml:space="preserve"> their own institutions on university structures. </w:t>
      </w:r>
      <w:r w:rsidRPr="00F864FB">
        <w:rPr>
          <w:i/>
          <w:iCs/>
          <w:color w:val="000000" w:themeColor="text1"/>
          <w:lang w:val="en-GB"/>
        </w:rPr>
        <w:t>Yeshivot</w:t>
      </w:r>
      <w:r w:rsidRPr="00F864FB">
        <w:rPr>
          <w:color w:val="000000" w:themeColor="text1"/>
          <w:lang w:val="en-GB"/>
        </w:rPr>
        <w:t xml:space="preserve"> incorporated philosophical and scientific texts alongside traditional study</w:t>
      </w:r>
      <w:r w:rsidR="00234446" w:rsidRPr="00F864FB">
        <w:rPr>
          <w:color w:val="000000" w:themeColor="text1"/>
          <w:lang w:val="en-GB"/>
        </w:rPr>
        <w:t xml:space="preserve">, with the </w:t>
      </w:r>
      <w:r w:rsidR="00234446" w:rsidRPr="00F864FB">
        <w:rPr>
          <w:i/>
          <w:iCs/>
          <w:color w:val="000000" w:themeColor="text1"/>
          <w:lang w:val="en-GB"/>
        </w:rPr>
        <w:t xml:space="preserve">yeshivot </w:t>
      </w:r>
      <w:proofErr w:type="spellStart"/>
      <w:r w:rsidR="00234446" w:rsidRPr="00F864FB">
        <w:rPr>
          <w:i/>
          <w:iCs/>
          <w:color w:val="000000" w:themeColor="text1"/>
          <w:lang w:val="en-GB"/>
        </w:rPr>
        <w:t>hokhmot</w:t>
      </w:r>
      <w:proofErr w:type="spellEnd"/>
      <w:r w:rsidR="00234446" w:rsidRPr="00F864FB">
        <w:rPr>
          <w:i/>
          <w:iCs/>
          <w:color w:val="000000" w:themeColor="text1"/>
          <w:lang w:val="en-GB"/>
        </w:rPr>
        <w:t xml:space="preserve"> </w:t>
      </w:r>
      <w:proofErr w:type="spellStart"/>
      <w:r w:rsidR="00234446" w:rsidRPr="00F864FB">
        <w:rPr>
          <w:i/>
          <w:iCs/>
          <w:color w:val="000000" w:themeColor="text1"/>
          <w:lang w:val="en-GB"/>
        </w:rPr>
        <w:t>hitz</w:t>
      </w:r>
      <w:r w:rsidR="00F864FB" w:rsidRPr="00F864FB">
        <w:rPr>
          <w:i/>
          <w:iCs/>
          <w:color w:val="000000" w:themeColor="text1"/>
          <w:lang w:val="en-GB"/>
        </w:rPr>
        <w:t>oniyot</w:t>
      </w:r>
      <w:proofErr w:type="spellEnd"/>
      <w:r w:rsidR="00F864FB" w:rsidRPr="00F864FB">
        <w:rPr>
          <w:i/>
          <w:iCs/>
          <w:color w:val="000000" w:themeColor="text1"/>
          <w:lang w:val="en-GB"/>
        </w:rPr>
        <w:t xml:space="preserve"> </w:t>
      </w:r>
      <w:r w:rsidR="00F864FB" w:rsidRPr="00F864FB">
        <w:rPr>
          <w:color w:val="000000" w:themeColor="text1"/>
          <w:lang w:val="en-GB"/>
        </w:rPr>
        <w:t xml:space="preserve">as schools of philosophy and science next to the more traditional </w:t>
      </w:r>
      <w:r w:rsidR="00F864FB" w:rsidRPr="00F864FB">
        <w:rPr>
          <w:i/>
          <w:iCs/>
          <w:color w:val="000000" w:themeColor="text1"/>
          <w:lang w:val="en-GB"/>
        </w:rPr>
        <w:t xml:space="preserve">yeshivot </w:t>
      </w:r>
      <w:proofErr w:type="spellStart"/>
      <w:r w:rsidR="00F864FB" w:rsidRPr="00F864FB">
        <w:rPr>
          <w:i/>
          <w:iCs/>
          <w:color w:val="000000" w:themeColor="text1"/>
          <w:lang w:val="en-GB"/>
        </w:rPr>
        <w:t>talmudiot</w:t>
      </w:r>
      <w:proofErr w:type="spellEnd"/>
      <w:r w:rsidR="00F864FB" w:rsidRPr="00F864FB">
        <w:rPr>
          <w:i/>
          <w:iCs/>
          <w:color w:val="000000" w:themeColor="text1"/>
          <w:lang w:val="en-GB"/>
        </w:rPr>
        <w:t xml:space="preserve">, </w:t>
      </w:r>
      <w:r w:rsidR="00F864FB" w:rsidRPr="00F864FB">
        <w:rPr>
          <w:color w:val="000000" w:themeColor="text1"/>
          <w:lang w:val="en-GB"/>
        </w:rPr>
        <w:t>where Talmud and religious matters were studied</w:t>
      </w:r>
      <w:r w:rsidRPr="00F864FB">
        <w:rPr>
          <w:color w:val="000000" w:themeColor="text1"/>
          <w:lang w:val="en-GB"/>
        </w:rPr>
        <w:t>.</w:t>
      </w:r>
      <w:r w:rsidR="00F864FB" w:rsidRPr="00F864FB">
        <w:rPr>
          <w:color w:val="000000" w:themeColor="text1"/>
          <w:lang w:val="en-GB"/>
        </w:rPr>
        <w:t xml:space="preserve"> The existence of </w:t>
      </w:r>
      <w:r w:rsidR="00F864FB" w:rsidRPr="00F864FB">
        <w:rPr>
          <w:i/>
          <w:iCs/>
          <w:color w:val="000000" w:themeColor="text1"/>
          <w:lang w:val="en-GB"/>
        </w:rPr>
        <w:t xml:space="preserve">yeshivot </w:t>
      </w:r>
      <w:proofErr w:type="spellStart"/>
      <w:r w:rsidR="00F864FB" w:rsidRPr="00F864FB">
        <w:rPr>
          <w:i/>
          <w:iCs/>
          <w:color w:val="000000" w:themeColor="text1"/>
          <w:lang w:val="en-GB"/>
        </w:rPr>
        <w:t>hokhmot</w:t>
      </w:r>
      <w:proofErr w:type="spellEnd"/>
      <w:r w:rsidR="00F864FB" w:rsidRPr="00F864FB">
        <w:rPr>
          <w:i/>
          <w:iCs/>
          <w:color w:val="000000" w:themeColor="text1"/>
          <w:lang w:val="en-GB"/>
        </w:rPr>
        <w:t xml:space="preserve"> </w:t>
      </w:r>
      <w:proofErr w:type="spellStart"/>
      <w:r w:rsidR="00F864FB" w:rsidRPr="00F864FB">
        <w:rPr>
          <w:i/>
          <w:iCs/>
          <w:color w:val="000000" w:themeColor="text1"/>
          <w:lang w:val="en-GB"/>
        </w:rPr>
        <w:t>hitzoniyot</w:t>
      </w:r>
      <w:proofErr w:type="spellEnd"/>
      <w:r w:rsidR="00F864FB" w:rsidRPr="00F864FB">
        <w:rPr>
          <w:i/>
          <w:iCs/>
          <w:color w:val="000000" w:themeColor="text1"/>
          <w:lang w:val="en-GB"/>
        </w:rPr>
        <w:t xml:space="preserve">, </w:t>
      </w:r>
      <w:r w:rsidR="00F864FB" w:rsidRPr="00F864FB">
        <w:rPr>
          <w:color w:val="000000" w:themeColor="text1"/>
          <w:lang w:val="en-GB"/>
        </w:rPr>
        <w:t>or, as Sirat calls them, “</w:t>
      </w:r>
      <w:r w:rsidR="00F864FB" w:rsidRPr="00F864FB">
        <w:rPr>
          <w:i/>
          <w:iCs/>
          <w:color w:val="000000" w:themeColor="text1"/>
          <w:lang w:val="en-GB"/>
        </w:rPr>
        <w:t>yeshivot</w:t>
      </w:r>
      <w:r w:rsidR="00F864FB" w:rsidRPr="00F864FB">
        <w:rPr>
          <w:color w:val="000000" w:themeColor="text1"/>
          <w:lang w:val="en-GB"/>
        </w:rPr>
        <w:t xml:space="preserve"> of philosophy”, is well atte</w:t>
      </w:r>
      <w:r w:rsidR="00F864FB">
        <w:rPr>
          <w:color w:val="000000" w:themeColor="text1"/>
          <w:lang w:val="en-GB"/>
        </w:rPr>
        <w:t>s</w:t>
      </w:r>
      <w:r w:rsidR="00F864FB" w:rsidRPr="00F864FB">
        <w:rPr>
          <w:color w:val="000000" w:themeColor="text1"/>
          <w:lang w:val="en-GB"/>
        </w:rPr>
        <w:t>ted in at least nine manuscripts, and they provide information on the texts studied there – philosophical texts such a</w:t>
      </w:r>
      <w:r w:rsidR="00F864FB">
        <w:rPr>
          <w:color w:val="000000" w:themeColor="text1"/>
          <w:lang w:val="en-GB"/>
        </w:rPr>
        <w:t>s</w:t>
      </w:r>
      <w:r w:rsidR="00F864FB" w:rsidRPr="00F864FB">
        <w:rPr>
          <w:color w:val="000000" w:themeColor="text1"/>
          <w:lang w:val="en-GB"/>
        </w:rPr>
        <w:t xml:space="preserve"> Averroes’</w:t>
      </w:r>
      <w:r w:rsidR="007B15BB">
        <w:rPr>
          <w:color w:val="000000" w:themeColor="text1"/>
          <w:lang w:val="en-GB"/>
        </w:rPr>
        <w:t>s</w:t>
      </w:r>
      <w:r w:rsidR="00F864FB" w:rsidRPr="00F864FB">
        <w:rPr>
          <w:color w:val="000000" w:themeColor="text1"/>
          <w:lang w:val="en-GB"/>
        </w:rPr>
        <w:t xml:space="preserve"> commentaries and Maimonides’</w:t>
      </w:r>
      <w:r w:rsidR="007B15BB">
        <w:rPr>
          <w:color w:val="000000" w:themeColor="text1"/>
          <w:lang w:val="en-GB"/>
        </w:rPr>
        <w:t>s</w:t>
      </w:r>
      <w:r w:rsidR="00F864FB" w:rsidRPr="00F864FB">
        <w:rPr>
          <w:color w:val="000000" w:themeColor="text1"/>
          <w:lang w:val="en-GB"/>
        </w:rPr>
        <w:t xml:space="preserve"> </w:t>
      </w:r>
      <w:r w:rsidR="00F864FB" w:rsidRPr="00F864FB">
        <w:rPr>
          <w:i/>
          <w:iCs/>
          <w:color w:val="000000" w:themeColor="text1"/>
          <w:lang w:val="en-GB"/>
        </w:rPr>
        <w:t xml:space="preserve">Guide </w:t>
      </w:r>
      <w:r w:rsidR="00F864FB" w:rsidRPr="00F864FB">
        <w:rPr>
          <w:color w:val="000000" w:themeColor="text1"/>
          <w:lang w:val="en-GB"/>
        </w:rPr>
        <w:t>and other</w:t>
      </w:r>
      <w:r w:rsidR="00F864FB">
        <w:rPr>
          <w:color w:val="000000" w:themeColor="text1"/>
          <w:lang w:val="en-GB"/>
        </w:rPr>
        <w:t xml:space="preserve"> Jewish philosophical texts, and some scientific books.</w:t>
      </w:r>
      <w:r w:rsidR="00F864FB" w:rsidRPr="00F864FB">
        <w:rPr>
          <w:color w:val="000000" w:themeColor="text1"/>
          <w:lang w:val="en-GB"/>
        </w:rPr>
        <w:t xml:space="preserve"> </w:t>
      </w:r>
      <w:proofErr w:type="gramStart"/>
      <w:r w:rsidR="00F864FB">
        <w:rPr>
          <w:color w:val="000000" w:themeColor="text1"/>
          <w:lang w:val="en-GB"/>
        </w:rPr>
        <w:t>Also</w:t>
      </w:r>
      <w:proofErr w:type="gramEnd"/>
      <w:r w:rsidR="00F864FB">
        <w:rPr>
          <w:color w:val="000000" w:themeColor="text1"/>
          <w:lang w:val="en-GB"/>
        </w:rPr>
        <w:t xml:space="preserve"> t</w:t>
      </w:r>
      <w:r w:rsidRPr="00F864FB">
        <w:rPr>
          <w:color w:val="000000" w:themeColor="text1"/>
          <w:lang w:val="en-GB"/>
        </w:rPr>
        <w:t>he spread of printing, the growing knowledge of Latin, and the diffusion of Kabbalah transformed intellectual horizons</w:t>
      </w:r>
      <w:r w:rsidR="00F864FB" w:rsidRPr="00F864FB">
        <w:rPr>
          <w:color w:val="000000" w:themeColor="text1"/>
          <w:lang w:val="en-GB"/>
        </w:rPr>
        <w:t xml:space="preserve"> in the fifteenth century</w:t>
      </w:r>
      <w:r w:rsidRPr="00F864FB">
        <w:rPr>
          <w:color w:val="000000" w:themeColor="text1"/>
          <w:lang w:val="en-GB"/>
        </w:rPr>
        <w:t xml:space="preserve">. Sirat </w:t>
      </w:r>
      <w:r w:rsidR="00F864FB" w:rsidRPr="00F864FB">
        <w:rPr>
          <w:color w:val="000000" w:themeColor="text1"/>
          <w:lang w:val="en-GB"/>
        </w:rPr>
        <w:t xml:space="preserve">concludes by </w:t>
      </w:r>
      <w:r w:rsidRPr="00F864FB">
        <w:rPr>
          <w:color w:val="000000" w:themeColor="text1"/>
          <w:lang w:val="en-GB"/>
        </w:rPr>
        <w:t>contrast</w:t>
      </w:r>
      <w:r w:rsidR="00F864FB" w:rsidRPr="00F864FB">
        <w:rPr>
          <w:color w:val="000000" w:themeColor="text1"/>
          <w:lang w:val="en-GB"/>
        </w:rPr>
        <w:t>ing</w:t>
      </w:r>
      <w:r w:rsidRPr="00F864FB">
        <w:rPr>
          <w:color w:val="000000" w:themeColor="text1"/>
          <w:lang w:val="en-GB"/>
        </w:rPr>
        <w:t xml:space="preserve"> the defensive posture of Spanish thinkers, who erected barriers around the Torah </w:t>
      </w:r>
      <w:r w:rsidRPr="00F864FB">
        <w:rPr>
          <w:color w:val="000000" w:themeColor="text1"/>
          <w:lang w:val="en-GB"/>
        </w:rPr>
        <w:lastRenderedPageBreak/>
        <w:t xml:space="preserve">in response to external pressures, with the openness of Italian scholars to the new currents of thought that heralded the Renaissance. In this context, Jewish thinkers can no longer be confined within a narrowly “medieval” frame; they </w:t>
      </w:r>
      <w:r w:rsidR="00F864FB" w:rsidRPr="00F864FB">
        <w:rPr>
          <w:color w:val="000000" w:themeColor="text1"/>
          <w:lang w:val="en-GB"/>
        </w:rPr>
        <w:t xml:space="preserve">actively </w:t>
      </w:r>
      <w:r w:rsidRPr="00F864FB">
        <w:rPr>
          <w:color w:val="000000" w:themeColor="text1"/>
          <w:lang w:val="en-GB"/>
        </w:rPr>
        <w:t xml:space="preserve">participate in the broader cultural ferment of the Quattrocento. </w:t>
      </w:r>
    </w:p>
    <w:p w14:paraId="52BCEC5A" w14:textId="28658736" w:rsidR="000A2444" w:rsidRPr="00F864FB" w:rsidRDefault="000A2444" w:rsidP="00224DF1">
      <w:pPr>
        <w:pStyle w:val="Normaalweb"/>
        <w:spacing w:before="0" w:beforeAutospacing="0" w:after="0" w:afterAutospacing="0"/>
        <w:ind w:firstLine="708"/>
        <w:jc w:val="both"/>
        <w:rPr>
          <w:color w:val="000000" w:themeColor="text1"/>
          <w:lang w:val="en-GB"/>
        </w:rPr>
      </w:pPr>
      <w:r w:rsidRPr="00F864FB">
        <w:rPr>
          <w:color w:val="000000" w:themeColor="text1"/>
          <w:lang w:val="en-GB"/>
        </w:rPr>
        <w:t xml:space="preserve">Among the great merits of Sirat’s book is her provision of scholarly tools. She directs readers to resources such as Jacob Klatzkin’s </w:t>
      </w:r>
      <w:r w:rsidRPr="00F864FB">
        <w:rPr>
          <w:rStyle w:val="Nadruk"/>
          <w:rFonts w:eastAsiaTheme="majorEastAsia"/>
          <w:color w:val="000000" w:themeColor="text1"/>
          <w:lang w:val="en-GB"/>
        </w:rPr>
        <w:t xml:space="preserve">Thesaurus </w:t>
      </w:r>
      <w:proofErr w:type="spellStart"/>
      <w:r w:rsidRPr="00F864FB">
        <w:rPr>
          <w:rStyle w:val="Nadruk"/>
          <w:rFonts w:eastAsiaTheme="majorEastAsia"/>
          <w:color w:val="000000" w:themeColor="text1"/>
          <w:lang w:val="en-GB"/>
        </w:rPr>
        <w:t>philosophicus</w:t>
      </w:r>
      <w:proofErr w:type="spellEnd"/>
      <w:r w:rsidRPr="00F864FB">
        <w:rPr>
          <w:rStyle w:val="Nadruk"/>
          <w:rFonts w:eastAsiaTheme="majorEastAsia"/>
          <w:color w:val="000000" w:themeColor="text1"/>
          <w:lang w:val="en-GB"/>
        </w:rPr>
        <w:t xml:space="preserve"> linguae </w:t>
      </w:r>
      <w:proofErr w:type="spellStart"/>
      <w:r w:rsidRPr="00F864FB">
        <w:rPr>
          <w:rStyle w:val="Nadruk"/>
          <w:rFonts w:eastAsiaTheme="majorEastAsia"/>
          <w:color w:val="000000" w:themeColor="text1"/>
          <w:lang w:val="en-GB"/>
        </w:rPr>
        <w:t>hebraicae</w:t>
      </w:r>
      <w:proofErr w:type="spellEnd"/>
      <w:r w:rsidRPr="00F864FB">
        <w:rPr>
          <w:color w:val="000000" w:themeColor="text1"/>
          <w:lang w:val="en-GB"/>
        </w:rPr>
        <w:t>, Giuseppe Sermoneta’s Hebrew-Italian philosophical glossary,</w:t>
      </w:r>
      <w:r w:rsidR="000438A5">
        <w:rPr>
          <w:rStyle w:val="Voetnootmarkering"/>
          <w:color w:val="000000" w:themeColor="text1"/>
          <w:lang w:val="en-GB"/>
        </w:rPr>
        <w:footnoteReference w:id="5"/>
      </w:r>
      <w:r w:rsidRPr="00F864FB">
        <w:rPr>
          <w:color w:val="000000" w:themeColor="text1"/>
          <w:lang w:val="en-GB"/>
        </w:rPr>
        <w:t xml:space="preserve"> and the list of glossaries compiled by</w:t>
      </w:r>
      <w:r w:rsidR="002A4C2A" w:rsidRPr="00F864FB">
        <w:rPr>
          <w:color w:val="000000" w:themeColor="text1"/>
          <w:lang w:val="en-GB"/>
        </w:rPr>
        <w:t xml:space="preserve"> her student</w:t>
      </w:r>
      <w:r w:rsidRPr="00F864FB">
        <w:rPr>
          <w:color w:val="000000" w:themeColor="text1"/>
          <w:lang w:val="en-GB"/>
        </w:rPr>
        <w:t xml:space="preserve"> Jean-Pierre Rothschild.</w:t>
      </w:r>
      <w:r w:rsidR="002A4C2A" w:rsidRPr="00F864FB">
        <w:rPr>
          <w:rStyle w:val="Voetnootmarkering"/>
          <w:color w:val="000000" w:themeColor="text1"/>
          <w:lang w:val="en-GB"/>
        </w:rPr>
        <w:footnoteReference w:id="6"/>
      </w:r>
      <w:r w:rsidRPr="00F864FB">
        <w:rPr>
          <w:color w:val="000000" w:themeColor="text1"/>
          <w:lang w:val="en-GB"/>
        </w:rPr>
        <w:t xml:space="preserve"> She offers clear classifications of the sciences and concise yet informative portraits of major thinkers, always attentive to their geographical and intellectual environments. Her discussion of Maimonides’</w:t>
      </w:r>
      <w:r w:rsidR="007B15BB">
        <w:rPr>
          <w:color w:val="000000" w:themeColor="text1"/>
          <w:lang w:val="en-GB"/>
        </w:rPr>
        <w:t>s</w:t>
      </w:r>
      <w:r w:rsidRPr="00F864FB">
        <w:rPr>
          <w:color w:val="000000" w:themeColor="text1"/>
          <w:lang w:val="en-GB"/>
        </w:rPr>
        <w:t xml:space="preserve"> </w:t>
      </w:r>
      <w:r w:rsidRPr="00F864FB">
        <w:rPr>
          <w:rStyle w:val="Nadruk"/>
          <w:rFonts w:eastAsiaTheme="majorEastAsia"/>
          <w:color w:val="000000" w:themeColor="text1"/>
          <w:lang w:val="en-GB"/>
        </w:rPr>
        <w:t>Guide</w:t>
      </w:r>
      <w:r w:rsidRPr="00F864FB">
        <w:rPr>
          <w:color w:val="000000" w:themeColor="text1"/>
          <w:lang w:val="en-GB"/>
        </w:rPr>
        <w:t xml:space="preserve"> is particularly </w:t>
      </w:r>
      <w:proofErr w:type="gramStart"/>
      <w:r w:rsidRPr="00F864FB">
        <w:rPr>
          <w:color w:val="000000" w:themeColor="text1"/>
          <w:lang w:val="en-GB"/>
        </w:rPr>
        <w:t xml:space="preserve">lucid, </w:t>
      </w:r>
      <w:r w:rsidR="00DD767A" w:rsidRPr="00F864FB">
        <w:rPr>
          <w:color w:val="000000" w:themeColor="text1"/>
          <w:lang w:val="en-GB"/>
        </w:rPr>
        <w:t>and</w:t>
      </w:r>
      <w:proofErr w:type="gramEnd"/>
      <w:r w:rsidR="00DD767A" w:rsidRPr="00F864FB">
        <w:rPr>
          <w:color w:val="000000" w:themeColor="text1"/>
          <w:lang w:val="en-GB"/>
        </w:rPr>
        <w:t xml:space="preserve"> offers a great overview and summary of its main points, picked up by other Medieval Jewish teachers</w:t>
      </w:r>
      <w:r w:rsidRPr="00F864FB">
        <w:rPr>
          <w:color w:val="000000" w:themeColor="text1"/>
          <w:lang w:val="en-GB"/>
        </w:rPr>
        <w:t>.</w:t>
      </w:r>
    </w:p>
    <w:p w14:paraId="6C90F1B1" w14:textId="77777777" w:rsidR="00224DF1" w:rsidRPr="00F864FB" w:rsidRDefault="00224DF1" w:rsidP="00F864FB">
      <w:pPr>
        <w:pStyle w:val="Normaalweb"/>
        <w:spacing w:before="0" w:beforeAutospacing="0" w:after="0" w:afterAutospacing="0"/>
        <w:ind w:firstLine="708"/>
        <w:jc w:val="both"/>
        <w:rPr>
          <w:color w:val="000000" w:themeColor="text1"/>
          <w:lang w:val="en-GB"/>
        </w:rPr>
      </w:pPr>
      <w:r w:rsidRPr="00F864FB">
        <w:rPr>
          <w:color w:val="000000"/>
          <w:lang w:val="en-GB"/>
        </w:rPr>
        <w:t xml:space="preserve">The very richness of Sirat’s synthesis, however, invites further reflection. </w:t>
      </w:r>
      <w:r w:rsidR="000A2444" w:rsidRPr="00F864FB">
        <w:rPr>
          <w:color w:val="000000" w:themeColor="text1"/>
          <w:lang w:val="en-GB"/>
        </w:rPr>
        <w:t>What, precisely, counts as “philosophical teaching”? The emphasis throughout the volume falls predominantly on metaphysics and the sciences that support it. Ethics, although present in the sources and undeniably central to thinkers such as Maimonides, appears less foregrounded in the reconstruction of curricula. One might ask whether the ethical formation implicit in scriptural exegesis, homiletics, and communal instruction should be considered part of philosophical pedagogy. A more substantial issue concerns Ashkenaz. Sirat presents it largely as a monolithic bastion of Talmudic traditionalism opposed to philosophy. While this portrayal corresponds to dominant narratives of medieval Jewish intellectual history, recent scholarship suggests a more nuanced picture.</w:t>
      </w:r>
      <w:r w:rsidRPr="00F864FB">
        <w:rPr>
          <w:rStyle w:val="Voetnootmarkering"/>
          <w:color w:val="000000" w:themeColor="text1"/>
          <w:lang w:val="en-GB"/>
        </w:rPr>
        <w:footnoteReference w:id="7"/>
      </w:r>
      <w:r w:rsidRPr="00F864FB">
        <w:rPr>
          <w:color w:val="000000" w:themeColor="text1"/>
          <w:lang w:val="en-GB"/>
        </w:rPr>
        <w:t xml:space="preserve"> </w:t>
      </w:r>
      <w:r w:rsidRPr="00F864FB">
        <w:rPr>
          <w:color w:val="000000"/>
          <w:lang w:val="en-GB"/>
        </w:rPr>
        <w:t>The study of Aristotelian science formed a recognized, if limited,</w:t>
      </w:r>
      <w:r w:rsidRPr="00F864FB">
        <w:rPr>
          <w:rStyle w:val="Voetnootmarkering"/>
          <w:color w:val="000000"/>
          <w:lang w:val="en-GB"/>
        </w:rPr>
        <w:footnoteReference w:id="8"/>
      </w:r>
      <w:r w:rsidRPr="00F864FB">
        <w:rPr>
          <w:color w:val="000000"/>
          <w:lang w:val="en-GB"/>
        </w:rPr>
        <w:t xml:space="preserve"> current in late medieval Central Europe, especially in and around Prague, where Jewish readers encountered Hebrew translations of southern philosophical works. Though many Ashkenazic scholars regarded philosophy with suspicion, fearing its impact on halakhic reasoning and traditional exegesis, philosophical motifs nonetheless entered religious discourse by the late fourteenth century. A small circle of scholars engaged systematically with Aristotelian texts, discussed their compatibility with tradition and Kabbalah, and even sought to disseminate philosophical learning more broadly. Philosophy remained marginal rather than dominant, yet it was neither wholly absent nor entirely alien to Ashkenazic culture.</w:t>
      </w:r>
      <w:r w:rsidR="00DD767A" w:rsidRPr="00F864FB">
        <w:rPr>
          <w:color w:val="000000" w:themeColor="text1"/>
          <w:lang w:val="en-GB"/>
        </w:rPr>
        <w:t xml:space="preserve"> </w:t>
      </w:r>
      <w:r w:rsidRPr="00F864FB">
        <w:rPr>
          <w:color w:val="000000"/>
          <w:lang w:val="en-GB"/>
        </w:rPr>
        <w:t>A final, minor reservation concerns a few editorial oversights that escaped proofreading, including the inadvertent repetition of a paragraph.</w:t>
      </w:r>
    </w:p>
    <w:p w14:paraId="0A1FB7BE" w14:textId="5A6E9D3C" w:rsidR="000A2444" w:rsidRPr="00F864FB" w:rsidRDefault="000A2444" w:rsidP="00224DF1">
      <w:pPr>
        <w:pStyle w:val="Normaalweb"/>
        <w:spacing w:before="0" w:beforeAutospacing="0" w:after="0" w:afterAutospacing="0"/>
        <w:ind w:firstLine="708"/>
        <w:jc w:val="both"/>
        <w:rPr>
          <w:color w:val="000000" w:themeColor="text1"/>
          <w:lang w:val="en-GB"/>
        </w:rPr>
      </w:pPr>
      <w:r w:rsidRPr="00F864FB">
        <w:rPr>
          <w:color w:val="000000" w:themeColor="text1"/>
          <w:lang w:val="en-GB"/>
        </w:rPr>
        <w:lastRenderedPageBreak/>
        <w:t xml:space="preserve">These reservations, however, do not diminish the achievement of the book. On the contrary, they </w:t>
      </w:r>
      <w:r w:rsidR="002A4C2A" w:rsidRPr="00F864FB">
        <w:rPr>
          <w:color w:val="000000" w:themeColor="text1"/>
          <w:lang w:val="en-GB"/>
        </w:rPr>
        <w:t>raise questions that stimulate future research</w:t>
      </w:r>
      <w:r w:rsidRPr="00F864FB">
        <w:rPr>
          <w:color w:val="000000" w:themeColor="text1"/>
          <w:lang w:val="en-GB"/>
        </w:rPr>
        <w:t xml:space="preserve">. By foregrounding pedagogy, Sirat compels us to reconsider the social and material conditions under which philosophy lived within Jewish communities. She demonstrates that the twelfth and thirteenth centuries prepared the way for the fourteenth-century efflorescence of philosophical study, and that the fifteenth century, far from representing mere decline, integrated Jewish thinkers into the wider transformations of the Renaissance. In doing so, she confirms insights advanced by scholars such as </w:t>
      </w:r>
      <w:r w:rsidRPr="007B7071">
        <w:rPr>
          <w:color w:val="000000" w:themeColor="text1"/>
          <w:lang w:val="en-GB"/>
        </w:rPr>
        <w:t>Giuseppe Veltri regarding the under-studied role of Judaism in Renaissance culture</w:t>
      </w:r>
      <w:r w:rsidRPr="00F864FB">
        <w:rPr>
          <w:color w:val="000000" w:themeColor="text1"/>
          <w:lang w:val="en-GB"/>
        </w:rPr>
        <w:t>.</w:t>
      </w:r>
      <w:r w:rsidR="007B7071">
        <w:rPr>
          <w:rStyle w:val="Voetnootmarkering"/>
          <w:color w:val="000000" w:themeColor="text1"/>
          <w:lang w:val="en-GB"/>
        </w:rPr>
        <w:footnoteReference w:id="9"/>
      </w:r>
      <w:r w:rsidRPr="00F864FB">
        <w:rPr>
          <w:color w:val="000000" w:themeColor="text1"/>
          <w:lang w:val="en-GB"/>
        </w:rPr>
        <w:t xml:space="preserve"> </w:t>
      </w:r>
    </w:p>
    <w:p w14:paraId="61B5A3A9" w14:textId="3DC08A41" w:rsidR="00DF6566" w:rsidRPr="007B7071" w:rsidRDefault="000A2444" w:rsidP="007B7071">
      <w:pPr>
        <w:pStyle w:val="Normaalweb"/>
        <w:spacing w:before="0" w:beforeAutospacing="0" w:after="0" w:afterAutospacing="0"/>
        <w:ind w:firstLine="708"/>
        <w:jc w:val="both"/>
        <w:rPr>
          <w:color w:val="000000" w:themeColor="text1"/>
          <w:lang w:val="en-GB"/>
        </w:rPr>
      </w:pPr>
      <w:r w:rsidRPr="00F864FB">
        <w:rPr>
          <w:color w:val="000000" w:themeColor="text1"/>
          <w:lang w:val="en-GB"/>
        </w:rPr>
        <w:t xml:space="preserve">Sirat’s volume is thus both a synthesis and an invitation. It provides a coherent line through diverse writings and contexts, highlights the versatility of Jewish teachers, and opens a window onto a period that has too often </w:t>
      </w:r>
      <w:r w:rsidR="007B15BB">
        <w:rPr>
          <w:color w:val="000000" w:themeColor="text1"/>
          <w:lang w:val="en-GB"/>
        </w:rPr>
        <w:t xml:space="preserve">« </w:t>
      </w:r>
      <w:r w:rsidRPr="007B7071">
        <w:rPr>
          <w:color w:val="000000" w:themeColor="text1"/>
          <w:lang w:val="en-GB"/>
        </w:rPr>
        <w:t>figured scarcely in the cartography or chronology of the history of Jewish thought</w:t>
      </w:r>
      <w:r w:rsidR="007B15BB">
        <w:rPr>
          <w:color w:val="000000" w:themeColor="text1"/>
          <w:lang w:val="en-GB"/>
        </w:rPr>
        <w:t xml:space="preserve"> »</w:t>
      </w:r>
      <w:r w:rsidRPr="007B7071">
        <w:rPr>
          <w:color w:val="000000" w:themeColor="text1"/>
          <w:lang w:val="en-GB"/>
        </w:rPr>
        <w:t>.</w:t>
      </w:r>
      <w:r w:rsidR="007B7071" w:rsidRPr="007B7071">
        <w:rPr>
          <w:rStyle w:val="Voetnootmarkering"/>
          <w:color w:val="000000" w:themeColor="text1"/>
          <w:lang w:val="en-GB"/>
        </w:rPr>
        <w:footnoteReference w:id="10"/>
      </w:r>
      <w:r w:rsidRPr="00F864FB">
        <w:rPr>
          <w:color w:val="000000" w:themeColor="text1"/>
          <w:lang w:val="en-GB"/>
        </w:rPr>
        <w:t xml:space="preserve"> By attending to manuscripts, glossaries, curricula, and controversies, she </w:t>
      </w:r>
      <w:r w:rsidR="00014654">
        <w:rPr>
          <w:color w:val="000000" w:themeColor="text1"/>
          <w:lang w:val="en-GB"/>
        </w:rPr>
        <w:t>invites</w:t>
      </w:r>
      <w:r w:rsidRPr="00F864FB">
        <w:rPr>
          <w:color w:val="000000" w:themeColor="text1"/>
          <w:lang w:val="en-GB"/>
        </w:rPr>
        <w:t xml:space="preserve"> to view the lived reality of philosophical learning. The book stands as an </w:t>
      </w:r>
      <w:r w:rsidR="007B7071">
        <w:rPr>
          <w:color w:val="000000" w:themeColor="text1"/>
          <w:lang w:val="en-GB"/>
        </w:rPr>
        <w:t>instructive</w:t>
      </w:r>
      <w:r w:rsidRPr="00F864FB">
        <w:rPr>
          <w:color w:val="000000" w:themeColor="text1"/>
          <w:lang w:val="en-GB"/>
        </w:rPr>
        <w:t xml:space="preserve"> starting point for further research on the education of Jewish philosophy in the later Middle Ages.</w:t>
      </w:r>
    </w:p>
    <w:sectPr w:rsidR="00DF6566" w:rsidRPr="007B707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AD2655" w14:textId="77777777" w:rsidR="007E1C42" w:rsidRDefault="007E1C42" w:rsidP="009C40EB">
      <w:r>
        <w:separator/>
      </w:r>
    </w:p>
  </w:endnote>
  <w:endnote w:type="continuationSeparator" w:id="0">
    <w:p w14:paraId="25BEFACA" w14:textId="77777777" w:rsidR="007E1C42" w:rsidRDefault="007E1C42" w:rsidP="009C40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imes">
    <w:altName w:val="Times New Roman"/>
    <w:panose1 w:val="00000500000000020000"/>
    <w:charset w:val="00"/>
    <w:family w:val="auto"/>
    <w:pitch w:val="variable"/>
    <w:sig w:usb0="E00002FF" w:usb1="5000205A"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0AE270" w14:textId="77777777" w:rsidR="007E1C42" w:rsidRDefault="007E1C42" w:rsidP="009C40EB">
      <w:r>
        <w:separator/>
      </w:r>
    </w:p>
  </w:footnote>
  <w:footnote w:type="continuationSeparator" w:id="0">
    <w:p w14:paraId="6AC9AA8F" w14:textId="77777777" w:rsidR="007E1C42" w:rsidRDefault="007E1C42" w:rsidP="009C40EB">
      <w:r>
        <w:continuationSeparator/>
      </w:r>
    </w:p>
  </w:footnote>
  <w:footnote w:id="1">
    <w:p w14:paraId="1778AD3E" w14:textId="1BBD205D" w:rsidR="00224DF1" w:rsidRPr="007B7071" w:rsidRDefault="00224DF1" w:rsidP="00457188">
      <w:pPr>
        <w:pStyle w:val="Voetnoottekst"/>
        <w:rPr>
          <w:rFonts w:ascii="Times New Roman" w:hAnsi="Times New Roman" w:cs="Times New Roman"/>
        </w:rPr>
      </w:pPr>
      <w:r w:rsidRPr="007B7071">
        <w:rPr>
          <w:rStyle w:val="Voetnootmarkering"/>
          <w:rFonts w:ascii="Times New Roman" w:hAnsi="Times New Roman" w:cs="Times New Roman"/>
        </w:rPr>
        <w:footnoteRef/>
      </w:r>
      <w:r w:rsidRPr="007B7071">
        <w:rPr>
          <w:rFonts w:ascii="Times New Roman" w:hAnsi="Times New Roman" w:cs="Times New Roman"/>
        </w:rPr>
        <w:t xml:space="preserve"> </w:t>
      </w:r>
      <w:r w:rsidR="00457188" w:rsidRPr="007B7071">
        <w:rPr>
          <w:rFonts w:ascii="Times New Roman" w:hAnsi="Times New Roman" w:cs="Times New Roman"/>
          <w:smallCaps/>
        </w:rPr>
        <w:t>Colette Sirat</w:t>
      </w:r>
      <w:r w:rsidR="00457188" w:rsidRPr="007B7071">
        <w:rPr>
          <w:rFonts w:ascii="Times New Roman" w:hAnsi="Times New Roman" w:cs="Times New Roman"/>
        </w:rPr>
        <w:t xml:space="preserve">, </w:t>
      </w:r>
      <w:r w:rsidR="000B422A">
        <w:rPr>
          <w:rFonts w:ascii="Times New Roman" w:hAnsi="Times New Roman" w:cs="Times New Roman"/>
        </w:rPr>
        <w:t xml:space="preserve">« </w:t>
      </w:r>
      <w:r w:rsidR="00457188" w:rsidRPr="007B7071">
        <w:rPr>
          <w:rFonts w:ascii="Times New Roman" w:hAnsi="Times New Roman" w:cs="Times New Roman"/>
        </w:rPr>
        <w:t>Entering the Field of Philosophy: Provence, Mid-Fourteenth Century</w:t>
      </w:r>
      <w:r w:rsidR="000B422A">
        <w:rPr>
          <w:rFonts w:ascii="Times New Roman" w:hAnsi="Times New Roman" w:cs="Times New Roman"/>
        </w:rPr>
        <w:t xml:space="preserve"> »</w:t>
      </w:r>
      <w:r w:rsidR="00457188" w:rsidRPr="007B7071">
        <w:rPr>
          <w:rFonts w:ascii="Times New Roman" w:hAnsi="Times New Roman" w:cs="Times New Roman"/>
        </w:rPr>
        <w:t xml:space="preserve">, in </w:t>
      </w:r>
      <w:r w:rsidR="00457188" w:rsidRPr="007B7071">
        <w:rPr>
          <w:rFonts w:ascii="Times New Roman" w:hAnsi="Times New Roman" w:cs="Times New Roman"/>
          <w:smallCaps/>
        </w:rPr>
        <w:t xml:space="preserve">George J. Brooke </w:t>
      </w:r>
      <w:r w:rsidR="004F2B82" w:rsidRPr="007B7071">
        <w:rPr>
          <w:rFonts w:ascii="Times New Roman" w:hAnsi="Times New Roman" w:cs="Times New Roman"/>
          <w:smallCaps/>
        </w:rPr>
        <w:t>&amp;</w:t>
      </w:r>
      <w:r w:rsidR="00457188" w:rsidRPr="007B7071">
        <w:rPr>
          <w:rFonts w:ascii="Times New Roman" w:hAnsi="Times New Roman" w:cs="Times New Roman"/>
          <w:smallCaps/>
        </w:rPr>
        <w:t xml:space="preserve"> Renate Smithuis</w:t>
      </w:r>
      <w:r w:rsidR="00457188" w:rsidRPr="007B7071">
        <w:rPr>
          <w:rFonts w:ascii="Times New Roman" w:hAnsi="Times New Roman" w:cs="Times New Roman"/>
        </w:rPr>
        <w:t xml:space="preserve"> (eds</w:t>
      </w:r>
      <w:r w:rsidR="000B422A">
        <w:rPr>
          <w:rFonts w:ascii="Times New Roman" w:hAnsi="Times New Roman" w:cs="Times New Roman"/>
        </w:rPr>
        <w:t>.</w:t>
      </w:r>
      <w:r w:rsidR="00457188" w:rsidRPr="007B7071">
        <w:rPr>
          <w:rFonts w:ascii="Times New Roman" w:hAnsi="Times New Roman" w:cs="Times New Roman"/>
        </w:rPr>
        <w:t xml:space="preserve">), </w:t>
      </w:r>
      <w:r w:rsidR="00457188" w:rsidRPr="007B7071">
        <w:rPr>
          <w:rFonts w:ascii="Times New Roman" w:hAnsi="Times New Roman" w:cs="Times New Roman"/>
          <w:i/>
          <w:iCs/>
        </w:rPr>
        <w:t>Jewish Education from Antiquity to the Middle Ages. Studies in Honour of Philip S. Alexander</w:t>
      </w:r>
      <w:r w:rsidR="00457188" w:rsidRPr="007B7071">
        <w:rPr>
          <w:rFonts w:ascii="Times New Roman" w:hAnsi="Times New Roman" w:cs="Times New Roman"/>
        </w:rPr>
        <w:t>) Leiden</w:t>
      </w:r>
      <w:r w:rsidR="000B422A">
        <w:rPr>
          <w:rFonts w:ascii="Times New Roman" w:hAnsi="Times New Roman" w:cs="Times New Roman"/>
        </w:rPr>
        <w:t>,</w:t>
      </w:r>
      <w:r w:rsidR="00457188" w:rsidRPr="007B7071">
        <w:rPr>
          <w:rFonts w:ascii="Times New Roman" w:hAnsi="Times New Roman" w:cs="Times New Roman"/>
        </w:rPr>
        <w:t xml:space="preserve"> Brill 2017</w:t>
      </w:r>
      <w:r w:rsidR="000B422A">
        <w:rPr>
          <w:rFonts w:ascii="Times New Roman" w:hAnsi="Times New Roman" w:cs="Times New Roman"/>
        </w:rPr>
        <w:t xml:space="preserve"> </w:t>
      </w:r>
      <w:r w:rsidR="000B422A" w:rsidRPr="007B7071">
        <w:rPr>
          <w:rFonts w:ascii="Times New Roman" w:hAnsi="Times New Roman" w:cs="Times New Roman"/>
        </w:rPr>
        <w:t>(Ancient Judaism and Early Christianity, 100</w:t>
      </w:r>
      <w:r w:rsidR="000B422A">
        <w:rPr>
          <w:rFonts w:ascii="Times New Roman" w:hAnsi="Times New Roman" w:cs="Times New Roman"/>
        </w:rPr>
        <w:t>)</w:t>
      </w:r>
      <w:r w:rsidR="00457188" w:rsidRPr="007B7071">
        <w:rPr>
          <w:rFonts w:ascii="Times New Roman" w:hAnsi="Times New Roman" w:cs="Times New Roman"/>
        </w:rPr>
        <w:t xml:space="preserve">, </w:t>
      </w:r>
      <w:r w:rsidR="000B422A">
        <w:rPr>
          <w:rFonts w:ascii="Times New Roman" w:hAnsi="Times New Roman" w:cs="Times New Roman"/>
        </w:rPr>
        <w:t xml:space="preserve">p. </w:t>
      </w:r>
      <w:r w:rsidR="00457188" w:rsidRPr="007B7071">
        <w:rPr>
          <w:rFonts w:ascii="Times New Roman" w:hAnsi="Times New Roman" w:cs="Times New Roman"/>
        </w:rPr>
        <w:t xml:space="preserve">398–411; </w:t>
      </w:r>
      <w:r w:rsidR="00457188" w:rsidRPr="007B7071">
        <w:rPr>
          <w:rFonts w:ascii="Times New Roman" w:hAnsi="Times New Roman" w:cs="Times New Roman"/>
          <w:smallCaps/>
        </w:rPr>
        <w:t>Colette Sirat</w:t>
      </w:r>
      <w:r w:rsidR="00457188" w:rsidRPr="007B7071">
        <w:rPr>
          <w:rFonts w:ascii="Times New Roman" w:hAnsi="Times New Roman" w:cs="Times New Roman"/>
        </w:rPr>
        <w:t xml:space="preserve">, </w:t>
      </w:r>
      <w:r w:rsidR="000B422A">
        <w:rPr>
          <w:rFonts w:ascii="Times New Roman" w:hAnsi="Times New Roman" w:cs="Times New Roman"/>
        </w:rPr>
        <w:t xml:space="preserve">« </w:t>
      </w:r>
      <w:r w:rsidR="00457188" w:rsidRPr="007B7071">
        <w:rPr>
          <w:rFonts w:ascii="Times New Roman" w:hAnsi="Times New Roman" w:cs="Times New Roman"/>
          <w:i/>
          <w:iCs/>
        </w:rPr>
        <w:t>Studia</w:t>
      </w:r>
      <w:r w:rsidR="00457188" w:rsidRPr="007B7071">
        <w:rPr>
          <w:rFonts w:ascii="Times New Roman" w:hAnsi="Times New Roman" w:cs="Times New Roman"/>
        </w:rPr>
        <w:t xml:space="preserve"> of Philosophy as Scribal Centers in Fifteenth-Century Iberia</w:t>
      </w:r>
      <w:r w:rsidR="000B422A">
        <w:rPr>
          <w:rFonts w:ascii="Times New Roman" w:hAnsi="Times New Roman" w:cs="Times New Roman"/>
        </w:rPr>
        <w:t xml:space="preserve"> »</w:t>
      </w:r>
      <w:r w:rsidR="00457188" w:rsidRPr="007B7071">
        <w:rPr>
          <w:rFonts w:ascii="Times New Roman" w:hAnsi="Times New Roman" w:cs="Times New Roman"/>
        </w:rPr>
        <w:t xml:space="preserve">, in </w:t>
      </w:r>
      <w:r w:rsidR="00457188" w:rsidRPr="007B7071">
        <w:rPr>
          <w:rFonts w:ascii="Times New Roman" w:hAnsi="Times New Roman" w:cs="Times New Roman"/>
          <w:smallCaps/>
        </w:rPr>
        <w:t>Javier del Barco</w:t>
      </w:r>
      <w:r w:rsidR="00457188" w:rsidRPr="007B7071">
        <w:rPr>
          <w:rFonts w:ascii="Times New Roman" w:hAnsi="Times New Roman" w:cs="Times New Roman"/>
        </w:rPr>
        <w:t xml:space="preserve"> (ed.), </w:t>
      </w:r>
      <w:r w:rsidR="00457188" w:rsidRPr="007B7071">
        <w:rPr>
          <w:rFonts w:ascii="Times New Roman" w:hAnsi="Times New Roman" w:cs="Times New Roman"/>
          <w:i/>
          <w:iCs/>
        </w:rPr>
        <w:t>The Late Medieval Hebrew Book in the Western Mediterranean</w:t>
      </w:r>
      <w:r w:rsidR="00457188" w:rsidRPr="007B7071">
        <w:rPr>
          <w:rFonts w:ascii="Times New Roman" w:hAnsi="Times New Roman" w:cs="Times New Roman"/>
        </w:rPr>
        <w:t>, Leiden</w:t>
      </w:r>
      <w:r w:rsidR="000B422A">
        <w:rPr>
          <w:rFonts w:ascii="Times New Roman" w:hAnsi="Times New Roman" w:cs="Times New Roman"/>
        </w:rPr>
        <w:t>,</w:t>
      </w:r>
      <w:r w:rsidR="00457188" w:rsidRPr="007B7071">
        <w:rPr>
          <w:rFonts w:ascii="Times New Roman" w:hAnsi="Times New Roman" w:cs="Times New Roman"/>
        </w:rPr>
        <w:t xml:space="preserve"> Brill 2015 </w:t>
      </w:r>
      <w:r w:rsidR="000B422A" w:rsidRPr="007B7071">
        <w:rPr>
          <w:rFonts w:ascii="Times New Roman" w:hAnsi="Times New Roman" w:cs="Times New Roman"/>
        </w:rPr>
        <w:t>(Études sur le judaïsme médiéval, 65)</w:t>
      </w:r>
      <w:r w:rsidR="000B422A">
        <w:rPr>
          <w:rFonts w:ascii="Times New Roman" w:hAnsi="Times New Roman" w:cs="Times New Roman"/>
        </w:rPr>
        <w:t xml:space="preserve">, p. </w:t>
      </w:r>
      <w:r w:rsidR="00457188" w:rsidRPr="007B7071">
        <w:rPr>
          <w:rFonts w:ascii="Times New Roman" w:hAnsi="Times New Roman" w:cs="Times New Roman"/>
        </w:rPr>
        <w:t>46</w:t>
      </w:r>
      <w:r w:rsidR="000B422A">
        <w:rPr>
          <w:rFonts w:ascii="Times New Roman" w:hAnsi="Times New Roman" w:cs="Times New Roman"/>
        </w:rPr>
        <w:t>–</w:t>
      </w:r>
      <w:r w:rsidR="00457188" w:rsidRPr="007B7071">
        <w:rPr>
          <w:rFonts w:ascii="Times New Roman" w:hAnsi="Times New Roman" w:cs="Times New Roman"/>
        </w:rPr>
        <w:t xml:space="preserve">69; </w:t>
      </w:r>
      <w:r w:rsidR="00457188" w:rsidRPr="007B7071">
        <w:rPr>
          <w:rFonts w:ascii="Times New Roman" w:hAnsi="Times New Roman" w:cs="Times New Roman"/>
          <w:smallCaps/>
        </w:rPr>
        <w:t>Colette Sirat</w:t>
      </w:r>
      <w:r w:rsidR="00457188" w:rsidRPr="007B7071">
        <w:rPr>
          <w:rFonts w:ascii="Times New Roman" w:hAnsi="Times New Roman" w:cs="Times New Roman"/>
        </w:rPr>
        <w:t xml:space="preserve">, </w:t>
      </w:r>
      <w:r w:rsidR="000B422A">
        <w:rPr>
          <w:rFonts w:ascii="Times New Roman" w:hAnsi="Times New Roman" w:cs="Times New Roman"/>
        </w:rPr>
        <w:t xml:space="preserve">« </w:t>
      </w:r>
      <w:r w:rsidR="00457188" w:rsidRPr="007B7071">
        <w:rPr>
          <w:rFonts w:ascii="Times New Roman" w:hAnsi="Times New Roman" w:cs="Times New Roman"/>
        </w:rPr>
        <w:t>Le cursus des études et le cadre institutionnel et intellectuel chez les juifs</w:t>
      </w:r>
      <w:r w:rsidR="000B422A">
        <w:rPr>
          <w:rFonts w:ascii="Times New Roman" w:hAnsi="Times New Roman" w:cs="Times New Roman"/>
        </w:rPr>
        <w:t xml:space="preserve"> »</w:t>
      </w:r>
      <w:r w:rsidR="00457188" w:rsidRPr="007B7071">
        <w:rPr>
          <w:rFonts w:ascii="Times New Roman" w:hAnsi="Times New Roman" w:cs="Times New Roman"/>
        </w:rPr>
        <w:t xml:space="preserve">, in </w:t>
      </w:r>
      <w:r w:rsidR="00457188" w:rsidRPr="007B7071">
        <w:rPr>
          <w:rFonts w:ascii="Times New Roman" w:hAnsi="Times New Roman" w:cs="Times New Roman"/>
          <w:smallCaps/>
        </w:rPr>
        <w:t>Colette Sirat, Sara Klein-Braslavy &amp; Olga Weijers</w:t>
      </w:r>
      <w:r w:rsidR="00457188" w:rsidRPr="007B7071">
        <w:rPr>
          <w:rFonts w:ascii="Times New Roman" w:hAnsi="Times New Roman" w:cs="Times New Roman"/>
        </w:rPr>
        <w:t xml:space="preserve"> (eds</w:t>
      </w:r>
      <w:r w:rsidR="000B422A">
        <w:rPr>
          <w:rFonts w:ascii="Times New Roman" w:hAnsi="Times New Roman" w:cs="Times New Roman"/>
        </w:rPr>
        <w:t>.</w:t>
      </w:r>
      <w:r w:rsidR="00457188" w:rsidRPr="007B7071">
        <w:rPr>
          <w:rFonts w:ascii="Times New Roman" w:hAnsi="Times New Roman" w:cs="Times New Roman"/>
        </w:rPr>
        <w:t xml:space="preserve">), </w:t>
      </w:r>
      <w:r w:rsidR="00457188" w:rsidRPr="007B7071">
        <w:rPr>
          <w:rFonts w:ascii="Times New Roman" w:hAnsi="Times New Roman" w:cs="Times New Roman"/>
          <w:i/>
          <w:iCs/>
        </w:rPr>
        <w:t>Les méthodes de travail de Gersonide et le maniement du savoir chez les scolastiques</w:t>
      </w:r>
      <w:r w:rsidR="00457188" w:rsidRPr="007B7071">
        <w:rPr>
          <w:rFonts w:ascii="Times New Roman" w:hAnsi="Times New Roman" w:cs="Times New Roman"/>
        </w:rPr>
        <w:t>, Paris</w:t>
      </w:r>
      <w:r w:rsidR="000B422A">
        <w:rPr>
          <w:rFonts w:ascii="Times New Roman" w:hAnsi="Times New Roman" w:cs="Times New Roman"/>
        </w:rPr>
        <w:t>,</w:t>
      </w:r>
      <w:r w:rsidR="00457188" w:rsidRPr="007B7071">
        <w:rPr>
          <w:rFonts w:ascii="Times New Roman" w:hAnsi="Times New Roman" w:cs="Times New Roman"/>
        </w:rPr>
        <w:t xml:space="preserve"> Vrin 2003</w:t>
      </w:r>
      <w:r w:rsidR="000B422A">
        <w:rPr>
          <w:rFonts w:ascii="Times New Roman" w:hAnsi="Times New Roman" w:cs="Times New Roman"/>
        </w:rPr>
        <w:t xml:space="preserve"> </w:t>
      </w:r>
      <w:r w:rsidR="000B422A" w:rsidRPr="007B7071">
        <w:rPr>
          <w:rFonts w:ascii="Times New Roman" w:hAnsi="Times New Roman" w:cs="Times New Roman"/>
        </w:rPr>
        <w:t>(Etudes de philosophie médiévale, 86</w:t>
      </w:r>
      <w:r w:rsidR="000B422A">
        <w:rPr>
          <w:rFonts w:ascii="Times New Roman" w:hAnsi="Times New Roman" w:cs="Times New Roman"/>
        </w:rPr>
        <w:t>)</w:t>
      </w:r>
      <w:r w:rsidR="00457188" w:rsidRPr="007B7071">
        <w:rPr>
          <w:rFonts w:ascii="Times New Roman" w:hAnsi="Times New Roman" w:cs="Times New Roman"/>
        </w:rPr>
        <w:t>,</w:t>
      </w:r>
      <w:r w:rsidR="000B422A">
        <w:rPr>
          <w:rFonts w:ascii="Times New Roman" w:hAnsi="Times New Roman" w:cs="Times New Roman"/>
        </w:rPr>
        <w:t xml:space="preserve"> p.</w:t>
      </w:r>
      <w:r w:rsidR="00457188" w:rsidRPr="007B7071">
        <w:rPr>
          <w:rFonts w:ascii="Times New Roman" w:hAnsi="Times New Roman" w:cs="Times New Roman"/>
        </w:rPr>
        <w:t xml:space="preserve"> 18</w:t>
      </w:r>
      <w:r w:rsidR="000B422A">
        <w:rPr>
          <w:rFonts w:ascii="Times New Roman" w:hAnsi="Times New Roman" w:cs="Times New Roman"/>
        </w:rPr>
        <w:t>–</w:t>
      </w:r>
      <w:r w:rsidR="00457188" w:rsidRPr="007B7071">
        <w:rPr>
          <w:rFonts w:ascii="Times New Roman" w:hAnsi="Times New Roman" w:cs="Times New Roman"/>
        </w:rPr>
        <w:t xml:space="preserve">32; </w:t>
      </w:r>
      <w:r w:rsidR="00457188" w:rsidRPr="007B7071">
        <w:rPr>
          <w:rFonts w:ascii="Times New Roman" w:hAnsi="Times New Roman" w:cs="Times New Roman"/>
          <w:smallCaps/>
        </w:rPr>
        <w:t>Colette Sirat</w:t>
      </w:r>
      <w:r w:rsidR="00457188" w:rsidRPr="007B7071">
        <w:rPr>
          <w:rFonts w:ascii="Times New Roman" w:hAnsi="Times New Roman" w:cs="Times New Roman"/>
        </w:rPr>
        <w:t xml:space="preserve">, </w:t>
      </w:r>
      <w:r w:rsidR="000B422A">
        <w:rPr>
          <w:rFonts w:ascii="Times New Roman" w:hAnsi="Times New Roman" w:cs="Times New Roman"/>
        </w:rPr>
        <w:t xml:space="preserve">« </w:t>
      </w:r>
      <w:r w:rsidR="00457188" w:rsidRPr="007B7071">
        <w:rPr>
          <w:rFonts w:ascii="Times New Roman" w:hAnsi="Times New Roman" w:cs="Times New Roman"/>
        </w:rPr>
        <w:t>L’enseignement des disciplines dans le monde hébreu</w:t>
      </w:r>
      <w:r w:rsidR="000B422A">
        <w:rPr>
          <w:rFonts w:ascii="Times New Roman" w:hAnsi="Times New Roman" w:cs="Times New Roman"/>
        </w:rPr>
        <w:t xml:space="preserve"> »</w:t>
      </w:r>
      <w:r w:rsidR="00457188" w:rsidRPr="007B7071">
        <w:rPr>
          <w:rFonts w:ascii="Times New Roman" w:hAnsi="Times New Roman" w:cs="Times New Roman"/>
        </w:rPr>
        <w:t xml:space="preserve">, in </w:t>
      </w:r>
      <w:r w:rsidR="00457188" w:rsidRPr="007B7071">
        <w:rPr>
          <w:rFonts w:ascii="Times New Roman" w:hAnsi="Times New Roman" w:cs="Times New Roman"/>
          <w:smallCaps/>
        </w:rPr>
        <w:t>Olga Weijers &amp; Louis Holtz</w:t>
      </w:r>
      <w:r w:rsidR="00457188" w:rsidRPr="007B7071">
        <w:rPr>
          <w:rFonts w:ascii="Times New Roman" w:hAnsi="Times New Roman" w:cs="Times New Roman"/>
        </w:rPr>
        <w:t xml:space="preserve"> (eds</w:t>
      </w:r>
      <w:r w:rsidR="000B422A">
        <w:rPr>
          <w:rFonts w:ascii="Times New Roman" w:hAnsi="Times New Roman" w:cs="Times New Roman"/>
        </w:rPr>
        <w:t>.</w:t>
      </w:r>
      <w:r w:rsidR="00457188" w:rsidRPr="007B7071">
        <w:rPr>
          <w:rFonts w:ascii="Times New Roman" w:hAnsi="Times New Roman" w:cs="Times New Roman"/>
        </w:rPr>
        <w:t xml:space="preserve">), </w:t>
      </w:r>
      <w:r w:rsidR="00457188" w:rsidRPr="007B7071">
        <w:rPr>
          <w:rFonts w:ascii="Times New Roman" w:hAnsi="Times New Roman" w:cs="Times New Roman"/>
          <w:i/>
          <w:iCs/>
        </w:rPr>
        <w:t>L’enseignement des disciplines à la Faculté des arts</w:t>
      </w:r>
      <w:r w:rsidR="00457188" w:rsidRPr="007B7071">
        <w:rPr>
          <w:rFonts w:ascii="Times New Roman" w:hAnsi="Times New Roman" w:cs="Times New Roman"/>
        </w:rPr>
        <w:t xml:space="preserve"> </w:t>
      </w:r>
      <w:r w:rsidR="00457188" w:rsidRPr="000B422A">
        <w:rPr>
          <w:rFonts w:ascii="Times New Roman" w:hAnsi="Times New Roman" w:cs="Times New Roman"/>
          <w:i/>
          <w:iCs/>
        </w:rPr>
        <w:t>(Paris et Oxford, XIIIe- XVe siècle). Actes du colloque international</w:t>
      </w:r>
      <w:r w:rsidR="00457188" w:rsidRPr="007B7071">
        <w:rPr>
          <w:rFonts w:ascii="Times New Roman" w:hAnsi="Times New Roman" w:cs="Times New Roman"/>
        </w:rPr>
        <w:t>, Turnhout</w:t>
      </w:r>
      <w:r w:rsidR="000B422A">
        <w:rPr>
          <w:rFonts w:ascii="Times New Roman" w:hAnsi="Times New Roman" w:cs="Times New Roman"/>
        </w:rPr>
        <w:t>,</w:t>
      </w:r>
      <w:r w:rsidR="00457188" w:rsidRPr="007B7071">
        <w:rPr>
          <w:rFonts w:ascii="Times New Roman" w:hAnsi="Times New Roman" w:cs="Times New Roman"/>
        </w:rPr>
        <w:t xml:space="preserve"> Brepols 1997</w:t>
      </w:r>
      <w:r w:rsidR="000B422A">
        <w:rPr>
          <w:rFonts w:ascii="Times New Roman" w:hAnsi="Times New Roman" w:cs="Times New Roman"/>
        </w:rPr>
        <w:t xml:space="preserve"> </w:t>
      </w:r>
      <w:r w:rsidR="000B422A" w:rsidRPr="007B7071">
        <w:rPr>
          <w:rFonts w:ascii="Times New Roman" w:hAnsi="Times New Roman" w:cs="Times New Roman"/>
        </w:rPr>
        <w:t xml:space="preserve">(Studia artistarum, études sur la faculté des arts dans les universités médiévales, 4), </w:t>
      </w:r>
      <w:r w:rsidR="000B422A">
        <w:rPr>
          <w:rFonts w:ascii="Times New Roman" w:hAnsi="Times New Roman" w:cs="Times New Roman"/>
        </w:rPr>
        <w:t>p.</w:t>
      </w:r>
      <w:r w:rsidR="00457188" w:rsidRPr="007B7071">
        <w:rPr>
          <w:rFonts w:ascii="Times New Roman" w:hAnsi="Times New Roman" w:cs="Times New Roman"/>
        </w:rPr>
        <w:t xml:space="preserve"> 495</w:t>
      </w:r>
      <w:r w:rsidR="000B422A">
        <w:rPr>
          <w:rFonts w:ascii="Times New Roman" w:hAnsi="Times New Roman" w:cs="Times New Roman"/>
        </w:rPr>
        <w:t>–</w:t>
      </w:r>
      <w:r w:rsidR="00457188" w:rsidRPr="007B7071">
        <w:rPr>
          <w:rFonts w:ascii="Times New Roman" w:hAnsi="Times New Roman" w:cs="Times New Roman"/>
        </w:rPr>
        <w:t xml:space="preserve">509; </w:t>
      </w:r>
      <w:r w:rsidR="004F2B82" w:rsidRPr="007B7071">
        <w:rPr>
          <w:rFonts w:ascii="Times New Roman" w:hAnsi="Times New Roman" w:cs="Times New Roman"/>
          <w:smallCaps/>
        </w:rPr>
        <w:t>Colette Sirat</w:t>
      </w:r>
      <w:r w:rsidR="004F2B82" w:rsidRPr="007B7071">
        <w:rPr>
          <w:rFonts w:ascii="Times New Roman" w:hAnsi="Times New Roman" w:cs="Times New Roman"/>
        </w:rPr>
        <w:t xml:space="preserve">, </w:t>
      </w:r>
      <w:r w:rsidR="000B422A">
        <w:rPr>
          <w:rFonts w:ascii="Times New Roman" w:hAnsi="Times New Roman" w:cs="Times New Roman"/>
        </w:rPr>
        <w:t xml:space="preserve">« </w:t>
      </w:r>
      <w:r w:rsidR="004F2B82" w:rsidRPr="007B7071">
        <w:rPr>
          <w:rFonts w:ascii="Times New Roman" w:hAnsi="Times New Roman" w:cs="Times New Roman"/>
        </w:rPr>
        <w:t>La philosophie et la science selon les philosophes juifs du Moyen Âge</w:t>
      </w:r>
      <w:r w:rsidR="000B422A">
        <w:rPr>
          <w:rFonts w:ascii="Times New Roman" w:hAnsi="Times New Roman" w:cs="Times New Roman"/>
        </w:rPr>
        <w:t xml:space="preserve"> »</w:t>
      </w:r>
      <w:r w:rsidR="004F2B82" w:rsidRPr="007B7071">
        <w:rPr>
          <w:rFonts w:ascii="Times New Roman" w:hAnsi="Times New Roman" w:cs="Times New Roman"/>
        </w:rPr>
        <w:t xml:space="preserve">, </w:t>
      </w:r>
      <w:r w:rsidR="00F11B51" w:rsidRPr="007B7071">
        <w:rPr>
          <w:rFonts w:ascii="Times New Roman" w:hAnsi="Times New Roman" w:cs="Times New Roman"/>
        </w:rPr>
        <w:t xml:space="preserve">in </w:t>
      </w:r>
      <w:r w:rsidR="00F11B51" w:rsidRPr="007B7071">
        <w:rPr>
          <w:rFonts w:ascii="Times New Roman" w:hAnsi="Times New Roman" w:cs="Times New Roman"/>
          <w:smallCaps/>
        </w:rPr>
        <w:t>Reijo Törinoja, Anja Inkeri Lehtinen &amp; Dagfinn Follesdal</w:t>
      </w:r>
      <w:r w:rsidR="00F11B51" w:rsidRPr="007B7071">
        <w:rPr>
          <w:rFonts w:ascii="Times New Roman" w:hAnsi="Times New Roman" w:cs="Times New Roman"/>
        </w:rPr>
        <w:t xml:space="preserve"> (eds</w:t>
      </w:r>
      <w:r w:rsidR="000B422A">
        <w:rPr>
          <w:rFonts w:ascii="Times New Roman" w:hAnsi="Times New Roman" w:cs="Times New Roman"/>
        </w:rPr>
        <w:t>.</w:t>
      </w:r>
      <w:r w:rsidR="00F11B51" w:rsidRPr="007B7071">
        <w:rPr>
          <w:rFonts w:ascii="Times New Roman" w:hAnsi="Times New Roman" w:cs="Times New Roman"/>
        </w:rPr>
        <w:t xml:space="preserve">), </w:t>
      </w:r>
      <w:r w:rsidR="00F11B51" w:rsidRPr="007B7071">
        <w:rPr>
          <w:rFonts w:ascii="Times New Roman" w:hAnsi="Times New Roman" w:cs="Times New Roman"/>
          <w:i/>
          <w:iCs/>
        </w:rPr>
        <w:t>Knowledge and the Sciences in Medieval Philosophy: Proceedings of the eighth International congress of Medieval Philosophy (S.I.E.P.M.), Helsinki 24-29 August 1987</w:t>
      </w:r>
      <w:r w:rsidR="00F11B51" w:rsidRPr="007B7071">
        <w:rPr>
          <w:rFonts w:ascii="Times New Roman" w:hAnsi="Times New Roman" w:cs="Times New Roman"/>
        </w:rPr>
        <w:t>, Vol. 1</w:t>
      </w:r>
      <w:r w:rsidR="000B422A">
        <w:rPr>
          <w:rFonts w:ascii="Times New Roman" w:hAnsi="Times New Roman" w:cs="Times New Roman"/>
        </w:rPr>
        <w:t xml:space="preserve">, </w:t>
      </w:r>
      <w:r w:rsidR="00F11B51" w:rsidRPr="007B7071">
        <w:rPr>
          <w:rFonts w:ascii="Times New Roman" w:hAnsi="Times New Roman" w:cs="Times New Roman"/>
        </w:rPr>
        <w:t>Helsinki, Philosophical Society of Finland 1990</w:t>
      </w:r>
      <w:r w:rsidR="000B422A">
        <w:rPr>
          <w:rFonts w:ascii="Times New Roman" w:hAnsi="Times New Roman" w:cs="Times New Roman"/>
        </w:rPr>
        <w:t xml:space="preserve"> </w:t>
      </w:r>
      <w:r w:rsidR="000B422A" w:rsidRPr="007B7071">
        <w:rPr>
          <w:rFonts w:ascii="Times New Roman" w:hAnsi="Times New Roman" w:cs="Times New Roman"/>
        </w:rPr>
        <w:t>(Acta philosophica Fennica, 48)</w:t>
      </w:r>
      <w:r w:rsidR="00F11B51" w:rsidRPr="007B7071">
        <w:rPr>
          <w:rFonts w:ascii="Times New Roman" w:hAnsi="Times New Roman" w:cs="Times New Roman"/>
        </w:rPr>
        <w:t>,</w:t>
      </w:r>
      <w:r w:rsidR="000B422A">
        <w:rPr>
          <w:rFonts w:ascii="Times New Roman" w:hAnsi="Times New Roman" w:cs="Times New Roman"/>
        </w:rPr>
        <w:t xml:space="preserve"> p.</w:t>
      </w:r>
      <w:r w:rsidR="00F11B51" w:rsidRPr="007B7071">
        <w:rPr>
          <w:rFonts w:ascii="Times New Roman" w:hAnsi="Times New Roman" w:cs="Times New Roman"/>
        </w:rPr>
        <w:t xml:space="preserve"> 250</w:t>
      </w:r>
      <w:r w:rsidR="000B422A">
        <w:rPr>
          <w:rFonts w:ascii="Times New Roman" w:hAnsi="Times New Roman" w:cs="Times New Roman"/>
        </w:rPr>
        <w:t>–</w:t>
      </w:r>
      <w:r w:rsidR="00F11B51" w:rsidRPr="007B7071">
        <w:rPr>
          <w:rFonts w:ascii="Times New Roman" w:hAnsi="Times New Roman" w:cs="Times New Roman"/>
        </w:rPr>
        <w:t>260.</w:t>
      </w:r>
    </w:p>
  </w:footnote>
  <w:footnote w:id="2">
    <w:p w14:paraId="3AFEF3C7" w14:textId="702753EA" w:rsidR="00224DF1" w:rsidRPr="007B7071" w:rsidRDefault="00224DF1">
      <w:pPr>
        <w:pStyle w:val="Voetnoottekst"/>
        <w:rPr>
          <w:rFonts w:ascii="Times New Roman" w:hAnsi="Times New Roman" w:cs="Times New Roman"/>
          <w:lang w:val="fr-FR"/>
        </w:rPr>
      </w:pPr>
      <w:r w:rsidRPr="007B7071">
        <w:rPr>
          <w:rStyle w:val="Voetnootmarkering"/>
          <w:rFonts w:ascii="Times New Roman" w:hAnsi="Times New Roman" w:cs="Times New Roman"/>
        </w:rPr>
        <w:footnoteRef/>
      </w:r>
      <w:r w:rsidRPr="007B7071">
        <w:rPr>
          <w:rFonts w:ascii="Times New Roman" w:hAnsi="Times New Roman" w:cs="Times New Roman"/>
        </w:rPr>
        <w:t xml:space="preserve"> </w:t>
      </w:r>
      <w:r w:rsidR="00F11B51" w:rsidRPr="007B7071">
        <w:rPr>
          <w:rFonts w:ascii="Times New Roman" w:hAnsi="Times New Roman" w:cs="Times New Roman"/>
        </w:rPr>
        <w:t xml:space="preserve">For instance: </w:t>
      </w:r>
      <w:r w:rsidR="00F11B51" w:rsidRPr="007B7071">
        <w:rPr>
          <w:rFonts w:ascii="Times New Roman" w:hAnsi="Times New Roman" w:cs="Times New Roman"/>
          <w:smallCaps/>
        </w:rPr>
        <w:t>Barry Chazan, Robert Chazan &amp; Benjamin M. Jacobs</w:t>
      </w:r>
      <w:r w:rsidR="00F11B51" w:rsidRPr="007B7071">
        <w:rPr>
          <w:rFonts w:ascii="Times New Roman" w:hAnsi="Times New Roman" w:cs="Times New Roman"/>
        </w:rPr>
        <w:t xml:space="preserve">,  </w:t>
      </w:r>
      <w:r w:rsidR="00F11B51" w:rsidRPr="007B7071">
        <w:rPr>
          <w:rFonts w:ascii="Times New Roman" w:hAnsi="Times New Roman" w:cs="Times New Roman"/>
          <w:i/>
          <w:iCs/>
        </w:rPr>
        <w:t>Cultures and Contexts of Jewish Education</w:t>
      </w:r>
      <w:r w:rsidR="00F11B51" w:rsidRPr="007B7071">
        <w:rPr>
          <w:rFonts w:ascii="Times New Roman" w:hAnsi="Times New Roman" w:cs="Times New Roman"/>
        </w:rPr>
        <w:t>, New York</w:t>
      </w:r>
      <w:r w:rsidR="000B422A">
        <w:rPr>
          <w:rFonts w:ascii="Times New Roman" w:hAnsi="Times New Roman" w:cs="Times New Roman"/>
        </w:rPr>
        <w:t>,</w:t>
      </w:r>
      <w:r w:rsidR="00F11B51" w:rsidRPr="007B7071">
        <w:rPr>
          <w:rFonts w:ascii="Times New Roman" w:hAnsi="Times New Roman" w:cs="Times New Roman"/>
        </w:rPr>
        <w:t xml:space="preserve"> Palgrave Macmillan 2017; </w:t>
      </w:r>
      <w:r w:rsidR="00F11B51" w:rsidRPr="007B7071">
        <w:rPr>
          <w:rFonts w:ascii="Times New Roman" w:hAnsi="Times New Roman" w:cs="Times New Roman"/>
          <w:smallCaps/>
        </w:rPr>
        <w:t xml:space="preserve">Karina Martin Hogan, Matthew Goff &amp; Emma Wasserman </w:t>
      </w:r>
      <w:r w:rsidR="00F11B51" w:rsidRPr="007B7071">
        <w:rPr>
          <w:rFonts w:ascii="Times New Roman" w:hAnsi="Times New Roman" w:cs="Times New Roman"/>
        </w:rPr>
        <w:t>(eds</w:t>
      </w:r>
      <w:r w:rsidR="000B422A">
        <w:rPr>
          <w:rFonts w:ascii="Times New Roman" w:hAnsi="Times New Roman" w:cs="Times New Roman"/>
        </w:rPr>
        <w:t>.</w:t>
      </w:r>
      <w:r w:rsidR="00F11B51" w:rsidRPr="007B7071">
        <w:rPr>
          <w:rFonts w:ascii="Times New Roman" w:hAnsi="Times New Roman" w:cs="Times New Roman"/>
        </w:rPr>
        <w:t xml:space="preserve">), </w:t>
      </w:r>
      <w:r w:rsidR="00F11B51" w:rsidRPr="007B7071">
        <w:rPr>
          <w:rFonts w:ascii="Times New Roman" w:hAnsi="Times New Roman" w:cs="Times New Roman"/>
          <w:i/>
          <w:iCs/>
        </w:rPr>
        <w:t>Pedagogy in Ancient Judaism and Early Christianity</w:t>
      </w:r>
      <w:r w:rsidR="00F11B51" w:rsidRPr="007B7071">
        <w:rPr>
          <w:rFonts w:ascii="Times New Roman" w:hAnsi="Times New Roman" w:cs="Times New Roman"/>
        </w:rPr>
        <w:t>, Atlanta</w:t>
      </w:r>
      <w:r w:rsidR="000B422A">
        <w:rPr>
          <w:rFonts w:ascii="Times New Roman" w:hAnsi="Times New Roman" w:cs="Times New Roman"/>
        </w:rPr>
        <w:t>,</w:t>
      </w:r>
      <w:r w:rsidR="00F11B51" w:rsidRPr="007B7071">
        <w:rPr>
          <w:rFonts w:ascii="Times New Roman" w:hAnsi="Times New Roman" w:cs="Times New Roman"/>
        </w:rPr>
        <w:t xml:space="preserve"> SBL Press 2017</w:t>
      </w:r>
      <w:r w:rsidR="000B422A">
        <w:rPr>
          <w:rFonts w:ascii="Times New Roman" w:hAnsi="Times New Roman" w:cs="Times New Roman"/>
        </w:rPr>
        <w:t xml:space="preserve"> </w:t>
      </w:r>
      <w:r w:rsidR="000B422A" w:rsidRPr="007B7071">
        <w:rPr>
          <w:rFonts w:ascii="Times New Roman" w:hAnsi="Times New Roman" w:cs="Times New Roman"/>
        </w:rPr>
        <w:t>(Early Judaism and Its Literature, 41)</w:t>
      </w:r>
      <w:r w:rsidR="00F11B51" w:rsidRPr="007B7071">
        <w:rPr>
          <w:rFonts w:ascii="Times New Roman" w:hAnsi="Times New Roman" w:cs="Times New Roman"/>
        </w:rPr>
        <w:t xml:space="preserve">; </w:t>
      </w:r>
      <w:r w:rsidR="00F11B51" w:rsidRPr="007B7071">
        <w:rPr>
          <w:rFonts w:ascii="Times New Roman" w:hAnsi="Times New Roman" w:cs="Times New Roman"/>
          <w:smallCaps/>
        </w:rPr>
        <w:t xml:space="preserve">George J. Brooke </w:t>
      </w:r>
      <w:r w:rsidR="004F2B82" w:rsidRPr="007B7071">
        <w:rPr>
          <w:rFonts w:ascii="Times New Roman" w:hAnsi="Times New Roman" w:cs="Times New Roman"/>
          <w:smallCaps/>
        </w:rPr>
        <w:t>&amp;</w:t>
      </w:r>
      <w:r w:rsidR="00F11B51" w:rsidRPr="007B7071">
        <w:rPr>
          <w:rFonts w:ascii="Times New Roman" w:hAnsi="Times New Roman" w:cs="Times New Roman"/>
          <w:smallCaps/>
        </w:rPr>
        <w:t xml:space="preserve"> Renate Smithuis</w:t>
      </w:r>
      <w:r w:rsidR="00F11B51" w:rsidRPr="007B7071">
        <w:rPr>
          <w:rFonts w:ascii="Times New Roman" w:hAnsi="Times New Roman" w:cs="Times New Roman"/>
        </w:rPr>
        <w:t xml:space="preserve"> (eds</w:t>
      </w:r>
      <w:r w:rsidR="000B422A">
        <w:rPr>
          <w:rFonts w:ascii="Times New Roman" w:hAnsi="Times New Roman" w:cs="Times New Roman"/>
        </w:rPr>
        <w:t>.</w:t>
      </w:r>
      <w:r w:rsidR="00F11B51" w:rsidRPr="007B7071">
        <w:rPr>
          <w:rFonts w:ascii="Times New Roman" w:hAnsi="Times New Roman" w:cs="Times New Roman"/>
        </w:rPr>
        <w:t xml:space="preserve">), </w:t>
      </w:r>
      <w:r w:rsidR="00F11B51" w:rsidRPr="007B7071">
        <w:rPr>
          <w:rFonts w:ascii="Times New Roman" w:hAnsi="Times New Roman" w:cs="Times New Roman"/>
          <w:i/>
          <w:iCs/>
        </w:rPr>
        <w:t>Jewish Education from Antiquity to the Middle Ages. Studies in Honour of Philip S. Alexander</w:t>
      </w:r>
      <w:r w:rsidR="000B422A">
        <w:rPr>
          <w:rFonts w:ascii="Times New Roman" w:hAnsi="Times New Roman" w:cs="Times New Roman"/>
        </w:rPr>
        <w:t xml:space="preserve">, </w:t>
      </w:r>
      <w:r w:rsidR="00F11B51" w:rsidRPr="007B7071">
        <w:rPr>
          <w:rFonts w:ascii="Times New Roman" w:hAnsi="Times New Roman" w:cs="Times New Roman"/>
        </w:rPr>
        <w:t>Leiden</w:t>
      </w:r>
      <w:r w:rsidR="000B422A">
        <w:rPr>
          <w:rFonts w:ascii="Times New Roman" w:hAnsi="Times New Roman" w:cs="Times New Roman"/>
        </w:rPr>
        <w:t>,</w:t>
      </w:r>
      <w:r w:rsidR="00F11B51" w:rsidRPr="007B7071">
        <w:rPr>
          <w:rFonts w:ascii="Times New Roman" w:hAnsi="Times New Roman" w:cs="Times New Roman"/>
        </w:rPr>
        <w:t xml:space="preserve"> Brill 2017</w:t>
      </w:r>
      <w:r w:rsidR="000B422A">
        <w:rPr>
          <w:rFonts w:ascii="Times New Roman" w:hAnsi="Times New Roman" w:cs="Times New Roman"/>
        </w:rPr>
        <w:t xml:space="preserve"> </w:t>
      </w:r>
      <w:r w:rsidR="000B422A" w:rsidRPr="007B7071">
        <w:rPr>
          <w:rFonts w:ascii="Times New Roman" w:hAnsi="Times New Roman" w:cs="Times New Roman"/>
        </w:rPr>
        <w:t>(Ancient Judaism and Early Christianity, 100)</w:t>
      </w:r>
      <w:r w:rsidR="00F11B51" w:rsidRPr="007B7071">
        <w:rPr>
          <w:rFonts w:ascii="Times New Roman" w:hAnsi="Times New Roman" w:cs="Times New Roman"/>
        </w:rPr>
        <w:t xml:space="preserve">. </w:t>
      </w:r>
    </w:p>
  </w:footnote>
  <w:footnote w:id="3">
    <w:p w14:paraId="00D09C52" w14:textId="34AEB067" w:rsidR="0033097B" w:rsidRPr="007B7071" w:rsidRDefault="0033097B" w:rsidP="004F2B82">
      <w:pPr>
        <w:pStyle w:val="Voetnoottekst"/>
        <w:rPr>
          <w:rFonts w:ascii="Times New Roman" w:hAnsi="Times New Roman" w:cs="Times New Roman"/>
        </w:rPr>
      </w:pPr>
      <w:r w:rsidRPr="007B7071">
        <w:rPr>
          <w:rStyle w:val="Voetnootmarkering"/>
          <w:rFonts w:ascii="Times New Roman" w:hAnsi="Times New Roman" w:cs="Times New Roman"/>
        </w:rPr>
        <w:footnoteRef/>
      </w:r>
      <w:r w:rsidRPr="007B7071">
        <w:rPr>
          <w:rFonts w:ascii="Times New Roman" w:hAnsi="Times New Roman" w:cs="Times New Roman"/>
        </w:rPr>
        <w:t xml:space="preserve"> </w:t>
      </w:r>
      <w:r w:rsidR="004F2B82" w:rsidRPr="007B7071">
        <w:rPr>
          <w:rFonts w:ascii="Times New Roman" w:hAnsi="Times New Roman" w:cs="Times New Roman"/>
        </w:rPr>
        <w:t xml:space="preserve">For instance: </w:t>
      </w:r>
      <w:r w:rsidR="004F2B82" w:rsidRPr="007B7071">
        <w:rPr>
          <w:rFonts w:ascii="Times New Roman" w:hAnsi="Times New Roman" w:cs="Times New Roman"/>
          <w:smallCaps/>
        </w:rPr>
        <w:t>Reimund Leicht &amp; Giuseppe Veltri</w:t>
      </w:r>
      <w:r w:rsidR="004F2B82" w:rsidRPr="007B7071">
        <w:rPr>
          <w:rFonts w:ascii="Times New Roman" w:hAnsi="Times New Roman" w:cs="Times New Roman"/>
        </w:rPr>
        <w:t xml:space="preserve"> (eds), </w:t>
      </w:r>
      <w:r w:rsidR="00C7079A" w:rsidRPr="007B7071">
        <w:rPr>
          <w:rFonts w:ascii="Times New Roman" w:hAnsi="Times New Roman" w:cs="Times New Roman"/>
          <w:i/>
          <w:iCs/>
        </w:rPr>
        <w:t>Studies in the Formation of Medieval Hebrew Philosophical Terminology</w:t>
      </w:r>
      <w:r w:rsidR="009155E6">
        <w:rPr>
          <w:rFonts w:ascii="Times New Roman" w:hAnsi="Times New Roman" w:cs="Times New Roman"/>
        </w:rPr>
        <w:t xml:space="preserve">, </w:t>
      </w:r>
      <w:r w:rsidR="004F2B82" w:rsidRPr="007B7071">
        <w:rPr>
          <w:rFonts w:ascii="Times New Roman" w:hAnsi="Times New Roman" w:cs="Times New Roman"/>
        </w:rPr>
        <w:t>Leiden</w:t>
      </w:r>
      <w:r w:rsidR="009155E6">
        <w:rPr>
          <w:rFonts w:ascii="Times New Roman" w:hAnsi="Times New Roman" w:cs="Times New Roman"/>
        </w:rPr>
        <w:t>,</w:t>
      </w:r>
      <w:r w:rsidR="004F2B82" w:rsidRPr="007B7071">
        <w:rPr>
          <w:rFonts w:ascii="Times New Roman" w:hAnsi="Times New Roman" w:cs="Times New Roman"/>
        </w:rPr>
        <w:t xml:space="preserve"> Brill 2020</w:t>
      </w:r>
      <w:r w:rsidR="009155E6">
        <w:rPr>
          <w:rFonts w:ascii="Times New Roman" w:hAnsi="Times New Roman" w:cs="Times New Roman"/>
        </w:rPr>
        <w:t xml:space="preserve"> </w:t>
      </w:r>
      <w:r w:rsidR="009155E6" w:rsidRPr="007B7071">
        <w:rPr>
          <w:rFonts w:ascii="Times New Roman" w:hAnsi="Times New Roman" w:cs="Times New Roman"/>
        </w:rPr>
        <w:t>(Studies in Jewish History and Culture, 57)</w:t>
      </w:r>
      <w:r w:rsidR="004F2B82" w:rsidRPr="007B7071">
        <w:rPr>
          <w:rFonts w:ascii="Times New Roman" w:hAnsi="Times New Roman" w:cs="Times New Roman"/>
        </w:rPr>
        <w:t xml:space="preserve">; </w:t>
      </w:r>
      <w:r w:rsidR="004F2B82" w:rsidRPr="007B7071">
        <w:rPr>
          <w:rFonts w:ascii="Times New Roman" w:hAnsi="Times New Roman" w:cs="Times New Roman"/>
          <w:smallCaps/>
        </w:rPr>
        <w:t>Sandra Debenedetti Stow</w:t>
      </w:r>
      <w:r w:rsidR="004F2B82" w:rsidRPr="007B7071">
        <w:rPr>
          <w:rFonts w:ascii="Times New Roman" w:hAnsi="Times New Roman" w:cs="Times New Roman"/>
        </w:rPr>
        <w:t xml:space="preserve">, </w:t>
      </w:r>
      <w:r w:rsidR="009155E6">
        <w:rPr>
          <w:rFonts w:ascii="Times New Roman" w:hAnsi="Times New Roman" w:cs="Times New Roman"/>
        </w:rPr>
        <w:t xml:space="preserve">« </w:t>
      </w:r>
      <w:r w:rsidR="004F2B82" w:rsidRPr="007B7071">
        <w:rPr>
          <w:rFonts w:ascii="Times New Roman" w:hAnsi="Times New Roman" w:cs="Times New Roman"/>
        </w:rPr>
        <w:t>Il    giudeo-italiano    dal    medioevo    al    primo    Rinascimento: Caratteristiche,  metodologia,  studi  e  sviluppi</w:t>
      </w:r>
      <w:r w:rsidR="009155E6">
        <w:rPr>
          <w:rFonts w:ascii="Times New Roman" w:hAnsi="Times New Roman" w:cs="Times New Roman"/>
        </w:rPr>
        <w:t xml:space="preserve"> »</w:t>
      </w:r>
      <w:r w:rsidR="004F2B82" w:rsidRPr="007B7071">
        <w:rPr>
          <w:rFonts w:ascii="Times New Roman" w:hAnsi="Times New Roman" w:cs="Times New Roman"/>
        </w:rPr>
        <w:t xml:space="preserve">, </w:t>
      </w:r>
      <w:r w:rsidR="004F2B82" w:rsidRPr="007B7071">
        <w:rPr>
          <w:rFonts w:ascii="Times New Roman" w:hAnsi="Times New Roman" w:cs="Times New Roman"/>
          <w:i/>
          <w:iCs/>
        </w:rPr>
        <w:t>La  Rassegna  Mensile  di  Israel</w:t>
      </w:r>
      <w:r w:rsidR="004F2B82" w:rsidRPr="007B7071">
        <w:rPr>
          <w:rFonts w:ascii="Times New Roman" w:hAnsi="Times New Roman" w:cs="Times New Roman"/>
        </w:rPr>
        <w:t xml:space="preserve">, 82/2–3 (2016), p. 257–284; </w:t>
      </w:r>
      <w:r w:rsidR="004F2B82" w:rsidRPr="007B7071">
        <w:rPr>
          <w:rFonts w:ascii="Times New Roman" w:hAnsi="Times New Roman" w:cs="Times New Roman"/>
          <w:smallCaps/>
        </w:rPr>
        <w:t>Giancarlo Schirru</w:t>
      </w:r>
      <w:r w:rsidR="004F2B82" w:rsidRPr="007B7071">
        <w:rPr>
          <w:rFonts w:ascii="Times New Roman" w:hAnsi="Times New Roman" w:cs="Times New Roman"/>
        </w:rPr>
        <w:t>,</w:t>
      </w:r>
      <w:r w:rsidR="009155E6">
        <w:rPr>
          <w:rFonts w:ascii="Times New Roman" w:hAnsi="Times New Roman" w:cs="Times New Roman"/>
        </w:rPr>
        <w:t xml:space="preserve">« </w:t>
      </w:r>
      <w:r w:rsidR="004F2B82" w:rsidRPr="007B7071">
        <w:rPr>
          <w:rFonts w:ascii="Times New Roman" w:hAnsi="Times New Roman" w:cs="Times New Roman"/>
        </w:rPr>
        <w:t>Particolarità grafiche e fonetiche nei testimoni del glossario  trecentesco di Yǝhudah Romano</w:t>
      </w:r>
      <w:r w:rsidR="009155E6">
        <w:rPr>
          <w:rFonts w:ascii="Times New Roman" w:hAnsi="Times New Roman" w:cs="Times New Roman"/>
        </w:rPr>
        <w:t xml:space="preserve"> »</w:t>
      </w:r>
      <w:r w:rsidR="004F2B82" w:rsidRPr="007B7071">
        <w:rPr>
          <w:rFonts w:ascii="Times New Roman" w:hAnsi="Times New Roman" w:cs="Times New Roman"/>
        </w:rPr>
        <w:t xml:space="preserve">, in </w:t>
      </w:r>
      <w:r w:rsidR="004F2B82" w:rsidRPr="007B7071">
        <w:rPr>
          <w:rFonts w:ascii="Times New Roman" w:hAnsi="Times New Roman" w:cs="Times New Roman"/>
          <w:smallCaps/>
        </w:rPr>
        <w:t>Laura Minervini &amp; Bernardino Pitocchelli</w:t>
      </w:r>
      <w:r w:rsidR="004F2B82" w:rsidRPr="007B7071">
        <w:rPr>
          <w:rFonts w:ascii="Times New Roman" w:hAnsi="Times New Roman" w:cs="Times New Roman"/>
        </w:rPr>
        <w:t xml:space="preserve"> (eds</w:t>
      </w:r>
      <w:r w:rsidR="009155E6">
        <w:rPr>
          <w:rFonts w:ascii="Times New Roman" w:hAnsi="Times New Roman" w:cs="Times New Roman"/>
        </w:rPr>
        <w:t>.</w:t>
      </w:r>
      <w:r w:rsidR="004F2B82" w:rsidRPr="009155E6">
        <w:rPr>
          <w:rFonts w:ascii="Times New Roman" w:hAnsi="Times New Roman" w:cs="Times New Roman"/>
        </w:rPr>
        <w:t>),</w:t>
      </w:r>
      <w:r w:rsidR="004F2B82" w:rsidRPr="007B7071">
        <w:rPr>
          <w:rFonts w:ascii="Times New Roman" w:hAnsi="Times New Roman" w:cs="Times New Roman"/>
          <w:i/>
          <w:iCs/>
        </w:rPr>
        <w:t xml:space="preserve"> Studi sui testi giudeo-italiani  del medioevo e della prima età moderna</w:t>
      </w:r>
      <w:r w:rsidR="004F2B82" w:rsidRPr="007B7071">
        <w:rPr>
          <w:rFonts w:ascii="Times New Roman" w:hAnsi="Times New Roman" w:cs="Times New Roman"/>
        </w:rPr>
        <w:t>, Strasbourg</w:t>
      </w:r>
      <w:r w:rsidR="009155E6">
        <w:rPr>
          <w:rFonts w:ascii="Times New Roman" w:hAnsi="Times New Roman" w:cs="Times New Roman"/>
        </w:rPr>
        <w:t>,</w:t>
      </w:r>
      <w:r w:rsidR="004F2B82" w:rsidRPr="007B7071">
        <w:rPr>
          <w:rFonts w:ascii="Times New Roman" w:hAnsi="Times New Roman" w:cs="Times New Roman"/>
        </w:rPr>
        <w:t xml:space="preserve"> Éditions de linguistique et de philologie 2025, </w:t>
      </w:r>
      <w:r w:rsidR="009155E6">
        <w:rPr>
          <w:rFonts w:ascii="Times New Roman" w:hAnsi="Times New Roman" w:cs="Times New Roman"/>
        </w:rPr>
        <w:t xml:space="preserve">p. </w:t>
      </w:r>
      <w:r w:rsidR="004F2B82" w:rsidRPr="007B7071">
        <w:rPr>
          <w:rFonts w:ascii="Times New Roman" w:hAnsi="Times New Roman" w:cs="Times New Roman"/>
        </w:rPr>
        <w:t>61</w:t>
      </w:r>
      <w:r w:rsidR="009155E6">
        <w:rPr>
          <w:rFonts w:ascii="Times New Roman" w:hAnsi="Times New Roman" w:cs="Times New Roman"/>
        </w:rPr>
        <w:t>–</w:t>
      </w:r>
      <w:r w:rsidR="004F2B82" w:rsidRPr="007B7071">
        <w:rPr>
          <w:rFonts w:ascii="Times New Roman" w:hAnsi="Times New Roman" w:cs="Times New Roman"/>
        </w:rPr>
        <w:t>96.</w:t>
      </w:r>
    </w:p>
  </w:footnote>
  <w:footnote w:id="4">
    <w:p w14:paraId="7DBCA0D5" w14:textId="687D5B2B" w:rsidR="0054651F" w:rsidRPr="007B7071" w:rsidRDefault="0054651F">
      <w:pPr>
        <w:pStyle w:val="Voetnoottekst"/>
        <w:rPr>
          <w:rFonts w:ascii="Times New Roman" w:hAnsi="Times New Roman" w:cs="Times New Roman"/>
          <w:i/>
          <w:iCs/>
          <w:lang w:val="fr-FR"/>
        </w:rPr>
      </w:pPr>
      <w:r w:rsidRPr="007B7071">
        <w:rPr>
          <w:rStyle w:val="Voetnootmarkering"/>
          <w:rFonts w:ascii="Times New Roman" w:hAnsi="Times New Roman" w:cs="Times New Roman"/>
        </w:rPr>
        <w:footnoteRef/>
      </w:r>
      <w:r w:rsidRPr="007B7071">
        <w:rPr>
          <w:rFonts w:ascii="Times New Roman" w:hAnsi="Times New Roman" w:cs="Times New Roman"/>
        </w:rPr>
        <w:t xml:space="preserve"> </w:t>
      </w:r>
      <w:proofErr w:type="spellStart"/>
      <w:r w:rsidRPr="007B7071">
        <w:rPr>
          <w:rFonts w:ascii="Times New Roman" w:hAnsi="Times New Roman" w:cs="Times New Roman"/>
          <w:lang w:val="fr-FR"/>
        </w:rPr>
        <w:t>Sirat</w:t>
      </w:r>
      <w:proofErr w:type="spellEnd"/>
      <w:r w:rsidRPr="007B7071">
        <w:rPr>
          <w:rFonts w:ascii="Times New Roman" w:hAnsi="Times New Roman" w:cs="Times New Roman"/>
          <w:lang w:val="fr-FR"/>
        </w:rPr>
        <w:t xml:space="preserve"> </w:t>
      </w:r>
      <w:proofErr w:type="spellStart"/>
      <w:r w:rsidRPr="007B7071">
        <w:rPr>
          <w:rFonts w:ascii="Times New Roman" w:hAnsi="Times New Roman" w:cs="Times New Roman"/>
          <w:lang w:val="fr-FR"/>
        </w:rPr>
        <w:t>addresses</w:t>
      </w:r>
      <w:proofErr w:type="spellEnd"/>
      <w:r w:rsidRPr="007B7071">
        <w:rPr>
          <w:rFonts w:ascii="Times New Roman" w:hAnsi="Times New Roman" w:cs="Times New Roman"/>
          <w:lang w:val="fr-FR"/>
        </w:rPr>
        <w:t xml:space="preserve"> </w:t>
      </w:r>
      <w:proofErr w:type="spellStart"/>
      <w:r w:rsidRPr="007B7071">
        <w:rPr>
          <w:rFonts w:ascii="Times New Roman" w:hAnsi="Times New Roman" w:cs="Times New Roman"/>
          <w:lang w:val="fr-FR"/>
        </w:rPr>
        <w:t>this</w:t>
      </w:r>
      <w:proofErr w:type="spellEnd"/>
      <w:r w:rsidRPr="007B7071">
        <w:rPr>
          <w:rFonts w:ascii="Times New Roman" w:hAnsi="Times New Roman" w:cs="Times New Roman"/>
          <w:lang w:val="fr-FR"/>
        </w:rPr>
        <w:t xml:space="preserve"> </w:t>
      </w:r>
      <w:proofErr w:type="spellStart"/>
      <w:r w:rsidRPr="007B7071">
        <w:rPr>
          <w:rFonts w:ascii="Times New Roman" w:hAnsi="Times New Roman" w:cs="Times New Roman"/>
          <w:lang w:val="fr-FR"/>
        </w:rPr>
        <w:t>manuscript</w:t>
      </w:r>
      <w:proofErr w:type="spellEnd"/>
      <w:r w:rsidRPr="007B7071">
        <w:rPr>
          <w:rFonts w:ascii="Times New Roman" w:hAnsi="Times New Roman" w:cs="Times New Roman"/>
          <w:lang w:val="fr-FR"/>
        </w:rPr>
        <w:t xml:space="preserve"> and </w:t>
      </w:r>
      <w:proofErr w:type="spellStart"/>
      <w:r w:rsidRPr="007B7071">
        <w:rPr>
          <w:rFonts w:ascii="Times New Roman" w:hAnsi="Times New Roman" w:cs="Times New Roman"/>
          <w:lang w:val="fr-FR"/>
        </w:rPr>
        <w:t>its</w:t>
      </w:r>
      <w:proofErr w:type="spellEnd"/>
      <w:r w:rsidRPr="007B7071">
        <w:rPr>
          <w:rFonts w:ascii="Times New Roman" w:hAnsi="Times New Roman" w:cs="Times New Roman"/>
          <w:lang w:val="fr-FR"/>
        </w:rPr>
        <w:t xml:space="preserve"> contents more in </w:t>
      </w:r>
      <w:proofErr w:type="spellStart"/>
      <w:r w:rsidRPr="007B7071">
        <w:rPr>
          <w:rFonts w:ascii="Times New Roman" w:hAnsi="Times New Roman" w:cs="Times New Roman"/>
          <w:lang w:val="fr-FR"/>
        </w:rPr>
        <w:t>detail</w:t>
      </w:r>
      <w:proofErr w:type="spellEnd"/>
      <w:r w:rsidRPr="007B7071">
        <w:rPr>
          <w:rFonts w:ascii="Times New Roman" w:hAnsi="Times New Roman" w:cs="Times New Roman"/>
          <w:lang w:val="fr-FR"/>
        </w:rPr>
        <w:t xml:space="preserve"> in </w:t>
      </w:r>
      <w:r w:rsidRPr="007B7071">
        <w:rPr>
          <w:rFonts w:ascii="Times New Roman" w:hAnsi="Times New Roman" w:cs="Times New Roman"/>
          <w:smallCaps/>
        </w:rPr>
        <w:t>Sirat</w:t>
      </w:r>
      <w:r w:rsidRPr="007B7071">
        <w:rPr>
          <w:rFonts w:ascii="Times New Roman" w:hAnsi="Times New Roman" w:cs="Times New Roman"/>
        </w:rPr>
        <w:t xml:space="preserve">, </w:t>
      </w:r>
      <w:r w:rsidR="009155E6">
        <w:rPr>
          <w:rFonts w:ascii="Times New Roman" w:hAnsi="Times New Roman" w:cs="Times New Roman"/>
        </w:rPr>
        <w:t xml:space="preserve">« </w:t>
      </w:r>
      <w:r w:rsidRPr="007B7071">
        <w:rPr>
          <w:rFonts w:ascii="Times New Roman" w:hAnsi="Times New Roman" w:cs="Times New Roman"/>
        </w:rPr>
        <w:t xml:space="preserve">Entering the Field of </w:t>
      </w:r>
      <w:proofErr w:type="gramStart"/>
      <w:r w:rsidRPr="007B7071">
        <w:rPr>
          <w:rFonts w:ascii="Times New Roman" w:hAnsi="Times New Roman" w:cs="Times New Roman"/>
        </w:rPr>
        <w:t>Philosophy:</w:t>
      </w:r>
      <w:proofErr w:type="gramEnd"/>
      <w:r w:rsidRPr="007B7071">
        <w:rPr>
          <w:rFonts w:ascii="Times New Roman" w:hAnsi="Times New Roman" w:cs="Times New Roman"/>
        </w:rPr>
        <w:t xml:space="preserve"> Provence, Mid-Fourteenth Century</w:t>
      </w:r>
      <w:r w:rsidR="009155E6">
        <w:rPr>
          <w:rFonts w:ascii="Times New Roman" w:hAnsi="Times New Roman" w:cs="Times New Roman"/>
        </w:rPr>
        <w:t xml:space="preserve"> »</w:t>
      </w:r>
      <w:r w:rsidRPr="007B7071">
        <w:rPr>
          <w:rFonts w:ascii="Times New Roman" w:hAnsi="Times New Roman" w:cs="Times New Roman"/>
        </w:rPr>
        <w:t xml:space="preserve">, </w:t>
      </w:r>
      <w:r w:rsidRPr="007B7071">
        <w:rPr>
          <w:rFonts w:ascii="Times New Roman" w:hAnsi="Times New Roman" w:cs="Times New Roman"/>
          <w:i/>
          <w:iCs/>
        </w:rPr>
        <w:t>op. cit.</w:t>
      </w:r>
    </w:p>
  </w:footnote>
  <w:footnote w:id="5">
    <w:p w14:paraId="073BE12E" w14:textId="4A9A4C43" w:rsidR="000438A5" w:rsidRPr="007B7071" w:rsidRDefault="000438A5">
      <w:pPr>
        <w:pStyle w:val="Voetnoottekst"/>
        <w:rPr>
          <w:rFonts w:ascii="Times New Roman" w:hAnsi="Times New Roman" w:cs="Times New Roman"/>
          <w:lang w:val="fr-FR"/>
        </w:rPr>
      </w:pPr>
      <w:r w:rsidRPr="007B7071">
        <w:rPr>
          <w:rStyle w:val="Voetnootmarkering"/>
          <w:rFonts w:ascii="Times New Roman" w:hAnsi="Times New Roman" w:cs="Times New Roman"/>
        </w:rPr>
        <w:footnoteRef/>
      </w:r>
      <w:r w:rsidRPr="007B7071">
        <w:rPr>
          <w:rFonts w:ascii="Times New Roman" w:hAnsi="Times New Roman" w:cs="Times New Roman"/>
        </w:rPr>
        <w:t xml:space="preserve"> </w:t>
      </w:r>
      <w:r w:rsidRPr="007B7071">
        <w:rPr>
          <w:rFonts w:ascii="Times New Roman" w:hAnsi="Times New Roman" w:cs="Times New Roman"/>
          <w:smallCaps/>
        </w:rPr>
        <w:t>Giuseppe Sermoneta</w:t>
      </w:r>
      <w:r w:rsidRPr="007B7071">
        <w:rPr>
          <w:rFonts w:ascii="Times New Roman" w:hAnsi="Times New Roman" w:cs="Times New Roman"/>
        </w:rPr>
        <w:t xml:space="preserve">, </w:t>
      </w:r>
      <w:r w:rsidRPr="007B7071">
        <w:rPr>
          <w:rFonts w:ascii="Times New Roman" w:hAnsi="Times New Roman" w:cs="Times New Roman"/>
          <w:i/>
          <w:iCs/>
        </w:rPr>
        <w:t>Un glossario filosofico ebraico-italiano del XIII secolo</w:t>
      </w:r>
      <w:r w:rsidRPr="007B7071">
        <w:rPr>
          <w:rFonts w:ascii="Times New Roman" w:hAnsi="Times New Roman" w:cs="Times New Roman"/>
        </w:rPr>
        <w:t>, Rome</w:t>
      </w:r>
      <w:r w:rsidR="009155E6">
        <w:rPr>
          <w:rFonts w:ascii="Times New Roman" w:hAnsi="Times New Roman" w:cs="Times New Roman"/>
        </w:rPr>
        <w:t>,</w:t>
      </w:r>
      <w:r w:rsidRPr="007B7071">
        <w:rPr>
          <w:rFonts w:ascii="Times New Roman" w:hAnsi="Times New Roman" w:cs="Times New Roman"/>
        </w:rPr>
        <w:t xml:space="preserve"> Edizioni dell'Ateneo 1969.</w:t>
      </w:r>
    </w:p>
  </w:footnote>
  <w:footnote w:id="6">
    <w:p w14:paraId="5D3CD513" w14:textId="7171DBCB" w:rsidR="002A4C2A" w:rsidRPr="007B7071" w:rsidRDefault="002A4C2A" w:rsidP="004818B7">
      <w:pPr>
        <w:pStyle w:val="Voetnoottekst"/>
        <w:rPr>
          <w:rFonts w:ascii="Times New Roman" w:hAnsi="Times New Roman" w:cs="Times New Roman"/>
          <w:lang w:val="fr-FR"/>
        </w:rPr>
      </w:pPr>
      <w:r w:rsidRPr="007B7071">
        <w:rPr>
          <w:rStyle w:val="Voetnootmarkering"/>
          <w:rFonts w:ascii="Times New Roman" w:hAnsi="Times New Roman" w:cs="Times New Roman"/>
        </w:rPr>
        <w:footnoteRef/>
      </w:r>
      <w:r w:rsidR="00174969" w:rsidRPr="007B7071">
        <w:rPr>
          <w:rFonts w:ascii="Times New Roman" w:hAnsi="Times New Roman" w:cs="Times New Roman"/>
          <w:smallCaps/>
          <w:lang w:val="fr-FR"/>
        </w:rPr>
        <w:t xml:space="preserve"> </w:t>
      </w:r>
      <w:r w:rsidR="000438A5" w:rsidRPr="007B7071">
        <w:rPr>
          <w:rFonts w:ascii="Times New Roman" w:hAnsi="Times New Roman" w:cs="Times New Roman"/>
          <w:smallCaps/>
          <w:lang w:val="fr-FR"/>
        </w:rPr>
        <w:t>Jean-Pierre Rothschild,</w:t>
      </w:r>
      <w:r w:rsidR="009155E6">
        <w:rPr>
          <w:rFonts w:ascii="Times New Roman" w:hAnsi="Times New Roman" w:cs="Times New Roman"/>
          <w:smallCaps/>
          <w:lang w:val="fr-FR"/>
        </w:rPr>
        <w:t xml:space="preserve"> </w:t>
      </w:r>
      <w:r w:rsidR="000438A5" w:rsidRPr="007B7071">
        <w:rPr>
          <w:rFonts w:ascii="Times New Roman" w:hAnsi="Times New Roman" w:cs="Times New Roman"/>
          <w:lang w:val="fr-FR"/>
        </w:rPr>
        <w:t>«</w:t>
      </w:r>
      <w:r w:rsidR="009155E6">
        <w:rPr>
          <w:rFonts w:ascii="Times New Roman" w:hAnsi="Times New Roman" w:cs="Times New Roman"/>
          <w:lang w:val="fr-FR"/>
        </w:rPr>
        <w:t xml:space="preserve"> </w:t>
      </w:r>
      <w:r w:rsidR="000438A5" w:rsidRPr="007B7071">
        <w:rPr>
          <w:rFonts w:ascii="Times New Roman" w:hAnsi="Times New Roman" w:cs="Times New Roman"/>
          <w:lang w:val="fr-FR"/>
        </w:rPr>
        <w:t xml:space="preserve">Remarques sur la tradition manuscrite du glossaire hébreu-italien du commentaire de Moïse de Salerne au </w:t>
      </w:r>
      <w:r w:rsidR="000438A5" w:rsidRPr="007B7071">
        <w:rPr>
          <w:rFonts w:ascii="Times New Roman" w:hAnsi="Times New Roman" w:cs="Times New Roman"/>
          <w:i/>
          <w:iCs/>
          <w:lang w:val="fr-FR"/>
        </w:rPr>
        <w:t xml:space="preserve">Guide des égarés. </w:t>
      </w:r>
      <w:r w:rsidR="000438A5" w:rsidRPr="007B7071">
        <w:rPr>
          <w:rFonts w:ascii="Times New Roman" w:hAnsi="Times New Roman" w:cs="Times New Roman"/>
          <w:lang w:val="fr-FR"/>
        </w:rPr>
        <w:t>En appendices : note sur les glossaires médicaux hébreux, liste des manuscrits hébreux contenant des glossaires</w:t>
      </w:r>
      <w:r w:rsidR="009155E6">
        <w:rPr>
          <w:rFonts w:ascii="Times New Roman" w:hAnsi="Times New Roman" w:cs="Times New Roman"/>
          <w:lang w:val="fr-FR"/>
        </w:rPr>
        <w:t xml:space="preserve"> </w:t>
      </w:r>
      <w:r w:rsidR="000438A5" w:rsidRPr="007B7071">
        <w:rPr>
          <w:rFonts w:ascii="Times New Roman" w:hAnsi="Times New Roman" w:cs="Times New Roman"/>
          <w:lang w:val="fr-FR"/>
        </w:rPr>
        <w:t xml:space="preserve">», in </w:t>
      </w:r>
      <w:r w:rsidR="000438A5" w:rsidRPr="007B7071">
        <w:rPr>
          <w:rFonts w:ascii="Times New Roman" w:hAnsi="Times New Roman" w:cs="Times New Roman"/>
          <w:smallCaps/>
          <w:lang w:val="fr-FR"/>
        </w:rPr>
        <w:t xml:space="preserve">Jacqueline </w:t>
      </w:r>
      <w:proofErr w:type="spellStart"/>
      <w:r w:rsidR="000438A5" w:rsidRPr="007B7071">
        <w:rPr>
          <w:rFonts w:ascii="Times New Roman" w:hAnsi="Times New Roman" w:cs="Times New Roman"/>
          <w:smallCaps/>
          <w:lang w:val="fr-FR"/>
        </w:rPr>
        <w:t>Hamesse</w:t>
      </w:r>
      <w:proofErr w:type="spellEnd"/>
      <w:r w:rsidR="000438A5" w:rsidRPr="007B7071">
        <w:rPr>
          <w:rFonts w:ascii="Times New Roman" w:hAnsi="Times New Roman" w:cs="Times New Roman"/>
          <w:smallCaps/>
          <w:lang w:val="fr-FR"/>
        </w:rPr>
        <w:t xml:space="preserve"> &amp; </w:t>
      </w:r>
      <w:r w:rsidR="000438A5" w:rsidRPr="007B7071">
        <w:rPr>
          <w:rFonts w:ascii="Times New Roman" w:hAnsi="Times New Roman" w:cs="Times New Roman"/>
          <w:smallCaps/>
          <w:cs/>
          <w:lang w:val="fr-FR"/>
        </w:rPr>
        <w:t>‎</w:t>
      </w:r>
      <w:r w:rsidR="000438A5" w:rsidRPr="007B7071">
        <w:rPr>
          <w:rFonts w:ascii="Times New Roman" w:hAnsi="Times New Roman" w:cs="Times New Roman"/>
          <w:smallCaps/>
          <w:lang w:val="fr-FR"/>
        </w:rPr>
        <w:t>Danielle Jacquart</w:t>
      </w:r>
      <w:r w:rsidR="000438A5" w:rsidRPr="007B7071">
        <w:rPr>
          <w:rFonts w:ascii="Times New Roman" w:hAnsi="Times New Roman" w:cs="Times New Roman"/>
          <w:lang w:val="fr-FR"/>
        </w:rPr>
        <w:t xml:space="preserve"> (</w:t>
      </w:r>
      <w:proofErr w:type="spellStart"/>
      <w:r w:rsidR="000438A5" w:rsidRPr="007B7071">
        <w:rPr>
          <w:rFonts w:ascii="Times New Roman" w:hAnsi="Times New Roman" w:cs="Times New Roman"/>
          <w:lang w:val="fr-FR"/>
        </w:rPr>
        <w:t>eds</w:t>
      </w:r>
      <w:proofErr w:type="spellEnd"/>
      <w:r w:rsidR="009155E6">
        <w:rPr>
          <w:rFonts w:ascii="Times New Roman" w:hAnsi="Times New Roman" w:cs="Times New Roman"/>
          <w:lang w:val="fr-FR"/>
        </w:rPr>
        <w:t>.</w:t>
      </w:r>
      <w:r w:rsidR="000438A5" w:rsidRPr="007B7071">
        <w:rPr>
          <w:rFonts w:ascii="Times New Roman" w:hAnsi="Times New Roman" w:cs="Times New Roman"/>
          <w:lang w:val="fr-FR"/>
        </w:rPr>
        <w:t xml:space="preserve">), </w:t>
      </w:r>
      <w:r w:rsidR="000438A5" w:rsidRPr="007B7071">
        <w:rPr>
          <w:rFonts w:ascii="Times New Roman" w:hAnsi="Times New Roman" w:cs="Times New Roman"/>
          <w:i/>
          <w:iCs/>
          <w:lang w:val="fr-FR"/>
        </w:rPr>
        <w:t>Lexiques bilingues dans les domaines philosophique et scientifique (Moyen Âge – Renaissance). Actes du Colloque international organisé par l’École Pratique des Hautes Études-IVe section et l’Institut de Philosophie de l’Université Catholique de Louvain (Paris, 12-14 juin 199</w:t>
      </w:r>
      <w:r w:rsidR="009155E6">
        <w:rPr>
          <w:rFonts w:ascii="Times New Roman" w:hAnsi="Times New Roman" w:cs="Times New Roman"/>
          <w:i/>
          <w:iCs/>
          <w:lang w:val="fr-FR"/>
        </w:rPr>
        <w:t>7</w:t>
      </w:r>
      <w:proofErr w:type="gramStart"/>
      <w:r w:rsidR="009155E6">
        <w:rPr>
          <w:rFonts w:ascii="Times New Roman" w:hAnsi="Times New Roman" w:cs="Times New Roman"/>
          <w:i/>
          <w:iCs/>
          <w:lang w:val="fr-FR"/>
        </w:rPr>
        <w:t xml:space="preserve">), </w:t>
      </w:r>
      <w:r w:rsidR="000438A5" w:rsidRPr="007B7071">
        <w:rPr>
          <w:rFonts w:ascii="Times New Roman" w:hAnsi="Times New Roman" w:cs="Times New Roman"/>
          <w:i/>
          <w:iCs/>
          <w:lang w:val="fr-FR"/>
        </w:rPr>
        <w:t xml:space="preserve"> </w:t>
      </w:r>
      <w:r w:rsidR="000438A5" w:rsidRPr="007B7071">
        <w:rPr>
          <w:rFonts w:ascii="Times New Roman" w:hAnsi="Times New Roman" w:cs="Times New Roman"/>
          <w:lang w:val="fr-FR"/>
        </w:rPr>
        <w:t>Turnhout</w:t>
      </w:r>
      <w:proofErr w:type="gramEnd"/>
      <w:r w:rsidR="009155E6">
        <w:rPr>
          <w:rFonts w:ascii="Times New Roman" w:hAnsi="Times New Roman" w:cs="Times New Roman"/>
          <w:lang w:val="fr-FR"/>
        </w:rPr>
        <w:t>,</w:t>
      </w:r>
      <w:r w:rsidR="000438A5" w:rsidRPr="007B7071">
        <w:rPr>
          <w:rFonts w:ascii="Times New Roman" w:hAnsi="Times New Roman" w:cs="Times New Roman"/>
          <w:lang w:val="fr-FR"/>
        </w:rPr>
        <w:t xml:space="preserve"> </w:t>
      </w:r>
      <w:proofErr w:type="spellStart"/>
      <w:r w:rsidR="000438A5" w:rsidRPr="007B7071">
        <w:rPr>
          <w:rFonts w:ascii="Times New Roman" w:hAnsi="Times New Roman" w:cs="Times New Roman"/>
          <w:lang w:val="fr-FR"/>
        </w:rPr>
        <w:t>Brepols</w:t>
      </w:r>
      <w:proofErr w:type="spellEnd"/>
      <w:r w:rsidR="000438A5" w:rsidRPr="007B7071">
        <w:rPr>
          <w:rFonts w:ascii="Times New Roman" w:hAnsi="Times New Roman" w:cs="Times New Roman"/>
          <w:lang w:val="fr-FR"/>
        </w:rPr>
        <w:t xml:space="preserve"> 200</w:t>
      </w:r>
      <w:r w:rsidR="009155E6">
        <w:rPr>
          <w:rFonts w:ascii="Times New Roman" w:hAnsi="Times New Roman" w:cs="Times New Roman"/>
          <w:lang w:val="fr-FR"/>
        </w:rPr>
        <w:t>1</w:t>
      </w:r>
      <w:r w:rsidR="009155E6" w:rsidRPr="007B7071">
        <w:rPr>
          <w:rFonts w:ascii="Times New Roman" w:hAnsi="Times New Roman" w:cs="Times New Roman"/>
          <w:i/>
          <w:iCs/>
          <w:lang w:val="fr-FR"/>
        </w:rPr>
        <w:t xml:space="preserve"> </w:t>
      </w:r>
      <w:r w:rsidR="009155E6" w:rsidRPr="007B7071">
        <w:rPr>
          <w:rFonts w:ascii="Times New Roman" w:hAnsi="Times New Roman" w:cs="Times New Roman"/>
          <w:lang w:val="fr-FR"/>
        </w:rPr>
        <w:t>(Textes et études du Moyen Âge, 14</w:t>
      </w:r>
      <w:r w:rsidR="009155E6" w:rsidRPr="009155E6">
        <w:rPr>
          <w:rFonts w:ascii="Times New Roman" w:hAnsi="Times New Roman" w:cs="Times New Roman"/>
          <w:lang w:val="fr-FR"/>
        </w:rPr>
        <w:t>), p</w:t>
      </w:r>
      <w:r w:rsidR="009155E6">
        <w:rPr>
          <w:rFonts w:ascii="Times New Roman" w:hAnsi="Times New Roman" w:cs="Times New Roman"/>
          <w:lang w:val="fr-FR"/>
        </w:rPr>
        <w:t xml:space="preserve">. </w:t>
      </w:r>
      <w:r w:rsidR="000438A5" w:rsidRPr="007B7071">
        <w:rPr>
          <w:rFonts w:ascii="Times New Roman" w:hAnsi="Times New Roman" w:cs="Times New Roman"/>
          <w:lang w:val="fr-FR"/>
        </w:rPr>
        <w:t>49–88.</w:t>
      </w:r>
    </w:p>
  </w:footnote>
  <w:footnote w:id="7">
    <w:p w14:paraId="778F2815" w14:textId="25DC3882" w:rsidR="00224DF1" w:rsidRPr="007B7071" w:rsidRDefault="00224DF1">
      <w:pPr>
        <w:pStyle w:val="Voetnoottekst"/>
        <w:rPr>
          <w:rFonts w:ascii="Times New Roman" w:hAnsi="Times New Roman" w:cs="Times New Roman"/>
          <w:lang w:val="fr-FR"/>
        </w:rPr>
      </w:pPr>
      <w:r w:rsidRPr="007B7071">
        <w:rPr>
          <w:rStyle w:val="Voetnootmarkering"/>
          <w:rFonts w:ascii="Times New Roman" w:hAnsi="Times New Roman" w:cs="Times New Roman"/>
        </w:rPr>
        <w:footnoteRef/>
      </w:r>
      <w:r w:rsidRPr="007B7071">
        <w:rPr>
          <w:rFonts w:ascii="Times New Roman" w:hAnsi="Times New Roman" w:cs="Times New Roman"/>
        </w:rPr>
        <w:t xml:space="preserve"> </w:t>
      </w:r>
      <w:r w:rsidR="00174969" w:rsidRPr="007B7071">
        <w:rPr>
          <w:rFonts w:ascii="Times New Roman" w:hAnsi="Times New Roman" w:cs="Times New Roman"/>
          <w:smallCaps/>
          <w:lang w:val="fr-FR"/>
        </w:rPr>
        <w:t xml:space="preserve">Milan </w:t>
      </w:r>
      <w:proofErr w:type="spellStart"/>
      <w:r w:rsidR="00174969" w:rsidRPr="007B7071">
        <w:rPr>
          <w:rFonts w:ascii="Times New Roman" w:hAnsi="Times New Roman" w:cs="Times New Roman"/>
          <w:smallCaps/>
          <w:lang w:val="fr-FR"/>
        </w:rPr>
        <w:t>Žonca</w:t>
      </w:r>
      <w:proofErr w:type="spellEnd"/>
      <w:r w:rsidR="00174969" w:rsidRPr="007B7071">
        <w:rPr>
          <w:rFonts w:ascii="Times New Roman" w:hAnsi="Times New Roman" w:cs="Times New Roman"/>
          <w:lang w:val="fr-FR"/>
        </w:rPr>
        <w:t>, «</w:t>
      </w:r>
      <w:r w:rsidR="009155E6">
        <w:rPr>
          <w:rFonts w:ascii="Times New Roman" w:hAnsi="Times New Roman" w:cs="Times New Roman"/>
          <w:lang w:val="fr-FR"/>
        </w:rPr>
        <w:t xml:space="preserve"> </w:t>
      </w:r>
      <w:r w:rsidR="00174969" w:rsidRPr="007B7071">
        <w:rPr>
          <w:rFonts w:ascii="Times New Roman" w:hAnsi="Times New Roman" w:cs="Times New Roman"/>
          <w:lang w:val="fr-FR"/>
        </w:rPr>
        <w:t xml:space="preserve">Menahem ben Jacob </w:t>
      </w:r>
      <w:proofErr w:type="spellStart"/>
      <w:r w:rsidR="00174969" w:rsidRPr="007B7071">
        <w:rPr>
          <w:rFonts w:ascii="Times New Roman" w:hAnsi="Times New Roman" w:cs="Times New Roman"/>
          <w:lang w:val="fr-FR"/>
        </w:rPr>
        <w:t>Shalem</w:t>
      </w:r>
      <w:proofErr w:type="spellEnd"/>
      <w:r w:rsidR="00174969" w:rsidRPr="007B7071">
        <w:rPr>
          <w:rFonts w:ascii="Times New Roman" w:hAnsi="Times New Roman" w:cs="Times New Roman"/>
          <w:lang w:val="fr-FR"/>
        </w:rPr>
        <w:t xml:space="preserve"> and the </w:t>
      </w:r>
      <w:proofErr w:type="spellStart"/>
      <w:r w:rsidR="00174969" w:rsidRPr="007B7071">
        <w:rPr>
          <w:rFonts w:ascii="Times New Roman" w:hAnsi="Times New Roman" w:cs="Times New Roman"/>
          <w:lang w:val="fr-FR"/>
        </w:rPr>
        <w:t>Study</w:t>
      </w:r>
      <w:proofErr w:type="spellEnd"/>
      <w:r w:rsidR="00174969" w:rsidRPr="007B7071">
        <w:rPr>
          <w:rFonts w:ascii="Times New Roman" w:hAnsi="Times New Roman" w:cs="Times New Roman"/>
          <w:lang w:val="fr-FR"/>
        </w:rPr>
        <w:t xml:space="preserve"> of </w:t>
      </w:r>
      <w:proofErr w:type="spellStart"/>
      <w:r w:rsidR="00174969" w:rsidRPr="007B7071">
        <w:rPr>
          <w:rFonts w:ascii="Times New Roman" w:hAnsi="Times New Roman" w:cs="Times New Roman"/>
          <w:lang w:val="fr-FR"/>
        </w:rPr>
        <w:t>Philosophy</w:t>
      </w:r>
      <w:proofErr w:type="spellEnd"/>
      <w:r w:rsidR="00174969" w:rsidRPr="007B7071">
        <w:rPr>
          <w:rFonts w:ascii="Times New Roman" w:hAnsi="Times New Roman" w:cs="Times New Roman"/>
          <w:lang w:val="fr-FR"/>
        </w:rPr>
        <w:t xml:space="preserve"> in </w:t>
      </w:r>
      <w:proofErr w:type="spellStart"/>
      <w:r w:rsidR="00174969" w:rsidRPr="007B7071">
        <w:rPr>
          <w:rFonts w:ascii="Times New Roman" w:hAnsi="Times New Roman" w:cs="Times New Roman"/>
          <w:lang w:val="fr-FR"/>
        </w:rPr>
        <w:t>Late</w:t>
      </w:r>
      <w:proofErr w:type="spellEnd"/>
      <w:r w:rsidR="00174969" w:rsidRPr="007B7071">
        <w:rPr>
          <w:rFonts w:ascii="Times New Roman" w:hAnsi="Times New Roman" w:cs="Times New Roman"/>
          <w:lang w:val="fr-FR"/>
        </w:rPr>
        <w:t xml:space="preserve"> </w:t>
      </w:r>
      <w:proofErr w:type="spellStart"/>
      <w:r w:rsidR="00174969" w:rsidRPr="007B7071">
        <w:rPr>
          <w:rFonts w:ascii="Times New Roman" w:hAnsi="Times New Roman" w:cs="Times New Roman"/>
          <w:lang w:val="fr-FR"/>
        </w:rPr>
        <w:t>Medieval</w:t>
      </w:r>
      <w:proofErr w:type="spellEnd"/>
      <w:r w:rsidR="00174969" w:rsidRPr="007B7071">
        <w:rPr>
          <w:rFonts w:ascii="Times New Roman" w:hAnsi="Times New Roman" w:cs="Times New Roman"/>
          <w:lang w:val="fr-FR"/>
        </w:rPr>
        <w:t xml:space="preserve"> Prague</w:t>
      </w:r>
      <w:r w:rsidR="009155E6">
        <w:rPr>
          <w:rFonts w:ascii="Times New Roman" w:hAnsi="Times New Roman" w:cs="Times New Roman"/>
          <w:lang w:val="fr-FR"/>
        </w:rPr>
        <w:t xml:space="preserve"> </w:t>
      </w:r>
      <w:r w:rsidR="00174969" w:rsidRPr="007B7071">
        <w:rPr>
          <w:rFonts w:ascii="Times New Roman" w:hAnsi="Times New Roman" w:cs="Times New Roman"/>
          <w:lang w:val="fr-FR"/>
        </w:rPr>
        <w:t xml:space="preserve">», in </w:t>
      </w:r>
      <w:proofErr w:type="spellStart"/>
      <w:r w:rsidR="00174969" w:rsidRPr="007B7071">
        <w:rPr>
          <w:rFonts w:ascii="Times New Roman" w:hAnsi="Times New Roman" w:cs="Times New Roman"/>
          <w:smallCaps/>
          <w:lang w:val="fr-FR"/>
        </w:rPr>
        <w:t>Ota</w:t>
      </w:r>
      <w:proofErr w:type="spellEnd"/>
      <w:r w:rsidR="00174969" w:rsidRPr="007B7071">
        <w:rPr>
          <w:rFonts w:ascii="Times New Roman" w:hAnsi="Times New Roman" w:cs="Times New Roman"/>
          <w:smallCaps/>
          <w:lang w:val="fr-FR"/>
        </w:rPr>
        <w:t xml:space="preserve"> </w:t>
      </w:r>
      <w:proofErr w:type="spellStart"/>
      <w:r w:rsidR="00174969" w:rsidRPr="007B7071">
        <w:rPr>
          <w:rFonts w:ascii="Times New Roman" w:hAnsi="Times New Roman" w:cs="Times New Roman"/>
          <w:smallCaps/>
          <w:lang w:val="fr-FR"/>
        </w:rPr>
        <w:t>Pavlíček</w:t>
      </w:r>
      <w:proofErr w:type="spellEnd"/>
      <w:r w:rsidR="00174969" w:rsidRPr="007B7071">
        <w:rPr>
          <w:rFonts w:ascii="Times New Roman" w:hAnsi="Times New Roman" w:cs="Times New Roman"/>
          <w:lang w:val="fr-FR"/>
        </w:rPr>
        <w:t xml:space="preserve"> (</w:t>
      </w:r>
      <w:proofErr w:type="spellStart"/>
      <w:r w:rsidR="00174969" w:rsidRPr="007B7071">
        <w:rPr>
          <w:rFonts w:ascii="Times New Roman" w:hAnsi="Times New Roman" w:cs="Times New Roman"/>
          <w:lang w:val="fr-FR"/>
        </w:rPr>
        <w:t>ed</w:t>
      </w:r>
      <w:proofErr w:type="spellEnd"/>
      <w:r w:rsidR="00174969" w:rsidRPr="007B7071">
        <w:rPr>
          <w:rFonts w:ascii="Times New Roman" w:hAnsi="Times New Roman" w:cs="Times New Roman"/>
          <w:lang w:val="fr-FR"/>
        </w:rPr>
        <w:t xml:space="preserve">.), </w:t>
      </w:r>
      <w:proofErr w:type="spellStart"/>
      <w:r w:rsidR="00174969" w:rsidRPr="007B7071">
        <w:rPr>
          <w:rFonts w:ascii="Times New Roman" w:hAnsi="Times New Roman" w:cs="Times New Roman"/>
          <w:i/>
          <w:iCs/>
          <w:lang w:val="fr-FR"/>
        </w:rPr>
        <w:t>Studying</w:t>
      </w:r>
      <w:proofErr w:type="spellEnd"/>
      <w:r w:rsidR="00174969" w:rsidRPr="007B7071">
        <w:rPr>
          <w:rFonts w:ascii="Times New Roman" w:hAnsi="Times New Roman" w:cs="Times New Roman"/>
          <w:i/>
          <w:iCs/>
          <w:lang w:val="fr-FR"/>
        </w:rPr>
        <w:t xml:space="preserve"> the Arts in </w:t>
      </w:r>
      <w:proofErr w:type="spellStart"/>
      <w:r w:rsidR="00174969" w:rsidRPr="007B7071">
        <w:rPr>
          <w:rFonts w:ascii="Times New Roman" w:hAnsi="Times New Roman" w:cs="Times New Roman"/>
          <w:i/>
          <w:iCs/>
          <w:lang w:val="fr-FR"/>
        </w:rPr>
        <w:t>Late</w:t>
      </w:r>
      <w:proofErr w:type="spellEnd"/>
      <w:r w:rsidR="00174969" w:rsidRPr="007B7071">
        <w:rPr>
          <w:rFonts w:ascii="Times New Roman" w:hAnsi="Times New Roman" w:cs="Times New Roman"/>
          <w:i/>
          <w:iCs/>
          <w:lang w:val="fr-FR"/>
        </w:rPr>
        <w:t xml:space="preserve"> </w:t>
      </w:r>
      <w:proofErr w:type="spellStart"/>
      <w:r w:rsidR="00174969" w:rsidRPr="007B7071">
        <w:rPr>
          <w:rFonts w:ascii="Times New Roman" w:hAnsi="Times New Roman" w:cs="Times New Roman"/>
          <w:i/>
          <w:iCs/>
          <w:lang w:val="fr-FR"/>
        </w:rPr>
        <w:t>Medieval</w:t>
      </w:r>
      <w:proofErr w:type="spellEnd"/>
      <w:r w:rsidR="00174969" w:rsidRPr="007B7071">
        <w:rPr>
          <w:rFonts w:ascii="Times New Roman" w:hAnsi="Times New Roman" w:cs="Times New Roman"/>
          <w:i/>
          <w:iCs/>
          <w:lang w:val="fr-FR"/>
        </w:rPr>
        <w:t xml:space="preserve"> </w:t>
      </w:r>
      <w:proofErr w:type="spellStart"/>
      <w:proofErr w:type="gramStart"/>
      <w:r w:rsidR="00174969" w:rsidRPr="007B7071">
        <w:rPr>
          <w:rFonts w:ascii="Times New Roman" w:hAnsi="Times New Roman" w:cs="Times New Roman"/>
          <w:i/>
          <w:iCs/>
          <w:lang w:val="fr-FR"/>
        </w:rPr>
        <w:t>Bohemia</w:t>
      </w:r>
      <w:proofErr w:type="spellEnd"/>
      <w:r w:rsidR="00174969" w:rsidRPr="007B7071">
        <w:rPr>
          <w:rFonts w:ascii="Times New Roman" w:hAnsi="Times New Roman" w:cs="Times New Roman"/>
          <w:i/>
          <w:iCs/>
          <w:lang w:val="fr-FR"/>
        </w:rPr>
        <w:t>:</w:t>
      </w:r>
      <w:proofErr w:type="gramEnd"/>
      <w:r w:rsidR="00174969" w:rsidRPr="007B7071">
        <w:rPr>
          <w:rFonts w:ascii="Times New Roman" w:hAnsi="Times New Roman" w:cs="Times New Roman"/>
          <w:i/>
          <w:iCs/>
          <w:lang w:val="fr-FR"/>
        </w:rPr>
        <w:t xml:space="preserve"> Production, </w:t>
      </w:r>
      <w:proofErr w:type="spellStart"/>
      <w:r w:rsidR="00174969" w:rsidRPr="007B7071">
        <w:rPr>
          <w:rFonts w:ascii="Times New Roman" w:hAnsi="Times New Roman" w:cs="Times New Roman"/>
          <w:i/>
          <w:iCs/>
          <w:lang w:val="fr-FR"/>
        </w:rPr>
        <w:t>Reception</w:t>
      </w:r>
      <w:proofErr w:type="spellEnd"/>
      <w:r w:rsidR="00174969" w:rsidRPr="007B7071">
        <w:rPr>
          <w:rFonts w:ascii="Times New Roman" w:hAnsi="Times New Roman" w:cs="Times New Roman"/>
          <w:i/>
          <w:iCs/>
          <w:lang w:val="fr-FR"/>
        </w:rPr>
        <w:t xml:space="preserve"> and Transmission of </w:t>
      </w:r>
      <w:proofErr w:type="spellStart"/>
      <w:r w:rsidR="00174969" w:rsidRPr="007B7071">
        <w:rPr>
          <w:rFonts w:ascii="Times New Roman" w:hAnsi="Times New Roman" w:cs="Times New Roman"/>
          <w:i/>
          <w:iCs/>
          <w:lang w:val="fr-FR"/>
        </w:rPr>
        <w:t>Knowledge</w:t>
      </w:r>
      <w:proofErr w:type="spellEnd"/>
      <w:r w:rsidR="00174969" w:rsidRPr="007B7071">
        <w:rPr>
          <w:rFonts w:ascii="Times New Roman" w:hAnsi="Times New Roman" w:cs="Times New Roman"/>
          <w:lang w:val="fr-FR"/>
        </w:rPr>
        <w:t xml:space="preserve"> </w:t>
      </w:r>
      <w:proofErr w:type="gramStart"/>
      <w:r w:rsidR="00174969" w:rsidRPr="007B7071">
        <w:rPr>
          <w:rFonts w:ascii="Times New Roman" w:hAnsi="Times New Roman" w:cs="Times New Roman"/>
          <w:lang w:val="fr-FR"/>
        </w:rPr>
        <w:t>Turnhout:</w:t>
      </w:r>
      <w:proofErr w:type="gramEnd"/>
      <w:r w:rsidR="00174969" w:rsidRPr="007B7071">
        <w:rPr>
          <w:rFonts w:ascii="Times New Roman" w:hAnsi="Times New Roman" w:cs="Times New Roman"/>
          <w:lang w:val="fr-FR"/>
        </w:rPr>
        <w:t xml:space="preserve"> </w:t>
      </w:r>
      <w:proofErr w:type="spellStart"/>
      <w:r w:rsidR="00174969" w:rsidRPr="007B7071">
        <w:rPr>
          <w:rFonts w:ascii="Times New Roman" w:hAnsi="Times New Roman" w:cs="Times New Roman"/>
          <w:lang w:val="fr-FR"/>
        </w:rPr>
        <w:t>Brepols</w:t>
      </w:r>
      <w:proofErr w:type="spellEnd"/>
      <w:r w:rsidR="00174969" w:rsidRPr="007B7071">
        <w:rPr>
          <w:rFonts w:ascii="Times New Roman" w:hAnsi="Times New Roman" w:cs="Times New Roman"/>
          <w:lang w:val="fr-FR"/>
        </w:rPr>
        <w:t>, 2021</w:t>
      </w:r>
      <w:r w:rsidR="009155E6" w:rsidRPr="009155E6">
        <w:rPr>
          <w:rFonts w:ascii="Times New Roman" w:hAnsi="Times New Roman" w:cs="Times New Roman"/>
          <w:lang w:val="fr-FR"/>
        </w:rPr>
        <w:t xml:space="preserve"> </w:t>
      </w:r>
      <w:r w:rsidR="009155E6" w:rsidRPr="007B7071">
        <w:rPr>
          <w:rFonts w:ascii="Times New Roman" w:hAnsi="Times New Roman" w:cs="Times New Roman"/>
          <w:lang w:val="fr-FR"/>
        </w:rPr>
        <w:t xml:space="preserve">(Studia </w:t>
      </w:r>
      <w:proofErr w:type="spellStart"/>
      <w:r w:rsidR="009155E6" w:rsidRPr="007B7071">
        <w:rPr>
          <w:rFonts w:ascii="Times New Roman" w:hAnsi="Times New Roman" w:cs="Times New Roman"/>
          <w:lang w:val="fr-FR"/>
        </w:rPr>
        <w:t>Artistarum</w:t>
      </w:r>
      <w:proofErr w:type="spellEnd"/>
      <w:r w:rsidR="009155E6" w:rsidRPr="007B7071">
        <w:rPr>
          <w:rFonts w:ascii="Times New Roman" w:hAnsi="Times New Roman" w:cs="Times New Roman"/>
          <w:lang w:val="fr-FR"/>
        </w:rPr>
        <w:t>, 48),</w:t>
      </w:r>
      <w:r w:rsidR="00174969" w:rsidRPr="007B7071">
        <w:rPr>
          <w:rFonts w:ascii="Times New Roman" w:hAnsi="Times New Roman" w:cs="Times New Roman"/>
          <w:lang w:val="fr-FR"/>
        </w:rPr>
        <w:t xml:space="preserve"> p. 27–47 ; </w:t>
      </w:r>
      <w:proofErr w:type="spellStart"/>
      <w:r w:rsidR="00174969" w:rsidRPr="007B7071">
        <w:rPr>
          <w:rFonts w:ascii="Times New Roman" w:hAnsi="Times New Roman" w:cs="Times New Roman"/>
          <w:smallCaps/>
          <w:lang w:val="fr-FR"/>
        </w:rPr>
        <w:t>Tamás</w:t>
      </w:r>
      <w:proofErr w:type="spellEnd"/>
      <w:r w:rsidR="00174969" w:rsidRPr="007B7071">
        <w:rPr>
          <w:rFonts w:ascii="Times New Roman" w:hAnsi="Times New Roman" w:cs="Times New Roman"/>
          <w:smallCaps/>
          <w:lang w:val="fr-FR"/>
        </w:rPr>
        <w:t xml:space="preserve"> </w:t>
      </w:r>
      <w:proofErr w:type="spellStart"/>
      <w:r w:rsidR="00174969" w:rsidRPr="007B7071">
        <w:rPr>
          <w:rFonts w:ascii="Times New Roman" w:hAnsi="Times New Roman" w:cs="Times New Roman"/>
          <w:smallCaps/>
          <w:lang w:val="fr-FR"/>
        </w:rPr>
        <w:t>Visi</w:t>
      </w:r>
      <w:proofErr w:type="spellEnd"/>
      <w:r w:rsidR="00174969" w:rsidRPr="007B7071">
        <w:rPr>
          <w:rFonts w:ascii="Times New Roman" w:hAnsi="Times New Roman" w:cs="Times New Roman"/>
          <w:lang w:val="fr-FR"/>
        </w:rPr>
        <w:t>, «</w:t>
      </w:r>
      <w:r w:rsidR="009155E6">
        <w:rPr>
          <w:rFonts w:ascii="Times New Roman" w:hAnsi="Times New Roman" w:cs="Times New Roman"/>
          <w:lang w:val="fr-FR"/>
        </w:rPr>
        <w:t xml:space="preserve"> </w:t>
      </w:r>
      <w:r w:rsidR="00174969" w:rsidRPr="007B7071">
        <w:rPr>
          <w:rFonts w:ascii="Times New Roman" w:hAnsi="Times New Roman" w:cs="Times New Roman"/>
          <w:lang w:val="fr-FR"/>
        </w:rPr>
        <w:t xml:space="preserve">The </w:t>
      </w:r>
      <w:proofErr w:type="spellStart"/>
      <w:r w:rsidR="00174969" w:rsidRPr="007B7071">
        <w:rPr>
          <w:rFonts w:ascii="Times New Roman" w:hAnsi="Times New Roman" w:cs="Times New Roman"/>
          <w:lang w:val="fr-FR"/>
        </w:rPr>
        <w:t>Emergence</w:t>
      </w:r>
      <w:proofErr w:type="spellEnd"/>
      <w:r w:rsidR="00174969" w:rsidRPr="007B7071">
        <w:rPr>
          <w:rFonts w:ascii="Times New Roman" w:hAnsi="Times New Roman" w:cs="Times New Roman"/>
          <w:lang w:val="fr-FR"/>
        </w:rPr>
        <w:t xml:space="preserve"> of </w:t>
      </w:r>
      <w:proofErr w:type="spellStart"/>
      <w:r w:rsidR="00174969" w:rsidRPr="007B7071">
        <w:rPr>
          <w:rFonts w:ascii="Times New Roman" w:hAnsi="Times New Roman" w:cs="Times New Roman"/>
          <w:lang w:val="fr-FR"/>
        </w:rPr>
        <w:t>Philosophy</w:t>
      </w:r>
      <w:proofErr w:type="spellEnd"/>
      <w:r w:rsidR="00174969" w:rsidRPr="007B7071">
        <w:rPr>
          <w:rFonts w:ascii="Times New Roman" w:hAnsi="Times New Roman" w:cs="Times New Roman"/>
          <w:lang w:val="fr-FR"/>
        </w:rPr>
        <w:t xml:space="preserve"> in </w:t>
      </w:r>
      <w:proofErr w:type="spellStart"/>
      <w:r w:rsidR="00174969" w:rsidRPr="007B7071">
        <w:rPr>
          <w:rFonts w:ascii="Times New Roman" w:hAnsi="Times New Roman" w:cs="Times New Roman"/>
          <w:lang w:val="fr-FR"/>
        </w:rPr>
        <w:t>Ashkenazic</w:t>
      </w:r>
      <w:proofErr w:type="spellEnd"/>
      <w:r w:rsidR="00174969" w:rsidRPr="007B7071">
        <w:rPr>
          <w:rFonts w:ascii="Times New Roman" w:hAnsi="Times New Roman" w:cs="Times New Roman"/>
          <w:lang w:val="fr-FR"/>
        </w:rPr>
        <w:t xml:space="preserve"> </w:t>
      </w:r>
      <w:proofErr w:type="spellStart"/>
      <w:proofErr w:type="gramStart"/>
      <w:r w:rsidR="00174969" w:rsidRPr="007B7071">
        <w:rPr>
          <w:rFonts w:ascii="Times New Roman" w:hAnsi="Times New Roman" w:cs="Times New Roman"/>
          <w:lang w:val="fr-FR"/>
        </w:rPr>
        <w:t>Contexts</w:t>
      </w:r>
      <w:proofErr w:type="spellEnd"/>
      <w:r w:rsidR="00174969" w:rsidRPr="007B7071">
        <w:rPr>
          <w:rFonts w:ascii="Times New Roman" w:hAnsi="Times New Roman" w:cs="Times New Roman"/>
          <w:lang w:val="fr-FR"/>
        </w:rPr>
        <w:t>:</w:t>
      </w:r>
      <w:proofErr w:type="gramEnd"/>
      <w:r w:rsidR="00174969" w:rsidRPr="007B7071">
        <w:rPr>
          <w:rFonts w:ascii="Times New Roman" w:hAnsi="Times New Roman" w:cs="Times New Roman"/>
          <w:lang w:val="fr-FR"/>
        </w:rPr>
        <w:t xml:space="preserve"> The Case of </w:t>
      </w:r>
      <w:proofErr w:type="spellStart"/>
      <w:r w:rsidR="00174969" w:rsidRPr="007B7071">
        <w:rPr>
          <w:rFonts w:ascii="Times New Roman" w:hAnsi="Times New Roman" w:cs="Times New Roman"/>
          <w:lang w:val="fr-FR"/>
        </w:rPr>
        <w:t>Czech</w:t>
      </w:r>
      <w:proofErr w:type="spellEnd"/>
      <w:r w:rsidR="00174969" w:rsidRPr="007B7071">
        <w:rPr>
          <w:rFonts w:ascii="Times New Roman" w:hAnsi="Times New Roman" w:cs="Times New Roman"/>
          <w:lang w:val="fr-FR"/>
        </w:rPr>
        <w:t xml:space="preserve"> Lands in the </w:t>
      </w:r>
      <w:proofErr w:type="spellStart"/>
      <w:r w:rsidR="00174969" w:rsidRPr="007B7071">
        <w:rPr>
          <w:rFonts w:ascii="Times New Roman" w:hAnsi="Times New Roman" w:cs="Times New Roman"/>
          <w:lang w:val="fr-FR"/>
        </w:rPr>
        <w:t>Early</w:t>
      </w:r>
      <w:proofErr w:type="spellEnd"/>
      <w:r w:rsidR="00174969" w:rsidRPr="007B7071">
        <w:rPr>
          <w:rFonts w:ascii="Times New Roman" w:hAnsi="Times New Roman" w:cs="Times New Roman"/>
          <w:lang w:val="fr-FR"/>
        </w:rPr>
        <w:t xml:space="preserve"> </w:t>
      </w:r>
      <w:proofErr w:type="spellStart"/>
      <w:r w:rsidR="00174969" w:rsidRPr="007B7071">
        <w:rPr>
          <w:rFonts w:ascii="Times New Roman" w:hAnsi="Times New Roman" w:cs="Times New Roman"/>
          <w:lang w:val="fr-FR"/>
        </w:rPr>
        <w:t>Fifteenth</w:t>
      </w:r>
      <w:proofErr w:type="spellEnd"/>
      <w:r w:rsidR="00174969" w:rsidRPr="007B7071">
        <w:rPr>
          <w:rFonts w:ascii="Times New Roman" w:hAnsi="Times New Roman" w:cs="Times New Roman"/>
          <w:lang w:val="fr-FR"/>
        </w:rPr>
        <w:t xml:space="preserve"> Century</w:t>
      </w:r>
      <w:r w:rsidR="009155E6">
        <w:rPr>
          <w:rFonts w:ascii="Times New Roman" w:hAnsi="Times New Roman" w:cs="Times New Roman"/>
          <w:lang w:val="fr-FR"/>
        </w:rPr>
        <w:t xml:space="preserve"> </w:t>
      </w:r>
      <w:r w:rsidR="00174969" w:rsidRPr="007B7071">
        <w:rPr>
          <w:rFonts w:ascii="Times New Roman" w:hAnsi="Times New Roman" w:cs="Times New Roman"/>
          <w:lang w:val="fr-FR"/>
        </w:rPr>
        <w:t xml:space="preserve">», </w:t>
      </w:r>
      <w:proofErr w:type="spellStart"/>
      <w:r w:rsidR="00174969" w:rsidRPr="007B7071">
        <w:rPr>
          <w:rFonts w:ascii="Times New Roman" w:hAnsi="Times New Roman" w:cs="Times New Roman"/>
          <w:i/>
          <w:iCs/>
          <w:lang w:val="fr-FR"/>
        </w:rPr>
        <w:t>Jahrbuch</w:t>
      </w:r>
      <w:proofErr w:type="spellEnd"/>
      <w:r w:rsidR="00174969" w:rsidRPr="007B7071">
        <w:rPr>
          <w:rFonts w:ascii="Times New Roman" w:hAnsi="Times New Roman" w:cs="Times New Roman"/>
          <w:i/>
          <w:iCs/>
          <w:lang w:val="fr-FR"/>
        </w:rPr>
        <w:t xml:space="preserve"> des Simon-</w:t>
      </w:r>
      <w:proofErr w:type="spellStart"/>
      <w:r w:rsidR="00174969" w:rsidRPr="007B7071">
        <w:rPr>
          <w:rFonts w:ascii="Times New Roman" w:hAnsi="Times New Roman" w:cs="Times New Roman"/>
          <w:i/>
          <w:iCs/>
          <w:lang w:val="fr-FR"/>
        </w:rPr>
        <w:t>Dubnow</w:t>
      </w:r>
      <w:proofErr w:type="spellEnd"/>
      <w:r w:rsidR="00174969" w:rsidRPr="007B7071">
        <w:rPr>
          <w:rFonts w:ascii="Times New Roman" w:hAnsi="Times New Roman" w:cs="Times New Roman"/>
          <w:i/>
          <w:iCs/>
          <w:lang w:val="fr-FR"/>
        </w:rPr>
        <w:t>-Instituts</w:t>
      </w:r>
      <w:r w:rsidR="00174969" w:rsidRPr="007B7071">
        <w:rPr>
          <w:rFonts w:ascii="Times New Roman" w:hAnsi="Times New Roman" w:cs="Times New Roman"/>
          <w:lang w:val="fr-FR"/>
        </w:rPr>
        <w:t>, 8 (2009), p. 213–243</w:t>
      </w:r>
    </w:p>
  </w:footnote>
  <w:footnote w:id="8">
    <w:p w14:paraId="39275236" w14:textId="6D4FA31A" w:rsidR="00224DF1" w:rsidRPr="007B7071" w:rsidRDefault="00224DF1">
      <w:pPr>
        <w:pStyle w:val="Voetnoottekst"/>
        <w:rPr>
          <w:rFonts w:ascii="Times New Roman" w:hAnsi="Times New Roman" w:cs="Times New Roman"/>
          <w:lang w:val="fr-FR"/>
        </w:rPr>
      </w:pPr>
      <w:r w:rsidRPr="007B7071">
        <w:rPr>
          <w:rStyle w:val="Voetnootmarkering"/>
          <w:rFonts w:ascii="Times New Roman" w:hAnsi="Times New Roman" w:cs="Times New Roman"/>
        </w:rPr>
        <w:footnoteRef/>
      </w:r>
      <w:r w:rsidRPr="007B7071">
        <w:rPr>
          <w:rFonts w:ascii="Times New Roman" w:hAnsi="Times New Roman" w:cs="Times New Roman"/>
        </w:rPr>
        <w:t xml:space="preserve"> </w:t>
      </w:r>
      <w:r w:rsidR="00174969" w:rsidRPr="007B7071">
        <w:rPr>
          <w:rFonts w:ascii="Times New Roman" w:hAnsi="Times New Roman" w:cs="Times New Roman"/>
          <w:smallCaps/>
        </w:rPr>
        <w:t>David Berger</w:t>
      </w:r>
      <w:r w:rsidR="00174969" w:rsidRPr="007B7071">
        <w:rPr>
          <w:rFonts w:ascii="Times New Roman" w:hAnsi="Times New Roman" w:cs="Times New Roman"/>
        </w:rPr>
        <w:t xml:space="preserve">, </w:t>
      </w:r>
      <w:r w:rsidR="00174969" w:rsidRPr="007B7071">
        <w:rPr>
          <w:rFonts w:ascii="Times New Roman" w:hAnsi="Times New Roman" w:cs="Times New Roman"/>
          <w:lang w:val="fr-FR"/>
        </w:rPr>
        <w:t>«</w:t>
      </w:r>
      <w:r w:rsidR="009155E6">
        <w:rPr>
          <w:rFonts w:ascii="Times New Roman" w:hAnsi="Times New Roman" w:cs="Times New Roman"/>
          <w:lang w:val="fr-FR"/>
        </w:rPr>
        <w:t xml:space="preserve"> </w:t>
      </w:r>
      <w:r w:rsidR="00174969" w:rsidRPr="007B7071">
        <w:rPr>
          <w:rFonts w:ascii="Times New Roman" w:hAnsi="Times New Roman" w:cs="Times New Roman"/>
        </w:rPr>
        <w:t>Polemic, Exegesis, Philosophy, and Science: On the Tenacity of Ashkenazic Modes of Thought</w:t>
      </w:r>
      <w:r w:rsidR="009155E6">
        <w:rPr>
          <w:rFonts w:ascii="Times New Roman" w:hAnsi="Times New Roman" w:cs="Times New Roman"/>
        </w:rPr>
        <w:t xml:space="preserve"> </w:t>
      </w:r>
      <w:r w:rsidR="00174969" w:rsidRPr="007B7071">
        <w:rPr>
          <w:rFonts w:ascii="Times New Roman" w:hAnsi="Times New Roman" w:cs="Times New Roman"/>
          <w:lang w:val="fr-FR"/>
        </w:rPr>
        <w:t>»</w:t>
      </w:r>
      <w:r w:rsidR="00174969" w:rsidRPr="007B7071">
        <w:rPr>
          <w:rFonts w:ascii="Times New Roman" w:hAnsi="Times New Roman" w:cs="Times New Roman"/>
        </w:rPr>
        <w:t xml:space="preserve">, </w:t>
      </w:r>
      <w:r w:rsidR="00174969" w:rsidRPr="007B7071">
        <w:rPr>
          <w:rFonts w:ascii="Times New Roman" w:hAnsi="Times New Roman" w:cs="Times New Roman"/>
          <w:i/>
          <w:iCs/>
        </w:rPr>
        <w:t>Jahrbuch des Simon-Dubnow-Instituts</w:t>
      </w:r>
      <w:r w:rsidR="00174969" w:rsidRPr="007B7071">
        <w:rPr>
          <w:rFonts w:ascii="Times New Roman" w:hAnsi="Times New Roman" w:cs="Times New Roman"/>
        </w:rPr>
        <w:t xml:space="preserve">, 8 (2009), p. 27–39; against Ephraim Kupfer who proposed a too systematic and widespread use of philosophy amongst Ashkenazi Jews: </w:t>
      </w:r>
      <w:r w:rsidR="00174969" w:rsidRPr="007B7071">
        <w:rPr>
          <w:rFonts w:ascii="Times New Roman" w:hAnsi="Times New Roman" w:cs="Times New Roman"/>
          <w:smallCaps/>
        </w:rPr>
        <w:t>Ephraim Kupfer</w:t>
      </w:r>
      <w:r w:rsidR="00174969" w:rsidRPr="007B7071">
        <w:rPr>
          <w:rFonts w:ascii="Times New Roman" w:hAnsi="Times New Roman" w:cs="Times New Roman"/>
        </w:rPr>
        <w:t xml:space="preserve">, </w:t>
      </w:r>
      <w:r w:rsidR="00174969" w:rsidRPr="007B7071">
        <w:rPr>
          <w:rFonts w:ascii="Times New Roman" w:hAnsi="Times New Roman" w:cs="Times New Roman"/>
          <w:lang w:val="fr-FR"/>
        </w:rPr>
        <w:t>«</w:t>
      </w:r>
      <w:r w:rsidR="009155E6">
        <w:rPr>
          <w:rFonts w:ascii="Times New Roman" w:hAnsi="Times New Roman" w:cs="Times New Roman"/>
          <w:lang w:val="fr-FR"/>
        </w:rPr>
        <w:t xml:space="preserve"> </w:t>
      </w:r>
      <w:r w:rsidR="00174969" w:rsidRPr="007B7071">
        <w:rPr>
          <w:rFonts w:ascii="Times New Roman" w:hAnsi="Times New Roman" w:cs="Times New Roman"/>
        </w:rPr>
        <w:t>Li-demutah ha-tarbutit shel yahadut Ashkenaz we-ḥakhmeiha ba-meʾot ha-14–15 (Concerning the Cultural Image of Ashkenazic Jewry and its Sages in the Fourteenth and Fifteenth Centuries)</w:t>
      </w:r>
      <w:r w:rsidR="009155E6">
        <w:rPr>
          <w:rFonts w:ascii="Times New Roman" w:hAnsi="Times New Roman" w:cs="Times New Roman"/>
        </w:rPr>
        <w:t xml:space="preserve"> </w:t>
      </w:r>
      <w:r w:rsidR="00174969" w:rsidRPr="007B7071">
        <w:rPr>
          <w:rFonts w:ascii="Times New Roman" w:hAnsi="Times New Roman" w:cs="Times New Roman"/>
          <w:lang w:val="fr-FR"/>
        </w:rPr>
        <w:t>»</w:t>
      </w:r>
      <w:r w:rsidR="00174969" w:rsidRPr="007B7071">
        <w:rPr>
          <w:rFonts w:ascii="Times New Roman" w:hAnsi="Times New Roman" w:cs="Times New Roman"/>
        </w:rPr>
        <w:t xml:space="preserve">, </w:t>
      </w:r>
      <w:r w:rsidR="00174969" w:rsidRPr="007B7071">
        <w:rPr>
          <w:rFonts w:ascii="Times New Roman" w:hAnsi="Times New Roman" w:cs="Times New Roman"/>
          <w:i/>
          <w:iCs/>
        </w:rPr>
        <w:t>Tarbiẓ</w:t>
      </w:r>
      <w:r w:rsidR="00174969" w:rsidRPr="007B7071">
        <w:rPr>
          <w:rFonts w:ascii="Times New Roman" w:hAnsi="Times New Roman" w:cs="Times New Roman"/>
        </w:rPr>
        <w:t>, 42 (1973), p. 113–147.</w:t>
      </w:r>
    </w:p>
  </w:footnote>
  <w:footnote w:id="9">
    <w:p w14:paraId="6092DE9C" w14:textId="6243A968" w:rsidR="007B7071" w:rsidRPr="007B7071" w:rsidRDefault="007B7071" w:rsidP="007B7071">
      <w:pPr>
        <w:shd w:val="clear" w:color="auto" w:fill="FFFFFF"/>
        <w:rPr>
          <w:rFonts w:ascii="Times New Roman" w:eastAsia="Times New Roman" w:hAnsi="Times New Roman" w:cs="Times New Roman"/>
          <w:sz w:val="20"/>
          <w:szCs w:val="20"/>
          <w:lang w:eastAsia="nl-NL"/>
        </w:rPr>
      </w:pPr>
      <w:r w:rsidRPr="007B7071">
        <w:rPr>
          <w:rStyle w:val="Voetnootmarkering"/>
          <w:rFonts w:ascii="Times New Roman" w:hAnsi="Times New Roman" w:cs="Times New Roman"/>
          <w:sz w:val="20"/>
          <w:szCs w:val="20"/>
        </w:rPr>
        <w:footnoteRef/>
      </w:r>
      <w:r w:rsidRPr="007B7071">
        <w:rPr>
          <w:rFonts w:ascii="Times New Roman" w:hAnsi="Times New Roman" w:cs="Times New Roman"/>
          <w:sz w:val="20"/>
          <w:szCs w:val="20"/>
        </w:rPr>
        <w:t xml:space="preserve"> </w:t>
      </w:r>
      <w:r w:rsidRPr="007B7071">
        <w:rPr>
          <w:rFonts w:ascii="Times New Roman" w:hAnsi="Times New Roman" w:cs="Times New Roman"/>
          <w:smallCaps/>
          <w:sz w:val="20"/>
          <w:szCs w:val="20"/>
        </w:rPr>
        <w:t>Giuseppe Veltri</w:t>
      </w:r>
      <w:r w:rsidRPr="007B7071">
        <w:rPr>
          <w:rFonts w:ascii="Times New Roman" w:hAnsi="Times New Roman" w:cs="Times New Roman"/>
          <w:sz w:val="20"/>
          <w:szCs w:val="20"/>
        </w:rPr>
        <w:t xml:space="preserve">, </w:t>
      </w:r>
      <w:r w:rsidRPr="007B7071">
        <w:rPr>
          <w:rFonts w:ascii="Times New Roman" w:hAnsi="Times New Roman" w:cs="Times New Roman"/>
          <w:i/>
          <w:iCs/>
          <w:sz w:val="20"/>
          <w:szCs w:val="20"/>
        </w:rPr>
        <w:t>Renaissance Philosophy in Jewish Garb: Foundations and Challenges in Judaism on the Eve of Modernity</w:t>
      </w:r>
      <w:r w:rsidR="002023DF">
        <w:rPr>
          <w:rFonts w:ascii="Times New Roman" w:hAnsi="Times New Roman" w:cs="Times New Roman"/>
          <w:sz w:val="20"/>
          <w:szCs w:val="20"/>
        </w:rPr>
        <w:t>,</w:t>
      </w:r>
      <w:r w:rsidRPr="007B7071">
        <w:rPr>
          <w:rFonts w:ascii="Times New Roman" w:hAnsi="Times New Roman" w:cs="Times New Roman"/>
          <w:sz w:val="20"/>
          <w:szCs w:val="20"/>
        </w:rPr>
        <w:t xml:space="preserve"> Leiden</w:t>
      </w:r>
      <w:r w:rsidR="002023DF">
        <w:rPr>
          <w:rFonts w:ascii="Times New Roman" w:hAnsi="Times New Roman" w:cs="Times New Roman"/>
          <w:sz w:val="20"/>
          <w:szCs w:val="20"/>
        </w:rPr>
        <w:t>,</w:t>
      </w:r>
      <w:r w:rsidRPr="007B7071">
        <w:rPr>
          <w:rFonts w:ascii="Times New Roman" w:hAnsi="Times New Roman" w:cs="Times New Roman"/>
          <w:sz w:val="20"/>
          <w:szCs w:val="20"/>
        </w:rPr>
        <w:t xml:space="preserve"> Brill 2009</w:t>
      </w:r>
      <w:r w:rsidR="002023DF">
        <w:rPr>
          <w:rFonts w:ascii="Times New Roman" w:hAnsi="Times New Roman" w:cs="Times New Roman"/>
          <w:sz w:val="20"/>
          <w:szCs w:val="20"/>
        </w:rPr>
        <w:t xml:space="preserve"> </w:t>
      </w:r>
      <w:r w:rsidR="002023DF" w:rsidRPr="007B7071">
        <w:rPr>
          <w:rFonts w:ascii="Times New Roman" w:hAnsi="Times New Roman" w:cs="Times New Roman"/>
          <w:sz w:val="20"/>
          <w:szCs w:val="20"/>
        </w:rPr>
        <w:t>(Supplements to The Journal of Jewish Thought and Philosophy, 8)</w:t>
      </w:r>
      <w:r w:rsidRPr="007B7071">
        <w:rPr>
          <w:rFonts w:ascii="Times New Roman" w:hAnsi="Times New Roman" w:cs="Times New Roman"/>
          <w:sz w:val="20"/>
          <w:szCs w:val="20"/>
        </w:rPr>
        <w:t xml:space="preserve">; </w:t>
      </w:r>
      <w:r w:rsidR="00887775" w:rsidRPr="00887775">
        <w:rPr>
          <w:rFonts w:ascii="Times New Roman" w:eastAsia="Times New Roman" w:hAnsi="Times New Roman" w:cs="Times New Roman"/>
          <w:smallCaps/>
          <w:sz w:val="20"/>
          <w:szCs w:val="20"/>
          <w:lang w:eastAsia="nl-NL"/>
        </w:rPr>
        <w:t>Giuseppe Veltri</w:t>
      </w:r>
      <w:r w:rsidRPr="007B7071">
        <w:rPr>
          <w:rFonts w:ascii="Times New Roman" w:eastAsia="Times New Roman" w:hAnsi="Times New Roman" w:cs="Times New Roman"/>
          <w:sz w:val="20"/>
          <w:szCs w:val="20"/>
          <w:lang w:eastAsia="nl-NL"/>
        </w:rPr>
        <w:t xml:space="preserve">, </w:t>
      </w:r>
      <w:r w:rsidRPr="007B7071">
        <w:rPr>
          <w:rFonts w:ascii="Times New Roman" w:eastAsia="Times New Roman" w:hAnsi="Times New Roman" w:cs="Times New Roman"/>
          <w:i/>
          <w:iCs/>
          <w:sz w:val="20"/>
          <w:szCs w:val="20"/>
          <w:lang w:eastAsia="nl-NL"/>
        </w:rPr>
        <w:t>Il  Rinascimento  nel  pensiero  ebraic</w:t>
      </w:r>
      <w:r w:rsidR="002023DF">
        <w:rPr>
          <w:rFonts w:ascii="Times New Roman" w:eastAsia="Times New Roman" w:hAnsi="Times New Roman" w:cs="Times New Roman"/>
          <w:i/>
          <w:iCs/>
          <w:sz w:val="20"/>
          <w:szCs w:val="20"/>
          <w:lang w:eastAsia="nl-NL"/>
        </w:rPr>
        <w:t>o,</w:t>
      </w:r>
      <w:r w:rsidRPr="007B7071">
        <w:rPr>
          <w:rFonts w:ascii="Times New Roman" w:eastAsia="Times New Roman" w:hAnsi="Times New Roman" w:cs="Times New Roman"/>
          <w:sz w:val="20"/>
          <w:szCs w:val="20"/>
          <w:lang w:eastAsia="nl-NL"/>
        </w:rPr>
        <w:t xml:space="preserve"> Paideia, Turin 2020</w:t>
      </w:r>
      <w:r w:rsidR="002023DF">
        <w:rPr>
          <w:rFonts w:ascii="Times New Roman" w:eastAsia="Times New Roman" w:hAnsi="Times New Roman" w:cs="Times New Roman"/>
          <w:sz w:val="20"/>
          <w:szCs w:val="20"/>
          <w:lang w:eastAsia="nl-NL"/>
        </w:rPr>
        <w:t xml:space="preserve"> </w:t>
      </w:r>
      <w:r w:rsidR="002023DF" w:rsidRPr="007B7071">
        <w:rPr>
          <w:rFonts w:ascii="Times New Roman" w:eastAsia="Times New Roman" w:hAnsi="Times New Roman" w:cs="Times New Roman"/>
          <w:sz w:val="20"/>
          <w:szCs w:val="20"/>
          <w:lang w:eastAsia="nl-NL"/>
        </w:rPr>
        <w:t>(Biblioteca  di  Cultura Ebraica Italiana, 3)</w:t>
      </w:r>
      <w:r w:rsidRPr="007B7071">
        <w:rPr>
          <w:rFonts w:ascii="Times New Roman" w:eastAsia="Times New Roman" w:hAnsi="Times New Roman" w:cs="Times New Roman"/>
          <w:sz w:val="20"/>
          <w:szCs w:val="20"/>
          <w:lang w:eastAsia="nl-NL"/>
        </w:rPr>
        <w:t>.</w:t>
      </w:r>
    </w:p>
  </w:footnote>
  <w:footnote w:id="10">
    <w:p w14:paraId="4FAF44C1" w14:textId="5103D324" w:rsidR="007B7071" w:rsidRPr="007B7071" w:rsidRDefault="007B7071" w:rsidP="007B7071">
      <w:pPr>
        <w:rPr>
          <w:rFonts w:ascii="Times New Roman" w:eastAsia="Times New Roman" w:hAnsi="Times New Roman" w:cs="Times New Roman"/>
          <w:sz w:val="20"/>
          <w:szCs w:val="20"/>
          <w:lang w:eastAsia="nl-NL"/>
        </w:rPr>
      </w:pPr>
      <w:r w:rsidRPr="007B7071">
        <w:rPr>
          <w:rStyle w:val="Voetnootmarkering"/>
          <w:rFonts w:ascii="Times New Roman" w:hAnsi="Times New Roman" w:cs="Times New Roman"/>
          <w:sz w:val="20"/>
          <w:szCs w:val="20"/>
        </w:rPr>
        <w:footnoteRef/>
      </w:r>
      <w:r w:rsidRPr="007B7071">
        <w:rPr>
          <w:rFonts w:ascii="Times New Roman" w:hAnsi="Times New Roman" w:cs="Times New Roman"/>
          <w:sz w:val="20"/>
          <w:szCs w:val="20"/>
        </w:rPr>
        <w:t xml:space="preserve">  </w:t>
      </w:r>
      <w:r w:rsidR="00887775" w:rsidRPr="00887775">
        <w:rPr>
          <w:rFonts w:ascii="Times New Roman" w:eastAsia="Times New Roman" w:hAnsi="Times New Roman" w:cs="Times New Roman"/>
          <w:smallCaps/>
          <w:sz w:val="20"/>
          <w:szCs w:val="20"/>
          <w:lang w:eastAsia="nl-NL"/>
        </w:rPr>
        <w:t>Jean-Pierre Rothschild</w:t>
      </w:r>
      <w:r w:rsidRPr="007B7071">
        <w:rPr>
          <w:rFonts w:ascii="Times New Roman" w:eastAsia="Times New Roman" w:hAnsi="Times New Roman" w:cs="Times New Roman"/>
          <w:sz w:val="20"/>
          <w:szCs w:val="20"/>
          <w:lang w:eastAsia="nl-NL"/>
        </w:rPr>
        <w:t xml:space="preserve">, </w:t>
      </w:r>
      <w:r w:rsidRPr="007B7071">
        <w:rPr>
          <w:rFonts w:ascii="Times New Roman" w:eastAsia="Times New Roman" w:hAnsi="Times New Roman" w:cs="Times New Roman"/>
          <w:i/>
          <w:iCs/>
          <w:sz w:val="20"/>
          <w:szCs w:val="20"/>
          <w:lang w:eastAsia="nl-NL"/>
        </w:rPr>
        <w:t>Moise b. Sabbatai, lecteur juif du Livre des causes et adversaire de la Kabbale, enItalie,  vers  1340</w:t>
      </w:r>
      <w:r w:rsidRPr="007B7071">
        <w:rPr>
          <w:rFonts w:ascii="Times New Roman" w:eastAsia="Times New Roman" w:hAnsi="Times New Roman" w:cs="Times New Roman"/>
          <w:sz w:val="20"/>
          <w:szCs w:val="20"/>
          <w:lang w:eastAsia="nl-NL"/>
        </w:rPr>
        <w:t>, Brepols, Turnhout 2018</w:t>
      </w:r>
      <w:r w:rsidR="002023DF">
        <w:rPr>
          <w:rFonts w:ascii="Times New Roman" w:eastAsia="Times New Roman" w:hAnsi="Times New Roman" w:cs="Times New Roman"/>
          <w:sz w:val="20"/>
          <w:szCs w:val="20"/>
          <w:lang w:eastAsia="nl-NL"/>
        </w:rPr>
        <w:t xml:space="preserve"> </w:t>
      </w:r>
      <w:r w:rsidR="002023DF" w:rsidRPr="007B7071">
        <w:rPr>
          <w:rFonts w:ascii="Times New Roman" w:eastAsia="Times New Roman" w:hAnsi="Times New Roman" w:cs="Times New Roman"/>
          <w:sz w:val="20"/>
          <w:szCs w:val="20"/>
          <w:lang w:eastAsia="nl-NL"/>
        </w:rPr>
        <w:t>(Philosophy  in  the  Abrahamic  Traditions  of  the  Middle Ages, 2),</w:t>
      </w:r>
      <w:r w:rsidRPr="007B7071">
        <w:rPr>
          <w:rFonts w:ascii="Times New Roman" w:eastAsia="Times New Roman" w:hAnsi="Times New Roman" w:cs="Times New Roman"/>
          <w:sz w:val="20"/>
          <w:szCs w:val="20"/>
          <w:lang w:eastAsia="nl-NL"/>
        </w:rPr>
        <w:t xml:space="preserve"> p. 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A5690"/>
    <w:multiLevelType w:val="hybridMultilevel"/>
    <w:tmpl w:val="A48AE490"/>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02051F3"/>
    <w:multiLevelType w:val="hybridMultilevel"/>
    <w:tmpl w:val="F5EC295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1803958"/>
    <w:multiLevelType w:val="hybridMultilevel"/>
    <w:tmpl w:val="69508B4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4C94880"/>
    <w:multiLevelType w:val="hybridMultilevel"/>
    <w:tmpl w:val="16A2AF4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B253997"/>
    <w:multiLevelType w:val="hybridMultilevel"/>
    <w:tmpl w:val="670A7E4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51FF7914"/>
    <w:multiLevelType w:val="hybridMultilevel"/>
    <w:tmpl w:val="FDAA2ACA"/>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B7C64EB"/>
    <w:multiLevelType w:val="hybridMultilevel"/>
    <w:tmpl w:val="51BAC63E"/>
    <w:lvl w:ilvl="0" w:tplc="BB3A3F28">
      <w:start w:val="1200"/>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5250543">
    <w:abstractNumId w:val="6"/>
  </w:num>
  <w:num w:numId="2" w16cid:durableId="877088203">
    <w:abstractNumId w:val="2"/>
  </w:num>
  <w:num w:numId="3" w16cid:durableId="1048067220">
    <w:abstractNumId w:val="4"/>
  </w:num>
  <w:num w:numId="4" w16cid:durableId="139153109">
    <w:abstractNumId w:val="1"/>
  </w:num>
  <w:num w:numId="5" w16cid:durableId="1713461160">
    <w:abstractNumId w:val="3"/>
  </w:num>
  <w:num w:numId="6" w16cid:durableId="571887843">
    <w:abstractNumId w:val="0"/>
  </w:num>
  <w:num w:numId="7" w16cid:durableId="89011694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7"/>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1112"/>
    <w:rsid w:val="00013D2A"/>
    <w:rsid w:val="00014654"/>
    <w:rsid w:val="000438A5"/>
    <w:rsid w:val="00085A4B"/>
    <w:rsid w:val="000A2444"/>
    <w:rsid w:val="000B422A"/>
    <w:rsid w:val="000E1EBB"/>
    <w:rsid w:val="00174969"/>
    <w:rsid w:val="002023DF"/>
    <w:rsid w:val="00224DF1"/>
    <w:rsid w:val="00225AAF"/>
    <w:rsid w:val="00234446"/>
    <w:rsid w:val="002A4C2A"/>
    <w:rsid w:val="002D6639"/>
    <w:rsid w:val="0033097B"/>
    <w:rsid w:val="003A5996"/>
    <w:rsid w:val="0045115A"/>
    <w:rsid w:val="00457188"/>
    <w:rsid w:val="004818B7"/>
    <w:rsid w:val="004A5909"/>
    <w:rsid w:val="004B0F9F"/>
    <w:rsid w:val="004F2B82"/>
    <w:rsid w:val="0054651F"/>
    <w:rsid w:val="00594CF8"/>
    <w:rsid w:val="00596575"/>
    <w:rsid w:val="005C34AF"/>
    <w:rsid w:val="00683FD7"/>
    <w:rsid w:val="00727E03"/>
    <w:rsid w:val="00752BFD"/>
    <w:rsid w:val="00762CB0"/>
    <w:rsid w:val="007A3410"/>
    <w:rsid w:val="007A4171"/>
    <w:rsid w:val="007B15BB"/>
    <w:rsid w:val="007B7071"/>
    <w:rsid w:val="007E1C42"/>
    <w:rsid w:val="00887775"/>
    <w:rsid w:val="00903F35"/>
    <w:rsid w:val="009155E6"/>
    <w:rsid w:val="00921112"/>
    <w:rsid w:val="009C40EB"/>
    <w:rsid w:val="009C796A"/>
    <w:rsid w:val="009F3682"/>
    <w:rsid w:val="00A336C9"/>
    <w:rsid w:val="00A62C38"/>
    <w:rsid w:val="00AC61D7"/>
    <w:rsid w:val="00AC68D1"/>
    <w:rsid w:val="00AD3719"/>
    <w:rsid w:val="00BF55B7"/>
    <w:rsid w:val="00C55053"/>
    <w:rsid w:val="00C7079A"/>
    <w:rsid w:val="00C9346E"/>
    <w:rsid w:val="00D01FF9"/>
    <w:rsid w:val="00DC16C3"/>
    <w:rsid w:val="00DD767A"/>
    <w:rsid w:val="00DF6566"/>
    <w:rsid w:val="00E420F9"/>
    <w:rsid w:val="00F11B51"/>
    <w:rsid w:val="00F864FB"/>
    <w:rsid w:val="00FD17C9"/>
  </w:rsids>
  <m:mathPr>
    <m:mathFont m:val="Cambria Math"/>
    <m:brkBin m:val="before"/>
    <m:brkBinSub m:val="--"/>
    <m:smallFrac m:val="0"/>
    <m:dispDef/>
    <m:lMargin m:val="0"/>
    <m:rMargin m:val="0"/>
    <m:defJc m:val="centerGroup"/>
    <m:wrapIndent m:val="1440"/>
    <m:intLim m:val="subSup"/>
    <m:naryLim m:val="undOvr"/>
  </m:mathPr>
  <w:themeFontLang w:val="nl-BE" w:bidi="he-IL"/>
  <w:clrSchemeMapping w:bg1="light1" w:t1="dark1" w:bg2="light2" w:t2="dark2" w:accent1="accent1" w:accent2="accent2" w:accent3="accent3" w:accent4="accent4" w:accent5="accent5" w:accent6="accent6" w:hyperlink="hyperlink" w:followedHyperlink="followedHyperlink"/>
  <w:decimalSymbol w:val=","/>
  <w:listSeparator w:val=";"/>
  <w14:docId w14:val="16A228F3"/>
  <w15:chartTrackingRefBased/>
  <w15:docId w15:val="{4AE429CD-6015-8741-BCD4-1FC9A58793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BE" w:eastAsia="en-US" w:bidi="he-IL"/>
      </w:rPr>
    </w:rPrDefault>
    <w:pPrDefault>
      <w:pPr>
        <w:ind w:firstLine="284"/>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autoRedefine/>
    <w:uiPriority w:val="9"/>
    <w:qFormat/>
    <w:rsid w:val="009C796A"/>
    <w:pPr>
      <w:keepNext/>
      <w:keepLines/>
      <w:spacing w:before="240"/>
      <w:outlineLvl w:val="0"/>
    </w:pPr>
    <w:rPr>
      <w:rFonts w:ascii="Times" w:eastAsiaTheme="majorEastAsia" w:hAnsi="Times" w:cstheme="majorBidi"/>
      <w:smallCaps/>
      <w:color w:val="000000" w:themeColor="text1"/>
      <w:sz w:val="28"/>
      <w:szCs w:val="32"/>
    </w:rPr>
  </w:style>
  <w:style w:type="paragraph" w:styleId="Kop2">
    <w:name w:val="heading 2"/>
    <w:basedOn w:val="Standaard"/>
    <w:next w:val="Standaard"/>
    <w:link w:val="Kop2Char"/>
    <w:autoRedefine/>
    <w:uiPriority w:val="9"/>
    <w:semiHidden/>
    <w:unhideWhenUsed/>
    <w:qFormat/>
    <w:rsid w:val="009C796A"/>
    <w:pPr>
      <w:keepNext/>
      <w:keepLines/>
      <w:spacing w:before="40"/>
      <w:outlineLvl w:val="1"/>
    </w:pPr>
    <w:rPr>
      <w:rFonts w:asciiTheme="majorHAnsi" w:eastAsiaTheme="majorEastAsia" w:hAnsiTheme="majorHAnsi" w:cstheme="majorBidi"/>
      <w:b/>
      <w:color w:val="000000" w:themeColor="text1"/>
      <w:szCs w:val="26"/>
    </w:rPr>
  </w:style>
  <w:style w:type="paragraph" w:styleId="Kop3">
    <w:name w:val="heading 3"/>
    <w:basedOn w:val="Standaard"/>
    <w:next w:val="Standaard"/>
    <w:link w:val="Kop3Char"/>
    <w:uiPriority w:val="9"/>
    <w:semiHidden/>
    <w:unhideWhenUsed/>
    <w:qFormat/>
    <w:rsid w:val="0092111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2111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2111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21112"/>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21112"/>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21112"/>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21112"/>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ijschrift">
    <w:name w:val="caption"/>
    <w:basedOn w:val="Standaard"/>
    <w:next w:val="Standaard"/>
    <w:uiPriority w:val="35"/>
    <w:unhideWhenUsed/>
    <w:qFormat/>
    <w:rsid w:val="00225AAF"/>
    <w:pPr>
      <w:spacing w:after="200"/>
      <w:jc w:val="center"/>
    </w:pPr>
    <w:rPr>
      <w:rFonts w:ascii="Times New Roman" w:hAnsi="Times New Roman"/>
      <w:i/>
      <w:iCs/>
      <w:color w:val="0E2841" w:themeColor="text2"/>
      <w:sz w:val="20"/>
      <w:szCs w:val="18"/>
      <w:lang w:bidi="ar-SA"/>
    </w:rPr>
  </w:style>
  <w:style w:type="character" w:customStyle="1" w:styleId="Kop1Char">
    <w:name w:val="Kop 1 Char"/>
    <w:basedOn w:val="Standaardalinea-lettertype"/>
    <w:link w:val="Kop1"/>
    <w:uiPriority w:val="9"/>
    <w:rsid w:val="009C796A"/>
    <w:rPr>
      <w:rFonts w:ascii="Times" w:eastAsiaTheme="majorEastAsia" w:hAnsi="Times" w:cstheme="majorBidi"/>
      <w:smallCaps/>
      <w:color w:val="000000" w:themeColor="text1"/>
      <w:sz w:val="28"/>
      <w:szCs w:val="32"/>
    </w:rPr>
  </w:style>
  <w:style w:type="character" w:customStyle="1" w:styleId="Kop2Char">
    <w:name w:val="Kop 2 Char"/>
    <w:basedOn w:val="Standaardalinea-lettertype"/>
    <w:link w:val="Kop2"/>
    <w:uiPriority w:val="9"/>
    <w:semiHidden/>
    <w:rsid w:val="009C796A"/>
    <w:rPr>
      <w:rFonts w:asciiTheme="majorHAnsi" w:eastAsiaTheme="majorEastAsia" w:hAnsiTheme="majorHAnsi" w:cstheme="majorBidi"/>
      <w:b/>
      <w:color w:val="000000" w:themeColor="text1"/>
      <w:szCs w:val="26"/>
    </w:rPr>
  </w:style>
  <w:style w:type="character" w:customStyle="1" w:styleId="Kop3Char">
    <w:name w:val="Kop 3 Char"/>
    <w:basedOn w:val="Standaardalinea-lettertype"/>
    <w:link w:val="Kop3"/>
    <w:uiPriority w:val="9"/>
    <w:semiHidden/>
    <w:rsid w:val="0092111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2111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2111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2111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2111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2111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21112"/>
    <w:rPr>
      <w:rFonts w:eastAsiaTheme="majorEastAsia" w:cstheme="majorBidi"/>
      <w:color w:val="272727" w:themeColor="text1" w:themeTint="D8"/>
    </w:rPr>
  </w:style>
  <w:style w:type="paragraph" w:styleId="Titel">
    <w:name w:val="Title"/>
    <w:basedOn w:val="Standaard"/>
    <w:next w:val="Standaard"/>
    <w:link w:val="TitelChar"/>
    <w:uiPriority w:val="10"/>
    <w:qFormat/>
    <w:rsid w:val="00921112"/>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2111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21112"/>
    <w:pPr>
      <w:numPr>
        <w:ilvl w:val="1"/>
      </w:numPr>
      <w:spacing w:after="160"/>
      <w:ind w:firstLine="284"/>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2111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21112"/>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921112"/>
    <w:rPr>
      <w:i/>
      <w:iCs/>
      <w:color w:val="404040" w:themeColor="text1" w:themeTint="BF"/>
    </w:rPr>
  </w:style>
  <w:style w:type="paragraph" w:styleId="Lijstalinea">
    <w:name w:val="List Paragraph"/>
    <w:basedOn w:val="Standaard"/>
    <w:uiPriority w:val="34"/>
    <w:qFormat/>
    <w:rsid w:val="00921112"/>
    <w:pPr>
      <w:ind w:left="720"/>
      <w:contextualSpacing/>
    </w:pPr>
  </w:style>
  <w:style w:type="character" w:styleId="Intensievebenadrukking">
    <w:name w:val="Intense Emphasis"/>
    <w:basedOn w:val="Standaardalinea-lettertype"/>
    <w:uiPriority w:val="21"/>
    <w:qFormat/>
    <w:rsid w:val="00921112"/>
    <w:rPr>
      <w:i/>
      <w:iCs/>
      <w:color w:val="0F4761" w:themeColor="accent1" w:themeShade="BF"/>
    </w:rPr>
  </w:style>
  <w:style w:type="paragraph" w:styleId="Duidelijkcitaat">
    <w:name w:val="Intense Quote"/>
    <w:basedOn w:val="Standaard"/>
    <w:next w:val="Standaard"/>
    <w:link w:val="DuidelijkcitaatChar"/>
    <w:uiPriority w:val="30"/>
    <w:qFormat/>
    <w:rsid w:val="0092111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21112"/>
    <w:rPr>
      <w:i/>
      <w:iCs/>
      <w:color w:val="0F4761" w:themeColor="accent1" w:themeShade="BF"/>
    </w:rPr>
  </w:style>
  <w:style w:type="character" w:styleId="Intensieveverwijzing">
    <w:name w:val="Intense Reference"/>
    <w:basedOn w:val="Standaardalinea-lettertype"/>
    <w:uiPriority w:val="32"/>
    <w:qFormat/>
    <w:rsid w:val="00921112"/>
    <w:rPr>
      <w:b/>
      <w:bCs/>
      <w:smallCaps/>
      <w:color w:val="0F4761" w:themeColor="accent1" w:themeShade="BF"/>
      <w:spacing w:val="5"/>
    </w:rPr>
  </w:style>
  <w:style w:type="paragraph" w:customStyle="1" w:styleId="wp-block-paragraph">
    <w:name w:val="wp-block-paragraph"/>
    <w:basedOn w:val="Standaard"/>
    <w:rsid w:val="00921112"/>
    <w:pPr>
      <w:spacing w:before="100" w:beforeAutospacing="1" w:after="100" w:afterAutospacing="1"/>
      <w:ind w:firstLine="0"/>
      <w:jc w:val="left"/>
    </w:pPr>
    <w:rPr>
      <w:rFonts w:ascii="Times New Roman" w:eastAsia="Times New Roman" w:hAnsi="Times New Roman" w:cs="Times New Roman"/>
      <w:lang w:eastAsia="nl-NL"/>
    </w:rPr>
  </w:style>
  <w:style w:type="character" w:styleId="Zwaar">
    <w:name w:val="Strong"/>
    <w:basedOn w:val="Standaardalinea-lettertype"/>
    <w:uiPriority w:val="22"/>
    <w:qFormat/>
    <w:rsid w:val="00921112"/>
    <w:rPr>
      <w:b/>
      <w:bCs/>
    </w:rPr>
  </w:style>
  <w:style w:type="character" w:customStyle="1" w:styleId="apple-converted-space">
    <w:name w:val="apple-converted-space"/>
    <w:basedOn w:val="Standaardalinea-lettertype"/>
    <w:rsid w:val="00921112"/>
  </w:style>
  <w:style w:type="character" w:styleId="Nadruk">
    <w:name w:val="Emphasis"/>
    <w:basedOn w:val="Standaardalinea-lettertype"/>
    <w:uiPriority w:val="20"/>
    <w:qFormat/>
    <w:rsid w:val="00921112"/>
    <w:rPr>
      <w:i/>
      <w:iCs/>
    </w:rPr>
  </w:style>
  <w:style w:type="paragraph" w:styleId="Normaalweb">
    <w:name w:val="Normal (Web)"/>
    <w:basedOn w:val="Standaard"/>
    <w:uiPriority w:val="99"/>
    <w:unhideWhenUsed/>
    <w:rsid w:val="000A2444"/>
    <w:pPr>
      <w:spacing w:before="100" w:beforeAutospacing="1" w:after="100" w:afterAutospacing="1"/>
      <w:ind w:firstLine="0"/>
      <w:jc w:val="left"/>
    </w:pPr>
    <w:rPr>
      <w:rFonts w:ascii="Times New Roman" w:eastAsia="Times New Roman" w:hAnsi="Times New Roman" w:cs="Times New Roman"/>
      <w:lang w:eastAsia="nl-NL"/>
    </w:rPr>
  </w:style>
  <w:style w:type="character" w:styleId="Hyperlink">
    <w:name w:val="Hyperlink"/>
    <w:basedOn w:val="Standaardalinea-lettertype"/>
    <w:uiPriority w:val="99"/>
    <w:semiHidden/>
    <w:unhideWhenUsed/>
    <w:rsid w:val="000A2444"/>
    <w:rPr>
      <w:color w:val="0000FF"/>
      <w:u w:val="single"/>
    </w:rPr>
  </w:style>
  <w:style w:type="paragraph" w:styleId="Voetnoottekst">
    <w:name w:val="footnote text"/>
    <w:basedOn w:val="Standaard"/>
    <w:link w:val="VoetnoottekstChar"/>
    <w:uiPriority w:val="99"/>
    <w:unhideWhenUsed/>
    <w:rsid w:val="009C40EB"/>
    <w:rPr>
      <w:sz w:val="20"/>
      <w:szCs w:val="20"/>
    </w:rPr>
  </w:style>
  <w:style w:type="character" w:customStyle="1" w:styleId="VoetnoottekstChar">
    <w:name w:val="Voetnoottekst Char"/>
    <w:basedOn w:val="Standaardalinea-lettertype"/>
    <w:link w:val="Voetnoottekst"/>
    <w:uiPriority w:val="99"/>
    <w:rsid w:val="009C40EB"/>
    <w:rPr>
      <w:sz w:val="20"/>
      <w:szCs w:val="20"/>
    </w:rPr>
  </w:style>
  <w:style w:type="character" w:styleId="Voetnootmarkering">
    <w:name w:val="footnote reference"/>
    <w:basedOn w:val="Standaardalinea-lettertype"/>
    <w:uiPriority w:val="99"/>
    <w:semiHidden/>
    <w:unhideWhenUsed/>
    <w:rsid w:val="009C40E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0269A8-A018-254D-9A55-7D92D3309F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359</TotalTime>
  <Pages>5</Pages>
  <Words>2288</Words>
  <Characters>12589</Characters>
  <Application>Microsoft Office Word</Application>
  <DocSecurity>0</DocSecurity>
  <Lines>104</Lines>
  <Paragraphs>29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Ellen De Doncker</dc:creator>
  <cp:keywords/>
  <dc:description/>
  <cp:lastModifiedBy>Ellen De Doncker</cp:lastModifiedBy>
  <cp:revision>17</cp:revision>
  <dcterms:created xsi:type="dcterms:W3CDTF">2026-02-12T19:06:00Z</dcterms:created>
  <dcterms:modified xsi:type="dcterms:W3CDTF">2026-02-17T11:41:00Z</dcterms:modified>
</cp:coreProperties>
</file>