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EACEC" w14:textId="77777777" w:rsidR="00F64D45" w:rsidRPr="00AF1C9D" w:rsidRDefault="00F64D45" w:rsidP="0046648F">
      <w:pPr>
        <w:pStyle w:val="Textbody"/>
        <w:tabs>
          <w:tab w:val="left" w:pos="6465"/>
        </w:tabs>
        <w:spacing w:before="120"/>
        <w:jc w:val="center"/>
        <w:rPr>
          <w:bCs/>
          <w:i/>
          <w:iCs/>
          <w:color w:val="000000"/>
          <w:sz w:val="28"/>
          <w:szCs w:val="28"/>
        </w:rPr>
      </w:pPr>
      <w:r w:rsidRPr="00AF1C9D">
        <w:rPr>
          <w:bCs/>
          <w:i/>
          <w:iCs/>
          <w:color w:val="000000"/>
          <w:sz w:val="28"/>
          <w:szCs w:val="28"/>
        </w:rPr>
        <w:t>Réflexions méthodologiques autour des dieux des Romains :</w:t>
      </w:r>
    </w:p>
    <w:p w14:paraId="3EBCC183" w14:textId="11AB3049" w:rsidR="00F64D45" w:rsidRPr="00AF1C9D" w:rsidRDefault="00983C4A" w:rsidP="0046648F">
      <w:pPr>
        <w:pStyle w:val="Textbody"/>
        <w:tabs>
          <w:tab w:val="left" w:pos="6465"/>
        </w:tabs>
        <w:jc w:val="center"/>
      </w:pPr>
      <w:r>
        <w:rPr>
          <w:bCs/>
          <w:i/>
          <w:color w:val="000000"/>
          <w:sz w:val="28"/>
          <w:szCs w:val="28"/>
          <w:lang w:val="fr-FR"/>
        </w:rPr>
        <w:t>A</w:t>
      </w:r>
      <w:r w:rsidRPr="00AF1C9D">
        <w:rPr>
          <w:bCs/>
          <w:i/>
          <w:color w:val="000000"/>
          <w:sz w:val="28"/>
          <w:szCs w:val="28"/>
          <w:lang w:val="fr-FR"/>
        </w:rPr>
        <w:t>gentivité</w:t>
      </w:r>
      <w:r>
        <w:rPr>
          <w:bCs/>
          <w:i/>
          <w:color w:val="000000"/>
          <w:sz w:val="28"/>
          <w:szCs w:val="28"/>
          <w:lang w:val="fr-FR"/>
        </w:rPr>
        <w:t>, r</w:t>
      </w:r>
      <w:r w:rsidR="00F64D45" w:rsidRPr="00AF1C9D">
        <w:rPr>
          <w:bCs/>
          <w:i/>
          <w:color w:val="000000"/>
          <w:sz w:val="28"/>
          <w:szCs w:val="28"/>
          <w:lang w:val="fr-FR"/>
        </w:rPr>
        <w:t xml:space="preserve">éseaux, </w:t>
      </w:r>
      <w:r w:rsidR="00F64D45">
        <w:rPr>
          <w:bCs/>
          <w:i/>
          <w:color w:val="000000"/>
          <w:sz w:val="28"/>
          <w:szCs w:val="28"/>
          <w:lang w:val="fr-FR"/>
        </w:rPr>
        <w:t>contextes</w:t>
      </w:r>
    </w:p>
    <w:p w14:paraId="6A588804" w14:textId="77777777" w:rsidR="00F64D45" w:rsidRPr="00AF1C9D" w:rsidRDefault="00F64D45" w:rsidP="0046648F">
      <w:pPr>
        <w:pStyle w:val="Standard"/>
        <w:tabs>
          <w:tab w:val="left" w:pos="6465"/>
        </w:tabs>
        <w:spacing w:line="360" w:lineRule="auto"/>
        <w:jc w:val="center"/>
        <w:rPr>
          <w:color w:val="000000"/>
          <w:sz w:val="28"/>
          <w:szCs w:val="28"/>
        </w:rPr>
      </w:pPr>
    </w:p>
    <w:p w14:paraId="616701F4" w14:textId="0505B3A3" w:rsidR="00F64D45" w:rsidRDefault="007D32E2" w:rsidP="0046648F">
      <w:pPr>
        <w:pStyle w:val="Standard"/>
        <w:tabs>
          <w:tab w:val="left" w:pos="6465"/>
        </w:tabs>
        <w:spacing w:line="360" w:lineRule="auto"/>
        <w:jc w:val="center"/>
        <w:rPr>
          <w:bCs/>
          <w:lang w:val="fr-FR"/>
        </w:rPr>
      </w:pPr>
      <w:r>
        <w:rPr>
          <w:color w:val="000000"/>
          <w:sz w:val="28"/>
          <w:szCs w:val="28"/>
        </w:rPr>
        <w:t>D</w:t>
      </w:r>
      <w:r w:rsidR="007B1B14">
        <w:rPr>
          <w:color w:val="000000"/>
          <w:sz w:val="28"/>
          <w:szCs w:val="28"/>
        </w:rPr>
        <w:t xml:space="preserve">ossier d’articles </w:t>
      </w:r>
      <w:r w:rsidR="00472DA2">
        <w:rPr>
          <w:color w:val="000000"/>
          <w:sz w:val="28"/>
          <w:szCs w:val="28"/>
        </w:rPr>
        <w:t>édité</w:t>
      </w:r>
      <w:r w:rsidR="007B1B14">
        <w:rPr>
          <w:color w:val="000000"/>
          <w:sz w:val="28"/>
          <w:szCs w:val="28"/>
        </w:rPr>
        <w:t xml:space="preserve"> par </w:t>
      </w:r>
      <w:r w:rsidR="00F64D45" w:rsidRPr="00C94103">
        <w:rPr>
          <w:color w:val="000000"/>
          <w:sz w:val="28"/>
          <w:szCs w:val="28"/>
        </w:rPr>
        <w:t>Francesca Prescendi (EPHE) et Françoise Van Haeperen (</w:t>
      </w:r>
      <w:r w:rsidR="00F64D45" w:rsidRPr="00AF1C9D">
        <w:rPr>
          <w:bCs/>
          <w:lang w:val="fr-FR"/>
        </w:rPr>
        <w:t>UCLouvain</w:t>
      </w:r>
      <w:r w:rsidR="00F64D45">
        <w:rPr>
          <w:bCs/>
          <w:lang w:val="fr-FR"/>
        </w:rPr>
        <w:t>)</w:t>
      </w:r>
    </w:p>
    <w:p w14:paraId="19576D3B" w14:textId="77777777" w:rsidR="007B1B14" w:rsidRDefault="007B1B14" w:rsidP="0046648F">
      <w:pPr>
        <w:pStyle w:val="Standard"/>
        <w:tabs>
          <w:tab w:val="left" w:pos="6465"/>
        </w:tabs>
        <w:spacing w:line="360" w:lineRule="auto"/>
        <w:jc w:val="both"/>
        <w:rPr>
          <w:color w:val="000000"/>
          <w:sz w:val="28"/>
          <w:szCs w:val="28"/>
        </w:rPr>
      </w:pPr>
    </w:p>
    <w:p w14:paraId="323BC66C" w14:textId="31E2D175" w:rsidR="007B1B14" w:rsidRPr="00C94103" w:rsidRDefault="007B1B14" w:rsidP="0046648F">
      <w:pPr>
        <w:pStyle w:val="Standard"/>
        <w:tabs>
          <w:tab w:val="left" w:pos="6465"/>
        </w:tabs>
        <w:spacing w:line="360" w:lineRule="auto"/>
        <w:jc w:val="both"/>
        <w:rPr>
          <w:color w:val="000000"/>
          <w:sz w:val="28"/>
          <w:szCs w:val="28"/>
        </w:rPr>
      </w:pPr>
      <w:r>
        <w:rPr>
          <w:color w:val="000000"/>
          <w:sz w:val="28"/>
          <w:szCs w:val="28"/>
        </w:rPr>
        <w:t>Avant</w:t>
      </w:r>
      <w:r w:rsidR="0089186F">
        <w:rPr>
          <w:color w:val="000000"/>
          <w:sz w:val="28"/>
          <w:szCs w:val="28"/>
        </w:rPr>
        <w:t>-</w:t>
      </w:r>
      <w:r>
        <w:rPr>
          <w:color w:val="000000"/>
          <w:sz w:val="28"/>
          <w:szCs w:val="28"/>
        </w:rPr>
        <w:t>propos</w:t>
      </w:r>
    </w:p>
    <w:p w14:paraId="69BEC641" w14:textId="77777777" w:rsidR="007B1B14" w:rsidRDefault="007B1B14" w:rsidP="0046648F">
      <w:pPr>
        <w:spacing w:line="360" w:lineRule="auto"/>
      </w:pPr>
    </w:p>
    <w:p w14:paraId="72234DE8" w14:textId="34FC6C16" w:rsidR="00A10396" w:rsidRDefault="00C647F3" w:rsidP="0046648F">
      <w:pPr>
        <w:spacing w:line="360" w:lineRule="auto"/>
      </w:pPr>
      <w:r>
        <w:t xml:space="preserve">Dans le sillage du colloque </w:t>
      </w:r>
      <w:r w:rsidR="00FF216F">
        <w:t>que nous avons</w:t>
      </w:r>
      <w:r>
        <w:t xml:space="preserve"> coorganisé en septembre 2021 sur les </w:t>
      </w:r>
      <w:r>
        <w:rPr>
          <w:i/>
        </w:rPr>
        <w:t>Petits dieux des Romains et leurs voisins</w:t>
      </w:r>
      <w:r>
        <w:t xml:space="preserve">, </w:t>
      </w:r>
      <w:r w:rsidR="00FF216F">
        <w:t>nous avons</w:t>
      </w:r>
      <w:r>
        <w:t xml:space="preserve"> souhaité poursuivre </w:t>
      </w:r>
      <w:r w:rsidR="00FF216F">
        <w:t>les</w:t>
      </w:r>
      <w:r>
        <w:t xml:space="preserve"> réflexion</w:t>
      </w:r>
      <w:r w:rsidR="001704C8">
        <w:t>s méthodologiques</w:t>
      </w:r>
      <w:r>
        <w:t xml:space="preserve"> sur les </w:t>
      </w:r>
      <w:r w:rsidR="008374E7">
        <w:t>divinités romaines</w:t>
      </w:r>
      <w:r>
        <w:t xml:space="preserve">, en intégrant les recherches en cours menées par </w:t>
      </w:r>
      <w:r w:rsidR="00224C3F">
        <w:t>de</w:t>
      </w:r>
      <w:r>
        <w:t xml:space="preserve"> jeunes chercheur.es</w:t>
      </w:r>
      <w:r w:rsidR="00D223E6">
        <w:rPr>
          <w:rStyle w:val="Appelnotedebasdep"/>
        </w:rPr>
        <w:footnoteReference w:id="1"/>
      </w:r>
      <w:r w:rsidR="00C063AC">
        <w:t xml:space="preserve">. </w:t>
      </w:r>
      <w:r w:rsidR="00FF216F">
        <w:t>Nous avons</w:t>
      </w:r>
      <w:r>
        <w:t xml:space="preserve"> ainsi, avec plusieurs autres collègues, organisé deux rencontres qui leur étaient prioritairement destinées.</w:t>
      </w:r>
      <w:r w:rsidR="00446ABF">
        <w:t xml:space="preserve"> Bienvenus après les mois d’isolement dus à la pandémie, ces ateliers avaient une visée pédagogique et se sont déroulés en la présence bienveillante d’un.e aîné.e</w:t>
      </w:r>
      <w:r w:rsidR="00FF216F">
        <w:t xml:space="preserve"> renommé.e</w:t>
      </w:r>
      <w:r w:rsidR="00446ABF">
        <w:t xml:space="preserve">, qui nous a proposé une intervention </w:t>
      </w:r>
      <w:r w:rsidR="00F4700B">
        <w:t>autoréflexive</w:t>
      </w:r>
      <w:r w:rsidR="00446ABF">
        <w:t>.</w:t>
      </w:r>
      <w:r>
        <w:t xml:space="preserve"> </w:t>
      </w:r>
    </w:p>
    <w:p w14:paraId="6657A70E" w14:textId="289C3FCE" w:rsidR="00D404E0" w:rsidRDefault="00971D05" w:rsidP="0046648F">
      <w:pPr>
        <w:spacing w:line="360" w:lineRule="auto"/>
        <w:rPr>
          <w:rFonts w:eastAsia="Times New Roman"/>
          <w:color w:val="000000"/>
          <w:lang w:eastAsia="fr-FR"/>
        </w:rPr>
      </w:pPr>
      <w:r>
        <w:t>L</w:t>
      </w:r>
      <w:r w:rsidR="00C647F3">
        <w:t>e dossier d’articles ici publié</w:t>
      </w:r>
      <w:r>
        <w:t xml:space="preserve"> </w:t>
      </w:r>
      <w:r w:rsidR="00C647F3">
        <w:t>est issu de la première</w:t>
      </w:r>
      <w:r w:rsidR="008374E7">
        <w:t xml:space="preserve"> rencontre</w:t>
      </w:r>
      <w:r w:rsidR="00C063AC">
        <w:t xml:space="preserve">, </w:t>
      </w:r>
      <w:r w:rsidR="00C647F3">
        <w:t>qui a réuni une série de doctorant.es et post-doctorant.es en septembre 2022 à Paris</w:t>
      </w:r>
      <w:r w:rsidR="00446ABF">
        <w:rPr>
          <w:rStyle w:val="Appelnotedebasdep"/>
        </w:rPr>
        <w:footnoteReference w:id="2"/>
      </w:r>
      <w:r w:rsidR="00446ABF">
        <w:t>. John Scheid nous a fait l’honneur d</w:t>
      </w:r>
      <w:r w:rsidR="008374E7">
        <w:t xml:space="preserve">’y </w:t>
      </w:r>
      <w:r w:rsidR="00446ABF">
        <w:t>participer, en retraçant les méandres de son parcours</w:t>
      </w:r>
      <w:r w:rsidR="00FD55A5">
        <w:t xml:space="preserve">. Nous le remercions d’avoir accepté notre proposition de </w:t>
      </w:r>
      <w:r w:rsidR="005404F2">
        <w:t>publier le texte de son intervention, qui clôt le dossier</w:t>
      </w:r>
      <w:r w:rsidR="00446ABF">
        <w:t>.</w:t>
      </w:r>
      <w:r w:rsidR="008374E7">
        <w:t xml:space="preserve"> </w:t>
      </w:r>
      <w:r w:rsidR="00A47D15">
        <w:t xml:space="preserve">La générosité de </w:t>
      </w:r>
      <w:r w:rsidR="00914962">
        <w:t xml:space="preserve">sa contribution </w:t>
      </w:r>
      <w:r w:rsidR="00A47D15">
        <w:t xml:space="preserve"> a impressionné les « jeunes</w:t>
      </w:r>
      <w:r w:rsidR="00F4700B">
        <w:t> »</w:t>
      </w:r>
      <w:r w:rsidR="00A47D15">
        <w:t xml:space="preserve"> chercheurs et chercheuses et a été l’occasion de préciser </w:t>
      </w:r>
      <w:r w:rsidR="009B0D31">
        <w:t>quelques principes de base, qui pourraient paraître bana</w:t>
      </w:r>
      <w:r w:rsidR="00A3084C">
        <w:t>ls</w:t>
      </w:r>
      <w:r w:rsidR="009B0D31">
        <w:t>, mais qu</w:t>
      </w:r>
      <w:r w:rsidR="00A3084C">
        <w:t>i sont de</w:t>
      </w:r>
      <w:r w:rsidR="00A516E8">
        <w:t xml:space="preserve"> véritable</w:t>
      </w:r>
      <w:r w:rsidR="00A3084C">
        <w:t>s piliers de toute recherche scientifique</w:t>
      </w:r>
      <w:r w:rsidR="00A61CBA">
        <w:t>. D</w:t>
      </w:r>
      <w:r w:rsidR="009B0D31">
        <w:t>ans un monde, comme le nôtre, de plus en plus habité par des informations de deuxième main, des</w:t>
      </w:r>
      <w:r w:rsidR="00A61CBA">
        <w:t xml:space="preserve"> jugements superficiels et stéréotypés, il est en effet utile de </w:t>
      </w:r>
      <w:r w:rsidR="008374E7">
        <w:t>rappel</w:t>
      </w:r>
      <w:r w:rsidR="00A61CBA">
        <w:t>er</w:t>
      </w:r>
      <w:r w:rsidR="008374E7">
        <w:t xml:space="preserve"> l’objectif </w:t>
      </w:r>
      <w:r w:rsidR="00224C3F">
        <w:t xml:space="preserve">et les fondements </w:t>
      </w:r>
      <w:r w:rsidR="008374E7">
        <w:t xml:space="preserve">d’une thèse de doctorat : </w:t>
      </w:r>
      <w:r w:rsidR="00446ABF">
        <w:t>« </w:t>
      </w:r>
      <w:r w:rsidR="00446ABF" w:rsidRPr="006B41F7">
        <w:rPr>
          <w:rFonts w:eastAsia="Times New Roman"/>
          <w:color w:val="000000"/>
          <w:lang w:eastAsia="fr-FR"/>
        </w:rPr>
        <w:t xml:space="preserve">quand on fait un travail approfondi comme </w:t>
      </w:r>
      <w:r w:rsidR="00446ABF">
        <w:rPr>
          <w:rFonts w:eastAsia="Times New Roman"/>
          <w:color w:val="000000"/>
          <w:lang w:eastAsia="fr-FR"/>
        </w:rPr>
        <w:t xml:space="preserve">l’est nécessairement </w:t>
      </w:r>
      <w:r w:rsidR="00446ABF" w:rsidRPr="006B41F7">
        <w:rPr>
          <w:rFonts w:eastAsia="Times New Roman"/>
          <w:color w:val="000000"/>
          <w:lang w:eastAsia="fr-FR"/>
        </w:rPr>
        <w:t xml:space="preserve">un doctorat, où l'on doit, non pas résumer ce que d'autres ont dit, </w:t>
      </w:r>
      <w:r w:rsidR="00446ABF" w:rsidRPr="00FE18E8">
        <w:rPr>
          <w:rFonts w:eastAsia="Times New Roman"/>
          <w:lang w:eastAsia="fr-FR"/>
        </w:rPr>
        <w:t>mais produire soi-même du savoir nouveau</w:t>
      </w:r>
      <w:r w:rsidR="00446ABF" w:rsidRPr="006B41F7">
        <w:rPr>
          <w:rFonts w:eastAsia="Times New Roman"/>
          <w:color w:val="000000"/>
          <w:lang w:eastAsia="fr-FR"/>
        </w:rPr>
        <w:t>, il faut commencer par vérifier à fond sa documentation</w:t>
      </w:r>
      <w:r w:rsidR="00446ABF">
        <w:rPr>
          <w:rFonts w:eastAsia="Times New Roman"/>
          <w:color w:val="000000"/>
          <w:lang w:eastAsia="fr-FR"/>
        </w:rPr>
        <w:t> »</w:t>
      </w:r>
      <w:r w:rsidR="00446ABF">
        <w:t>.</w:t>
      </w:r>
      <w:r w:rsidR="008374E7">
        <w:t xml:space="preserve"> </w:t>
      </w:r>
      <w:r w:rsidR="00266779">
        <w:t xml:space="preserve">Le chercheur en herbe ne saisit en effet pas </w:t>
      </w:r>
      <w:r w:rsidR="00266779">
        <w:lastRenderedPageBreak/>
        <w:t xml:space="preserve">d’emblée que le travail le plus </w:t>
      </w:r>
      <w:r w:rsidR="00DC5BC6">
        <w:t>ap</w:t>
      </w:r>
      <w:r w:rsidR="00266779">
        <w:t>profond</w:t>
      </w:r>
      <w:r w:rsidR="00DC5BC6">
        <w:t>i</w:t>
      </w:r>
      <w:r w:rsidR="00266779">
        <w:t xml:space="preserve"> est celui qu’on fait en </w:t>
      </w:r>
      <w:r w:rsidR="00DC5BC6">
        <w:t>solitaire</w:t>
      </w:r>
      <w:r w:rsidR="00266779">
        <w:t xml:space="preserve">, </w:t>
      </w:r>
      <w:r w:rsidR="00B72BD8">
        <w:t>à la recherche des pistes qui seraient resté</w:t>
      </w:r>
      <w:r w:rsidR="00DC5BC6">
        <w:t>e</w:t>
      </w:r>
      <w:r w:rsidR="00B72BD8">
        <w:t>s inexplorées</w:t>
      </w:r>
      <w:r w:rsidR="006D18B8">
        <w:t xml:space="preserve">, comme le disait déjà </w:t>
      </w:r>
      <w:r w:rsidR="00EC5917">
        <w:t xml:space="preserve">Apollon Lycien </w:t>
      </w:r>
      <w:r w:rsidR="000E51AC">
        <w:t>à</w:t>
      </w:r>
      <w:r w:rsidR="006D18B8">
        <w:t xml:space="preserve"> Callimaque</w:t>
      </w:r>
      <w:r w:rsidR="000E51AC">
        <w:t> </w:t>
      </w:r>
      <w:r w:rsidR="006D18B8">
        <w:t xml:space="preserve">: </w:t>
      </w:r>
      <w:r w:rsidR="006D18B8" w:rsidRPr="006D18B8">
        <w:t>«</w:t>
      </w:r>
      <w:r w:rsidR="006D18B8">
        <w:t xml:space="preserve"> </w:t>
      </w:r>
      <w:r w:rsidR="00400B9B">
        <w:t>Je t’ordonne de prendre le chemin qu</w:t>
      </w:r>
      <w:r w:rsidR="00936C83">
        <w:t>e</w:t>
      </w:r>
      <w:r w:rsidR="00400B9B">
        <w:t xml:space="preserve"> ne foulent pas les charriots, ne conduis point ton char sur les traces des autres ni sur la grande route, mais sui</w:t>
      </w:r>
      <w:r w:rsidR="00A24155">
        <w:t>s</w:t>
      </w:r>
      <w:r w:rsidR="00400B9B">
        <w:t xml:space="preserve"> ta voie propre</w:t>
      </w:r>
      <w:r w:rsidR="00A24155">
        <w:t>, si étroite soit-elle</w:t>
      </w:r>
      <w:r w:rsidR="00A516E8">
        <w:t> </w:t>
      </w:r>
      <w:r w:rsidR="006D18B8" w:rsidRPr="006D18B8">
        <w:t>»</w:t>
      </w:r>
      <w:r w:rsidR="006D18B8">
        <w:rPr>
          <w:rStyle w:val="Appelnotedebasdep"/>
        </w:rPr>
        <w:footnoteReference w:id="3"/>
      </w:r>
      <w:r w:rsidR="006D18B8" w:rsidRPr="006D18B8">
        <w:t xml:space="preserve">. </w:t>
      </w:r>
      <w:r w:rsidR="00A24155">
        <w:t>P</w:t>
      </w:r>
      <w:r w:rsidR="002A1180">
        <w:t xml:space="preserve">our obtenir des résultats qui aient une certaine </w:t>
      </w:r>
      <w:r w:rsidR="00DC5BC6">
        <w:t>pertinence</w:t>
      </w:r>
      <w:r w:rsidR="002A1180">
        <w:t xml:space="preserve"> dans le domaine de l’histoire des religions antiques,  </w:t>
      </w:r>
      <w:r w:rsidR="00F1038C">
        <w:t xml:space="preserve">il ne faut pas négliger </w:t>
      </w:r>
      <w:r w:rsidR="008374E7">
        <w:t>« </w:t>
      </w:r>
      <w:r w:rsidR="008374E7">
        <w:rPr>
          <w:rFonts w:eastAsia="Times New Roman"/>
          <w:color w:val="000000"/>
          <w:lang w:eastAsia="fr-FR"/>
        </w:rPr>
        <w:t xml:space="preserve">l’importance qu’il y a à exploiter </w:t>
      </w:r>
      <w:r w:rsidR="008374E7" w:rsidRPr="006B41F7">
        <w:rPr>
          <w:rFonts w:eastAsia="Times New Roman"/>
          <w:i/>
          <w:iCs/>
          <w:color w:val="000000"/>
          <w:lang w:eastAsia="fr-FR"/>
        </w:rPr>
        <w:t>toutes</w:t>
      </w:r>
      <w:r w:rsidR="008374E7" w:rsidRPr="006B41F7">
        <w:rPr>
          <w:rFonts w:eastAsia="Times New Roman"/>
          <w:color w:val="000000"/>
          <w:lang w:eastAsia="fr-FR"/>
        </w:rPr>
        <w:t xml:space="preserve"> les sources</w:t>
      </w:r>
      <w:r w:rsidR="008374E7">
        <w:rPr>
          <w:rFonts w:eastAsia="Times New Roman"/>
          <w:color w:val="000000"/>
          <w:lang w:eastAsia="fr-FR"/>
        </w:rPr>
        <w:t xml:space="preserve"> disponibles </w:t>
      </w:r>
      <w:r w:rsidR="008374E7" w:rsidRPr="006B41F7">
        <w:rPr>
          <w:rFonts w:eastAsia="Times New Roman"/>
          <w:color w:val="000000"/>
          <w:lang w:eastAsia="fr-FR"/>
        </w:rPr>
        <w:t>même s'il faut pour cela acquérir un nouveau savoir</w:t>
      </w:r>
      <w:r w:rsidR="008374E7">
        <w:rPr>
          <w:rFonts w:eastAsia="Times New Roman"/>
          <w:color w:val="000000"/>
          <w:lang w:eastAsia="fr-FR"/>
        </w:rPr>
        <w:t> »</w:t>
      </w:r>
      <w:r w:rsidR="00F1038C">
        <w:rPr>
          <w:rFonts w:eastAsia="Times New Roman"/>
          <w:color w:val="000000"/>
          <w:lang w:eastAsia="fr-FR"/>
        </w:rPr>
        <w:t>, point sur lequel</w:t>
      </w:r>
      <w:r w:rsidR="00F1038C">
        <w:t xml:space="preserve"> John Scheid a également insisté.</w:t>
      </w:r>
    </w:p>
    <w:p w14:paraId="6A709693" w14:textId="476AA61A" w:rsidR="00D404E0" w:rsidRDefault="001704C8" w:rsidP="0046648F">
      <w:pPr>
        <w:spacing w:line="360" w:lineRule="auto"/>
        <w:rPr>
          <w:rFonts w:eastAsia="Times New Roman"/>
          <w:color w:val="000000"/>
          <w:lang w:eastAsia="fr-FR"/>
        </w:rPr>
      </w:pPr>
      <w:r>
        <w:rPr>
          <w:rFonts w:eastAsia="Times New Roman"/>
          <w:color w:val="000000"/>
          <w:lang w:eastAsia="fr-FR"/>
        </w:rPr>
        <w:t>Pour produire du « savoir nouveau »</w:t>
      </w:r>
      <w:r w:rsidR="00D404E0">
        <w:rPr>
          <w:rFonts w:eastAsia="Times New Roman"/>
          <w:color w:val="000000"/>
          <w:lang w:eastAsia="fr-FR"/>
        </w:rPr>
        <w:t xml:space="preserve"> sur les dieux romains</w:t>
      </w:r>
      <w:r>
        <w:rPr>
          <w:rFonts w:eastAsia="Times New Roman"/>
          <w:color w:val="000000"/>
          <w:lang w:eastAsia="fr-FR"/>
        </w:rPr>
        <w:t xml:space="preserve">, les questions de recherche et la méthodologie se révèlent évidemment fondamentales. </w:t>
      </w:r>
      <w:bookmarkStart w:id="0" w:name="_Hlk150009418"/>
      <w:r w:rsidR="00971D05">
        <w:rPr>
          <w:rFonts w:eastAsia="Times New Roman"/>
          <w:color w:val="000000"/>
          <w:lang w:eastAsia="fr-FR"/>
        </w:rPr>
        <w:t>Les</w:t>
      </w:r>
      <w:r>
        <w:rPr>
          <w:rFonts w:eastAsia="Times New Roman"/>
          <w:color w:val="000000"/>
          <w:lang w:eastAsia="fr-FR"/>
        </w:rPr>
        <w:t xml:space="preserve"> </w:t>
      </w:r>
      <w:r w:rsidR="00971D05">
        <w:rPr>
          <w:rFonts w:eastAsia="Times New Roman"/>
          <w:color w:val="000000"/>
          <w:lang w:eastAsia="fr-FR"/>
        </w:rPr>
        <w:t xml:space="preserve">auteur.es des </w:t>
      </w:r>
      <w:r>
        <w:rPr>
          <w:rFonts w:eastAsia="Times New Roman"/>
          <w:color w:val="000000"/>
          <w:lang w:eastAsia="fr-FR"/>
        </w:rPr>
        <w:t xml:space="preserve">articles ici </w:t>
      </w:r>
      <w:r w:rsidR="00971D05">
        <w:rPr>
          <w:rFonts w:eastAsia="Times New Roman"/>
          <w:color w:val="000000"/>
          <w:lang w:eastAsia="fr-FR"/>
        </w:rPr>
        <w:t>publiés</w:t>
      </w:r>
      <w:r>
        <w:rPr>
          <w:rFonts w:eastAsia="Times New Roman"/>
          <w:color w:val="000000"/>
          <w:lang w:eastAsia="fr-FR"/>
        </w:rPr>
        <w:t xml:space="preserve"> explorent des pistes de recherche</w:t>
      </w:r>
      <w:r w:rsidR="007B1B14">
        <w:rPr>
          <w:rFonts w:eastAsia="Times New Roman"/>
          <w:color w:val="000000"/>
          <w:lang w:eastAsia="fr-FR"/>
        </w:rPr>
        <w:t>, parfois expérimentales</w:t>
      </w:r>
      <w:r>
        <w:rPr>
          <w:rFonts w:eastAsia="Times New Roman"/>
          <w:color w:val="000000"/>
          <w:lang w:eastAsia="fr-FR"/>
        </w:rPr>
        <w:t>, en s</w:t>
      </w:r>
      <w:r w:rsidR="00224C3F">
        <w:rPr>
          <w:rFonts w:eastAsia="Times New Roman"/>
          <w:color w:val="000000"/>
          <w:lang w:eastAsia="fr-FR"/>
        </w:rPr>
        <w:t>’appuyant</w:t>
      </w:r>
      <w:r>
        <w:rPr>
          <w:rFonts w:eastAsia="Times New Roman"/>
          <w:color w:val="000000"/>
          <w:lang w:eastAsia="fr-FR"/>
        </w:rPr>
        <w:t xml:space="preserve"> sur la documentation que renouvellent leur</w:t>
      </w:r>
      <w:r w:rsidR="00C31B70">
        <w:rPr>
          <w:rFonts w:eastAsia="Times New Roman"/>
          <w:color w:val="000000"/>
          <w:lang w:eastAsia="fr-FR"/>
        </w:rPr>
        <w:t>s questionnements</w:t>
      </w:r>
      <w:r w:rsidR="007B1B14">
        <w:rPr>
          <w:rFonts w:eastAsia="Times New Roman"/>
          <w:color w:val="000000"/>
          <w:lang w:eastAsia="fr-FR"/>
        </w:rPr>
        <w:t>.</w:t>
      </w:r>
      <w:r w:rsidR="00C31B70">
        <w:rPr>
          <w:rFonts w:eastAsia="Times New Roman"/>
          <w:color w:val="000000"/>
          <w:lang w:eastAsia="fr-FR"/>
        </w:rPr>
        <w:t xml:space="preserve"> </w:t>
      </w:r>
      <w:bookmarkEnd w:id="0"/>
      <w:r w:rsidR="007B1B14">
        <w:rPr>
          <w:rFonts w:eastAsia="Times New Roman"/>
          <w:color w:val="000000"/>
          <w:lang w:eastAsia="fr-FR"/>
        </w:rPr>
        <w:t>L</w:t>
      </w:r>
      <w:r w:rsidR="00C31B70">
        <w:rPr>
          <w:rFonts w:eastAsia="Times New Roman"/>
          <w:color w:val="000000"/>
          <w:lang w:eastAsia="fr-FR"/>
        </w:rPr>
        <w:t>es notions de réseaux et d’agentivité,</w:t>
      </w:r>
      <w:r w:rsidR="00971D05">
        <w:rPr>
          <w:rFonts w:eastAsia="Times New Roman"/>
          <w:color w:val="000000"/>
          <w:lang w:eastAsia="fr-FR"/>
        </w:rPr>
        <w:t xml:space="preserve"> que nous leur avions suggéré de mobiliser</w:t>
      </w:r>
      <w:r w:rsidR="007B1B14">
        <w:rPr>
          <w:rFonts w:eastAsia="Times New Roman"/>
          <w:color w:val="000000"/>
          <w:lang w:eastAsia="fr-FR"/>
        </w:rPr>
        <w:t>, sont au cœur de la plupart des réflexions, tout comme</w:t>
      </w:r>
      <w:r w:rsidR="00C31B70">
        <w:rPr>
          <w:rFonts w:eastAsia="Times New Roman"/>
          <w:color w:val="000000"/>
          <w:lang w:eastAsia="fr-FR"/>
        </w:rPr>
        <w:t xml:space="preserve"> une attention aiguë aux contextes dans lesquels agissent et collaborent les divinités étudiées, à leurs modalités et terrains d’actions</w:t>
      </w:r>
      <w:r w:rsidR="00D404E0">
        <w:rPr>
          <w:rFonts w:eastAsia="Times New Roman"/>
          <w:color w:val="000000"/>
          <w:lang w:eastAsia="fr-FR"/>
        </w:rPr>
        <w:t>, aux diverses facettes de l’identité et des fonctions des dieux</w:t>
      </w:r>
      <w:r w:rsidR="00C31B70">
        <w:rPr>
          <w:rFonts w:eastAsia="Times New Roman"/>
          <w:color w:val="000000"/>
          <w:lang w:eastAsia="fr-FR"/>
        </w:rPr>
        <w:t>.</w:t>
      </w:r>
    </w:p>
    <w:p w14:paraId="0633A97E" w14:textId="4D6C842C" w:rsidR="008374E7" w:rsidRPr="00D427D3" w:rsidRDefault="0019461E" w:rsidP="0046648F">
      <w:pPr>
        <w:spacing w:line="360" w:lineRule="auto"/>
        <w:rPr>
          <w:rFonts w:cstheme="minorHAnsi"/>
        </w:rPr>
      </w:pPr>
      <w:r>
        <w:t xml:space="preserve">Le concept d’agentivité renvoie à l’étude du savant qui l’a appliqué à l’anthropologie, Alfred Gell, dans son étude, </w:t>
      </w:r>
      <w:r w:rsidRPr="0019461E">
        <w:rPr>
          <w:i/>
        </w:rPr>
        <w:t>Art and Agency. An Anthropological Theory</w:t>
      </w:r>
      <w:r>
        <w:t>. L’</w:t>
      </w:r>
      <w:r>
        <w:rPr>
          <w:i/>
        </w:rPr>
        <w:t>agency</w:t>
      </w:r>
      <w:r>
        <w:t xml:space="preserve"> désigne la faculté d'agir, c’est-à-dire la capacité d’intervenir, de modifier, d’influencer une réalité donnée. Cela présuppose un système basé sur des interactions entre différents êtres, objets, puissances. Dans le domaine de la religion, l’agentivité peut être tant celle des humains, qui agissent rituellement pour influencer les dieux, que celle des dieux qui répondent aux invitations des humains en exerçant la fonction qui leur est propre. L’action est en effet une des clés pour comprendre </w:t>
      </w:r>
      <w:r w:rsidR="00635B5D">
        <w:t xml:space="preserve">la relation </w:t>
      </w:r>
      <w:r>
        <w:t xml:space="preserve">entre monde divin et humain. </w:t>
      </w:r>
      <w:r w:rsidR="0068645C">
        <w:t xml:space="preserve">Si </w:t>
      </w:r>
      <w:r w:rsidR="004D6D25">
        <w:t>utiliser le terme</w:t>
      </w:r>
      <w:r w:rsidR="0068645C">
        <w:t xml:space="preserve"> d’</w:t>
      </w:r>
      <w:r w:rsidR="00635B5D">
        <w:t> « </w:t>
      </w:r>
      <w:r w:rsidR="0068645C">
        <w:t>agentivité</w:t>
      </w:r>
      <w:r w:rsidR="00635B5D">
        <w:t> »</w:t>
      </w:r>
      <w:r w:rsidR="0068645C">
        <w:t xml:space="preserve"> pourrait sembler une manière </w:t>
      </w:r>
      <w:r w:rsidR="0068645C" w:rsidRPr="00493226">
        <w:rPr>
          <w:i/>
          <w:iCs/>
        </w:rPr>
        <w:t>etic</w:t>
      </w:r>
      <w:r>
        <w:t xml:space="preserve"> </w:t>
      </w:r>
      <w:r w:rsidR="00DC711B">
        <w:t>d</w:t>
      </w:r>
      <w:r w:rsidR="00875B3C">
        <w:t xml:space="preserve">’approcher le </w:t>
      </w:r>
      <w:r>
        <w:t>système polythéiste romain</w:t>
      </w:r>
      <w:r w:rsidR="00875B3C">
        <w:t xml:space="preserve">, </w:t>
      </w:r>
      <w:r w:rsidR="004D6D25">
        <w:t xml:space="preserve">ce concept est </w:t>
      </w:r>
      <w:r w:rsidR="00875B3C">
        <w:t>a</w:t>
      </w:r>
      <w:r>
        <w:t>u contraire</w:t>
      </w:r>
      <w:r w:rsidR="00493226">
        <w:t xml:space="preserve"> enraciné dans</w:t>
      </w:r>
      <w:r w:rsidR="004D6D25">
        <w:t xml:space="preserve"> la réflexion antique :</w:t>
      </w:r>
      <w:r>
        <w:t xml:space="preserve"> </w:t>
      </w:r>
      <w:r w:rsidR="004701B9">
        <w:t>la capacité d’action des dieux</w:t>
      </w:r>
      <w:r>
        <w:t xml:space="preserve"> </w:t>
      </w:r>
      <w:r w:rsidR="004701B9">
        <w:t>est</w:t>
      </w:r>
      <w:r>
        <w:t xml:space="preserve"> au cœur même des débats entre stoïciens et épicuriens, tels qu’ils sont par exemple rapportés par Cicéron dans le </w:t>
      </w:r>
      <w:r w:rsidRPr="0019461E">
        <w:rPr>
          <w:i/>
        </w:rPr>
        <w:t>De natura deorum</w:t>
      </w:r>
      <w:r>
        <w:t xml:space="preserve"> (1,</w:t>
      </w:r>
      <w:r w:rsidR="00635B5D">
        <w:t xml:space="preserve"> </w:t>
      </w:r>
      <w:r>
        <w:t xml:space="preserve">116). Dans </w:t>
      </w:r>
      <w:r w:rsidR="004701B9">
        <w:t xml:space="preserve">ce </w:t>
      </w:r>
      <w:r>
        <w:t xml:space="preserve">premier livre, le stoïcien </w:t>
      </w:r>
      <w:r w:rsidR="004701B9">
        <w:t xml:space="preserve">questionne </w:t>
      </w:r>
      <w:r>
        <w:t>ainsi l’épicurien</w:t>
      </w:r>
      <w:r w:rsidR="004701B9">
        <w:t> :</w:t>
      </w:r>
      <w:r>
        <w:t xml:space="preserve"> </w:t>
      </w:r>
      <w:r w:rsidR="004701B9">
        <w:t>e</w:t>
      </w:r>
      <w:r>
        <w:t>n supposant que les dieux ne fassent rien et se réjouissent dans leur ataraxie, quel devoir de piété auraient les humains envers eux, dont ils n’auraient jamais rien reçu ? Pourquoi devraient-ils leur rendre un culte ? Pour le stoïcien Balbus en effet, la piété est la justice à l’égard des dieux. Or, se demande-t-il, quel rapport de droit peut-il y avoir entre humains et dieux</w:t>
      </w:r>
      <w:r w:rsidR="00F62D01">
        <w:t xml:space="preserve">, </w:t>
      </w:r>
      <w:r w:rsidR="00493226" w:rsidRPr="00D427D3">
        <w:rPr>
          <w:rFonts w:cstheme="minorHAnsi"/>
          <w:color w:val="000000"/>
          <w:lang w:val="fr-FR"/>
        </w:rPr>
        <w:t>si ceux-ci n’interagissent pas les uns avec les autres</w:t>
      </w:r>
      <w:r w:rsidRPr="00D427D3">
        <w:rPr>
          <w:rFonts w:cstheme="minorHAnsi"/>
        </w:rPr>
        <w:t>?</w:t>
      </w:r>
    </w:p>
    <w:p w14:paraId="0A1EA73D" w14:textId="0C489AF0" w:rsidR="00B808D5" w:rsidRDefault="00525728" w:rsidP="0046648F">
      <w:pPr>
        <w:spacing w:line="360" w:lineRule="auto"/>
      </w:pPr>
      <w:r>
        <w:t xml:space="preserve">Quant à l’outil heuristique de réseau, issu de la sociologie, il permet d’éclairer les systèmes de relations qui unissent les divinités de Rome et du monde romaine et les font interagir – celles-ci forment en </w:t>
      </w:r>
      <w:r>
        <w:lastRenderedPageBreak/>
        <w:t>effet une « société divine »</w:t>
      </w:r>
      <w:r w:rsidRPr="00525728">
        <w:rPr>
          <w:rFonts w:ascii="Cambria" w:hAnsi="Cambria" w:cs="Times New Roman"/>
          <w:sz w:val="24"/>
          <w:szCs w:val="24"/>
        </w:rPr>
        <w:t xml:space="preserve"> </w:t>
      </w:r>
      <w:r w:rsidRPr="000364D2">
        <w:rPr>
          <w:rStyle w:val="Appelnotedebasdep"/>
          <w:rFonts w:ascii="Cambria" w:hAnsi="Cambria" w:cs="Times New Roman"/>
          <w:sz w:val="24"/>
          <w:szCs w:val="24"/>
        </w:rPr>
        <w:footnoteReference w:id="4"/>
      </w:r>
      <w:r>
        <w:t>, comme en tout régime polythéiste</w:t>
      </w:r>
      <w:r>
        <w:rPr>
          <w:rStyle w:val="Appelnotedebasdep"/>
        </w:rPr>
        <w:footnoteReference w:id="5"/>
      </w:r>
      <w:r>
        <w:t>.</w:t>
      </w:r>
      <w:r w:rsidR="006102A8">
        <w:t xml:space="preserve"> Des documents variés, écrits ou figuratifs, connectent plusieurs divinités, « </w:t>
      </w:r>
      <w:r w:rsidR="006102A8" w:rsidRPr="006102A8">
        <w:t>tissant entre elles des liens dynamiques et multidirectionnels et hiérarchisant ou non les nœuds de la section de toile panthéonique qu’elles formen</w:t>
      </w:r>
      <w:r w:rsidR="006102A8">
        <w:t>t »</w:t>
      </w:r>
      <w:r w:rsidR="006102A8">
        <w:rPr>
          <w:rStyle w:val="Appelnotedebasdep"/>
        </w:rPr>
        <w:footnoteReference w:id="6"/>
      </w:r>
      <w:r w:rsidR="006102A8">
        <w:t xml:space="preserve">. La métaphore du réseau présente l’avantage, par rapport au terme « panthéon », de mieux </w:t>
      </w:r>
      <w:r w:rsidR="00962D6B">
        <w:t>refléter</w:t>
      </w:r>
      <w:r w:rsidR="006102A8">
        <w:t xml:space="preserve"> </w:t>
      </w:r>
      <w:r w:rsidR="00962D6B">
        <w:t xml:space="preserve">le </w:t>
      </w:r>
      <w:r w:rsidR="006102A8">
        <w:t>caractère partiel et contextualisé des variétés de configurations divines. Il peut en outre « </w:t>
      </w:r>
      <w:r w:rsidR="006102A8" w:rsidRPr="006102A8">
        <w:t>rendre compte simultanément de la relative stabilité des structures relationnelles entre les dieux, d’une part, et du dynamisme interactionnel qui les fait cependant évoluer en fonction des contextes, d’autre part »</w:t>
      </w:r>
      <w:r w:rsidR="00962D6B">
        <w:rPr>
          <w:rStyle w:val="Appelnotedebasdep"/>
        </w:rPr>
        <w:footnoteReference w:id="7"/>
      </w:r>
      <w:r w:rsidR="006102A8">
        <w:t>.</w:t>
      </w:r>
      <w:r w:rsidR="00F1540A">
        <w:t xml:space="preserve"> Toute configuration divine, qu’elle soit ancrée dans la durée ou conjoncturelle, qu’elle se révèle verticale</w:t>
      </w:r>
      <w:r w:rsidR="002C4268">
        <w:t xml:space="preserve"> ou horizontale, organisée selon des principes de</w:t>
      </w:r>
      <w:r w:rsidR="00F1540A">
        <w:t xml:space="preserve"> hiérarchie ou de complémentarité, doit en effet être étudiée dans son contexte</w:t>
      </w:r>
      <w:r w:rsidR="002C4268">
        <w:t xml:space="preserve">. </w:t>
      </w:r>
      <w:r w:rsidR="00AE2296">
        <w:t xml:space="preserve">Comme l’écrit C. Bonnet à propos du polythéisme grec, </w:t>
      </w:r>
      <w:r w:rsidR="002C4268">
        <w:t>« </w:t>
      </w:r>
      <w:r w:rsidR="00AE2296">
        <w:t>d</w:t>
      </w:r>
      <w:r w:rsidR="002C4268" w:rsidRPr="002C4268">
        <w:t xml:space="preserve">ans des </w:t>
      </w:r>
      <w:r w:rsidR="00AE2296">
        <w:t>"</w:t>
      </w:r>
      <w:r w:rsidR="002C4268" w:rsidRPr="002C4268">
        <w:t>religions</w:t>
      </w:r>
      <w:r w:rsidR="00AE2296">
        <w:t>"</w:t>
      </w:r>
      <w:r w:rsidR="002C4268" w:rsidRPr="002C4268">
        <w:t xml:space="preserve"> dépourvues de dogmes et reposant sur une grande variété de pratiques, de stratégies et de dispositifs, bref des systèmes fondés sur la pluralité et le bourgeonnement, toute hiérarchisation est relative et contextuelle. Pour une communauté donnée, plusieurs dieux sont, en même temps et à divers titres, importants, grands, puissants : celle ou celui qui est archégète, ancestral, tutélaire, seigneur  ; celui qui garantit la stabilité ou la fertilité, qui protège les frontières ou les nouveau-nés. Même si, dans l’instantané de l’interaction cultuelle, tel ou tel dieu est </w:t>
      </w:r>
      <w:r w:rsidR="00AE2296">
        <w:t>"</w:t>
      </w:r>
      <w:r w:rsidR="002C4268" w:rsidRPr="002C4268">
        <w:t>le plus grand</w:t>
      </w:r>
      <w:r w:rsidR="00AE2296">
        <w:t>"</w:t>
      </w:r>
      <w:r w:rsidR="002C4268" w:rsidRPr="002C4268">
        <w:t xml:space="preserve">, </w:t>
      </w:r>
      <w:r w:rsidR="00AE2296">
        <w:t>"</w:t>
      </w:r>
      <w:r w:rsidR="002C4268" w:rsidRPr="002C4268">
        <w:t>le plus élevé</w:t>
      </w:r>
      <w:r w:rsidR="00AE2296">
        <w:t>"</w:t>
      </w:r>
      <w:r w:rsidR="002C4268" w:rsidRPr="002C4268">
        <w:t xml:space="preserve">, voir le </w:t>
      </w:r>
      <w:r w:rsidR="00AE2296">
        <w:t>"</w:t>
      </w:r>
      <w:r w:rsidR="002C4268" w:rsidRPr="002C4268">
        <w:t>seul</w:t>
      </w:r>
      <w:r w:rsidR="00AE2296">
        <w:t>"</w:t>
      </w:r>
      <w:r w:rsidR="002C4268" w:rsidRPr="002C4268">
        <w:t xml:space="preserve"> (</w:t>
      </w:r>
      <w:r w:rsidR="002C4268" w:rsidRPr="00AE2296">
        <w:rPr>
          <w:i/>
        </w:rPr>
        <w:t>heis</w:t>
      </w:r>
      <w:r w:rsidR="002C4268" w:rsidRPr="002C4268">
        <w:t>), chacun contribue à l’équilibre du monde et au bien-être des hommes. Chacun, dès lors, doit être honoré »</w:t>
      </w:r>
      <w:r w:rsidR="002C4268">
        <w:rPr>
          <w:rStyle w:val="Appelnotedebasdep"/>
        </w:rPr>
        <w:footnoteReference w:id="8"/>
      </w:r>
      <w:r w:rsidR="002C4268">
        <w:t>.</w:t>
      </w:r>
    </w:p>
    <w:p w14:paraId="59721E0C" w14:textId="5DBC381E" w:rsidR="00173F6D" w:rsidRDefault="006335BF" w:rsidP="0046648F">
      <w:pPr>
        <w:spacing w:line="360" w:lineRule="auto"/>
      </w:pPr>
      <w:r>
        <w:t xml:space="preserve">Enfin, la décision d’ajouter le terme </w:t>
      </w:r>
      <w:r w:rsidR="00376E77">
        <w:t>« </w:t>
      </w:r>
      <w:r>
        <w:t>contexte</w:t>
      </w:r>
      <w:r w:rsidR="00376E77">
        <w:t> »</w:t>
      </w:r>
      <w:r>
        <w:t xml:space="preserve"> dans le titre de ce </w:t>
      </w:r>
      <w:r w:rsidR="000C2254">
        <w:t>dossier</w:t>
      </w:r>
      <w:r>
        <w:t xml:space="preserve"> est due </w:t>
      </w:r>
      <w:r w:rsidR="00376E77">
        <w:t xml:space="preserve">au </w:t>
      </w:r>
      <w:r w:rsidR="00B34CDB">
        <w:t>constat</w:t>
      </w:r>
      <w:r w:rsidR="00376E77">
        <w:t xml:space="preserve"> que nos chercheurs et chercheuses ont </w:t>
      </w:r>
      <w:r w:rsidR="00173F6D">
        <w:t>privilégié</w:t>
      </w:r>
      <w:r w:rsidR="00376E77">
        <w:t xml:space="preserve"> des </w:t>
      </w:r>
      <w:r w:rsidR="00173F6D">
        <w:t xml:space="preserve">espaces définis pour leur enquête. </w:t>
      </w:r>
      <w:r w:rsidR="008D014E">
        <w:t xml:space="preserve">Ils /elles ont choisi de délimiter un contexte topographique, géographique, anthropologique ou social </w:t>
      </w:r>
      <w:r w:rsidR="00815DDC">
        <w:t>dans lequel conduire</w:t>
      </w:r>
      <w:r w:rsidR="008D014E">
        <w:t xml:space="preserve"> </w:t>
      </w:r>
      <w:r w:rsidR="00962D6B">
        <w:t>leur</w:t>
      </w:r>
      <w:r w:rsidR="008D014E">
        <w:t xml:space="preserve"> propre </w:t>
      </w:r>
      <w:r w:rsidR="00B34CDB">
        <w:t>expérimentation</w:t>
      </w:r>
      <w:r w:rsidR="00173F6D">
        <w:t xml:space="preserve"> du polythéisme</w:t>
      </w:r>
      <w:r w:rsidR="006E5591">
        <w:t xml:space="preserve">, ou </w:t>
      </w:r>
      <w:r w:rsidR="00A75606">
        <w:t>mieux</w:t>
      </w:r>
      <w:r w:rsidR="007664F3">
        <w:t xml:space="preserve"> </w:t>
      </w:r>
      <w:r w:rsidR="007664F3">
        <w:softHyphen/>
        <w:t>–</w:t>
      </w:r>
      <w:r w:rsidR="00A75606">
        <w:t xml:space="preserve"> </w:t>
      </w:r>
      <w:r w:rsidR="006E5591">
        <w:t xml:space="preserve">pour reprendre </w:t>
      </w:r>
      <w:r w:rsidR="008D014E">
        <w:t>l</w:t>
      </w:r>
      <w:r w:rsidR="00D67829">
        <w:t>’expression d’un célèbre article de M. Detienne</w:t>
      </w:r>
      <w:r w:rsidR="007664F3">
        <w:t xml:space="preserve"> –</w:t>
      </w:r>
      <w:r w:rsidR="00D67829">
        <w:t xml:space="preserve"> </w:t>
      </w:r>
      <w:r w:rsidR="00A75606">
        <w:t>pour « manipuler »</w:t>
      </w:r>
      <w:r w:rsidR="00D67829">
        <w:t xml:space="preserve"> les puissances divines</w:t>
      </w:r>
      <w:r w:rsidR="00A75606">
        <w:rPr>
          <w:rStyle w:val="Appelnotedebasdep"/>
        </w:rPr>
        <w:footnoteReference w:id="9"/>
      </w:r>
      <w:r w:rsidR="00A75606">
        <w:t xml:space="preserve">. </w:t>
      </w:r>
      <w:r w:rsidR="00173F6D">
        <w:t xml:space="preserve"> </w:t>
      </w:r>
    </w:p>
    <w:p w14:paraId="01CC885F" w14:textId="77777777" w:rsidR="00173F6D" w:rsidRDefault="00173F6D" w:rsidP="0046648F">
      <w:pPr>
        <w:spacing w:line="360" w:lineRule="auto"/>
      </w:pPr>
    </w:p>
    <w:p w14:paraId="44DCB4A7" w14:textId="523E2FD3" w:rsidR="00471083" w:rsidRDefault="00471083" w:rsidP="0046648F">
      <w:pPr>
        <w:spacing w:line="360" w:lineRule="auto"/>
      </w:pPr>
      <w:r>
        <w:t>Les articles rassemblés dans la première partie du dossier sont consacrés à une ou plusieurs divinités, située.s au sein de leur réseau, avec une attention pour leurs modes d’action et leur agentivité.</w:t>
      </w:r>
    </w:p>
    <w:p w14:paraId="2603D670" w14:textId="74450698" w:rsidR="00472DA2" w:rsidRDefault="0073773F" w:rsidP="0046648F">
      <w:pPr>
        <w:spacing w:line="360" w:lineRule="auto"/>
      </w:pPr>
      <w:r>
        <w:t xml:space="preserve">Thomas Combaz étudie la construction d’un Mars augustéen et la </w:t>
      </w:r>
      <w:r w:rsidR="00113B94">
        <w:t>place</w:t>
      </w:r>
      <w:r>
        <w:t xml:space="preserve"> qu’il occupe dans le réseau divin </w:t>
      </w:r>
      <w:r w:rsidR="00113B94">
        <w:t>élaboré par le prince et structuré autour de lui.</w:t>
      </w:r>
      <w:r w:rsidR="00F9229D">
        <w:t xml:space="preserve"> </w:t>
      </w:r>
      <w:r w:rsidR="00DB7F51">
        <w:t>Ginevra Benedetti analyse la formule</w:t>
      </w:r>
      <w:r w:rsidR="00620466">
        <w:t xml:space="preserve"> récurrente </w:t>
      </w:r>
      <w:r w:rsidR="00620466">
        <w:rPr>
          <w:i/>
        </w:rPr>
        <w:lastRenderedPageBreak/>
        <w:t>dii deaeque omnes</w:t>
      </w:r>
      <w:r w:rsidR="00620466">
        <w:t xml:space="preserve"> (tou.tes les dieux et déesses), en prêtant une attention soutenue aux contextes spéci</w:t>
      </w:r>
      <w:r w:rsidR="007407C4">
        <w:t>fi</w:t>
      </w:r>
      <w:r w:rsidR="00620466">
        <w:t>ques, aux agents et aux occasions qui donnent lieu à l’usage de cette unité comprise comme totalité du monde divin.</w:t>
      </w:r>
      <w:r w:rsidR="007407C4">
        <w:t xml:space="preserve"> </w:t>
      </w:r>
      <w:r w:rsidR="00472DA2">
        <w:t xml:space="preserve">Emilie Borron s’interroge sur </w:t>
      </w:r>
      <w:r w:rsidR="00472DA2" w:rsidRPr="00472DA2">
        <w:t xml:space="preserve">l’agentivité du dieu Pan dans le cercle dionysiaque : </w:t>
      </w:r>
      <w:r w:rsidR="00472DA2">
        <w:t>« </w:t>
      </w:r>
      <w:r w:rsidR="00472DA2" w:rsidRPr="00472DA2">
        <w:t>hiérarchie divine, comme on pourrait le postuler, entre une grande divinité et une figure plus modeste ? ou interaction plus complexe, qui donne à Pan un rôle-clef dans le parcours de l’impétrant au culte dionysiaque ?</w:t>
      </w:r>
      <w:r w:rsidR="00472DA2">
        <w:t> ».</w:t>
      </w:r>
    </w:p>
    <w:p w14:paraId="4054E994" w14:textId="40D7354B" w:rsidR="00DB7F51" w:rsidRDefault="00471083" w:rsidP="0046648F">
      <w:pPr>
        <w:spacing w:line="360" w:lineRule="auto"/>
      </w:pPr>
      <w:r>
        <w:t>La deuxième partie du dossier contient des contributions accordant une attention particulière au(x) contexte(s) dans le(s)quel(s) un ou plusieurs dieux sont honorés.</w:t>
      </w:r>
      <w:r w:rsidR="007407C4">
        <w:t xml:space="preserve"> </w:t>
      </w:r>
      <w:r w:rsidR="00C12A18">
        <w:t xml:space="preserve">Aude Durand s’intéresse </w:t>
      </w:r>
      <w:r w:rsidR="009F570B">
        <w:t xml:space="preserve">au </w:t>
      </w:r>
      <w:r w:rsidR="00C12A18">
        <w:t>rôle que remplissent les pratiques religieuses dans la constitution du lien social à l’échelle d’un quartier de Pompéi.</w:t>
      </w:r>
      <w:r w:rsidR="007407C4">
        <w:t xml:space="preserve"> </w:t>
      </w:r>
      <w:r w:rsidR="00C809D9">
        <w:t>Beatrice Lietz se concentre sur la délégation du</w:t>
      </w:r>
      <w:r w:rsidR="000910CC">
        <w:t xml:space="preserve"> collège sacerdotal des décemvirs en Sicile en 133 av. n.è. à la suite de prodige, à une époque de conquête où de nouveaux réseaux et assemblages divins</w:t>
      </w:r>
      <w:r w:rsidR="00C809D9">
        <w:t xml:space="preserve"> </w:t>
      </w:r>
      <w:r w:rsidR="000910CC">
        <w:t>étaient mis en œuvre.</w:t>
      </w:r>
      <w:r w:rsidR="007407C4">
        <w:t xml:space="preserve"> </w:t>
      </w:r>
      <w:r w:rsidR="00DB7F51">
        <w:t>Tiffany Bellon explore en quoi les pratiques cultuelles des Thraces établis dans les provinces de Germanies et de Bretagne sont révélatrices de leurs appartenances multiples, entre intégration locale et globale.</w:t>
      </w:r>
    </w:p>
    <w:p w14:paraId="2DF56FCD" w14:textId="0EBFEDC4" w:rsidR="001E54FC" w:rsidRDefault="001E54FC" w:rsidP="0046648F">
      <w:pPr>
        <w:spacing w:line="360" w:lineRule="auto"/>
      </w:pPr>
      <w:r>
        <w:t>Les articles ici rassemblés témoignent de la recherche en train de se construire, par une nouvelle génération de jeunes chercheur.es qui ont également saisi l’occasion de</w:t>
      </w:r>
      <w:r w:rsidR="007407C4">
        <w:t xml:space="preserve"> ce</w:t>
      </w:r>
      <w:r>
        <w:t>s rencontres pour tisser leurs propres réseaux.</w:t>
      </w:r>
    </w:p>
    <w:p w14:paraId="741141C8" w14:textId="55157DBB" w:rsidR="0022162D" w:rsidRDefault="0022162D" w:rsidP="0046648F">
      <w:pPr>
        <w:spacing w:line="360" w:lineRule="auto"/>
      </w:pPr>
    </w:p>
    <w:p w14:paraId="34855450" w14:textId="29F0D11E" w:rsidR="0022162D" w:rsidRDefault="0022162D" w:rsidP="0009699F">
      <w:pPr>
        <w:spacing w:line="360" w:lineRule="auto"/>
        <w:jc w:val="center"/>
      </w:pPr>
      <w:r>
        <w:t>xxx</w:t>
      </w:r>
    </w:p>
    <w:p w14:paraId="169345AA" w14:textId="353E6CAA" w:rsidR="0022162D" w:rsidRPr="002C4268" w:rsidRDefault="0022162D" w:rsidP="0046648F">
      <w:pPr>
        <w:spacing w:line="360" w:lineRule="auto"/>
      </w:pPr>
      <w:r>
        <w:t xml:space="preserve">Ce dossier et la rencontre dont il est issu ont bénéficié du soutien de plusieurs organismes que nous remercions : </w:t>
      </w:r>
      <w:r w:rsidR="005E582A">
        <w:t xml:space="preserve">la </w:t>
      </w:r>
      <w:r w:rsidR="005E582A" w:rsidRPr="0022162D">
        <w:t>section</w:t>
      </w:r>
      <w:r w:rsidR="005E582A">
        <w:t xml:space="preserve"> de S</w:t>
      </w:r>
      <w:r w:rsidR="005E582A" w:rsidRPr="0022162D">
        <w:t xml:space="preserve">ciences religieuses </w:t>
      </w:r>
      <w:r w:rsidR="005E582A">
        <w:t xml:space="preserve">de </w:t>
      </w:r>
      <w:r w:rsidRPr="0022162D">
        <w:t>l’EPHE</w:t>
      </w:r>
      <w:r w:rsidR="005E582A">
        <w:t>-PSL (École Pratique des Hautes Études, Paris)</w:t>
      </w:r>
      <w:r w:rsidRPr="0022162D">
        <w:t xml:space="preserve">; le laboratoire de recherche ANHIMA </w:t>
      </w:r>
      <w:r w:rsidR="005E582A">
        <w:t xml:space="preserve">(Anthropologie et Histoire des mondes antiques ) </w:t>
      </w:r>
      <w:r w:rsidRPr="0022162D">
        <w:t>UMR8210 ; le Projet FNRS (belge) « Roman Gods’ Networks » ; l’Institut des civilisations arts et lettres, le Centre d’étude des mondes anciens et le Laboratoire de recherches historiques de l’UCLouvain.</w:t>
      </w:r>
    </w:p>
    <w:p w14:paraId="7E430E33" w14:textId="77777777" w:rsidR="000906C7" w:rsidRDefault="000906C7" w:rsidP="0046648F">
      <w:pPr>
        <w:spacing w:line="360" w:lineRule="auto"/>
      </w:pPr>
    </w:p>
    <w:p w14:paraId="059BE131" w14:textId="49312AC8" w:rsidR="00780291" w:rsidRPr="007D32E2" w:rsidRDefault="00780291" w:rsidP="0046648F">
      <w:pPr>
        <w:spacing w:line="360" w:lineRule="auto"/>
        <w:rPr>
          <w:rFonts w:cstheme="minorHAnsi"/>
        </w:rPr>
      </w:pPr>
      <w:r w:rsidRPr="007D32E2">
        <w:rPr>
          <w:rFonts w:cstheme="minorHAnsi"/>
        </w:rPr>
        <w:t>Bibliographie</w:t>
      </w:r>
    </w:p>
    <w:p w14:paraId="4909C2AF" w14:textId="45C2D0B4" w:rsidR="00780291" w:rsidRPr="007D32E2" w:rsidRDefault="00904B9C" w:rsidP="0046648F">
      <w:pPr>
        <w:spacing w:line="360" w:lineRule="auto"/>
        <w:rPr>
          <w:rFonts w:cstheme="minorHAnsi"/>
        </w:rPr>
      </w:pPr>
      <w:r w:rsidRPr="007D32E2">
        <w:rPr>
          <w:rFonts w:cstheme="minorHAnsi"/>
        </w:rPr>
        <w:t xml:space="preserve">Berthelet et Van Haeperen 2021 : </w:t>
      </w:r>
      <w:r w:rsidR="007D4DAB" w:rsidRPr="007D32E2">
        <w:rPr>
          <w:rFonts w:cstheme="minorHAnsi"/>
        </w:rPr>
        <w:t xml:space="preserve">Y. Berthelet, Fr. </w:t>
      </w:r>
      <w:bookmarkStart w:id="2" w:name="_GoBack"/>
      <w:bookmarkEnd w:id="2"/>
      <w:r w:rsidR="007D4DAB" w:rsidRPr="007D32E2">
        <w:rPr>
          <w:rFonts w:cstheme="minorHAnsi"/>
        </w:rPr>
        <w:t xml:space="preserve">Van Haeperen, </w:t>
      </w:r>
      <w:r w:rsidRPr="007D32E2">
        <w:rPr>
          <w:rFonts w:cstheme="minorHAnsi"/>
        </w:rPr>
        <w:t>« </w:t>
      </w:r>
      <w:r w:rsidR="007D4DAB" w:rsidRPr="007D32E2">
        <w:rPr>
          <w:rFonts w:cstheme="minorHAnsi"/>
        </w:rPr>
        <w:t>Une approche renouvelée des dieux de Rome et du monde romain</w:t>
      </w:r>
      <w:r w:rsidRPr="007D32E2">
        <w:rPr>
          <w:rFonts w:cstheme="minorHAnsi"/>
        </w:rPr>
        <w:t> »</w:t>
      </w:r>
      <w:r w:rsidR="007D4DAB" w:rsidRPr="007D32E2">
        <w:rPr>
          <w:rFonts w:cstheme="minorHAnsi"/>
        </w:rPr>
        <w:t xml:space="preserve">, in Y. Berthelet, Fr. Van Haeperen (éd.), </w:t>
      </w:r>
      <w:r w:rsidR="007D4DAB" w:rsidRPr="007D32E2">
        <w:rPr>
          <w:rFonts w:cstheme="minorHAnsi"/>
          <w:i/>
        </w:rPr>
        <w:t>Dieux de Rome et du monde romain en réseaux</w:t>
      </w:r>
      <w:r w:rsidR="007D4DAB" w:rsidRPr="007D32E2">
        <w:rPr>
          <w:rFonts w:cstheme="minorHAnsi"/>
        </w:rPr>
        <w:t>, Bordeaux</w:t>
      </w:r>
      <w:r w:rsidR="0005276D" w:rsidRPr="007D32E2">
        <w:rPr>
          <w:rFonts w:cstheme="minorHAnsi"/>
        </w:rPr>
        <w:t xml:space="preserve"> 2021</w:t>
      </w:r>
      <w:r w:rsidR="007D4DAB" w:rsidRPr="007D32E2">
        <w:rPr>
          <w:rFonts w:cstheme="minorHAnsi"/>
        </w:rPr>
        <w:t>, 7-12.</w:t>
      </w:r>
    </w:p>
    <w:p w14:paraId="6ECAE4D5" w14:textId="63B1F371" w:rsidR="007D4DAB" w:rsidRPr="007D32E2" w:rsidRDefault="00904B9C" w:rsidP="0046648F">
      <w:pPr>
        <w:spacing w:line="360" w:lineRule="auto"/>
        <w:rPr>
          <w:rFonts w:cstheme="minorHAnsi"/>
        </w:rPr>
      </w:pPr>
      <w:r w:rsidRPr="007D32E2">
        <w:rPr>
          <w:rFonts w:cstheme="minorHAnsi"/>
        </w:rPr>
        <w:t xml:space="preserve">Bonnet et Palamidis sous presse : </w:t>
      </w:r>
      <w:r w:rsidR="009C07F7" w:rsidRPr="007D32E2">
        <w:rPr>
          <w:rFonts w:cstheme="minorHAnsi"/>
        </w:rPr>
        <w:t xml:space="preserve">C. </w:t>
      </w:r>
      <w:r w:rsidR="007D4DAB" w:rsidRPr="007D32E2">
        <w:rPr>
          <w:rFonts w:cstheme="minorHAnsi"/>
        </w:rPr>
        <w:t>Bonnet</w:t>
      </w:r>
      <w:r w:rsidR="009C07F7" w:rsidRPr="007D32E2">
        <w:rPr>
          <w:rFonts w:cstheme="minorHAnsi"/>
        </w:rPr>
        <w:t>, A. Palamidis, « Les dieux des petits riens. Réflexions comparatives sur les hiérarchies divines dans les mondes grecs et sémitiques,</w:t>
      </w:r>
      <w:r w:rsidR="007D4DAB" w:rsidRPr="007D32E2">
        <w:rPr>
          <w:rFonts w:cstheme="minorHAnsi"/>
        </w:rPr>
        <w:t xml:space="preserve"> </w:t>
      </w:r>
      <w:r w:rsidRPr="007D32E2">
        <w:rPr>
          <w:rFonts w:cstheme="minorHAnsi"/>
        </w:rPr>
        <w:t>in</w:t>
      </w:r>
      <w:r w:rsidR="007D4DAB" w:rsidRPr="007D32E2">
        <w:rPr>
          <w:rFonts w:cstheme="minorHAnsi"/>
        </w:rPr>
        <w:t xml:space="preserve"> Prescendi</w:t>
      </w:r>
      <w:r w:rsidRPr="007D32E2">
        <w:rPr>
          <w:rFonts w:cstheme="minorHAnsi"/>
        </w:rPr>
        <w:t>,</w:t>
      </w:r>
      <w:r w:rsidR="007D4DAB" w:rsidRPr="007D32E2">
        <w:rPr>
          <w:rFonts w:cstheme="minorHAnsi"/>
        </w:rPr>
        <w:t xml:space="preserve"> Van Haeperen</w:t>
      </w:r>
      <w:r w:rsidR="0005276D" w:rsidRPr="007D32E2">
        <w:rPr>
          <w:rFonts w:cstheme="minorHAnsi"/>
        </w:rPr>
        <w:t xml:space="preserve">, Paris, </w:t>
      </w:r>
      <w:r w:rsidR="007D4DAB" w:rsidRPr="007D32E2">
        <w:rPr>
          <w:rFonts w:cstheme="minorHAnsi"/>
        </w:rPr>
        <w:t>sous presse.</w:t>
      </w:r>
    </w:p>
    <w:p w14:paraId="283EBC8E" w14:textId="663196AD" w:rsidR="007D4DAB" w:rsidRPr="007D32E2" w:rsidRDefault="00904B9C" w:rsidP="0046648F">
      <w:pPr>
        <w:spacing w:line="360" w:lineRule="auto"/>
        <w:rPr>
          <w:rFonts w:cstheme="minorHAnsi"/>
        </w:rPr>
      </w:pPr>
      <w:r w:rsidRPr="007D32E2">
        <w:rPr>
          <w:rFonts w:cstheme="minorHAnsi"/>
        </w:rPr>
        <w:lastRenderedPageBreak/>
        <w:t xml:space="preserve">Detienne 1997 : </w:t>
      </w:r>
      <w:r w:rsidR="007D4DAB" w:rsidRPr="007D32E2">
        <w:rPr>
          <w:rFonts w:cstheme="minorHAnsi"/>
        </w:rPr>
        <w:t>M</w:t>
      </w:r>
      <w:r w:rsidRPr="007D32E2">
        <w:rPr>
          <w:rFonts w:cstheme="minorHAnsi"/>
        </w:rPr>
        <w:t>.</w:t>
      </w:r>
      <w:r w:rsidR="007D4DAB" w:rsidRPr="007D32E2">
        <w:rPr>
          <w:rFonts w:cstheme="minorHAnsi"/>
        </w:rPr>
        <w:t xml:space="preserve"> Detienne, « Expérimenter dans le champ des polythéismes », Kernos [En ligne], 10 | 1997, mis en ligne le 12 avril 2011, consulté le 04 novembre 2023. URL : http://journals.openedition.org/kernos/645 ; DOI : </w:t>
      </w:r>
      <w:hyperlink r:id="rId7" w:history="1">
        <w:r w:rsidR="007D4DAB" w:rsidRPr="007D32E2">
          <w:rPr>
            <w:rStyle w:val="Lienhypertexte"/>
            <w:rFonts w:cstheme="minorHAnsi"/>
          </w:rPr>
          <w:t>https://doi.org/10.4000/kernos.645</w:t>
        </w:r>
      </w:hyperlink>
      <w:r w:rsidRPr="007D32E2">
        <w:rPr>
          <w:rFonts w:cstheme="minorHAnsi"/>
        </w:rPr>
        <w:t>.</w:t>
      </w:r>
    </w:p>
    <w:p w14:paraId="5219803F" w14:textId="220602C0" w:rsidR="000906C7" w:rsidRPr="007D32E2" w:rsidRDefault="00FE18E8" w:rsidP="0046648F">
      <w:pPr>
        <w:spacing w:line="360" w:lineRule="auto"/>
        <w:rPr>
          <w:rFonts w:cstheme="minorHAnsi"/>
        </w:rPr>
      </w:pPr>
      <w:r w:rsidRPr="007D32E2">
        <w:rPr>
          <w:rFonts w:cstheme="minorHAnsi"/>
        </w:rPr>
        <w:t xml:space="preserve">Gell 1998 : </w:t>
      </w:r>
      <w:r w:rsidR="000906C7" w:rsidRPr="007D32E2">
        <w:rPr>
          <w:rFonts w:cstheme="minorHAnsi"/>
        </w:rPr>
        <w:t xml:space="preserve">Gell, A., </w:t>
      </w:r>
      <w:r w:rsidR="000906C7" w:rsidRPr="007D32E2">
        <w:rPr>
          <w:rFonts w:cstheme="minorHAnsi"/>
          <w:i/>
        </w:rPr>
        <w:t>Art and Agency. An Anthropological Theory</w:t>
      </w:r>
      <w:r w:rsidR="000906C7" w:rsidRPr="007D32E2">
        <w:rPr>
          <w:rFonts w:cstheme="minorHAnsi"/>
        </w:rPr>
        <w:t>, Oxford, 1998.</w:t>
      </w:r>
    </w:p>
    <w:p w14:paraId="5FBCE7DE" w14:textId="5B09A040" w:rsidR="003D7185" w:rsidRPr="007D32E2" w:rsidRDefault="00904B9C" w:rsidP="0046648F">
      <w:pPr>
        <w:spacing w:line="360" w:lineRule="auto"/>
        <w:rPr>
          <w:rFonts w:cstheme="minorHAnsi"/>
        </w:rPr>
      </w:pPr>
      <w:r w:rsidRPr="007D32E2">
        <w:rPr>
          <w:rFonts w:cstheme="minorHAnsi"/>
          <w:lang w:val="de-DE"/>
        </w:rPr>
        <w:t>Prescendi</w:t>
      </w:r>
      <w:r w:rsidR="004842B4" w:rsidRPr="007D32E2">
        <w:rPr>
          <w:rFonts w:cstheme="minorHAnsi"/>
          <w:lang w:val="de-DE"/>
        </w:rPr>
        <w:t xml:space="preserve"> et Van Haeperen sous presse: </w:t>
      </w:r>
      <w:r w:rsidR="003D7185" w:rsidRPr="007D32E2">
        <w:rPr>
          <w:rFonts w:cstheme="minorHAnsi"/>
          <w:lang w:val="de-DE"/>
        </w:rPr>
        <w:t xml:space="preserve">Fr. Prescendi, Fr. Van Haeperen (dir.), </w:t>
      </w:r>
      <w:r w:rsidR="003D7185" w:rsidRPr="007D32E2">
        <w:rPr>
          <w:rFonts w:cstheme="minorHAnsi"/>
          <w:bCs/>
          <w:i/>
        </w:rPr>
        <w:t>Petits dieux des Romains et leurs voisins. Enquête comparatiste sur l</w:t>
      </w:r>
      <w:r w:rsidR="004D6799">
        <w:rPr>
          <w:rFonts w:cstheme="minorHAnsi"/>
          <w:bCs/>
          <w:i/>
        </w:rPr>
        <w:t>es</w:t>
      </w:r>
      <w:r w:rsidR="003D7185" w:rsidRPr="007D32E2">
        <w:rPr>
          <w:rFonts w:cstheme="minorHAnsi"/>
          <w:bCs/>
          <w:i/>
        </w:rPr>
        <w:t xml:space="preserve"> hiérarchie</w:t>
      </w:r>
      <w:r w:rsidR="004D6799">
        <w:rPr>
          <w:rFonts w:cstheme="minorHAnsi"/>
          <w:bCs/>
          <w:i/>
        </w:rPr>
        <w:t>s</w:t>
      </w:r>
      <w:r w:rsidR="003D7185" w:rsidRPr="007D32E2">
        <w:rPr>
          <w:rFonts w:cstheme="minorHAnsi"/>
          <w:bCs/>
          <w:i/>
        </w:rPr>
        <w:t xml:space="preserve"> divine</w:t>
      </w:r>
      <w:r w:rsidR="004D6799">
        <w:rPr>
          <w:rFonts w:cstheme="minorHAnsi"/>
          <w:bCs/>
          <w:i/>
        </w:rPr>
        <w:t>s</w:t>
      </w:r>
      <w:r w:rsidR="003D7185" w:rsidRPr="007D32E2">
        <w:rPr>
          <w:rFonts w:cstheme="minorHAnsi"/>
          <w:bCs/>
          <w:i/>
        </w:rPr>
        <w:t xml:space="preserve"> dans les cultures romaines, italiques et grecques</w:t>
      </w:r>
      <w:r w:rsidR="003D7185" w:rsidRPr="007D32E2">
        <w:rPr>
          <w:rFonts w:cstheme="minorHAnsi"/>
          <w:bCs/>
        </w:rPr>
        <w:t>,</w:t>
      </w:r>
      <w:r w:rsidR="004842B4" w:rsidRPr="007D32E2">
        <w:rPr>
          <w:rFonts w:cstheme="minorHAnsi"/>
          <w:bCs/>
        </w:rPr>
        <w:t xml:space="preserve"> Paris</w:t>
      </w:r>
      <w:r w:rsidR="0005276D" w:rsidRPr="007D32E2">
        <w:rPr>
          <w:rFonts w:cstheme="minorHAnsi"/>
          <w:bCs/>
        </w:rPr>
        <w:t>,</w:t>
      </w:r>
      <w:r w:rsidR="004842B4" w:rsidRPr="007D32E2">
        <w:rPr>
          <w:rFonts w:cstheme="minorHAnsi"/>
          <w:bCs/>
        </w:rPr>
        <w:t xml:space="preserve"> sous presse.</w:t>
      </w:r>
    </w:p>
    <w:p w14:paraId="11A559FF" w14:textId="5BA45338" w:rsidR="007D4DAB" w:rsidRPr="007D32E2" w:rsidRDefault="007D4DAB" w:rsidP="0046648F">
      <w:pPr>
        <w:spacing w:line="360" w:lineRule="auto"/>
        <w:rPr>
          <w:rFonts w:cstheme="minorHAnsi"/>
        </w:rPr>
      </w:pPr>
      <w:r w:rsidRPr="007D32E2">
        <w:rPr>
          <w:rFonts w:cstheme="minorHAnsi"/>
        </w:rPr>
        <w:t>Vernant [1966] 1974</w:t>
      </w:r>
      <w:r w:rsidR="006E4F14" w:rsidRPr="007D32E2">
        <w:rPr>
          <w:rFonts w:cstheme="minorHAnsi"/>
        </w:rPr>
        <w:t xml:space="preserve"> : </w:t>
      </w:r>
      <w:r w:rsidR="004842B4" w:rsidRPr="007D32E2">
        <w:rPr>
          <w:rFonts w:cstheme="minorHAnsi"/>
        </w:rPr>
        <w:t xml:space="preserve">J.-P. </w:t>
      </w:r>
      <w:r w:rsidR="006E4F14" w:rsidRPr="007D32E2">
        <w:rPr>
          <w:rFonts w:cstheme="minorHAnsi"/>
        </w:rPr>
        <w:t>Vernant, J.P. [1966] (1974)</w:t>
      </w:r>
      <w:r w:rsidR="004842B4" w:rsidRPr="007D32E2">
        <w:rPr>
          <w:rFonts w:cstheme="minorHAnsi"/>
        </w:rPr>
        <w:t>, « </w:t>
      </w:r>
      <w:r w:rsidR="006E4F14" w:rsidRPr="007D32E2">
        <w:rPr>
          <w:rFonts w:cstheme="minorHAnsi"/>
        </w:rPr>
        <w:t>La société des dieux</w:t>
      </w:r>
      <w:r w:rsidR="004842B4" w:rsidRPr="007D32E2">
        <w:rPr>
          <w:rFonts w:cstheme="minorHAnsi"/>
        </w:rPr>
        <w:t> »</w:t>
      </w:r>
      <w:r w:rsidR="006E4F14" w:rsidRPr="007D32E2">
        <w:rPr>
          <w:rFonts w:cstheme="minorHAnsi"/>
        </w:rPr>
        <w:t xml:space="preserve">, in </w:t>
      </w:r>
      <w:r w:rsidR="004842B4" w:rsidRPr="007D32E2">
        <w:rPr>
          <w:rFonts w:cstheme="minorHAnsi"/>
        </w:rPr>
        <w:t xml:space="preserve">J.-P. </w:t>
      </w:r>
      <w:r w:rsidR="006E4F14" w:rsidRPr="007D32E2">
        <w:rPr>
          <w:rFonts w:cstheme="minorHAnsi"/>
        </w:rPr>
        <w:t>Vernant</w:t>
      </w:r>
      <w:r w:rsidR="004842B4" w:rsidRPr="007D32E2">
        <w:rPr>
          <w:rFonts w:cstheme="minorHAnsi"/>
        </w:rPr>
        <w:t xml:space="preserve">, </w:t>
      </w:r>
      <w:r w:rsidR="006E4F14" w:rsidRPr="007D32E2">
        <w:rPr>
          <w:rFonts w:cstheme="minorHAnsi"/>
          <w:i/>
        </w:rPr>
        <w:t>Mythe et pensée chez les Grecs. Études de psychologie historique. II</w:t>
      </w:r>
      <w:r w:rsidR="006E4F14" w:rsidRPr="007D32E2">
        <w:rPr>
          <w:rFonts w:cstheme="minorHAnsi"/>
        </w:rPr>
        <w:t>, Paris 1980, 103-120.</w:t>
      </w:r>
    </w:p>
    <w:p w14:paraId="392B6C07" w14:textId="77777777" w:rsidR="0046648F" w:rsidRPr="007D32E2" w:rsidRDefault="0046648F">
      <w:pPr>
        <w:spacing w:line="360" w:lineRule="auto"/>
        <w:rPr>
          <w:rFonts w:cstheme="minorHAnsi"/>
        </w:rPr>
      </w:pPr>
    </w:p>
    <w:sectPr w:rsidR="0046648F" w:rsidRPr="007D32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C5A7C" w14:textId="77777777" w:rsidR="001D2E11" w:rsidRDefault="001D2E11" w:rsidP="00D223E6">
      <w:pPr>
        <w:spacing w:after="0" w:line="240" w:lineRule="auto"/>
      </w:pPr>
      <w:r>
        <w:separator/>
      </w:r>
    </w:p>
  </w:endnote>
  <w:endnote w:type="continuationSeparator" w:id="0">
    <w:p w14:paraId="0258E82C" w14:textId="77777777" w:rsidR="001D2E11" w:rsidRDefault="001D2E11" w:rsidP="00D22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D8C12" w14:textId="77777777" w:rsidR="001D2E11" w:rsidRDefault="001D2E11" w:rsidP="00D223E6">
      <w:pPr>
        <w:spacing w:after="0" w:line="240" w:lineRule="auto"/>
      </w:pPr>
      <w:r>
        <w:separator/>
      </w:r>
    </w:p>
  </w:footnote>
  <w:footnote w:type="continuationSeparator" w:id="0">
    <w:p w14:paraId="7162E3DF" w14:textId="77777777" w:rsidR="001D2E11" w:rsidRDefault="001D2E11" w:rsidP="00D223E6">
      <w:pPr>
        <w:spacing w:after="0" w:line="240" w:lineRule="auto"/>
      </w:pPr>
      <w:r>
        <w:continuationSeparator/>
      </w:r>
    </w:p>
  </w:footnote>
  <w:footnote w:id="1">
    <w:p w14:paraId="373233C3" w14:textId="2EB9DC6A" w:rsidR="00D223E6" w:rsidRPr="007407C4" w:rsidRDefault="00D223E6">
      <w:pPr>
        <w:pStyle w:val="Notedebasdepage"/>
        <w:rPr>
          <w:lang w:val="fr-FR"/>
        </w:rPr>
      </w:pPr>
      <w:r w:rsidRPr="007407C4">
        <w:rPr>
          <w:rStyle w:val="Appelnotedebasdep"/>
        </w:rPr>
        <w:footnoteRef/>
      </w:r>
      <w:r w:rsidRPr="007407C4">
        <w:t xml:space="preserve"> Le volume issu de ce colloque est sous presse : </w:t>
      </w:r>
      <w:r w:rsidRPr="007407C4">
        <w:rPr>
          <w:lang w:val="de-DE"/>
        </w:rPr>
        <w:t xml:space="preserve">Prescendi, Van Haeperen </w:t>
      </w:r>
      <w:r w:rsidR="003D7185">
        <w:rPr>
          <w:lang w:val="de-DE"/>
        </w:rPr>
        <w:t>sous presse</w:t>
      </w:r>
      <w:r w:rsidRPr="007407C4">
        <w:t>.</w:t>
      </w:r>
    </w:p>
  </w:footnote>
  <w:footnote w:id="2">
    <w:p w14:paraId="5C11CB11" w14:textId="47F5B7A3" w:rsidR="007B1B14" w:rsidRPr="00914962" w:rsidRDefault="00446ABF">
      <w:pPr>
        <w:pStyle w:val="Notedebasdepage"/>
        <w:rPr>
          <w:color w:val="000000" w:themeColor="text1"/>
          <w:lang w:val="fr-FR"/>
        </w:rPr>
      </w:pPr>
      <w:r w:rsidRPr="00914962">
        <w:rPr>
          <w:rStyle w:val="Appelnotedebasdep"/>
          <w:color w:val="000000" w:themeColor="text1"/>
        </w:rPr>
        <w:footnoteRef/>
      </w:r>
      <w:r w:rsidRPr="00914962">
        <w:rPr>
          <w:color w:val="000000" w:themeColor="text1"/>
        </w:rPr>
        <w:t xml:space="preserve"> </w:t>
      </w:r>
      <w:r w:rsidR="0000308D" w:rsidRPr="00914962">
        <w:rPr>
          <w:color w:val="000000" w:themeColor="text1"/>
        </w:rPr>
        <w:t>L</w:t>
      </w:r>
      <w:r w:rsidR="00DB00CA" w:rsidRPr="00914962">
        <w:rPr>
          <w:color w:val="000000" w:themeColor="text1"/>
        </w:rPr>
        <w:t xml:space="preserve">a </w:t>
      </w:r>
      <w:r w:rsidR="0000308D" w:rsidRPr="00914962">
        <w:rPr>
          <w:color w:val="000000" w:themeColor="text1"/>
        </w:rPr>
        <w:t xml:space="preserve">première rencontre </w:t>
      </w:r>
      <w:r w:rsidR="00DB00CA" w:rsidRPr="00914962">
        <w:rPr>
          <w:color w:val="000000" w:themeColor="text1"/>
        </w:rPr>
        <w:t xml:space="preserve">a été organisé pat </w:t>
      </w:r>
      <w:r w:rsidR="0000308D" w:rsidRPr="00914962">
        <w:rPr>
          <w:color w:val="000000" w:themeColor="text1"/>
        </w:rPr>
        <w:t xml:space="preserve"> </w:t>
      </w:r>
      <w:r w:rsidR="00DB00CA" w:rsidRPr="00914962">
        <w:rPr>
          <w:color w:val="000000" w:themeColor="text1"/>
        </w:rPr>
        <w:t xml:space="preserve">F. Prescendi et F. Van Haeperen </w:t>
      </w:r>
      <w:r w:rsidR="006145FC" w:rsidRPr="00914962">
        <w:rPr>
          <w:color w:val="000000" w:themeColor="text1"/>
        </w:rPr>
        <w:t xml:space="preserve">ainsi que par </w:t>
      </w:r>
      <w:r w:rsidR="00DB00CA" w:rsidRPr="00914962">
        <w:rPr>
          <w:color w:val="000000" w:themeColor="text1"/>
        </w:rPr>
        <w:t xml:space="preserve">le comité scientifique </w:t>
      </w:r>
      <w:r w:rsidRPr="00914962">
        <w:rPr>
          <w:color w:val="000000" w:themeColor="text1"/>
        </w:rPr>
        <w:t>: Yann Berthelet (Université de Liège) ; Gianluca De Sanctis (Université de la Tuscia) ; Sylvia Estienne (ENS-Paris) ; Giorgio Ferri (Université La Sapienza Rome) ; Gabriella Pironti (EPHE) ; Alessandra Rolle (Université de Lausanne)</w:t>
      </w:r>
      <w:r w:rsidR="006145FC" w:rsidRPr="00914962">
        <w:rPr>
          <w:color w:val="000000" w:themeColor="text1"/>
        </w:rPr>
        <w:t> </w:t>
      </w:r>
      <w:r w:rsidRPr="00914962">
        <w:rPr>
          <w:color w:val="000000" w:themeColor="text1"/>
        </w:rPr>
        <w:t>; Stéphanie Wyler (Université Paris Cité).</w:t>
      </w:r>
      <w:r w:rsidR="0000308D" w:rsidRPr="00914962">
        <w:rPr>
          <w:color w:val="000000" w:themeColor="text1"/>
          <w:lang w:val="fr-FR"/>
        </w:rPr>
        <w:t xml:space="preserve"> </w:t>
      </w:r>
      <w:r w:rsidR="007B1B14" w:rsidRPr="00914962">
        <w:rPr>
          <w:color w:val="000000" w:themeColor="text1"/>
          <w:lang w:val="fr-FR"/>
        </w:rPr>
        <w:t>La seconde rencontre</w:t>
      </w:r>
      <w:r w:rsidR="0000308D" w:rsidRPr="00914962">
        <w:rPr>
          <w:color w:val="000000" w:themeColor="text1"/>
          <w:lang w:val="fr-FR"/>
        </w:rPr>
        <w:t>, organisé</w:t>
      </w:r>
      <w:r w:rsidR="00DB00CA" w:rsidRPr="00914962">
        <w:rPr>
          <w:color w:val="000000" w:themeColor="text1"/>
          <w:lang w:val="fr-FR"/>
        </w:rPr>
        <w:t>e</w:t>
      </w:r>
      <w:r w:rsidR="0000308D" w:rsidRPr="00914962">
        <w:rPr>
          <w:color w:val="000000" w:themeColor="text1"/>
          <w:lang w:val="fr-FR"/>
        </w:rPr>
        <w:t xml:space="preserve"> par </w:t>
      </w:r>
      <w:r w:rsidR="00BC7ED0" w:rsidRPr="00914962">
        <w:rPr>
          <w:color w:val="000000" w:themeColor="text1"/>
          <w:lang w:val="fr-FR"/>
        </w:rPr>
        <w:t>Yann Berthelet, Francesco Massa (Université de Turin et Fribourg), Francesca Prescendi</w:t>
      </w:r>
      <w:r w:rsidR="00DB00CA" w:rsidRPr="00914962">
        <w:rPr>
          <w:color w:val="000000" w:themeColor="text1"/>
          <w:lang w:val="fr-FR"/>
        </w:rPr>
        <w:t xml:space="preserve"> et</w:t>
      </w:r>
      <w:r w:rsidR="00BC7ED0" w:rsidRPr="00914962">
        <w:rPr>
          <w:color w:val="000000" w:themeColor="text1"/>
          <w:lang w:val="fr-FR"/>
        </w:rPr>
        <w:t xml:space="preserve"> Françoise Van Haeperen </w:t>
      </w:r>
      <w:r w:rsidR="007B1B14" w:rsidRPr="00914962">
        <w:rPr>
          <w:color w:val="000000" w:themeColor="text1"/>
          <w:lang w:val="fr-FR"/>
        </w:rPr>
        <w:t>a eu lieu en février 2023</w:t>
      </w:r>
      <w:r w:rsidR="00DB00CA" w:rsidRPr="00914962">
        <w:rPr>
          <w:color w:val="000000" w:themeColor="text1"/>
          <w:lang w:val="fr-FR"/>
        </w:rPr>
        <w:t xml:space="preserve"> à Paris</w:t>
      </w:r>
      <w:r w:rsidR="005404F2" w:rsidRPr="00914962">
        <w:rPr>
          <w:color w:val="000000" w:themeColor="text1"/>
          <w:lang w:val="fr-FR"/>
        </w:rPr>
        <w:t>, sous la tutelle bienveillante de Corinne Bonnet</w:t>
      </w:r>
      <w:r w:rsidR="003D7185" w:rsidRPr="00914962">
        <w:rPr>
          <w:color w:val="000000" w:themeColor="text1"/>
          <w:lang w:val="fr-FR"/>
        </w:rPr>
        <w:t xml:space="preserve"> (Université de Toulouse)</w:t>
      </w:r>
      <w:r w:rsidR="005404F2" w:rsidRPr="00914962">
        <w:rPr>
          <w:color w:val="000000" w:themeColor="text1"/>
          <w:lang w:val="fr-FR"/>
        </w:rPr>
        <w:t>,</w:t>
      </w:r>
      <w:r w:rsidR="007B1B14" w:rsidRPr="00914962">
        <w:rPr>
          <w:color w:val="000000" w:themeColor="text1"/>
          <w:lang w:val="fr-FR"/>
        </w:rPr>
        <w:t xml:space="preserve"> et donnera également lieu à </w:t>
      </w:r>
      <w:r w:rsidR="006145FC" w:rsidRPr="00914962">
        <w:rPr>
          <w:color w:val="000000" w:themeColor="text1"/>
          <w:lang w:val="fr-FR"/>
        </w:rPr>
        <w:t xml:space="preserve">la </w:t>
      </w:r>
      <w:r w:rsidR="007B1B14" w:rsidRPr="00914962">
        <w:rPr>
          <w:color w:val="000000" w:themeColor="text1"/>
          <w:lang w:val="fr-FR"/>
        </w:rPr>
        <w:t>publication</w:t>
      </w:r>
      <w:r w:rsidR="006145FC" w:rsidRPr="00914962">
        <w:rPr>
          <w:color w:val="000000" w:themeColor="text1"/>
          <w:lang w:val="fr-FR"/>
        </w:rPr>
        <w:t xml:space="preserve"> d’un choix d’</w:t>
      </w:r>
      <w:r w:rsidR="007B1B14" w:rsidRPr="00914962">
        <w:rPr>
          <w:color w:val="000000" w:themeColor="text1"/>
          <w:lang w:val="fr-FR"/>
        </w:rPr>
        <w:t>articles</w:t>
      </w:r>
      <w:r w:rsidR="006145FC" w:rsidRPr="00914962">
        <w:rPr>
          <w:color w:val="000000" w:themeColor="text1"/>
          <w:lang w:val="fr-FR"/>
        </w:rPr>
        <w:t xml:space="preserve"> dans la revue </w:t>
      </w:r>
      <w:r w:rsidR="006145FC" w:rsidRPr="00914962">
        <w:rPr>
          <w:i/>
          <w:iCs/>
          <w:color w:val="000000" w:themeColor="text1"/>
          <w:lang w:val="fr-FR"/>
        </w:rPr>
        <w:t>Métis</w:t>
      </w:r>
      <w:r w:rsidR="006145FC" w:rsidRPr="00914962">
        <w:rPr>
          <w:color w:val="000000" w:themeColor="text1"/>
          <w:lang w:val="fr-FR"/>
        </w:rPr>
        <w:t xml:space="preserve">. </w:t>
      </w:r>
    </w:p>
  </w:footnote>
  <w:footnote w:id="3">
    <w:p w14:paraId="443F5D4F" w14:textId="3892CC52" w:rsidR="006D18B8" w:rsidRPr="00936C83" w:rsidRDefault="006D18B8" w:rsidP="00493226">
      <w:pPr>
        <w:jc w:val="left"/>
      </w:pPr>
      <w:r w:rsidRPr="00493226">
        <w:rPr>
          <w:rStyle w:val="Appelnotedebasdep"/>
          <w:sz w:val="20"/>
          <w:szCs w:val="20"/>
        </w:rPr>
        <w:footnoteRef/>
      </w:r>
      <w:r w:rsidRPr="00493226">
        <w:rPr>
          <w:sz w:val="20"/>
          <w:szCs w:val="20"/>
        </w:rPr>
        <w:t xml:space="preserve"> </w:t>
      </w:r>
      <w:r w:rsidRPr="00493226">
        <w:rPr>
          <w:sz w:val="20"/>
          <w:szCs w:val="20"/>
          <w:lang w:val="fr-FR"/>
        </w:rPr>
        <w:t xml:space="preserve">Callimaque, </w:t>
      </w:r>
      <w:r w:rsidRPr="00493226">
        <w:rPr>
          <w:i/>
          <w:iCs/>
          <w:sz w:val="20"/>
          <w:szCs w:val="20"/>
          <w:lang w:val="fr-FR"/>
        </w:rPr>
        <w:t>Aitia</w:t>
      </w:r>
      <w:r w:rsidRPr="00493226">
        <w:rPr>
          <w:sz w:val="20"/>
          <w:szCs w:val="20"/>
          <w:lang w:val="fr-FR"/>
        </w:rPr>
        <w:t xml:space="preserve">, </w:t>
      </w:r>
      <w:r w:rsidRPr="00493226">
        <w:rPr>
          <w:i/>
          <w:iCs/>
          <w:sz w:val="20"/>
          <w:szCs w:val="20"/>
          <w:lang w:val="fr-FR"/>
        </w:rPr>
        <w:t>Réponse aux Telchines</w:t>
      </w:r>
      <w:r w:rsidRPr="00493226">
        <w:rPr>
          <w:sz w:val="20"/>
          <w:szCs w:val="20"/>
          <w:lang w:val="fr-FR"/>
        </w:rPr>
        <w:t xml:space="preserve"> </w:t>
      </w:r>
      <w:r w:rsidR="003C3CCD">
        <w:rPr>
          <w:sz w:val="20"/>
          <w:szCs w:val="20"/>
          <w:lang w:val="fr-FR"/>
        </w:rPr>
        <w:t xml:space="preserve">1, </w:t>
      </w:r>
      <w:r w:rsidRPr="00493226">
        <w:rPr>
          <w:sz w:val="20"/>
          <w:szCs w:val="20"/>
          <w:lang w:val="fr-FR"/>
        </w:rPr>
        <w:t>2</w:t>
      </w:r>
      <w:r w:rsidR="003C3CCD">
        <w:rPr>
          <w:sz w:val="20"/>
          <w:szCs w:val="20"/>
          <w:lang w:val="fr-FR"/>
        </w:rPr>
        <w:t>5-28</w:t>
      </w:r>
      <w:r w:rsidRPr="00493226">
        <w:rPr>
          <w:sz w:val="20"/>
          <w:szCs w:val="20"/>
          <w:lang w:val="fr-FR"/>
        </w:rPr>
        <w:t xml:space="preserve">. </w:t>
      </w:r>
    </w:p>
  </w:footnote>
  <w:footnote w:id="4">
    <w:p w14:paraId="60D3701B" w14:textId="7606E1CD" w:rsidR="00525728" w:rsidRPr="007407C4" w:rsidRDefault="00525728" w:rsidP="00525728">
      <w:pPr>
        <w:pStyle w:val="Notedebasdepage"/>
        <w:rPr>
          <w:rFonts w:ascii="Times New Roman" w:hAnsi="Times New Roman"/>
        </w:rPr>
      </w:pPr>
      <w:r w:rsidRPr="007407C4">
        <w:rPr>
          <w:rStyle w:val="Appelnotedebasdep"/>
          <w:rFonts w:ascii="Times New Roman" w:hAnsi="Times New Roman"/>
        </w:rPr>
        <w:footnoteRef/>
      </w:r>
      <w:r w:rsidRPr="007407C4">
        <w:rPr>
          <w:rFonts w:ascii="Times New Roman" w:hAnsi="Times New Roman"/>
        </w:rPr>
        <w:t xml:space="preserve"> Voir Vernant [1966] 1974.</w:t>
      </w:r>
    </w:p>
  </w:footnote>
  <w:footnote w:id="5">
    <w:p w14:paraId="3065EBFB" w14:textId="35CDABC5" w:rsidR="00525728" w:rsidRPr="007407C4" w:rsidRDefault="00525728">
      <w:pPr>
        <w:pStyle w:val="Notedebasdepage"/>
        <w:rPr>
          <w:lang w:val="fr-FR"/>
        </w:rPr>
      </w:pPr>
      <w:r w:rsidRPr="007407C4">
        <w:rPr>
          <w:rStyle w:val="Appelnotedebasdep"/>
        </w:rPr>
        <w:footnoteRef/>
      </w:r>
      <w:r w:rsidRPr="007407C4">
        <w:t xml:space="preserve"> Berthelet </w:t>
      </w:r>
      <w:r w:rsidR="00904B9C">
        <w:t>et</w:t>
      </w:r>
      <w:r w:rsidRPr="007407C4">
        <w:t>Van Haeperen 2021,  7-12 (Scripta Antiqua 141).</w:t>
      </w:r>
    </w:p>
  </w:footnote>
  <w:footnote w:id="6">
    <w:p w14:paraId="5E241013" w14:textId="6D4CB959" w:rsidR="006102A8" w:rsidRPr="00914962" w:rsidRDefault="006102A8">
      <w:pPr>
        <w:pStyle w:val="Notedebasdepage"/>
        <w:rPr>
          <w:lang w:val="fr-FR"/>
        </w:rPr>
      </w:pPr>
      <w:r w:rsidRPr="00914962">
        <w:rPr>
          <w:rStyle w:val="Appelnotedebasdep"/>
        </w:rPr>
        <w:footnoteRef/>
      </w:r>
      <w:r w:rsidRPr="00914962">
        <w:t xml:space="preserve"> </w:t>
      </w:r>
      <w:r w:rsidRPr="00914962">
        <w:rPr>
          <w:lang w:val="fr-FR"/>
        </w:rPr>
        <w:t>Berthelet</w:t>
      </w:r>
      <w:r w:rsidR="003D7185" w:rsidRPr="00914962">
        <w:rPr>
          <w:lang w:val="fr-FR"/>
        </w:rPr>
        <w:t>,</w:t>
      </w:r>
      <w:r w:rsidR="00904B9C" w:rsidRPr="00914962">
        <w:rPr>
          <w:lang w:val="fr-FR"/>
        </w:rPr>
        <w:t xml:space="preserve"> et</w:t>
      </w:r>
      <w:r w:rsidRPr="00914962">
        <w:rPr>
          <w:lang w:val="fr-FR"/>
        </w:rPr>
        <w:t xml:space="preserve"> Van Haeperen, 2021, </w:t>
      </w:r>
      <w:r w:rsidR="00DF503B" w:rsidRPr="00914962">
        <w:rPr>
          <w:lang w:val="fr-FR"/>
        </w:rPr>
        <w:t>8</w:t>
      </w:r>
      <w:r w:rsidR="00DF503B" w:rsidRPr="00914962">
        <w:rPr>
          <w:b/>
          <w:lang w:val="fr-FR"/>
        </w:rPr>
        <w:t xml:space="preserve"> </w:t>
      </w:r>
    </w:p>
  </w:footnote>
  <w:footnote w:id="7">
    <w:p w14:paraId="7A0C0EB0" w14:textId="5C3CE275" w:rsidR="00962D6B" w:rsidRPr="00914962" w:rsidRDefault="00962D6B">
      <w:pPr>
        <w:pStyle w:val="Notedebasdepage"/>
        <w:rPr>
          <w:b/>
          <w:lang w:val="fr-FR"/>
        </w:rPr>
      </w:pPr>
      <w:r w:rsidRPr="00914962">
        <w:rPr>
          <w:rStyle w:val="Appelnotedebasdep"/>
        </w:rPr>
        <w:footnoteRef/>
      </w:r>
      <w:r w:rsidRPr="00914962">
        <w:t xml:space="preserve"> </w:t>
      </w:r>
      <w:r w:rsidRPr="00914962">
        <w:rPr>
          <w:lang w:val="fr-FR"/>
        </w:rPr>
        <w:t>Berthelet</w:t>
      </w:r>
      <w:r w:rsidR="00904B9C" w:rsidRPr="00914962">
        <w:rPr>
          <w:lang w:val="fr-FR"/>
        </w:rPr>
        <w:t xml:space="preserve"> et</w:t>
      </w:r>
      <w:r w:rsidR="003D7185" w:rsidRPr="00914962">
        <w:rPr>
          <w:lang w:val="fr-FR"/>
        </w:rPr>
        <w:t xml:space="preserve"> </w:t>
      </w:r>
      <w:r w:rsidRPr="00914962">
        <w:rPr>
          <w:lang w:val="fr-FR"/>
        </w:rPr>
        <w:t>Van Haeperen, 2021,</w:t>
      </w:r>
      <w:r w:rsidR="00DF503B" w:rsidRPr="00914962">
        <w:rPr>
          <w:lang w:val="fr-FR"/>
        </w:rPr>
        <w:t xml:space="preserve"> 9.</w:t>
      </w:r>
    </w:p>
  </w:footnote>
  <w:footnote w:id="8">
    <w:p w14:paraId="17A0B8DB" w14:textId="336F8697" w:rsidR="002C4268" w:rsidRPr="007407C4" w:rsidRDefault="002C4268">
      <w:pPr>
        <w:pStyle w:val="Notedebasdepage"/>
        <w:rPr>
          <w:lang w:val="fr-FR"/>
        </w:rPr>
      </w:pPr>
      <w:r w:rsidRPr="00914962">
        <w:rPr>
          <w:rStyle w:val="Appelnotedebasdep"/>
        </w:rPr>
        <w:footnoteRef/>
      </w:r>
      <w:r w:rsidRPr="00914962">
        <w:t xml:space="preserve"> </w:t>
      </w:r>
      <w:bookmarkStart w:id="1" w:name="_Hlk149994114"/>
      <w:r w:rsidRPr="00914962">
        <w:rPr>
          <w:lang w:val="fr-FR"/>
        </w:rPr>
        <w:t>Bonnet</w:t>
      </w:r>
      <w:r w:rsidR="00904B9C" w:rsidRPr="00914962">
        <w:rPr>
          <w:lang w:val="fr-FR"/>
        </w:rPr>
        <w:t xml:space="preserve"> et</w:t>
      </w:r>
      <w:r w:rsidR="003D7185" w:rsidRPr="00914962">
        <w:rPr>
          <w:lang w:val="fr-FR"/>
        </w:rPr>
        <w:t xml:space="preserve"> Palamidis</w:t>
      </w:r>
      <w:r w:rsidRPr="00914962">
        <w:rPr>
          <w:lang w:val="fr-FR"/>
        </w:rPr>
        <w:t xml:space="preserve"> sous presse.</w:t>
      </w:r>
      <w:bookmarkEnd w:id="1"/>
    </w:p>
  </w:footnote>
  <w:footnote w:id="9">
    <w:p w14:paraId="5BCF87F8" w14:textId="5803387F" w:rsidR="00A75606" w:rsidRPr="00493226" w:rsidRDefault="00A75606" w:rsidP="00493226">
      <w:pPr>
        <w:spacing w:line="240" w:lineRule="auto"/>
        <w:rPr>
          <w:sz w:val="20"/>
          <w:szCs w:val="20"/>
        </w:rPr>
      </w:pPr>
      <w:r w:rsidRPr="00493226">
        <w:rPr>
          <w:rStyle w:val="Appelnotedebasdep"/>
          <w:sz w:val="20"/>
          <w:szCs w:val="20"/>
        </w:rPr>
        <w:footnoteRef/>
      </w:r>
      <w:r w:rsidRPr="00493226">
        <w:rPr>
          <w:sz w:val="20"/>
          <w:szCs w:val="20"/>
        </w:rPr>
        <w:t xml:space="preserve"> Detienne</w:t>
      </w:r>
      <w:r w:rsidR="00904B9C">
        <w:rPr>
          <w:sz w:val="20"/>
          <w:szCs w:val="20"/>
        </w:rPr>
        <w:t xml:space="preserve"> </w:t>
      </w:r>
      <w:r w:rsidRPr="00493226">
        <w:rPr>
          <w:sz w:val="20"/>
          <w:szCs w:val="20"/>
        </w:rPr>
        <w:t>1997, 71-72</w:t>
      </w:r>
      <w:r w:rsidR="00904B9C">
        <w:rPr>
          <w:sz w:val="20"/>
          <w:szCs w:val="20"/>
        </w:rPr>
        <w:t>.</w:t>
      </w:r>
    </w:p>
    <w:p w14:paraId="102C06C6" w14:textId="43A02423" w:rsidR="00A75606" w:rsidRPr="00493226" w:rsidRDefault="00A75606">
      <w:pPr>
        <w:pStyle w:val="Notedebasdepage"/>
        <w:rPr>
          <w:lang w:val="fr-CH"/>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C3569"/>
    <w:multiLevelType w:val="hybridMultilevel"/>
    <w:tmpl w:val="05EC69EC"/>
    <w:lvl w:ilvl="0" w:tplc="28AA7BAC">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E30"/>
    <w:rsid w:val="0000308D"/>
    <w:rsid w:val="0005276D"/>
    <w:rsid w:val="000906C7"/>
    <w:rsid w:val="000910CC"/>
    <w:rsid w:val="0009699F"/>
    <w:rsid w:val="000A4F1D"/>
    <w:rsid w:val="000C2254"/>
    <w:rsid w:val="000E51AC"/>
    <w:rsid w:val="000E56D0"/>
    <w:rsid w:val="000F3970"/>
    <w:rsid w:val="00113B94"/>
    <w:rsid w:val="001319BE"/>
    <w:rsid w:val="00147B1A"/>
    <w:rsid w:val="001704C8"/>
    <w:rsid w:val="00173F6D"/>
    <w:rsid w:val="0019461E"/>
    <w:rsid w:val="001D2E11"/>
    <w:rsid w:val="001E54FC"/>
    <w:rsid w:val="0022162D"/>
    <w:rsid w:val="00224C3F"/>
    <w:rsid w:val="00237C75"/>
    <w:rsid w:val="00266779"/>
    <w:rsid w:val="00267BFB"/>
    <w:rsid w:val="00276CC9"/>
    <w:rsid w:val="002A1180"/>
    <w:rsid w:val="002C4268"/>
    <w:rsid w:val="002C78DF"/>
    <w:rsid w:val="00376E77"/>
    <w:rsid w:val="00383E35"/>
    <w:rsid w:val="003A0E30"/>
    <w:rsid w:val="003C3CCD"/>
    <w:rsid w:val="003C7F24"/>
    <w:rsid w:val="003D7185"/>
    <w:rsid w:val="003E75CC"/>
    <w:rsid w:val="00400B9B"/>
    <w:rsid w:val="00446ABF"/>
    <w:rsid w:val="0046648F"/>
    <w:rsid w:val="004701B9"/>
    <w:rsid w:val="00471083"/>
    <w:rsid w:val="00472DA2"/>
    <w:rsid w:val="00475E52"/>
    <w:rsid w:val="004842B4"/>
    <w:rsid w:val="00493226"/>
    <w:rsid w:val="004D6799"/>
    <w:rsid w:val="004D6D25"/>
    <w:rsid w:val="0052174E"/>
    <w:rsid w:val="00525728"/>
    <w:rsid w:val="005404F2"/>
    <w:rsid w:val="00540E08"/>
    <w:rsid w:val="005E582A"/>
    <w:rsid w:val="00605DEC"/>
    <w:rsid w:val="006102A8"/>
    <w:rsid w:val="006145FC"/>
    <w:rsid w:val="00620466"/>
    <w:rsid w:val="006335BF"/>
    <w:rsid w:val="00635B5D"/>
    <w:rsid w:val="00672A15"/>
    <w:rsid w:val="0068645C"/>
    <w:rsid w:val="006D18B8"/>
    <w:rsid w:val="006E4F14"/>
    <w:rsid w:val="006E5591"/>
    <w:rsid w:val="0073773F"/>
    <w:rsid w:val="007407C4"/>
    <w:rsid w:val="007664F3"/>
    <w:rsid w:val="00780291"/>
    <w:rsid w:val="007B1B14"/>
    <w:rsid w:val="007C03DD"/>
    <w:rsid w:val="007D32E2"/>
    <w:rsid w:val="007D4DAB"/>
    <w:rsid w:val="008049EB"/>
    <w:rsid w:val="00815DDC"/>
    <w:rsid w:val="00820F65"/>
    <w:rsid w:val="008225F3"/>
    <w:rsid w:val="0083630E"/>
    <w:rsid w:val="008374E7"/>
    <w:rsid w:val="00875B3C"/>
    <w:rsid w:val="0089186F"/>
    <w:rsid w:val="008D014E"/>
    <w:rsid w:val="008F1F0B"/>
    <w:rsid w:val="00904B9C"/>
    <w:rsid w:val="00914962"/>
    <w:rsid w:val="00936C83"/>
    <w:rsid w:val="00960A24"/>
    <w:rsid w:val="00962D6B"/>
    <w:rsid w:val="0096688C"/>
    <w:rsid w:val="00971D05"/>
    <w:rsid w:val="00983C4A"/>
    <w:rsid w:val="009B0D31"/>
    <w:rsid w:val="009C07F7"/>
    <w:rsid w:val="009F570B"/>
    <w:rsid w:val="00A10396"/>
    <w:rsid w:val="00A24155"/>
    <w:rsid w:val="00A3084C"/>
    <w:rsid w:val="00A47D15"/>
    <w:rsid w:val="00A516E8"/>
    <w:rsid w:val="00A61CBA"/>
    <w:rsid w:val="00A75606"/>
    <w:rsid w:val="00A81DD0"/>
    <w:rsid w:val="00AE1B3B"/>
    <w:rsid w:val="00AE2296"/>
    <w:rsid w:val="00B34CDB"/>
    <w:rsid w:val="00B4113E"/>
    <w:rsid w:val="00B72BD8"/>
    <w:rsid w:val="00B808D5"/>
    <w:rsid w:val="00B83E74"/>
    <w:rsid w:val="00BA64F9"/>
    <w:rsid w:val="00BC7ED0"/>
    <w:rsid w:val="00C063AC"/>
    <w:rsid w:val="00C12A18"/>
    <w:rsid w:val="00C142FB"/>
    <w:rsid w:val="00C31B70"/>
    <w:rsid w:val="00C647F3"/>
    <w:rsid w:val="00C809D9"/>
    <w:rsid w:val="00D04CB2"/>
    <w:rsid w:val="00D223E6"/>
    <w:rsid w:val="00D404E0"/>
    <w:rsid w:val="00D427D3"/>
    <w:rsid w:val="00D67829"/>
    <w:rsid w:val="00DB00CA"/>
    <w:rsid w:val="00DB7F51"/>
    <w:rsid w:val="00DC5BC6"/>
    <w:rsid w:val="00DC711B"/>
    <w:rsid w:val="00DF0166"/>
    <w:rsid w:val="00DF503B"/>
    <w:rsid w:val="00E71A1B"/>
    <w:rsid w:val="00E76EAE"/>
    <w:rsid w:val="00EC5917"/>
    <w:rsid w:val="00EC7B76"/>
    <w:rsid w:val="00EE19E2"/>
    <w:rsid w:val="00F1038C"/>
    <w:rsid w:val="00F1540A"/>
    <w:rsid w:val="00F4700B"/>
    <w:rsid w:val="00F62D01"/>
    <w:rsid w:val="00F64D45"/>
    <w:rsid w:val="00F66510"/>
    <w:rsid w:val="00F9229D"/>
    <w:rsid w:val="00FD55A5"/>
    <w:rsid w:val="00FE18E8"/>
    <w:rsid w:val="00FF216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A9E54"/>
  <w15:chartTrackingRefBased/>
  <w15:docId w15:val="{0B636C6B-CD86-4390-9144-60AF41B37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56D0"/>
    <w:pPr>
      <w:spacing w:after="12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rsid w:val="000E56D0"/>
    <w:pPr>
      <w:spacing w:after="0" w:line="240" w:lineRule="auto"/>
    </w:pPr>
    <w:rPr>
      <w:rFonts w:eastAsia="Times New Roman" w:cs="Times New Roman"/>
      <w:sz w:val="20"/>
      <w:szCs w:val="20"/>
    </w:rPr>
  </w:style>
  <w:style w:type="character" w:customStyle="1" w:styleId="NotedebasdepageCar">
    <w:name w:val="Note de bas de page Car"/>
    <w:basedOn w:val="Policepardfaut"/>
    <w:link w:val="Notedebasdepage"/>
    <w:uiPriority w:val="99"/>
    <w:rsid w:val="000E56D0"/>
    <w:rPr>
      <w:rFonts w:eastAsia="Times New Roman" w:cs="Times New Roman"/>
      <w:sz w:val="20"/>
      <w:szCs w:val="20"/>
    </w:rPr>
  </w:style>
  <w:style w:type="paragraph" w:customStyle="1" w:styleId="Standard">
    <w:name w:val="Standard"/>
    <w:qFormat/>
    <w:rsid w:val="00F64D45"/>
    <w:pPr>
      <w:suppressAutoHyphens/>
      <w:spacing w:after="0" w:line="240" w:lineRule="auto"/>
      <w:textAlignment w:val="baseline"/>
    </w:pPr>
    <w:rPr>
      <w:rFonts w:ascii="Times New Roman" w:eastAsia="Times New Roman" w:hAnsi="Times New Roman" w:cs="Times New Roman"/>
      <w:sz w:val="24"/>
      <w:szCs w:val="24"/>
      <w:lang w:val="fr-CH" w:eastAsia="fr-FR"/>
    </w:rPr>
  </w:style>
  <w:style w:type="paragraph" w:customStyle="1" w:styleId="Textbody">
    <w:name w:val="Text body"/>
    <w:basedOn w:val="Standard"/>
    <w:qFormat/>
    <w:rsid w:val="00F64D45"/>
    <w:pPr>
      <w:spacing w:line="360" w:lineRule="auto"/>
    </w:pPr>
    <w:rPr>
      <w:b/>
    </w:rPr>
  </w:style>
  <w:style w:type="paragraph" w:styleId="Paragraphedeliste">
    <w:name w:val="List Paragraph"/>
    <w:basedOn w:val="Normal"/>
    <w:uiPriority w:val="34"/>
    <w:qFormat/>
    <w:rsid w:val="00B808D5"/>
    <w:pPr>
      <w:ind w:left="720"/>
      <w:contextualSpacing/>
    </w:pPr>
  </w:style>
  <w:style w:type="character" w:styleId="Appelnotedebasdep">
    <w:name w:val="footnote reference"/>
    <w:basedOn w:val="Policepardfaut"/>
    <w:uiPriority w:val="99"/>
    <w:semiHidden/>
    <w:unhideWhenUsed/>
    <w:rsid w:val="00D223E6"/>
    <w:rPr>
      <w:vertAlign w:val="superscript"/>
    </w:rPr>
  </w:style>
  <w:style w:type="character" w:styleId="Marquedecommentaire">
    <w:name w:val="annotation reference"/>
    <w:basedOn w:val="Policepardfaut"/>
    <w:uiPriority w:val="99"/>
    <w:semiHidden/>
    <w:unhideWhenUsed/>
    <w:rsid w:val="0096688C"/>
    <w:rPr>
      <w:sz w:val="16"/>
      <w:szCs w:val="16"/>
    </w:rPr>
  </w:style>
  <w:style w:type="paragraph" w:styleId="Commentaire">
    <w:name w:val="annotation text"/>
    <w:basedOn w:val="Normal"/>
    <w:link w:val="CommentaireCar"/>
    <w:uiPriority w:val="99"/>
    <w:semiHidden/>
    <w:unhideWhenUsed/>
    <w:rsid w:val="0096688C"/>
    <w:pPr>
      <w:spacing w:line="240" w:lineRule="auto"/>
    </w:pPr>
    <w:rPr>
      <w:sz w:val="20"/>
      <w:szCs w:val="20"/>
    </w:rPr>
  </w:style>
  <w:style w:type="character" w:customStyle="1" w:styleId="CommentaireCar">
    <w:name w:val="Commentaire Car"/>
    <w:basedOn w:val="Policepardfaut"/>
    <w:link w:val="Commentaire"/>
    <w:uiPriority w:val="99"/>
    <w:semiHidden/>
    <w:rsid w:val="0096688C"/>
    <w:rPr>
      <w:sz w:val="20"/>
      <w:szCs w:val="20"/>
    </w:rPr>
  </w:style>
  <w:style w:type="paragraph" w:styleId="Objetducommentaire">
    <w:name w:val="annotation subject"/>
    <w:basedOn w:val="Commentaire"/>
    <w:next w:val="Commentaire"/>
    <w:link w:val="ObjetducommentaireCar"/>
    <w:uiPriority w:val="99"/>
    <w:semiHidden/>
    <w:unhideWhenUsed/>
    <w:rsid w:val="0096688C"/>
    <w:rPr>
      <w:b/>
      <w:bCs/>
    </w:rPr>
  </w:style>
  <w:style w:type="character" w:customStyle="1" w:styleId="ObjetducommentaireCar">
    <w:name w:val="Objet du commentaire Car"/>
    <w:basedOn w:val="CommentaireCar"/>
    <w:link w:val="Objetducommentaire"/>
    <w:uiPriority w:val="99"/>
    <w:semiHidden/>
    <w:rsid w:val="0096688C"/>
    <w:rPr>
      <w:b/>
      <w:bCs/>
      <w:sz w:val="20"/>
      <w:szCs w:val="20"/>
    </w:rPr>
  </w:style>
  <w:style w:type="paragraph" w:styleId="Textedebulles">
    <w:name w:val="Balloon Text"/>
    <w:basedOn w:val="Normal"/>
    <w:link w:val="TextedebullesCar"/>
    <w:uiPriority w:val="99"/>
    <w:semiHidden/>
    <w:unhideWhenUsed/>
    <w:rsid w:val="0096688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688C"/>
    <w:rPr>
      <w:rFonts w:ascii="Segoe UI" w:hAnsi="Segoe UI" w:cs="Segoe UI"/>
      <w:sz w:val="18"/>
      <w:szCs w:val="18"/>
    </w:rPr>
  </w:style>
  <w:style w:type="paragraph" w:styleId="Rvision">
    <w:name w:val="Revision"/>
    <w:hidden/>
    <w:uiPriority w:val="99"/>
    <w:semiHidden/>
    <w:rsid w:val="00D04CB2"/>
    <w:pPr>
      <w:spacing w:after="0" w:line="240" w:lineRule="auto"/>
    </w:pPr>
  </w:style>
  <w:style w:type="character" w:styleId="Lienhypertexte">
    <w:name w:val="Hyperlink"/>
    <w:basedOn w:val="Policepardfaut"/>
    <w:uiPriority w:val="99"/>
    <w:unhideWhenUsed/>
    <w:rsid w:val="00A75606"/>
    <w:rPr>
      <w:color w:val="0563C1" w:themeColor="hyperlink"/>
      <w:u w:val="single"/>
    </w:rPr>
  </w:style>
  <w:style w:type="character" w:styleId="Mentionnonrsolue">
    <w:name w:val="Unresolved Mention"/>
    <w:basedOn w:val="Policepardfaut"/>
    <w:uiPriority w:val="99"/>
    <w:semiHidden/>
    <w:unhideWhenUsed/>
    <w:rsid w:val="00A75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4000/kernos.6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1696</Words>
  <Characters>9331</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Van Haeperen</dc:creator>
  <cp:keywords/>
  <dc:description/>
  <cp:lastModifiedBy>Françoise Van Haeperen</cp:lastModifiedBy>
  <cp:revision>10</cp:revision>
  <dcterms:created xsi:type="dcterms:W3CDTF">2023-11-04T14:51:00Z</dcterms:created>
  <dcterms:modified xsi:type="dcterms:W3CDTF">2024-06-03T10:00:00Z</dcterms:modified>
</cp:coreProperties>
</file>