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39BD" w:rsidRPr="007739BD" w:rsidRDefault="007739BD" w:rsidP="007739BD">
      <w:pPr>
        <w:spacing w:after="120" w:line="480" w:lineRule="auto"/>
        <w:jc w:val="center"/>
        <w:rPr>
          <w:rFonts w:eastAsia="Times New Roman"/>
          <w:b/>
          <w:szCs w:val="24"/>
        </w:rPr>
      </w:pPr>
      <w:bookmarkStart w:id="0" w:name="_GoBack"/>
      <w:bookmarkEnd w:id="0"/>
      <w:r w:rsidRPr="007739BD">
        <w:rPr>
          <w:rFonts w:eastAsia="Times New Roman"/>
          <w:b/>
          <w:szCs w:val="24"/>
        </w:rPr>
        <w:t>Examining Collaboration among Nonprofit Organizations</w:t>
      </w:r>
      <w:r w:rsidRPr="007739BD">
        <w:rPr>
          <w:b/>
        </w:rPr>
        <w:t xml:space="preserve"> </w:t>
      </w:r>
      <w:r w:rsidRPr="007739BD">
        <w:rPr>
          <w:rFonts w:eastAsia="Times New Roman"/>
          <w:b/>
          <w:szCs w:val="24"/>
        </w:rPr>
        <w:t>for Socially Responsible Programs</w:t>
      </w:r>
    </w:p>
    <w:p w:rsidR="007739BD" w:rsidRPr="007739BD" w:rsidRDefault="007739BD" w:rsidP="007739BD">
      <w:pPr>
        <w:spacing w:line="480" w:lineRule="auto"/>
        <w:jc w:val="center"/>
        <w:rPr>
          <w:b/>
        </w:rPr>
      </w:pPr>
      <w:r w:rsidRPr="007739BD">
        <w:rPr>
          <w:b/>
        </w:rPr>
        <w:t>Title Page</w:t>
      </w:r>
    </w:p>
    <w:p w:rsidR="007739BD" w:rsidRPr="009D011C" w:rsidRDefault="007739BD" w:rsidP="007739BD">
      <w:pPr>
        <w:spacing w:line="480" w:lineRule="auto"/>
      </w:pPr>
      <w:r w:rsidRPr="009D011C">
        <w:t>Géraldine Zeimers, Christos Anagnostopoulos, Thierry Zintz &amp; Annick Willem</w:t>
      </w:r>
    </w:p>
    <w:p w:rsidR="007739BD" w:rsidRDefault="007739BD" w:rsidP="007739BD">
      <w:pPr>
        <w:spacing w:line="480" w:lineRule="auto"/>
      </w:pPr>
      <w:r w:rsidRPr="00B340FF">
        <w:t>Université catholique de Louvain, Ghent University, University of Central Lancashire UK</w:t>
      </w:r>
      <w:r>
        <w:t xml:space="preserve"> and Molde University College.</w:t>
      </w:r>
    </w:p>
    <w:p w:rsidR="007739BD" w:rsidRPr="009D011C" w:rsidRDefault="007739BD" w:rsidP="007739BD">
      <w:pPr>
        <w:spacing w:line="480" w:lineRule="auto"/>
      </w:pPr>
      <w:r w:rsidRPr="009D011C">
        <w:t>Correspondence concerning this article shoul</w:t>
      </w:r>
      <w:r>
        <w:t>d be sent to Géraldine Zeimers.</w:t>
      </w:r>
    </w:p>
    <w:p w:rsidR="007739BD" w:rsidRPr="00186730" w:rsidRDefault="007739BD" w:rsidP="007739BD">
      <w:pPr>
        <w:spacing w:line="480" w:lineRule="auto"/>
        <w:rPr>
          <w:b/>
          <w:u w:val="single"/>
        </w:rPr>
      </w:pPr>
      <w:r w:rsidRPr="009D011C">
        <w:rPr>
          <w:b/>
          <w:u w:val="single"/>
        </w:rPr>
        <w:t>Authors’ Notes</w:t>
      </w:r>
    </w:p>
    <w:p w:rsidR="007739BD" w:rsidRDefault="007739BD" w:rsidP="007739BD">
      <w:pPr>
        <w:spacing w:line="480" w:lineRule="auto"/>
      </w:pPr>
      <w:r w:rsidRPr="009D011C">
        <w:rPr>
          <w:b/>
          <w:i/>
        </w:rPr>
        <w:t>Géraldine Zeimers</w:t>
      </w:r>
      <w:r w:rsidRPr="009D011C">
        <w:t xml:space="preserve">, Olympic Chair </w:t>
      </w:r>
      <w:r w:rsidRPr="00186730">
        <w:t>Henri de Baillet Latour and Jacques Rogge</w:t>
      </w:r>
      <w:r w:rsidRPr="009D011C">
        <w:t>, Louvain School of Management, Faculty of Sport Sciences</w:t>
      </w:r>
      <w:r>
        <w:t xml:space="preserve"> and Physiotherapy, Université c</w:t>
      </w:r>
      <w:r w:rsidRPr="009D011C">
        <w:t>atholique de Louvain, and Department of Movement and Sport Sciences, Faculty of Medicine and Health Sciences, Ghent University, Belgium.</w:t>
      </w:r>
    </w:p>
    <w:p w:rsidR="007739BD" w:rsidRPr="007739BD" w:rsidRDefault="007739BD" w:rsidP="007739BD">
      <w:pPr>
        <w:spacing w:line="480" w:lineRule="auto"/>
        <w:rPr>
          <w:lang w:val="fr-BE"/>
        </w:rPr>
      </w:pPr>
      <w:r w:rsidRPr="007739BD">
        <w:rPr>
          <w:lang w:val="fr-BE"/>
        </w:rPr>
        <w:t>Place Pierre de Coubertin, 1, B1348 Louvain-La-Neuve, Belgium</w:t>
      </w:r>
    </w:p>
    <w:p w:rsidR="007739BD" w:rsidRPr="007739BD" w:rsidRDefault="007739BD" w:rsidP="007739BD">
      <w:pPr>
        <w:spacing w:line="480" w:lineRule="auto"/>
        <w:rPr>
          <w:lang w:val="fr-BE"/>
        </w:rPr>
      </w:pPr>
      <w:r w:rsidRPr="007739BD">
        <w:rPr>
          <w:lang w:val="fr-BE"/>
        </w:rPr>
        <w:t xml:space="preserve">Phone +32 10 47 38 57, Fax: +32 10 31 06, E-mail: </w:t>
      </w:r>
      <w:hyperlink r:id="rId8" w:history="1">
        <w:r w:rsidRPr="007739BD">
          <w:rPr>
            <w:rStyle w:val="Lienhypertexte"/>
            <w:lang w:val="fr-BE"/>
          </w:rPr>
          <w:t>geraldine.zeimers@uclouvain.be</w:t>
        </w:r>
      </w:hyperlink>
    </w:p>
    <w:p w:rsidR="007739BD" w:rsidRPr="00AF233C" w:rsidRDefault="007739BD" w:rsidP="007739BD">
      <w:pPr>
        <w:spacing w:line="480" w:lineRule="auto"/>
      </w:pPr>
      <w:r w:rsidRPr="009D011C">
        <w:t>----------------------------------</w:t>
      </w:r>
      <w:r>
        <w:t>----------------------</w:t>
      </w:r>
    </w:p>
    <w:p w:rsidR="007739BD" w:rsidRDefault="007739BD" w:rsidP="007739BD">
      <w:pPr>
        <w:spacing w:line="480" w:lineRule="auto"/>
      </w:pPr>
      <w:r w:rsidRPr="009D011C">
        <w:rPr>
          <w:b/>
          <w:i/>
        </w:rPr>
        <w:t>Christos Anagnostopoulos</w:t>
      </w:r>
      <w:r w:rsidRPr="009D011C">
        <w:t>, School of Business &amp; Management, Universi</w:t>
      </w:r>
      <w:r>
        <w:t>ty of Central Lancashire, Preston, UK</w:t>
      </w:r>
      <w:r w:rsidRPr="009D011C">
        <w:t xml:space="preserve"> </w:t>
      </w:r>
      <w:r>
        <w:t xml:space="preserve">and </w:t>
      </w:r>
      <w:r w:rsidRPr="009D011C">
        <w:t xml:space="preserve">Faculty of Business Administration &amp; Social Sciences, Molde University College, Norway </w:t>
      </w:r>
    </w:p>
    <w:p w:rsidR="007739BD" w:rsidRPr="007739BD" w:rsidRDefault="007739BD" w:rsidP="007739BD">
      <w:pPr>
        <w:spacing w:line="480" w:lineRule="auto"/>
      </w:pPr>
      <w:r w:rsidRPr="007739BD">
        <w:t xml:space="preserve">UCLan Cyprus, 12 -14 University Avenue, Pyla, 7080 Larnaka, Cyprus </w:t>
      </w:r>
    </w:p>
    <w:p w:rsidR="007739BD" w:rsidRPr="007739BD" w:rsidRDefault="007739BD" w:rsidP="007739BD">
      <w:pPr>
        <w:spacing w:line="480" w:lineRule="auto"/>
        <w:rPr>
          <w:szCs w:val="24"/>
        </w:rPr>
      </w:pPr>
      <w:r w:rsidRPr="007739BD">
        <w:t xml:space="preserve">Phone +357 24 69 4063, Fax: n/a; E-mail: canagnostopoulos@uclan.ac.uk </w:t>
      </w:r>
    </w:p>
    <w:p w:rsidR="007739BD" w:rsidRPr="009D011C" w:rsidRDefault="007739BD" w:rsidP="007739BD">
      <w:pPr>
        <w:spacing w:line="480" w:lineRule="auto"/>
      </w:pPr>
      <w:r w:rsidRPr="009D011C">
        <w:t>--------------------------------------------------------</w:t>
      </w:r>
    </w:p>
    <w:p w:rsidR="007739BD" w:rsidRPr="009D011C" w:rsidRDefault="007739BD" w:rsidP="007739BD">
      <w:pPr>
        <w:spacing w:line="480" w:lineRule="auto"/>
      </w:pPr>
      <w:r w:rsidRPr="009D011C">
        <w:rPr>
          <w:b/>
          <w:i/>
        </w:rPr>
        <w:lastRenderedPageBreak/>
        <w:t>Thierry Zintz</w:t>
      </w:r>
      <w:r w:rsidRPr="009D011C">
        <w:t>, Olympic Chair in Management of Sport Organizations, Faculty of Sport Sciences</w:t>
      </w:r>
      <w:r>
        <w:t xml:space="preserve"> and Physiotherapy, Université c</w:t>
      </w:r>
      <w:r w:rsidRPr="009D011C">
        <w:t>atholique de Louvain, Belgium.</w:t>
      </w:r>
    </w:p>
    <w:p w:rsidR="007739BD" w:rsidRPr="007739BD" w:rsidRDefault="007739BD" w:rsidP="007739BD">
      <w:pPr>
        <w:spacing w:line="480" w:lineRule="auto"/>
        <w:rPr>
          <w:lang w:val="fr-BE"/>
        </w:rPr>
      </w:pPr>
      <w:r w:rsidRPr="007739BD">
        <w:rPr>
          <w:lang w:val="fr-BE"/>
        </w:rPr>
        <w:t>Place Pierre de Coubertin, 1, B1348 Louvain-La-Neuve, Belgium</w:t>
      </w:r>
    </w:p>
    <w:p w:rsidR="007739BD" w:rsidRPr="007739BD" w:rsidRDefault="007739BD" w:rsidP="007739BD">
      <w:pPr>
        <w:spacing w:line="480" w:lineRule="auto"/>
        <w:rPr>
          <w:b/>
          <w:i/>
          <w:lang w:val="fr-BE"/>
        </w:rPr>
      </w:pPr>
      <w:r w:rsidRPr="007739BD">
        <w:rPr>
          <w:lang w:val="fr-BE"/>
        </w:rPr>
        <w:t xml:space="preserve">Phone +32 10 47 22 57, Fax: 32 10 47 20 93, E-mail: </w:t>
      </w:r>
      <w:hyperlink r:id="rId9" w:history="1">
        <w:r w:rsidRPr="007739BD">
          <w:rPr>
            <w:rStyle w:val="Lienhypertexte"/>
            <w:lang w:val="fr-BE"/>
          </w:rPr>
          <w:t>thierry.zintz@uclouvain.be</w:t>
        </w:r>
      </w:hyperlink>
      <w:r w:rsidRPr="007739BD">
        <w:rPr>
          <w:lang w:val="fr-BE"/>
        </w:rPr>
        <w:t xml:space="preserve"> </w:t>
      </w:r>
    </w:p>
    <w:p w:rsidR="007739BD" w:rsidRPr="00AF233C" w:rsidRDefault="007739BD" w:rsidP="007739BD">
      <w:pPr>
        <w:spacing w:line="480" w:lineRule="auto"/>
      </w:pPr>
      <w:r w:rsidRPr="009D011C">
        <w:t>----------------------------------</w:t>
      </w:r>
      <w:r>
        <w:t>----------------------</w:t>
      </w:r>
    </w:p>
    <w:p w:rsidR="007739BD" w:rsidRDefault="007739BD" w:rsidP="007739BD">
      <w:pPr>
        <w:spacing w:line="480" w:lineRule="auto"/>
      </w:pPr>
      <w:r w:rsidRPr="009D011C">
        <w:rPr>
          <w:b/>
          <w:i/>
        </w:rPr>
        <w:t>Annick Willem</w:t>
      </w:r>
      <w:r w:rsidRPr="009D011C">
        <w:t>, Department of Movement and Sport Sciences, Faculty of Medicine and Health Sciences, Ghent University, Belgium.</w:t>
      </w:r>
    </w:p>
    <w:p w:rsidR="007739BD" w:rsidRDefault="007739BD" w:rsidP="007739BD">
      <w:pPr>
        <w:spacing w:line="480" w:lineRule="auto"/>
      </w:pPr>
      <w:r w:rsidRPr="00995958">
        <w:t>Watersportlaan 2, B-9000 Ghent, Belgium</w:t>
      </w:r>
    </w:p>
    <w:p w:rsidR="007739BD" w:rsidRPr="00C334B2" w:rsidRDefault="007739BD" w:rsidP="007739BD">
      <w:pPr>
        <w:spacing w:line="480" w:lineRule="auto"/>
      </w:pPr>
      <w:r w:rsidRPr="00C334B2">
        <w:t xml:space="preserve">Phone +32 9 264 63 33, Fax: 09 264 64 84, E-mail: </w:t>
      </w:r>
      <w:hyperlink r:id="rId10" w:history="1">
        <w:r w:rsidRPr="00C334B2">
          <w:rPr>
            <w:rStyle w:val="Lienhypertexte"/>
          </w:rPr>
          <w:t>annick.willem@ugent.be</w:t>
        </w:r>
      </w:hyperlink>
      <w:r w:rsidRPr="00C334B2">
        <w:t xml:space="preserve"> </w:t>
      </w:r>
    </w:p>
    <w:p w:rsidR="007739BD" w:rsidRPr="009D011C" w:rsidRDefault="007739BD" w:rsidP="007739BD">
      <w:pPr>
        <w:spacing w:line="480" w:lineRule="auto"/>
      </w:pPr>
    </w:p>
    <w:p w:rsidR="003662DF" w:rsidRDefault="003662DF" w:rsidP="007739BD">
      <w:pPr>
        <w:spacing w:line="480" w:lineRule="auto"/>
        <w:rPr>
          <w:rFonts w:eastAsia="Calibri" w:cs="Times New Roman"/>
          <w:szCs w:val="24"/>
        </w:rPr>
        <w:sectPr w:rsidR="003662DF" w:rsidSect="007739BD">
          <w:pgSz w:w="11906" w:h="16838"/>
          <w:pgMar w:top="1417" w:right="1417" w:bottom="1417" w:left="1417" w:header="708" w:footer="708" w:gutter="0"/>
          <w:cols w:space="708"/>
          <w:docGrid w:linePitch="360"/>
        </w:sectPr>
      </w:pPr>
    </w:p>
    <w:p w:rsidR="003662DF" w:rsidRPr="007739BD" w:rsidRDefault="003662DF" w:rsidP="007739BD">
      <w:pPr>
        <w:spacing w:after="120" w:line="480" w:lineRule="auto"/>
        <w:jc w:val="center"/>
        <w:rPr>
          <w:rFonts w:eastAsia="Times New Roman" w:cs="Times New Roman"/>
          <w:b/>
          <w:szCs w:val="24"/>
        </w:rPr>
      </w:pPr>
      <w:r w:rsidRPr="007739BD">
        <w:rPr>
          <w:rFonts w:eastAsia="Times New Roman" w:cs="Times New Roman"/>
          <w:b/>
          <w:szCs w:val="24"/>
        </w:rPr>
        <w:lastRenderedPageBreak/>
        <w:t>Examining Collaborations among Nonprofit Organizations for Socially Responsible Programs</w:t>
      </w:r>
    </w:p>
    <w:p w:rsidR="003662DF" w:rsidRPr="007739BD" w:rsidRDefault="003662DF" w:rsidP="007739BD">
      <w:pPr>
        <w:spacing w:line="480" w:lineRule="auto"/>
        <w:ind w:firstLine="709"/>
        <w:rPr>
          <w:rFonts w:eastAsia="Calibri" w:cs="Times New Roman"/>
          <w:b/>
          <w:szCs w:val="24"/>
        </w:rPr>
      </w:pPr>
    </w:p>
    <w:p w:rsidR="003662DF" w:rsidRPr="007739BD" w:rsidRDefault="003662DF" w:rsidP="007739BD">
      <w:pPr>
        <w:keepNext/>
        <w:keepLines/>
        <w:spacing w:before="40" w:after="0" w:line="480" w:lineRule="auto"/>
        <w:jc w:val="center"/>
        <w:outlineLvl w:val="1"/>
        <w:rPr>
          <w:rFonts w:eastAsia="Times New Roman" w:cs="Times New Roman"/>
          <w:b/>
          <w:szCs w:val="26"/>
        </w:rPr>
      </w:pPr>
      <w:r w:rsidRPr="007739BD">
        <w:rPr>
          <w:rFonts w:eastAsia="Times New Roman" w:cs="Times New Roman"/>
          <w:b/>
          <w:szCs w:val="26"/>
        </w:rPr>
        <w:t>Abstract</w:t>
      </w:r>
    </w:p>
    <w:p w:rsidR="003662DF" w:rsidRPr="007739BD" w:rsidRDefault="003662DF" w:rsidP="007739BD">
      <w:pPr>
        <w:spacing w:line="480" w:lineRule="auto"/>
        <w:rPr>
          <w:rFonts w:eastAsia="Calibri" w:cs="Times New Roman"/>
          <w:szCs w:val="24"/>
          <w:lang w:val="en-GB"/>
        </w:rPr>
      </w:pPr>
      <w:r w:rsidRPr="007739BD">
        <w:rPr>
          <w:rFonts w:eastAsia="Calibri" w:cs="Times New Roman"/>
          <w:szCs w:val="24"/>
        </w:rPr>
        <w:t xml:space="preserve">Nonprofit organizations (NPOs) increasingly implement socially responsible programs to address their responsibilities toward society. While collaborations are a valuable means to tackle complex social issues, NPOs also similarly collaborate with other NPOs for delivering socially responsible programs. However, the </w:t>
      </w:r>
      <w:r w:rsidRPr="007739BD">
        <w:rPr>
          <w:rFonts w:eastAsia="Calibri" w:cs="Times New Roman"/>
          <w:szCs w:val="24"/>
          <w:lang w:val="en-GB"/>
        </w:rPr>
        <w:t xml:space="preserve">motivations </w:t>
      </w:r>
      <w:r w:rsidRPr="007739BD">
        <w:rPr>
          <w:rFonts w:eastAsia="Calibri" w:cs="Times New Roman"/>
          <w:szCs w:val="24"/>
        </w:rPr>
        <w:t>driving NPOs to collaborate with likeminded organizations for socially responsible programs remain unclear. Using a single embedded in-depth case study research design, our purpose is to examine the formation of collaborations among sport federations and sport clubs for socially responsible programs. Reflecting the interplay between resource-based view and institutional perspectives, our findings intrinsically indicate that partners demonstrate similarity in their motivations to collaborate due to their organizational fit, but with some key differences in the complementary resources they seek. Organizational legitimacy, and</w:t>
      </w:r>
      <w:r w:rsidRPr="007739BD">
        <w:rPr>
          <w:rFonts w:eastAsia="Calibri" w:cs="Times New Roman"/>
          <w:i/>
          <w:szCs w:val="24"/>
        </w:rPr>
        <w:t xml:space="preserve"> </w:t>
      </w:r>
      <w:r w:rsidRPr="007739BD">
        <w:rPr>
          <w:rFonts w:eastAsia="Calibri" w:cs="Times New Roman"/>
          <w:szCs w:val="24"/>
        </w:rPr>
        <w:t>resource exchange needs for socially responsible programs are driving the collaboration rather than organizational survival needs. The potential to create social value makes this nonprofit collaboration form unique.</w:t>
      </w:r>
    </w:p>
    <w:p w:rsidR="003662DF" w:rsidRDefault="003662DF" w:rsidP="007739BD">
      <w:pPr>
        <w:spacing w:line="480" w:lineRule="auto"/>
        <w:ind w:firstLine="709"/>
        <w:rPr>
          <w:rFonts w:eastAsia="Calibri" w:cs="Times New Roman"/>
          <w:szCs w:val="24"/>
        </w:rPr>
      </w:pPr>
      <w:r w:rsidRPr="007739BD">
        <w:rPr>
          <w:rFonts w:eastAsia="Calibri" w:cs="Times New Roman"/>
          <w:b/>
          <w:szCs w:val="24"/>
        </w:rPr>
        <w:t>Key words</w:t>
      </w:r>
      <w:r w:rsidRPr="007739BD">
        <w:rPr>
          <w:rFonts w:eastAsia="Calibri" w:cs="Times New Roman"/>
          <w:szCs w:val="24"/>
        </w:rPr>
        <w:t>: nonprofit collaboration; social responsibility; nonprofit organizations; sport federations; sport clubs; interorganizational relationships; formation.</w:t>
      </w:r>
    </w:p>
    <w:p w:rsidR="007739BD" w:rsidRDefault="007739BD" w:rsidP="007739BD">
      <w:pPr>
        <w:spacing w:line="480" w:lineRule="auto"/>
        <w:ind w:firstLine="709"/>
        <w:rPr>
          <w:rFonts w:eastAsia="Calibri" w:cs="Times New Roman"/>
          <w:szCs w:val="24"/>
        </w:rPr>
      </w:pPr>
    </w:p>
    <w:p w:rsidR="007739BD" w:rsidRDefault="007739BD" w:rsidP="007739BD">
      <w:pPr>
        <w:spacing w:line="480" w:lineRule="auto"/>
        <w:ind w:firstLine="709"/>
        <w:rPr>
          <w:rFonts w:eastAsia="Calibri" w:cs="Times New Roman"/>
          <w:szCs w:val="24"/>
        </w:rPr>
      </w:pPr>
    </w:p>
    <w:p w:rsidR="007739BD" w:rsidRDefault="007739BD" w:rsidP="007739BD">
      <w:pPr>
        <w:spacing w:line="480" w:lineRule="auto"/>
        <w:ind w:firstLine="709"/>
        <w:rPr>
          <w:rFonts w:eastAsia="Calibri" w:cs="Times New Roman"/>
          <w:szCs w:val="24"/>
        </w:rPr>
      </w:pPr>
    </w:p>
    <w:p w:rsidR="003662DF" w:rsidRPr="007739BD" w:rsidRDefault="003662DF" w:rsidP="007739BD">
      <w:pPr>
        <w:keepNext/>
        <w:keepLines/>
        <w:spacing w:before="40" w:after="0" w:line="480" w:lineRule="auto"/>
        <w:jc w:val="center"/>
        <w:outlineLvl w:val="1"/>
        <w:rPr>
          <w:rFonts w:eastAsia="Times New Roman" w:cs="Times New Roman"/>
          <w:b/>
          <w:szCs w:val="24"/>
        </w:rPr>
      </w:pPr>
      <w:r w:rsidRPr="007739BD">
        <w:rPr>
          <w:rFonts w:eastAsia="Times New Roman" w:cs="Times New Roman"/>
          <w:b/>
          <w:szCs w:val="24"/>
        </w:rPr>
        <w:br w:type="page"/>
      </w:r>
      <w:r w:rsidRPr="007739BD">
        <w:rPr>
          <w:rFonts w:eastAsia="Times New Roman" w:cs="Times New Roman"/>
          <w:b/>
          <w:szCs w:val="26"/>
        </w:rPr>
        <w:lastRenderedPageBreak/>
        <w:t>Introduction</w:t>
      </w:r>
      <w:r w:rsidRPr="007739BD">
        <w:rPr>
          <w:rFonts w:eastAsia="Times New Roman" w:cs="Times New Roman"/>
          <w:b/>
          <w:szCs w:val="24"/>
        </w:rPr>
        <w:t xml:space="preserve">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Nonprofit organizations (NPOs) increasingly embrace the term corporate social responsibility (CSR) to address their social responsibilities toward society (Lin-Hi, Hörisch &amp; Blumberg, 2015). A recent study shows an increasing trend in adoption rates for nonprofits of communication and reporting schemes that express social responsibility, such as the Global Compact or the Global Reporting Initiatives Guidelines (Pope, Bromley, Lim, &amp; Meyer, 2018). This upward frequency underpins a small but growing body of research examining this phenomenon in the nonprofit context (Acar, Aupperle, &amp; Lowy, 2001; Lin-Hi et al. 2015; Pope et al., 2018; Robertson, Eime, &amp; Westerbeek, 2018). These studies purport that it is valuable to discuss the social responsibility of all contemporary organizations not only in the for-profit but also in the nonprofit sector. The social nature of NPOs’ activities should not automatically imply social responsibility</w:t>
      </w:r>
      <w:r w:rsidRPr="007739BD">
        <w:rPr>
          <w:rFonts w:eastAsia="Calibri" w:cs="Times New Roman"/>
          <w:szCs w:val="24"/>
          <w:lang w:val="en-GB"/>
        </w:rPr>
        <w:t xml:space="preserve"> </w:t>
      </w:r>
      <w:r w:rsidRPr="007739BD">
        <w:rPr>
          <w:rFonts w:eastAsia="Calibri" w:cs="Times New Roman"/>
          <w:szCs w:val="24"/>
        </w:rPr>
        <w:t xml:space="preserve">given their recent irresponsible behaviors such as fraud, corruption or environmental damages (Lin-Hi et al., 2015; Robertson et al., 2018).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 xml:space="preserve">NPOs engage in socially responsible programs to play a role beyond service delivery for their members. These practices often extend beyond their core purpose. In the business context, CSR implementation regularly involves collaboration between profit and non-profit (Austin &amp; Seitanidi, 2012a). Similarly, NPOs collaborate with other NPOs for delivering socially responsible programs.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 xml:space="preserve">More specifically, extant literature has only examined NPOs as the vehicle for businesses to implement their social responsibility agenda (Austin, 2000). NPOs enacting these practices themselves rather than acting as the recipients of socially responsible programs (Kourula &amp; Laasonen, 2010; Omar, Leach, &amp; March, 2014) have not received much attention and are still in need of empirical examination (Lin-Hi et al., 2015; Pope et al., 2018). While various studies exist regarding why business collaborate with NPOs (Austin &amp; Seitanidi, 2012a; Seitanidi et al., 2010) as well as why NPOs collaborate with business </w:t>
      </w:r>
      <w:r w:rsidRPr="007739BD">
        <w:rPr>
          <w:rFonts w:eastAsia="Calibri" w:cs="Times New Roman"/>
          <w:szCs w:val="24"/>
        </w:rPr>
        <w:lastRenderedPageBreak/>
        <w:t>(Herlin, 2013; Omar al., 2014), we know little about motivations for collaboration between NPOs for social responsibility.</w:t>
      </w:r>
    </w:p>
    <w:p w:rsidR="003662DF" w:rsidRPr="007739BD" w:rsidRDefault="003662DF" w:rsidP="007739BD">
      <w:pPr>
        <w:spacing w:after="0" w:line="480" w:lineRule="auto"/>
        <w:ind w:firstLine="720"/>
        <w:rPr>
          <w:rFonts w:eastAsia="Times New Roman" w:cs="Times New Roman"/>
          <w:szCs w:val="24"/>
          <w:lang w:eastAsia="en-GB"/>
        </w:rPr>
      </w:pPr>
      <w:r w:rsidRPr="007739BD">
        <w:rPr>
          <w:rFonts w:eastAsia="Times New Roman" w:cs="Times New Roman"/>
          <w:szCs w:val="24"/>
          <w:lang w:eastAsia="en-GB"/>
        </w:rPr>
        <w:t xml:space="preserve">This study examines nonprofit collaboration, which concerns different NPOs striving to address problems - such as education, health and social cohesion (Gazley &amp; Guo, 2015) - through joint effort, resources, and decision-making and share ownership of the final product or service (Guo &amp; Acar, 2005). Although nonprofit collaboration has grown significantly in recent years (Gazley &amp; Guo, 2015), the scholarship in this field overlooks collaboration among NPOs in the delivery of socially responsible programs. To date, we lack understanding of what drives NPOs to collaborate with likeminded organizations for the implementation of socially responsible programs. </w:t>
      </w:r>
      <w:r w:rsidRPr="007739BD">
        <w:rPr>
          <w:rFonts w:eastAsia="Times New Roman" w:cs="Times New Roman"/>
          <w:szCs w:val="24"/>
          <w:lang w:val="en-GB" w:eastAsia="en-GB"/>
        </w:rPr>
        <w:t>A better understanding of the motivations driving NPOs to collaborate for programs that can have an impact on society is a current managerial and research gap. As such,</w:t>
      </w:r>
      <w:r w:rsidRPr="007739BD">
        <w:rPr>
          <w:rFonts w:eastAsia="Times New Roman" w:cs="Times New Roman"/>
          <w:szCs w:val="24"/>
          <w:lang w:eastAsia="en-GB"/>
        </w:rPr>
        <w:t xml:space="preserve"> empirical insights can help us bring to the fore the mutual social value such collaborations can offer.</w:t>
      </w:r>
    </w:p>
    <w:p w:rsidR="003662DF" w:rsidRPr="007739BD" w:rsidRDefault="003662DF" w:rsidP="007739BD">
      <w:pPr>
        <w:spacing w:after="0" w:line="480" w:lineRule="auto"/>
        <w:ind w:firstLine="708"/>
        <w:rPr>
          <w:rFonts w:eastAsia="Times New Roman" w:cs="Times New Roman"/>
          <w:szCs w:val="24"/>
          <w:lang w:val="en-GB" w:eastAsia="en-GB"/>
        </w:rPr>
      </w:pPr>
      <w:r w:rsidRPr="007739BD">
        <w:rPr>
          <w:rFonts w:eastAsia="Times New Roman" w:cs="Times New Roman"/>
          <w:szCs w:val="24"/>
          <w:lang w:eastAsia="en-GB"/>
        </w:rPr>
        <w:t xml:space="preserve">Drawing on the nonprofit sport sector, the purpose of this study is to examine the motivations behind the formation of collaborations among sport federations and sport clubs for socially responsible programs. We study motives for engaging in collaborations to deliver socially responsible programs from the most common theories used to explain nonprofit collaboration, namely resources-based view and institutional theory. Our research is predicated on the following question: what motivates NPOs to collaborate with other NPOs to implement socially responsible programs? </w:t>
      </w:r>
    </w:p>
    <w:p w:rsidR="003662DF" w:rsidRPr="007739BD" w:rsidRDefault="003662DF" w:rsidP="007739BD">
      <w:pPr>
        <w:spacing w:after="0" w:line="480" w:lineRule="auto"/>
        <w:ind w:firstLine="720"/>
        <w:rPr>
          <w:rFonts w:eastAsia="Times New Roman" w:cs="Times New Roman"/>
          <w:szCs w:val="24"/>
          <w:lang w:eastAsia="en-GB"/>
        </w:rPr>
      </w:pPr>
      <w:r w:rsidRPr="007739BD">
        <w:rPr>
          <w:rFonts w:eastAsia="Times New Roman" w:cs="Times New Roman"/>
          <w:szCs w:val="24"/>
          <w:lang w:eastAsia="en-GB"/>
        </w:rPr>
        <w:t xml:space="preserve">The contribution of this study is twofold. First, it offers a fresh perspective in nonprofit collaboration scholarship by exploring collaborations formation for non-mission related activities amongst NPOs (i.e., mission that extend beyond their primary social purpose). Second, the study expands knowledge related to NPOs and social responsibility by broadening the role of NPOs in achieving socially responsible objectives, beyond their </w:t>
      </w:r>
      <w:r w:rsidRPr="007739BD">
        <w:rPr>
          <w:rFonts w:eastAsia="Times New Roman" w:cs="Times New Roman"/>
          <w:szCs w:val="24"/>
          <w:lang w:eastAsia="en-GB"/>
        </w:rPr>
        <w:lastRenderedPageBreak/>
        <w:t xml:space="preserve">generally admitted activist, consultant or partner roles (Kourula &amp; Laasonen, 2010). At the same time, it enlarges the possible forms of collaboration for the delivery of CSR, beyond the widespread cross-sectoral social collaborations (Peloza &amp; Falkenberg, 2009). By paying more attention to the spread of this social responsibility movement in the nonprofit domain from the motivations for nonprofit collaboration formation, scholars and practitioners can gain a better understanding of the nature of this phenomenon. </w:t>
      </w:r>
    </w:p>
    <w:p w:rsidR="003662DF" w:rsidRPr="007739BD" w:rsidRDefault="003662DF" w:rsidP="007739BD">
      <w:pPr>
        <w:keepNext/>
        <w:keepLines/>
        <w:spacing w:before="40" w:after="0" w:line="480" w:lineRule="auto"/>
        <w:jc w:val="center"/>
        <w:outlineLvl w:val="1"/>
        <w:rPr>
          <w:rFonts w:eastAsia="Times New Roman" w:cs="Times New Roman"/>
          <w:b/>
          <w:szCs w:val="26"/>
        </w:rPr>
      </w:pPr>
      <w:r w:rsidRPr="007739BD">
        <w:rPr>
          <w:rFonts w:eastAsia="Times New Roman" w:cs="Times New Roman"/>
          <w:b/>
          <w:szCs w:val="26"/>
        </w:rPr>
        <w:t>Theoretical Background and Literature Review</w:t>
      </w:r>
    </w:p>
    <w:p w:rsidR="003662DF" w:rsidRPr="007739BD" w:rsidRDefault="003662DF" w:rsidP="007739BD">
      <w:pPr>
        <w:keepNext/>
        <w:keepLines/>
        <w:spacing w:after="0" w:line="480" w:lineRule="auto"/>
        <w:outlineLvl w:val="2"/>
        <w:rPr>
          <w:rFonts w:eastAsia="Times New Roman" w:cs="Times New Roman"/>
          <w:i/>
          <w:szCs w:val="24"/>
          <w:lang w:val="en-GB"/>
        </w:rPr>
      </w:pPr>
      <w:r w:rsidRPr="007739BD">
        <w:rPr>
          <w:rFonts w:eastAsia="Times New Roman" w:cs="Times New Roman"/>
          <w:i/>
          <w:szCs w:val="24"/>
        </w:rPr>
        <w:t xml:space="preserve">Social Responsibility in the Nonprofit Sector </w:t>
      </w:r>
    </w:p>
    <w:p w:rsidR="003662DF" w:rsidRPr="007739BD" w:rsidRDefault="003662DF" w:rsidP="007739BD">
      <w:pPr>
        <w:spacing w:after="0" w:line="480" w:lineRule="auto"/>
        <w:ind w:firstLine="708"/>
        <w:jc w:val="both"/>
        <w:rPr>
          <w:rFonts w:eastAsia="Calibri" w:cs="Times New Roman"/>
        </w:rPr>
      </w:pPr>
      <w:r w:rsidRPr="007739BD">
        <w:rPr>
          <w:rFonts w:eastAsia="Calibri" w:cs="Times New Roman"/>
        </w:rPr>
        <w:t xml:space="preserve">The applicability of the concept of CSR beyond traditional business has been debated as CSR extends to other organizational forms such as small and medium enterprises (e.g., </w:t>
      </w:r>
      <w:r w:rsidRPr="007739BD">
        <w:rPr>
          <w:rFonts w:eastAsia="Calibri" w:cs="Times New Roman"/>
          <w:szCs w:val="24"/>
        </w:rPr>
        <w:t>Amaeshi et al, 2016</w:t>
      </w:r>
      <w:r w:rsidRPr="007739BD">
        <w:rPr>
          <w:rFonts w:eastAsia="Calibri" w:cs="Times New Roman"/>
        </w:rPr>
        <w:t xml:space="preserve">), public organizations (e.g., Dentchev, Eiselein, &amp; Kayaert, 2018) and NPOs (e.g., Pope et al., 2018). As such, scholarly activity now includes various organizational settings despite the “corporate” limitation in the terminology used. Indeed, this general evolution of CSR has been captured by Bondy, Moon, and Matten (2012) with the notion of institution, used to describe that CSR has become a taken-for-granted concept spread outside the classical business spheres.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 xml:space="preserve">In light of traditional business, CSR is broadly defined as “companies taking responsibility for their impact on society” (EU Commission, 2011). This study draws on the large notion of social responsibility which encompasses the voluntary engagement for society (‘‘doing good’’) and the prevention of irresponsible behavior (‘‘avoiding bad’’) (e.g., Carroll, 1991; Lin-Hi et al., 2015). </w:t>
      </w:r>
      <w:r w:rsidRPr="007739BD">
        <w:rPr>
          <w:rFonts w:eastAsia="Calibri" w:cs="Times New Roman"/>
          <w:szCs w:val="20"/>
        </w:rPr>
        <w:t xml:space="preserve">As such, this paper builds on the small but growing body of research on social responsibility in the nonprofit domain (Lin-Hi et al., 2015; Pope et al., 2018). </w:t>
      </w:r>
      <w:r w:rsidRPr="007739BD">
        <w:rPr>
          <w:rFonts w:eastAsia="Calibri" w:cs="Times New Roman"/>
          <w:szCs w:val="24"/>
        </w:rPr>
        <w:t xml:space="preserve">When referring to this phenomenon, scholars have referred to CSR (e.g., Lin-Hi et al., 2015), nonprofit responsibility (e.g., Pope et al., 2018) or sustainability (e.g., Fifka et al., 2016).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lastRenderedPageBreak/>
        <w:t>These studies contend that the social nature and character of NPOs could mislead us into considering a NPO as being intrinsically socially responsible (Lin-Hi et al., 2015). Driven by their organizational purpose, the role of NPOs is to provide a ‘social good’ or service. NPOs are oriented toward social needs, influenced by public issues and changing public expectations (Selsky &amp; Parker, 2010)</w:t>
      </w:r>
      <w:r w:rsidRPr="007739BD">
        <w:rPr>
          <w:rFonts w:eastAsia="Calibri" w:cs="Times New Roman"/>
          <w:szCs w:val="24"/>
          <w:lang w:val="en-GB"/>
        </w:rPr>
        <w:t>.</w:t>
      </w:r>
      <w:r w:rsidRPr="007739BD">
        <w:rPr>
          <w:rFonts w:eastAsia="Calibri" w:cs="Times New Roman"/>
          <w:szCs w:val="24"/>
        </w:rPr>
        <w:t xml:space="preserve"> As noted by Lin-Hi et al., (2015) </w:t>
      </w:r>
      <w:r w:rsidRPr="007739BD">
        <w:rPr>
          <w:rFonts w:eastAsia="Calibri" w:cs="Times New Roman"/>
          <w:szCs w:val="24"/>
          <w:lang w:val="en-GB"/>
        </w:rPr>
        <w:t>“since NPOs engage themselves for the well-being of stakeholders and society as a whole by pursuing their social mission, CSR in terms of ‘‘doing good’’ is closely related to their core business” (p. 1963). Consequently</w:t>
      </w:r>
      <w:r w:rsidRPr="007739BD">
        <w:rPr>
          <w:rFonts w:eastAsia="Calibri" w:cs="Times New Roman"/>
          <w:szCs w:val="24"/>
        </w:rPr>
        <w:t xml:space="preserve">, one could consider that these NPOs are automatically seen as being socially responsible. However, NPO’s socially responsible behaviors should not be taken for granted given recent examples of irresponsible behaviors in the nonprofit sector (Lin-Hi et al., 2015). Moreover, the assumption that NPOs are socially responsible per se cannot be generalized to all NPOs. In the case of NPOSs delivering services to a small audience, such as sport organizations, considering the idea that NPOs are socially responsible is not valid because they only provide social good to their members and therefore contribute to the wellbeing of their members only.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 xml:space="preserve">Carroll (1991) contend that the economic and legal responsibilities are ‘required’ primary social responsibility, while the ethical responsibilities are ‘expected’, and the discretionary responsibilities are ‘desired’ secondary social responsibilities. Congruent with this distinction, NPOs have the potential to exert positive social change (Aguilera, Rupp, Williams, &amp; Ganapathi, 2007) by embracing socially responsible programs into their agenda through, but also far and beyond, their primary social purpose. Social responsibility is more than doing good to society by building on organization’s core mission as it may also extend beyond organizations’ social purpose and existing institutional norms. Socially responsible programs are projects that neither necessarily nor explicitly derive from their mission statement. Beyond providing basic social services, NPOs secondary responsibilities can also </w:t>
      </w:r>
      <w:r w:rsidRPr="007739BD">
        <w:rPr>
          <w:rFonts w:eastAsia="Calibri" w:cs="Times New Roman"/>
          <w:szCs w:val="24"/>
        </w:rPr>
        <w:lastRenderedPageBreak/>
        <w:t xml:space="preserve">consist in looking beyond their own interests and contribute to the needs of the community and society. In other words, although NPOs are social in nature and </w:t>
      </w:r>
      <w:r w:rsidRPr="007739BD">
        <w:rPr>
          <w:rFonts w:eastAsia="Calibri" w:cs="Times New Roman"/>
          <w:szCs w:val="24"/>
          <w:lang w:val="en-GB"/>
        </w:rPr>
        <w:t>already contribute to the well-being of society</w:t>
      </w:r>
      <w:r w:rsidRPr="007739BD">
        <w:rPr>
          <w:rFonts w:eastAsia="Calibri" w:cs="Times New Roman"/>
          <w:szCs w:val="24"/>
        </w:rPr>
        <w:t xml:space="preserve">, they can do more for society, beyond delivering social goods to their members. That is, they participate in the society carrying out activities in several environments through collaboration and interaction with various stakeholder groups (Acar et al., 2001; Misener &amp; Doherty, 2012; Lin-Hi et al., 2015; Robertson et al., 2018). For instance, Misener and Doherty (2012) found, contrary to the traditional notion that NPOs are the recipients of donations, examples that illustrated their desire to serve the community beyond providing basic sport services for members. They reported that clubs collaborated with other local NPOs to develop civic engagement among its athletes. </w:t>
      </w:r>
    </w:p>
    <w:p w:rsidR="003662DF" w:rsidRPr="007739BD" w:rsidRDefault="003662DF" w:rsidP="007739BD">
      <w:pPr>
        <w:spacing w:line="480" w:lineRule="auto"/>
        <w:ind w:firstLine="708"/>
        <w:rPr>
          <w:rFonts w:eastAsia="Calibri" w:cs="Times New Roman"/>
          <w:szCs w:val="20"/>
        </w:rPr>
      </w:pPr>
      <w:r w:rsidRPr="007739BD">
        <w:rPr>
          <w:rFonts w:eastAsia="Calibri" w:cs="Times New Roman"/>
          <w:szCs w:val="24"/>
        </w:rPr>
        <w:t>As CSR is sensitive to institutional context, core social mission and organizational characteristics (Athanasopoulou &amp; Selsky, 2015), we contend the need for differentiated research and distinctive approach to nonprofit social responsibility. Interestingly, Selsky and Parker (2010) noted:</w:t>
      </w:r>
    </w:p>
    <w:p w:rsidR="003662DF" w:rsidRPr="007739BD" w:rsidRDefault="003662DF" w:rsidP="007739BD">
      <w:pPr>
        <w:spacing w:line="480" w:lineRule="auto"/>
        <w:ind w:left="709" w:right="804" w:hanging="1"/>
        <w:rPr>
          <w:rFonts w:eastAsia="Calibri" w:cs="Times New Roman"/>
          <w:szCs w:val="24"/>
        </w:rPr>
      </w:pPr>
      <w:r w:rsidRPr="007739BD">
        <w:rPr>
          <w:rFonts w:eastAsia="Calibri" w:cs="Times New Roman"/>
          <w:szCs w:val="24"/>
        </w:rPr>
        <w:t xml:space="preserve">“Organizations in every sector are confronted by and must respond to social challenges. Yet, long established sectoral differences have traditionally led organizations to frame social challenges in different ways and to address them with different ends in mind” (p. 21). </w:t>
      </w:r>
    </w:p>
    <w:p w:rsidR="003662DF" w:rsidRPr="007739BD" w:rsidRDefault="003662DF" w:rsidP="007739BD">
      <w:pPr>
        <w:spacing w:after="0" w:line="480" w:lineRule="auto"/>
        <w:ind w:firstLine="708"/>
        <w:rPr>
          <w:rFonts w:eastAsia="Calibri" w:cs="Times New Roman"/>
        </w:rPr>
      </w:pPr>
      <w:r w:rsidRPr="007739BD">
        <w:rPr>
          <w:rFonts w:eastAsia="Calibri" w:cs="Times New Roman"/>
          <w:szCs w:val="24"/>
        </w:rPr>
        <w:t xml:space="preserve">Thus, in line with Selsky and Parker (2010), we posit that the mature presence of NPOs in CSR-related process as well as the reported socially responsible NPOs behavior may call for an examination of the related collaborative means chosen to deliver social responsibility. Moreover, </w:t>
      </w:r>
      <w:r w:rsidRPr="007739BD">
        <w:rPr>
          <w:rFonts w:eastAsia="Calibri" w:cs="Times New Roman"/>
        </w:rPr>
        <w:t>Austin and Seitanidi (2012a) argued that “NPOs have embraced collaboration with business as an important mode for the generation of value required for successfully meeting their missions” (p. 9).</w:t>
      </w:r>
      <w:r w:rsidRPr="007739BD">
        <w:rPr>
          <w:rFonts w:eastAsia="Calibri" w:cs="Times New Roman"/>
          <w:szCs w:val="24"/>
        </w:rPr>
        <w:t xml:space="preserve"> </w:t>
      </w:r>
      <w:r w:rsidRPr="007739BD">
        <w:rPr>
          <w:rFonts w:eastAsia="Calibri" w:cs="Times New Roman"/>
        </w:rPr>
        <w:t xml:space="preserve">Consequently, insights in the motivations for </w:t>
      </w:r>
      <w:r w:rsidRPr="007739BD">
        <w:rPr>
          <w:rFonts w:eastAsia="Calibri" w:cs="Times New Roman"/>
        </w:rPr>
        <w:lastRenderedPageBreak/>
        <w:t xml:space="preserve">nonprofit collaboration for </w:t>
      </w:r>
      <w:r w:rsidRPr="007739BD">
        <w:rPr>
          <w:rFonts w:eastAsia="Calibri" w:cs="Times New Roman"/>
          <w:szCs w:val="24"/>
        </w:rPr>
        <w:t>socially responsible programs</w:t>
      </w:r>
      <w:r w:rsidRPr="007739BD">
        <w:rPr>
          <w:rFonts w:eastAsia="Calibri" w:cs="Times New Roman"/>
        </w:rPr>
        <w:t xml:space="preserve"> are necessary to understand how such intra-sectoral collaboration can create value. </w:t>
      </w:r>
    </w:p>
    <w:p w:rsidR="003662DF" w:rsidRPr="007739BD" w:rsidRDefault="003662DF" w:rsidP="007739BD">
      <w:pPr>
        <w:keepNext/>
        <w:keepLines/>
        <w:spacing w:after="0" w:line="480" w:lineRule="auto"/>
        <w:outlineLvl w:val="2"/>
        <w:rPr>
          <w:rFonts w:eastAsia="Times New Roman" w:cs="Times New Roman"/>
          <w:i/>
          <w:szCs w:val="24"/>
        </w:rPr>
      </w:pPr>
      <w:r w:rsidRPr="007739BD">
        <w:rPr>
          <w:rFonts w:eastAsia="Times New Roman" w:cs="Times New Roman"/>
          <w:i/>
          <w:szCs w:val="24"/>
        </w:rPr>
        <w:t>Nonprofit Collaboration Formation</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 xml:space="preserve">A rich and diverse body of research has focused on nonprofit collaboration that spans from within-sector (i.e., among organizations from the nonprofit sector) to multi-sector partnerships (i.e., between organizations from two or more sectors) (Gazley &amp; Guo, 2015). This study delimits itself in collaboration among NPOs. Therefore, we invariably utilize nonprofit collaboration when examining within-sector collaboration. </w:t>
      </w:r>
    </w:p>
    <w:p w:rsidR="003662DF" w:rsidRPr="007739BD" w:rsidRDefault="003662DF" w:rsidP="007739BD">
      <w:pPr>
        <w:spacing w:after="0" w:line="480" w:lineRule="auto"/>
        <w:ind w:firstLine="708"/>
        <w:rPr>
          <w:rFonts w:eastAsia="Times New Roman" w:cs="Times New Roman"/>
          <w:szCs w:val="24"/>
        </w:rPr>
      </w:pPr>
      <w:r w:rsidRPr="007739BD">
        <w:rPr>
          <w:rFonts w:eastAsia="Calibri" w:cs="Times New Roman"/>
          <w:szCs w:val="24"/>
        </w:rPr>
        <w:t>In the nonprofit collaboration literature, most studies investigating within-sector collaboration have looked at the types of collaboration (Foster &amp; Meinhard 2002; Guo &amp; Acar, 2005; Proulx, Hager, &amp; Klein, 2014), the formation (AbouAssi, Makhlouf, &amp; Whalen, 2016; Snavely &amp; Tracy, 2002; Sowa, 2009), the process (Tsais, 2009; Walters &amp; Anagnostopoulos, 2012) and the impact (Arya &amp; Lin, 2007; Chen &amp; Graddy, 2010), and termination (Hu, Guo, &amp; Bies, 2016). In the sport literature,</w:t>
      </w:r>
      <w:r w:rsidRPr="007739BD">
        <w:rPr>
          <w:rFonts w:eastAsia="Times New Roman" w:cs="Times New Roman"/>
          <w:szCs w:val="24"/>
        </w:rPr>
        <w:t xml:space="preserve"> special attention was paid on sport federations and sport clubs collaborative capacity (Doherty, Misener, &amp; Cuskelly, 2014) to deliver various sport services (Sotiriadou, Bowens, De Bosscher, &amp; Cuskelly, 2017; Vos &amp; Scheerder, 2014)</w:t>
      </w:r>
      <w:r w:rsidRPr="007739BD">
        <w:rPr>
          <w:rFonts w:eastAsia="Calibri" w:cs="Times New Roman"/>
          <w:szCs w:val="24"/>
        </w:rPr>
        <w:t>.</w:t>
      </w:r>
    </w:p>
    <w:p w:rsidR="003662DF" w:rsidRPr="007739BD" w:rsidRDefault="003662DF" w:rsidP="007739BD">
      <w:pPr>
        <w:spacing w:line="480" w:lineRule="auto"/>
        <w:ind w:firstLine="709"/>
        <w:rPr>
          <w:rFonts w:eastAsia="Calibri" w:cs="Times New Roman"/>
          <w:szCs w:val="24"/>
        </w:rPr>
      </w:pPr>
      <w:r w:rsidRPr="007739BD">
        <w:rPr>
          <w:rFonts w:eastAsia="Calibri" w:cs="Times New Roman"/>
          <w:szCs w:val="24"/>
        </w:rPr>
        <w:t xml:space="preserve">Collaboration formation informs the decision by organizations to collaborate (Selsky &amp; Parker, 2005). Initial conditions, antecedents, preconditions, and motivations are frequent areas in the collaboration formation literature (Austin &amp; Seitanidi, 2012b). The formation is described as an important precondition to collaboration (Bryson et al., 2015). Most efforts in the nonprofit collaboration literature relate to the motivations to form collaboration for services delivery (i.e. programmatic needs in line with organizational goals including social and elite sport services) (Chen &amp; Graddy, 2010; Snavely &amp; Tracy, 2002; Sotiriadou et al., 2017; Sowa, 2009), the factors associated with collaboration forms (Guo &amp; Acar, 2005; </w:t>
      </w:r>
      <w:r w:rsidRPr="007739BD">
        <w:rPr>
          <w:rFonts w:eastAsia="Calibri" w:cs="Times New Roman"/>
          <w:szCs w:val="24"/>
        </w:rPr>
        <w:lastRenderedPageBreak/>
        <w:t xml:space="preserve">Proulx et al., 2014), the antecedents and capacity (AbouAssi et al., 2016; Foster &amp; Meinhard, 2002), and the partners selection (Atouba &amp; Shumate, 2015).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 xml:space="preserve">For instance, Sowa (2009) suggested two motivation levels: motivations associated with the service delivered and the organization. Guo and Acar (2005) examined the factors that drive the implementation of formalized nonprofit collaboration - with age, size, budget, linkages with other nonprofits and industry influencing the formalization. Atouba and Shumate (2015) examined the factors that affect the structure and configurations of collaborations – why NPOs collaborate with particular partners. The crux of their work is that homophily – similarity in terms of attributes, geography and institutional – matters in nonprofit collaboration. </w:t>
      </w:r>
    </w:p>
    <w:p w:rsidR="003662DF" w:rsidRPr="007739BD" w:rsidRDefault="003662DF" w:rsidP="007739BD">
      <w:pPr>
        <w:keepNext/>
        <w:keepLines/>
        <w:spacing w:after="0" w:line="480" w:lineRule="auto"/>
        <w:outlineLvl w:val="2"/>
        <w:rPr>
          <w:rFonts w:eastAsia="Times New Roman" w:cs="Times New Roman"/>
          <w:i/>
          <w:szCs w:val="24"/>
          <w:lang w:val="en-GB"/>
        </w:rPr>
      </w:pPr>
      <w:r w:rsidRPr="007739BD">
        <w:rPr>
          <w:rFonts w:eastAsia="Times New Roman" w:cs="Times New Roman"/>
          <w:i/>
          <w:szCs w:val="24"/>
        </w:rPr>
        <w:t xml:space="preserve">Motives for nonprofit collaboration for socially responsible programs </w:t>
      </w:r>
    </w:p>
    <w:p w:rsidR="003662DF" w:rsidRPr="007739BD" w:rsidRDefault="003662DF" w:rsidP="007739BD">
      <w:pPr>
        <w:tabs>
          <w:tab w:val="left" w:pos="7938"/>
        </w:tabs>
        <w:spacing w:after="0" w:line="480" w:lineRule="auto"/>
        <w:ind w:firstLine="708"/>
        <w:rPr>
          <w:rFonts w:eastAsia="Calibri" w:cs="Times New Roman"/>
          <w:szCs w:val="24"/>
        </w:rPr>
      </w:pPr>
      <w:r w:rsidRPr="007739BD">
        <w:rPr>
          <w:rFonts w:eastAsia="Calibri" w:cs="Times New Roman"/>
          <w:lang w:val="en-GB"/>
        </w:rPr>
        <w:t>Empirical insights from</w:t>
      </w:r>
      <w:r w:rsidRPr="007739BD">
        <w:rPr>
          <w:rFonts w:eastAsia="Calibri" w:cs="Times New Roman"/>
        </w:rPr>
        <w:t xml:space="preserve"> nonprofit collaboration literature might not necessarily help us understand the motives for engaging in discretionary-based socially responsible initiatives. </w:t>
      </w:r>
      <w:r w:rsidRPr="007739BD">
        <w:rPr>
          <w:rFonts w:eastAsia="Calibri" w:cs="Times New Roman"/>
          <w:szCs w:val="24"/>
        </w:rPr>
        <w:t xml:space="preserve">NPOs seem to be driven by resource motives in the case of cross-sectoral collaborations (Omar et al., 2014). Collaborations provide access to additional resources, to learn skills, to professionalize and eventually strengthen legitimacy (Austin, 2000; Herlin, 2013). However, what drives NPOs to collaborate to deliver socially responsible programs and what can they benefit from collaborating for non-mission related actions with likeminded partners remain unknown. Other motives might be at play, and traditional theories and existing studies on nonprofit collaboration (Austin, 2000; Sowa, 2009) seem to be unable to explain or do not fully apply to this collaboration form. </w:t>
      </w:r>
      <w:r w:rsidRPr="007739BD">
        <w:rPr>
          <w:rFonts w:eastAsia="Calibri" w:cs="Times New Roman"/>
          <w:lang w:val="en-GB"/>
        </w:rPr>
        <w:t xml:space="preserve">Potential differences in benefits for the NPOs pose critical new research questions that have not been adequately addressed. </w:t>
      </w:r>
    </w:p>
    <w:p w:rsidR="003662DF" w:rsidRPr="007739BD" w:rsidRDefault="003662DF" w:rsidP="007739BD">
      <w:pPr>
        <w:tabs>
          <w:tab w:val="left" w:pos="7938"/>
        </w:tabs>
        <w:spacing w:after="0" w:line="480" w:lineRule="auto"/>
        <w:ind w:firstLine="708"/>
        <w:rPr>
          <w:rFonts w:eastAsia="Calibri" w:cs="Times New Roman"/>
          <w:szCs w:val="24"/>
        </w:rPr>
      </w:pPr>
      <w:r w:rsidRPr="007739BD">
        <w:rPr>
          <w:rFonts w:eastAsia="Calibri" w:cs="Times New Roman"/>
          <w:szCs w:val="24"/>
        </w:rPr>
        <w:t>Bryson, Crosby, and Stone (2015) as well as Gazley and Guo (2015) note that insufficient attention has been paid to the characteristics of forms of nonprofit collaborations.</w:t>
      </w:r>
      <w:r w:rsidRPr="007739BD">
        <w:rPr>
          <w:rFonts w:eastAsia="Calibri" w:cs="Times New Roman"/>
        </w:rPr>
        <w:t xml:space="preserve"> Earlier studies (Sowa, 2009; Sotiriadou et al., 2017) suggest that the motivations for nonprofit </w:t>
      </w:r>
      <w:r w:rsidRPr="007739BD">
        <w:rPr>
          <w:rFonts w:eastAsia="Calibri" w:cs="Times New Roman"/>
        </w:rPr>
        <w:lastRenderedPageBreak/>
        <w:t xml:space="preserve">collaboration could be influenced by the nature of the service delivered. Accordingly, the motivations to collaborate for socially responsible programs could differ from other collaboration forms because </w:t>
      </w:r>
      <w:r w:rsidRPr="007739BD">
        <w:rPr>
          <w:rFonts w:eastAsia="Calibri" w:cs="Times New Roman"/>
          <w:szCs w:val="24"/>
        </w:rPr>
        <w:t>the creation of positive social change (Aguilera et al., 2007) underpins these collaborations. Collaborations represent an important vehicle to implement socially responsible programs, as they have the ability to co-create value for both partners (Austin &amp; Seitanidi, 2012a). Yet, whether this value co-creation also applies to within sector collaborations remains unexplored.</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Multiple perspectives</w:t>
      </w:r>
      <w:r w:rsidRPr="007739BD">
        <w:rPr>
          <w:rFonts w:eastAsia="Times New Roman" w:cs="Times New Roman"/>
          <w:szCs w:val="24"/>
        </w:rPr>
        <w:t xml:space="preserve"> (such as </w:t>
      </w:r>
      <w:r w:rsidRPr="007739BD">
        <w:rPr>
          <w:rFonts w:eastAsia="Calibri" w:cs="Times New Roman"/>
          <w:szCs w:val="24"/>
        </w:rPr>
        <w:t xml:space="preserve">institutional theory, stakeholder theory, resource dependence theory, transaction cost theory, or network theory to name but a few) have been employed to theoretically underpin the study of collaboration (e.g., Barringer &amp; Harrison, 2000; Guo &amp; Acar, 2005). Responding to warnings that collaborations cannot be explained by a single theoretical approach (Barringer &amp; Harrison, 2000; Oliver, 1990), the present study is also fundamentally guided by principles found in institutional (Oliver, 1990) and resource-based view perspectives (Barney, 1991). The interplay between institutional and resource lenses has already been acknowledged in collaboration studies with multiple perspectives (Barringer &amp; Harrisson, 2000) and is particularly relevant in the CSR context (Aguilera et al., 2007). Resource-based view and institutional theory have been often used as theoretical frameworks to examine nonprofit organizational motivations. </w:t>
      </w:r>
    </w:p>
    <w:p w:rsidR="003662DF" w:rsidRPr="007739BD" w:rsidRDefault="003662DF" w:rsidP="007739BD">
      <w:pPr>
        <w:keepNext/>
        <w:spacing w:before="240" w:after="60" w:line="480" w:lineRule="auto"/>
        <w:ind w:firstLine="709"/>
        <w:outlineLvl w:val="3"/>
        <w:rPr>
          <w:rFonts w:eastAsia="Times New Roman" w:cs="Times New Roman"/>
          <w:bCs/>
          <w:i/>
          <w:szCs w:val="28"/>
          <w:lang w:eastAsia="fr-BE"/>
        </w:rPr>
      </w:pPr>
      <w:r w:rsidRPr="007739BD">
        <w:rPr>
          <w:rFonts w:eastAsia="Times New Roman" w:cs="Times New Roman"/>
          <w:bCs/>
          <w:i/>
          <w:szCs w:val="28"/>
          <w:lang w:eastAsia="fr-BE"/>
        </w:rPr>
        <w:t xml:space="preserve">Institutional forces and legitimacy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lang w:eastAsia="fr-BE"/>
        </w:rPr>
        <w:t xml:space="preserve">Institutional </w:t>
      </w:r>
      <w:r w:rsidRPr="007739BD">
        <w:rPr>
          <w:rFonts w:eastAsia="Calibri" w:cs="Times New Roman"/>
          <w:szCs w:val="24"/>
        </w:rPr>
        <w:t xml:space="preserve">theory suggests that the environment pressures organizations to conform to prevailing rules, requirements and social norms (DiMaggio &amp; Powell, 1983). These pressures stimulate organizations to pursue activities that may eventually increase their legitimacy and cause them to appear compliant with their environment (Oliver, 1990; Barringer &amp; Harrisson, 2000).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lastRenderedPageBreak/>
        <w:t>Coercive, mimetic and normative pressures can explain why organizations are driven similarly (DiMaggio &amp; Powell, 1983)</w:t>
      </w:r>
      <w:r w:rsidRPr="007739BD">
        <w:rPr>
          <w:rFonts w:eastAsia="Calibri" w:cs="Times New Roman"/>
          <w:i/>
          <w:szCs w:val="24"/>
        </w:rPr>
        <w:t xml:space="preserve">. </w:t>
      </w:r>
      <w:r w:rsidRPr="007739BD">
        <w:rPr>
          <w:rFonts w:eastAsia="Calibri" w:cs="Times New Roman"/>
          <w:szCs w:val="24"/>
        </w:rPr>
        <w:t>Coercive pressure stems from pressures on the organizations by other organizations on which the former depends.</w:t>
      </w:r>
      <w:r w:rsidRPr="007739BD">
        <w:rPr>
          <w:rFonts w:eastAsia="Calibri" w:cs="Times New Roman"/>
          <w:i/>
          <w:szCs w:val="24"/>
        </w:rPr>
        <w:t xml:space="preserve"> </w:t>
      </w:r>
      <w:r w:rsidRPr="007739BD">
        <w:rPr>
          <w:rFonts w:eastAsia="Calibri" w:cs="Times New Roman"/>
          <w:szCs w:val="24"/>
        </w:rPr>
        <w:t xml:space="preserve">For instance, NPOs collaborate to meet legal requirements and mandates such as new reporting standards from higher authorities (Guo &amp; Acar, 2005). Mimetic isomorphism is the process in which organizations copy other organizations’ legitimate behavior. Consistently, NPOs may collaborate for socially responsible programs by mimicking successful organizations that have established best practices such as collaboration and/or social responsibility (Barringer &amp; Harrisson, 2000). For instance, nonprofit collaboration are increasingly popular in the nonprofit sector to deliver their core purpose, such as in the case of early care services (Sowa, 2006). Normative isomorphism refers to professional networks and industry standards that contribute to spreading ideas, models and normative rules. For instance, the ISO and GRI guidelines are important forces facing NPOs and seem to be contributing to the increasing adoption of socially responsible programs (Pope et al., 2018). Such standards are actively </w:t>
      </w:r>
      <w:r w:rsidRPr="007739BD">
        <w:rPr>
          <w:rFonts w:eastAsia="Calibri" w:cs="Times New Roman"/>
          <w:lang w:val="en-GB"/>
        </w:rPr>
        <w:t>promoted as one of the preferred ways to meet social needs.</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Institutional theory is valuable in explaining why NPOs collaborate for socially responsible programs because it captures the related external social context (Athanasopoulou &amp; Selsky, 2015). NPOs are pressured to form collaboration for socially responsible programs because t</w:t>
      </w:r>
      <w:r w:rsidRPr="007739BD">
        <w:rPr>
          <w:rFonts w:eastAsia="Calibri" w:cs="Times New Roman"/>
        </w:rPr>
        <w:t>he number of NPOs engaged in collaboration has increased and may therefore become an institutionalized practice in the nonprofit sector (</w:t>
      </w:r>
      <w:r w:rsidRPr="007739BD">
        <w:rPr>
          <w:rFonts w:eastAsia="Calibri" w:cs="Times New Roman"/>
          <w:szCs w:val="24"/>
        </w:rPr>
        <w:t>Proulx et al., 2014)</w:t>
      </w:r>
      <w:r w:rsidRPr="007739BD">
        <w:rPr>
          <w:rFonts w:eastAsia="Calibri" w:cs="Times New Roman"/>
        </w:rPr>
        <w:t xml:space="preserve">. </w:t>
      </w:r>
      <w:r w:rsidRPr="007739BD">
        <w:rPr>
          <w:rFonts w:eastAsia="Calibri" w:cs="Times New Roman"/>
          <w:szCs w:val="24"/>
        </w:rPr>
        <w:t xml:space="preserve">Institutional forces have also been used in nonprofit collaboration studies to examine why NPOs collaborate for legitimacy purposes (Sotiriadou et al., 2017; Sowa, 2009, Guo &amp; Acar, 2005). These studies have particularly depicted normative and coercive pressures acting as driving forces for NPOs (Chen &amp; Graddy, 2010; Guo &amp; Acar, 2005; Snalvey &amp; Tracy, 2000; Sowa, 2009).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rPr>
        <w:lastRenderedPageBreak/>
        <w:t>Moreover, c</w:t>
      </w:r>
      <w:r w:rsidRPr="007739BD">
        <w:rPr>
          <w:rFonts w:eastAsia="Calibri" w:cs="Times New Roman"/>
          <w:szCs w:val="24"/>
        </w:rPr>
        <w:t xml:space="preserve">ollaborations have become particularly commonplace and legitimate means in the realm of CSR (Herlin, 2013). Studies found that it allows a win-win scenario for both partners, </w:t>
      </w:r>
      <w:r w:rsidRPr="007739BD">
        <w:rPr>
          <w:rFonts w:eastAsia="Calibri" w:cs="Times New Roman"/>
          <w:lang w:val="en-GB"/>
        </w:rPr>
        <w:t>simultaneously ensuring CSR and allowing NPOs to increase their capacity in the fight against global problems</w:t>
      </w:r>
      <w:r w:rsidRPr="007739BD">
        <w:rPr>
          <w:rFonts w:eastAsia="Calibri" w:cs="Times New Roman"/>
          <w:szCs w:val="24"/>
        </w:rPr>
        <w:t xml:space="preserve">.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szCs w:val="24"/>
        </w:rPr>
        <w:t>Furthermore, i</w:t>
      </w:r>
      <w:r w:rsidRPr="007739BD">
        <w:rPr>
          <w:rFonts w:eastAsia="Calibri" w:cs="Times New Roman"/>
          <w:szCs w:val="24"/>
          <w:lang w:eastAsia="fr-BE"/>
        </w:rPr>
        <w:t xml:space="preserve">nstitutional forces are encouraging NPOs to adopt socially responsible behavior. </w:t>
      </w:r>
      <w:r w:rsidRPr="007739BD">
        <w:rPr>
          <w:rFonts w:eastAsia="Calibri" w:cs="Times New Roman"/>
          <w:szCs w:val="24"/>
        </w:rPr>
        <w:t xml:space="preserve">Robertson et al. (2018) indeed showed that community sport organizations face increasing pressures from stakeholders to devote resources to socially responsible programs. Societal expectations also apply to NPOs because of their significant scale and aggregate social achievements (Austin, 2000) as well as sports negative impact (i.e., environmental negative externalities and irresponsible behavior should be compensated by socially responsible programs). </w:t>
      </w:r>
    </w:p>
    <w:p w:rsidR="003662DF" w:rsidRPr="007739BD" w:rsidRDefault="003662DF" w:rsidP="007739BD">
      <w:pPr>
        <w:spacing w:after="0" w:line="480" w:lineRule="auto"/>
        <w:ind w:firstLine="708"/>
        <w:rPr>
          <w:rFonts w:eastAsia="Calibri" w:cs="Times New Roman"/>
          <w:szCs w:val="24"/>
          <w:u w:val="single"/>
        </w:rPr>
      </w:pPr>
      <w:r w:rsidRPr="007739BD">
        <w:rPr>
          <w:rFonts w:eastAsia="Calibri" w:cs="Times New Roman"/>
          <w:szCs w:val="24"/>
        </w:rPr>
        <w:t xml:space="preserve">Organizational compliance eventually ensures organizational survival, acceptance and legitimacy (Oliver, 1990). A central premise of institutional theory is indeed legitimacy, defined as “a generalized perception or assumption that the actions of an entity are socially desirable, proper or appropriate within some socially constructed system of norms, value, beliefs and definitions” (Suchman, 1995, p. 574). Accordingly, </w:t>
      </w:r>
      <w:r w:rsidRPr="007739BD">
        <w:rPr>
          <w:rFonts w:eastAsia="Calibri" w:cs="Times New Roman"/>
          <w:szCs w:val="24"/>
          <w:lang w:eastAsia="fr-BE"/>
        </w:rPr>
        <w:t xml:space="preserve">Sotiriadou et al. (2017) suggested that when collaborating with clubs for elite sport services, sport federations primarily seek legitimacy, understood as enhanced reputation as a center of expertise and a leading role in the implementation of this service. </w:t>
      </w:r>
      <w:r w:rsidRPr="007739BD">
        <w:rPr>
          <w:rFonts w:eastAsia="Calibri" w:cs="Times New Roman"/>
          <w:szCs w:val="24"/>
        </w:rPr>
        <w:t>Sowa (2009) further observed that NPOs are more likely to collaborate to seek legitimacy when funders place a high value on collaboration</w:t>
      </w:r>
      <w:r w:rsidRPr="007739BD">
        <w:rPr>
          <w:rFonts w:eastAsia="Calibri" w:cs="Times New Roman"/>
          <w:szCs w:val="24"/>
          <w:lang w:eastAsia="fr-BE"/>
        </w:rPr>
        <w:t xml:space="preserve">. </w:t>
      </w:r>
      <w:r w:rsidRPr="007739BD">
        <w:rPr>
          <w:rFonts w:eastAsia="Calibri" w:cs="Times New Roman"/>
          <w:szCs w:val="24"/>
        </w:rPr>
        <w:t xml:space="preserve">In that study, she also put forward that </w:t>
      </w:r>
      <w:r w:rsidRPr="007739BD">
        <w:rPr>
          <w:rFonts w:eastAsia="Calibri" w:cs="Times New Roman"/>
          <w:szCs w:val="24"/>
          <w:lang w:eastAsia="fr-BE"/>
        </w:rPr>
        <w:t>forces also drive NPOs to collaborate in a shared response to problems that cannot be dealt with at the individual organizational level.</w:t>
      </w:r>
      <w:r w:rsidRPr="007739BD">
        <w:rPr>
          <w:rFonts w:eastAsia="Calibri" w:cs="Times New Roman"/>
          <w:szCs w:val="24"/>
        </w:rPr>
        <w:t xml:space="preserve"> While institutional forces have been useful in explaining the external social context for social responsibility programs collaboration, t</w:t>
      </w:r>
      <w:r w:rsidRPr="007739BD">
        <w:rPr>
          <w:rFonts w:eastAsia="Calibri" w:cs="Times New Roman"/>
        </w:rPr>
        <w:t xml:space="preserve">his theoretical lens alone may be incomplete in </w:t>
      </w:r>
      <w:r w:rsidRPr="007739BD">
        <w:rPr>
          <w:rFonts w:eastAsia="Calibri" w:cs="Times New Roman"/>
        </w:rPr>
        <w:lastRenderedPageBreak/>
        <w:t>offering a more rounded perspective in what motivates likeminded NPOs to collaborate for such programs.</w:t>
      </w:r>
    </w:p>
    <w:p w:rsidR="003662DF" w:rsidRPr="007739BD" w:rsidRDefault="003662DF" w:rsidP="007739BD">
      <w:pPr>
        <w:keepNext/>
        <w:spacing w:before="240" w:after="60" w:line="480" w:lineRule="auto"/>
        <w:ind w:firstLine="709"/>
        <w:outlineLvl w:val="3"/>
        <w:rPr>
          <w:rFonts w:eastAsia="Times New Roman" w:cs="Times New Roman"/>
          <w:bCs/>
          <w:i/>
          <w:szCs w:val="28"/>
          <w:lang w:val="en-GB"/>
        </w:rPr>
      </w:pPr>
      <w:r w:rsidRPr="007739BD">
        <w:rPr>
          <w:rFonts w:eastAsia="Times New Roman" w:cs="Times New Roman"/>
          <w:bCs/>
          <w:i/>
          <w:szCs w:val="28"/>
        </w:rPr>
        <w:t>Resource Based-View Theory.</w:t>
      </w:r>
      <w:r w:rsidRPr="007739BD">
        <w:rPr>
          <w:rFonts w:eastAsia="Times New Roman" w:cs="Times New Roman"/>
          <w:bCs/>
          <w:i/>
          <w:szCs w:val="24"/>
        </w:rPr>
        <w:t xml:space="preserve"> </w:t>
      </w:r>
    </w:p>
    <w:p w:rsidR="003662DF" w:rsidRPr="007739BD" w:rsidRDefault="003662DF" w:rsidP="007739BD">
      <w:pPr>
        <w:spacing w:after="0" w:line="480" w:lineRule="auto"/>
        <w:rPr>
          <w:rFonts w:eastAsia="Calibri" w:cs="Times New Roman"/>
          <w:szCs w:val="24"/>
        </w:rPr>
      </w:pPr>
      <w:r w:rsidRPr="007739BD">
        <w:rPr>
          <w:rFonts w:eastAsia="Calibri" w:cs="Times New Roman"/>
        </w:rPr>
        <w:t xml:space="preserve">The resource based-view theory adds to our examination by bringing to the fore the importance of sharing resources as well as to accessing unavailable resources needed to achieve these programs. </w:t>
      </w:r>
      <w:r w:rsidRPr="007739BD">
        <w:rPr>
          <w:rFonts w:eastAsia="Calibri" w:cs="Times New Roman"/>
          <w:szCs w:val="24"/>
        </w:rPr>
        <w:t xml:space="preserve">This lens is used because collaboration for socially responsible programs is a strategic option, but not necessarily the core purpose of a sport’s reason for existence. NPOs typically are resource constrained (Wicker &amp; Breuer, 2013; Sowa, 2009) and therefore need to acquire additional resources to implement socially responsible programming. These resources could include for example human resources, financial, technological, infrastructure and channels to attract participants to these programs (AbouAssi et al., 2016). Viewed through the lens of the resource-based view (Barney, 1991) this need for resource exchange can explain why collaborations occur in relation to socially responsible programing in NPOs. Partners are seeking to acquire the complementary resources possessed by each other. In particular, NPOs constantly seek to diversify their source of funding and to leverage their capacity to become sustainable and effective in achieving their goals and programmatic needs (Arya &amp; Lin, 2007; Chen &amp; Graddy, 2010; Gazley &amp; Brudney, 2007; Omar et al., 2014; Sotiriadou et al., 2017). NPOs hold unique capacity, expertise of which human capital (AbouAssi et al., 2016) and specific expertise (Chen &amp; Graddy, 2010; Omar et al., 2014) are particularly salient. </w:t>
      </w:r>
    </w:p>
    <w:p w:rsidR="003662DF" w:rsidRPr="007739BD" w:rsidRDefault="003662DF" w:rsidP="007739BD">
      <w:pPr>
        <w:spacing w:after="0" w:line="480" w:lineRule="auto"/>
        <w:ind w:firstLine="708"/>
        <w:rPr>
          <w:rFonts w:eastAsia="Calibri" w:cs="Times New Roman"/>
          <w:szCs w:val="24"/>
        </w:rPr>
      </w:pPr>
      <w:r w:rsidRPr="007739BD">
        <w:rPr>
          <w:rFonts w:eastAsia="Calibri" w:cs="Times New Roman"/>
        </w:rPr>
        <w:t>In this respect, the resource based-view theory brings an important nuance to the study by providing understanding of why these organizations collaborate beyond the need to become less dependent on their environment.</w:t>
      </w:r>
      <w:r w:rsidRPr="007739BD">
        <w:rPr>
          <w:rFonts w:eastAsia="Calibri" w:cs="Times New Roman"/>
          <w:szCs w:val="24"/>
        </w:rPr>
        <w:t xml:space="preserve"> </w:t>
      </w:r>
      <w:r w:rsidRPr="007739BD">
        <w:rPr>
          <w:rFonts w:eastAsia="Calibri" w:cs="Times New Roman"/>
          <w:lang w:val="en-GB"/>
        </w:rPr>
        <w:t>The theoretical interplay</w:t>
      </w:r>
      <w:r w:rsidRPr="007739BD">
        <w:rPr>
          <w:rFonts w:eastAsia="Calibri" w:cs="Times New Roman"/>
          <w:szCs w:val="24"/>
        </w:rPr>
        <w:t xml:space="preserve"> between the institutional and resources-based view</w:t>
      </w:r>
      <w:r w:rsidRPr="007739BD">
        <w:rPr>
          <w:rFonts w:eastAsia="Calibri" w:cs="Times New Roman"/>
          <w:lang w:val="en-GB"/>
        </w:rPr>
        <w:t xml:space="preserve"> will allow us to discern the motivational forces behind collaboration for socially responsible programs. On the one hand, there may be pressures at </w:t>
      </w:r>
      <w:r w:rsidRPr="007739BD">
        <w:rPr>
          <w:rFonts w:eastAsia="Calibri" w:cs="Times New Roman"/>
          <w:lang w:val="en-GB"/>
        </w:rPr>
        <w:lastRenderedPageBreak/>
        <w:t xml:space="preserve">play, yet on the other hand, value co-creation can occur when the needed resources are used jointly. </w:t>
      </w:r>
      <w:r w:rsidRPr="007739BD">
        <w:rPr>
          <w:rFonts w:eastAsia="Times New Roman" w:cs="Times New Roman"/>
          <w:szCs w:val="24"/>
        </w:rPr>
        <w:t>O</w:t>
      </w:r>
      <w:r w:rsidRPr="007739BD">
        <w:rPr>
          <w:rFonts w:eastAsia="Calibri" w:cs="Times New Roman"/>
          <w:szCs w:val="24"/>
        </w:rPr>
        <w:t>verall, the theoretical interplay is fundamental, as collaborating may improve NPOs’ image, which in turn may attract new or additional resources. As noted by Herlin (2013), “In the case of NPOs, resource acquisition and mission attainment depend on organizational legitimacy because legitimate organizations are perceived as “more meaningful, more predictable and more trustworthy” (Schuman, 1995, p. 575)” (p. 4). Engaging in collaboration for socially responsible programs could allow an NPO to improve its reputation or image and impress other members in its network such as resource-granting agencies, external stakeholders, or the general public (Herlin, 2013). Ultimately, legitimacy might open the doors to other collaboration that may ensure new resources and expertise (Barringer &amp; Harrison, 2000; Herlin, 2013; Selsky &amp; Parker, 2005).</w:t>
      </w:r>
    </w:p>
    <w:p w:rsidR="003662DF" w:rsidRPr="007739BD" w:rsidRDefault="003662DF" w:rsidP="007739BD">
      <w:pPr>
        <w:keepNext/>
        <w:keepLines/>
        <w:spacing w:before="40" w:after="0" w:line="480" w:lineRule="auto"/>
        <w:jc w:val="center"/>
        <w:outlineLvl w:val="1"/>
        <w:rPr>
          <w:rFonts w:eastAsia="Times New Roman" w:cs="Times New Roman"/>
          <w:b/>
          <w:szCs w:val="26"/>
        </w:rPr>
      </w:pPr>
      <w:r w:rsidRPr="007739BD">
        <w:rPr>
          <w:rFonts w:eastAsia="Times New Roman" w:cs="Times New Roman"/>
          <w:b/>
          <w:szCs w:val="26"/>
        </w:rPr>
        <w:t>Method</w:t>
      </w:r>
    </w:p>
    <w:p w:rsidR="003662DF" w:rsidRPr="007739BD" w:rsidRDefault="003662DF" w:rsidP="007739BD">
      <w:pPr>
        <w:spacing w:after="0" w:line="480" w:lineRule="auto"/>
        <w:ind w:firstLine="709"/>
        <w:rPr>
          <w:rFonts w:eastAsia="Calibri" w:cs="Times New Roman"/>
          <w:szCs w:val="20"/>
        </w:rPr>
      </w:pPr>
      <w:r w:rsidRPr="007739BD">
        <w:rPr>
          <w:rFonts w:eastAsia="Calibri" w:cs="Times New Roman"/>
          <w:szCs w:val="24"/>
        </w:rPr>
        <w:t>The study adopts an interpretative and embedded single-case study design (Yin, 2013) which has often been used in previous studies on collaboration (Austin, 2000).</w:t>
      </w:r>
      <w:r w:rsidRPr="007739BD">
        <w:rPr>
          <w:rFonts w:eastAsia="Calibri" w:cs="Times New Roman"/>
          <w:sz w:val="28"/>
          <w:szCs w:val="24"/>
        </w:rPr>
        <w:t xml:space="preserve"> </w:t>
      </w:r>
      <w:r w:rsidRPr="007739BD">
        <w:rPr>
          <w:rFonts w:eastAsia="TimesNewRomanPSMT" w:cs="Times New Roman"/>
          <w:lang w:eastAsia="en-GB"/>
        </w:rPr>
        <w:t xml:space="preserve">Single case studies </w:t>
      </w:r>
      <w:r w:rsidRPr="007739BD">
        <w:rPr>
          <w:rFonts w:eastAsia="Calibri" w:cs="Times New Roman"/>
          <w:szCs w:val="20"/>
        </w:rPr>
        <w:t xml:space="preserve">are appropriate because they enable theory testing, provide alternative explanations, and contribute to refine existing theory through replication (Gerring, 2004; Yin, 2013). This study does not support that its findings are generalizable across all NPOs. However, it uncovers conceptual and empirical patterns of nonprofit collaboration that may be transferable to other settings with similar context and characteristics. </w:t>
      </w:r>
      <w:r w:rsidRPr="007739BD">
        <w:rPr>
          <w:rFonts w:eastAsia="Calibri" w:cs="Times New Roman"/>
          <w:szCs w:val="24"/>
        </w:rPr>
        <w:t xml:space="preserve">The unit of analysis is the within-sector collaboration between sport federations and sport clubs for socially responsible programs. </w:t>
      </w:r>
    </w:p>
    <w:p w:rsidR="003662DF" w:rsidRPr="007739BD" w:rsidRDefault="003662DF" w:rsidP="007739BD">
      <w:pPr>
        <w:keepNext/>
        <w:keepLines/>
        <w:spacing w:after="0" w:line="480" w:lineRule="auto"/>
        <w:ind w:left="708" w:firstLine="709"/>
        <w:outlineLvl w:val="2"/>
        <w:rPr>
          <w:rFonts w:eastAsia="Times New Roman" w:cs="Times New Roman"/>
          <w:b/>
          <w:i/>
          <w:szCs w:val="24"/>
        </w:rPr>
      </w:pPr>
      <w:r w:rsidRPr="007739BD">
        <w:rPr>
          <w:rFonts w:eastAsia="Times New Roman" w:cs="Times New Roman"/>
          <w:b/>
          <w:i/>
          <w:szCs w:val="24"/>
        </w:rPr>
        <w:t xml:space="preserve">Research Setting </w:t>
      </w:r>
    </w:p>
    <w:p w:rsidR="003662DF" w:rsidRPr="007739BD" w:rsidRDefault="003662DF" w:rsidP="007739BD">
      <w:pPr>
        <w:spacing w:after="120" w:line="480" w:lineRule="auto"/>
        <w:ind w:firstLine="709"/>
        <w:rPr>
          <w:rFonts w:eastAsia="Times New Roman" w:cs="Times New Roman"/>
          <w:strike/>
          <w:szCs w:val="24"/>
        </w:rPr>
      </w:pPr>
      <w:r w:rsidRPr="007739BD">
        <w:rPr>
          <w:rFonts w:eastAsia="Times New Roman" w:cs="Times New Roman"/>
          <w:szCs w:val="24"/>
        </w:rPr>
        <w:t>This research was conducted among national (Association Royale Belge de Hockey – ARBH) and regional (Ligue Francophone de Hockey - LFH) sports federations and sports clubs operating in the French-speaking part of Belgium. Sports federations are sport-</w:t>
      </w:r>
      <w:r w:rsidRPr="007739BD">
        <w:rPr>
          <w:rFonts w:eastAsia="Times New Roman" w:cs="Times New Roman"/>
          <w:szCs w:val="24"/>
        </w:rPr>
        <w:lastRenderedPageBreak/>
        <w:t>governing bodies that organize sports activities and competitions for their members (Winand et al., 2013). ARBH is responsible for the representation of the sports discipline in international sports structures, the national teams, the organization of international and national competition, and the coordination of regional structures. LFH is in charge of defining the strategic goals, the regulation, the promotion and organization of regional and local competitions, sports activities and elite sports policy for their members. At the local level, a dense network of nonprofit sports clubs is responsible for the provision of grassroots sports (Vos &amp; Scheerder, 2014).</w:t>
      </w:r>
    </w:p>
    <w:p w:rsidR="003662DF" w:rsidRPr="007739BD" w:rsidRDefault="003662DF" w:rsidP="007739BD">
      <w:pPr>
        <w:spacing w:after="120" w:line="480" w:lineRule="auto"/>
        <w:ind w:firstLine="708"/>
        <w:rPr>
          <w:rFonts w:eastAsia="Times New Roman" w:cs="Times New Roman"/>
          <w:szCs w:val="24"/>
        </w:rPr>
      </w:pPr>
      <w:r w:rsidRPr="007739BD">
        <w:rPr>
          <w:rFonts w:eastAsia="Times New Roman" w:cs="Times New Roman"/>
          <w:szCs w:val="24"/>
        </w:rPr>
        <w:t>Sports federations and sports clubs are nonprofit, service membership organizations (Doherty et al., 2014). Specific characteristics of NPOs in general are found in these particular NPOs (Winand et al., 2010). First, their strategic objectives are mostly intangible, and hence, difficult to measure. Second, they are required to meet their stakeholders’ needs and expectations. Third, they are financially constrained, especially due to the annual funding received from public authorities, member fees and the infrastructure costs. Fourth, their internal functioning is often unclear due to the complex human resource balance between paid staff and volunteers (Wicker &amp; Breuer, 2013; Winand et al., 2010).</w:t>
      </w:r>
      <w:r w:rsidRPr="007739BD">
        <w:rPr>
          <w:rFonts w:eastAsia="Calibri" w:cs="Times New Roman"/>
          <w:szCs w:val="24"/>
        </w:rPr>
        <w:t xml:space="preserve"> Fifth, they have a small-scale decentralization and flat organizational hierarchy. Sixth, they are moving to a more business-like and professionalization logic (Maier, Meyer, &amp; Steinbereithner, 214).</w:t>
      </w:r>
    </w:p>
    <w:p w:rsidR="003662DF" w:rsidRPr="007739BD" w:rsidRDefault="003662DF" w:rsidP="007739BD">
      <w:pPr>
        <w:spacing w:after="120" w:line="480" w:lineRule="auto"/>
        <w:ind w:firstLine="708"/>
        <w:rPr>
          <w:rFonts w:eastAsia="Times New Roman" w:cs="Times New Roman"/>
          <w:szCs w:val="24"/>
        </w:rPr>
      </w:pPr>
      <w:r w:rsidRPr="007739BD">
        <w:rPr>
          <w:rFonts w:eastAsia="Times New Roman" w:cs="Times New Roman"/>
          <w:szCs w:val="24"/>
        </w:rPr>
        <w:t>The case study focused on joint socially responsible programs developed by hockey federations and hockey clubs. In this respect, the study’s context suggests a dyadic collaboration among these NPOs. The focus was on two socially responsible initiatives, which go beyond their narrow sport mandates.</w:t>
      </w:r>
      <w:r w:rsidRPr="007739BD">
        <w:rPr>
          <w:rFonts w:eastAsia="Calibri" w:cs="Times New Roman"/>
        </w:rPr>
        <w:t xml:space="preserve"> </w:t>
      </w:r>
      <w:r w:rsidRPr="007739BD">
        <w:rPr>
          <w:rFonts w:eastAsia="Times New Roman" w:cs="Times New Roman"/>
          <w:szCs w:val="24"/>
        </w:rPr>
        <w:t xml:space="preserve">First, </w:t>
      </w:r>
      <w:r w:rsidRPr="007739BD">
        <w:rPr>
          <w:rFonts w:eastAsia="Times New Roman" w:cs="Times New Roman"/>
          <w:i/>
          <w:szCs w:val="24"/>
        </w:rPr>
        <w:t>Hockey Together</w:t>
      </w:r>
      <w:r w:rsidRPr="007739BD">
        <w:rPr>
          <w:rFonts w:eastAsia="Times New Roman" w:cs="Times New Roman"/>
          <w:szCs w:val="24"/>
        </w:rPr>
        <w:t xml:space="preserve"> (HT), jointly operated with several sport clubs and spread across the country with the support of the federations, aims to integrate persons with a disability through hockey. Second, </w:t>
      </w:r>
      <w:r w:rsidRPr="007739BD">
        <w:rPr>
          <w:rFonts w:eastAsia="Times New Roman" w:cs="Times New Roman"/>
          <w:i/>
          <w:szCs w:val="24"/>
        </w:rPr>
        <w:t>Stick to Fair Play</w:t>
      </w:r>
      <w:r w:rsidRPr="007739BD">
        <w:rPr>
          <w:rFonts w:eastAsia="Times New Roman" w:cs="Times New Roman"/>
          <w:szCs w:val="24"/>
        </w:rPr>
        <w:t xml:space="preserve"> (STFP), designed by the federations and delivered with the clubs, aims to promote fair play </w:t>
      </w:r>
      <w:r w:rsidRPr="007739BD">
        <w:rPr>
          <w:rFonts w:eastAsia="Times New Roman" w:cs="Times New Roman"/>
          <w:szCs w:val="24"/>
        </w:rPr>
        <w:lastRenderedPageBreak/>
        <w:t xml:space="preserve">values for hockey in Belgium through awareness campaigns. These initiatives should be considered as discretionary socially responsible as they draw on and extend beyond these NPOs core mandate and legal norms. Consistent with Guo &amp; Acar (2005), these two initiatives are joint programs. Table 1 offers a description of both initiatives. </w:t>
      </w:r>
    </w:p>
    <w:p w:rsidR="003662DF" w:rsidRPr="007739BD" w:rsidRDefault="007739BD" w:rsidP="007739BD">
      <w:pPr>
        <w:spacing w:line="480" w:lineRule="auto"/>
        <w:ind w:firstLine="708"/>
        <w:jc w:val="center"/>
        <w:rPr>
          <w:rFonts w:eastAsia="Calibri" w:cs="Times New Roman"/>
          <w:szCs w:val="24"/>
        </w:rPr>
      </w:pPr>
      <w:r>
        <w:rPr>
          <w:rFonts w:eastAsia="Calibri" w:cs="Times New Roman"/>
          <w:szCs w:val="24"/>
        </w:rPr>
        <w:t>[</w:t>
      </w:r>
      <w:r w:rsidRPr="007739BD">
        <w:rPr>
          <w:rFonts w:eastAsia="Calibri" w:cs="Times New Roman"/>
          <w:szCs w:val="24"/>
        </w:rPr>
        <w:t>table 1 here</w:t>
      </w:r>
      <w:r>
        <w:rPr>
          <w:rFonts w:eastAsia="Calibri" w:cs="Times New Roman"/>
          <w:szCs w:val="24"/>
        </w:rPr>
        <w:t>]</w:t>
      </w:r>
    </w:p>
    <w:p w:rsidR="003662DF" w:rsidRPr="007739BD" w:rsidRDefault="003662DF" w:rsidP="007739BD">
      <w:pPr>
        <w:keepNext/>
        <w:keepLines/>
        <w:spacing w:after="0" w:line="480" w:lineRule="auto"/>
        <w:ind w:left="708" w:firstLine="709"/>
        <w:outlineLvl w:val="2"/>
        <w:rPr>
          <w:rFonts w:eastAsia="Times New Roman" w:cs="Times New Roman"/>
          <w:b/>
          <w:i/>
          <w:szCs w:val="24"/>
        </w:rPr>
      </w:pPr>
      <w:r w:rsidRPr="007739BD">
        <w:rPr>
          <w:rFonts w:eastAsia="Times New Roman" w:cs="Times New Roman"/>
          <w:b/>
          <w:i/>
          <w:szCs w:val="24"/>
        </w:rPr>
        <w:t xml:space="preserve">Data Collection </w:t>
      </w:r>
    </w:p>
    <w:p w:rsidR="003662DF" w:rsidRPr="007739BD" w:rsidRDefault="003662DF" w:rsidP="007739BD">
      <w:pPr>
        <w:spacing w:after="0" w:line="480" w:lineRule="auto"/>
        <w:ind w:firstLine="709"/>
        <w:rPr>
          <w:rFonts w:eastAsia="Calibri" w:cs="Times New Roman"/>
          <w:szCs w:val="24"/>
        </w:rPr>
      </w:pPr>
      <w:r w:rsidRPr="007739BD">
        <w:rPr>
          <w:rFonts w:eastAsia="Calibri" w:cs="Times New Roman"/>
          <w:szCs w:val="24"/>
        </w:rPr>
        <w:t xml:space="preserve">Two data collection techniques were employed in this study, namely, semi–structured interviews and organizational documents. Collecting evidence from multiple sources offers different dimensions of the same phenomenon and facilitates triangulation (Yin, 2013). </w:t>
      </w:r>
    </w:p>
    <w:p w:rsidR="003662DF" w:rsidRPr="007739BD" w:rsidRDefault="003662DF" w:rsidP="007739BD">
      <w:pPr>
        <w:spacing w:after="0" w:line="480" w:lineRule="auto"/>
        <w:ind w:firstLine="709"/>
        <w:rPr>
          <w:rFonts w:eastAsia="Calibri" w:cs="Times New Roman"/>
          <w:szCs w:val="24"/>
        </w:rPr>
      </w:pPr>
      <w:r w:rsidRPr="007739BD">
        <w:rPr>
          <w:rFonts w:eastAsia="Calibri" w:cs="Times New Roman"/>
          <w:i/>
          <w:szCs w:val="24"/>
        </w:rPr>
        <w:t>Semi-structured interviews.</w:t>
      </w:r>
      <w:r w:rsidRPr="007739BD">
        <w:rPr>
          <w:rFonts w:eastAsia="Calibri" w:cs="Times New Roman"/>
          <w:szCs w:val="24"/>
        </w:rPr>
        <w:t xml:space="preserve"> In total, 16 interviews were conducted from May 2016 to March 2017 with key individuals involved in the design and management of the initiatives in the national and regional federations and six clubs (see Table 2). We purposefully selected key actors and “boundary spanners” who were considered as important informants since they possessed specialist knowledge of the socially responsible program. Employing a “key informant technique” and following the principles of theoretical saturation - denoting that no new features emerge from the data in the analysis process (Strauss &amp; Corbin, 1998) - , we selected and interviewed individuals actively and directly involved in the programs. </w:t>
      </w:r>
    </w:p>
    <w:p w:rsidR="003662DF" w:rsidRPr="007739BD" w:rsidRDefault="007739BD" w:rsidP="007739BD">
      <w:pPr>
        <w:spacing w:line="480" w:lineRule="auto"/>
        <w:ind w:firstLine="708"/>
        <w:jc w:val="center"/>
        <w:rPr>
          <w:rFonts w:eastAsia="Calibri" w:cs="Times New Roman"/>
          <w:szCs w:val="24"/>
        </w:rPr>
      </w:pPr>
      <w:r>
        <w:rPr>
          <w:rFonts w:eastAsia="Calibri" w:cs="Times New Roman"/>
          <w:szCs w:val="24"/>
        </w:rPr>
        <w:t>[</w:t>
      </w:r>
      <w:r w:rsidRPr="007739BD">
        <w:rPr>
          <w:rFonts w:eastAsia="Calibri" w:cs="Times New Roman"/>
          <w:szCs w:val="24"/>
        </w:rPr>
        <w:t>table 2 here</w:t>
      </w:r>
      <w:r>
        <w:rPr>
          <w:rFonts w:eastAsia="Calibri" w:cs="Times New Roman"/>
          <w:szCs w:val="24"/>
        </w:rPr>
        <w:t>]</w:t>
      </w:r>
    </w:p>
    <w:p w:rsidR="003662DF" w:rsidRPr="007739BD" w:rsidRDefault="003662DF" w:rsidP="007739BD">
      <w:pPr>
        <w:spacing w:after="0" w:line="480" w:lineRule="auto"/>
        <w:ind w:firstLine="720"/>
        <w:rPr>
          <w:rFonts w:eastAsia="Calibri" w:cs="Times New Roman"/>
          <w:szCs w:val="24"/>
        </w:rPr>
      </w:pPr>
      <w:r w:rsidRPr="007739BD">
        <w:rPr>
          <w:rFonts w:eastAsia="Calibri" w:cs="Times New Roman"/>
          <w:szCs w:val="24"/>
        </w:rPr>
        <w:t xml:space="preserve">We questioned informants to reflect on their social responsibility vision, their personal experiences, and their specific role regarding the socially responsible initiatives. Participants were encouraged to discuss retrospectively the objectives and the process to deliver the initiatives through collaboration. Furthermore, interviews explored the informants’ perceptions (and their organizations’) motivations for engaging in socially responsible programs through collaboration, the influence of key partners on the collaborative </w:t>
      </w:r>
      <w:r w:rsidRPr="007739BD">
        <w:rPr>
          <w:rFonts w:eastAsia="Calibri" w:cs="Times New Roman"/>
          <w:szCs w:val="24"/>
        </w:rPr>
        <w:lastRenderedPageBreak/>
        <w:t xml:space="preserve">setting, the nature of the relationship with their partners, the evolution patterns, and the challenges of working together with other NPOs. </w:t>
      </w:r>
    </w:p>
    <w:p w:rsidR="003662DF" w:rsidRPr="007739BD" w:rsidRDefault="003662DF" w:rsidP="007739BD">
      <w:pPr>
        <w:spacing w:after="0" w:line="480" w:lineRule="auto"/>
        <w:ind w:firstLine="720"/>
        <w:rPr>
          <w:rFonts w:eastAsia="Calibri" w:cs="Times New Roman"/>
          <w:szCs w:val="24"/>
        </w:rPr>
      </w:pPr>
      <w:r w:rsidRPr="007739BD">
        <w:rPr>
          <w:rFonts w:eastAsia="Calibri" w:cs="Times New Roman"/>
          <w:i/>
          <w:szCs w:val="24"/>
        </w:rPr>
        <w:t>Organizational documents.</w:t>
      </w:r>
      <w:r w:rsidRPr="007739BD">
        <w:rPr>
          <w:rFonts w:eastAsia="Calibri" w:cs="Times New Roman"/>
          <w:szCs w:val="24"/>
        </w:rPr>
        <w:t xml:space="preserve"> Secondary sources provided valuable background information about the NPOs in question, their strategic orientation, and a decision and action timeline of the initiatives. All this documentary material – such as annual reports, strategy notes, brochures, press releases, and presentations to key hockey stakeholders – was either available on NPOs’ official websites or was provided by the participants during interviews. In total, 52 documents provided information on the context within which socially responsible programs were implemented.</w:t>
      </w:r>
    </w:p>
    <w:p w:rsidR="003662DF" w:rsidRPr="007739BD" w:rsidRDefault="003662DF" w:rsidP="007739BD">
      <w:pPr>
        <w:keepNext/>
        <w:keepLines/>
        <w:spacing w:after="0" w:line="480" w:lineRule="auto"/>
        <w:ind w:left="708" w:firstLine="709"/>
        <w:outlineLvl w:val="2"/>
        <w:rPr>
          <w:rFonts w:eastAsia="Times New Roman" w:cs="Times New Roman"/>
          <w:b/>
          <w:i/>
          <w:szCs w:val="24"/>
        </w:rPr>
      </w:pPr>
      <w:r w:rsidRPr="007739BD">
        <w:rPr>
          <w:rFonts w:eastAsia="Times New Roman" w:cs="Times New Roman"/>
          <w:b/>
          <w:i/>
          <w:szCs w:val="24"/>
        </w:rPr>
        <w:t xml:space="preserve">Data Analysis </w:t>
      </w:r>
    </w:p>
    <w:p w:rsidR="003662DF" w:rsidRPr="007739BD" w:rsidRDefault="003662DF" w:rsidP="007739BD">
      <w:pPr>
        <w:spacing w:after="0" w:line="480" w:lineRule="auto"/>
        <w:ind w:firstLine="709"/>
        <w:rPr>
          <w:rFonts w:eastAsia="Calibri" w:cs="Times New Roman"/>
          <w:szCs w:val="24"/>
        </w:rPr>
      </w:pPr>
      <w:r w:rsidRPr="007739BD">
        <w:rPr>
          <w:rFonts w:eastAsia="Calibri" w:cs="Times New Roman"/>
          <w:szCs w:val="24"/>
        </w:rPr>
        <w:t xml:space="preserve">In line with Miles and Huberman’s (1994) framework, we iteratively analyzed data using both deductive and inductive reasoning. Initially, a number of themes originated from a review of the literature on collaboration in general (Oliver, 1991), nonprofit collaboration (Sowa, 2009; Guo &amp; Acar, 2005), and sports management in particular (Babiak, 2007; Sotiriadou et al., 2017). Consistent with the research question, the themes included motives related to resources (stability), efficiency, reciprocity, institutional (legitimacy, necessity). </w:t>
      </w:r>
    </w:p>
    <w:p w:rsidR="003662DF" w:rsidRPr="007739BD" w:rsidRDefault="003662DF" w:rsidP="007739BD">
      <w:pPr>
        <w:spacing w:after="0" w:line="480" w:lineRule="auto"/>
        <w:ind w:firstLine="709"/>
        <w:rPr>
          <w:rFonts w:eastAsia="Calibri" w:cs="Times New Roman"/>
          <w:szCs w:val="24"/>
        </w:rPr>
      </w:pPr>
      <w:r w:rsidRPr="007739BD">
        <w:rPr>
          <w:rFonts w:eastAsia="Calibri" w:cs="Times New Roman"/>
          <w:szCs w:val="24"/>
        </w:rPr>
        <w:t xml:space="preserve"> First, the lead author read the transcripts several times. Analytical memos as well as temporal bracketing were processed to identify the major characteristics (Guo &amp; Acar, 2005) and phases of the collaboration process. Following this, refinement of themes and development of alternate themes took place. Once all interviews and document passages were coded according to themes, they were carefully reviewed and then further scrutinized for relationships and linkages. Analysis of the data was facilitated with Nvivo 11 software. To ensure consistency and credibility in the analysis process, the coding protocol and the interpretation of the data was discussed between all authors. </w:t>
      </w:r>
    </w:p>
    <w:p w:rsidR="003662DF" w:rsidRPr="007739BD" w:rsidRDefault="003662DF" w:rsidP="007739BD">
      <w:pPr>
        <w:keepNext/>
        <w:keepLines/>
        <w:spacing w:before="40" w:after="0" w:line="480" w:lineRule="auto"/>
        <w:jc w:val="center"/>
        <w:outlineLvl w:val="1"/>
        <w:rPr>
          <w:rFonts w:eastAsia="Times New Roman" w:cs="Times New Roman"/>
          <w:b/>
          <w:szCs w:val="26"/>
        </w:rPr>
      </w:pPr>
      <w:r w:rsidRPr="007739BD">
        <w:rPr>
          <w:rFonts w:eastAsia="Times New Roman" w:cs="Times New Roman"/>
          <w:b/>
          <w:szCs w:val="26"/>
        </w:rPr>
        <w:lastRenderedPageBreak/>
        <w:t>Findings and Discussion</w:t>
      </w:r>
    </w:p>
    <w:p w:rsidR="003662DF" w:rsidRPr="007739BD" w:rsidRDefault="003662DF" w:rsidP="007739BD">
      <w:pPr>
        <w:spacing w:after="0" w:line="480" w:lineRule="auto"/>
        <w:ind w:firstLine="709"/>
        <w:rPr>
          <w:rFonts w:eastAsia="Times New Roman" w:cs="Times New Roman"/>
          <w:szCs w:val="24"/>
        </w:rPr>
      </w:pPr>
      <w:r w:rsidRPr="007739BD">
        <w:rPr>
          <w:rFonts w:eastAsia="Times New Roman" w:cs="Times New Roman"/>
          <w:szCs w:val="24"/>
        </w:rPr>
        <w:t xml:space="preserve">This study examines nonprofit collaboration between sport federations and sport clubs implementing socially responsible programs. We present our findings building on the perspective of those directly engaged in the collaboration. As a starting point for exploring collaboration among NPOs for socially responsible programs, two complementary theoretical frameworks were used for this study. The interplay between these lenses unveils the uniqueness of this collaboration form. </w:t>
      </w:r>
    </w:p>
    <w:p w:rsidR="003662DF" w:rsidRPr="007739BD" w:rsidRDefault="003662DF" w:rsidP="007739BD">
      <w:pPr>
        <w:spacing w:after="0" w:line="480" w:lineRule="auto"/>
        <w:ind w:firstLine="709"/>
        <w:rPr>
          <w:rFonts w:eastAsia="Calibri" w:cs="Times New Roman"/>
          <w:szCs w:val="24"/>
        </w:rPr>
      </w:pPr>
      <w:r w:rsidRPr="007739BD">
        <w:rPr>
          <w:rFonts w:eastAsia="Calibri" w:cs="Times New Roman"/>
          <w:szCs w:val="24"/>
        </w:rPr>
        <w:t xml:space="preserve">This study displayed two major </w:t>
      </w:r>
      <w:r w:rsidRPr="007739BD">
        <w:rPr>
          <w:rFonts w:eastAsia="Times New Roman" w:cs="Times New Roman"/>
          <w:szCs w:val="24"/>
        </w:rPr>
        <w:t xml:space="preserve">motivations. </w:t>
      </w:r>
      <w:r w:rsidRPr="007739BD">
        <w:rPr>
          <w:rFonts w:eastAsia="Calibri" w:cs="Times New Roman"/>
          <w:szCs w:val="24"/>
        </w:rPr>
        <w:t xml:space="preserve">Both federations and clubs pointed to </w:t>
      </w:r>
      <w:r w:rsidRPr="007739BD">
        <w:rPr>
          <w:rFonts w:eastAsia="Calibri" w:cs="Times New Roman"/>
          <w:i/>
          <w:szCs w:val="24"/>
        </w:rPr>
        <w:t>resource exchange and organizational legitimacy</w:t>
      </w:r>
      <w:r w:rsidRPr="007739BD">
        <w:rPr>
          <w:rFonts w:eastAsia="Calibri" w:cs="Times New Roman"/>
          <w:szCs w:val="24"/>
        </w:rPr>
        <w:t xml:space="preserve"> as primary motivations. Our case shows that each partner reported common and diverse motives to collaborate to deliver socially responsible programs, as suggested by previous studies on collaboration formation (e.g., Gazley &amp; Brudney, 2007; Sotiriadou et al., 2017; Sowa, 2009). The convergence between nonprofit partners’ motivations underpins the relationship and eventually contrasts with the divergence between partners found in cross-sectoral collaboration (i.e., strategic versus altruistic goals) (Seitanidi et al., 2010) or in nonprofit collaboration (Sotiriadou et al., 2017). </w:t>
      </w:r>
    </w:p>
    <w:p w:rsidR="003662DF" w:rsidRPr="007739BD" w:rsidRDefault="003662DF" w:rsidP="007739BD">
      <w:pPr>
        <w:tabs>
          <w:tab w:val="left" w:pos="5670"/>
        </w:tabs>
        <w:autoSpaceDE w:val="0"/>
        <w:autoSpaceDN w:val="0"/>
        <w:adjustRightInd w:val="0"/>
        <w:spacing w:after="0" w:line="480" w:lineRule="auto"/>
        <w:ind w:firstLine="709"/>
        <w:rPr>
          <w:rFonts w:eastAsia="Calibri" w:cs="Times New Roman"/>
          <w:szCs w:val="24"/>
        </w:rPr>
      </w:pPr>
      <w:r w:rsidRPr="007739BD">
        <w:rPr>
          <w:rFonts w:eastAsia="Times New Roman" w:cs="Times New Roman"/>
          <w:szCs w:val="24"/>
        </w:rPr>
        <w:t>As</w:t>
      </w:r>
      <w:r w:rsidRPr="007739BD">
        <w:rPr>
          <w:rFonts w:eastAsia="Calibri" w:cs="Times New Roman"/>
          <w:szCs w:val="24"/>
        </w:rPr>
        <w:t xml:space="preserve"> </w:t>
      </w:r>
      <w:r w:rsidRPr="007739BD">
        <w:rPr>
          <w:rFonts w:eastAsia="Times New Roman" w:cs="Times New Roman"/>
          <w:szCs w:val="24"/>
        </w:rPr>
        <w:t xml:space="preserve">resource-based view theory </w:t>
      </w:r>
      <w:r w:rsidRPr="007739BD">
        <w:rPr>
          <w:rFonts w:eastAsia="Calibri" w:cs="Times New Roman"/>
          <w:szCs w:val="24"/>
        </w:rPr>
        <w:t>suggests</w:t>
      </w:r>
      <w:r w:rsidRPr="007739BD">
        <w:rPr>
          <w:rFonts w:eastAsia="Times New Roman" w:cs="Times New Roman"/>
          <w:szCs w:val="24"/>
        </w:rPr>
        <w:t xml:space="preserve">, </w:t>
      </w:r>
      <w:r w:rsidRPr="007739BD">
        <w:rPr>
          <w:rFonts w:eastAsia="Calibri" w:cs="Times New Roman"/>
          <w:szCs w:val="24"/>
        </w:rPr>
        <w:t>organizations</w:t>
      </w:r>
      <w:r w:rsidRPr="007739BD">
        <w:rPr>
          <w:rFonts w:eastAsia="Times New Roman" w:cs="Times New Roman"/>
          <w:szCs w:val="24"/>
        </w:rPr>
        <w:t xml:space="preserve"> </w:t>
      </w:r>
      <w:r w:rsidRPr="007739BD">
        <w:rPr>
          <w:rFonts w:eastAsia="Calibri" w:cs="Times New Roman"/>
          <w:szCs w:val="24"/>
        </w:rPr>
        <w:t>are not</w:t>
      </w:r>
      <w:r w:rsidRPr="007739BD">
        <w:rPr>
          <w:rFonts w:eastAsia="Times New Roman" w:cs="Times New Roman"/>
          <w:szCs w:val="24"/>
        </w:rPr>
        <w:t xml:space="preserve"> self-sufficient, and revenues are impacting the need for collaboration (Arya &amp; Lin, 2007). The importance of resource in this particular case is not surprising, as </w:t>
      </w:r>
      <w:r w:rsidRPr="007739BD">
        <w:rPr>
          <w:rFonts w:eastAsia="Times New Roman" w:cs="Times New Roman"/>
          <w:bCs/>
          <w:szCs w:val="24"/>
        </w:rPr>
        <w:t>NPOs operate in a complex environment characterized by resource scarcity (Wicker &amp; Breuer, 2013).</w:t>
      </w:r>
      <w:r w:rsidRPr="007739BD">
        <w:rPr>
          <w:rFonts w:eastAsia="Times New Roman" w:cs="Times New Roman"/>
          <w:szCs w:val="24"/>
        </w:rPr>
        <w:t xml:space="preserve"> </w:t>
      </w:r>
      <w:r w:rsidRPr="007739BD">
        <w:rPr>
          <w:rFonts w:eastAsia="Times New Roman" w:cs="Times New Roman"/>
          <w:bCs/>
          <w:szCs w:val="24"/>
        </w:rPr>
        <w:t xml:space="preserve">In fact, </w:t>
      </w:r>
      <w:r w:rsidRPr="007739BD">
        <w:rPr>
          <w:rFonts w:eastAsia="Calibri" w:cs="Times New Roman"/>
          <w:szCs w:val="24"/>
        </w:rPr>
        <w:t xml:space="preserve">hockey partners are evolving in an unstable political environment that nudges them </w:t>
      </w:r>
      <w:r w:rsidRPr="007739BD">
        <w:rPr>
          <w:rFonts w:eastAsia="Times New Roman" w:cs="Times New Roman"/>
          <w:szCs w:val="24"/>
        </w:rPr>
        <w:t>to work together in order to attain alternate supplies of resources.</w:t>
      </w:r>
      <w:r w:rsidRPr="007739BD">
        <w:rPr>
          <w:rFonts w:eastAsia="Calibri" w:cs="Times New Roman"/>
          <w:szCs w:val="24"/>
        </w:rPr>
        <w:t xml:space="preserve"> The data extract below illustrates the resource instability: </w:t>
      </w:r>
    </w:p>
    <w:p w:rsidR="003662DF" w:rsidRPr="007739BD" w:rsidRDefault="003662DF" w:rsidP="007739BD">
      <w:pPr>
        <w:tabs>
          <w:tab w:val="left" w:pos="5670"/>
        </w:tabs>
        <w:autoSpaceDE w:val="0"/>
        <w:autoSpaceDN w:val="0"/>
        <w:adjustRightInd w:val="0"/>
        <w:spacing w:after="0" w:line="480" w:lineRule="auto"/>
        <w:ind w:left="709" w:right="804"/>
        <w:rPr>
          <w:rFonts w:eastAsia="Times New Roman" w:cs="Times New Roman"/>
          <w:szCs w:val="24"/>
        </w:rPr>
      </w:pPr>
      <w:r w:rsidRPr="007739BD">
        <w:rPr>
          <w:rFonts w:eastAsia="Times New Roman" w:cs="Times New Roman"/>
          <w:szCs w:val="24"/>
        </w:rPr>
        <w:br/>
        <w:t xml:space="preserve">Budgetary speaking, sport is a poor sibling, so we do not have many resources and we are not going to develop them [these collaborative projects]. </w:t>
      </w:r>
      <w:r w:rsidRPr="007739BD">
        <w:rPr>
          <w:rFonts w:eastAsia="Times New Roman" w:cs="Times New Roman"/>
          <w:szCs w:val="24"/>
        </w:rPr>
        <w:lastRenderedPageBreak/>
        <w:t>Sponsorship is reaching its limits, political subsidies are what they are, so we cannot hope to multiply by ten our financial income so we need to deal with our shoestring means available, with what we have but (…) we also try to use exchanges and contacts. (Federation 5)</w:t>
      </w:r>
    </w:p>
    <w:p w:rsidR="003662DF" w:rsidRPr="007739BD" w:rsidRDefault="003662DF" w:rsidP="007739BD">
      <w:pPr>
        <w:tabs>
          <w:tab w:val="left" w:pos="5670"/>
        </w:tabs>
        <w:autoSpaceDE w:val="0"/>
        <w:autoSpaceDN w:val="0"/>
        <w:adjustRightInd w:val="0"/>
        <w:spacing w:after="0" w:line="480" w:lineRule="auto"/>
        <w:rPr>
          <w:rFonts w:eastAsia="Times New Roman" w:cs="Times New Roman"/>
          <w:szCs w:val="24"/>
        </w:rPr>
      </w:pPr>
    </w:p>
    <w:p w:rsidR="003662DF" w:rsidRPr="007739BD" w:rsidRDefault="003662DF" w:rsidP="007739BD">
      <w:pPr>
        <w:tabs>
          <w:tab w:val="left" w:pos="5670"/>
        </w:tabs>
        <w:autoSpaceDE w:val="0"/>
        <w:autoSpaceDN w:val="0"/>
        <w:adjustRightInd w:val="0"/>
        <w:spacing w:after="0" w:line="480" w:lineRule="auto"/>
        <w:ind w:firstLine="709"/>
        <w:rPr>
          <w:rFonts w:eastAsia="Times New Roman" w:cs="Times New Roman"/>
          <w:szCs w:val="24"/>
        </w:rPr>
      </w:pPr>
      <w:r w:rsidRPr="007739BD">
        <w:rPr>
          <w:rFonts w:eastAsia="Calibri" w:cs="Times New Roman"/>
          <w:lang w:val="en-GB"/>
        </w:rPr>
        <w:t>Contrary to the resource dependence perspective often mobilised to examine NPO collaboration for service delivery</w:t>
      </w:r>
      <w:r w:rsidRPr="007739BD">
        <w:rPr>
          <w:rFonts w:eastAsia="Times New Roman" w:cs="Times New Roman"/>
          <w:szCs w:val="24"/>
        </w:rPr>
        <w:t xml:space="preserve"> (Gazley &amp; Brudney, 2007; Sowa, 2009; </w:t>
      </w:r>
      <w:r w:rsidRPr="007739BD">
        <w:rPr>
          <w:rFonts w:eastAsia="Times New Roman" w:cs="Times New Roman"/>
          <w:bCs/>
          <w:szCs w:val="24"/>
        </w:rPr>
        <w:t>Sotiriadou et al., 2017</w:t>
      </w:r>
      <w:r w:rsidRPr="007739BD">
        <w:rPr>
          <w:rFonts w:eastAsia="Times New Roman" w:cs="Times New Roman"/>
          <w:szCs w:val="24"/>
        </w:rPr>
        <w:t>)</w:t>
      </w:r>
      <w:r w:rsidRPr="007739BD">
        <w:rPr>
          <w:rFonts w:eastAsia="Calibri" w:cs="Times New Roman"/>
          <w:lang w:val="en-GB"/>
        </w:rPr>
        <w:t xml:space="preserve">, NPOs do not collaborate for socially responsible programs to exert power and control </w:t>
      </w:r>
    </w:p>
    <w:p w:rsidR="003662DF" w:rsidRPr="007739BD" w:rsidRDefault="003662DF" w:rsidP="007739BD">
      <w:pPr>
        <w:tabs>
          <w:tab w:val="left" w:pos="5670"/>
        </w:tabs>
        <w:autoSpaceDE w:val="0"/>
        <w:autoSpaceDN w:val="0"/>
        <w:adjustRightInd w:val="0"/>
        <w:spacing w:after="0" w:line="480" w:lineRule="auto"/>
        <w:rPr>
          <w:rFonts w:eastAsia="Calibri" w:cs="Times New Roman"/>
          <w:sz w:val="18"/>
          <w:szCs w:val="18"/>
          <w:lang w:val="en-GB"/>
        </w:rPr>
      </w:pPr>
      <w:r w:rsidRPr="007739BD">
        <w:rPr>
          <w:rFonts w:eastAsia="Calibri" w:cs="Times New Roman"/>
          <w:lang w:val="en-GB"/>
        </w:rPr>
        <w:t xml:space="preserve">over organizations with scarce resources (Barringer &amp; Harrisson, 2000). </w:t>
      </w:r>
      <w:r w:rsidRPr="007739BD">
        <w:rPr>
          <w:rFonts w:eastAsia="Calibri" w:cs="Times New Roman"/>
          <w:szCs w:val="24"/>
        </w:rPr>
        <w:t>As Sowa (2009) noted, NPOs first seek their basic programmatic needs before seeking to implement complementary projects. In this case, collaboration is not a</w:t>
      </w:r>
      <w:r w:rsidRPr="007739BD">
        <w:rPr>
          <w:rFonts w:eastAsia="Calibri" w:cs="Times New Roman"/>
          <w:lang w:val="en-GB"/>
        </w:rPr>
        <w:t xml:space="preserve"> matter of organizational survival needs. </w:t>
      </w:r>
    </w:p>
    <w:p w:rsidR="003662DF" w:rsidRPr="007739BD" w:rsidRDefault="003662DF" w:rsidP="007739BD">
      <w:pPr>
        <w:spacing w:line="480" w:lineRule="auto"/>
        <w:rPr>
          <w:rFonts w:eastAsia="Calibri" w:cs="Times New Roman"/>
          <w:szCs w:val="24"/>
        </w:rPr>
      </w:pPr>
      <w:r w:rsidRPr="007739BD">
        <w:rPr>
          <w:rFonts w:eastAsia="Calibri" w:cs="Times New Roman"/>
          <w:szCs w:val="24"/>
          <w:lang w:val="en-GB"/>
        </w:rPr>
        <w:tab/>
      </w:r>
      <w:r w:rsidRPr="007739BD">
        <w:rPr>
          <w:rFonts w:eastAsia="Times New Roman" w:cs="Times New Roman"/>
          <w:szCs w:val="24"/>
        </w:rPr>
        <w:t xml:space="preserve">Rather, partners are motivated by the increase of complementary resources to develop the joint socially responsible initiatives. </w:t>
      </w:r>
      <w:r w:rsidRPr="007739BD">
        <w:rPr>
          <w:rFonts w:eastAsia="Calibri" w:cs="Times New Roman"/>
          <w:szCs w:val="24"/>
        </w:rPr>
        <w:t xml:space="preserve">Our results </w:t>
      </w:r>
      <w:r w:rsidRPr="007739BD">
        <w:rPr>
          <w:rFonts w:eastAsia="Times New Roman" w:cs="Times New Roman"/>
          <w:szCs w:val="24"/>
        </w:rPr>
        <w:t xml:space="preserve">show that organizations </w:t>
      </w:r>
      <w:r w:rsidRPr="007739BD">
        <w:rPr>
          <w:rFonts w:eastAsia="Calibri" w:cs="Times New Roman"/>
          <w:szCs w:val="24"/>
        </w:rPr>
        <w:t xml:space="preserve">primarily seek </w:t>
      </w:r>
      <w:r w:rsidRPr="007739BD">
        <w:rPr>
          <w:rFonts w:eastAsia="Times New Roman" w:cs="Times New Roman"/>
          <w:szCs w:val="24"/>
        </w:rPr>
        <w:t>to secure the survival of these initiatives that highly rest on the complementary resources provided by partners</w:t>
      </w:r>
      <w:r w:rsidRPr="007739BD">
        <w:rPr>
          <w:rFonts w:eastAsia="Calibri" w:cs="Times New Roman"/>
          <w:szCs w:val="24"/>
        </w:rPr>
        <w:t xml:space="preserve">. This means that in this context, NPOs mainly collaborate for the survival of the initiative, rather than for their basic organization survival needs. </w:t>
      </w:r>
      <w:r w:rsidRPr="007739BD">
        <w:rPr>
          <w:rFonts w:eastAsia="Times New Roman" w:cs="Times New Roman"/>
          <w:szCs w:val="24"/>
        </w:rPr>
        <w:t xml:space="preserve">As illustrated by these extracts, resource exchange was central for the both partners: </w:t>
      </w:r>
      <w:r w:rsidRPr="007739BD">
        <w:rPr>
          <w:rFonts w:eastAsia="Calibri" w:cs="Times New Roman"/>
          <w:szCs w:val="24"/>
        </w:rPr>
        <w:t xml:space="preserve">“LFH wished to accompany closely clubs in the creation and development of their section” (LFH organizational document). As explained by a club member, expanding the initiative with the federation’s resources was central: </w:t>
      </w:r>
    </w:p>
    <w:p w:rsidR="003662DF" w:rsidRPr="007739BD" w:rsidRDefault="003662DF" w:rsidP="007739BD">
      <w:pPr>
        <w:spacing w:line="480" w:lineRule="auto"/>
        <w:ind w:left="851" w:right="804"/>
        <w:rPr>
          <w:rFonts w:eastAsia="Calibri" w:cs="Times New Roman"/>
          <w:b/>
          <w:szCs w:val="24"/>
        </w:rPr>
      </w:pPr>
      <w:r w:rsidRPr="007739BD">
        <w:rPr>
          <w:rFonts w:eastAsia="Times New Roman" w:cs="Times New Roman"/>
          <w:szCs w:val="24"/>
        </w:rPr>
        <w:t> Our goal since the beginning is that the project is open to all partners, so I don’t ask more that the league joins. So the more people work on it, the more I am glad in this collaboration. We can hardly develop something on the national level without the federation support. (Club 3)</w:t>
      </w:r>
    </w:p>
    <w:p w:rsidR="003662DF" w:rsidRPr="007739BD" w:rsidRDefault="003662DF" w:rsidP="007739BD">
      <w:pPr>
        <w:tabs>
          <w:tab w:val="left" w:pos="851"/>
        </w:tabs>
        <w:autoSpaceDE w:val="0"/>
        <w:autoSpaceDN w:val="0"/>
        <w:adjustRightInd w:val="0"/>
        <w:spacing w:after="0" w:line="480" w:lineRule="auto"/>
        <w:rPr>
          <w:rFonts w:eastAsia="Times New Roman" w:cs="Times New Roman"/>
          <w:szCs w:val="24"/>
        </w:rPr>
      </w:pPr>
      <w:r w:rsidRPr="007739BD">
        <w:rPr>
          <w:rFonts w:eastAsia="Calibri" w:cs="Times New Roman"/>
          <w:szCs w:val="24"/>
        </w:rPr>
        <w:lastRenderedPageBreak/>
        <w:tab/>
        <w:t xml:space="preserve">The desire to </w:t>
      </w:r>
      <w:r w:rsidRPr="007739BD">
        <w:rPr>
          <w:rFonts w:eastAsia="Calibri" w:cs="Times New Roman"/>
          <w:szCs w:val="24"/>
          <w:lang w:eastAsia="fr-BE"/>
        </w:rPr>
        <w:t>pursue common goals stimulated</w:t>
      </w:r>
      <w:r w:rsidRPr="007739BD">
        <w:rPr>
          <w:rFonts w:eastAsia="Times New Roman" w:cs="Times New Roman"/>
          <w:szCs w:val="24"/>
        </w:rPr>
        <w:t xml:space="preserve"> NPOs to put their respective competencies at the disposal of each other in order to converge toward the development of socially responsible programs.</w:t>
      </w:r>
      <w:r w:rsidRPr="007739BD">
        <w:rPr>
          <w:rFonts w:eastAsia="Calibri" w:cs="Times New Roman"/>
          <w:szCs w:val="24"/>
          <w:lang w:eastAsia="fr-BE"/>
        </w:rPr>
        <w:t xml:space="preserve"> The literature often identifies r</w:t>
      </w:r>
      <w:r w:rsidRPr="007739BD">
        <w:rPr>
          <w:rFonts w:eastAsia="Calibri" w:cs="Times New Roman"/>
          <w:szCs w:val="24"/>
        </w:rPr>
        <w:t xml:space="preserve">eciprocity (Oliver, 1990) as a determinant to engage in such collaborations. </w:t>
      </w:r>
      <w:r w:rsidRPr="007739BD">
        <w:rPr>
          <w:rFonts w:eastAsia="Times New Roman" w:cs="Times New Roman"/>
          <w:szCs w:val="24"/>
        </w:rPr>
        <w:t xml:space="preserve">As such, this clubs-federation synergy was mutually expected to benefit both entities: </w:t>
      </w:r>
    </w:p>
    <w:p w:rsidR="003662DF" w:rsidRPr="007739BD" w:rsidRDefault="003662DF" w:rsidP="007739BD">
      <w:pPr>
        <w:autoSpaceDE w:val="0"/>
        <w:autoSpaceDN w:val="0"/>
        <w:adjustRightInd w:val="0"/>
        <w:spacing w:after="0" w:line="480" w:lineRule="auto"/>
        <w:ind w:left="851" w:right="805" w:firstLine="709"/>
        <w:rPr>
          <w:rFonts w:eastAsia="Calibri" w:cs="Times New Roman"/>
        </w:rPr>
      </w:pPr>
      <w:r w:rsidRPr="007739BD">
        <w:rPr>
          <w:rFonts w:eastAsia="Times New Roman" w:cs="Times New Roman"/>
          <w:szCs w:val="24"/>
        </w:rPr>
        <w:br/>
        <w:t>The federation wanted to support the HT project and help to expand it and encourage other clubs to open HT (…) But we are conscious that it is a two way street: thanks to it we will have a visibility (…) it can open doors for opportunities and give the envy to clubs to be part of the project. It always works in both directions. (Club 6)</w:t>
      </w:r>
      <w:r w:rsidRPr="007739BD">
        <w:rPr>
          <w:rFonts w:eastAsia="Calibri" w:cs="Times New Roman"/>
        </w:rPr>
        <w:t xml:space="preserve"> </w:t>
      </w:r>
    </w:p>
    <w:p w:rsidR="003662DF" w:rsidRPr="007739BD" w:rsidRDefault="003662DF" w:rsidP="007739BD">
      <w:pPr>
        <w:spacing w:line="480" w:lineRule="auto"/>
        <w:ind w:firstLine="851"/>
        <w:rPr>
          <w:rFonts w:eastAsia="Calibri" w:cs="Times New Roman"/>
          <w:szCs w:val="24"/>
        </w:rPr>
      </w:pPr>
    </w:p>
    <w:p w:rsidR="003662DF" w:rsidRPr="007739BD" w:rsidRDefault="003662DF" w:rsidP="007739BD">
      <w:pPr>
        <w:spacing w:line="480" w:lineRule="auto"/>
        <w:ind w:firstLine="708"/>
        <w:rPr>
          <w:rFonts w:eastAsia="Times New Roman" w:cs="Times New Roman"/>
          <w:szCs w:val="24"/>
        </w:rPr>
      </w:pPr>
      <w:r w:rsidRPr="007739BD">
        <w:rPr>
          <w:rFonts w:eastAsia="Calibri" w:cs="Times New Roman"/>
          <w:szCs w:val="24"/>
        </w:rPr>
        <w:t xml:space="preserve">A </w:t>
      </w:r>
      <w:r w:rsidRPr="007739BD">
        <w:rPr>
          <w:rFonts w:eastAsia="Times New Roman" w:cs="Times New Roman"/>
          <w:szCs w:val="24"/>
        </w:rPr>
        <w:t xml:space="preserve">federation member also exemplifies his mutually beneficial position, “we work closely with the clubs and they come also to us with projects” (Federation 1). This reciprocity allowed NPOs to pool their competencies to converge toward the fulfilment of a common objective: the development of the socially responsible initiatives to generate social progress. </w:t>
      </w:r>
    </w:p>
    <w:p w:rsidR="003662DF" w:rsidRPr="007739BD" w:rsidRDefault="003662DF" w:rsidP="007739BD">
      <w:pPr>
        <w:spacing w:line="480" w:lineRule="auto"/>
        <w:ind w:firstLine="708"/>
        <w:rPr>
          <w:rFonts w:eastAsia="Times New Roman" w:cs="Times New Roman"/>
          <w:szCs w:val="24"/>
        </w:rPr>
      </w:pPr>
      <w:r w:rsidRPr="007739BD">
        <w:rPr>
          <w:rFonts w:eastAsia="Times New Roman" w:cs="Times New Roman"/>
          <w:szCs w:val="24"/>
        </w:rPr>
        <w:t xml:space="preserve">For instance, in the case of HT, clubs initially developed the idea, served as the implementation platform through their infrastructure, human resources (sport practitioners and volunteers), situated knowledge, geographical coverage and local connections with other organizations and beneficiaries. The federation shared its political (acting as a lobby seeking subsidies and visibility for the hockey community), human (professional staff), technical (Expertise and competences), communication (information sharing), network and financial resources as well as its legitimacy. </w:t>
      </w:r>
    </w:p>
    <w:p w:rsidR="003662DF" w:rsidRPr="007739BD" w:rsidRDefault="003662DF" w:rsidP="007739BD">
      <w:pPr>
        <w:spacing w:line="480" w:lineRule="auto"/>
        <w:ind w:firstLine="708"/>
        <w:rPr>
          <w:rFonts w:eastAsia="Calibri" w:cs="Times New Roman"/>
          <w:szCs w:val="24"/>
        </w:rPr>
      </w:pPr>
      <w:r w:rsidRPr="007739BD">
        <w:rPr>
          <w:rFonts w:eastAsia="Times New Roman" w:cs="Times New Roman"/>
          <w:szCs w:val="24"/>
        </w:rPr>
        <w:lastRenderedPageBreak/>
        <w:t>The collaboration can facilitate information sharing, mobilize complementary resources and acquire expertise. For instance, as explained by a federation member on a web page, the resources exchanges: “It is the initiation, making primary contacts, the access to the community and sharing experiences. I think each section is different but what is important is sharing between you” (Webinar LFH, 03.26.2018). Statements like this illustrate that informal resources such as learning, knowledge and diffusion of good practices were important in the eyes of the partners.</w:t>
      </w:r>
      <w:r w:rsidRPr="007739BD">
        <w:rPr>
          <w:rFonts w:eastAsia="Calibri" w:cs="Times New Roman"/>
          <w:szCs w:val="24"/>
        </w:rPr>
        <w:t xml:space="preserve"> </w:t>
      </w:r>
    </w:p>
    <w:p w:rsidR="003662DF" w:rsidRPr="007739BD" w:rsidRDefault="003662DF" w:rsidP="007739BD">
      <w:pPr>
        <w:spacing w:line="480" w:lineRule="auto"/>
        <w:ind w:firstLine="708"/>
        <w:rPr>
          <w:rFonts w:eastAsia="Calibri" w:cs="Times New Roman"/>
          <w:szCs w:val="24"/>
        </w:rPr>
      </w:pPr>
      <w:r w:rsidRPr="007739BD">
        <w:rPr>
          <w:rFonts w:eastAsia="Calibri" w:cs="Times New Roman"/>
          <w:szCs w:val="24"/>
        </w:rPr>
        <w:t>Moreover, NPOs reported that they seek to</w:t>
      </w:r>
      <w:r w:rsidRPr="007739BD">
        <w:rPr>
          <w:rFonts w:eastAsia="Times New Roman" w:cs="Times New Roman"/>
          <w:szCs w:val="24"/>
        </w:rPr>
        <w:t xml:space="preserve"> acquire new resources from other partners as well as enhancing existing c</w:t>
      </w:r>
      <w:r w:rsidRPr="007739BD">
        <w:rPr>
          <w:rFonts w:eastAsia="Calibri" w:cs="Times New Roman"/>
          <w:szCs w:val="24"/>
        </w:rPr>
        <w:t>ollaboration between clubs</w:t>
      </w:r>
      <w:r w:rsidRPr="007739BD">
        <w:rPr>
          <w:rFonts w:eastAsia="Calibri" w:cs="Times New Roman"/>
          <w:szCs w:val="24"/>
          <w:lang w:val="en-GB"/>
        </w:rPr>
        <w:t xml:space="preserve"> and federations and new collaboration ties to reinforce the initiative</w:t>
      </w:r>
      <w:r w:rsidRPr="007739BD">
        <w:rPr>
          <w:rFonts w:eastAsia="Times New Roman" w:cs="Times New Roman"/>
          <w:szCs w:val="24"/>
        </w:rPr>
        <w:t>. This ne</w:t>
      </w:r>
      <w:r w:rsidRPr="007739BD">
        <w:rPr>
          <w:rFonts w:eastAsia="Calibri" w:cs="Times New Roman"/>
          <w:szCs w:val="24"/>
        </w:rPr>
        <w:t xml:space="preserve">twork of resources and lobbying capacity is illustrated here: “we work closely with the clubs and they come also to us with projects. To help them, we seek subsidies from the minister” (Federation 1). As outlined in Table 1, the collaborations for HT and STFP have in turn attracted </w:t>
      </w:r>
      <w:r w:rsidRPr="007739BD">
        <w:rPr>
          <w:rFonts w:eastAsia="Times New Roman" w:cs="Times New Roman"/>
          <w:szCs w:val="24"/>
        </w:rPr>
        <w:t>additional supplies of resources from public and private partners as well as new partners partaking in the initiatives.</w:t>
      </w:r>
    </w:p>
    <w:p w:rsidR="003662DF" w:rsidRPr="007739BD" w:rsidRDefault="003662DF" w:rsidP="007739BD">
      <w:pPr>
        <w:tabs>
          <w:tab w:val="left" w:pos="5664"/>
        </w:tabs>
        <w:autoSpaceDE w:val="0"/>
        <w:autoSpaceDN w:val="0"/>
        <w:adjustRightInd w:val="0"/>
        <w:spacing w:after="0" w:line="480" w:lineRule="auto"/>
        <w:ind w:firstLine="851"/>
        <w:rPr>
          <w:rFonts w:eastAsia="Times New Roman" w:cs="Times New Roman"/>
          <w:szCs w:val="24"/>
        </w:rPr>
      </w:pPr>
      <w:r w:rsidRPr="007739BD">
        <w:rPr>
          <w:rFonts w:eastAsia="Times New Roman" w:cs="Times New Roman"/>
          <w:szCs w:val="24"/>
        </w:rPr>
        <w:t xml:space="preserve">Surprisingly, these findings showed that rather than </w:t>
      </w:r>
      <w:r w:rsidRPr="007739BD">
        <w:rPr>
          <w:rFonts w:eastAsia="Calibri" w:cs="Times New Roman"/>
          <w:szCs w:val="24"/>
        </w:rPr>
        <w:t>building on asymmetrical interdependencies inherited from the sports structure in which sport federations, as governing bodies, are traditionally occupying a hierarchical position over clubs (Babiak, 2007; Sotiriadou et al., 2017), partners have altered this likely domination and competitive state (Wicker &amp; Breuer, 2013; Sowa, 2009) into a collaboration position. The lack of asymmetry is illustrated in this quote: “</w:t>
      </w:r>
      <w:r w:rsidRPr="007739BD">
        <w:rPr>
          <w:rFonts w:eastAsia="Times New Roman" w:cs="Times New Roman"/>
          <w:szCs w:val="24"/>
        </w:rPr>
        <w:t>We are not aware of everything that happens within the clubs but our goal is to have as much information as possible. Not for control purposes” (Federation 2).</w:t>
      </w:r>
    </w:p>
    <w:p w:rsidR="003662DF" w:rsidRPr="007739BD" w:rsidRDefault="003662DF" w:rsidP="007739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480" w:lineRule="auto"/>
        <w:ind w:firstLine="709"/>
        <w:jc w:val="both"/>
        <w:rPr>
          <w:rFonts w:eastAsia="Times New Roman" w:cs="Times New Roman"/>
          <w:szCs w:val="24"/>
        </w:rPr>
      </w:pPr>
      <w:r w:rsidRPr="007739BD">
        <w:rPr>
          <w:rFonts w:eastAsia="Calibri" w:cs="Times New Roman"/>
          <w:szCs w:val="24"/>
        </w:rPr>
        <w:t xml:space="preserve">The absence of asymmetrical motivation is an interesting insight to understand the formation of nonprofit collaboration, because this is not systematically the case, as reported in other nonprofit studies (Sotiriadou et al., 2017). This reciprocity can eventually be explained by the significant </w:t>
      </w:r>
      <w:r w:rsidRPr="007739BD">
        <w:rPr>
          <w:rFonts w:eastAsia="Times New Roman" w:cs="Times New Roman"/>
          <w:szCs w:val="24"/>
        </w:rPr>
        <w:t xml:space="preserve">organizational mission and identity fit between these NPOs and previous </w:t>
      </w:r>
      <w:r w:rsidRPr="007739BD">
        <w:rPr>
          <w:rFonts w:eastAsia="Times New Roman" w:cs="Times New Roman"/>
          <w:szCs w:val="24"/>
        </w:rPr>
        <w:lastRenderedPageBreak/>
        <w:t xml:space="preserve">interdependence experience (Atouba &amp; Shumate, 2015; Seitanidi et al., 2010; Walters &amp; Anagnostopoulos, 2012). </w:t>
      </w:r>
    </w:p>
    <w:p w:rsidR="003662DF" w:rsidRPr="007739BD" w:rsidRDefault="003662DF" w:rsidP="007739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480" w:lineRule="auto"/>
        <w:ind w:firstLine="709"/>
        <w:jc w:val="both"/>
        <w:rPr>
          <w:rFonts w:eastAsia="Times New Roman" w:cs="Times New Roman"/>
          <w:szCs w:val="24"/>
        </w:rPr>
      </w:pPr>
      <w:r w:rsidRPr="007739BD">
        <w:rPr>
          <w:rFonts w:eastAsia="Calibri" w:cs="Times New Roman"/>
          <w:szCs w:val="24"/>
        </w:rPr>
        <w:t xml:space="preserve">To some extent, these findings concur with Atouba and Shumate (2015) who found that homophily (i.e., NPOs being more likely to collaborate when they have the same status) influences the selection of nonprofit collaboration. In this case, </w:t>
      </w:r>
      <w:r w:rsidRPr="007739BD">
        <w:rPr>
          <w:rFonts w:eastAsia="Calibri" w:cs="Times New Roman"/>
          <w:szCs w:val="24"/>
          <w:lang w:val="en-GB"/>
        </w:rPr>
        <w:t>these NPOs have similar cultural and organizational characteristics that explain this complementary fit</w:t>
      </w:r>
      <w:r w:rsidRPr="007739BD">
        <w:rPr>
          <w:rFonts w:eastAsia="Calibri" w:cs="Times New Roman"/>
          <w:szCs w:val="24"/>
        </w:rPr>
        <w:t>. These NPOs’ common m</w:t>
      </w:r>
      <w:r w:rsidRPr="007739BD">
        <w:rPr>
          <w:rFonts w:eastAsia="Times New Roman" w:cs="Times New Roman"/>
          <w:szCs w:val="24"/>
        </w:rPr>
        <w:t>ission is indeed influential for this fit: “Developing hockey is one of our main goals as a federation. It is in the ARBH’s strategic plan. One of the elements is to increase the number of sport participants. So why not people with a disability because none of this existed yet.” (Federation 1).</w:t>
      </w:r>
    </w:p>
    <w:p w:rsidR="003662DF" w:rsidRPr="007739BD" w:rsidRDefault="003662DF" w:rsidP="007739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480" w:lineRule="auto"/>
        <w:ind w:firstLine="709"/>
        <w:jc w:val="both"/>
        <w:rPr>
          <w:rFonts w:eastAsia="Times New Roman" w:cs="Times New Roman"/>
          <w:szCs w:val="24"/>
        </w:rPr>
      </w:pPr>
      <w:r w:rsidRPr="007739BD">
        <w:rPr>
          <w:rFonts w:eastAsia="Times New Roman" w:cs="Times New Roman"/>
          <w:szCs w:val="24"/>
        </w:rPr>
        <w:t xml:space="preserve">The results also showed that sharing similar values is essential in this reciprocal relationship. As one federation member highlighted; “There are regularly projects which are always very well welcomed because they correspond to our values. For instance, with HT (…), we absolutely want that it expands in the entire hockey field (Federation 2)”.  </w:t>
      </w:r>
    </w:p>
    <w:p w:rsidR="003662DF" w:rsidRPr="007739BD" w:rsidRDefault="003662DF" w:rsidP="007739BD">
      <w:pPr>
        <w:spacing w:after="0" w:line="480" w:lineRule="auto"/>
        <w:ind w:firstLine="709"/>
        <w:rPr>
          <w:rFonts w:eastAsia="Times New Roman" w:cs="Times New Roman"/>
          <w:szCs w:val="24"/>
        </w:rPr>
      </w:pPr>
      <w:r w:rsidRPr="007739BD">
        <w:rPr>
          <w:rFonts w:eastAsia="Times New Roman" w:cs="Times New Roman"/>
          <w:szCs w:val="24"/>
        </w:rPr>
        <w:t>Ultimately, the resource perspective does not sufficiently provide a complete understanding of the NPOs’ motivations to collaborate. The desire to appear legitimate in the institutional environment to eventually acquire additional resources to do good for society has been also evoked. The institutional perspective provides a more complementary understanding of what motivates NPOs. Our findings showed that organizations sought collaboration to enhance their legitimacy in order to enhance their organizational positioning by showing their capacity to have the right practices in place (Herlin, 2013; Sowa, 2006) and demonstrate their capacity to create social value as in cross-sectoral social collaborations (Austin &amp; Seitanidi, 2010a).</w:t>
      </w:r>
    </w:p>
    <w:p w:rsidR="003662DF" w:rsidRPr="007739BD" w:rsidRDefault="003662DF" w:rsidP="007739BD">
      <w:pPr>
        <w:tabs>
          <w:tab w:val="left" w:pos="5670"/>
        </w:tabs>
        <w:autoSpaceDE w:val="0"/>
        <w:autoSpaceDN w:val="0"/>
        <w:adjustRightInd w:val="0"/>
        <w:spacing w:after="0" w:line="480" w:lineRule="auto"/>
        <w:ind w:firstLine="851"/>
        <w:rPr>
          <w:rFonts w:eastAsia="Times New Roman" w:cs="Times New Roman"/>
          <w:szCs w:val="24"/>
        </w:rPr>
      </w:pPr>
      <w:r w:rsidRPr="007739BD">
        <w:rPr>
          <w:rFonts w:eastAsia="Times New Roman" w:cs="Times New Roman"/>
          <w:szCs w:val="24"/>
        </w:rPr>
        <w:t xml:space="preserve">Institutional pressures played a role in encouraging partners to increase their </w:t>
      </w:r>
      <w:r w:rsidRPr="007739BD">
        <w:rPr>
          <w:rFonts w:eastAsia="Times New Roman" w:cs="Times New Roman"/>
          <w:i/>
          <w:szCs w:val="24"/>
        </w:rPr>
        <w:t>legitimacy</w:t>
      </w:r>
      <w:r w:rsidRPr="007739BD">
        <w:rPr>
          <w:rFonts w:eastAsia="Times New Roman" w:cs="Times New Roman"/>
          <w:szCs w:val="24"/>
        </w:rPr>
        <w:t xml:space="preserve"> in order to appear ‘appropriate’ in relation to their stakeholders’ expectations and </w:t>
      </w:r>
      <w:r w:rsidRPr="007739BD">
        <w:rPr>
          <w:rFonts w:eastAsia="Times New Roman" w:cs="Times New Roman"/>
          <w:szCs w:val="24"/>
        </w:rPr>
        <w:lastRenderedPageBreak/>
        <w:t xml:space="preserve">prevailing norms in their environment (Di Maggio &amp; Powell, 1983; Oliver, 1990). Collaboration is indeed considered as a leading means to tackle various social issues (Austin, 2000; Gazley &amp; Guo, 2015), while addressing social responsibility is a major strategic organizational concern (Seitanidi et al., 2010) for NPOs given its taken for granted institution nature (Pope et al., 2018; Bondy et al., 2012). </w:t>
      </w:r>
    </w:p>
    <w:p w:rsidR="003662DF" w:rsidRPr="007739BD" w:rsidRDefault="003662DF" w:rsidP="007739BD">
      <w:pPr>
        <w:tabs>
          <w:tab w:val="left" w:pos="5664"/>
        </w:tabs>
        <w:autoSpaceDE w:val="0"/>
        <w:autoSpaceDN w:val="0"/>
        <w:adjustRightInd w:val="0"/>
        <w:spacing w:after="0" w:line="480" w:lineRule="auto"/>
        <w:ind w:firstLine="709"/>
        <w:rPr>
          <w:rFonts w:eastAsia="Times New Roman" w:cs="Times New Roman"/>
          <w:szCs w:val="24"/>
        </w:rPr>
      </w:pPr>
      <w:r w:rsidRPr="007739BD">
        <w:rPr>
          <w:rFonts w:eastAsia="Times New Roman" w:cs="Times New Roman"/>
          <w:szCs w:val="24"/>
        </w:rPr>
        <w:t xml:space="preserve">Compared to the literature, our findings interestingly show that while previous studies depicted mimetic isomorphism influencing NPOs to collaborate (Guo &amp; Acar, 2005; Oliver, 1990; Sotiriadou et al., 2017; Sowa, 2009), organizations were not motivated by meeting explicit institutional mandates or complying with collaborative requirements from funding partners. Rather, collaborations were self-initiated in the context of the initiatives examined. </w:t>
      </w:r>
    </w:p>
    <w:p w:rsidR="003662DF" w:rsidRPr="007739BD" w:rsidRDefault="003662DF" w:rsidP="007739BD">
      <w:pPr>
        <w:tabs>
          <w:tab w:val="left" w:pos="5664"/>
        </w:tabs>
        <w:autoSpaceDE w:val="0"/>
        <w:autoSpaceDN w:val="0"/>
        <w:adjustRightInd w:val="0"/>
        <w:spacing w:after="0" w:line="480" w:lineRule="auto"/>
        <w:ind w:firstLine="709"/>
        <w:rPr>
          <w:rFonts w:eastAsia="Times New Roman" w:cs="Times New Roman"/>
          <w:szCs w:val="24"/>
        </w:rPr>
      </w:pPr>
      <w:r w:rsidRPr="007739BD">
        <w:rPr>
          <w:rFonts w:eastAsia="Times New Roman" w:cs="Times New Roman"/>
          <w:szCs w:val="24"/>
        </w:rPr>
        <w:t>Eventually, NPOs’ collaborative behaviors are guided by the need to achieve organizational legitimacy. In particular, all partners have shown that legitimacy played a role in the collaboration, contrary to previous findings (e.g., Sotiriadou et al., 2017) which only identified such determinant in one of the partners (the federation). Moreover, cross-sectoral studies only identified legitimacy motivations with the business sector (Seitanidi et al., 2010). Although NPOs typically possess strong legitimacy attributes (Herlin, 2013; Omar et al., 2014; Sowa, 2009), they strive for improved internal legitimacy (i.e. by their internal stakeholders: the member-clubs, the staff and the volunteers) and external (i.e. by the external stakeholders: sponsors, public authorities, sport organizations) reputation. For instance, LFH illustrated this drive to enhance their image as a leading organization due to their short lifespan:</w:t>
      </w:r>
    </w:p>
    <w:p w:rsidR="003662DF" w:rsidRPr="007739BD" w:rsidRDefault="003662DF" w:rsidP="007739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22"/>
          <w:tab w:val="left" w:pos="8496"/>
          <w:tab w:val="left" w:pos="9912"/>
        </w:tabs>
        <w:spacing w:after="0" w:line="480" w:lineRule="auto"/>
        <w:ind w:left="851" w:right="805" w:firstLine="709"/>
        <w:jc w:val="both"/>
        <w:rPr>
          <w:rFonts w:eastAsia="Times New Roman" w:cs="Times New Roman"/>
          <w:szCs w:val="24"/>
        </w:rPr>
      </w:pPr>
      <w:r w:rsidRPr="007739BD">
        <w:rPr>
          <w:rFonts w:eastAsia="Times New Roman" w:cs="Times New Roman"/>
          <w:szCs w:val="24"/>
        </w:rPr>
        <w:br/>
        <w:t xml:space="preserve">It is important for us to get known. That is, externally, that all our stakeholders know “we are now the league”, toward the Adeps [i.e., public sport administration], and all the subsidiary authorities, toward the French </w:t>
      </w:r>
      <w:r w:rsidRPr="007739BD">
        <w:rPr>
          <w:rFonts w:eastAsia="Times New Roman" w:cs="Times New Roman"/>
          <w:szCs w:val="24"/>
        </w:rPr>
        <w:lastRenderedPageBreak/>
        <w:t>community, all local actors. (…) and internally, towards our clubs (…) Now, there are two leagues but the ARBH is still the national umbrella agency. We exist as a new entity. (Federation 3)</w:t>
      </w:r>
    </w:p>
    <w:p w:rsidR="003662DF" w:rsidRPr="007739BD" w:rsidRDefault="003662DF" w:rsidP="007739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22"/>
          <w:tab w:val="left" w:pos="8496"/>
          <w:tab w:val="left" w:pos="9912"/>
        </w:tabs>
        <w:spacing w:after="0" w:line="480" w:lineRule="auto"/>
        <w:ind w:left="851" w:right="805" w:firstLine="709"/>
        <w:jc w:val="both"/>
        <w:rPr>
          <w:rFonts w:eastAsia="Times New Roman" w:cs="Times New Roman"/>
          <w:szCs w:val="24"/>
        </w:rPr>
      </w:pPr>
    </w:p>
    <w:p w:rsidR="003662DF" w:rsidRPr="007739BD" w:rsidRDefault="003662DF" w:rsidP="007739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480" w:lineRule="auto"/>
        <w:ind w:firstLine="709"/>
        <w:rPr>
          <w:rFonts w:eastAsia="Calibri" w:cs="Times New Roman"/>
          <w:lang w:val="en-GB"/>
        </w:rPr>
      </w:pPr>
      <w:r w:rsidRPr="007739BD">
        <w:rPr>
          <w:rFonts w:eastAsia="Times New Roman" w:cs="Times New Roman"/>
          <w:szCs w:val="24"/>
        </w:rPr>
        <w:t xml:space="preserve">Interestingly, several clubs were also driven by the opportunity to make their members pride of their club:  </w:t>
      </w:r>
    </w:p>
    <w:p w:rsidR="003662DF" w:rsidRPr="007739BD" w:rsidRDefault="003662DF" w:rsidP="007739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480" w:lineRule="auto"/>
        <w:ind w:left="709" w:right="804"/>
        <w:rPr>
          <w:rFonts w:eastAsia="Calibri" w:cs="Times New Roman"/>
        </w:rPr>
      </w:pPr>
      <w:r w:rsidRPr="007739BD">
        <w:rPr>
          <w:rFonts w:eastAsia="Calibri" w:cs="Times New Roman"/>
        </w:rPr>
        <w:t xml:space="preserve">“So this club, if you are proud of what it does, notably, because it empowers people with disability through sport, if you are proud of that, of the colors of your club, you will run faster” (Club 4) </w:t>
      </w:r>
    </w:p>
    <w:p w:rsidR="003662DF" w:rsidRPr="007739BD" w:rsidRDefault="003662DF" w:rsidP="007739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480" w:lineRule="auto"/>
        <w:ind w:left="709" w:right="804"/>
        <w:rPr>
          <w:rFonts w:eastAsia="Times New Roman" w:cs="Times New Roman"/>
          <w:szCs w:val="24"/>
        </w:rPr>
      </w:pPr>
    </w:p>
    <w:p w:rsidR="003662DF" w:rsidRPr="007739BD" w:rsidRDefault="003662DF" w:rsidP="007739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480" w:lineRule="auto"/>
        <w:ind w:firstLine="709"/>
        <w:rPr>
          <w:rFonts w:eastAsia="Times New Roman" w:cs="Times New Roman"/>
          <w:szCs w:val="24"/>
        </w:rPr>
      </w:pPr>
      <w:r w:rsidRPr="007739BD">
        <w:rPr>
          <w:rFonts w:eastAsia="Times New Roman" w:cs="Times New Roman"/>
          <w:szCs w:val="24"/>
        </w:rPr>
        <w:t xml:space="preserve">Using collaborative socially responsible initiatives, NPOs therefore seek to strengthen their image and their strategic position within their organizational field. Eventually, the results showed that organizations expressed their legitimacy motivation in different ways, namely, to demonstrate their capacity to conform to their stakeholders’ expectations and institutional norms, to solve social problems, and to act as a relevant actor of societal change building on the intrinsic nature of the NPOs (Lin-Hi et al., 2015; Pope et al., 2018; Seitanidi et al., 2010). Consistent with legitimacy theory (Suchman, 1995), these findings support that legitimacy can be both strategic/utilitarian and altruistic (Seitanidi et al., 2010; Selsky &amp; Parker, 2005). </w:t>
      </w:r>
    </w:p>
    <w:p w:rsidR="003662DF" w:rsidRPr="007739BD" w:rsidRDefault="003662DF" w:rsidP="007739BD">
      <w:pPr>
        <w:spacing w:after="0" w:line="480" w:lineRule="auto"/>
        <w:ind w:firstLine="720"/>
        <w:rPr>
          <w:rFonts w:eastAsia="Calibri" w:cs="Times New Roman"/>
          <w:szCs w:val="24"/>
        </w:rPr>
      </w:pPr>
      <w:r w:rsidRPr="007739BD">
        <w:rPr>
          <w:rFonts w:eastAsia="Calibri" w:cs="Times New Roman"/>
          <w:szCs w:val="24"/>
        </w:rPr>
        <w:t>Consequently, findings intrinsically indicate that partners demonstrate similarity in their motivations to collaborate due to their organizational fit, but with some key differences in the complementary resources they seek. Overall, the socially responsible program is driving the collaboration. Viewed as a desirable behavior and a valuable means to address social problems, the analysis finds that collaboration is a strategic response to legitimacy and</w:t>
      </w:r>
      <w:r w:rsidRPr="007739BD">
        <w:rPr>
          <w:rFonts w:eastAsia="Calibri" w:cs="Times New Roman"/>
          <w:i/>
          <w:szCs w:val="24"/>
        </w:rPr>
        <w:t xml:space="preserve"> </w:t>
      </w:r>
      <w:r w:rsidRPr="007739BD">
        <w:rPr>
          <w:rFonts w:eastAsia="Calibri" w:cs="Times New Roman"/>
          <w:szCs w:val="24"/>
        </w:rPr>
        <w:t xml:space="preserve">resource needs for the socially responsible programs. The potential to create social value </w:t>
      </w:r>
      <w:r w:rsidRPr="007739BD">
        <w:rPr>
          <w:rFonts w:eastAsia="Calibri" w:cs="Times New Roman"/>
          <w:szCs w:val="24"/>
        </w:rPr>
        <w:lastRenderedPageBreak/>
        <w:t xml:space="preserve">makes this nonprofit collaboration form unique. Partners are motivated by the aim to create social value that leads to positive social change. This is the catalyst to these collaborations. </w:t>
      </w:r>
    </w:p>
    <w:p w:rsidR="003662DF" w:rsidRPr="007739BD" w:rsidRDefault="003662DF" w:rsidP="007739BD">
      <w:pPr>
        <w:spacing w:after="0" w:line="480" w:lineRule="auto"/>
        <w:ind w:firstLine="720"/>
        <w:rPr>
          <w:rFonts w:eastAsia="Calibri" w:cs="Times New Roman"/>
          <w:szCs w:val="24"/>
        </w:rPr>
      </w:pPr>
      <w:r w:rsidRPr="007739BD">
        <w:rPr>
          <w:rFonts w:eastAsia="Calibri" w:cs="Times New Roman"/>
          <w:szCs w:val="24"/>
        </w:rPr>
        <w:t>Eventually, the study makes two contributions. First, this work generates original insights into the formation of nonprofit collaboration. Although a growing body of research has focused on the motivations of collaborations among NPOs for specific service delivery (Sowa, 2006), this article contributes to this emergent field by examining motivations to engage in nonprofit collaboration for social responsibility programs. This study contributes to the nonprofit collaboration literature by providing an understanding of how motivations for nonprofit collaboration for socially responsible programs differ from other nonprofit collaboration forms depending on the nature of the issue addressed. This study shows that there are differences in nonprofit collaboration formation depending on the purpose and on the nature of the issue addressed in the collaboration.</w:t>
      </w:r>
      <w:r w:rsidRPr="007739BD">
        <w:rPr>
          <w:rFonts w:eastAsia="Calibri" w:cs="Times New Roman"/>
          <w:lang w:val="en-GB"/>
        </w:rPr>
        <w:t xml:space="preserve"> </w:t>
      </w:r>
      <w:r w:rsidRPr="007739BD">
        <w:rPr>
          <w:rFonts w:eastAsia="Calibri" w:cs="Times New Roman"/>
          <w:szCs w:val="24"/>
        </w:rPr>
        <w:t>Social responsibility programs lead to differences because of the social value creation aim.</w:t>
      </w:r>
    </w:p>
    <w:p w:rsidR="003662DF" w:rsidRPr="007739BD" w:rsidRDefault="003662DF" w:rsidP="007739BD">
      <w:pPr>
        <w:spacing w:after="0" w:line="480" w:lineRule="auto"/>
        <w:ind w:firstLine="720"/>
        <w:rPr>
          <w:rFonts w:eastAsia="Times New Roman" w:cs="Times New Roman"/>
          <w:szCs w:val="24"/>
          <w:lang w:eastAsia="en-GB"/>
        </w:rPr>
      </w:pPr>
      <w:r w:rsidRPr="007739BD">
        <w:rPr>
          <w:rFonts w:eastAsia="Times New Roman" w:cs="Times New Roman"/>
          <w:szCs w:val="24"/>
          <w:lang w:eastAsia="en-GB"/>
        </w:rPr>
        <w:t xml:space="preserve">The findings originally point that NPOs do not compete for resource although there is a general competition for resources in the general NPO context (Wicker &amp; Breuer, 2013). Elements of resource-based view and institutional forces provide explanatory power for studying the singularity of the formation of collaboration for socially responsible programs. Prior research found reducing the need to compete for resource and funding uncertainties, cost savings and a desire to expand services beyond the capacity of partners to be important drivers of the motivation to collaborate (Chen &amp; Gazley, 2010; Guo &amp; Acar, 2005; Sowa, 2006), whereas we have noted the nonprofit interest in using collaboration as a strategic response to resource complementarity and social value creation. Overall, the theoretical interplay is fundamental, as collaborating may improve NPOs’ reputation, which in turn may attract new or additional grant funding. Organizations also seek new partners to build future relationships in order to enhance and mature existing collaborations. Essentially, these </w:t>
      </w:r>
      <w:r w:rsidRPr="007739BD">
        <w:rPr>
          <w:rFonts w:eastAsia="Times New Roman" w:cs="Times New Roman"/>
          <w:szCs w:val="24"/>
          <w:lang w:eastAsia="en-GB"/>
        </w:rPr>
        <w:lastRenderedPageBreak/>
        <w:t xml:space="preserve">findings extend existing work demonstrating that both theories are equally important and complementary driving forces of collaboration by NPOs (Arya &amp; Lin, 2007; Barringer &amp; Harrisson, 2000). This study contributes to this growing body of research and knowledge by applying two theoretical perspectives, which complementarily, offer a more rounded approach on the motivations to engage in social responsibility collaborations. </w:t>
      </w:r>
    </w:p>
    <w:p w:rsidR="003662DF" w:rsidRPr="007739BD" w:rsidRDefault="003662DF" w:rsidP="007739BD">
      <w:pPr>
        <w:spacing w:line="480" w:lineRule="auto"/>
        <w:ind w:firstLine="709"/>
        <w:rPr>
          <w:rFonts w:eastAsia="Calibri" w:cs="Times New Roman"/>
          <w:szCs w:val="24"/>
        </w:rPr>
      </w:pPr>
      <w:r w:rsidRPr="007739BD">
        <w:rPr>
          <w:rFonts w:eastAsia="Calibri" w:cs="Times New Roman"/>
          <w:szCs w:val="24"/>
        </w:rPr>
        <w:t xml:space="preserve">Second, this article contributes to a better understanding of the applicability of social responsibility in the nonprofit domain by examining nonprofit organizations collaborative motivations to implement such programs (Lin-Hi et al., 2015; Pope et al., 2018). These programs are often considered practices that extend beyond their core purpose. In this study, NPOs are collaborating with likeminded organizations rather than serving either as recipients or vehicles of socially responsible programs of business (Kourula &amp; Laasonen, 2010); a stream of research that has predominantly attracted scholarly attention in the nonprofit literature. The traditional perspective of NPOs as mere passive providers of CSR should be abandoned. NPOs should rather be regarded as capable proactive implementers of socially responsible practices. As such, there is some consensus that businesses are not responsible for addressing all social issues (Amaeshi et al, 2016). That is, although the word “corporate” has typically been associated with large business organizations, CSR is now being embraced by organizations of all types and sizes, including nonprofit sport organizations. Moreover, this study shows that beyond cross-sectoral collaboration, other collaborative forms exist to implement CSR programs. Within sector collaboration can offer valuable benefits for organizations willing to implement their social responsibilities with likeminded organizations. As such, this study extends the roles of collaboration for the implementation of CSR by considering that profit organizations are not the only organizations capable of developing collaborations to implement socially responsible programs. </w:t>
      </w:r>
    </w:p>
    <w:p w:rsidR="003662DF" w:rsidRPr="007739BD" w:rsidRDefault="003662DF" w:rsidP="007739BD">
      <w:pPr>
        <w:keepNext/>
        <w:keepLines/>
        <w:spacing w:before="40" w:after="0" w:line="480" w:lineRule="auto"/>
        <w:jc w:val="center"/>
        <w:outlineLvl w:val="1"/>
        <w:rPr>
          <w:rFonts w:eastAsia="Times New Roman" w:cs="Times New Roman"/>
          <w:b/>
          <w:szCs w:val="26"/>
        </w:rPr>
      </w:pPr>
      <w:r w:rsidRPr="007739BD">
        <w:rPr>
          <w:rFonts w:eastAsia="Times New Roman" w:cs="Times New Roman"/>
          <w:b/>
          <w:szCs w:val="26"/>
        </w:rPr>
        <w:lastRenderedPageBreak/>
        <w:t>Conclusions and Future Research</w:t>
      </w:r>
    </w:p>
    <w:p w:rsidR="003662DF" w:rsidRPr="007739BD" w:rsidRDefault="003662DF" w:rsidP="007739BD">
      <w:pPr>
        <w:autoSpaceDE w:val="0"/>
        <w:autoSpaceDN w:val="0"/>
        <w:adjustRightInd w:val="0"/>
        <w:spacing w:after="0" w:line="480" w:lineRule="auto"/>
        <w:rPr>
          <w:rFonts w:eastAsia="Calibri" w:cs="Times New Roman"/>
        </w:rPr>
      </w:pPr>
      <w:r w:rsidRPr="007739BD">
        <w:rPr>
          <w:rFonts w:eastAsia="Times New Roman" w:cs="Times New Roman"/>
          <w:szCs w:val="24"/>
        </w:rPr>
        <w:t xml:space="preserve">The purpose of this paper was to examine a particular form of collaboration within the nonprofit landscape. In this study, we have indicated key motivations for the formation of collaborations among NPOs for socially responsible programs. As such, three unique features of this collaboration can be highlighted. First, NPOs’ motivations stemmed from the potential to create social value from the social responsibility programs implemented through collaboration. </w:t>
      </w:r>
      <w:r w:rsidRPr="007739BD">
        <w:rPr>
          <w:rFonts w:eastAsia="Calibri" w:cs="Times New Roman"/>
          <w:szCs w:val="24"/>
          <w:lang w:eastAsia="fr-BE"/>
        </w:rPr>
        <w:t>As such, this nonprofit collaboration form is unique because socially responsible programs are the catalyst of the collaboration.</w:t>
      </w:r>
      <w:r w:rsidRPr="007739BD">
        <w:rPr>
          <w:rFonts w:eastAsia="Times New Roman" w:cs="Times New Roman"/>
          <w:szCs w:val="24"/>
        </w:rPr>
        <w:t xml:space="preserve"> Second,</w:t>
      </w:r>
      <w:r w:rsidRPr="007739BD">
        <w:rPr>
          <w:rFonts w:eastAsia="Calibri" w:cs="Times New Roman"/>
          <w:szCs w:val="24"/>
        </w:rPr>
        <w:t xml:space="preserve"> reflecting the interplay between resource-based view and institutional perspectives, organizational legitimacy and</w:t>
      </w:r>
      <w:r w:rsidRPr="007739BD">
        <w:rPr>
          <w:rFonts w:eastAsia="Calibri" w:cs="Times New Roman"/>
          <w:i/>
          <w:szCs w:val="24"/>
        </w:rPr>
        <w:t xml:space="preserve"> </w:t>
      </w:r>
      <w:r w:rsidRPr="007739BD">
        <w:rPr>
          <w:rFonts w:eastAsia="Calibri" w:cs="Times New Roman"/>
          <w:szCs w:val="24"/>
        </w:rPr>
        <w:t>resource exchange needs</w:t>
      </w:r>
      <w:r w:rsidRPr="007739BD">
        <w:rPr>
          <w:rFonts w:eastAsia="Calibri" w:cs="Times New Roman"/>
          <w:szCs w:val="24"/>
          <w:lang w:val="en-GB"/>
        </w:rPr>
        <w:t xml:space="preserve"> for socially responsible programs are driving the collaboration </w:t>
      </w:r>
      <w:r w:rsidRPr="007739BD">
        <w:rPr>
          <w:rFonts w:eastAsia="Calibri" w:cs="Times New Roman"/>
          <w:szCs w:val="24"/>
        </w:rPr>
        <w:t>rather than organizational survival needs</w:t>
      </w:r>
      <w:r w:rsidRPr="007739BD">
        <w:rPr>
          <w:rFonts w:eastAsia="Calibri" w:cs="Times New Roman"/>
          <w:szCs w:val="24"/>
          <w:lang w:eastAsia="fr-BE"/>
        </w:rPr>
        <w:t>.</w:t>
      </w:r>
    </w:p>
    <w:p w:rsidR="003662DF" w:rsidRPr="007739BD" w:rsidRDefault="003662DF" w:rsidP="007739BD">
      <w:pPr>
        <w:spacing w:after="0" w:line="480" w:lineRule="auto"/>
        <w:ind w:firstLine="720"/>
        <w:rPr>
          <w:rFonts w:eastAsia="Calibri" w:cs="Times New Roman"/>
          <w:szCs w:val="24"/>
          <w:lang w:val="en-GB"/>
        </w:rPr>
      </w:pPr>
      <w:r w:rsidRPr="007739BD">
        <w:rPr>
          <w:rFonts w:eastAsia="Calibri" w:cs="Times New Roman"/>
          <w:szCs w:val="24"/>
          <w:lang w:eastAsia="fr-BE"/>
        </w:rPr>
        <w:t>Third,</w:t>
      </w:r>
      <w:r w:rsidRPr="007739BD">
        <w:rPr>
          <w:rFonts w:eastAsia="Calibri" w:cs="Times New Roman"/>
          <w:szCs w:val="24"/>
          <w:lang w:val="en-GB"/>
        </w:rPr>
        <w:t xml:space="preserve"> the </w:t>
      </w:r>
      <w:r w:rsidRPr="007739BD">
        <w:rPr>
          <w:rFonts w:eastAsia="Calibri" w:cs="Times New Roman"/>
          <w:szCs w:val="24"/>
        </w:rPr>
        <w:t xml:space="preserve">partners demonstrate similarity in their motivations to collaborate due to their organizational fit, but with some key differences in the complementary resources they seek. This suggests that </w:t>
      </w:r>
      <w:r w:rsidRPr="007739BD">
        <w:rPr>
          <w:rFonts w:eastAsia="Calibri" w:cs="Times New Roman"/>
          <w:szCs w:val="24"/>
          <w:lang w:val="en-GB"/>
        </w:rPr>
        <w:t xml:space="preserve">a high degree of </w:t>
      </w:r>
      <w:r w:rsidRPr="007739BD">
        <w:rPr>
          <w:rFonts w:eastAsia="Calibri" w:cs="Times New Roman"/>
          <w:szCs w:val="24"/>
          <w:lang w:eastAsia="fr-BE"/>
        </w:rPr>
        <w:t>organizational characteristics and motivations fit</w:t>
      </w:r>
      <w:r w:rsidRPr="007739BD">
        <w:rPr>
          <w:rFonts w:eastAsia="Calibri" w:cs="Times New Roman"/>
          <w:szCs w:val="24"/>
          <w:lang w:val="en-GB"/>
        </w:rPr>
        <w:t xml:space="preserve"> among partners </w:t>
      </w:r>
      <w:r w:rsidRPr="007739BD">
        <w:rPr>
          <w:rFonts w:eastAsia="Calibri" w:cs="Times New Roman"/>
          <w:szCs w:val="24"/>
        </w:rPr>
        <w:t xml:space="preserve">might increase chances to deliver social good </w:t>
      </w:r>
      <w:r w:rsidRPr="007739BD">
        <w:rPr>
          <w:rFonts w:eastAsia="Calibri" w:cs="Times New Roman"/>
          <w:szCs w:val="24"/>
          <w:lang w:eastAsia="fr-BE"/>
        </w:rPr>
        <w:t xml:space="preserve">at this stage prior to the collaboration implementation. </w:t>
      </w:r>
      <w:r w:rsidRPr="007739BD">
        <w:rPr>
          <w:rFonts w:eastAsia="Calibri" w:cs="Times New Roman"/>
          <w:szCs w:val="24"/>
          <w:lang w:val="en-GB"/>
        </w:rPr>
        <w:t xml:space="preserve">In the case of sport, the network of partners is relatively dense and the degree fit is important. </w:t>
      </w:r>
    </w:p>
    <w:p w:rsidR="003662DF" w:rsidRPr="007739BD" w:rsidRDefault="003662DF" w:rsidP="007739BD">
      <w:pPr>
        <w:spacing w:after="0" w:line="480" w:lineRule="auto"/>
        <w:ind w:firstLine="720"/>
        <w:rPr>
          <w:rFonts w:eastAsia="Calibri" w:cs="Times New Roman"/>
          <w:szCs w:val="24"/>
          <w:lang w:val="en-GB"/>
        </w:rPr>
      </w:pPr>
      <w:r w:rsidRPr="007739BD">
        <w:rPr>
          <w:rFonts w:ascii="Times-Roman" w:eastAsia="Calibri" w:hAnsi="Times-Roman" w:cs="Times-Roman"/>
          <w:szCs w:val="24"/>
        </w:rPr>
        <w:t xml:space="preserve">The findings from this study are limited in their generalization to similar institutional contexts where implicit forms of social responsibility prevails and to similar organizational contexts where voluntary membership organizations are based on a federated structure. Yet, </w:t>
      </w:r>
      <w:r w:rsidRPr="007739BD">
        <w:rPr>
          <w:rFonts w:eastAsia="Calibri" w:cs="Times New Roman"/>
          <w:szCs w:val="24"/>
          <w:lang w:eastAsia="fr-BE"/>
        </w:rPr>
        <w:t>this study may be beneficial for managers willing to work in collaboration for socially responsible programs.</w:t>
      </w:r>
      <w:r w:rsidRPr="007739BD">
        <w:rPr>
          <w:rFonts w:eastAsia="Calibri" w:cs="Times New Roman"/>
          <w:szCs w:val="24"/>
          <w:lang w:val="en-GB"/>
        </w:rPr>
        <w:t xml:space="preserve"> Collaboration requires the understanding of the partners’ motivation to collaborate. Motivations are preconditions of collaboration formation and many managers tend to miss this important part (Austin, 2000). Beforehand, managers should detect common </w:t>
      </w:r>
      <w:r w:rsidRPr="007739BD">
        <w:rPr>
          <w:rFonts w:eastAsia="Calibri" w:cs="Times New Roman"/>
          <w:szCs w:val="24"/>
          <w:lang w:val="en-GB"/>
        </w:rPr>
        <w:lastRenderedPageBreak/>
        <w:t xml:space="preserve">characteristics and (seek) compatible motivations to inform the decision to partner or not to partner. Managers can strategically oversee collaboration when they know partners’ motivations. Hence, this should minimize the risk of threats to the implementation of the collaboration and eventually </w:t>
      </w:r>
      <w:r w:rsidRPr="007739BD">
        <w:rPr>
          <w:rFonts w:eastAsia="Calibri" w:cs="Times New Roman"/>
          <w:szCs w:val="24"/>
        </w:rPr>
        <w:t>increasing the potential outcomes of the collaboration</w:t>
      </w:r>
      <w:r w:rsidRPr="007739BD">
        <w:rPr>
          <w:rFonts w:eastAsia="Calibri" w:cs="Times New Roman"/>
          <w:szCs w:val="24"/>
          <w:lang w:val="en-GB"/>
        </w:rPr>
        <w:t xml:space="preserve">. Furthermore, as collaboration requires various sources, an effective manager should define the resources their need, detect potential resources to exchange and eventually create new resource flows through collaboration. </w:t>
      </w:r>
    </w:p>
    <w:p w:rsidR="003662DF" w:rsidRPr="007739BD" w:rsidRDefault="003662DF" w:rsidP="007739BD">
      <w:pPr>
        <w:spacing w:after="0" w:line="480" w:lineRule="auto"/>
        <w:ind w:firstLine="720"/>
        <w:rPr>
          <w:rFonts w:eastAsia="Times New Roman" w:cs="Times New Roman"/>
          <w:szCs w:val="24"/>
        </w:rPr>
      </w:pPr>
      <w:r w:rsidRPr="007739BD">
        <w:rPr>
          <w:rFonts w:eastAsia="Times New Roman" w:cs="Times New Roman"/>
          <w:szCs w:val="24"/>
        </w:rPr>
        <w:t>However, the study is also subject to some limitations. First, the sports context limits the findings’ universality. Second, the study is based on a dataset collected in a relatively short period. Third, adopting a single level of analysis limits the findings.</w:t>
      </w:r>
      <w:r w:rsidRPr="007739BD">
        <w:rPr>
          <w:rFonts w:eastAsia="Calibri" w:cs="Times New Roman"/>
          <w:lang w:val="en-GB"/>
        </w:rPr>
        <w:t xml:space="preserve"> </w:t>
      </w:r>
      <w:r w:rsidRPr="007739BD">
        <w:rPr>
          <w:rFonts w:eastAsia="Times New Roman" w:cs="Times New Roman"/>
          <w:szCs w:val="24"/>
        </w:rPr>
        <w:t>These limitations could be addressed through future investigation</w:t>
      </w:r>
    </w:p>
    <w:p w:rsidR="003662DF" w:rsidRPr="007739BD" w:rsidRDefault="003662DF" w:rsidP="007739BD">
      <w:pPr>
        <w:spacing w:after="0" w:line="480" w:lineRule="auto"/>
        <w:ind w:firstLine="720"/>
        <w:rPr>
          <w:rFonts w:eastAsia="Times New Roman" w:cs="Times New Roman"/>
          <w:szCs w:val="24"/>
        </w:rPr>
      </w:pPr>
      <w:r w:rsidRPr="007739BD">
        <w:rPr>
          <w:rFonts w:eastAsia="Times New Roman" w:cs="Times New Roman"/>
          <w:szCs w:val="24"/>
        </w:rPr>
        <w:t xml:space="preserve">First, we encourage future studies to expand knowledge on social responsibility and NPOs by examining whether and how NPOs from different industry outside sports collaborate in the delivery of socially responsible programs. Second, as this study has examined the static motivations of collaboration, a step forward could be opting for a longitudinal perspective to capture the evolution of the nonprofit collaboration process (especially within all the chronological stages of collaboration (formation, management and outcomes) (Selsky &amp; Parker, 2005). Hence integrating the nonprofit collaboration challenges, resistance, and termination. Third, delving into individual or network-level factors, such research could pave the way for a better understanding of how they intersect, addressing issues such as leadership and organizational learning. </w:t>
      </w:r>
    </w:p>
    <w:p w:rsidR="003662DF" w:rsidRPr="007739BD" w:rsidRDefault="003662DF" w:rsidP="007739BD">
      <w:pPr>
        <w:autoSpaceDE w:val="0"/>
        <w:autoSpaceDN w:val="0"/>
        <w:adjustRightInd w:val="0"/>
        <w:spacing w:after="0" w:line="480" w:lineRule="auto"/>
        <w:ind w:firstLine="709"/>
        <w:jc w:val="center"/>
        <w:rPr>
          <w:rFonts w:eastAsia="Calibri" w:cs="Times New Roman"/>
          <w:b/>
          <w:szCs w:val="24"/>
        </w:rPr>
      </w:pPr>
      <w:r w:rsidRPr="007739BD">
        <w:rPr>
          <w:rFonts w:eastAsia="Times New Roman" w:cs="Times New Roman"/>
          <w:szCs w:val="24"/>
        </w:rPr>
        <w:br w:type="page"/>
      </w:r>
      <w:r w:rsidRPr="007739BD">
        <w:rPr>
          <w:rFonts w:eastAsia="Calibri" w:cs="Times New Roman"/>
          <w:b/>
          <w:szCs w:val="24"/>
        </w:rPr>
        <w:lastRenderedPageBreak/>
        <w:t>References</w:t>
      </w:r>
    </w:p>
    <w:p w:rsidR="003662DF" w:rsidRPr="007739BD" w:rsidRDefault="003662DF" w:rsidP="007739BD">
      <w:pPr>
        <w:spacing w:after="0" w:line="480" w:lineRule="auto"/>
        <w:ind w:left="426" w:hanging="426"/>
        <w:rPr>
          <w:rFonts w:eastAsia="Calibri" w:cs="Times New Roman"/>
          <w:szCs w:val="24"/>
        </w:rPr>
      </w:pPr>
    </w:p>
    <w:p w:rsidR="003662DF" w:rsidRPr="007739BD" w:rsidRDefault="003662DF" w:rsidP="007739BD">
      <w:pPr>
        <w:spacing w:after="0" w:line="480" w:lineRule="auto"/>
        <w:ind w:left="426" w:hanging="426"/>
        <w:rPr>
          <w:rFonts w:eastAsia="Calibri" w:cs="Times New Roman"/>
          <w:szCs w:val="24"/>
        </w:rPr>
      </w:pPr>
      <w:r w:rsidRPr="007739BD">
        <w:rPr>
          <w:rFonts w:eastAsia="Calibri" w:cs="Times New Roman"/>
          <w:szCs w:val="24"/>
        </w:rPr>
        <w:t xml:space="preserve">AbouAssi, K., Makhlouf, N., &amp; Whalen, P. (2016). NGOs’ resource capacity antecedents for partnerships. </w:t>
      </w:r>
      <w:r w:rsidRPr="007739BD">
        <w:rPr>
          <w:rFonts w:eastAsia="Calibri" w:cs="Times New Roman"/>
          <w:i/>
          <w:szCs w:val="24"/>
        </w:rPr>
        <w:t>Nonprofit Management and Leadership</w:t>
      </w:r>
      <w:r w:rsidRPr="007739BD">
        <w:rPr>
          <w:rFonts w:eastAsia="Calibri" w:cs="Times New Roman"/>
          <w:szCs w:val="24"/>
        </w:rPr>
        <w:t xml:space="preserve">, </w:t>
      </w:r>
      <w:r w:rsidRPr="007739BD">
        <w:rPr>
          <w:rFonts w:eastAsia="Calibri" w:cs="Times New Roman"/>
          <w:i/>
          <w:szCs w:val="24"/>
        </w:rPr>
        <w:t>26</w:t>
      </w:r>
      <w:r w:rsidRPr="007739BD">
        <w:rPr>
          <w:rFonts w:eastAsia="Calibri" w:cs="Times New Roman"/>
          <w:szCs w:val="24"/>
        </w:rPr>
        <w:t>, 435-451.</w:t>
      </w:r>
    </w:p>
    <w:p w:rsidR="003662DF" w:rsidRPr="007739BD" w:rsidRDefault="003662DF" w:rsidP="007739BD">
      <w:pPr>
        <w:spacing w:after="0" w:line="480" w:lineRule="auto"/>
        <w:ind w:left="426" w:hanging="426"/>
        <w:rPr>
          <w:rFonts w:eastAsia="Calibri" w:cs="Times New Roman"/>
          <w:szCs w:val="24"/>
        </w:rPr>
      </w:pPr>
      <w:r w:rsidRPr="007739BD">
        <w:rPr>
          <w:rFonts w:eastAsia="Calibri" w:cs="Times New Roman"/>
          <w:szCs w:val="24"/>
        </w:rPr>
        <w:t xml:space="preserve">Acar, W., Aupperle, K. E., &amp; Lowy, R. M. (2001). An empirical exploration of measures of social responsibility across the spectrum of organizational types. </w:t>
      </w:r>
      <w:r w:rsidRPr="007739BD">
        <w:rPr>
          <w:rFonts w:eastAsia="Calibri" w:cs="Times New Roman"/>
          <w:i/>
          <w:szCs w:val="24"/>
        </w:rPr>
        <w:t>The International Journal of Organizational Analysis,</w:t>
      </w:r>
      <w:r w:rsidRPr="007739BD">
        <w:rPr>
          <w:rFonts w:eastAsia="Calibri" w:cs="Times New Roman"/>
          <w:szCs w:val="24"/>
        </w:rPr>
        <w:t xml:space="preserve"> </w:t>
      </w:r>
      <w:r w:rsidRPr="007739BD">
        <w:rPr>
          <w:rFonts w:eastAsia="Calibri" w:cs="Times New Roman"/>
          <w:i/>
          <w:szCs w:val="24"/>
        </w:rPr>
        <w:t>9</w:t>
      </w:r>
      <w:r w:rsidRPr="007739BD">
        <w:rPr>
          <w:rFonts w:eastAsia="Calibri" w:cs="Times New Roman"/>
          <w:szCs w:val="24"/>
        </w:rPr>
        <w:t>, 26-57.</w:t>
      </w:r>
    </w:p>
    <w:p w:rsidR="003662DF" w:rsidRPr="007739BD" w:rsidRDefault="003662DF" w:rsidP="007739BD">
      <w:pPr>
        <w:autoSpaceDE w:val="0"/>
        <w:autoSpaceDN w:val="0"/>
        <w:adjustRightInd w:val="0"/>
        <w:spacing w:after="0" w:line="480" w:lineRule="auto"/>
        <w:ind w:left="426" w:hanging="426"/>
        <w:rPr>
          <w:rFonts w:eastAsia="Calibri" w:cs="Times New Roman"/>
          <w:szCs w:val="24"/>
        </w:rPr>
      </w:pPr>
      <w:r w:rsidRPr="007739BD">
        <w:rPr>
          <w:rFonts w:eastAsia="Calibri" w:cs="Times New Roman"/>
          <w:szCs w:val="24"/>
        </w:rPr>
        <w:t xml:space="preserve">Aguilera, R. V., Rupp, D. E., Williams, C. A., &amp; Ganapathi, J. (2007). Putting the S back in corporate social responsibility: A multilevel theory of social change in organizations. </w:t>
      </w:r>
      <w:r w:rsidRPr="007739BD">
        <w:rPr>
          <w:rFonts w:eastAsia="Calibri" w:cs="Times New Roman"/>
          <w:i/>
          <w:szCs w:val="24"/>
        </w:rPr>
        <w:t>Academy of Management Review</w:t>
      </w:r>
      <w:r w:rsidRPr="007739BD">
        <w:rPr>
          <w:rFonts w:eastAsia="Calibri" w:cs="Times New Roman"/>
          <w:szCs w:val="24"/>
        </w:rPr>
        <w:t xml:space="preserve">, </w:t>
      </w:r>
      <w:r w:rsidRPr="007739BD">
        <w:rPr>
          <w:rFonts w:eastAsia="Calibri" w:cs="Times New Roman"/>
          <w:i/>
          <w:szCs w:val="24"/>
        </w:rPr>
        <w:t>32</w:t>
      </w:r>
      <w:r w:rsidRPr="007739BD">
        <w:rPr>
          <w:rFonts w:eastAsia="Calibri" w:cs="Times New Roman"/>
          <w:szCs w:val="24"/>
        </w:rPr>
        <w:t>, 836-863.</w:t>
      </w:r>
    </w:p>
    <w:p w:rsidR="003662DF" w:rsidRPr="007739BD" w:rsidRDefault="003662DF" w:rsidP="007739BD">
      <w:pPr>
        <w:autoSpaceDE w:val="0"/>
        <w:autoSpaceDN w:val="0"/>
        <w:adjustRightInd w:val="0"/>
        <w:spacing w:after="0" w:line="480" w:lineRule="auto"/>
        <w:ind w:left="426" w:hanging="426"/>
        <w:rPr>
          <w:rFonts w:eastAsia="Calibri" w:cs="Times New Roman"/>
          <w:szCs w:val="20"/>
          <w:shd w:val="clear" w:color="auto" w:fill="FFFFFF"/>
          <w:lang w:val="en-GB"/>
        </w:rPr>
      </w:pPr>
      <w:r w:rsidRPr="007739BD">
        <w:rPr>
          <w:rFonts w:eastAsia="Calibri" w:cs="Times New Roman"/>
          <w:szCs w:val="20"/>
          <w:shd w:val="clear" w:color="auto" w:fill="FFFFFF"/>
          <w:lang w:val="en-GB"/>
        </w:rPr>
        <w:t>Amaeshi, K., Adegbite, E., Ogbechie, C., Idemudia, U., Kan, K. A. S., Issa, M., &amp; Anakwue, O. I. (2016). Corporate Social Responsibility in SMEs: a shift from philanthropy to institutional works?. </w:t>
      </w:r>
      <w:r w:rsidRPr="007739BD">
        <w:rPr>
          <w:rFonts w:eastAsia="Calibri" w:cs="Times New Roman"/>
          <w:i/>
          <w:iCs/>
          <w:szCs w:val="20"/>
          <w:shd w:val="clear" w:color="auto" w:fill="FFFFFF"/>
          <w:lang w:val="en-GB"/>
        </w:rPr>
        <w:t>Journal of Business Ethics</w:t>
      </w:r>
      <w:r w:rsidRPr="007739BD">
        <w:rPr>
          <w:rFonts w:eastAsia="Calibri" w:cs="Times New Roman"/>
          <w:szCs w:val="20"/>
          <w:shd w:val="clear" w:color="auto" w:fill="FFFFFF"/>
          <w:lang w:val="en-GB"/>
        </w:rPr>
        <w:t>, </w:t>
      </w:r>
      <w:r w:rsidRPr="007739BD">
        <w:rPr>
          <w:rFonts w:eastAsia="Calibri" w:cs="Times New Roman"/>
          <w:i/>
          <w:iCs/>
          <w:szCs w:val="20"/>
          <w:shd w:val="clear" w:color="auto" w:fill="FFFFFF"/>
          <w:lang w:val="en-GB"/>
        </w:rPr>
        <w:t>138</w:t>
      </w:r>
      <w:r w:rsidRPr="007739BD">
        <w:rPr>
          <w:rFonts w:eastAsia="Calibri" w:cs="Times New Roman"/>
          <w:szCs w:val="20"/>
          <w:shd w:val="clear" w:color="auto" w:fill="FFFFFF"/>
          <w:lang w:val="en-GB"/>
        </w:rPr>
        <w:t>, 385-400.</w:t>
      </w:r>
    </w:p>
    <w:p w:rsidR="003662DF" w:rsidRPr="007739BD" w:rsidRDefault="003662DF" w:rsidP="007739BD">
      <w:pPr>
        <w:autoSpaceDE w:val="0"/>
        <w:autoSpaceDN w:val="0"/>
        <w:adjustRightInd w:val="0"/>
        <w:spacing w:after="0" w:line="480" w:lineRule="auto"/>
        <w:ind w:left="426" w:hanging="426"/>
        <w:rPr>
          <w:rFonts w:eastAsia="Calibri" w:cs="Times New Roman"/>
          <w:sz w:val="32"/>
          <w:szCs w:val="24"/>
        </w:rPr>
      </w:pPr>
      <w:r w:rsidRPr="007739BD">
        <w:rPr>
          <w:rFonts w:eastAsia="Calibri" w:cs="Times New Roman"/>
          <w:szCs w:val="20"/>
          <w:shd w:val="clear" w:color="auto" w:fill="FFFFFF"/>
          <w:lang w:val="en-GB"/>
        </w:rPr>
        <w:t>Arya, B., &amp; Lin, Z. (2007). Understanding collaboration outcomes from an extended resource-based view perspective: The roles of organizational characteristics, partner attributes, and network structures. </w:t>
      </w:r>
      <w:r w:rsidRPr="007739BD">
        <w:rPr>
          <w:rFonts w:eastAsia="Calibri" w:cs="Times New Roman"/>
          <w:i/>
          <w:iCs/>
          <w:szCs w:val="20"/>
          <w:shd w:val="clear" w:color="auto" w:fill="FFFFFF"/>
          <w:lang w:val="en-GB"/>
        </w:rPr>
        <w:t>Journal of Management</w:t>
      </w:r>
      <w:r w:rsidRPr="007739BD">
        <w:rPr>
          <w:rFonts w:eastAsia="Calibri" w:cs="Times New Roman"/>
          <w:szCs w:val="20"/>
          <w:shd w:val="clear" w:color="auto" w:fill="FFFFFF"/>
          <w:lang w:val="en-GB"/>
        </w:rPr>
        <w:t>, </w:t>
      </w:r>
      <w:r w:rsidRPr="007739BD">
        <w:rPr>
          <w:rFonts w:eastAsia="Calibri" w:cs="Times New Roman"/>
          <w:i/>
          <w:iCs/>
          <w:szCs w:val="20"/>
          <w:shd w:val="clear" w:color="auto" w:fill="FFFFFF"/>
          <w:lang w:val="en-GB"/>
        </w:rPr>
        <w:t>33</w:t>
      </w:r>
      <w:r w:rsidRPr="007739BD">
        <w:rPr>
          <w:rFonts w:eastAsia="Calibri" w:cs="Times New Roman"/>
          <w:szCs w:val="20"/>
          <w:shd w:val="clear" w:color="auto" w:fill="FFFFFF"/>
          <w:lang w:val="en-GB"/>
        </w:rPr>
        <w:t>, 697-723.</w:t>
      </w:r>
    </w:p>
    <w:p w:rsidR="003662DF" w:rsidRPr="003662DF" w:rsidRDefault="003662DF" w:rsidP="007739BD">
      <w:pPr>
        <w:autoSpaceDE w:val="0"/>
        <w:autoSpaceDN w:val="0"/>
        <w:adjustRightInd w:val="0"/>
        <w:spacing w:after="0" w:line="480" w:lineRule="auto"/>
        <w:ind w:left="426" w:hanging="426"/>
        <w:rPr>
          <w:rFonts w:eastAsia="Calibri" w:cs="Times New Roman"/>
          <w:szCs w:val="20"/>
          <w:shd w:val="clear" w:color="auto" w:fill="FFFFFF"/>
          <w:lang w:val="en-GB"/>
        </w:rPr>
      </w:pPr>
      <w:r w:rsidRPr="007739BD">
        <w:rPr>
          <w:rFonts w:eastAsia="Calibri" w:cs="Times New Roman"/>
          <w:szCs w:val="20"/>
          <w:shd w:val="clear" w:color="auto" w:fill="FFFFFF"/>
        </w:rPr>
        <w:t xml:space="preserve">Athanasopoulou, A., &amp; Selsky, J. W. (2015). </w:t>
      </w:r>
      <w:r w:rsidRPr="007739BD">
        <w:rPr>
          <w:rFonts w:eastAsia="Calibri" w:cs="Times New Roman"/>
          <w:szCs w:val="20"/>
          <w:shd w:val="clear" w:color="auto" w:fill="FFFFFF"/>
          <w:lang w:val="en-GB"/>
        </w:rPr>
        <w:t>The social context of corporate social responsibility: Enriching research with multiple perspectives and multip</w:t>
      </w:r>
      <w:r w:rsidRPr="003662DF">
        <w:rPr>
          <w:rFonts w:eastAsia="Calibri" w:cs="Times New Roman"/>
          <w:szCs w:val="20"/>
          <w:shd w:val="clear" w:color="auto" w:fill="FFFFFF"/>
          <w:lang w:val="en-GB"/>
        </w:rPr>
        <w:t>le levels. </w:t>
      </w:r>
      <w:r w:rsidRPr="003662DF">
        <w:rPr>
          <w:rFonts w:eastAsia="Calibri" w:cs="Times New Roman"/>
          <w:i/>
          <w:iCs/>
          <w:szCs w:val="20"/>
          <w:shd w:val="clear" w:color="auto" w:fill="FFFFFF"/>
          <w:lang w:val="en-GB"/>
        </w:rPr>
        <w:t>Business &amp; Society</w:t>
      </w:r>
      <w:r w:rsidRPr="003662DF">
        <w:rPr>
          <w:rFonts w:eastAsia="Calibri" w:cs="Times New Roman"/>
          <w:szCs w:val="20"/>
          <w:shd w:val="clear" w:color="auto" w:fill="FFFFFF"/>
          <w:lang w:val="en-GB"/>
        </w:rPr>
        <w:t>, </w:t>
      </w:r>
      <w:r w:rsidRPr="003662DF">
        <w:rPr>
          <w:rFonts w:eastAsia="Calibri" w:cs="Times New Roman"/>
          <w:i/>
          <w:iCs/>
          <w:szCs w:val="20"/>
          <w:shd w:val="clear" w:color="auto" w:fill="FFFFFF"/>
          <w:lang w:val="en-GB"/>
        </w:rPr>
        <w:t>54</w:t>
      </w:r>
      <w:r w:rsidRPr="003662DF">
        <w:rPr>
          <w:rFonts w:eastAsia="Calibri" w:cs="Times New Roman"/>
          <w:szCs w:val="20"/>
          <w:shd w:val="clear" w:color="auto" w:fill="FFFFFF"/>
          <w:lang w:val="en-GB"/>
        </w:rPr>
        <w:t>, 322-364.</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Atouba, Y. C., &amp; Shumate, M. (2015). International nonprofit collaboration: Examining the role of homophily.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44</w:t>
      </w:r>
      <w:r w:rsidRPr="003662DF">
        <w:rPr>
          <w:rFonts w:eastAsia="Calibri" w:cs="Times New Roman"/>
          <w:szCs w:val="24"/>
        </w:rPr>
        <w:t>, 587-608.</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7739BD">
        <w:rPr>
          <w:rFonts w:eastAsia="Calibri" w:cs="Times New Roman"/>
          <w:szCs w:val="24"/>
          <w:lang w:val="fr-BE"/>
        </w:rPr>
        <w:t xml:space="preserve">Austin, J. &amp; Seitanidi, M. (2012a). </w:t>
      </w:r>
      <w:r w:rsidRPr="003662DF">
        <w:rPr>
          <w:rFonts w:eastAsia="Calibri" w:cs="Times New Roman"/>
          <w:szCs w:val="24"/>
        </w:rPr>
        <w:t xml:space="preserve">Collaborative Value Creation: A Review of Partnering Between Nonprofits and Businesses: Part I. Value Creation Spectrum and Collaboration Stages.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41</w:t>
      </w:r>
      <w:r w:rsidRPr="003662DF">
        <w:rPr>
          <w:rFonts w:eastAsia="Calibri" w:cs="Times New Roman"/>
          <w:szCs w:val="24"/>
        </w:rPr>
        <w:t>, 726-758.</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lang w:val="fr-BE"/>
        </w:rPr>
        <w:lastRenderedPageBreak/>
        <w:t xml:space="preserve">Austin, J. E., &amp; Seitanidi, M. M. (2012b). </w:t>
      </w:r>
      <w:r w:rsidRPr="003662DF">
        <w:rPr>
          <w:rFonts w:eastAsia="Calibri" w:cs="Times New Roman"/>
          <w:szCs w:val="24"/>
        </w:rPr>
        <w:t xml:space="preserve">Collaborative value creation: A review of partnering between nonprofits and businesses. Part 2: Partnership processes and outcomes.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41</w:t>
      </w:r>
      <w:r w:rsidRPr="003662DF">
        <w:rPr>
          <w:rFonts w:eastAsia="Calibri" w:cs="Times New Roman"/>
          <w:szCs w:val="24"/>
        </w:rPr>
        <w:t xml:space="preserve">, 929-968. </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Austin, J. (2000). Strategic collaboration between nonprofits and business.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29</w:t>
      </w:r>
      <w:r w:rsidRPr="003662DF">
        <w:rPr>
          <w:rFonts w:eastAsia="Calibri" w:cs="Times New Roman"/>
          <w:szCs w:val="24"/>
        </w:rPr>
        <w:t>, 69–97.</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Babiak, K. (2007). Determinants of interorganizational relationships: The case of a Canadian nonprofit sport organization. </w:t>
      </w:r>
      <w:r w:rsidRPr="003662DF">
        <w:rPr>
          <w:rFonts w:eastAsia="Calibri" w:cs="Times New Roman"/>
          <w:i/>
          <w:szCs w:val="24"/>
        </w:rPr>
        <w:t>Journal of Sport Management</w:t>
      </w:r>
      <w:r w:rsidRPr="003662DF">
        <w:rPr>
          <w:rFonts w:eastAsia="Calibri" w:cs="Times New Roman"/>
          <w:szCs w:val="24"/>
        </w:rPr>
        <w:t xml:space="preserve">, </w:t>
      </w:r>
      <w:r w:rsidRPr="003662DF">
        <w:rPr>
          <w:rFonts w:eastAsia="Calibri" w:cs="Times New Roman"/>
          <w:i/>
          <w:szCs w:val="24"/>
        </w:rPr>
        <w:t>21</w:t>
      </w:r>
      <w:r w:rsidRPr="003662DF">
        <w:rPr>
          <w:rFonts w:eastAsia="Calibri" w:cs="Times New Roman"/>
          <w:szCs w:val="24"/>
        </w:rPr>
        <w:t>, 338­376.</w:t>
      </w:r>
    </w:p>
    <w:p w:rsidR="003662DF" w:rsidRPr="003662DF" w:rsidRDefault="003662DF" w:rsidP="007739BD">
      <w:pPr>
        <w:autoSpaceDE w:val="0"/>
        <w:autoSpaceDN w:val="0"/>
        <w:adjustRightInd w:val="0"/>
        <w:spacing w:after="0" w:line="480" w:lineRule="auto"/>
        <w:ind w:left="426" w:hanging="426"/>
        <w:rPr>
          <w:rFonts w:eastAsia="Calibri" w:cs="Times New Roman"/>
          <w:sz w:val="32"/>
          <w:szCs w:val="24"/>
        </w:rPr>
      </w:pPr>
      <w:r w:rsidRPr="003662DF">
        <w:rPr>
          <w:rFonts w:eastAsia="Calibri" w:cs="Times New Roman"/>
          <w:szCs w:val="20"/>
          <w:shd w:val="clear" w:color="auto" w:fill="FFFFFF"/>
          <w:lang w:val="en-GB"/>
        </w:rPr>
        <w:t>Barney, J. (1991). Firm resources and sustained competitive advantage. </w:t>
      </w:r>
      <w:r w:rsidRPr="003662DF">
        <w:rPr>
          <w:rFonts w:eastAsia="Calibri" w:cs="Times New Roman"/>
          <w:i/>
          <w:iCs/>
          <w:szCs w:val="20"/>
          <w:shd w:val="clear" w:color="auto" w:fill="FFFFFF"/>
          <w:lang w:val="en-GB"/>
        </w:rPr>
        <w:t>Journal of Management</w:t>
      </w:r>
      <w:r w:rsidRPr="003662DF">
        <w:rPr>
          <w:rFonts w:eastAsia="Calibri" w:cs="Times New Roman"/>
          <w:szCs w:val="20"/>
          <w:shd w:val="clear" w:color="auto" w:fill="FFFFFF"/>
          <w:lang w:val="en-GB"/>
        </w:rPr>
        <w:t>, </w:t>
      </w:r>
      <w:r w:rsidRPr="003662DF">
        <w:rPr>
          <w:rFonts w:eastAsia="Calibri" w:cs="Times New Roman"/>
          <w:i/>
          <w:iCs/>
          <w:szCs w:val="20"/>
          <w:shd w:val="clear" w:color="auto" w:fill="FFFFFF"/>
          <w:lang w:val="en-GB"/>
        </w:rPr>
        <w:t>17</w:t>
      </w:r>
      <w:r w:rsidRPr="003662DF">
        <w:rPr>
          <w:rFonts w:eastAsia="Calibri" w:cs="Times New Roman"/>
          <w:szCs w:val="20"/>
          <w:shd w:val="clear" w:color="auto" w:fill="FFFFFF"/>
          <w:lang w:val="en-GB"/>
        </w:rPr>
        <w:t>(1), 99-120.</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Barringer, B. R. &amp; Harrison, J. S. (2000). Walking a Tightrope: Creating Value Through Interorganizational Relationships. </w:t>
      </w:r>
      <w:r w:rsidRPr="003662DF">
        <w:rPr>
          <w:rFonts w:eastAsia="Calibri" w:cs="Times New Roman"/>
          <w:i/>
          <w:szCs w:val="24"/>
        </w:rPr>
        <w:t>Journal of Management,</w:t>
      </w:r>
      <w:r w:rsidRPr="003662DF">
        <w:rPr>
          <w:rFonts w:eastAsia="Calibri" w:cs="Times New Roman"/>
          <w:szCs w:val="24"/>
        </w:rPr>
        <w:t xml:space="preserve"> </w:t>
      </w:r>
      <w:r w:rsidRPr="003662DF">
        <w:rPr>
          <w:rFonts w:eastAsia="Calibri" w:cs="Times New Roman"/>
          <w:i/>
          <w:szCs w:val="24"/>
        </w:rPr>
        <w:t>26,</w:t>
      </w:r>
      <w:r w:rsidRPr="003662DF">
        <w:rPr>
          <w:rFonts w:eastAsia="Calibri" w:cs="Times New Roman"/>
          <w:szCs w:val="24"/>
        </w:rPr>
        <w:t xml:space="preserve"> 367-403.</w:t>
      </w:r>
    </w:p>
    <w:p w:rsidR="003662DF" w:rsidRPr="007739BD" w:rsidRDefault="003662DF" w:rsidP="007739BD">
      <w:pPr>
        <w:spacing w:after="0" w:line="480" w:lineRule="auto"/>
        <w:ind w:left="426" w:hanging="426"/>
        <w:rPr>
          <w:rFonts w:eastAsia="Calibri" w:cs="Times New Roman"/>
          <w:szCs w:val="20"/>
          <w:shd w:val="clear" w:color="auto" w:fill="FFFFFF"/>
          <w:lang w:val="en-GB"/>
        </w:rPr>
      </w:pPr>
      <w:r w:rsidRPr="007739BD">
        <w:rPr>
          <w:rFonts w:eastAsia="Calibri" w:cs="Times New Roman"/>
          <w:szCs w:val="20"/>
          <w:shd w:val="clear" w:color="auto" w:fill="FFFFFF"/>
          <w:lang w:val="en-GB"/>
        </w:rPr>
        <w:t>Bondy, K., Moon, J., &amp; Matten, D. (2012). An institution of corporate social responsibility (CSR) in multi-national corporations (MNCs): Form and implications. </w:t>
      </w:r>
      <w:r w:rsidRPr="007739BD">
        <w:rPr>
          <w:rFonts w:eastAsia="Calibri" w:cs="Times New Roman"/>
          <w:i/>
          <w:iCs/>
          <w:szCs w:val="20"/>
          <w:shd w:val="clear" w:color="auto" w:fill="FFFFFF"/>
          <w:lang w:val="en-GB"/>
        </w:rPr>
        <w:t>Journal of Business Ethics</w:t>
      </w:r>
      <w:r w:rsidRPr="007739BD">
        <w:rPr>
          <w:rFonts w:eastAsia="Calibri" w:cs="Times New Roman"/>
          <w:szCs w:val="20"/>
          <w:shd w:val="clear" w:color="auto" w:fill="FFFFFF"/>
          <w:lang w:val="en-GB"/>
        </w:rPr>
        <w:t>, </w:t>
      </w:r>
      <w:r w:rsidRPr="007739BD">
        <w:rPr>
          <w:rFonts w:eastAsia="Calibri" w:cs="Times New Roman"/>
          <w:i/>
          <w:iCs/>
          <w:szCs w:val="20"/>
          <w:shd w:val="clear" w:color="auto" w:fill="FFFFFF"/>
          <w:lang w:val="en-GB"/>
        </w:rPr>
        <w:t>111</w:t>
      </w:r>
      <w:r w:rsidRPr="007739BD">
        <w:rPr>
          <w:rFonts w:eastAsia="Calibri" w:cs="Times New Roman"/>
          <w:szCs w:val="20"/>
          <w:shd w:val="clear" w:color="auto" w:fill="FFFFFF"/>
          <w:lang w:val="en-GB"/>
        </w:rPr>
        <w:t>(2), 281-299.</w:t>
      </w:r>
    </w:p>
    <w:p w:rsidR="003662DF" w:rsidRPr="003662DF" w:rsidRDefault="003662DF" w:rsidP="007739BD">
      <w:pPr>
        <w:spacing w:after="0" w:line="480" w:lineRule="auto"/>
        <w:ind w:left="426" w:hanging="426"/>
        <w:rPr>
          <w:rFonts w:eastAsia="Calibri" w:cs="Times New Roman"/>
          <w:sz w:val="32"/>
          <w:szCs w:val="24"/>
          <w:lang w:eastAsia="fr-BE"/>
        </w:rPr>
      </w:pPr>
      <w:r w:rsidRPr="003662DF">
        <w:rPr>
          <w:rFonts w:eastAsia="Calibri" w:cs="Times New Roman"/>
          <w:szCs w:val="20"/>
          <w:shd w:val="clear" w:color="auto" w:fill="FFFFFF"/>
          <w:lang w:val="en-GB"/>
        </w:rPr>
        <w:t>Bryson, J. M., Crosby, B. C., &amp; Stone, M. M. (2015). Designing and implementing cross‐sector collaborations: Needed and challenging. </w:t>
      </w:r>
      <w:r w:rsidRPr="003662DF">
        <w:rPr>
          <w:rFonts w:eastAsia="Calibri" w:cs="Times New Roman"/>
          <w:i/>
          <w:iCs/>
          <w:szCs w:val="20"/>
          <w:shd w:val="clear" w:color="auto" w:fill="FFFFFF"/>
          <w:lang w:val="en-GB"/>
        </w:rPr>
        <w:t>Public Administration Review</w:t>
      </w:r>
      <w:r w:rsidRPr="003662DF">
        <w:rPr>
          <w:rFonts w:eastAsia="Calibri" w:cs="Times New Roman"/>
          <w:szCs w:val="20"/>
          <w:shd w:val="clear" w:color="auto" w:fill="FFFFFF"/>
          <w:lang w:val="en-GB"/>
        </w:rPr>
        <w:t>, </w:t>
      </w:r>
      <w:r w:rsidRPr="003662DF">
        <w:rPr>
          <w:rFonts w:eastAsia="Calibri" w:cs="Times New Roman"/>
          <w:i/>
          <w:iCs/>
          <w:szCs w:val="20"/>
          <w:shd w:val="clear" w:color="auto" w:fill="FFFFFF"/>
          <w:lang w:val="en-GB"/>
        </w:rPr>
        <w:t>7</w:t>
      </w:r>
      <w:r w:rsidRPr="003662DF">
        <w:rPr>
          <w:rFonts w:eastAsia="Calibri" w:cs="Times New Roman"/>
          <w:szCs w:val="20"/>
          <w:shd w:val="clear" w:color="auto" w:fill="FFFFFF"/>
          <w:lang w:val="en-GB"/>
        </w:rPr>
        <w:t>, 647-663.</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t xml:space="preserve">Carroll, A.B. (1991). The pyramid of corporate social responsibility: toward the moral management of organizational stakeholders. </w:t>
      </w:r>
      <w:r w:rsidRPr="003662DF">
        <w:rPr>
          <w:rFonts w:eastAsia="Calibri" w:cs="Times New Roman"/>
          <w:i/>
          <w:szCs w:val="24"/>
        </w:rPr>
        <w:t>Business Horizons</w:t>
      </w:r>
      <w:r w:rsidRPr="003662DF">
        <w:rPr>
          <w:rFonts w:eastAsia="Calibri" w:cs="Times New Roman"/>
          <w:szCs w:val="24"/>
        </w:rPr>
        <w:t>, July–August, pp. 39-48.</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t>Chen, B., &amp; Graddy, E. A. (2010). The effectiveness of nonprofit lead</w:t>
      </w:r>
      <w:r w:rsidRPr="003662DF">
        <w:rPr>
          <w:rFonts w:ascii="Cambria Math" w:eastAsia="Calibri" w:hAnsi="Cambria Math" w:cs="Cambria Math"/>
          <w:szCs w:val="24"/>
        </w:rPr>
        <w:t>‐</w:t>
      </w:r>
      <w:r w:rsidRPr="003662DF">
        <w:rPr>
          <w:rFonts w:eastAsia="Calibri" w:cs="Times New Roman"/>
          <w:szCs w:val="24"/>
        </w:rPr>
        <w:t xml:space="preserve">organization networks for social service delivery. </w:t>
      </w:r>
      <w:r w:rsidRPr="003662DF">
        <w:rPr>
          <w:rFonts w:eastAsia="Calibri" w:cs="Times New Roman"/>
          <w:i/>
          <w:szCs w:val="24"/>
        </w:rPr>
        <w:t>Nonprofit Management and Leadership</w:t>
      </w:r>
      <w:r w:rsidRPr="003662DF">
        <w:rPr>
          <w:rFonts w:eastAsia="Calibri" w:cs="Times New Roman"/>
          <w:szCs w:val="24"/>
        </w:rPr>
        <w:t xml:space="preserve">, </w:t>
      </w:r>
      <w:r w:rsidRPr="003662DF">
        <w:rPr>
          <w:rFonts w:eastAsia="Calibri" w:cs="Times New Roman"/>
          <w:i/>
          <w:szCs w:val="24"/>
        </w:rPr>
        <w:t>20</w:t>
      </w:r>
      <w:r w:rsidRPr="003662DF">
        <w:rPr>
          <w:rFonts w:eastAsia="Calibri" w:cs="Times New Roman"/>
          <w:szCs w:val="24"/>
        </w:rPr>
        <w:t>, 405-422.</w:t>
      </w:r>
    </w:p>
    <w:p w:rsidR="003662DF" w:rsidRPr="007739BD" w:rsidRDefault="003662DF" w:rsidP="007739BD">
      <w:pPr>
        <w:spacing w:after="0" w:line="480" w:lineRule="auto"/>
        <w:ind w:left="426" w:hanging="426"/>
        <w:rPr>
          <w:rFonts w:eastAsia="Calibri" w:cs="Times New Roman"/>
          <w:szCs w:val="24"/>
          <w:lang w:val="en-GB"/>
        </w:rPr>
      </w:pPr>
      <w:r w:rsidRPr="007739BD">
        <w:rPr>
          <w:rFonts w:eastAsia="Calibri" w:cs="Times New Roman"/>
          <w:szCs w:val="24"/>
          <w:lang w:val="en-GB"/>
        </w:rPr>
        <w:t xml:space="preserve">Dentchev, N. A., Eiselein, P., &amp; Kayaert, T. (2018). Social Responsibility within Brussels Municipalities: An Exploratory Study. </w:t>
      </w:r>
      <w:r w:rsidRPr="007739BD">
        <w:rPr>
          <w:rFonts w:eastAsia="Calibri" w:cs="Times New Roman"/>
          <w:i/>
          <w:szCs w:val="24"/>
          <w:lang w:val="en-GB"/>
        </w:rPr>
        <w:t>Business and Society</w:t>
      </w:r>
      <w:r w:rsidRPr="007739BD">
        <w:rPr>
          <w:rFonts w:eastAsia="Calibri" w:cs="Times New Roman"/>
          <w:szCs w:val="24"/>
          <w:lang w:val="en-GB"/>
        </w:rPr>
        <w:t xml:space="preserve">, </w:t>
      </w:r>
      <w:r w:rsidRPr="007739BD">
        <w:rPr>
          <w:rFonts w:eastAsia="Calibri" w:cs="Times New Roman"/>
          <w:i/>
          <w:szCs w:val="24"/>
          <w:lang w:val="en-GB"/>
        </w:rPr>
        <w:t>2</w:t>
      </w:r>
      <w:r w:rsidRPr="007739BD">
        <w:rPr>
          <w:rFonts w:eastAsia="Calibri" w:cs="Times New Roman"/>
          <w:szCs w:val="24"/>
          <w:lang w:val="en-GB"/>
        </w:rPr>
        <w:t xml:space="preserve">, 147-174. </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lastRenderedPageBreak/>
        <w:t>DiMaggio, P.J. &amp; Powell, W.W. (1983). The iron cage revisited: Institutional isomorphism and collective rationality in organizational fields</w:t>
      </w:r>
      <w:r w:rsidRPr="003662DF">
        <w:rPr>
          <w:rFonts w:eastAsia="Calibri" w:cs="Times New Roman"/>
          <w:bCs/>
          <w:i/>
          <w:iCs/>
          <w:szCs w:val="24"/>
        </w:rPr>
        <w:t xml:space="preserve">. American Sociological Review, </w:t>
      </w:r>
      <w:r w:rsidRPr="003662DF">
        <w:rPr>
          <w:rFonts w:eastAsia="Calibri" w:cs="Times New Roman"/>
          <w:i/>
          <w:szCs w:val="24"/>
        </w:rPr>
        <w:t>48</w:t>
      </w:r>
      <w:r w:rsidRPr="003662DF">
        <w:rPr>
          <w:rFonts w:eastAsia="Calibri" w:cs="Times New Roman"/>
          <w:szCs w:val="24"/>
        </w:rPr>
        <w:t>, 147-160.</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Doherty, A., Misener, K., &amp; Cuskelly, G. (2014). Toward a Multidimensional Framework of Capacity in Community Sport Clubs.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43</w:t>
      </w:r>
      <w:r w:rsidRPr="003662DF">
        <w:rPr>
          <w:rFonts w:eastAsia="Calibri" w:cs="Times New Roman"/>
          <w:szCs w:val="24"/>
        </w:rPr>
        <w:t>, 124S-142S.</w:t>
      </w:r>
    </w:p>
    <w:p w:rsidR="003662DF" w:rsidRPr="007739BD" w:rsidRDefault="003662DF" w:rsidP="007739BD">
      <w:pPr>
        <w:spacing w:after="0" w:line="480" w:lineRule="auto"/>
        <w:ind w:left="426" w:hanging="426"/>
        <w:rPr>
          <w:rFonts w:eastAsia="Calibri" w:cs="Times New Roman"/>
          <w:szCs w:val="24"/>
        </w:rPr>
      </w:pPr>
      <w:r w:rsidRPr="007739BD">
        <w:rPr>
          <w:rFonts w:eastAsia="Calibri" w:cs="Times New Roman"/>
          <w:szCs w:val="24"/>
        </w:rPr>
        <w:t xml:space="preserve">Fifka, M. S., Kühn, A. L., Adaui, C. R. L., &amp; Stiglbauer, M. (2016). Promoting Development in Weak Institutional Environments: The Understanding and Transmission of Sustainability by NGOS in Latin America. </w:t>
      </w:r>
      <w:r w:rsidRPr="007739BD">
        <w:rPr>
          <w:rFonts w:eastAsia="Calibri" w:cs="Times New Roman"/>
          <w:i/>
          <w:szCs w:val="24"/>
        </w:rPr>
        <w:t>VOLUNTAS: International Journal of Voluntary and Nonprofit Organizations</w:t>
      </w:r>
      <w:r w:rsidRPr="007739BD">
        <w:rPr>
          <w:rFonts w:eastAsia="Calibri" w:cs="Times New Roman"/>
          <w:szCs w:val="24"/>
        </w:rPr>
        <w:t xml:space="preserve">, </w:t>
      </w:r>
      <w:r w:rsidRPr="007739BD">
        <w:rPr>
          <w:rFonts w:eastAsia="Calibri" w:cs="Times New Roman"/>
          <w:i/>
          <w:szCs w:val="24"/>
        </w:rPr>
        <w:t>27</w:t>
      </w:r>
      <w:r w:rsidRPr="007739BD">
        <w:rPr>
          <w:rFonts w:eastAsia="Calibri" w:cs="Times New Roman"/>
          <w:szCs w:val="24"/>
        </w:rPr>
        <w:t>, 1091-1122.</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lang w:val="fr-BE"/>
        </w:rPr>
        <w:t xml:space="preserve">Foster, M. K., &amp; Meinhard, A. G. (2002). </w:t>
      </w:r>
      <w:r w:rsidRPr="003662DF">
        <w:rPr>
          <w:rFonts w:eastAsia="Calibri" w:cs="Times New Roman"/>
          <w:szCs w:val="24"/>
        </w:rPr>
        <w:t xml:space="preserve">A regression model explaining predisposition to collaborate,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31</w:t>
      </w:r>
      <w:r w:rsidRPr="003662DF">
        <w:rPr>
          <w:rFonts w:eastAsia="Calibri" w:cs="Times New Roman"/>
          <w:szCs w:val="24"/>
        </w:rPr>
        <w:t>, 549-564.</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Gazley, B. &amp; Brudney, J.L. (2007). The purpose (and perils) of government-­nonprofit partnership. </w:t>
      </w:r>
      <w:r w:rsidRPr="003662DF">
        <w:rPr>
          <w:rFonts w:eastAsia="Calibri" w:cs="Times New Roman"/>
          <w:i/>
          <w:iCs/>
          <w:szCs w:val="24"/>
          <w:lang w:bidi="he-IL"/>
        </w:rPr>
        <w:t>Nonprofit and Voluntary Sector Quarterly</w:t>
      </w:r>
      <w:r w:rsidRPr="003662DF">
        <w:rPr>
          <w:rFonts w:eastAsia="Calibri" w:cs="Times New Roman"/>
          <w:iCs/>
          <w:szCs w:val="24"/>
          <w:lang w:bidi="he-IL"/>
        </w:rPr>
        <w:t>,</w:t>
      </w:r>
      <w:r w:rsidRPr="003662DF">
        <w:rPr>
          <w:rFonts w:eastAsia="Calibri" w:cs="Times New Roman"/>
          <w:i/>
          <w:iCs/>
          <w:szCs w:val="24"/>
          <w:lang w:bidi="he-IL"/>
        </w:rPr>
        <w:t xml:space="preserve"> 36</w:t>
      </w:r>
      <w:r w:rsidRPr="003662DF">
        <w:rPr>
          <w:rFonts w:eastAsia="Calibri" w:cs="Times New Roman"/>
          <w:szCs w:val="24"/>
        </w:rPr>
        <w:t>, 389-415.</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Gazley, B., &amp; Guo, C. (2015, January). What do we know about nonprofit collaboration? A comprehensive systematic review of the literature. </w:t>
      </w:r>
      <w:r w:rsidRPr="003662DF">
        <w:rPr>
          <w:rFonts w:eastAsia="Calibri" w:cs="Times New Roman"/>
          <w:i/>
          <w:szCs w:val="24"/>
        </w:rPr>
        <w:t>In Academy of Management Proceedings</w:t>
      </w:r>
      <w:r w:rsidRPr="003662DF">
        <w:rPr>
          <w:rFonts w:eastAsia="Calibri" w:cs="Times New Roman"/>
          <w:szCs w:val="24"/>
        </w:rPr>
        <w:t xml:space="preserve"> (Vol. 2015, p. 15409). Academy of Management.</w:t>
      </w:r>
    </w:p>
    <w:p w:rsidR="003662DF" w:rsidRPr="003662DF" w:rsidRDefault="003662DF" w:rsidP="007739BD">
      <w:pPr>
        <w:autoSpaceDE w:val="0"/>
        <w:autoSpaceDN w:val="0"/>
        <w:adjustRightInd w:val="0"/>
        <w:spacing w:after="0" w:line="480" w:lineRule="auto"/>
        <w:ind w:left="426" w:hanging="426"/>
        <w:rPr>
          <w:rFonts w:eastAsia="Calibri" w:cs="Times New Roman"/>
          <w:szCs w:val="20"/>
          <w:shd w:val="clear" w:color="auto" w:fill="FFFFFF"/>
          <w:lang w:val="en-GB"/>
        </w:rPr>
      </w:pPr>
      <w:r w:rsidRPr="003662DF">
        <w:rPr>
          <w:rFonts w:eastAsia="Calibri" w:cs="Times New Roman"/>
          <w:szCs w:val="20"/>
          <w:shd w:val="clear" w:color="auto" w:fill="FFFFFF"/>
          <w:lang w:val="en-GB"/>
        </w:rPr>
        <w:t>Gerring, J. (2004). What is a case study and what is it good for?. </w:t>
      </w:r>
      <w:r w:rsidRPr="003662DF">
        <w:rPr>
          <w:rFonts w:eastAsia="Calibri" w:cs="Times New Roman"/>
          <w:i/>
          <w:iCs/>
          <w:szCs w:val="20"/>
          <w:shd w:val="clear" w:color="auto" w:fill="FFFFFF"/>
          <w:lang w:val="en-GB"/>
        </w:rPr>
        <w:t>American Political Science Review</w:t>
      </w:r>
      <w:r w:rsidRPr="003662DF">
        <w:rPr>
          <w:rFonts w:eastAsia="Calibri" w:cs="Times New Roman"/>
          <w:szCs w:val="20"/>
          <w:shd w:val="clear" w:color="auto" w:fill="FFFFFF"/>
          <w:lang w:val="en-GB"/>
        </w:rPr>
        <w:t>, </w:t>
      </w:r>
      <w:r w:rsidRPr="003662DF">
        <w:rPr>
          <w:rFonts w:eastAsia="Calibri" w:cs="Times New Roman"/>
          <w:i/>
          <w:iCs/>
          <w:szCs w:val="20"/>
          <w:shd w:val="clear" w:color="auto" w:fill="FFFFFF"/>
          <w:lang w:val="en-GB"/>
        </w:rPr>
        <w:t>98</w:t>
      </w:r>
      <w:r w:rsidRPr="003662DF">
        <w:rPr>
          <w:rFonts w:eastAsia="Calibri" w:cs="Times New Roman"/>
          <w:szCs w:val="20"/>
          <w:shd w:val="clear" w:color="auto" w:fill="FFFFFF"/>
          <w:lang w:val="en-GB"/>
        </w:rPr>
        <w:t>, 341-354.</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Guo, C., &amp; Acar, M. (2005). Understanding collaboration among nonprofit organizations: Combining resource dependency, institutional, and network perspectives.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34</w:t>
      </w:r>
      <w:r w:rsidRPr="003662DF">
        <w:rPr>
          <w:rFonts w:eastAsia="Calibri" w:cs="Times New Roman"/>
          <w:szCs w:val="24"/>
        </w:rPr>
        <w:t>, 340-361.</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shd w:val="clear" w:color="auto" w:fill="FFFFFF"/>
          <w:lang w:val="en-GB"/>
        </w:rPr>
        <w:t>Herlin, H. (2015). Better safe than sorry: Nonprofit organizational legitimacy and cross-sector partnerships. </w:t>
      </w:r>
      <w:r w:rsidRPr="003662DF">
        <w:rPr>
          <w:rFonts w:eastAsia="Calibri" w:cs="Times New Roman"/>
          <w:i/>
          <w:iCs/>
          <w:szCs w:val="24"/>
          <w:shd w:val="clear" w:color="auto" w:fill="FFFFFF"/>
          <w:lang w:val="en-GB"/>
        </w:rPr>
        <w:t>Business &amp; Society</w:t>
      </w:r>
      <w:r w:rsidRPr="003662DF">
        <w:rPr>
          <w:rFonts w:eastAsia="Calibri" w:cs="Times New Roman"/>
          <w:szCs w:val="24"/>
          <w:shd w:val="clear" w:color="auto" w:fill="FFFFFF"/>
          <w:lang w:val="en-GB"/>
        </w:rPr>
        <w:t>, </w:t>
      </w:r>
      <w:r w:rsidRPr="003662DF">
        <w:rPr>
          <w:rFonts w:eastAsia="Calibri" w:cs="Times New Roman"/>
          <w:i/>
          <w:iCs/>
          <w:szCs w:val="24"/>
          <w:shd w:val="clear" w:color="auto" w:fill="FFFFFF"/>
          <w:lang w:val="en-GB"/>
        </w:rPr>
        <w:t>54</w:t>
      </w:r>
      <w:r w:rsidRPr="003662DF">
        <w:rPr>
          <w:rFonts w:eastAsia="Calibri" w:cs="Times New Roman"/>
          <w:szCs w:val="24"/>
          <w:shd w:val="clear" w:color="auto" w:fill="FFFFFF"/>
          <w:lang w:val="en-GB"/>
        </w:rPr>
        <w:t>, 822-858.</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lastRenderedPageBreak/>
        <w:t xml:space="preserve">Hu, M., Guo, C., &amp; Bies, A. (2016). Termination of nonprofit alliances: Evidence from China. </w:t>
      </w:r>
      <w:r w:rsidRPr="003662DF">
        <w:rPr>
          <w:rFonts w:eastAsia="Calibri" w:cs="Times New Roman"/>
          <w:i/>
          <w:szCs w:val="24"/>
        </w:rPr>
        <w:t>Voluntas: International Journal of Voluntary and Nonprofit Organizations</w:t>
      </w:r>
      <w:r w:rsidRPr="003662DF">
        <w:rPr>
          <w:rFonts w:eastAsia="Calibri" w:cs="Times New Roman"/>
          <w:szCs w:val="24"/>
        </w:rPr>
        <w:t xml:space="preserve">, </w:t>
      </w:r>
      <w:r w:rsidRPr="003662DF">
        <w:rPr>
          <w:rFonts w:eastAsia="Calibri" w:cs="Times New Roman"/>
          <w:i/>
          <w:szCs w:val="24"/>
        </w:rPr>
        <w:t>27,</w:t>
      </w:r>
      <w:r w:rsidRPr="003662DF">
        <w:rPr>
          <w:rFonts w:eastAsia="Calibri" w:cs="Times New Roman"/>
          <w:szCs w:val="24"/>
        </w:rPr>
        <w:t xml:space="preserve"> 2490-2513.</w:t>
      </w:r>
    </w:p>
    <w:p w:rsidR="003662DF" w:rsidRPr="003662DF" w:rsidRDefault="003662DF" w:rsidP="007739BD">
      <w:pPr>
        <w:autoSpaceDE w:val="0"/>
        <w:autoSpaceDN w:val="0"/>
        <w:adjustRightInd w:val="0"/>
        <w:spacing w:after="0" w:line="480" w:lineRule="auto"/>
        <w:ind w:left="426" w:hanging="426"/>
        <w:rPr>
          <w:rFonts w:eastAsia="Calibri" w:cs="Times New Roman"/>
          <w:szCs w:val="20"/>
          <w:shd w:val="clear" w:color="auto" w:fill="FFFFFF"/>
          <w:lang w:val="en-GB"/>
        </w:rPr>
      </w:pPr>
      <w:r w:rsidRPr="003662DF">
        <w:rPr>
          <w:rFonts w:eastAsia="Calibri" w:cs="Times New Roman"/>
          <w:szCs w:val="20"/>
          <w:shd w:val="clear" w:color="auto" w:fill="FFFFFF"/>
          <w:lang w:val="en-GB"/>
        </w:rPr>
        <w:t>Kourula, A., &amp; Laasonen, S. (2010). Nongovernmental organizations in business and society, management, and international business research: Review and implications from 1998 to 2007. </w:t>
      </w:r>
      <w:r w:rsidRPr="003662DF">
        <w:rPr>
          <w:rFonts w:eastAsia="Calibri" w:cs="Times New Roman"/>
          <w:i/>
          <w:iCs/>
          <w:szCs w:val="20"/>
          <w:shd w:val="clear" w:color="auto" w:fill="FFFFFF"/>
          <w:lang w:val="en-GB"/>
        </w:rPr>
        <w:t>Business &amp; Society</w:t>
      </w:r>
      <w:r w:rsidRPr="003662DF">
        <w:rPr>
          <w:rFonts w:eastAsia="Calibri" w:cs="Times New Roman"/>
          <w:szCs w:val="20"/>
          <w:shd w:val="clear" w:color="auto" w:fill="FFFFFF"/>
          <w:lang w:val="en-GB"/>
        </w:rPr>
        <w:t>, </w:t>
      </w:r>
      <w:r w:rsidRPr="003662DF">
        <w:rPr>
          <w:rFonts w:eastAsia="Calibri" w:cs="Times New Roman"/>
          <w:i/>
          <w:iCs/>
          <w:szCs w:val="20"/>
          <w:shd w:val="clear" w:color="auto" w:fill="FFFFFF"/>
          <w:lang w:val="en-GB"/>
        </w:rPr>
        <w:t>49</w:t>
      </w:r>
      <w:r w:rsidRPr="003662DF">
        <w:rPr>
          <w:rFonts w:eastAsia="Calibri" w:cs="Times New Roman"/>
          <w:szCs w:val="20"/>
          <w:shd w:val="clear" w:color="auto" w:fill="FFFFFF"/>
          <w:lang w:val="en-GB"/>
        </w:rPr>
        <w:t>, 35-67.</w:t>
      </w:r>
    </w:p>
    <w:p w:rsidR="003662DF" w:rsidRPr="007739BD" w:rsidRDefault="003662DF" w:rsidP="007739BD">
      <w:pPr>
        <w:autoSpaceDE w:val="0"/>
        <w:autoSpaceDN w:val="0"/>
        <w:adjustRightInd w:val="0"/>
        <w:spacing w:after="0" w:line="480" w:lineRule="auto"/>
        <w:ind w:left="426" w:hanging="426"/>
        <w:rPr>
          <w:rFonts w:eastAsia="Calibri" w:cs="Times New Roman"/>
          <w:szCs w:val="20"/>
          <w:shd w:val="clear" w:color="auto" w:fill="FFFFFF"/>
          <w:lang w:val="en-GB"/>
        </w:rPr>
      </w:pPr>
      <w:r w:rsidRPr="007739BD">
        <w:rPr>
          <w:rFonts w:eastAsia="Calibri" w:cs="Times New Roman"/>
          <w:szCs w:val="20"/>
          <w:shd w:val="clear" w:color="auto" w:fill="FFFFFF"/>
          <w:lang w:val="en-GB"/>
        </w:rPr>
        <w:t xml:space="preserve">Lin-Hi, N., Hörisch, J., &amp; Blumberg, I. (2015). Does CSR matter for nonprofit organizations? Testing the link between CSR performance and trustworthiness in the nonprofit versus for-profit domain. </w:t>
      </w:r>
      <w:r w:rsidRPr="007739BD">
        <w:rPr>
          <w:rFonts w:eastAsia="Calibri" w:cs="Times New Roman"/>
          <w:i/>
          <w:szCs w:val="20"/>
          <w:shd w:val="clear" w:color="auto" w:fill="FFFFFF"/>
          <w:lang w:val="en-GB"/>
        </w:rPr>
        <w:t>Voluntas: International Journal of Voluntary and Nonprofit Organizations,</w:t>
      </w:r>
      <w:r w:rsidRPr="007739BD">
        <w:rPr>
          <w:rFonts w:eastAsia="Calibri" w:cs="Times New Roman"/>
          <w:szCs w:val="20"/>
          <w:shd w:val="clear" w:color="auto" w:fill="FFFFFF"/>
          <w:lang w:val="en-GB"/>
        </w:rPr>
        <w:t xml:space="preserve"> </w:t>
      </w:r>
      <w:r w:rsidRPr="007739BD">
        <w:rPr>
          <w:rFonts w:eastAsia="Calibri" w:cs="Times New Roman"/>
          <w:i/>
          <w:szCs w:val="20"/>
          <w:shd w:val="clear" w:color="auto" w:fill="FFFFFF"/>
          <w:lang w:val="en-GB"/>
        </w:rPr>
        <w:t>26</w:t>
      </w:r>
      <w:r w:rsidRPr="007739BD">
        <w:rPr>
          <w:rFonts w:eastAsia="Calibri" w:cs="Times New Roman"/>
          <w:szCs w:val="20"/>
          <w:shd w:val="clear" w:color="auto" w:fill="FFFFFF"/>
          <w:lang w:val="en-GB"/>
        </w:rPr>
        <w:t>, 1944-1974.</w:t>
      </w:r>
    </w:p>
    <w:p w:rsidR="003662DF" w:rsidRPr="007739BD" w:rsidRDefault="003662DF" w:rsidP="007739BD">
      <w:pPr>
        <w:autoSpaceDE w:val="0"/>
        <w:autoSpaceDN w:val="0"/>
        <w:adjustRightInd w:val="0"/>
        <w:spacing w:after="0" w:line="480" w:lineRule="auto"/>
        <w:ind w:left="426" w:hanging="426"/>
        <w:rPr>
          <w:rFonts w:eastAsia="Calibri" w:cs="Times New Roman"/>
          <w:szCs w:val="24"/>
        </w:rPr>
      </w:pPr>
      <w:r w:rsidRPr="007739BD">
        <w:rPr>
          <w:rFonts w:eastAsia="Calibri" w:cs="Times New Roman"/>
          <w:szCs w:val="24"/>
        </w:rPr>
        <w:t xml:space="preserve">Miles, M. B., &amp; Huberman, A. M. (1994). </w:t>
      </w:r>
      <w:r w:rsidRPr="007739BD">
        <w:rPr>
          <w:rFonts w:eastAsia="Calibri" w:cs="Times New Roman"/>
          <w:i/>
          <w:szCs w:val="24"/>
        </w:rPr>
        <w:t>Qualitative data analysis.</w:t>
      </w:r>
      <w:r w:rsidRPr="007739BD">
        <w:rPr>
          <w:rFonts w:eastAsia="Calibri" w:cs="Times New Roman"/>
          <w:szCs w:val="24"/>
        </w:rPr>
        <w:t xml:space="preserve"> Thousand Oaks, CA: Sage.</w:t>
      </w:r>
    </w:p>
    <w:p w:rsidR="003662DF" w:rsidRPr="007739BD" w:rsidRDefault="003662DF" w:rsidP="007739BD">
      <w:pPr>
        <w:autoSpaceDE w:val="0"/>
        <w:autoSpaceDN w:val="0"/>
        <w:adjustRightInd w:val="0"/>
        <w:spacing w:after="0" w:line="480" w:lineRule="auto"/>
        <w:ind w:left="426" w:hanging="426"/>
        <w:rPr>
          <w:rFonts w:eastAsia="Calibri" w:cs="Times New Roman"/>
          <w:szCs w:val="24"/>
        </w:rPr>
      </w:pPr>
      <w:r w:rsidRPr="007739BD">
        <w:rPr>
          <w:rFonts w:eastAsia="Calibri" w:cs="Times New Roman"/>
          <w:szCs w:val="24"/>
          <w:lang w:val="en-GB"/>
        </w:rPr>
        <w:t>Misener, K. E., &amp; Doherty, A. (2012). Connecting the community through sport club partnerships. </w:t>
      </w:r>
      <w:r w:rsidRPr="007739BD">
        <w:rPr>
          <w:rFonts w:eastAsia="Calibri" w:cs="Times New Roman"/>
          <w:i/>
          <w:iCs/>
          <w:szCs w:val="24"/>
          <w:lang w:val="en-GB"/>
        </w:rPr>
        <w:t>International journal of sport policy and politics</w:t>
      </w:r>
      <w:r w:rsidRPr="007739BD">
        <w:rPr>
          <w:rFonts w:eastAsia="Calibri" w:cs="Times New Roman"/>
          <w:szCs w:val="24"/>
          <w:lang w:val="en-GB"/>
        </w:rPr>
        <w:t>, </w:t>
      </w:r>
      <w:r w:rsidRPr="007739BD">
        <w:rPr>
          <w:rFonts w:eastAsia="Calibri" w:cs="Times New Roman"/>
          <w:i/>
          <w:iCs/>
          <w:szCs w:val="24"/>
          <w:lang w:val="en-GB"/>
        </w:rPr>
        <w:t>4</w:t>
      </w:r>
      <w:r w:rsidRPr="007739BD">
        <w:rPr>
          <w:rFonts w:eastAsia="Calibri" w:cs="Times New Roman"/>
          <w:szCs w:val="24"/>
          <w:lang w:val="en-GB"/>
        </w:rPr>
        <w:t>, 243-255.</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7739BD">
        <w:rPr>
          <w:rFonts w:eastAsia="Calibri" w:cs="Times New Roman"/>
          <w:szCs w:val="24"/>
        </w:rPr>
        <w:t xml:space="preserve">Oliver, C. (1990). Determinants </w:t>
      </w:r>
      <w:r w:rsidRPr="003662DF">
        <w:rPr>
          <w:rFonts w:eastAsia="Calibri" w:cs="Times New Roman"/>
          <w:szCs w:val="24"/>
        </w:rPr>
        <w:t xml:space="preserve">of interorganisational relationships: Integration and future directions. </w:t>
      </w:r>
      <w:r w:rsidRPr="003662DF">
        <w:rPr>
          <w:rFonts w:eastAsia="Calibri" w:cs="Times New Roman"/>
          <w:i/>
          <w:szCs w:val="24"/>
        </w:rPr>
        <w:t>Academy of Management Review</w:t>
      </w:r>
      <w:r w:rsidRPr="003662DF">
        <w:rPr>
          <w:rFonts w:eastAsia="Calibri" w:cs="Times New Roman"/>
          <w:szCs w:val="24"/>
        </w:rPr>
        <w:t xml:space="preserve">, </w:t>
      </w:r>
      <w:r w:rsidRPr="003662DF">
        <w:rPr>
          <w:rFonts w:eastAsia="Calibri" w:cs="Times New Roman"/>
          <w:i/>
          <w:szCs w:val="24"/>
        </w:rPr>
        <w:t>15</w:t>
      </w:r>
      <w:r w:rsidRPr="003662DF">
        <w:rPr>
          <w:rFonts w:eastAsia="Calibri" w:cs="Times New Roman"/>
          <w:szCs w:val="24"/>
        </w:rPr>
        <w:t>, 241-265.</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Omar, A. T., Leach, D., &amp; March, J. (2014). Collaboration between nonprofit and business sectors: A framework to guide strategy development for nonprofit organizations. </w:t>
      </w:r>
      <w:r w:rsidRPr="003662DF">
        <w:rPr>
          <w:rFonts w:eastAsia="Calibri" w:cs="Times New Roman"/>
          <w:i/>
          <w:szCs w:val="24"/>
        </w:rPr>
        <w:t>Voluntas: International Journal of Voluntary and Nonprofit Organizations</w:t>
      </w:r>
      <w:r w:rsidRPr="003662DF">
        <w:rPr>
          <w:rFonts w:eastAsia="Calibri" w:cs="Times New Roman"/>
          <w:szCs w:val="24"/>
        </w:rPr>
        <w:t xml:space="preserve">, </w:t>
      </w:r>
      <w:r w:rsidRPr="003662DF">
        <w:rPr>
          <w:rFonts w:eastAsia="Calibri" w:cs="Times New Roman"/>
          <w:i/>
          <w:szCs w:val="24"/>
        </w:rPr>
        <w:t>25</w:t>
      </w:r>
      <w:r w:rsidRPr="003662DF">
        <w:rPr>
          <w:rFonts w:eastAsia="Calibri" w:cs="Times New Roman"/>
          <w:szCs w:val="24"/>
        </w:rPr>
        <w:t>, 657-678.</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Peloza, J., &amp; Falkenberg, L. (2009). The role of collaboration in achieving corporate social responsibility objectives. </w:t>
      </w:r>
      <w:r w:rsidRPr="003662DF">
        <w:rPr>
          <w:rFonts w:eastAsia="Calibri" w:cs="Times New Roman"/>
          <w:i/>
          <w:szCs w:val="24"/>
        </w:rPr>
        <w:t>California Management Review</w:t>
      </w:r>
      <w:r w:rsidRPr="003662DF">
        <w:rPr>
          <w:rFonts w:eastAsia="Calibri" w:cs="Times New Roman"/>
          <w:szCs w:val="24"/>
        </w:rPr>
        <w:t xml:space="preserve">, </w:t>
      </w:r>
      <w:r w:rsidRPr="003662DF">
        <w:rPr>
          <w:rFonts w:eastAsia="Calibri" w:cs="Times New Roman"/>
          <w:i/>
          <w:szCs w:val="24"/>
        </w:rPr>
        <w:t>51</w:t>
      </w:r>
      <w:r w:rsidRPr="003662DF">
        <w:rPr>
          <w:rFonts w:eastAsia="Calibri" w:cs="Times New Roman"/>
          <w:szCs w:val="24"/>
        </w:rPr>
        <w:t>, 95-113.</w:t>
      </w:r>
    </w:p>
    <w:p w:rsidR="003662DF" w:rsidRPr="007739BD" w:rsidRDefault="003662DF" w:rsidP="007739BD">
      <w:pPr>
        <w:autoSpaceDE w:val="0"/>
        <w:autoSpaceDN w:val="0"/>
        <w:adjustRightInd w:val="0"/>
        <w:spacing w:after="0" w:line="480" w:lineRule="auto"/>
        <w:ind w:left="426" w:hanging="426"/>
        <w:rPr>
          <w:rFonts w:eastAsia="Calibri" w:cs="Times New Roman"/>
          <w:szCs w:val="24"/>
        </w:rPr>
      </w:pPr>
      <w:r w:rsidRPr="007739BD">
        <w:rPr>
          <w:rFonts w:eastAsia="Calibri" w:cs="Times New Roman"/>
          <w:szCs w:val="24"/>
        </w:rPr>
        <w:t xml:space="preserve">Pope, S., Bromley, P., Lim, A., &amp; Meyer, J. W. The Pyramid of Nonprofit Responsibility: The Institutionalization of Organizational Responsibility Across Sectors. </w:t>
      </w:r>
      <w:r w:rsidRPr="007739BD">
        <w:rPr>
          <w:rFonts w:eastAsia="Calibri" w:cs="Times New Roman"/>
          <w:i/>
          <w:szCs w:val="24"/>
        </w:rPr>
        <w:t>VOLUNTAS: International Journal of Voluntary and Nonprofit Organizations,</w:t>
      </w:r>
      <w:r w:rsidRPr="007739BD">
        <w:rPr>
          <w:rFonts w:eastAsia="Calibri" w:cs="Times New Roman"/>
          <w:szCs w:val="24"/>
        </w:rPr>
        <w:t xml:space="preserve"> 1-15.</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lastRenderedPageBreak/>
        <w:t xml:space="preserve">Proulx, K. E, Hager, M. A., &amp; Klein, K. C. (2014) Models of collaboration between nonprofit organizations. </w:t>
      </w:r>
      <w:r w:rsidRPr="003662DF">
        <w:rPr>
          <w:rFonts w:eastAsia="Calibri" w:cs="Times New Roman"/>
          <w:i/>
          <w:szCs w:val="24"/>
        </w:rPr>
        <w:t>International Journal of Productivity and Performance Management</w:t>
      </w:r>
      <w:r w:rsidRPr="003662DF">
        <w:rPr>
          <w:rFonts w:eastAsia="Calibri" w:cs="Times New Roman"/>
          <w:szCs w:val="24"/>
        </w:rPr>
        <w:t xml:space="preserve">, </w:t>
      </w:r>
      <w:r w:rsidRPr="003662DF">
        <w:rPr>
          <w:rFonts w:eastAsia="Calibri" w:cs="Times New Roman"/>
          <w:i/>
          <w:szCs w:val="24"/>
        </w:rPr>
        <w:t>63</w:t>
      </w:r>
      <w:r w:rsidRPr="003662DF">
        <w:rPr>
          <w:rFonts w:eastAsia="Calibri" w:cs="Times New Roman"/>
          <w:szCs w:val="24"/>
        </w:rPr>
        <w:t>, 746-765.</w:t>
      </w:r>
    </w:p>
    <w:p w:rsidR="003662DF" w:rsidRPr="003662DF" w:rsidRDefault="003662DF" w:rsidP="007739BD">
      <w:pPr>
        <w:autoSpaceDE w:val="0"/>
        <w:autoSpaceDN w:val="0"/>
        <w:adjustRightInd w:val="0"/>
        <w:spacing w:after="0" w:line="480" w:lineRule="auto"/>
        <w:ind w:left="426" w:hanging="426"/>
        <w:rPr>
          <w:rFonts w:eastAsia="Calibri" w:cs="Times New Roman"/>
          <w:szCs w:val="24"/>
          <w:shd w:val="clear" w:color="auto" w:fill="FFFFFF"/>
          <w:lang w:val="en-GB"/>
        </w:rPr>
      </w:pPr>
      <w:r w:rsidRPr="003662DF">
        <w:rPr>
          <w:rFonts w:eastAsia="Calibri" w:cs="Times New Roman"/>
          <w:szCs w:val="24"/>
          <w:shd w:val="clear" w:color="auto" w:fill="FFFFFF"/>
          <w:lang w:val="en-GB"/>
        </w:rPr>
        <w:t>Robertson, J., Eime, R., &amp; Westerbeek, H. (2018). Community sports clubs: are they only about playing sport, or do they have broader health promotion and social responsibilities?. </w:t>
      </w:r>
      <w:r w:rsidRPr="003662DF">
        <w:rPr>
          <w:rFonts w:eastAsia="Calibri" w:cs="Times New Roman"/>
          <w:i/>
          <w:iCs/>
          <w:szCs w:val="24"/>
          <w:shd w:val="clear" w:color="auto" w:fill="FFFFFF"/>
          <w:lang w:val="en-GB"/>
        </w:rPr>
        <w:t>Annals of Leisure Research</w:t>
      </w:r>
      <w:r w:rsidRPr="003662DF">
        <w:rPr>
          <w:rFonts w:eastAsia="Calibri" w:cs="Times New Roman"/>
          <w:szCs w:val="24"/>
          <w:shd w:val="clear" w:color="auto" w:fill="FFFFFF"/>
          <w:lang w:val="en-GB"/>
        </w:rPr>
        <w:t>, 1-18.</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Seitanidi, M. M., Koufopoulos, D. N., &amp; Palmer, P. (2010). Partnership formation for change: Indicators for transformative potential in cross sector social partnerships. </w:t>
      </w:r>
      <w:r w:rsidRPr="003662DF">
        <w:rPr>
          <w:rFonts w:eastAsia="Calibri" w:cs="Times New Roman"/>
          <w:i/>
          <w:szCs w:val="24"/>
        </w:rPr>
        <w:t>Journal of Business Ethics,</w:t>
      </w:r>
      <w:r w:rsidRPr="003662DF">
        <w:rPr>
          <w:rFonts w:eastAsia="Calibri" w:cs="Times New Roman"/>
          <w:szCs w:val="24"/>
        </w:rPr>
        <w:t xml:space="preserve"> </w:t>
      </w:r>
      <w:r w:rsidRPr="003662DF">
        <w:rPr>
          <w:rFonts w:eastAsia="Calibri" w:cs="Times New Roman"/>
          <w:i/>
          <w:szCs w:val="24"/>
        </w:rPr>
        <w:t>94</w:t>
      </w:r>
      <w:r w:rsidRPr="003662DF">
        <w:rPr>
          <w:rFonts w:eastAsia="Calibri" w:cs="Times New Roman"/>
          <w:szCs w:val="24"/>
        </w:rPr>
        <w:t>, 139-161.</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Selsky, J. W., &amp; Parker, B. (2005). Cross-sector partnerships to address social issues: Challenges to theory and practice. </w:t>
      </w:r>
      <w:r w:rsidRPr="003662DF">
        <w:rPr>
          <w:rFonts w:eastAsia="Calibri" w:cs="Times New Roman"/>
          <w:i/>
          <w:szCs w:val="24"/>
        </w:rPr>
        <w:t>Journal of Management</w:t>
      </w:r>
      <w:r w:rsidRPr="003662DF">
        <w:rPr>
          <w:rFonts w:eastAsia="Calibri" w:cs="Times New Roman"/>
          <w:szCs w:val="24"/>
        </w:rPr>
        <w:t xml:space="preserve">, </w:t>
      </w:r>
      <w:r w:rsidRPr="003662DF">
        <w:rPr>
          <w:rFonts w:eastAsia="Calibri" w:cs="Times New Roman"/>
          <w:i/>
          <w:szCs w:val="24"/>
        </w:rPr>
        <w:t>31</w:t>
      </w:r>
      <w:r w:rsidRPr="003662DF">
        <w:rPr>
          <w:rFonts w:eastAsia="Calibri" w:cs="Times New Roman"/>
          <w:szCs w:val="24"/>
        </w:rPr>
        <w:t>, 849-873.</w:t>
      </w:r>
    </w:p>
    <w:p w:rsidR="003662DF" w:rsidRPr="003662DF" w:rsidRDefault="003662DF" w:rsidP="007739BD">
      <w:pPr>
        <w:autoSpaceDE w:val="0"/>
        <w:autoSpaceDN w:val="0"/>
        <w:adjustRightInd w:val="0"/>
        <w:spacing w:after="0" w:line="480" w:lineRule="auto"/>
        <w:ind w:left="426" w:hanging="426"/>
        <w:rPr>
          <w:rFonts w:eastAsia="Calibri" w:cs="Times New Roman"/>
          <w:szCs w:val="20"/>
          <w:shd w:val="clear" w:color="auto" w:fill="FFFFFF"/>
          <w:lang w:val="en-GB"/>
        </w:rPr>
      </w:pPr>
      <w:r w:rsidRPr="003662DF">
        <w:rPr>
          <w:rFonts w:eastAsia="Calibri" w:cs="Times New Roman"/>
          <w:szCs w:val="20"/>
          <w:shd w:val="clear" w:color="auto" w:fill="FFFFFF"/>
          <w:lang w:val="en-GB"/>
        </w:rPr>
        <w:t>Selsky, J. W., &amp; Parker, B. (2010). Platforms for cross-sector social partnerships: Prospective sensemaking devices for social benefit. </w:t>
      </w:r>
      <w:r w:rsidRPr="003662DF">
        <w:rPr>
          <w:rFonts w:eastAsia="Calibri" w:cs="Times New Roman"/>
          <w:i/>
          <w:iCs/>
          <w:szCs w:val="20"/>
          <w:shd w:val="clear" w:color="auto" w:fill="FFFFFF"/>
          <w:lang w:val="en-GB"/>
        </w:rPr>
        <w:t>Journal of Business Ethics</w:t>
      </w:r>
      <w:r w:rsidRPr="003662DF">
        <w:rPr>
          <w:rFonts w:eastAsia="Calibri" w:cs="Times New Roman"/>
          <w:szCs w:val="20"/>
          <w:shd w:val="clear" w:color="auto" w:fill="FFFFFF"/>
          <w:lang w:val="en-GB"/>
        </w:rPr>
        <w:t>, </w:t>
      </w:r>
      <w:r w:rsidRPr="003662DF">
        <w:rPr>
          <w:rFonts w:eastAsia="Calibri" w:cs="Times New Roman"/>
          <w:i/>
          <w:iCs/>
          <w:szCs w:val="20"/>
          <w:shd w:val="clear" w:color="auto" w:fill="FFFFFF"/>
          <w:lang w:val="en-GB"/>
        </w:rPr>
        <w:t>94</w:t>
      </w:r>
      <w:r w:rsidRPr="003662DF">
        <w:rPr>
          <w:rFonts w:eastAsia="Calibri" w:cs="Times New Roman"/>
          <w:szCs w:val="20"/>
          <w:shd w:val="clear" w:color="auto" w:fill="FFFFFF"/>
          <w:lang w:val="en-GB"/>
        </w:rPr>
        <w:t>, 21-37.</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Snavely, K., &amp; Tracy, M. B. (2002). Development of trust in rural nonprofit collaborations.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31</w:t>
      </w:r>
      <w:r w:rsidRPr="003662DF">
        <w:rPr>
          <w:rFonts w:eastAsia="Calibri" w:cs="Times New Roman"/>
          <w:szCs w:val="24"/>
        </w:rPr>
        <w:t>, 62-83.</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Sotiriadou, P., Brouwers, J., De Bosscher, V., &amp; Cuskelly, G. (2017). The Role of Inter-Organizational Relationships on Elite Athlete Development Processes. </w:t>
      </w:r>
      <w:r w:rsidRPr="003662DF">
        <w:rPr>
          <w:rFonts w:eastAsia="Calibri" w:cs="Times New Roman"/>
          <w:i/>
          <w:szCs w:val="24"/>
        </w:rPr>
        <w:t>Journal of Sport Management</w:t>
      </w:r>
      <w:r w:rsidRPr="003662DF">
        <w:rPr>
          <w:rFonts w:eastAsia="Calibri" w:cs="Times New Roman"/>
          <w:szCs w:val="24"/>
        </w:rPr>
        <w:t xml:space="preserve">, </w:t>
      </w:r>
      <w:r w:rsidRPr="003662DF">
        <w:rPr>
          <w:rFonts w:eastAsia="Calibri" w:cs="Times New Roman"/>
          <w:i/>
          <w:szCs w:val="24"/>
        </w:rPr>
        <w:t>31</w:t>
      </w:r>
      <w:r w:rsidRPr="003662DF">
        <w:rPr>
          <w:rFonts w:eastAsia="Calibri" w:cs="Times New Roman"/>
          <w:szCs w:val="24"/>
        </w:rPr>
        <w:t>, 1-51.</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Sowa, J. E. (2009). The collaboration decision in nonprofit organizations.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38</w:t>
      </w:r>
      <w:r w:rsidRPr="003662DF">
        <w:rPr>
          <w:rFonts w:eastAsia="Calibri" w:cs="Times New Roman"/>
          <w:szCs w:val="24"/>
        </w:rPr>
        <w:t>, 1003–1025.</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t xml:space="preserve">Strauss, A. &amp; Corbin, J. M. (1998). </w:t>
      </w:r>
      <w:r w:rsidRPr="003662DF">
        <w:rPr>
          <w:rFonts w:eastAsia="Calibri" w:cs="Times New Roman"/>
          <w:i/>
          <w:szCs w:val="24"/>
        </w:rPr>
        <w:t>Basics of Qualitative Research: Techniques and Procedures for Developing Grounded Theory</w:t>
      </w:r>
      <w:r w:rsidRPr="003662DF">
        <w:rPr>
          <w:rFonts w:eastAsia="Calibri" w:cs="Times New Roman"/>
          <w:szCs w:val="24"/>
        </w:rPr>
        <w:t>, Thousand Oaks, CA: Sage.</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t xml:space="preserve">Suchman, M. C. (1995). Managing legitimacy: Strategic and institutional approaches. </w:t>
      </w:r>
      <w:r w:rsidRPr="003662DF">
        <w:rPr>
          <w:rFonts w:eastAsia="Calibri" w:cs="Times New Roman"/>
          <w:i/>
          <w:szCs w:val="24"/>
        </w:rPr>
        <w:t>Academy of Management Review</w:t>
      </w:r>
      <w:r w:rsidRPr="003662DF">
        <w:rPr>
          <w:rFonts w:eastAsia="Calibri" w:cs="Times New Roman"/>
          <w:szCs w:val="24"/>
        </w:rPr>
        <w:t xml:space="preserve">, </w:t>
      </w:r>
      <w:r w:rsidRPr="003662DF">
        <w:rPr>
          <w:rFonts w:eastAsia="Calibri" w:cs="Times New Roman"/>
          <w:i/>
          <w:szCs w:val="24"/>
        </w:rPr>
        <w:t>20</w:t>
      </w:r>
      <w:r w:rsidRPr="003662DF">
        <w:rPr>
          <w:rFonts w:eastAsia="Calibri" w:cs="Times New Roman"/>
          <w:szCs w:val="24"/>
        </w:rPr>
        <w:t>, 571-610.</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lastRenderedPageBreak/>
        <w:t xml:space="preserve">Tsasis, P. (2009). The social processes of interorganizational collaboration and conflict in nonprofit organizations. </w:t>
      </w:r>
      <w:r w:rsidRPr="003662DF">
        <w:rPr>
          <w:rFonts w:eastAsia="Calibri" w:cs="Times New Roman"/>
          <w:i/>
          <w:szCs w:val="24"/>
        </w:rPr>
        <w:t>Nonprofit Management &amp; Leadership</w:t>
      </w:r>
      <w:r w:rsidRPr="003662DF">
        <w:rPr>
          <w:rFonts w:eastAsia="Calibri" w:cs="Times New Roman"/>
          <w:szCs w:val="24"/>
        </w:rPr>
        <w:t xml:space="preserve">, </w:t>
      </w:r>
      <w:r w:rsidRPr="003662DF">
        <w:rPr>
          <w:rFonts w:eastAsia="Calibri" w:cs="Times New Roman"/>
          <w:i/>
          <w:szCs w:val="24"/>
        </w:rPr>
        <w:t>20</w:t>
      </w:r>
      <w:r w:rsidRPr="003662DF">
        <w:rPr>
          <w:rFonts w:eastAsia="Calibri" w:cs="Times New Roman"/>
          <w:szCs w:val="24"/>
        </w:rPr>
        <w:t>, 5-21.</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Vos, S., &amp; Scheerder, J. (2014). Fact or fiction? An empirical analysis of cooperation between mass sport providers at the local level. </w:t>
      </w:r>
      <w:r w:rsidRPr="003662DF">
        <w:rPr>
          <w:rFonts w:eastAsia="Calibri" w:cs="Times New Roman"/>
          <w:i/>
          <w:szCs w:val="24"/>
        </w:rPr>
        <w:t>European Journal for Sport and Society</w:t>
      </w:r>
      <w:r w:rsidRPr="003662DF">
        <w:rPr>
          <w:rFonts w:eastAsia="Calibri" w:cs="Times New Roman"/>
          <w:szCs w:val="24"/>
        </w:rPr>
        <w:t xml:space="preserve">, </w:t>
      </w:r>
      <w:r w:rsidRPr="003662DF">
        <w:rPr>
          <w:rFonts w:eastAsia="Calibri" w:cs="Times New Roman"/>
          <w:i/>
          <w:szCs w:val="24"/>
        </w:rPr>
        <w:t>11</w:t>
      </w:r>
      <w:r w:rsidRPr="003662DF">
        <w:rPr>
          <w:rFonts w:eastAsia="Calibri" w:cs="Times New Roman"/>
          <w:szCs w:val="24"/>
        </w:rPr>
        <w:t>, 7-34.</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t xml:space="preserve">Walters, G. &amp; Anagnostopoulos, C. (2012). Implementing corporate social responsibility through social partnerships. </w:t>
      </w:r>
      <w:r w:rsidRPr="003662DF">
        <w:rPr>
          <w:rFonts w:eastAsia="Calibri" w:cs="Times New Roman"/>
          <w:i/>
          <w:szCs w:val="24"/>
        </w:rPr>
        <w:t>Business Ethics: A European Review</w:t>
      </w:r>
      <w:r w:rsidRPr="003662DF">
        <w:rPr>
          <w:rFonts w:eastAsia="Calibri" w:cs="Times New Roman"/>
          <w:szCs w:val="24"/>
        </w:rPr>
        <w:t xml:space="preserve">, </w:t>
      </w:r>
      <w:r w:rsidRPr="003662DF">
        <w:rPr>
          <w:rFonts w:eastAsia="Calibri" w:cs="Times New Roman"/>
          <w:i/>
          <w:szCs w:val="24"/>
        </w:rPr>
        <w:t>21</w:t>
      </w:r>
      <w:r w:rsidRPr="003662DF">
        <w:rPr>
          <w:rFonts w:eastAsia="Calibri" w:cs="Times New Roman"/>
          <w:szCs w:val="24"/>
        </w:rPr>
        <w:t>, 417-433.</w:t>
      </w:r>
    </w:p>
    <w:p w:rsidR="003662DF" w:rsidRPr="003662DF" w:rsidRDefault="003662DF" w:rsidP="007739BD">
      <w:pPr>
        <w:autoSpaceDE w:val="0"/>
        <w:autoSpaceDN w:val="0"/>
        <w:adjustRightInd w:val="0"/>
        <w:spacing w:after="0" w:line="480" w:lineRule="auto"/>
        <w:ind w:left="426" w:hanging="426"/>
        <w:rPr>
          <w:rFonts w:eastAsia="Calibri" w:cs="Times New Roman"/>
          <w:szCs w:val="24"/>
        </w:rPr>
      </w:pPr>
      <w:r w:rsidRPr="003662DF">
        <w:rPr>
          <w:rFonts w:eastAsia="Calibri" w:cs="Times New Roman"/>
          <w:szCs w:val="24"/>
        </w:rPr>
        <w:t xml:space="preserve">Wicker, P., &amp; Breuer, C. (2013). Understanding the importance of organizational resources to explain organizational problems: Evidence from nonprofit sport clubs in Germany. </w:t>
      </w:r>
      <w:r w:rsidRPr="003662DF">
        <w:rPr>
          <w:rFonts w:eastAsia="Calibri" w:cs="Times New Roman"/>
          <w:i/>
          <w:szCs w:val="24"/>
        </w:rPr>
        <w:t>Voluntas: International Journal of Voluntary and Nonprofit Organizations</w:t>
      </w:r>
      <w:r w:rsidRPr="003662DF">
        <w:rPr>
          <w:rFonts w:eastAsia="Calibri" w:cs="Times New Roman"/>
          <w:szCs w:val="24"/>
        </w:rPr>
        <w:t xml:space="preserve">, </w:t>
      </w:r>
      <w:r w:rsidRPr="003662DF">
        <w:rPr>
          <w:rFonts w:eastAsia="Calibri" w:cs="Times New Roman"/>
          <w:i/>
          <w:szCs w:val="24"/>
        </w:rPr>
        <w:t>24</w:t>
      </w:r>
      <w:r w:rsidRPr="003662DF">
        <w:rPr>
          <w:rFonts w:eastAsia="Calibri" w:cs="Times New Roman"/>
          <w:szCs w:val="24"/>
        </w:rPr>
        <w:t>, 461-484.</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t xml:space="preserve">Winand, M., Rihoux, B., Robinson, L., &amp; Zintz, T. (2013). Pathways to high performance: A qualitative comparative analysis of sport governing bodies. </w:t>
      </w:r>
      <w:r w:rsidRPr="003662DF">
        <w:rPr>
          <w:rFonts w:eastAsia="Calibri" w:cs="Times New Roman"/>
          <w:i/>
          <w:szCs w:val="24"/>
        </w:rPr>
        <w:t>Nonprofit and Voluntary Sector Quarterly</w:t>
      </w:r>
      <w:r w:rsidRPr="003662DF">
        <w:rPr>
          <w:rFonts w:eastAsia="Calibri" w:cs="Times New Roman"/>
          <w:szCs w:val="24"/>
        </w:rPr>
        <w:t xml:space="preserve">, </w:t>
      </w:r>
      <w:r w:rsidRPr="003662DF">
        <w:rPr>
          <w:rFonts w:eastAsia="Calibri" w:cs="Times New Roman"/>
          <w:i/>
          <w:szCs w:val="24"/>
        </w:rPr>
        <w:t>42</w:t>
      </w:r>
      <w:r w:rsidRPr="003662DF">
        <w:rPr>
          <w:rFonts w:eastAsia="Calibri" w:cs="Times New Roman"/>
          <w:szCs w:val="24"/>
        </w:rPr>
        <w:t>, 739-762.</w:t>
      </w:r>
    </w:p>
    <w:p w:rsidR="003662DF" w:rsidRPr="003662DF" w:rsidRDefault="003662DF" w:rsidP="007739BD">
      <w:pPr>
        <w:spacing w:after="0" w:line="480" w:lineRule="auto"/>
        <w:ind w:left="426" w:hanging="426"/>
        <w:rPr>
          <w:rFonts w:eastAsia="Calibri" w:cs="Times New Roman"/>
          <w:szCs w:val="24"/>
        </w:rPr>
      </w:pPr>
      <w:r w:rsidRPr="003662DF">
        <w:rPr>
          <w:rFonts w:eastAsia="Calibri" w:cs="Times New Roman"/>
          <w:szCs w:val="24"/>
        </w:rPr>
        <w:t xml:space="preserve">Winand, M., Zintz, T., Bayle, E., &amp; Robinson, L. (2010). Organizational performance of Olympic sport governing bodies: dealing with measurement and priorities. </w:t>
      </w:r>
      <w:r w:rsidRPr="003662DF">
        <w:rPr>
          <w:rFonts w:eastAsia="Calibri" w:cs="Times New Roman"/>
          <w:i/>
          <w:szCs w:val="24"/>
        </w:rPr>
        <w:t>Managing Leisure</w:t>
      </w:r>
      <w:r w:rsidRPr="003662DF">
        <w:rPr>
          <w:rFonts w:eastAsia="Calibri" w:cs="Times New Roman"/>
          <w:szCs w:val="24"/>
        </w:rPr>
        <w:t xml:space="preserve">, </w:t>
      </w:r>
      <w:r w:rsidRPr="003662DF">
        <w:rPr>
          <w:rFonts w:eastAsia="Calibri" w:cs="Times New Roman"/>
          <w:i/>
          <w:szCs w:val="24"/>
        </w:rPr>
        <w:t>15</w:t>
      </w:r>
      <w:r w:rsidRPr="003662DF">
        <w:rPr>
          <w:rFonts w:eastAsia="Calibri" w:cs="Times New Roman"/>
          <w:szCs w:val="24"/>
        </w:rPr>
        <w:t>, 279-307.</w:t>
      </w:r>
    </w:p>
    <w:p w:rsidR="003662DF" w:rsidRPr="003662DF" w:rsidRDefault="003662DF" w:rsidP="007739BD">
      <w:pPr>
        <w:autoSpaceDE w:val="0"/>
        <w:autoSpaceDN w:val="0"/>
        <w:adjustRightInd w:val="0"/>
        <w:spacing w:after="0" w:line="480" w:lineRule="auto"/>
        <w:ind w:left="426" w:hanging="426"/>
        <w:rPr>
          <w:rFonts w:eastAsia="Calibri" w:cs="Times New Roman"/>
        </w:rPr>
      </w:pPr>
      <w:r w:rsidRPr="003662DF">
        <w:rPr>
          <w:rFonts w:eastAsia="Calibri" w:cs="Times New Roman"/>
          <w:szCs w:val="24"/>
        </w:rPr>
        <w:t xml:space="preserve">Yin, R. K. (2013). </w:t>
      </w:r>
      <w:r w:rsidRPr="003662DF">
        <w:rPr>
          <w:rFonts w:eastAsia="Calibri" w:cs="Times New Roman"/>
          <w:i/>
          <w:szCs w:val="24"/>
        </w:rPr>
        <w:t>Case study research: Design and methods (5</w:t>
      </w:r>
      <w:r w:rsidRPr="003662DF">
        <w:rPr>
          <w:rFonts w:eastAsia="Calibri" w:cs="Times New Roman"/>
          <w:i/>
          <w:szCs w:val="24"/>
          <w:vertAlign w:val="superscript"/>
        </w:rPr>
        <w:t>th</w:t>
      </w:r>
      <w:r w:rsidRPr="003662DF">
        <w:rPr>
          <w:rFonts w:eastAsia="Calibri" w:cs="Times New Roman"/>
          <w:i/>
          <w:szCs w:val="24"/>
        </w:rPr>
        <w:t xml:space="preserve"> ed.).</w:t>
      </w:r>
      <w:r w:rsidRPr="003662DF">
        <w:rPr>
          <w:rFonts w:eastAsia="Calibri" w:cs="Times New Roman"/>
          <w:szCs w:val="24"/>
        </w:rPr>
        <w:t xml:space="preserve"> Thousand Oaks, CA: Sage.</w:t>
      </w:r>
      <w:r w:rsidRPr="003662DF">
        <w:rPr>
          <w:rFonts w:eastAsia="Calibri" w:cs="Times New Roman"/>
          <w:lang w:val="en-GB"/>
        </w:rPr>
        <w:fldChar w:fldCharType="begin"/>
      </w:r>
      <w:r w:rsidRPr="003662DF">
        <w:rPr>
          <w:rFonts w:eastAsia="Calibri" w:cs="Times New Roman"/>
          <w:lang w:val="en-GB"/>
        </w:rPr>
        <w:instrText xml:space="preserve"> ADDIN EN.REFLIST </w:instrText>
      </w:r>
      <w:r w:rsidRPr="003662DF">
        <w:rPr>
          <w:rFonts w:eastAsia="Calibri" w:cs="Times New Roman"/>
          <w:lang w:val="en-GB"/>
        </w:rPr>
        <w:fldChar w:fldCharType="end"/>
      </w:r>
    </w:p>
    <w:p w:rsidR="00A83ED2" w:rsidRDefault="00A83ED2" w:rsidP="007739BD">
      <w:pPr>
        <w:spacing w:line="480" w:lineRule="auto"/>
        <w:rPr>
          <w:rFonts w:eastAsia="Calibri" w:cs="Times New Roman"/>
          <w:szCs w:val="24"/>
        </w:rPr>
      </w:pPr>
      <w:r>
        <w:rPr>
          <w:rFonts w:eastAsia="Calibri" w:cs="Times New Roman"/>
          <w:szCs w:val="24"/>
        </w:rPr>
        <w:br w:type="page"/>
      </w:r>
    </w:p>
    <w:p w:rsidR="007739BD" w:rsidRPr="007739BD" w:rsidRDefault="007739BD" w:rsidP="007739BD">
      <w:pPr>
        <w:spacing w:line="480" w:lineRule="auto"/>
        <w:ind w:firstLine="709"/>
        <w:jc w:val="center"/>
        <w:rPr>
          <w:rFonts w:eastAsia="Calibri" w:cs="Times New Roman"/>
          <w:b/>
        </w:rPr>
      </w:pPr>
      <w:r w:rsidRPr="007739BD">
        <w:rPr>
          <w:rFonts w:eastAsia="Calibri" w:cs="Times New Roman"/>
          <w:b/>
        </w:rPr>
        <w:lastRenderedPageBreak/>
        <w:t>Bibliographical paragraph</w:t>
      </w:r>
    </w:p>
    <w:p w:rsidR="007739BD" w:rsidRPr="007739BD" w:rsidRDefault="007739BD" w:rsidP="007739BD">
      <w:pPr>
        <w:spacing w:line="480" w:lineRule="auto"/>
        <w:ind w:firstLine="709"/>
        <w:rPr>
          <w:rFonts w:eastAsia="Calibri" w:cs="Times New Roman"/>
        </w:rPr>
      </w:pPr>
      <w:r w:rsidRPr="007739BD">
        <w:rPr>
          <w:rFonts w:eastAsia="Calibri" w:cs="Times New Roman"/>
        </w:rPr>
        <w:t>Géraldine Zeimers is a PhD Candidate in Sport Management at the Université catholique de Louvain and Ghent University. Her research examines implementation of social responsibile programs by nonprofit sport organizations. She explores the interaction and learning dynamics involved in managing collaboration among nonprofit organizations.</w:t>
      </w:r>
    </w:p>
    <w:p w:rsidR="007739BD" w:rsidRPr="007739BD" w:rsidRDefault="007739BD" w:rsidP="007739BD">
      <w:pPr>
        <w:spacing w:line="480" w:lineRule="auto"/>
        <w:ind w:firstLine="709"/>
        <w:rPr>
          <w:rFonts w:eastAsia="Calibri" w:cs="Times New Roman"/>
        </w:rPr>
      </w:pPr>
      <w:r w:rsidRPr="007739BD">
        <w:rPr>
          <w:rFonts w:eastAsia="Calibri" w:cs="Times New Roman"/>
        </w:rPr>
        <w:t>Christos Anagnostopoulos is Assistant Professor in Sport Business Management at University of Central Lancashire (UK) and Associate Professor in Sport Management at Molde University College. His research lies in examining organizational processes and concepts that facilitate (or sometimes destroy) value creation through the lenses of (corporate) social responsibility.</w:t>
      </w:r>
    </w:p>
    <w:p w:rsidR="007739BD" w:rsidRPr="007739BD" w:rsidRDefault="007739BD" w:rsidP="007739BD">
      <w:pPr>
        <w:spacing w:line="480" w:lineRule="auto"/>
        <w:ind w:firstLine="709"/>
        <w:rPr>
          <w:rFonts w:eastAsia="Calibri" w:cs="Times New Roman"/>
        </w:rPr>
      </w:pPr>
      <w:r w:rsidRPr="007739BD">
        <w:rPr>
          <w:rFonts w:eastAsia="Calibri" w:cs="Times New Roman"/>
        </w:rPr>
        <w:t>Thierry Zintz is Professor Sport Management at the Université catholique de Louvain. He is holder of the Olympic Chair Henri de Baillet Latour and Jacques Rogge. He investigates good governance and change management in international and national Sports Governing Bodies.</w:t>
      </w:r>
    </w:p>
    <w:p w:rsidR="007739BD" w:rsidRDefault="007739BD" w:rsidP="007739BD">
      <w:pPr>
        <w:spacing w:line="480" w:lineRule="auto"/>
        <w:ind w:firstLine="709"/>
        <w:rPr>
          <w:rFonts w:eastAsia="Calibri" w:cs="Times New Roman"/>
        </w:rPr>
      </w:pPr>
      <w:r w:rsidRPr="007739BD">
        <w:rPr>
          <w:rFonts w:eastAsia="Calibri" w:cs="Times New Roman"/>
        </w:rPr>
        <w:t>Annick Willem is Professor Sport Management at Ghent University. She is holder of the Olympic Chair Henri de Baillet Latour and Jacques Rogge. Her research interests include interorganizational relationships in public and nonprofit sports and knowledge management.</w:t>
      </w:r>
    </w:p>
    <w:p w:rsidR="005D1F18" w:rsidRDefault="005D1F18" w:rsidP="005D1F18">
      <w:pPr>
        <w:spacing w:line="480" w:lineRule="auto"/>
        <w:rPr>
          <w:rFonts w:eastAsia="Calibri" w:cs="Times New Roman"/>
        </w:rPr>
        <w:sectPr w:rsidR="005D1F18" w:rsidSect="007739BD">
          <w:footerReference w:type="default" r:id="rId11"/>
          <w:pgSz w:w="11906" w:h="16838" w:code="9"/>
          <w:pgMar w:top="1440" w:right="1440" w:bottom="1440" w:left="1440" w:header="709" w:footer="709" w:gutter="0"/>
          <w:cols w:space="708"/>
          <w:titlePg/>
          <w:docGrid w:linePitch="360"/>
        </w:sectPr>
      </w:pPr>
    </w:p>
    <w:p w:rsidR="00A83ED2" w:rsidRDefault="007739BD" w:rsidP="007739BD">
      <w:pPr>
        <w:spacing w:line="480" w:lineRule="auto"/>
        <w:ind w:firstLine="709"/>
        <w:jc w:val="center"/>
        <w:rPr>
          <w:rFonts w:eastAsia="Calibri" w:cs="Times New Roman"/>
          <w:b/>
        </w:rPr>
      </w:pPr>
      <w:r w:rsidRPr="007739BD">
        <w:rPr>
          <w:rFonts w:eastAsia="Calibri" w:cs="Times New Roman"/>
          <w:b/>
        </w:rPr>
        <w:lastRenderedPageBreak/>
        <w:t>Tables</w:t>
      </w:r>
    </w:p>
    <w:p w:rsidR="005D1F18" w:rsidRPr="005D1F18" w:rsidRDefault="005D1F18" w:rsidP="005D1F18">
      <w:pPr>
        <w:spacing w:line="480" w:lineRule="auto"/>
        <w:ind w:firstLine="709"/>
        <w:rPr>
          <w:rFonts w:eastAsia="Calibri" w:cs="Times New Roman"/>
          <w:b/>
        </w:rPr>
      </w:pPr>
      <w:r w:rsidRPr="005D1F18">
        <w:rPr>
          <w:rFonts w:eastAsia="Calibri" w:cs="Times New Roman"/>
          <w:b/>
        </w:rPr>
        <w:t>Table 1. Contextual background of the case study</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2"/>
        <w:gridCol w:w="5953"/>
        <w:gridCol w:w="5419"/>
      </w:tblGrid>
      <w:tr w:rsidR="007739BD" w:rsidRPr="00A83ED2" w:rsidTr="007739BD">
        <w:tc>
          <w:tcPr>
            <w:tcW w:w="2802" w:type="dxa"/>
            <w:shd w:val="clear" w:color="auto" w:fill="auto"/>
          </w:tcPr>
          <w:p w:rsidR="007739BD" w:rsidRPr="00A83ED2" w:rsidRDefault="007739BD" w:rsidP="007739BD">
            <w:pPr>
              <w:spacing w:after="0" w:line="480" w:lineRule="auto"/>
              <w:ind w:firstLine="709"/>
              <w:rPr>
                <w:rFonts w:eastAsia="Times New Roman" w:cs="Times New Roman"/>
                <w:b/>
                <w:sz w:val="22"/>
              </w:rPr>
            </w:pPr>
            <w:r w:rsidRPr="00A83ED2">
              <w:rPr>
                <w:rFonts w:eastAsia="Times New Roman" w:cs="Times New Roman"/>
                <w:b/>
                <w:sz w:val="22"/>
              </w:rPr>
              <w:t>Characteristics</w:t>
            </w:r>
          </w:p>
        </w:tc>
        <w:tc>
          <w:tcPr>
            <w:tcW w:w="5953" w:type="dxa"/>
            <w:shd w:val="clear" w:color="auto" w:fill="auto"/>
          </w:tcPr>
          <w:p w:rsidR="007739BD" w:rsidRPr="00A83ED2" w:rsidRDefault="007739BD" w:rsidP="007739BD">
            <w:pPr>
              <w:spacing w:after="0" w:line="480" w:lineRule="auto"/>
              <w:ind w:firstLine="709"/>
              <w:jc w:val="center"/>
              <w:rPr>
                <w:rFonts w:eastAsia="Times New Roman" w:cs="Times New Roman"/>
                <w:sz w:val="22"/>
              </w:rPr>
            </w:pPr>
            <w:r w:rsidRPr="00A83ED2">
              <w:rPr>
                <w:rFonts w:eastAsia="Times New Roman" w:cs="Times New Roman"/>
                <w:i/>
                <w:sz w:val="22"/>
              </w:rPr>
              <w:t>Hockey Together</w:t>
            </w:r>
            <w:r w:rsidRPr="00A83ED2">
              <w:rPr>
                <w:rFonts w:eastAsia="Times New Roman" w:cs="Times New Roman"/>
                <w:sz w:val="22"/>
              </w:rPr>
              <w:t xml:space="preserve"> (HT)</w:t>
            </w:r>
          </w:p>
        </w:tc>
        <w:tc>
          <w:tcPr>
            <w:tcW w:w="5419" w:type="dxa"/>
            <w:shd w:val="clear" w:color="auto" w:fill="auto"/>
          </w:tcPr>
          <w:p w:rsidR="007739BD" w:rsidRPr="00A83ED2" w:rsidRDefault="007739BD" w:rsidP="007739BD">
            <w:pPr>
              <w:spacing w:after="0" w:line="480" w:lineRule="auto"/>
              <w:ind w:firstLine="709"/>
              <w:jc w:val="center"/>
              <w:rPr>
                <w:rFonts w:eastAsia="Times New Roman" w:cs="Times New Roman"/>
                <w:sz w:val="22"/>
              </w:rPr>
            </w:pPr>
            <w:r w:rsidRPr="00A83ED2">
              <w:rPr>
                <w:rFonts w:eastAsia="Times New Roman" w:cs="Times New Roman"/>
                <w:i/>
                <w:sz w:val="22"/>
              </w:rPr>
              <w:t>Stick to Fair Play</w:t>
            </w:r>
            <w:r w:rsidRPr="00A83ED2">
              <w:rPr>
                <w:rFonts w:eastAsia="Times New Roman" w:cs="Times New Roman"/>
                <w:sz w:val="22"/>
              </w:rPr>
              <w:t xml:space="preserve"> (STFP)</w:t>
            </w:r>
          </w:p>
        </w:tc>
      </w:tr>
      <w:tr w:rsidR="007739BD" w:rsidRPr="00A83ED2" w:rsidTr="007739BD">
        <w:tc>
          <w:tcPr>
            <w:tcW w:w="2802" w:type="dxa"/>
            <w:shd w:val="clear" w:color="auto" w:fill="auto"/>
          </w:tcPr>
          <w:p w:rsidR="007739BD" w:rsidRPr="00A83ED2" w:rsidRDefault="007739BD" w:rsidP="007739BD">
            <w:pPr>
              <w:spacing w:after="0" w:line="480" w:lineRule="auto"/>
              <w:rPr>
                <w:rFonts w:eastAsia="Times New Roman" w:cs="Times New Roman"/>
                <w:b/>
                <w:i/>
                <w:sz w:val="22"/>
              </w:rPr>
            </w:pPr>
            <w:r w:rsidRPr="00A83ED2">
              <w:rPr>
                <w:rFonts w:eastAsia="Times New Roman" w:cs="Times New Roman"/>
                <w:b/>
                <w:i/>
                <w:sz w:val="22"/>
              </w:rPr>
              <w:t>Collaboration Form</w:t>
            </w:r>
          </w:p>
        </w:tc>
        <w:tc>
          <w:tcPr>
            <w:tcW w:w="5953" w:type="dxa"/>
            <w:shd w:val="clear" w:color="auto" w:fill="auto"/>
          </w:tcPr>
          <w:p w:rsidR="007739BD" w:rsidRPr="00A83ED2" w:rsidRDefault="007739BD" w:rsidP="007739BD">
            <w:pPr>
              <w:spacing w:after="0" w:line="480" w:lineRule="auto"/>
              <w:rPr>
                <w:rFonts w:eastAsia="Times New Roman" w:cs="Times New Roman"/>
                <w:sz w:val="22"/>
              </w:rPr>
            </w:pPr>
            <w:r w:rsidRPr="00A83ED2">
              <w:rPr>
                <w:rFonts w:eastAsia="Times New Roman" w:cs="Times New Roman"/>
                <w:sz w:val="22"/>
              </w:rPr>
              <w:t>Informal collaboration and joint program initiative</w:t>
            </w:r>
          </w:p>
        </w:tc>
        <w:tc>
          <w:tcPr>
            <w:tcW w:w="5419" w:type="dxa"/>
            <w:shd w:val="clear" w:color="auto" w:fill="auto"/>
          </w:tcPr>
          <w:p w:rsidR="007739BD" w:rsidRPr="00A83ED2" w:rsidRDefault="007739BD" w:rsidP="007739BD">
            <w:pPr>
              <w:spacing w:after="0" w:line="480" w:lineRule="auto"/>
              <w:rPr>
                <w:rFonts w:eastAsia="Times New Roman" w:cs="Times New Roman"/>
                <w:sz w:val="22"/>
              </w:rPr>
            </w:pPr>
            <w:r w:rsidRPr="00A83ED2">
              <w:rPr>
                <w:rFonts w:eastAsia="Times New Roman" w:cs="Times New Roman"/>
                <w:sz w:val="22"/>
              </w:rPr>
              <w:t>Joint program initiative</w:t>
            </w:r>
          </w:p>
        </w:tc>
      </w:tr>
      <w:tr w:rsidR="007739BD" w:rsidRPr="00A83ED2" w:rsidTr="007739BD">
        <w:tc>
          <w:tcPr>
            <w:tcW w:w="2802" w:type="dxa"/>
            <w:shd w:val="clear" w:color="auto" w:fill="auto"/>
          </w:tcPr>
          <w:p w:rsidR="007739BD" w:rsidRPr="00A83ED2" w:rsidRDefault="007739BD" w:rsidP="007739BD">
            <w:pPr>
              <w:spacing w:after="0" w:line="480" w:lineRule="auto"/>
              <w:rPr>
                <w:rFonts w:eastAsia="Times New Roman" w:cs="Times New Roman"/>
                <w:b/>
                <w:i/>
                <w:sz w:val="22"/>
              </w:rPr>
            </w:pPr>
            <w:r w:rsidRPr="00A83ED2">
              <w:rPr>
                <w:rFonts w:eastAsia="Times New Roman" w:cs="Times New Roman"/>
                <w:b/>
                <w:i/>
                <w:sz w:val="22"/>
              </w:rPr>
              <w:t>Collaboration Background</w:t>
            </w:r>
          </w:p>
        </w:tc>
        <w:tc>
          <w:tcPr>
            <w:tcW w:w="5953" w:type="dxa"/>
            <w:shd w:val="clear" w:color="auto" w:fill="auto"/>
          </w:tcPr>
          <w:p w:rsidR="007739BD" w:rsidRPr="00A83ED2" w:rsidRDefault="007739BD" w:rsidP="007739BD">
            <w:pPr>
              <w:spacing w:after="0" w:line="480" w:lineRule="auto"/>
              <w:rPr>
                <w:rFonts w:eastAsia="Times New Roman" w:cs="Times New Roman"/>
                <w:sz w:val="22"/>
              </w:rPr>
            </w:pPr>
            <w:r w:rsidRPr="00A83ED2">
              <w:rPr>
                <w:rFonts w:eastAsia="Times New Roman" w:cs="Times New Roman"/>
                <w:sz w:val="22"/>
              </w:rPr>
              <w:t>Bottom-up initiative - one club</w:t>
            </w:r>
          </w:p>
        </w:tc>
        <w:tc>
          <w:tcPr>
            <w:tcW w:w="5419" w:type="dxa"/>
            <w:shd w:val="clear" w:color="auto" w:fill="auto"/>
          </w:tcPr>
          <w:p w:rsidR="007739BD" w:rsidRPr="00A83ED2" w:rsidRDefault="007739BD" w:rsidP="007739BD">
            <w:pPr>
              <w:spacing w:after="0" w:line="480" w:lineRule="auto"/>
              <w:rPr>
                <w:rFonts w:eastAsia="Times New Roman" w:cs="Times New Roman"/>
                <w:sz w:val="22"/>
              </w:rPr>
            </w:pPr>
            <w:r w:rsidRPr="00A83ED2">
              <w:rPr>
                <w:rFonts w:eastAsia="Times New Roman" w:cs="Times New Roman"/>
                <w:sz w:val="22"/>
              </w:rPr>
              <w:t>Top-down initiative - LFH</w:t>
            </w:r>
          </w:p>
        </w:tc>
      </w:tr>
      <w:tr w:rsidR="007739BD" w:rsidRPr="00A83ED2" w:rsidTr="007739BD">
        <w:tc>
          <w:tcPr>
            <w:tcW w:w="2802" w:type="dxa"/>
            <w:shd w:val="clear" w:color="auto" w:fill="auto"/>
          </w:tcPr>
          <w:p w:rsidR="007739BD" w:rsidRPr="00A83ED2" w:rsidRDefault="007739BD" w:rsidP="007739BD">
            <w:pPr>
              <w:spacing w:after="0" w:line="480" w:lineRule="auto"/>
              <w:rPr>
                <w:rFonts w:eastAsia="Times New Roman" w:cs="Times New Roman"/>
                <w:b/>
                <w:i/>
                <w:sz w:val="22"/>
              </w:rPr>
            </w:pPr>
            <w:r w:rsidRPr="00A83ED2">
              <w:rPr>
                <w:rFonts w:eastAsia="Times New Roman" w:cs="Times New Roman"/>
                <w:b/>
                <w:i/>
                <w:sz w:val="22"/>
              </w:rPr>
              <w:t>Collaboration Components</w:t>
            </w:r>
          </w:p>
        </w:tc>
        <w:tc>
          <w:tcPr>
            <w:tcW w:w="5953" w:type="dxa"/>
            <w:shd w:val="clear" w:color="auto" w:fill="auto"/>
          </w:tcPr>
          <w:p w:rsidR="007739BD" w:rsidRPr="00A83ED2" w:rsidRDefault="007739BD" w:rsidP="007739BD">
            <w:pPr>
              <w:spacing w:after="0" w:line="480" w:lineRule="auto"/>
              <w:rPr>
                <w:rFonts w:eastAsia="Times New Roman" w:cs="Times New Roman"/>
                <w:sz w:val="22"/>
              </w:rPr>
            </w:pPr>
            <w:r w:rsidRPr="00A83ED2">
              <w:rPr>
                <w:rFonts w:eastAsia="Times New Roman" w:cs="Times New Roman"/>
                <w:sz w:val="22"/>
              </w:rPr>
              <w:t xml:space="preserve">9 clubs, LFH and ARBH </w:t>
            </w:r>
          </w:p>
        </w:tc>
        <w:tc>
          <w:tcPr>
            <w:tcW w:w="5419" w:type="dxa"/>
            <w:shd w:val="clear" w:color="auto" w:fill="auto"/>
          </w:tcPr>
          <w:p w:rsidR="007739BD" w:rsidRPr="00A83ED2" w:rsidRDefault="007739BD" w:rsidP="007739BD">
            <w:pPr>
              <w:spacing w:after="0" w:line="480" w:lineRule="auto"/>
              <w:rPr>
                <w:rFonts w:eastAsia="Times New Roman" w:cs="Times New Roman"/>
                <w:sz w:val="22"/>
              </w:rPr>
            </w:pPr>
            <w:r w:rsidRPr="00A83ED2">
              <w:rPr>
                <w:rFonts w:eastAsia="Times New Roman" w:cs="Times New Roman"/>
                <w:sz w:val="22"/>
              </w:rPr>
              <w:t>ARBH, LFH and all clubs on a voluntary basis</w:t>
            </w:r>
          </w:p>
        </w:tc>
      </w:tr>
      <w:tr w:rsidR="007739BD" w:rsidRPr="00A83ED2" w:rsidTr="007739BD">
        <w:tc>
          <w:tcPr>
            <w:tcW w:w="2802" w:type="dxa"/>
            <w:shd w:val="clear" w:color="auto" w:fill="auto"/>
          </w:tcPr>
          <w:p w:rsidR="007739BD" w:rsidRPr="00A83ED2" w:rsidRDefault="007739BD" w:rsidP="007739BD">
            <w:pPr>
              <w:spacing w:after="0" w:line="480" w:lineRule="auto"/>
              <w:rPr>
                <w:rFonts w:eastAsia="Times New Roman" w:cs="Times New Roman"/>
                <w:b/>
                <w:i/>
                <w:sz w:val="22"/>
              </w:rPr>
            </w:pPr>
            <w:r w:rsidRPr="00A83ED2">
              <w:rPr>
                <w:rFonts w:eastAsia="Times New Roman" w:cs="Times New Roman"/>
                <w:b/>
                <w:i/>
                <w:sz w:val="22"/>
              </w:rPr>
              <w:t>Collaboration Characteristics</w:t>
            </w:r>
          </w:p>
          <w:p w:rsidR="007739BD" w:rsidRPr="00A83ED2" w:rsidRDefault="007739BD" w:rsidP="007739BD">
            <w:pPr>
              <w:spacing w:after="0" w:line="480" w:lineRule="auto"/>
              <w:rPr>
                <w:rFonts w:eastAsia="Times New Roman" w:cs="Times New Roman"/>
                <w:b/>
                <w:i/>
                <w:sz w:val="22"/>
              </w:rPr>
            </w:pPr>
          </w:p>
        </w:tc>
        <w:tc>
          <w:tcPr>
            <w:tcW w:w="5953" w:type="dxa"/>
            <w:shd w:val="clear" w:color="auto" w:fill="auto"/>
          </w:tcPr>
          <w:p w:rsidR="007739BD" w:rsidRPr="00A83ED2" w:rsidRDefault="007739BD" w:rsidP="007739BD">
            <w:pPr>
              <w:spacing w:after="0" w:line="480" w:lineRule="auto"/>
              <w:rPr>
                <w:rFonts w:eastAsia="Calibri" w:cs="Times New Roman"/>
                <w:sz w:val="22"/>
                <w:lang w:val="en-GB"/>
              </w:rPr>
            </w:pPr>
            <w:r w:rsidRPr="00A83ED2">
              <w:rPr>
                <w:rFonts w:eastAsia="Calibri" w:cs="Times New Roman"/>
                <w:sz w:val="22"/>
              </w:rPr>
              <w:t xml:space="preserve">Initially, this informal collaboration </w:t>
            </w:r>
            <w:r w:rsidRPr="00A83ED2">
              <w:rPr>
                <w:rFonts w:eastAsia="Times New Roman" w:cs="Times New Roman"/>
                <w:sz w:val="22"/>
              </w:rPr>
              <w:t xml:space="preserve">between LFH, ARBH and sport clubs </w:t>
            </w:r>
            <w:r w:rsidRPr="00A83ED2">
              <w:rPr>
                <w:rFonts w:eastAsia="Calibri" w:cs="Times New Roman"/>
                <w:sz w:val="22"/>
              </w:rPr>
              <w:t>encompassed distinct decision-making strategies, information sharing and resource exchange.</w:t>
            </w:r>
            <w:r w:rsidRPr="00A83ED2">
              <w:rPr>
                <w:rFonts w:eastAsia="Calibri" w:cs="Times New Roman"/>
                <w:sz w:val="22"/>
                <w:lang w:val="en-GB"/>
              </w:rPr>
              <w:t xml:space="preserve"> </w:t>
            </w:r>
          </w:p>
          <w:p w:rsidR="007739BD" w:rsidRPr="00A83ED2" w:rsidRDefault="007739BD" w:rsidP="007739BD">
            <w:pPr>
              <w:spacing w:after="0" w:line="480" w:lineRule="auto"/>
              <w:rPr>
                <w:rFonts w:eastAsia="Calibri" w:cs="Times New Roman"/>
                <w:sz w:val="22"/>
                <w:lang w:val="en-GB"/>
              </w:rPr>
            </w:pPr>
            <w:r w:rsidRPr="00A83ED2">
              <w:rPr>
                <w:rFonts w:eastAsia="Calibri" w:cs="Times New Roman"/>
                <w:sz w:val="22"/>
              </w:rPr>
              <w:t xml:space="preserve">Today, a formal </w:t>
            </w:r>
            <w:r w:rsidRPr="00A83ED2">
              <w:rPr>
                <w:rFonts w:eastAsia="Times New Roman" w:cs="Times New Roman"/>
                <w:sz w:val="22"/>
              </w:rPr>
              <w:t xml:space="preserve">joint program initiative is established between LFH, sport clubs and the </w:t>
            </w:r>
            <w:r w:rsidRPr="00A83ED2">
              <w:rPr>
                <w:rFonts w:eastAsia="Calibri" w:cs="Times New Roman"/>
                <w:sz w:val="22"/>
                <w:lang w:val="en-GB"/>
              </w:rPr>
              <w:t>Federation of Disability sport (</w:t>
            </w:r>
            <w:r w:rsidRPr="00A83ED2">
              <w:rPr>
                <w:rFonts w:eastAsia="Times New Roman" w:cs="Times New Roman"/>
                <w:sz w:val="22"/>
              </w:rPr>
              <w:t xml:space="preserve">LHF) via the creation of a new formal NPO ‘Hockey Together’. </w:t>
            </w:r>
            <w:r w:rsidRPr="00A83ED2">
              <w:rPr>
                <w:rFonts w:eastAsia="Calibri" w:cs="Times New Roman"/>
                <w:sz w:val="22"/>
              </w:rPr>
              <w:t xml:space="preserve">The partners mutually share, transfer or combine resources among partners and </w:t>
            </w:r>
            <w:r w:rsidRPr="00A83ED2">
              <w:rPr>
                <w:rFonts w:eastAsia="Calibri" w:cs="Times New Roman"/>
                <w:sz w:val="22"/>
                <w:lang w:val="en-GB"/>
              </w:rPr>
              <w:t>collectively managed the NPO.</w:t>
            </w:r>
          </w:p>
        </w:tc>
        <w:tc>
          <w:tcPr>
            <w:tcW w:w="5419" w:type="dxa"/>
            <w:shd w:val="clear" w:color="auto" w:fill="auto"/>
          </w:tcPr>
          <w:p w:rsidR="007739BD" w:rsidRPr="00A83ED2" w:rsidRDefault="007739BD" w:rsidP="007739BD">
            <w:pPr>
              <w:spacing w:after="0" w:line="480" w:lineRule="auto"/>
              <w:rPr>
                <w:rFonts w:eastAsia="Times New Roman" w:cs="Times New Roman"/>
                <w:sz w:val="22"/>
              </w:rPr>
            </w:pPr>
            <w:r w:rsidRPr="00A83ED2">
              <w:rPr>
                <w:rFonts w:eastAsia="Calibri" w:cs="Times New Roman"/>
                <w:sz w:val="22"/>
              </w:rPr>
              <w:t>Organizations establish an ongoing relationship through shared, transferred or combined resources. T</w:t>
            </w:r>
            <w:r w:rsidRPr="00A83ED2">
              <w:rPr>
                <w:rFonts w:eastAsia="Times New Roman" w:cs="Times New Roman"/>
                <w:sz w:val="22"/>
              </w:rPr>
              <w:t>his initiative is coordinated by the three federations (ARBH, LFH and VHL), which collaborate with the clubs.</w:t>
            </w:r>
          </w:p>
        </w:tc>
      </w:tr>
      <w:tr w:rsidR="007739BD" w:rsidRPr="00A83ED2" w:rsidTr="007739BD">
        <w:tc>
          <w:tcPr>
            <w:tcW w:w="2802" w:type="dxa"/>
            <w:shd w:val="clear" w:color="auto" w:fill="auto"/>
          </w:tcPr>
          <w:p w:rsidR="007739BD" w:rsidRPr="00A83ED2" w:rsidRDefault="007739BD" w:rsidP="007739BD">
            <w:pPr>
              <w:spacing w:after="0" w:line="480" w:lineRule="auto"/>
              <w:rPr>
                <w:rFonts w:eastAsia="Times New Roman" w:cs="Times New Roman"/>
                <w:b/>
                <w:i/>
                <w:sz w:val="22"/>
              </w:rPr>
            </w:pPr>
            <w:r w:rsidRPr="00A83ED2">
              <w:rPr>
                <w:rFonts w:eastAsia="Times New Roman" w:cs="Times New Roman"/>
                <w:b/>
                <w:i/>
                <w:sz w:val="22"/>
              </w:rPr>
              <w:t>Resources from Federation</w:t>
            </w:r>
          </w:p>
          <w:p w:rsidR="007739BD" w:rsidRPr="00A83ED2" w:rsidRDefault="007739BD" w:rsidP="007739BD">
            <w:pPr>
              <w:spacing w:after="0" w:line="480" w:lineRule="auto"/>
              <w:rPr>
                <w:rFonts w:eastAsia="Times New Roman" w:cs="Times New Roman"/>
                <w:b/>
                <w:i/>
                <w:sz w:val="22"/>
              </w:rPr>
            </w:pPr>
          </w:p>
        </w:tc>
        <w:tc>
          <w:tcPr>
            <w:tcW w:w="5953" w:type="dxa"/>
            <w:shd w:val="clear" w:color="auto" w:fill="auto"/>
          </w:tcPr>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Technical expertise and competences</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 xml:space="preserve">Network of partners </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lastRenderedPageBreak/>
              <w:t>Political skills</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Staff and volunteers</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Communication and learning platform</w:t>
            </w:r>
          </w:p>
        </w:tc>
        <w:tc>
          <w:tcPr>
            <w:tcW w:w="5419" w:type="dxa"/>
            <w:shd w:val="clear" w:color="auto" w:fill="auto"/>
          </w:tcPr>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lastRenderedPageBreak/>
              <w:t xml:space="preserve">Financial </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Staff, athletes and referees</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lastRenderedPageBreak/>
              <w:t xml:space="preserve">Communication and information sharing platform </w:t>
            </w:r>
          </w:p>
          <w:p w:rsidR="007739BD" w:rsidRPr="00A83ED2" w:rsidRDefault="007739BD" w:rsidP="007739BD">
            <w:pPr>
              <w:spacing w:after="0" w:line="480" w:lineRule="auto"/>
              <w:rPr>
                <w:rFonts w:eastAsia="Times New Roman" w:cs="Times New Roman"/>
                <w:sz w:val="22"/>
              </w:rPr>
            </w:pPr>
          </w:p>
        </w:tc>
      </w:tr>
      <w:tr w:rsidR="007739BD" w:rsidRPr="00A83ED2" w:rsidTr="007739BD">
        <w:tc>
          <w:tcPr>
            <w:tcW w:w="2802" w:type="dxa"/>
            <w:shd w:val="clear" w:color="auto" w:fill="auto"/>
          </w:tcPr>
          <w:p w:rsidR="007739BD" w:rsidRPr="00A83ED2" w:rsidRDefault="007739BD" w:rsidP="007739BD">
            <w:pPr>
              <w:spacing w:after="0" w:line="480" w:lineRule="auto"/>
              <w:rPr>
                <w:rFonts w:eastAsia="Times New Roman" w:cs="Times New Roman"/>
                <w:b/>
                <w:i/>
                <w:sz w:val="22"/>
              </w:rPr>
            </w:pPr>
            <w:r w:rsidRPr="00A83ED2">
              <w:rPr>
                <w:rFonts w:eastAsia="Times New Roman" w:cs="Times New Roman"/>
                <w:b/>
                <w:i/>
                <w:sz w:val="22"/>
              </w:rPr>
              <w:lastRenderedPageBreak/>
              <w:t>Resources from Clubs</w:t>
            </w:r>
          </w:p>
          <w:p w:rsidR="007739BD" w:rsidRPr="00A83ED2" w:rsidRDefault="007739BD" w:rsidP="007739BD">
            <w:pPr>
              <w:spacing w:after="0" w:line="480" w:lineRule="auto"/>
              <w:rPr>
                <w:rFonts w:eastAsia="Times New Roman" w:cs="Times New Roman"/>
                <w:b/>
                <w:i/>
                <w:sz w:val="22"/>
              </w:rPr>
            </w:pPr>
          </w:p>
        </w:tc>
        <w:tc>
          <w:tcPr>
            <w:tcW w:w="5953" w:type="dxa"/>
            <w:shd w:val="clear" w:color="auto" w:fill="auto"/>
          </w:tcPr>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Volunteers</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 xml:space="preserve">Infrastructures </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Geographical coverage</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Situated knowledge and expertise</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Local connection and beneficiaries access</w:t>
            </w:r>
          </w:p>
        </w:tc>
        <w:tc>
          <w:tcPr>
            <w:tcW w:w="5419" w:type="dxa"/>
            <w:shd w:val="clear" w:color="auto" w:fill="auto"/>
          </w:tcPr>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Volunteers</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Infrastructures</w:t>
            </w:r>
          </w:p>
          <w:p w:rsidR="007739BD" w:rsidRPr="00A83ED2" w:rsidRDefault="007739BD" w:rsidP="007739BD">
            <w:pPr>
              <w:numPr>
                <w:ilvl w:val="0"/>
                <w:numId w:val="40"/>
              </w:numPr>
              <w:spacing w:after="0" w:line="480" w:lineRule="auto"/>
              <w:ind w:left="174" w:hanging="174"/>
              <w:rPr>
                <w:rFonts w:eastAsia="Times New Roman" w:cs="Times New Roman"/>
                <w:sz w:val="22"/>
              </w:rPr>
            </w:pPr>
            <w:r w:rsidRPr="00A83ED2">
              <w:rPr>
                <w:rFonts w:eastAsia="Times New Roman" w:cs="Times New Roman"/>
                <w:sz w:val="22"/>
              </w:rPr>
              <w:t>Geographical coverage</w:t>
            </w:r>
          </w:p>
        </w:tc>
      </w:tr>
      <w:tr w:rsidR="007739BD" w:rsidRPr="00A83ED2" w:rsidTr="007739BD">
        <w:tc>
          <w:tcPr>
            <w:tcW w:w="2802" w:type="dxa"/>
            <w:shd w:val="clear" w:color="auto" w:fill="auto"/>
          </w:tcPr>
          <w:p w:rsidR="007739BD" w:rsidRPr="00A83ED2" w:rsidRDefault="007739BD" w:rsidP="007739BD">
            <w:pPr>
              <w:spacing w:after="0" w:line="480" w:lineRule="auto"/>
              <w:rPr>
                <w:rFonts w:eastAsia="Times New Roman" w:cs="Times New Roman"/>
                <w:b/>
                <w:i/>
                <w:sz w:val="22"/>
              </w:rPr>
            </w:pPr>
            <w:r w:rsidRPr="00A83ED2">
              <w:rPr>
                <w:rFonts w:eastAsia="Times New Roman" w:cs="Times New Roman"/>
                <w:b/>
                <w:i/>
                <w:sz w:val="22"/>
              </w:rPr>
              <w:t>Collaboration Evolution</w:t>
            </w:r>
          </w:p>
        </w:tc>
        <w:tc>
          <w:tcPr>
            <w:tcW w:w="5953" w:type="dxa"/>
            <w:shd w:val="clear" w:color="auto" w:fill="auto"/>
          </w:tcPr>
          <w:p w:rsidR="007739BD" w:rsidRPr="00A83ED2" w:rsidRDefault="007739BD" w:rsidP="007739BD">
            <w:pPr>
              <w:numPr>
                <w:ilvl w:val="0"/>
                <w:numId w:val="39"/>
              </w:numPr>
              <w:spacing w:after="0" w:line="480" w:lineRule="auto"/>
              <w:ind w:left="208" w:hanging="208"/>
              <w:contextualSpacing/>
              <w:rPr>
                <w:rFonts w:eastAsia="Calibri" w:cs="Times New Roman"/>
                <w:sz w:val="22"/>
              </w:rPr>
            </w:pPr>
            <w:r w:rsidRPr="00A83ED2">
              <w:rPr>
                <w:rFonts w:eastAsia="Calibri" w:cs="Times New Roman"/>
                <w:sz w:val="22"/>
              </w:rPr>
              <w:t>2009: HT initially started in one club</w:t>
            </w:r>
          </w:p>
          <w:p w:rsidR="007739BD" w:rsidRPr="00A83ED2" w:rsidRDefault="007739BD" w:rsidP="007739BD">
            <w:pPr>
              <w:numPr>
                <w:ilvl w:val="0"/>
                <w:numId w:val="39"/>
              </w:numPr>
              <w:spacing w:after="0" w:line="480" w:lineRule="auto"/>
              <w:ind w:left="208" w:hanging="208"/>
              <w:contextualSpacing/>
              <w:rPr>
                <w:rFonts w:eastAsia="Calibri" w:cs="Times New Roman"/>
                <w:sz w:val="22"/>
              </w:rPr>
            </w:pPr>
            <w:r w:rsidRPr="00A83ED2">
              <w:rPr>
                <w:rFonts w:eastAsia="Calibri" w:cs="Times New Roman"/>
                <w:sz w:val="22"/>
              </w:rPr>
              <w:t>2010: A second club joins the initiative</w:t>
            </w:r>
          </w:p>
          <w:p w:rsidR="007739BD" w:rsidRPr="00A83ED2" w:rsidRDefault="007739BD" w:rsidP="007739BD">
            <w:pPr>
              <w:numPr>
                <w:ilvl w:val="0"/>
                <w:numId w:val="39"/>
              </w:numPr>
              <w:spacing w:after="0" w:line="480" w:lineRule="auto"/>
              <w:ind w:left="208" w:hanging="208"/>
              <w:contextualSpacing/>
              <w:rPr>
                <w:rFonts w:eastAsia="Calibri" w:cs="Times New Roman"/>
                <w:sz w:val="22"/>
              </w:rPr>
            </w:pPr>
            <w:r w:rsidRPr="00A83ED2">
              <w:rPr>
                <w:rFonts w:eastAsia="Calibri" w:cs="Times New Roman"/>
                <w:sz w:val="22"/>
              </w:rPr>
              <w:t>2015: LFH supports the initiative</w:t>
            </w:r>
          </w:p>
          <w:p w:rsidR="007739BD" w:rsidRPr="00A83ED2" w:rsidRDefault="007739BD" w:rsidP="007739BD">
            <w:pPr>
              <w:numPr>
                <w:ilvl w:val="0"/>
                <w:numId w:val="39"/>
              </w:numPr>
              <w:spacing w:after="0" w:line="480" w:lineRule="auto"/>
              <w:ind w:left="208" w:hanging="208"/>
              <w:contextualSpacing/>
              <w:rPr>
                <w:rFonts w:eastAsia="Calibri" w:cs="Times New Roman"/>
                <w:sz w:val="22"/>
              </w:rPr>
            </w:pPr>
            <w:r w:rsidRPr="00A83ED2">
              <w:rPr>
                <w:rFonts w:eastAsia="Calibri" w:cs="Times New Roman"/>
                <w:sz w:val="22"/>
              </w:rPr>
              <w:t>2016: Collaboration convention between LFH and LHF; creation of Hockey Together</w:t>
            </w:r>
          </w:p>
          <w:p w:rsidR="007739BD" w:rsidRPr="00A83ED2" w:rsidRDefault="007739BD" w:rsidP="007739BD">
            <w:pPr>
              <w:numPr>
                <w:ilvl w:val="0"/>
                <w:numId w:val="39"/>
              </w:numPr>
              <w:spacing w:after="0" w:line="480" w:lineRule="auto"/>
              <w:ind w:left="208" w:hanging="208"/>
              <w:contextualSpacing/>
              <w:rPr>
                <w:rFonts w:eastAsia="Calibri" w:cs="Times New Roman"/>
                <w:sz w:val="22"/>
              </w:rPr>
            </w:pPr>
            <w:r w:rsidRPr="00A83ED2">
              <w:rPr>
                <w:rFonts w:eastAsia="Calibri" w:cs="Times New Roman"/>
                <w:sz w:val="22"/>
              </w:rPr>
              <w:t>2017: Public subsidies granted; Strategic guidelines developed by all the partners</w:t>
            </w:r>
          </w:p>
        </w:tc>
        <w:tc>
          <w:tcPr>
            <w:tcW w:w="5419" w:type="dxa"/>
            <w:shd w:val="clear" w:color="auto" w:fill="auto"/>
          </w:tcPr>
          <w:p w:rsidR="007739BD" w:rsidRPr="00A83ED2" w:rsidRDefault="007739BD" w:rsidP="007739BD">
            <w:pPr>
              <w:numPr>
                <w:ilvl w:val="0"/>
                <w:numId w:val="39"/>
              </w:numPr>
              <w:spacing w:after="0" w:line="480" w:lineRule="auto"/>
              <w:ind w:left="270" w:hanging="284"/>
              <w:rPr>
                <w:rFonts w:eastAsia="Times New Roman" w:cs="Times New Roman"/>
                <w:sz w:val="22"/>
              </w:rPr>
            </w:pPr>
            <w:r w:rsidRPr="00A83ED2">
              <w:rPr>
                <w:rFonts w:eastAsia="Times New Roman" w:cs="Times New Roman"/>
                <w:sz w:val="22"/>
              </w:rPr>
              <w:t>2014: Creation of the first initiative “We respect”</w:t>
            </w:r>
          </w:p>
          <w:p w:rsidR="007739BD" w:rsidRPr="00A83ED2" w:rsidRDefault="007739BD" w:rsidP="007739BD">
            <w:pPr>
              <w:numPr>
                <w:ilvl w:val="0"/>
                <w:numId w:val="39"/>
              </w:numPr>
              <w:spacing w:after="0" w:line="480" w:lineRule="auto"/>
              <w:ind w:left="270" w:hanging="284"/>
              <w:rPr>
                <w:rFonts w:eastAsia="Times New Roman" w:cs="Times New Roman"/>
                <w:sz w:val="22"/>
              </w:rPr>
            </w:pPr>
            <w:r w:rsidRPr="00A83ED2">
              <w:rPr>
                <w:rFonts w:eastAsia="Times New Roman" w:cs="Times New Roman"/>
                <w:sz w:val="22"/>
              </w:rPr>
              <w:t xml:space="preserve">2016: New initiative ‘STFP” launched by the LFH, with the support of ARBH and clubs; public and private subsidies granted </w:t>
            </w:r>
          </w:p>
          <w:p w:rsidR="007739BD" w:rsidRPr="00A83ED2" w:rsidRDefault="007739BD" w:rsidP="007739BD">
            <w:pPr>
              <w:numPr>
                <w:ilvl w:val="0"/>
                <w:numId w:val="39"/>
              </w:numPr>
              <w:spacing w:after="0" w:line="480" w:lineRule="auto"/>
              <w:ind w:left="270" w:hanging="284"/>
              <w:rPr>
                <w:rFonts w:eastAsia="Times New Roman" w:cs="Times New Roman"/>
                <w:sz w:val="22"/>
              </w:rPr>
            </w:pPr>
            <w:r w:rsidRPr="00A83ED2">
              <w:rPr>
                <w:rFonts w:eastAsia="Times New Roman" w:cs="Times New Roman"/>
                <w:sz w:val="22"/>
              </w:rPr>
              <w:t>2017 - 2018: Awareness campaign with national team athletes and with international referees</w:t>
            </w:r>
          </w:p>
        </w:tc>
      </w:tr>
    </w:tbl>
    <w:p w:rsidR="00A83ED2" w:rsidRPr="00A83ED2" w:rsidRDefault="00A83ED2" w:rsidP="007739BD">
      <w:pPr>
        <w:spacing w:line="480" w:lineRule="auto"/>
        <w:ind w:firstLine="709"/>
        <w:rPr>
          <w:rFonts w:eastAsia="Calibri" w:cs="Times New Roman"/>
          <w:b/>
          <w:szCs w:val="24"/>
        </w:rPr>
        <w:sectPr w:rsidR="00A83ED2" w:rsidRPr="00A83ED2" w:rsidSect="007739BD">
          <w:pgSz w:w="16838" w:h="11906" w:orient="landscape" w:code="9"/>
          <w:pgMar w:top="1440" w:right="1440" w:bottom="1440" w:left="1440" w:header="709" w:footer="709" w:gutter="0"/>
          <w:cols w:space="708"/>
          <w:titlePg/>
          <w:docGrid w:linePitch="360"/>
        </w:sectPr>
      </w:pPr>
    </w:p>
    <w:p w:rsidR="00A83ED2" w:rsidRPr="00A83ED2" w:rsidRDefault="00A83ED2" w:rsidP="007739BD">
      <w:pPr>
        <w:spacing w:line="480" w:lineRule="auto"/>
        <w:ind w:firstLine="709"/>
        <w:rPr>
          <w:rFonts w:eastAsia="Calibri" w:cs="Times New Roman"/>
          <w:b/>
          <w:szCs w:val="24"/>
        </w:rPr>
      </w:pPr>
      <w:r w:rsidRPr="00A83ED2">
        <w:rPr>
          <w:rFonts w:eastAsia="Calibri" w:cs="Times New Roman"/>
          <w:b/>
          <w:szCs w:val="24"/>
        </w:rPr>
        <w:lastRenderedPageBreak/>
        <w:t>Table 2. Outline of the data collection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3114"/>
        <w:gridCol w:w="3683"/>
      </w:tblGrid>
      <w:tr w:rsidR="00A83ED2" w:rsidRPr="00A83ED2" w:rsidTr="001E1BD8">
        <w:trPr>
          <w:trHeight w:val="283"/>
        </w:trPr>
        <w:tc>
          <w:tcPr>
            <w:tcW w:w="1250" w:type="pct"/>
            <w:shd w:val="clear" w:color="auto" w:fill="auto"/>
          </w:tcPr>
          <w:p w:rsidR="00A83ED2" w:rsidRPr="00A83ED2" w:rsidRDefault="00A83ED2" w:rsidP="007739BD">
            <w:pPr>
              <w:spacing w:after="0" w:line="480" w:lineRule="auto"/>
              <w:jc w:val="center"/>
              <w:rPr>
                <w:rFonts w:eastAsia="Times New Roman" w:cs="Times New Roman"/>
                <w:b/>
                <w:szCs w:val="24"/>
              </w:rPr>
            </w:pPr>
            <w:r w:rsidRPr="00A83ED2">
              <w:rPr>
                <w:rFonts w:eastAsia="Times New Roman" w:cs="Times New Roman"/>
                <w:b/>
                <w:szCs w:val="24"/>
              </w:rPr>
              <w:t>Organization</w:t>
            </w:r>
          </w:p>
        </w:tc>
        <w:tc>
          <w:tcPr>
            <w:tcW w:w="1718" w:type="pct"/>
            <w:shd w:val="clear" w:color="auto" w:fill="auto"/>
          </w:tcPr>
          <w:p w:rsidR="00A83ED2" w:rsidRPr="00A83ED2" w:rsidRDefault="00A83ED2" w:rsidP="007739BD">
            <w:pPr>
              <w:spacing w:after="0" w:line="480" w:lineRule="auto"/>
              <w:jc w:val="center"/>
              <w:rPr>
                <w:rFonts w:eastAsia="Times New Roman" w:cs="Times New Roman"/>
                <w:b/>
                <w:szCs w:val="24"/>
              </w:rPr>
            </w:pPr>
            <w:r w:rsidRPr="00A83ED2">
              <w:rPr>
                <w:rFonts w:eastAsia="Times New Roman" w:cs="Times New Roman"/>
                <w:b/>
                <w:szCs w:val="24"/>
              </w:rPr>
              <w:t>Representatives interviews</w:t>
            </w:r>
          </w:p>
        </w:tc>
        <w:tc>
          <w:tcPr>
            <w:tcW w:w="2032" w:type="pct"/>
            <w:shd w:val="clear" w:color="auto" w:fill="auto"/>
          </w:tcPr>
          <w:p w:rsidR="00A83ED2" w:rsidRPr="00A83ED2" w:rsidRDefault="00A83ED2" w:rsidP="007739BD">
            <w:pPr>
              <w:spacing w:after="0" w:line="480" w:lineRule="auto"/>
              <w:ind w:firstLine="709"/>
              <w:jc w:val="center"/>
              <w:rPr>
                <w:rFonts w:eastAsia="Times New Roman" w:cs="Times New Roman"/>
                <w:b/>
                <w:szCs w:val="24"/>
              </w:rPr>
            </w:pPr>
            <w:r w:rsidRPr="00A83ED2">
              <w:rPr>
                <w:rFonts w:eastAsia="Times New Roman" w:cs="Times New Roman"/>
                <w:b/>
                <w:szCs w:val="24"/>
              </w:rPr>
              <w:t>Documents</w:t>
            </w: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rPr>
                <w:rFonts w:eastAsia="Times New Roman" w:cs="Times New Roman"/>
                <w:i/>
                <w:szCs w:val="24"/>
              </w:rPr>
            </w:pPr>
            <w:r w:rsidRPr="00A83ED2">
              <w:rPr>
                <w:rFonts w:eastAsia="Times New Roman" w:cs="Times New Roman"/>
                <w:i/>
                <w:szCs w:val="24"/>
              </w:rPr>
              <w:t xml:space="preserve">Federation </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8 informants</w:t>
            </w:r>
          </w:p>
        </w:tc>
        <w:tc>
          <w:tcPr>
            <w:tcW w:w="2032" w:type="pct"/>
            <w:shd w:val="clear" w:color="auto" w:fill="auto"/>
          </w:tcPr>
          <w:p w:rsidR="00A83ED2" w:rsidRPr="00A83ED2" w:rsidRDefault="00A83ED2" w:rsidP="007739BD">
            <w:pPr>
              <w:spacing w:after="0" w:line="480" w:lineRule="auto"/>
              <w:ind w:firstLine="709"/>
              <w:rPr>
                <w:rFonts w:eastAsia="Times New Roman" w:cs="Times New Roman"/>
                <w:szCs w:val="24"/>
              </w:rPr>
            </w:pP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ind w:left="177"/>
              <w:rPr>
                <w:rFonts w:eastAsia="Times New Roman" w:cs="Times New Roman"/>
                <w:szCs w:val="24"/>
              </w:rPr>
            </w:pPr>
            <w:r w:rsidRPr="00A83ED2">
              <w:rPr>
                <w:rFonts w:eastAsia="Times New Roman" w:cs="Times New Roman"/>
                <w:szCs w:val="24"/>
              </w:rPr>
              <w:t>National Hockey</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President</w:t>
            </w:r>
          </w:p>
        </w:tc>
        <w:tc>
          <w:tcPr>
            <w:tcW w:w="2032" w:type="pct"/>
            <w:vMerge w:val="restar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Annual reports 2015; Strategic plan 2016-2020+; Websites; Press Releases</w:t>
            </w: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ind w:left="177"/>
              <w:rPr>
                <w:rFonts w:eastAsia="Times New Roman" w:cs="Times New Roman"/>
                <w:szCs w:val="24"/>
              </w:rPr>
            </w:pP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Secretary General</w:t>
            </w:r>
          </w:p>
        </w:tc>
        <w:tc>
          <w:tcPr>
            <w:tcW w:w="2032" w:type="pct"/>
            <w:vMerge/>
            <w:shd w:val="clear" w:color="auto" w:fill="auto"/>
            <w:vAlign w:val="center"/>
          </w:tcPr>
          <w:p w:rsidR="00A83ED2" w:rsidRPr="00A83ED2" w:rsidRDefault="00A83ED2" w:rsidP="007739BD">
            <w:pPr>
              <w:spacing w:after="0" w:line="480" w:lineRule="auto"/>
              <w:jc w:val="center"/>
              <w:rPr>
                <w:rFonts w:eastAsia="Times New Roman" w:cs="Times New Roman"/>
                <w:szCs w:val="24"/>
              </w:rPr>
            </w:pP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ind w:left="177"/>
              <w:rPr>
                <w:rFonts w:eastAsia="Times New Roman" w:cs="Times New Roman"/>
                <w:szCs w:val="24"/>
              </w:rPr>
            </w:pPr>
            <w:r w:rsidRPr="00A83ED2">
              <w:rPr>
                <w:rFonts w:eastAsia="Times New Roman" w:cs="Times New Roman"/>
                <w:szCs w:val="24"/>
              </w:rPr>
              <w:t>Regional Hockey</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Project Manager</w:t>
            </w:r>
          </w:p>
        </w:tc>
        <w:tc>
          <w:tcPr>
            <w:tcW w:w="2032" w:type="pct"/>
            <w:vMerge w:val="restar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Annual reports 2015-2016; Strategic plan 2014-2018; Partnership Convention; Websites; Press Releases</w:t>
            </w: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ind w:left="177"/>
              <w:rPr>
                <w:rFonts w:eastAsia="Times New Roman" w:cs="Times New Roman"/>
                <w:szCs w:val="24"/>
              </w:rPr>
            </w:pP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Project Manager</w:t>
            </w:r>
          </w:p>
        </w:tc>
        <w:tc>
          <w:tcPr>
            <w:tcW w:w="2032" w:type="pct"/>
            <w:vMerge/>
            <w:shd w:val="clear" w:color="auto" w:fill="auto"/>
            <w:vAlign w:val="center"/>
          </w:tcPr>
          <w:p w:rsidR="00A83ED2" w:rsidRPr="00A83ED2" w:rsidRDefault="00A83ED2" w:rsidP="007739BD">
            <w:pPr>
              <w:spacing w:after="0" w:line="480" w:lineRule="auto"/>
              <w:jc w:val="center"/>
              <w:rPr>
                <w:rFonts w:eastAsia="Times New Roman" w:cs="Times New Roman"/>
                <w:szCs w:val="24"/>
              </w:rPr>
            </w:pP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ind w:left="177"/>
              <w:rPr>
                <w:rFonts w:eastAsia="Times New Roman" w:cs="Times New Roman"/>
                <w:szCs w:val="24"/>
              </w:rPr>
            </w:pP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Secretary General</w:t>
            </w:r>
          </w:p>
        </w:tc>
        <w:tc>
          <w:tcPr>
            <w:tcW w:w="2032" w:type="pct"/>
            <w:vMerge/>
            <w:shd w:val="clear" w:color="auto" w:fill="auto"/>
            <w:vAlign w:val="center"/>
          </w:tcPr>
          <w:p w:rsidR="00A83ED2" w:rsidRPr="00A83ED2" w:rsidRDefault="00A83ED2" w:rsidP="007739BD">
            <w:pPr>
              <w:spacing w:after="0" w:line="480" w:lineRule="auto"/>
              <w:jc w:val="center"/>
              <w:rPr>
                <w:rFonts w:eastAsia="Times New Roman" w:cs="Times New Roman"/>
                <w:szCs w:val="24"/>
              </w:rPr>
            </w:pP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ind w:left="177"/>
              <w:rPr>
                <w:rFonts w:eastAsia="Times New Roman" w:cs="Times New Roman"/>
                <w:szCs w:val="24"/>
              </w:rPr>
            </w:pP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President</w:t>
            </w:r>
          </w:p>
        </w:tc>
        <w:tc>
          <w:tcPr>
            <w:tcW w:w="2032" w:type="pct"/>
            <w:vMerge/>
            <w:shd w:val="clear" w:color="auto" w:fill="auto"/>
            <w:vAlign w:val="center"/>
          </w:tcPr>
          <w:p w:rsidR="00A83ED2" w:rsidRPr="00A83ED2" w:rsidRDefault="00A83ED2" w:rsidP="007739BD">
            <w:pPr>
              <w:spacing w:after="0" w:line="480" w:lineRule="auto"/>
              <w:jc w:val="center"/>
              <w:rPr>
                <w:rFonts w:eastAsia="Times New Roman" w:cs="Times New Roman"/>
                <w:szCs w:val="24"/>
              </w:rPr>
            </w:pP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ind w:left="177"/>
              <w:rPr>
                <w:rFonts w:eastAsia="Times New Roman" w:cs="Times New Roman"/>
                <w:szCs w:val="24"/>
              </w:rPr>
            </w:pP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Board member</w:t>
            </w:r>
          </w:p>
        </w:tc>
        <w:tc>
          <w:tcPr>
            <w:tcW w:w="2032" w:type="pct"/>
            <w:vMerge/>
            <w:shd w:val="clear" w:color="auto" w:fill="auto"/>
            <w:vAlign w:val="center"/>
          </w:tcPr>
          <w:p w:rsidR="00A83ED2" w:rsidRPr="00A83ED2" w:rsidRDefault="00A83ED2" w:rsidP="007739BD">
            <w:pPr>
              <w:spacing w:after="0" w:line="480" w:lineRule="auto"/>
              <w:jc w:val="center"/>
              <w:rPr>
                <w:rFonts w:eastAsia="Times New Roman" w:cs="Times New Roman"/>
                <w:szCs w:val="24"/>
              </w:rPr>
            </w:pP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ind w:left="177"/>
              <w:rPr>
                <w:rFonts w:eastAsia="Times New Roman" w:cs="Times New Roman"/>
                <w:szCs w:val="24"/>
              </w:rPr>
            </w:pPr>
            <w:r w:rsidRPr="00A83ED2">
              <w:rPr>
                <w:rFonts w:eastAsia="Times New Roman" w:cs="Times New Roman"/>
                <w:szCs w:val="24"/>
              </w:rPr>
              <w:t xml:space="preserve">Regional Disabled </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Secretary General</w:t>
            </w:r>
          </w:p>
        </w:tc>
        <w:tc>
          <w:tcPr>
            <w:tcW w:w="2032"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Strategic plan 2015-2020; Websites and Facebook</w:t>
            </w:r>
          </w:p>
        </w:tc>
      </w:tr>
      <w:tr w:rsidR="00A83ED2" w:rsidRPr="00A83ED2" w:rsidTr="001E1BD8">
        <w:trPr>
          <w:trHeight w:val="283"/>
        </w:trPr>
        <w:tc>
          <w:tcPr>
            <w:tcW w:w="1250" w:type="pct"/>
            <w:shd w:val="clear" w:color="auto" w:fill="auto"/>
          </w:tcPr>
          <w:p w:rsidR="00A83ED2" w:rsidRPr="00A83ED2" w:rsidRDefault="00A83ED2" w:rsidP="007739BD">
            <w:pPr>
              <w:spacing w:after="0" w:line="480" w:lineRule="auto"/>
              <w:rPr>
                <w:rFonts w:eastAsia="Times New Roman" w:cs="Times New Roman"/>
                <w:i/>
                <w:szCs w:val="24"/>
              </w:rPr>
            </w:pPr>
            <w:r w:rsidRPr="00A83ED2">
              <w:rPr>
                <w:rFonts w:eastAsia="Times New Roman" w:cs="Times New Roman"/>
                <w:i/>
                <w:szCs w:val="24"/>
              </w:rPr>
              <w:t>Hockey clubs</w:t>
            </w:r>
          </w:p>
        </w:tc>
        <w:tc>
          <w:tcPr>
            <w:tcW w:w="1718" w:type="pct"/>
            <w:shd w:val="clear" w:color="auto" w:fill="auto"/>
          </w:tcPr>
          <w:p w:rsidR="00A83ED2" w:rsidRPr="00A83ED2" w:rsidRDefault="00A83ED2" w:rsidP="007739BD">
            <w:pPr>
              <w:spacing w:after="0" w:line="480" w:lineRule="auto"/>
              <w:ind w:firstLine="709"/>
              <w:rPr>
                <w:rFonts w:eastAsia="Times New Roman" w:cs="Times New Roman"/>
                <w:szCs w:val="24"/>
              </w:rPr>
            </w:pPr>
            <w:r w:rsidRPr="00A83ED2">
              <w:rPr>
                <w:rFonts w:eastAsia="Times New Roman" w:cs="Times New Roman"/>
                <w:szCs w:val="24"/>
              </w:rPr>
              <w:t xml:space="preserve">8 informants </w:t>
            </w:r>
          </w:p>
        </w:tc>
        <w:tc>
          <w:tcPr>
            <w:tcW w:w="2032" w:type="pct"/>
            <w:shd w:val="clear" w:color="auto" w:fill="auto"/>
            <w:vAlign w:val="center"/>
          </w:tcPr>
          <w:p w:rsidR="00A83ED2" w:rsidRPr="00A83ED2" w:rsidRDefault="00A83ED2" w:rsidP="007739BD">
            <w:pPr>
              <w:spacing w:after="0" w:line="480" w:lineRule="auto"/>
              <w:ind w:firstLine="709"/>
              <w:jc w:val="center"/>
              <w:rPr>
                <w:rFonts w:eastAsia="Times New Roman" w:cs="Times New Roman"/>
                <w:szCs w:val="24"/>
              </w:rPr>
            </w:pPr>
          </w:p>
        </w:tc>
      </w:tr>
      <w:tr w:rsidR="00A83ED2" w:rsidRPr="00A83ED2" w:rsidTr="001E1BD8">
        <w:trPr>
          <w:trHeight w:val="283"/>
        </w:trPr>
        <w:tc>
          <w:tcPr>
            <w:tcW w:w="1250" w:type="pct"/>
            <w:shd w:val="clear" w:color="auto" w:fill="auto"/>
            <w:vAlign w:val="center"/>
          </w:tcPr>
          <w:p w:rsidR="00A83ED2" w:rsidRPr="00A83ED2" w:rsidRDefault="00A83ED2" w:rsidP="007739BD">
            <w:pPr>
              <w:spacing w:after="0" w:line="480" w:lineRule="auto"/>
              <w:ind w:firstLine="142"/>
              <w:jc w:val="center"/>
              <w:rPr>
                <w:rFonts w:eastAsia="Times New Roman" w:cs="Times New Roman"/>
                <w:szCs w:val="24"/>
              </w:rPr>
            </w:pPr>
            <w:r w:rsidRPr="00A83ED2">
              <w:rPr>
                <w:rFonts w:eastAsia="Times New Roman" w:cs="Times New Roman"/>
                <w:szCs w:val="24"/>
              </w:rPr>
              <w:t>Club 1</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Past-President</w:t>
            </w:r>
          </w:p>
        </w:tc>
        <w:tc>
          <w:tcPr>
            <w:tcW w:w="2032" w:type="pct"/>
            <w:vMerge w:val="restar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Websites, Partnership Convention; Newspapers, Facebook</w:t>
            </w:r>
          </w:p>
        </w:tc>
      </w:tr>
      <w:tr w:rsidR="00A83ED2" w:rsidRPr="00A83ED2" w:rsidTr="001E1BD8">
        <w:trPr>
          <w:trHeight w:val="66"/>
        </w:trPr>
        <w:tc>
          <w:tcPr>
            <w:tcW w:w="1250" w:type="pct"/>
            <w:shd w:val="clear" w:color="auto" w:fill="auto"/>
            <w:vAlign w:val="center"/>
          </w:tcPr>
          <w:p w:rsidR="00A83ED2" w:rsidRPr="00A83ED2" w:rsidRDefault="00A83ED2" w:rsidP="007739BD">
            <w:pPr>
              <w:spacing w:after="0" w:line="480" w:lineRule="auto"/>
              <w:ind w:firstLine="142"/>
              <w:jc w:val="center"/>
              <w:rPr>
                <w:rFonts w:eastAsia="Times New Roman" w:cs="Times New Roman"/>
                <w:szCs w:val="24"/>
              </w:rPr>
            </w:pP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Sport manager</w:t>
            </w:r>
          </w:p>
        </w:tc>
        <w:tc>
          <w:tcPr>
            <w:tcW w:w="2032" w:type="pct"/>
            <w:vMerge/>
            <w:shd w:val="clear" w:color="auto" w:fill="auto"/>
            <w:vAlign w:val="center"/>
          </w:tcPr>
          <w:p w:rsidR="00A83ED2" w:rsidRPr="00A83ED2" w:rsidRDefault="00A83ED2" w:rsidP="007739BD">
            <w:pPr>
              <w:spacing w:after="0" w:line="480" w:lineRule="auto"/>
              <w:jc w:val="center"/>
              <w:rPr>
                <w:rFonts w:eastAsia="Times New Roman" w:cs="Times New Roman"/>
                <w:szCs w:val="24"/>
              </w:rPr>
            </w:pPr>
          </w:p>
        </w:tc>
      </w:tr>
      <w:tr w:rsidR="00A83ED2" w:rsidRPr="00A83ED2" w:rsidTr="001E1BD8">
        <w:trPr>
          <w:trHeight w:val="283"/>
        </w:trPr>
        <w:tc>
          <w:tcPr>
            <w:tcW w:w="1250" w:type="pct"/>
            <w:shd w:val="clear" w:color="auto" w:fill="auto"/>
            <w:vAlign w:val="center"/>
          </w:tcPr>
          <w:p w:rsidR="00A83ED2" w:rsidRPr="00A83ED2" w:rsidRDefault="00A83ED2" w:rsidP="007739BD">
            <w:pPr>
              <w:spacing w:after="0" w:line="480" w:lineRule="auto"/>
              <w:ind w:firstLine="142"/>
              <w:jc w:val="center"/>
              <w:rPr>
                <w:rFonts w:eastAsia="Times New Roman" w:cs="Times New Roman"/>
                <w:szCs w:val="24"/>
              </w:rPr>
            </w:pPr>
            <w:r w:rsidRPr="00A83ED2">
              <w:rPr>
                <w:rFonts w:eastAsia="Times New Roman" w:cs="Times New Roman"/>
                <w:szCs w:val="24"/>
              </w:rPr>
              <w:t>Club 2</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President</w:t>
            </w:r>
          </w:p>
        </w:tc>
        <w:tc>
          <w:tcPr>
            <w:tcW w:w="2032"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Websites and Facebook</w:t>
            </w:r>
          </w:p>
        </w:tc>
      </w:tr>
      <w:tr w:rsidR="00A83ED2" w:rsidRPr="00A83ED2" w:rsidTr="001E1BD8">
        <w:trPr>
          <w:trHeight w:val="283"/>
        </w:trPr>
        <w:tc>
          <w:tcPr>
            <w:tcW w:w="1250" w:type="pct"/>
            <w:shd w:val="clear" w:color="auto" w:fill="auto"/>
            <w:vAlign w:val="center"/>
          </w:tcPr>
          <w:p w:rsidR="00A83ED2" w:rsidRPr="00A83ED2" w:rsidRDefault="00A83ED2" w:rsidP="007739BD">
            <w:pPr>
              <w:spacing w:after="0" w:line="480" w:lineRule="auto"/>
              <w:ind w:firstLine="142"/>
              <w:jc w:val="center"/>
              <w:rPr>
                <w:rFonts w:eastAsia="Times New Roman" w:cs="Times New Roman"/>
                <w:szCs w:val="24"/>
              </w:rPr>
            </w:pPr>
            <w:r w:rsidRPr="00A83ED2">
              <w:rPr>
                <w:rFonts w:eastAsia="Times New Roman" w:cs="Times New Roman"/>
                <w:szCs w:val="24"/>
              </w:rPr>
              <w:t>Club 3</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President</w:t>
            </w:r>
          </w:p>
        </w:tc>
        <w:tc>
          <w:tcPr>
            <w:tcW w:w="2032" w:type="pct"/>
            <w:vMerge w:val="restar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Websites and Facebook</w:t>
            </w:r>
          </w:p>
        </w:tc>
      </w:tr>
      <w:tr w:rsidR="00A83ED2" w:rsidRPr="00A83ED2" w:rsidTr="001E1BD8">
        <w:trPr>
          <w:trHeight w:val="283"/>
        </w:trPr>
        <w:tc>
          <w:tcPr>
            <w:tcW w:w="1250" w:type="pct"/>
            <w:shd w:val="clear" w:color="auto" w:fill="auto"/>
            <w:vAlign w:val="center"/>
          </w:tcPr>
          <w:p w:rsidR="00A83ED2" w:rsidRPr="00A83ED2" w:rsidRDefault="00A83ED2" w:rsidP="007739BD">
            <w:pPr>
              <w:spacing w:after="0" w:line="480" w:lineRule="auto"/>
              <w:ind w:firstLine="142"/>
              <w:jc w:val="center"/>
              <w:rPr>
                <w:rFonts w:eastAsia="Times New Roman" w:cs="Times New Roman"/>
                <w:szCs w:val="24"/>
              </w:rPr>
            </w:pP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Sport Manager</w:t>
            </w:r>
          </w:p>
        </w:tc>
        <w:tc>
          <w:tcPr>
            <w:tcW w:w="2032" w:type="pct"/>
            <w:vMerge/>
            <w:shd w:val="clear" w:color="auto" w:fill="auto"/>
            <w:vAlign w:val="center"/>
          </w:tcPr>
          <w:p w:rsidR="00A83ED2" w:rsidRPr="00A83ED2" w:rsidRDefault="00A83ED2" w:rsidP="007739BD">
            <w:pPr>
              <w:spacing w:after="0" w:line="480" w:lineRule="auto"/>
              <w:jc w:val="center"/>
              <w:rPr>
                <w:rFonts w:eastAsia="Times New Roman" w:cs="Times New Roman"/>
                <w:szCs w:val="24"/>
              </w:rPr>
            </w:pPr>
          </w:p>
        </w:tc>
      </w:tr>
      <w:tr w:rsidR="00A83ED2" w:rsidRPr="00A83ED2" w:rsidTr="001E1BD8">
        <w:trPr>
          <w:trHeight w:val="283"/>
        </w:trPr>
        <w:tc>
          <w:tcPr>
            <w:tcW w:w="1250" w:type="pct"/>
            <w:shd w:val="clear" w:color="auto" w:fill="auto"/>
            <w:vAlign w:val="center"/>
          </w:tcPr>
          <w:p w:rsidR="00A83ED2" w:rsidRPr="00A83ED2" w:rsidRDefault="00A83ED2" w:rsidP="007739BD">
            <w:pPr>
              <w:spacing w:after="0" w:line="480" w:lineRule="auto"/>
              <w:ind w:firstLine="142"/>
              <w:jc w:val="center"/>
              <w:rPr>
                <w:rFonts w:eastAsia="Times New Roman" w:cs="Times New Roman"/>
                <w:szCs w:val="24"/>
              </w:rPr>
            </w:pPr>
            <w:r w:rsidRPr="00A83ED2">
              <w:rPr>
                <w:rFonts w:eastAsia="Times New Roman" w:cs="Times New Roman"/>
                <w:szCs w:val="24"/>
              </w:rPr>
              <w:t>Club 4</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Social Manager</w:t>
            </w:r>
          </w:p>
        </w:tc>
        <w:tc>
          <w:tcPr>
            <w:tcW w:w="2032"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Websites and Facebook</w:t>
            </w:r>
          </w:p>
        </w:tc>
      </w:tr>
      <w:tr w:rsidR="00A83ED2" w:rsidRPr="00A83ED2" w:rsidTr="001E1BD8">
        <w:trPr>
          <w:trHeight w:val="283"/>
        </w:trPr>
        <w:tc>
          <w:tcPr>
            <w:tcW w:w="1250" w:type="pct"/>
            <w:shd w:val="clear" w:color="auto" w:fill="auto"/>
            <w:vAlign w:val="center"/>
          </w:tcPr>
          <w:p w:rsidR="00A83ED2" w:rsidRPr="00A83ED2" w:rsidRDefault="00A83ED2" w:rsidP="007739BD">
            <w:pPr>
              <w:spacing w:after="0" w:line="480" w:lineRule="auto"/>
              <w:ind w:firstLine="142"/>
              <w:jc w:val="center"/>
              <w:rPr>
                <w:rFonts w:eastAsia="Times New Roman" w:cs="Times New Roman"/>
                <w:szCs w:val="24"/>
              </w:rPr>
            </w:pPr>
            <w:r w:rsidRPr="00A83ED2">
              <w:rPr>
                <w:rFonts w:eastAsia="Times New Roman" w:cs="Times New Roman"/>
                <w:szCs w:val="24"/>
              </w:rPr>
              <w:t>Club 5</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Vice-President</w:t>
            </w:r>
          </w:p>
        </w:tc>
        <w:tc>
          <w:tcPr>
            <w:tcW w:w="2032" w:type="pct"/>
            <w:shd w:val="clear" w:color="auto" w:fill="auto"/>
            <w:vAlign w:val="center"/>
          </w:tcPr>
          <w:p w:rsidR="00A83ED2" w:rsidRPr="00A83ED2" w:rsidRDefault="00A83ED2" w:rsidP="007739BD">
            <w:pPr>
              <w:spacing w:after="0" w:line="480" w:lineRule="auto"/>
              <w:ind w:firstLine="709"/>
              <w:rPr>
                <w:rFonts w:eastAsia="Times New Roman" w:cs="Times New Roman"/>
                <w:szCs w:val="24"/>
              </w:rPr>
            </w:pPr>
            <w:r w:rsidRPr="00A83ED2">
              <w:rPr>
                <w:rFonts w:eastAsia="Times New Roman" w:cs="Times New Roman"/>
                <w:szCs w:val="24"/>
              </w:rPr>
              <w:t>Websites and Facebook</w:t>
            </w:r>
          </w:p>
        </w:tc>
      </w:tr>
      <w:tr w:rsidR="00A83ED2" w:rsidRPr="00A83ED2" w:rsidTr="001E1BD8">
        <w:trPr>
          <w:trHeight w:val="283"/>
        </w:trPr>
        <w:tc>
          <w:tcPr>
            <w:tcW w:w="1250" w:type="pct"/>
            <w:shd w:val="clear" w:color="auto" w:fill="auto"/>
            <w:vAlign w:val="center"/>
          </w:tcPr>
          <w:p w:rsidR="00A83ED2" w:rsidRPr="00A83ED2" w:rsidRDefault="00A83ED2" w:rsidP="007739BD">
            <w:pPr>
              <w:spacing w:after="0" w:line="480" w:lineRule="auto"/>
              <w:ind w:firstLine="142"/>
              <w:jc w:val="center"/>
              <w:rPr>
                <w:rFonts w:eastAsia="Times New Roman" w:cs="Times New Roman"/>
                <w:szCs w:val="24"/>
              </w:rPr>
            </w:pPr>
            <w:r w:rsidRPr="00A83ED2">
              <w:rPr>
                <w:rFonts w:eastAsia="Times New Roman" w:cs="Times New Roman"/>
                <w:szCs w:val="24"/>
              </w:rPr>
              <w:t>Club 6</w:t>
            </w:r>
          </w:p>
        </w:tc>
        <w:tc>
          <w:tcPr>
            <w:tcW w:w="1718" w:type="pct"/>
            <w:shd w:val="clear" w:color="auto" w:fill="auto"/>
            <w:vAlign w:val="center"/>
          </w:tcPr>
          <w:p w:rsidR="00A83ED2" w:rsidRPr="00A83ED2" w:rsidRDefault="00A83ED2" w:rsidP="007739BD">
            <w:pPr>
              <w:spacing w:after="0" w:line="480" w:lineRule="auto"/>
              <w:jc w:val="center"/>
              <w:rPr>
                <w:rFonts w:eastAsia="Times New Roman" w:cs="Times New Roman"/>
                <w:szCs w:val="24"/>
              </w:rPr>
            </w:pPr>
            <w:r w:rsidRPr="00A83ED2">
              <w:rPr>
                <w:rFonts w:eastAsia="Times New Roman" w:cs="Times New Roman"/>
                <w:szCs w:val="24"/>
              </w:rPr>
              <w:t>Vice-President</w:t>
            </w:r>
          </w:p>
        </w:tc>
        <w:tc>
          <w:tcPr>
            <w:tcW w:w="2032" w:type="pct"/>
            <w:shd w:val="clear" w:color="auto" w:fill="auto"/>
            <w:vAlign w:val="center"/>
          </w:tcPr>
          <w:p w:rsidR="00A83ED2" w:rsidRPr="00A83ED2" w:rsidRDefault="00A83ED2" w:rsidP="007739BD">
            <w:pPr>
              <w:spacing w:after="0" w:line="480" w:lineRule="auto"/>
              <w:ind w:firstLine="709"/>
              <w:rPr>
                <w:rFonts w:eastAsia="Times New Roman" w:cs="Times New Roman"/>
                <w:szCs w:val="24"/>
              </w:rPr>
            </w:pPr>
            <w:r w:rsidRPr="00A83ED2">
              <w:rPr>
                <w:rFonts w:eastAsia="Times New Roman" w:cs="Times New Roman"/>
                <w:szCs w:val="24"/>
              </w:rPr>
              <w:t>Websites and Facebook</w:t>
            </w:r>
          </w:p>
        </w:tc>
      </w:tr>
    </w:tbl>
    <w:p w:rsidR="00A83ED2" w:rsidRPr="00A83ED2" w:rsidRDefault="00A83ED2" w:rsidP="007739BD">
      <w:pPr>
        <w:spacing w:after="0" w:line="480" w:lineRule="auto"/>
        <w:ind w:firstLine="709"/>
        <w:rPr>
          <w:rFonts w:eastAsia="Calibri" w:cs="Times New Roman"/>
          <w:b/>
          <w:szCs w:val="24"/>
        </w:rPr>
      </w:pPr>
    </w:p>
    <w:p w:rsidR="00A83ED2" w:rsidRPr="007739BD" w:rsidRDefault="00A83ED2" w:rsidP="007739BD">
      <w:pPr>
        <w:spacing w:after="0" w:line="480" w:lineRule="auto"/>
        <w:ind w:firstLine="709"/>
        <w:rPr>
          <w:rFonts w:eastAsia="Times New Roman" w:cs="Times New Roman"/>
          <w:b/>
          <w:szCs w:val="24"/>
        </w:rPr>
      </w:pPr>
      <w:r w:rsidRPr="00A83ED2">
        <w:rPr>
          <w:rFonts w:eastAsia="Times New Roman" w:cs="Times New Roman"/>
          <w:b/>
          <w:szCs w:val="24"/>
        </w:rPr>
        <w:t xml:space="preserve"> </w:t>
      </w:r>
    </w:p>
    <w:p w:rsidR="00107C64" w:rsidRPr="003662DF" w:rsidRDefault="00107C64" w:rsidP="007739BD">
      <w:pPr>
        <w:spacing w:line="480" w:lineRule="auto"/>
        <w:rPr>
          <w:rFonts w:eastAsia="Calibri" w:cs="Times New Roman"/>
          <w:szCs w:val="24"/>
        </w:rPr>
      </w:pPr>
    </w:p>
    <w:sectPr w:rsidR="00107C64" w:rsidRPr="003662DF" w:rsidSect="004B74F7">
      <w:headerReference w:type="default" r:id="rId12"/>
      <w:footerReference w:type="default" r:id="rId13"/>
      <w:head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4650" w:rsidRDefault="00B44650" w:rsidP="003662DF">
      <w:pPr>
        <w:spacing w:after="0" w:line="240" w:lineRule="auto"/>
      </w:pPr>
      <w:r>
        <w:separator/>
      </w:r>
    </w:p>
  </w:endnote>
  <w:endnote w:type="continuationSeparator" w:id="0">
    <w:p w:rsidR="00B44650" w:rsidRDefault="00B44650" w:rsidP="003662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NybkdqAdvPTimes">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MS Gothic"/>
    <w:panose1 w:val="00000000000000000000"/>
    <w:charset w:val="00"/>
    <w:family w:val="roman"/>
    <w:notTrueType/>
    <w:pitch w:val="default"/>
    <w:sig w:usb0="00000003" w:usb1="00000000" w:usb2="00000000" w:usb3="00000000" w:csb0="00000003" w:csb1="00000000"/>
  </w:font>
  <w:font w:name="Times-Roman">
    <w:altName w:val="MS Gothic"/>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3ED2" w:rsidRDefault="00A83ED2">
    <w:pPr>
      <w:pStyle w:val="Pieddepage"/>
      <w:jc w:val="right"/>
    </w:pPr>
    <w:r>
      <w:fldChar w:fldCharType="begin"/>
    </w:r>
    <w:r>
      <w:instrText>PAGE   \* MERGEFORMAT</w:instrText>
    </w:r>
    <w:r>
      <w:fldChar w:fldCharType="separate"/>
    </w:r>
    <w:r w:rsidR="003F04B1" w:rsidRPr="003F04B1">
      <w:rPr>
        <w:noProof/>
        <w:lang w:val="fr-FR"/>
      </w:rPr>
      <w:t>4</w:t>
    </w:r>
    <w:r>
      <w:fldChar w:fldCharType="end"/>
    </w:r>
  </w:p>
  <w:p w:rsidR="00A83ED2" w:rsidRDefault="00A83ED2">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E2C" w:rsidRDefault="004C73AA">
    <w:pPr>
      <w:pStyle w:val="Pieddepage"/>
      <w:jc w:val="right"/>
    </w:pPr>
    <w:r>
      <w:fldChar w:fldCharType="begin"/>
    </w:r>
    <w:r>
      <w:instrText>PAGE   \* MERGEFORMAT</w:instrText>
    </w:r>
    <w:r>
      <w:fldChar w:fldCharType="separate"/>
    </w:r>
    <w:r w:rsidR="007739BD" w:rsidRPr="007739BD">
      <w:rPr>
        <w:noProof/>
        <w:lang w:val="fr-FR"/>
      </w:rPr>
      <w:t>43</w:t>
    </w:r>
    <w:r>
      <w:fldChar w:fldCharType="end"/>
    </w:r>
  </w:p>
  <w:p w:rsidR="00916E2C" w:rsidRDefault="00B4465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4650" w:rsidRDefault="00B44650" w:rsidP="003662DF">
      <w:pPr>
        <w:spacing w:after="0" w:line="240" w:lineRule="auto"/>
      </w:pPr>
      <w:r>
        <w:separator/>
      </w:r>
    </w:p>
  </w:footnote>
  <w:footnote w:type="continuationSeparator" w:id="0">
    <w:p w:rsidR="00B44650" w:rsidRDefault="00B44650" w:rsidP="003662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6EB" w:rsidRPr="003662DF" w:rsidRDefault="004C73AA">
    <w:pPr>
      <w:pStyle w:val="En-tte"/>
      <w:rPr>
        <w:rFonts w:ascii="Times New Roman" w:hAnsi="Times New Roman"/>
        <w:lang w:val="fr-BE"/>
      </w:rPr>
    </w:pPr>
    <w:r w:rsidRPr="003662DF">
      <w:rPr>
        <w:rFonts w:ascii="Times New Roman" w:hAnsi="Times New Roman"/>
        <w:lang w:val="fr-BE"/>
      </w:rPr>
      <w:t>COLLABORATIONS FOR SOCIAL RESPONSIBILITY</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6EB" w:rsidRPr="003662DF" w:rsidRDefault="004C73AA" w:rsidP="004B74F7">
    <w:pPr>
      <w:pStyle w:val="En-tte"/>
      <w:rPr>
        <w:rFonts w:ascii="Times New Roman" w:hAnsi="Times New Roman"/>
        <w:lang w:val="en-US"/>
      </w:rPr>
    </w:pPr>
    <w:r w:rsidRPr="003662DF">
      <w:rPr>
        <w:rFonts w:ascii="Times New Roman" w:hAnsi="Times New Roman"/>
        <w:lang w:val="en-US"/>
      </w:rPr>
      <w:t>Running Head: COLLABORATIONS FOR SOCIAL RESPONSIBILITY</w:t>
    </w:r>
  </w:p>
  <w:p w:rsidR="005526EB" w:rsidRDefault="00B44650" w:rsidP="004B74F7">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A2476"/>
    <w:multiLevelType w:val="multilevel"/>
    <w:tmpl w:val="F9782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8A12067"/>
    <w:multiLevelType w:val="hybridMultilevel"/>
    <w:tmpl w:val="9F4CC6DE"/>
    <w:lvl w:ilvl="0" w:tplc="080C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201D07"/>
    <w:multiLevelType w:val="hybridMultilevel"/>
    <w:tmpl w:val="AF26C628"/>
    <w:lvl w:ilvl="0" w:tplc="080C0017">
      <w:start w:val="1"/>
      <w:numFmt w:val="lowerLetter"/>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1B315996"/>
    <w:multiLevelType w:val="hybridMultilevel"/>
    <w:tmpl w:val="EF80885C"/>
    <w:lvl w:ilvl="0" w:tplc="B61005E2">
      <w:start w:val="1"/>
      <w:numFmt w:val="bullet"/>
      <w:lvlText w:val=""/>
      <w:lvlJc w:val="left"/>
      <w:pPr>
        <w:ind w:left="720" w:hanging="360"/>
      </w:pPr>
      <w:rPr>
        <w:rFonts w:ascii="Wingdings" w:eastAsia="Calibri" w:hAnsi="Wingdings"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E868F1"/>
    <w:multiLevelType w:val="hybridMultilevel"/>
    <w:tmpl w:val="131C61BC"/>
    <w:lvl w:ilvl="0" w:tplc="770C7A66">
      <w:start w:val="1"/>
      <w:numFmt w:val="bullet"/>
      <w:lvlText w:val="-"/>
      <w:lvlJc w:val="left"/>
      <w:pPr>
        <w:ind w:left="1080" w:hanging="360"/>
      </w:pPr>
      <w:rPr>
        <w:rFonts w:ascii="Times New Roman" w:eastAsia="Times New Roman" w:hAnsi="Times New Roman" w:cs="Times New Roman"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7260B0A"/>
    <w:multiLevelType w:val="hybridMultilevel"/>
    <w:tmpl w:val="1890CC56"/>
    <w:lvl w:ilvl="0" w:tplc="7FAA10C6">
      <w:start w:val="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3E1CF8"/>
    <w:multiLevelType w:val="hybridMultilevel"/>
    <w:tmpl w:val="88606A44"/>
    <w:lvl w:ilvl="0" w:tplc="AE34815E">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5A172C"/>
    <w:multiLevelType w:val="hybridMultilevel"/>
    <w:tmpl w:val="887EE28A"/>
    <w:lvl w:ilvl="0" w:tplc="18364BE8">
      <w:start w:val="1"/>
      <w:numFmt w:val="bullet"/>
      <w:lvlText w:val="-"/>
      <w:lvlJc w:val="left"/>
      <w:pPr>
        <w:ind w:left="1080" w:hanging="360"/>
      </w:pPr>
      <w:rPr>
        <w:rFonts w:ascii="Times New Roman" w:eastAsia="Times New Roman" w:hAnsi="Times New Roman" w:cs="Times New Roman"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C4F7BE9"/>
    <w:multiLevelType w:val="hybridMultilevel"/>
    <w:tmpl w:val="C982177E"/>
    <w:lvl w:ilvl="0" w:tplc="094E61D0">
      <w:start w:val="1"/>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9" w15:restartNumberingAfterBreak="0">
    <w:nsid w:val="2CC25907"/>
    <w:multiLevelType w:val="hybridMultilevel"/>
    <w:tmpl w:val="D84EBE3E"/>
    <w:lvl w:ilvl="0" w:tplc="420E7436">
      <w:start w:val="1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DD627E0"/>
    <w:multiLevelType w:val="hybridMultilevel"/>
    <w:tmpl w:val="0114AB9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30B84580"/>
    <w:multiLevelType w:val="hybridMultilevel"/>
    <w:tmpl w:val="A7BEB92E"/>
    <w:lvl w:ilvl="0" w:tplc="07EADA2E">
      <w:start w:val="1"/>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30D51767"/>
    <w:multiLevelType w:val="hybridMultilevel"/>
    <w:tmpl w:val="29921A82"/>
    <w:lvl w:ilvl="0" w:tplc="64406E76">
      <w:start w:val="4"/>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1C43EA"/>
    <w:multiLevelType w:val="hybridMultilevel"/>
    <w:tmpl w:val="4D6821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76901DD"/>
    <w:multiLevelType w:val="hybridMultilevel"/>
    <w:tmpl w:val="22E4D5F8"/>
    <w:lvl w:ilvl="0" w:tplc="7FAA10C6">
      <w:start w:val="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2D7DEB"/>
    <w:multiLevelType w:val="hybridMultilevel"/>
    <w:tmpl w:val="0D9A351E"/>
    <w:lvl w:ilvl="0" w:tplc="7FAA10C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981B61"/>
    <w:multiLevelType w:val="hybridMultilevel"/>
    <w:tmpl w:val="3DE288A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3FA00D4D"/>
    <w:multiLevelType w:val="hybridMultilevel"/>
    <w:tmpl w:val="6602E77E"/>
    <w:lvl w:ilvl="0" w:tplc="D96EFE24">
      <w:start w:val="1"/>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801DD9"/>
    <w:multiLevelType w:val="hybridMultilevel"/>
    <w:tmpl w:val="A6D27A0E"/>
    <w:lvl w:ilvl="0" w:tplc="A5789042">
      <w:start w:val="16"/>
      <w:numFmt w:val="bullet"/>
      <w:lvlText w:val=""/>
      <w:lvlJc w:val="left"/>
      <w:pPr>
        <w:ind w:left="720" w:hanging="360"/>
      </w:pPr>
      <w:rPr>
        <w:rFonts w:ascii="Wingdings" w:eastAsia="Calibri" w:hAnsi="Wingdings"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5307EA2"/>
    <w:multiLevelType w:val="hybridMultilevel"/>
    <w:tmpl w:val="1B641DA8"/>
    <w:lvl w:ilvl="0" w:tplc="B482504E">
      <w:start w:val="16"/>
      <w:numFmt w:val="bullet"/>
      <w:lvlText w:val="-"/>
      <w:lvlJc w:val="left"/>
      <w:pPr>
        <w:ind w:left="1069" w:hanging="360"/>
      </w:pPr>
      <w:rPr>
        <w:rFonts w:ascii="Times New Roman" w:eastAsia="Calibri" w:hAnsi="Times New Roman" w:cs="Times New Roman" w:hint="default"/>
        <w:sz w:val="24"/>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0" w15:restartNumberingAfterBreak="0">
    <w:nsid w:val="47746270"/>
    <w:multiLevelType w:val="hybridMultilevel"/>
    <w:tmpl w:val="D6AAEA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87031C8"/>
    <w:multiLevelType w:val="hybridMultilevel"/>
    <w:tmpl w:val="2F261760"/>
    <w:lvl w:ilvl="0" w:tplc="2D7C3A90">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0B9007C"/>
    <w:multiLevelType w:val="hybridMultilevel"/>
    <w:tmpl w:val="28943A16"/>
    <w:lvl w:ilvl="0" w:tplc="74B81482">
      <w:start w:val="4"/>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3" w15:restartNumberingAfterBreak="0">
    <w:nsid w:val="51654758"/>
    <w:multiLevelType w:val="hybridMultilevel"/>
    <w:tmpl w:val="AF76D90C"/>
    <w:lvl w:ilvl="0" w:tplc="D6564DA8">
      <w:numFmt w:val="bullet"/>
      <w:lvlText w:val=""/>
      <w:lvlJc w:val="left"/>
      <w:pPr>
        <w:ind w:left="1069" w:hanging="360"/>
      </w:pPr>
      <w:rPr>
        <w:rFonts w:ascii="Wingdings" w:eastAsia="Calibri" w:hAnsi="Wingdings"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4" w15:restartNumberingAfterBreak="0">
    <w:nsid w:val="51881C08"/>
    <w:multiLevelType w:val="hybridMultilevel"/>
    <w:tmpl w:val="504A91F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6443631"/>
    <w:multiLevelType w:val="hybridMultilevel"/>
    <w:tmpl w:val="2C5C1FA4"/>
    <w:lvl w:ilvl="0" w:tplc="EFC28198">
      <w:start w:val="1"/>
      <w:numFmt w:val="bullet"/>
      <w:lvlText w:val=""/>
      <w:lvlJc w:val="left"/>
      <w:pPr>
        <w:ind w:left="1069" w:hanging="360"/>
      </w:pPr>
      <w:rPr>
        <w:rFonts w:ascii="Wingdings" w:eastAsia="Calibri" w:hAnsi="Wingdings"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6" w15:restartNumberingAfterBreak="0">
    <w:nsid w:val="583C2E9C"/>
    <w:multiLevelType w:val="hybridMultilevel"/>
    <w:tmpl w:val="9A4AB62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7" w15:restartNumberingAfterBreak="0">
    <w:nsid w:val="5B2867BD"/>
    <w:multiLevelType w:val="hybridMultilevel"/>
    <w:tmpl w:val="29F035E2"/>
    <w:lvl w:ilvl="0" w:tplc="46A802BC">
      <w:start w:val="1"/>
      <w:numFmt w:val="bullet"/>
      <w:lvlText w:val=""/>
      <w:lvlJc w:val="left"/>
      <w:pPr>
        <w:ind w:left="1069" w:hanging="360"/>
      </w:pPr>
      <w:rPr>
        <w:rFonts w:ascii="Wingdings" w:eastAsia="Calibri" w:hAnsi="Wingdings"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8" w15:restartNumberingAfterBreak="0">
    <w:nsid w:val="5F5B6753"/>
    <w:multiLevelType w:val="hybridMultilevel"/>
    <w:tmpl w:val="4976971A"/>
    <w:lvl w:ilvl="0" w:tplc="FA260C6E">
      <w:start w:val="4"/>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9" w15:restartNumberingAfterBreak="0">
    <w:nsid w:val="5FC25153"/>
    <w:multiLevelType w:val="hybridMultilevel"/>
    <w:tmpl w:val="0364522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F41344"/>
    <w:multiLevelType w:val="hybridMultilevel"/>
    <w:tmpl w:val="CB32D796"/>
    <w:lvl w:ilvl="0" w:tplc="4A2E19D8">
      <w:start w:val="1"/>
      <w:numFmt w:val="bullet"/>
      <w:lvlText w:val="-"/>
      <w:lvlJc w:val="left"/>
      <w:pPr>
        <w:ind w:left="1069" w:hanging="360"/>
      </w:pPr>
      <w:rPr>
        <w:rFonts w:ascii="NybkdqAdvPTimes" w:eastAsia="Calibri" w:hAnsi="NybkdqAdvPTimes" w:cs="NybkdqAdvPTimes" w:hint="default"/>
        <w:color w:val="000000"/>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1" w15:restartNumberingAfterBreak="0">
    <w:nsid w:val="62E4221A"/>
    <w:multiLevelType w:val="hybridMultilevel"/>
    <w:tmpl w:val="D5665352"/>
    <w:lvl w:ilvl="0" w:tplc="16ECE2E4">
      <w:start w:val="1"/>
      <w:numFmt w:val="bullet"/>
      <w:lvlText w:val="-"/>
      <w:lvlJc w:val="left"/>
      <w:pPr>
        <w:ind w:left="720" w:hanging="360"/>
      </w:pPr>
      <w:rPr>
        <w:rFonts w:ascii="Times New Roman" w:eastAsia="Calibri"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5973153"/>
    <w:multiLevelType w:val="hybridMultilevel"/>
    <w:tmpl w:val="44A618E6"/>
    <w:lvl w:ilvl="0" w:tplc="43767392">
      <w:start w:val="4"/>
      <w:numFmt w:val="bullet"/>
      <w:lvlText w:val=""/>
      <w:lvlJc w:val="left"/>
      <w:pPr>
        <w:ind w:left="1069" w:hanging="360"/>
      </w:pPr>
      <w:rPr>
        <w:rFonts w:ascii="Wingdings" w:eastAsia="Calibri" w:hAnsi="Wingdings"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3" w15:restartNumberingAfterBreak="0">
    <w:nsid w:val="67137E44"/>
    <w:multiLevelType w:val="hybridMultilevel"/>
    <w:tmpl w:val="7B1E9090"/>
    <w:lvl w:ilvl="0" w:tplc="7FAA10C6">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8846AEE"/>
    <w:multiLevelType w:val="hybridMultilevel"/>
    <w:tmpl w:val="B6661A7C"/>
    <w:lvl w:ilvl="0" w:tplc="DD2463EC">
      <w:start w:val="1"/>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5" w15:restartNumberingAfterBreak="0">
    <w:nsid w:val="69C75806"/>
    <w:multiLevelType w:val="hybridMultilevel"/>
    <w:tmpl w:val="017A20DC"/>
    <w:lvl w:ilvl="0" w:tplc="7FAA10C6">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EF62B83"/>
    <w:multiLevelType w:val="hybridMultilevel"/>
    <w:tmpl w:val="82849478"/>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37" w15:restartNumberingAfterBreak="0">
    <w:nsid w:val="79A16CF0"/>
    <w:multiLevelType w:val="multilevel"/>
    <w:tmpl w:val="1966E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C8B3C72"/>
    <w:multiLevelType w:val="hybridMultilevel"/>
    <w:tmpl w:val="7AE8BD6A"/>
    <w:lvl w:ilvl="0" w:tplc="F62A54F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20"/>
  </w:num>
  <w:num w:numId="3">
    <w:abstractNumId w:val="36"/>
  </w:num>
  <w:num w:numId="4">
    <w:abstractNumId w:val="9"/>
  </w:num>
  <w:num w:numId="5">
    <w:abstractNumId w:val="33"/>
  </w:num>
  <w:num w:numId="6">
    <w:abstractNumId w:val="3"/>
  </w:num>
  <w:num w:numId="7">
    <w:abstractNumId w:val="35"/>
  </w:num>
  <w:num w:numId="8">
    <w:abstractNumId w:val="5"/>
  </w:num>
  <w:num w:numId="9">
    <w:abstractNumId w:val="21"/>
  </w:num>
  <w:num w:numId="10">
    <w:abstractNumId w:val="0"/>
  </w:num>
  <w:num w:numId="11">
    <w:abstractNumId w:val="37"/>
  </w:num>
  <w:num w:numId="12">
    <w:abstractNumId w:val="28"/>
  </w:num>
  <w:num w:numId="13">
    <w:abstractNumId w:val="29"/>
  </w:num>
  <w:num w:numId="14">
    <w:abstractNumId w:val="14"/>
  </w:num>
  <w:num w:numId="15">
    <w:abstractNumId w:val="15"/>
  </w:num>
  <w:num w:numId="16">
    <w:abstractNumId w:val="12"/>
  </w:num>
  <w:num w:numId="17">
    <w:abstractNumId w:val="13"/>
  </w:num>
  <w:num w:numId="18">
    <w:abstractNumId w:val="16"/>
  </w:num>
  <w:num w:numId="19">
    <w:abstractNumId w:val="24"/>
  </w:num>
  <w:num w:numId="20">
    <w:abstractNumId w:val="30"/>
  </w:num>
  <w:num w:numId="21">
    <w:abstractNumId w:val="8"/>
  </w:num>
  <w:num w:numId="22">
    <w:abstractNumId w:val="38"/>
  </w:num>
  <w:num w:numId="23">
    <w:abstractNumId w:val="25"/>
  </w:num>
  <w:num w:numId="24">
    <w:abstractNumId w:val="17"/>
  </w:num>
  <w:num w:numId="25">
    <w:abstractNumId w:val="27"/>
  </w:num>
  <w:num w:numId="26">
    <w:abstractNumId w:val="9"/>
  </w:num>
  <w:num w:numId="27">
    <w:abstractNumId w:val="22"/>
  </w:num>
  <w:num w:numId="28">
    <w:abstractNumId w:val="11"/>
  </w:num>
  <w:num w:numId="29">
    <w:abstractNumId w:val="4"/>
  </w:num>
  <w:num w:numId="30">
    <w:abstractNumId w:val="7"/>
  </w:num>
  <w:num w:numId="31">
    <w:abstractNumId w:val="6"/>
  </w:num>
  <w:num w:numId="32">
    <w:abstractNumId w:val="34"/>
  </w:num>
  <w:num w:numId="33">
    <w:abstractNumId w:val="31"/>
  </w:num>
  <w:num w:numId="34">
    <w:abstractNumId w:val="19"/>
  </w:num>
  <w:num w:numId="35">
    <w:abstractNumId w:val="18"/>
  </w:num>
  <w:num w:numId="36">
    <w:abstractNumId w:val="10"/>
  </w:num>
  <w:num w:numId="37">
    <w:abstractNumId w:val="23"/>
  </w:num>
  <w:num w:numId="38">
    <w:abstractNumId w:val="32"/>
  </w:num>
  <w:num w:numId="39">
    <w:abstractNumId w:val="26"/>
  </w:num>
  <w:num w:numId="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6D5"/>
    <w:rsid w:val="00107C64"/>
    <w:rsid w:val="003662DF"/>
    <w:rsid w:val="003E16B9"/>
    <w:rsid w:val="003F04B1"/>
    <w:rsid w:val="00417B12"/>
    <w:rsid w:val="004C73AA"/>
    <w:rsid w:val="005D1F18"/>
    <w:rsid w:val="007739BD"/>
    <w:rsid w:val="00A83ED2"/>
    <w:rsid w:val="00B426D5"/>
    <w:rsid w:val="00B44650"/>
    <w:rsid w:val="00BB2094"/>
    <w:rsid w:val="00E44E5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28EC93-4D3F-4675-A8D6-CAE1ECA4AA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4E52"/>
    <w:pPr>
      <w:spacing w:line="360" w:lineRule="auto"/>
    </w:pPr>
    <w:rPr>
      <w:rFonts w:ascii="Times New Roman" w:hAnsi="Times New Roman"/>
      <w:sz w:val="24"/>
      <w:lang w:val="en-US"/>
    </w:rPr>
  </w:style>
  <w:style w:type="paragraph" w:styleId="Titre1">
    <w:name w:val="heading 1"/>
    <w:basedOn w:val="Normal"/>
    <w:next w:val="Normal"/>
    <w:link w:val="Titre1Car"/>
    <w:uiPriority w:val="9"/>
    <w:qFormat/>
    <w:rsid w:val="003662DF"/>
    <w:pPr>
      <w:keepNext/>
      <w:keepLines/>
      <w:pBdr>
        <w:bottom w:val="single" w:sz="4" w:space="1" w:color="5B9BD5"/>
      </w:pBdr>
      <w:spacing w:before="400" w:after="40" w:line="240" w:lineRule="auto"/>
      <w:ind w:firstLine="709"/>
      <w:outlineLvl w:val="0"/>
    </w:pPr>
    <w:rPr>
      <w:rFonts w:ascii="Calibri Light" w:eastAsia="Times New Roman" w:hAnsi="Calibri Light" w:cs="Times New Roman"/>
      <w:color w:val="2E74B5"/>
      <w:sz w:val="36"/>
      <w:szCs w:val="36"/>
      <w:lang w:val="fr-BE"/>
    </w:rPr>
  </w:style>
  <w:style w:type="paragraph" w:styleId="Titre2">
    <w:name w:val="heading 2"/>
    <w:basedOn w:val="Normal"/>
    <w:next w:val="Normal"/>
    <w:link w:val="Titre2Car"/>
    <w:uiPriority w:val="9"/>
    <w:unhideWhenUsed/>
    <w:qFormat/>
    <w:rsid w:val="003662D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qFormat/>
    <w:rsid w:val="00BB2094"/>
    <w:pPr>
      <w:keepNext/>
      <w:keepLines/>
      <w:spacing w:after="0" w:line="480" w:lineRule="auto"/>
      <w:ind w:left="708" w:firstLine="709"/>
      <w:outlineLvl w:val="2"/>
    </w:pPr>
    <w:rPr>
      <w:rFonts w:eastAsia="Times New Roman" w:cs="Times New Roman"/>
      <w:b/>
      <w:i/>
      <w:szCs w:val="24"/>
      <w:lang w:val="en-GB"/>
    </w:rPr>
  </w:style>
  <w:style w:type="paragraph" w:styleId="Titre4">
    <w:name w:val="heading 4"/>
    <w:basedOn w:val="Normal"/>
    <w:next w:val="Normal"/>
    <w:link w:val="Titre4Car"/>
    <w:uiPriority w:val="9"/>
    <w:unhideWhenUsed/>
    <w:qFormat/>
    <w:rsid w:val="003662D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BB2094"/>
    <w:rPr>
      <w:rFonts w:ascii="Times New Roman" w:eastAsia="Times New Roman" w:hAnsi="Times New Roman" w:cs="Times New Roman"/>
      <w:b/>
      <w:i/>
      <w:sz w:val="24"/>
      <w:szCs w:val="24"/>
      <w:lang w:val="en-GB"/>
    </w:rPr>
  </w:style>
  <w:style w:type="numbering" w:customStyle="1" w:styleId="Aucuneliste1">
    <w:name w:val="Aucune liste1"/>
    <w:next w:val="Aucuneliste"/>
    <w:uiPriority w:val="99"/>
    <w:semiHidden/>
    <w:unhideWhenUsed/>
    <w:rsid w:val="00BB2094"/>
  </w:style>
  <w:style w:type="paragraph" w:styleId="Textebrut">
    <w:name w:val="Plain Text"/>
    <w:basedOn w:val="Normal"/>
    <w:link w:val="TextebrutCar"/>
    <w:uiPriority w:val="99"/>
    <w:unhideWhenUsed/>
    <w:rsid w:val="00BB2094"/>
    <w:pPr>
      <w:spacing w:after="0" w:line="240" w:lineRule="auto"/>
      <w:ind w:firstLine="709"/>
    </w:pPr>
    <w:rPr>
      <w:rFonts w:eastAsia="Calibri" w:cs="Times New Roman"/>
      <w:szCs w:val="21"/>
      <w:lang w:val="fr-BE"/>
    </w:rPr>
  </w:style>
  <w:style w:type="character" w:customStyle="1" w:styleId="TextebrutCar">
    <w:name w:val="Texte brut Car"/>
    <w:basedOn w:val="Policepardfaut"/>
    <w:link w:val="Textebrut"/>
    <w:uiPriority w:val="99"/>
    <w:rsid w:val="00BB2094"/>
    <w:rPr>
      <w:rFonts w:ascii="Times New Roman" w:eastAsia="Calibri" w:hAnsi="Times New Roman" w:cs="Times New Roman"/>
      <w:sz w:val="24"/>
      <w:szCs w:val="21"/>
    </w:rPr>
  </w:style>
  <w:style w:type="paragraph" w:styleId="Paragraphedeliste">
    <w:name w:val="List Paragraph"/>
    <w:basedOn w:val="Normal"/>
    <w:uiPriority w:val="34"/>
    <w:qFormat/>
    <w:rsid w:val="00BB2094"/>
    <w:pPr>
      <w:spacing w:line="480" w:lineRule="auto"/>
      <w:ind w:left="720" w:firstLine="709"/>
      <w:contextualSpacing/>
    </w:pPr>
    <w:rPr>
      <w:rFonts w:eastAsia="Calibri" w:cs="Times New Roman"/>
      <w:lang w:val="en-GB"/>
    </w:rPr>
  </w:style>
  <w:style w:type="paragraph" w:customStyle="1" w:styleId="Newparagraph">
    <w:name w:val="New paragraph"/>
    <w:basedOn w:val="Normal"/>
    <w:qFormat/>
    <w:rsid w:val="00BB2094"/>
    <w:pPr>
      <w:spacing w:after="0" w:line="480" w:lineRule="auto"/>
      <w:ind w:firstLine="720"/>
    </w:pPr>
    <w:rPr>
      <w:rFonts w:eastAsia="Times New Roman" w:cs="Times New Roman"/>
      <w:szCs w:val="24"/>
      <w:lang w:val="en-GB" w:eastAsia="en-GB"/>
    </w:rPr>
  </w:style>
  <w:style w:type="character" w:styleId="Marquedecommentaire">
    <w:name w:val="annotation reference"/>
    <w:uiPriority w:val="99"/>
    <w:semiHidden/>
    <w:unhideWhenUsed/>
    <w:rsid w:val="00BB2094"/>
    <w:rPr>
      <w:sz w:val="16"/>
      <w:szCs w:val="16"/>
    </w:rPr>
  </w:style>
  <w:style w:type="paragraph" w:styleId="Commentaire">
    <w:name w:val="annotation text"/>
    <w:basedOn w:val="Normal"/>
    <w:link w:val="CommentaireCar"/>
    <w:uiPriority w:val="99"/>
    <w:unhideWhenUsed/>
    <w:rsid w:val="00BB2094"/>
    <w:pPr>
      <w:spacing w:line="240" w:lineRule="auto"/>
      <w:ind w:firstLine="709"/>
    </w:pPr>
    <w:rPr>
      <w:rFonts w:eastAsia="Calibri" w:cs="Times New Roman"/>
      <w:sz w:val="20"/>
      <w:szCs w:val="20"/>
      <w:lang w:val="en-GB"/>
    </w:rPr>
  </w:style>
  <w:style w:type="character" w:customStyle="1" w:styleId="CommentaireCar">
    <w:name w:val="Commentaire Car"/>
    <w:basedOn w:val="Policepardfaut"/>
    <w:link w:val="Commentaire"/>
    <w:uiPriority w:val="99"/>
    <w:rsid w:val="00BB2094"/>
    <w:rPr>
      <w:rFonts w:ascii="Times New Roman" w:eastAsia="Calibri" w:hAnsi="Times New Roman" w:cs="Times New Roman"/>
      <w:sz w:val="20"/>
      <w:szCs w:val="20"/>
      <w:lang w:val="en-GB"/>
    </w:rPr>
  </w:style>
  <w:style w:type="paragraph" w:styleId="Objetducommentaire">
    <w:name w:val="annotation subject"/>
    <w:basedOn w:val="Commentaire"/>
    <w:next w:val="Commentaire"/>
    <w:link w:val="ObjetducommentaireCar"/>
    <w:uiPriority w:val="99"/>
    <w:semiHidden/>
    <w:unhideWhenUsed/>
    <w:rsid w:val="00BB2094"/>
    <w:rPr>
      <w:b/>
      <w:bCs/>
    </w:rPr>
  </w:style>
  <w:style w:type="character" w:customStyle="1" w:styleId="ObjetducommentaireCar">
    <w:name w:val="Objet du commentaire Car"/>
    <w:basedOn w:val="CommentaireCar"/>
    <w:link w:val="Objetducommentaire"/>
    <w:uiPriority w:val="99"/>
    <w:semiHidden/>
    <w:rsid w:val="00BB2094"/>
    <w:rPr>
      <w:rFonts w:ascii="Times New Roman" w:eastAsia="Calibri" w:hAnsi="Times New Roman" w:cs="Times New Roman"/>
      <w:b/>
      <w:bCs/>
      <w:sz w:val="20"/>
      <w:szCs w:val="20"/>
      <w:lang w:val="en-GB"/>
    </w:rPr>
  </w:style>
  <w:style w:type="paragraph" w:styleId="Textedebulles">
    <w:name w:val="Balloon Text"/>
    <w:basedOn w:val="Normal"/>
    <w:link w:val="TextedebullesCar"/>
    <w:uiPriority w:val="99"/>
    <w:unhideWhenUsed/>
    <w:rsid w:val="00BB2094"/>
    <w:pPr>
      <w:spacing w:after="0" w:line="240" w:lineRule="auto"/>
      <w:ind w:firstLine="709"/>
    </w:pPr>
    <w:rPr>
      <w:rFonts w:ascii="Segoe UI" w:eastAsia="Calibri" w:hAnsi="Segoe UI" w:cs="Segoe UI"/>
      <w:sz w:val="18"/>
      <w:szCs w:val="18"/>
      <w:lang w:val="en-GB"/>
    </w:rPr>
  </w:style>
  <w:style w:type="character" w:customStyle="1" w:styleId="TextedebullesCar">
    <w:name w:val="Texte de bulles Car"/>
    <w:basedOn w:val="Policepardfaut"/>
    <w:link w:val="Textedebulles"/>
    <w:uiPriority w:val="99"/>
    <w:rsid w:val="00BB2094"/>
    <w:rPr>
      <w:rFonts w:ascii="Segoe UI" w:eastAsia="Calibri" w:hAnsi="Segoe UI" w:cs="Segoe UI"/>
      <w:sz w:val="18"/>
      <w:szCs w:val="18"/>
      <w:lang w:val="en-GB"/>
    </w:rPr>
  </w:style>
  <w:style w:type="paragraph" w:styleId="Notedebasdepage">
    <w:name w:val="footnote text"/>
    <w:basedOn w:val="Normal"/>
    <w:link w:val="NotedebasdepageCar"/>
    <w:uiPriority w:val="99"/>
    <w:unhideWhenUsed/>
    <w:rsid w:val="00BB2094"/>
    <w:pPr>
      <w:spacing w:before="120" w:after="0" w:line="240" w:lineRule="auto"/>
    </w:pPr>
    <w:rPr>
      <w:rFonts w:eastAsia="Calibri" w:cs="Times New Roman"/>
      <w:sz w:val="20"/>
      <w:szCs w:val="20"/>
    </w:rPr>
  </w:style>
  <w:style w:type="character" w:customStyle="1" w:styleId="NotedebasdepageCar">
    <w:name w:val="Note de bas de page Car"/>
    <w:basedOn w:val="Policepardfaut"/>
    <w:link w:val="Notedebasdepage"/>
    <w:uiPriority w:val="99"/>
    <w:rsid w:val="00BB2094"/>
    <w:rPr>
      <w:rFonts w:ascii="Times New Roman" w:eastAsia="Calibri" w:hAnsi="Times New Roman" w:cs="Times New Roman"/>
      <w:sz w:val="20"/>
      <w:szCs w:val="20"/>
      <w:lang w:val="en-US"/>
    </w:rPr>
  </w:style>
  <w:style w:type="character" w:styleId="Appelnotedebasdep">
    <w:name w:val="footnote reference"/>
    <w:uiPriority w:val="99"/>
    <w:semiHidden/>
    <w:unhideWhenUsed/>
    <w:rsid w:val="00BB2094"/>
    <w:rPr>
      <w:vertAlign w:val="superscript"/>
    </w:rPr>
  </w:style>
  <w:style w:type="paragraph" w:styleId="En-tte">
    <w:name w:val="header"/>
    <w:basedOn w:val="Normal"/>
    <w:link w:val="En-tteCar"/>
    <w:uiPriority w:val="99"/>
    <w:unhideWhenUsed/>
    <w:rsid w:val="00BB2094"/>
    <w:pPr>
      <w:tabs>
        <w:tab w:val="center" w:pos="4536"/>
        <w:tab w:val="right" w:pos="9072"/>
      </w:tabs>
      <w:spacing w:after="0" w:line="240" w:lineRule="auto"/>
    </w:pPr>
    <w:rPr>
      <w:rFonts w:ascii="Calibri" w:eastAsia="Calibri" w:hAnsi="Calibri" w:cs="Times New Roman"/>
      <w:sz w:val="22"/>
      <w:lang w:val="en-GB"/>
    </w:rPr>
  </w:style>
  <w:style w:type="character" w:customStyle="1" w:styleId="En-tteCar">
    <w:name w:val="En-tête Car"/>
    <w:basedOn w:val="Policepardfaut"/>
    <w:link w:val="En-tte"/>
    <w:uiPriority w:val="99"/>
    <w:rsid w:val="00BB2094"/>
    <w:rPr>
      <w:rFonts w:ascii="Calibri" w:eastAsia="Calibri" w:hAnsi="Calibri" w:cs="Times New Roman"/>
      <w:lang w:val="en-GB"/>
    </w:rPr>
  </w:style>
  <w:style w:type="paragraph" w:styleId="Pieddepage">
    <w:name w:val="footer"/>
    <w:basedOn w:val="Normal"/>
    <w:link w:val="PieddepageCar"/>
    <w:uiPriority w:val="99"/>
    <w:unhideWhenUsed/>
    <w:rsid w:val="00BB2094"/>
    <w:pPr>
      <w:tabs>
        <w:tab w:val="center" w:pos="4703"/>
        <w:tab w:val="right" w:pos="9406"/>
      </w:tabs>
      <w:spacing w:after="0" w:line="240" w:lineRule="auto"/>
      <w:ind w:firstLine="709"/>
    </w:pPr>
    <w:rPr>
      <w:rFonts w:eastAsia="Calibri" w:cs="Times New Roman"/>
      <w:lang w:val="en-GB"/>
    </w:rPr>
  </w:style>
  <w:style w:type="character" w:customStyle="1" w:styleId="PieddepageCar">
    <w:name w:val="Pied de page Car"/>
    <w:basedOn w:val="Policepardfaut"/>
    <w:link w:val="Pieddepage"/>
    <w:uiPriority w:val="99"/>
    <w:rsid w:val="00BB2094"/>
    <w:rPr>
      <w:rFonts w:ascii="Times New Roman" w:eastAsia="Calibri" w:hAnsi="Times New Roman" w:cs="Times New Roman"/>
      <w:sz w:val="24"/>
      <w:lang w:val="en-GB"/>
    </w:rPr>
  </w:style>
  <w:style w:type="paragraph" w:styleId="Rvision">
    <w:name w:val="Revision"/>
    <w:hidden/>
    <w:uiPriority w:val="99"/>
    <w:semiHidden/>
    <w:rsid w:val="00BB2094"/>
    <w:pPr>
      <w:spacing w:after="0" w:line="240" w:lineRule="auto"/>
    </w:pPr>
    <w:rPr>
      <w:rFonts w:ascii="Times New Roman" w:eastAsia="Calibri" w:hAnsi="Times New Roman" w:cs="Times New Roman"/>
      <w:sz w:val="24"/>
      <w:lang w:val="en-GB"/>
    </w:rPr>
  </w:style>
  <w:style w:type="character" w:customStyle="1" w:styleId="Titre2Car">
    <w:name w:val="Titre 2 Car"/>
    <w:basedOn w:val="Policepardfaut"/>
    <w:link w:val="Titre2"/>
    <w:uiPriority w:val="9"/>
    <w:rsid w:val="003662DF"/>
    <w:rPr>
      <w:rFonts w:asciiTheme="majorHAnsi" w:eastAsiaTheme="majorEastAsia" w:hAnsiTheme="majorHAnsi" w:cstheme="majorBidi"/>
      <w:color w:val="2E74B5" w:themeColor="accent1" w:themeShade="BF"/>
      <w:sz w:val="26"/>
      <w:szCs w:val="26"/>
      <w:lang w:val="en-US"/>
    </w:rPr>
  </w:style>
  <w:style w:type="character" w:customStyle="1" w:styleId="Titre4Car">
    <w:name w:val="Titre 4 Car"/>
    <w:basedOn w:val="Policepardfaut"/>
    <w:link w:val="Titre4"/>
    <w:uiPriority w:val="9"/>
    <w:rsid w:val="003662DF"/>
    <w:rPr>
      <w:rFonts w:asciiTheme="majorHAnsi" w:eastAsiaTheme="majorEastAsia" w:hAnsiTheme="majorHAnsi" w:cstheme="majorBidi"/>
      <w:i/>
      <w:iCs/>
      <w:color w:val="2E74B5" w:themeColor="accent1" w:themeShade="BF"/>
      <w:sz w:val="24"/>
      <w:lang w:val="en-US"/>
    </w:rPr>
  </w:style>
  <w:style w:type="character" w:customStyle="1" w:styleId="Titre1Car">
    <w:name w:val="Titre 1 Car"/>
    <w:basedOn w:val="Policepardfaut"/>
    <w:link w:val="Titre1"/>
    <w:uiPriority w:val="9"/>
    <w:rsid w:val="003662DF"/>
    <w:rPr>
      <w:rFonts w:ascii="Calibri Light" w:eastAsia="Times New Roman" w:hAnsi="Calibri Light" w:cs="Times New Roman"/>
      <w:color w:val="2E74B5"/>
      <w:sz w:val="36"/>
      <w:szCs w:val="36"/>
    </w:rPr>
  </w:style>
  <w:style w:type="numbering" w:customStyle="1" w:styleId="Aucuneliste2">
    <w:name w:val="Aucune liste2"/>
    <w:next w:val="Aucuneliste"/>
    <w:uiPriority w:val="99"/>
    <w:semiHidden/>
    <w:unhideWhenUsed/>
    <w:rsid w:val="003662DF"/>
  </w:style>
  <w:style w:type="paragraph" w:customStyle="1" w:styleId="Listecouleur-Accent11">
    <w:name w:val="Liste couleur - Accent 11"/>
    <w:basedOn w:val="Normal"/>
    <w:uiPriority w:val="34"/>
    <w:qFormat/>
    <w:rsid w:val="003662DF"/>
    <w:pPr>
      <w:spacing w:line="480" w:lineRule="auto"/>
      <w:ind w:left="720" w:firstLine="709"/>
      <w:contextualSpacing/>
    </w:pPr>
    <w:rPr>
      <w:rFonts w:eastAsia="Calibri" w:cs="Times New Roman"/>
      <w:lang w:val="en-GB"/>
    </w:rPr>
  </w:style>
  <w:style w:type="paragraph" w:customStyle="1" w:styleId="Articletitle">
    <w:name w:val="Article title"/>
    <w:basedOn w:val="Normal"/>
    <w:next w:val="Normal"/>
    <w:qFormat/>
    <w:rsid w:val="003662DF"/>
    <w:pPr>
      <w:spacing w:after="120"/>
      <w:ind w:firstLine="709"/>
    </w:pPr>
    <w:rPr>
      <w:rFonts w:eastAsia="Times New Roman" w:cs="Times New Roman"/>
      <w:b/>
      <w:sz w:val="28"/>
      <w:szCs w:val="24"/>
      <w:lang w:val="en-GB" w:eastAsia="en-GB"/>
    </w:rPr>
  </w:style>
  <w:style w:type="paragraph" w:customStyle="1" w:styleId="Default">
    <w:name w:val="Default"/>
    <w:link w:val="DefaultCar"/>
    <w:rsid w:val="003662DF"/>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customStyle="1" w:styleId="Tramecouleur-Accent11">
    <w:name w:val="Trame couleur - Accent 11"/>
    <w:hidden/>
    <w:uiPriority w:val="99"/>
    <w:semiHidden/>
    <w:rsid w:val="003662DF"/>
    <w:pPr>
      <w:spacing w:after="0" w:line="240" w:lineRule="auto"/>
    </w:pPr>
    <w:rPr>
      <w:rFonts w:ascii="Calibri" w:eastAsia="Calibri" w:hAnsi="Calibri" w:cs="Times New Roman"/>
      <w:lang w:val="en-GB"/>
    </w:rPr>
  </w:style>
  <w:style w:type="character" w:customStyle="1" w:styleId="DefaultCar">
    <w:name w:val="Default Car"/>
    <w:link w:val="Default"/>
    <w:rsid w:val="003662DF"/>
    <w:rPr>
      <w:rFonts w:ascii="Times New Roman" w:eastAsia="Calibri" w:hAnsi="Times New Roman" w:cs="Times New Roman"/>
      <w:color w:val="000000"/>
      <w:sz w:val="24"/>
      <w:szCs w:val="24"/>
      <w:lang w:val="en-US"/>
    </w:rPr>
  </w:style>
  <w:style w:type="paragraph" w:customStyle="1" w:styleId="EndNoteBibliographyTitle">
    <w:name w:val="EndNote Bibliography Title"/>
    <w:basedOn w:val="Normal"/>
    <w:link w:val="EndNoteBibliographyTitleCar"/>
    <w:rsid w:val="003662DF"/>
    <w:pPr>
      <w:spacing w:after="0" w:line="480" w:lineRule="auto"/>
      <w:ind w:firstLine="709"/>
      <w:jc w:val="center"/>
    </w:pPr>
    <w:rPr>
      <w:rFonts w:eastAsia="Calibri" w:cs="Times New Roman"/>
      <w:noProof/>
    </w:rPr>
  </w:style>
  <w:style w:type="character" w:customStyle="1" w:styleId="EndNoteBibliographyTitleCar">
    <w:name w:val="EndNote Bibliography Title Car"/>
    <w:link w:val="EndNoteBibliographyTitle"/>
    <w:rsid w:val="003662DF"/>
    <w:rPr>
      <w:rFonts w:ascii="Times New Roman" w:eastAsia="Calibri" w:hAnsi="Times New Roman" w:cs="Times New Roman"/>
      <w:noProof/>
      <w:sz w:val="24"/>
      <w:lang w:val="en-US"/>
    </w:rPr>
  </w:style>
  <w:style w:type="paragraph" w:customStyle="1" w:styleId="EndNoteBibliography">
    <w:name w:val="EndNote Bibliography"/>
    <w:basedOn w:val="Normal"/>
    <w:link w:val="EndNoteBibliographyCar"/>
    <w:rsid w:val="003662DF"/>
    <w:pPr>
      <w:spacing w:line="240" w:lineRule="auto"/>
      <w:ind w:firstLine="709"/>
    </w:pPr>
    <w:rPr>
      <w:rFonts w:eastAsia="Calibri" w:cs="Times New Roman"/>
      <w:noProof/>
    </w:rPr>
  </w:style>
  <w:style w:type="character" w:customStyle="1" w:styleId="EndNoteBibliographyCar">
    <w:name w:val="EndNote Bibliography Car"/>
    <w:link w:val="EndNoteBibliography"/>
    <w:rsid w:val="003662DF"/>
    <w:rPr>
      <w:rFonts w:ascii="Times New Roman" w:eastAsia="Calibri" w:hAnsi="Times New Roman" w:cs="Times New Roman"/>
      <w:noProof/>
      <w:sz w:val="24"/>
      <w:lang w:val="en-US"/>
    </w:rPr>
  </w:style>
  <w:style w:type="character" w:styleId="Lienhypertexte">
    <w:name w:val="Hyperlink"/>
    <w:uiPriority w:val="99"/>
    <w:semiHidden/>
    <w:unhideWhenUsed/>
    <w:rsid w:val="003662DF"/>
    <w:rPr>
      <w:color w:val="0563C1"/>
      <w:u w:val="single"/>
    </w:rPr>
  </w:style>
  <w:style w:type="paragraph" w:styleId="NormalWeb">
    <w:name w:val="Normal (Web)"/>
    <w:basedOn w:val="Normal"/>
    <w:uiPriority w:val="99"/>
    <w:unhideWhenUsed/>
    <w:rsid w:val="003662DF"/>
    <w:pPr>
      <w:spacing w:before="100" w:beforeAutospacing="1" w:after="100" w:afterAutospacing="1" w:line="240" w:lineRule="auto"/>
    </w:pPr>
    <w:rPr>
      <w:rFonts w:eastAsia="Times New Roman" w:cs="Times New Roman"/>
      <w:szCs w:val="24"/>
    </w:rPr>
  </w:style>
  <w:style w:type="character" w:styleId="lev">
    <w:name w:val="Strong"/>
    <w:uiPriority w:val="22"/>
    <w:qFormat/>
    <w:rsid w:val="003662DF"/>
    <w:rPr>
      <w:b/>
      <w:bCs/>
    </w:rPr>
  </w:style>
  <w:style w:type="character" w:customStyle="1" w:styleId="5yl5">
    <w:name w:val="_5yl5"/>
    <w:rsid w:val="003662DF"/>
  </w:style>
  <w:style w:type="paragraph" w:customStyle="1" w:styleId="Pa10">
    <w:name w:val="Pa10"/>
    <w:basedOn w:val="Default"/>
    <w:next w:val="Default"/>
    <w:uiPriority w:val="99"/>
    <w:rsid w:val="003662DF"/>
    <w:pPr>
      <w:spacing w:line="201" w:lineRule="atLeast"/>
    </w:pPr>
    <w:rPr>
      <w:color w:val="auto"/>
    </w:rPr>
  </w:style>
  <w:style w:type="character" w:customStyle="1" w:styleId="nlmstring-name">
    <w:name w:val="nlm_string-name"/>
    <w:rsid w:val="003662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eraldine.zeimers@uclouvain.b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annick.willem@ugent.be" TargetMode="External"/><Relationship Id="rId4" Type="http://schemas.openxmlformats.org/officeDocument/2006/relationships/settings" Target="settings.xml"/><Relationship Id="rId9" Type="http://schemas.openxmlformats.org/officeDocument/2006/relationships/hyperlink" Target="mailto:thierry.zintz@uclouvain.be" TargetMode="Externa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AD041B-166F-48E2-AB22-4DE04EE37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10410</Words>
  <Characters>59341</Characters>
  <Application>Microsoft Office Word</Application>
  <DocSecurity>0</DocSecurity>
  <Lines>494</Lines>
  <Paragraphs>139</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69612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Géraldine Zeimers</dc:creator>
  <cp:keywords/>
  <dc:description/>
  <cp:lastModifiedBy>Heike Rämer</cp:lastModifiedBy>
  <cp:revision>2</cp:revision>
  <dcterms:created xsi:type="dcterms:W3CDTF">2020-04-16T06:51:00Z</dcterms:created>
  <dcterms:modified xsi:type="dcterms:W3CDTF">2020-04-16T06:51:00Z</dcterms:modified>
</cp:coreProperties>
</file>