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B6D5BF3" w14:textId="1132B80F" w:rsidR="00293A2B" w:rsidRDefault="00293A2B" w:rsidP="00293A2B">
      <w:pPr>
        <w:spacing w:before="100" w:beforeAutospacing="1" w:after="100" w:afterAutospacing="1" w:line="240" w:lineRule="auto"/>
        <w:rPr>
          <w:rFonts w:eastAsia="Times New Roman" w:cs="Times New Roman"/>
          <w:b/>
          <w:bCs/>
          <w:kern w:val="0"/>
          <w:lang w:val="en-US" w:eastAsia="fr-BE"/>
          <w14:ligatures w14:val="none"/>
        </w:rPr>
      </w:pPr>
      <w:r w:rsidRPr="001B6AC1">
        <w:rPr>
          <w:rFonts w:eastAsia="Times New Roman" w:cs="Times New Roman"/>
          <w:b/>
          <w:bCs/>
          <w:kern w:val="0"/>
          <w:lang w:val="en-US" w:eastAsia="fr-BE"/>
          <w14:ligatures w14:val="none"/>
        </w:rPr>
        <w:t xml:space="preserve">Commentary – </w:t>
      </w:r>
      <w:r w:rsidR="00EC4793">
        <w:rPr>
          <w:rFonts w:eastAsia="Times New Roman" w:cs="Times New Roman"/>
          <w:b/>
          <w:bCs/>
          <w:kern w:val="0"/>
          <w:lang w:val="en-US" w:eastAsia="fr-BE"/>
          <w14:ligatures w14:val="none"/>
        </w:rPr>
        <w:t>Some r</w:t>
      </w:r>
      <w:r w:rsidRPr="001B6AC1">
        <w:rPr>
          <w:rFonts w:eastAsia="Times New Roman" w:cs="Times New Roman"/>
          <w:b/>
          <w:bCs/>
          <w:kern w:val="0"/>
          <w:lang w:val="en-US" w:eastAsia="fr-BE"/>
          <w14:ligatures w14:val="none"/>
        </w:rPr>
        <w:t>eflections on the Democratic Legitimacy of the European Union’s Lawmaking Process in Tax Matters</w:t>
      </w:r>
    </w:p>
    <w:p w14:paraId="380D1949" w14:textId="79E91FDB" w:rsidR="00EC4793" w:rsidRPr="001B6AC1" w:rsidRDefault="00EC4793" w:rsidP="00293A2B">
      <w:pPr>
        <w:spacing w:before="100" w:beforeAutospacing="1" w:after="100" w:afterAutospacing="1" w:line="240" w:lineRule="auto"/>
        <w:rPr>
          <w:rFonts w:eastAsia="Times New Roman" w:cs="Times New Roman"/>
          <w:b/>
          <w:bCs/>
          <w:kern w:val="0"/>
          <w:lang w:val="en-US" w:eastAsia="fr-BE"/>
          <w14:ligatures w14:val="none"/>
        </w:rPr>
      </w:pPr>
      <w:r>
        <w:rPr>
          <w:rFonts w:eastAsia="Times New Roman" w:cs="Times New Roman"/>
          <w:b/>
          <w:bCs/>
          <w:kern w:val="0"/>
          <w:lang w:val="en-US" w:eastAsia="fr-BE"/>
          <w14:ligatures w14:val="none"/>
        </w:rPr>
        <w:t>Edoardo Traversa, UCLouvain</w:t>
      </w:r>
      <w:r>
        <w:rPr>
          <w:rStyle w:val="Appelnotedebasdep"/>
          <w:rFonts w:eastAsia="Times New Roman" w:cs="Times New Roman"/>
          <w:b/>
          <w:bCs/>
          <w:kern w:val="0"/>
          <w:lang w:val="en-US" w:eastAsia="fr-BE"/>
          <w14:ligatures w14:val="none"/>
        </w:rPr>
        <w:footnoteReference w:id="1"/>
      </w:r>
    </w:p>
    <w:p w14:paraId="3D6D5810" w14:textId="1ED16CE9" w:rsidR="00293A2B" w:rsidRPr="001B6AC1" w:rsidRDefault="006F5734" w:rsidP="00DE74C0">
      <w:pPr>
        <w:spacing w:before="100" w:beforeAutospacing="1" w:after="100" w:afterAutospacing="1" w:line="240" w:lineRule="auto"/>
        <w:jc w:val="both"/>
        <w:rPr>
          <w:rFonts w:eastAsia="Times New Roman" w:cs="Times New Roman"/>
          <w:kern w:val="0"/>
          <w:lang w:val="en-US" w:eastAsia="fr-BE"/>
          <w14:ligatures w14:val="none"/>
        </w:rPr>
      </w:pPr>
      <w:r w:rsidRPr="001B6AC1">
        <w:rPr>
          <w:rFonts w:eastAsia="Times New Roman" w:cs="Times New Roman"/>
          <w:kern w:val="0"/>
          <w:lang w:val="en-US" w:eastAsia="fr-BE"/>
          <w14:ligatures w14:val="none"/>
        </w:rPr>
        <w:t>T</w:t>
      </w:r>
      <w:r w:rsidR="00293A2B" w:rsidRPr="001B6AC1">
        <w:rPr>
          <w:rFonts w:eastAsia="Times New Roman" w:cs="Times New Roman"/>
          <w:kern w:val="0"/>
          <w:lang w:val="en-US" w:eastAsia="fr-BE"/>
          <w14:ligatures w14:val="none"/>
        </w:rPr>
        <w:t>his commentary</w:t>
      </w:r>
      <w:r w:rsidRPr="001B6AC1">
        <w:rPr>
          <w:rFonts w:eastAsia="Times New Roman" w:cs="Times New Roman"/>
          <w:kern w:val="0"/>
          <w:lang w:val="en-US" w:eastAsia="fr-BE"/>
          <w14:ligatures w14:val="none"/>
        </w:rPr>
        <w:t xml:space="preserve"> builds on the contributions of Ana Paula Dourado</w:t>
      </w:r>
      <w:r w:rsidR="00293A2B" w:rsidRPr="001B6AC1">
        <w:rPr>
          <w:rFonts w:eastAsia="Times New Roman" w:cs="Times New Roman"/>
          <w:kern w:val="0"/>
          <w:lang w:val="en-US" w:eastAsia="fr-BE"/>
          <w14:ligatures w14:val="none"/>
        </w:rPr>
        <w:t xml:space="preserve"> </w:t>
      </w:r>
      <w:r w:rsidR="00C3304F" w:rsidRPr="001B6AC1">
        <w:rPr>
          <w:rFonts w:eastAsia="Times New Roman" w:cs="Times New Roman"/>
          <w:kern w:val="0"/>
          <w:lang w:val="en-US" w:eastAsia="fr-BE"/>
          <w14:ligatures w14:val="none"/>
        </w:rPr>
        <w:t>–</w:t>
      </w:r>
      <w:r w:rsidRPr="001B6AC1">
        <w:rPr>
          <w:rFonts w:eastAsia="Times New Roman" w:cs="Times New Roman"/>
          <w:kern w:val="0"/>
          <w:lang w:val="en-US" w:eastAsia="fr-BE"/>
          <w14:ligatures w14:val="none"/>
        </w:rPr>
        <w:t xml:space="preserve"> </w:t>
      </w:r>
      <w:r w:rsidR="00C3304F" w:rsidRPr="001B6AC1">
        <w:rPr>
          <w:rFonts w:eastAsia="Times New Roman" w:cs="Times New Roman"/>
          <w:kern w:val="0"/>
          <w:lang w:val="en-US" w:eastAsia="fr-BE"/>
          <w14:ligatures w14:val="none"/>
        </w:rPr>
        <w:t>“</w:t>
      </w:r>
      <w:r w:rsidRPr="001B6AC1">
        <w:rPr>
          <w:rFonts w:eastAsia="Times New Roman" w:cs="Times New Roman"/>
          <w:kern w:val="0"/>
          <w:lang w:val="en-US" w:eastAsia="fr-BE"/>
          <w14:ligatures w14:val="none"/>
        </w:rPr>
        <w:t>Reconciling Interests in EU Direct Tax Law</w:t>
      </w:r>
      <w:r w:rsidR="00C3304F" w:rsidRPr="001B6AC1">
        <w:rPr>
          <w:rFonts w:eastAsia="Times New Roman" w:cs="Times New Roman"/>
          <w:kern w:val="0"/>
          <w:lang w:val="en-US" w:eastAsia="fr-BE"/>
          <w14:ligatures w14:val="none"/>
        </w:rPr>
        <w:t>”</w:t>
      </w:r>
      <w:r w:rsidRPr="001B6AC1">
        <w:rPr>
          <w:rFonts w:eastAsia="Times New Roman" w:cs="Times New Roman"/>
          <w:kern w:val="0"/>
          <w:lang w:val="en-US" w:eastAsia="fr-BE"/>
          <w14:ligatures w14:val="none"/>
        </w:rPr>
        <w:t xml:space="preserve">, Sam Van der </w:t>
      </w:r>
      <w:proofErr w:type="spellStart"/>
      <w:r w:rsidRPr="001B6AC1">
        <w:rPr>
          <w:rFonts w:eastAsia="Times New Roman" w:cs="Times New Roman"/>
          <w:kern w:val="0"/>
          <w:lang w:val="en-US" w:eastAsia="fr-BE"/>
          <w14:ligatures w14:val="none"/>
        </w:rPr>
        <w:t>Vlucht</w:t>
      </w:r>
      <w:proofErr w:type="spellEnd"/>
      <w:r w:rsidRPr="001B6AC1">
        <w:rPr>
          <w:rFonts w:eastAsia="Times New Roman" w:cs="Times New Roman"/>
          <w:kern w:val="0"/>
          <w:lang w:val="en-US" w:eastAsia="fr-BE"/>
          <w14:ligatures w14:val="none"/>
        </w:rPr>
        <w:t xml:space="preserve"> </w:t>
      </w:r>
      <w:r w:rsidR="00C3304F" w:rsidRPr="001B6AC1">
        <w:rPr>
          <w:rFonts w:eastAsia="Times New Roman" w:cs="Times New Roman"/>
          <w:kern w:val="0"/>
          <w:lang w:val="en-US" w:eastAsia="fr-BE"/>
          <w14:ligatures w14:val="none"/>
        </w:rPr>
        <w:t>–</w:t>
      </w:r>
      <w:r w:rsidRPr="001B6AC1">
        <w:rPr>
          <w:rFonts w:eastAsia="Times New Roman" w:cs="Times New Roman"/>
          <w:kern w:val="0"/>
          <w:lang w:val="en-US" w:eastAsia="fr-BE"/>
          <w14:ligatures w14:val="none"/>
        </w:rPr>
        <w:t xml:space="preserve"> </w:t>
      </w:r>
      <w:r w:rsidR="00C3304F" w:rsidRPr="001B6AC1">
        <w:rPr>
          <w:rFonts w:eastAsia="Times New Roman" w:cs="Times New Roman"/>
          <w:kern w:val="0"/>
          <w:lang w:val="en-US" w:eastAsia="fr-BE"/>
          <w14:ligatures w14:val="none"/>
        </w:rPr>
        <w:t>“</w:t>
      </w:r>
      <w:r w:rsidRPr="001B6AC1">
        <w:rPr>
          <w:rFonts w:eastAsia="Times New Roman" w:cs="Times New Roman"/>
          <w:kern w:val="0"/>
          <w:lang w:val="en-US" w:eastAsia="fr-BE"/>
          <w14:ligatures w14:val="none"/>
        </w:rPr>
        <w:t>Executive consent for European tax policymaking - a threat to the democratic foundation of taxation?</w:t>
      </w:r>
      <w:r w:rsidR="00C3304F" w:rsidRPr="001B6AC1">
        <w:rPr>
          <w:rFonts w:eastAsia="Times New Roman" w:cs="Times New Roman"/>
          <w:kern w:val="0"/>
          <w:lang w:val="en-US" w:eastAsia="fr-BE"/>
          <w14:ligatures w14:val="none"/>
        </w:rPr>
        <w:t>”</w:t>
      </w:r>
      <w:r w:rsidRPr="001B6AC1">
        <w:rPr>
          <w:rFonts w:eastAsia="Times New Roman" w:cs="Times New Roman"/>
          <w:kern w:val="0"/>
          <w:lang w:val="en-US" w:eastAsia="fr-BE"/>
          <w14:ligatures w14:val="none"/>
        </w:rPr>
        <w:t xml:space="preserve"> </w:t>
      </w:r>
      <w:r w:rsidR="0039075C" w:rsidRPr="001B6AC1">
        <w:rPr>
          <w:rFonts w:eastAsia="Times New Roman" w:cs="Times New Roman"/>
          <w:kern w:val="0"/>
          <w:lang w:val="en-US" w:eastAsia="fr-BE"/>
          <w14:ligatures w14:val="none"/>
        </w:rPr>
        <w:t>a</w:t>
      </w:r>
      <w:r w:rsidRPr="001B6AC1">
        <w:rPr>
          <w:rFonts w:eastAsia="Times New Roman" w:cs="Times New Roman"/>
          <w:kern w:val="0"/>
          <w:lang w:val="en-US" w:eastAsia="fr-BE"/>
          <w14:ligatures w14:val="none"/>
        </w:rPr>
        <w:t xml:space="preserve">nd Rita </w:t>
      </w:r>
      <w:proofErr w:type="spellStart"/>
      <w:r w:rsidRPr="001B6AC1">
        <w:rPr>
          <w:rFonts w:eastAsia="Times New Roman" w:cs="Times New Roman"/>
          <w:kern w:val="0"/>
          <w:lang w:val="en-US" w:eastAsia="fr-BE"/>
          <w14:ligatures w14:val="none"/>
        </w:rPr>
        <w:t>Szudocky</w:t>
      </w:r>
      <w:proofErr w:type="spellEnd"/>
      <w:r w:rsidRPr="001B6AC1">
        <w:rPr>
          <w:rFonts w:eastAsia="Times New Roman" w:cs="Times New Roman"/>
          <w:kern w:val="0"/>
          <w:lang w:val="en-US" w:eastAsia="fr-BE"/>
          <w14:ligatures w14:val="none"/>
        </w:rPr>
        <w:t xml:space="preserve"> </w:t>
      </w:r>
      <w:r w:rsidR="00C3304F" w:rsidRPr="001B6AC1">
        <w:rPr>
          <w:rFonts w:eastAsia="Times New Roman" w:cs="Times New Roman"/>
          <w:kern w:val="0"/>
          <w:lang w:val="en-US" w:eastAsia="fr-BE"/>
          <w14:ligatures w14:val="none"/>
        </w:rPr>
        <w:t>–</w:t>
      </w:r>
      <w:r w:rsidRPr="001B6AC1">
        <w:rPr>
          <w:rFonts w:eastAsia="Times New Roman" w:cs="Times New Roman"/>
          <w:kern w:val="0"/>
          <w:lang w:val="en-US" w:eastAsia="fr-BE"/>
          <w14:ligatures w14:val="none"/>
        </w:rPr>
        <w:t xml:space="preserve"> </w:t>
      </w:r>
      <w:r w:rsidR="00C3304F" w:rsidRPr="001B6AC1">
        <w:rPr>
          <w:rFonts w:eastAsia="Times New Roman" w:cs="Times New Roman"/>
          <w:kern w:val="0"/>
          <w:lang w:val="en-US" w:eastAsia="fr-BE"/>
          <w14:ligatures w14:val="none"/>
        </w:rPr>
        <w:t>“</w:t>
      </w:r>
      <w:r w:rsidRPr="001B6AC1">
        <w:rPr>
          <w:rFonts w:eastAsia="Times New Roman" w:cs="Times New Roman"/>
          <w:kern w:val="0"/>
          <w:lang w:val="en-US" w:eastAsia="fr-BE"/>
          <w14:ligatures w14:val="none"/>
        </w:rPr>
        <w:t>The European Union’s impact on democratic tax lawmaking</w:t>
      </w:r>
      <w:r w:rsidR="00C3304F" w:rsidRPr="001B6AC1">
        <w:rPr>
          <w:rFonts w:eastAsia="Times New Roman" w:cs="Times New Roman"/>
          <w:kern w:val="0"/>
          <w:lang w:val="en-US" w:eastAsia="fr-BE"/>
          <w14:ligatures w14:val="none"/>
        </w:rPr>
        <w:t>”</w:t>
      </w:r>
      <w:r w:rsidRPr="001B6AC1">
        <w:rPr>
          <w:rFonts w:eastAsia="Times New Roman" w:cs="Times New Roman"/>
          <w:kern w:val="0"/>
          <w:lang w:val="en-US" w:eastAsia="fr-BE"/>
          <w14:ligatures w14:val="none"/>
        </w:rPr>
        <w:t xml:space="preserve">.  The three of them </w:t>
      </w:r>
      <w:r w:rsidR="00293A2B" w:rsidRPr="001B6AC1">
        <w:rPr>
          <w:rFonts w:eastAsia="Times New Roman" w:cs="Times New Roman"/>
          <w:kern w:val="0"/>
          <w:lang w:val="en-US" w:eastAsia="fr-BE"/>
          <w14:ligatures w14:val="none"/>
        </w:rPr>
        <w:t>examine, from complementary perspectives, the institutional and normative dynamics specific to the development of European Union (EU) tax law. They question the democratic legitimacy of this process, both in terms of its procedural modalities and its substantive effects, placing it within the broader context of transformations in the relationships between Member States, EU institutions,</w:t>
      </w:r>
      <w:r w:rsidR="00DE74C0" w:rsidRPr="001B6AC1">
        <w:rPr>
          <w:rFonts w:eastAsia="Times New Roman" w:cs="Times New Roman"/>
          <w:kern w:val="0"/>
          <w:lang w:val="en-US" w:eastAsia="fr-BE"/>
          <w14:ligatures w14:val="none"/>
        </w:rPr>
        <w:t xml:space="preserve"> such as the European Parliament, the Council of the European Union, and the European Court of justice</w:t>
      </w:r>
      <w:r w:rsidR="00293A2B" w:rsidRPr="001B6AC1">
        <w:rPr>
          <w:rFonts w:eastAsia="Times New Roman" w:cs="Times New Roman"/>
          <w:kern w:val="0"/>
          <w:lang w:val="en-US" w:eastAsia="fr-BE"/>
          <w14:ligatures w14:val="none"/>
        </w:rPr>
        <w:t xml:space="preserve"> and international </w:t>
      </w:r>
      <w:proofErr w:type="spellStart"/>
      <w:r w:rsidR="00293A2B" w:rsidRPr="001B6AC1">
        <w:rPr>
          <w:rFonts w:eastAsia="Times New Roman" w:cs="Times New Roman"/>
          <w:kern w:val="0"/>
          <w:lang w:val="en-US" w:eastAsia="fr-BE"/>
          <w14:ligatures w14:val="none"/>
        </w:rPr>
        <w:t>organisations</w:t>
      </w:r>
      <w:proofErr w:type="spellEnd"/>
      <w:r w:rsidR="00293A2B" w:rsidRPr="001B6AC1">
        <w:rPr>
          <w:rFonts w:eastAsia="Times New Roman" w:cs="Times New Roman"/>
          <w:kern w:val="0"/>
          <w:lang w:val="en-US" w:eastAsia="fr-BE"/>
          <w14:ligatures w14:val="none"/>
        </w:rPr>
        <w:t xml:space="preserve">, notably the </w:t>
      </w:r>
      <w:proofErr w:type="spellStart"/>
      <w:r w:rsidR="00293A2B" w:rsidRPr="001B6AC1">
        <w:rPr>
          <w:rFonts w:eastAsia="Times New Roman" w:cs="Times New Roman"/>
          <w:kern w:val="0"/>
          <w:lang w:val="en-US" w:eastAsia="fr-BE"/>
          <w14:ligatures w14:val="none"/>
        </w:rPr>
        <w:t>Organisation</w:t>
      </w:r>
      <w:proofErr w:type="spellEnd"/>
      <w:r w:rsidR="00293A2B" w:rsidRPr="001B6AC1">
        <w:rPr>
          <w:rFonts w:eastAsia="Times New Roman" w:cs="Times New Roman"/>
          <w:kern w:val="0"/>
          <w:lang w:val="en-US" w:eastAsia="fr-BE"/>
          <w14:ligatures w14:val="none"/>
        </w:rPr>
        <w:t xml:space="preserve"> for Economic Co-operation and Development (OECD).</w:t>
      </w:r>
    </w:p>
    <w:p w14:paraId="4E914236" w14:textId="5C48FFBE" w:rsidR="00293A2B" w:rsidRDefault="00293A2B" w:rsidP="00C3304F">
      <w:pPr>
        <w:spacing w:before="100" w:beforeAutospacing="1" w:after="100" w:afterAutospacing="1" w:line="240" w:lineRule="auto"/>
        <w:jc w:val="both"/>
        <w:rPr>
          <w:rFonts w:eastAsia="Times New Roman" w:cs="Times New Roman"/>
          <w:kern w:val="0"/>
          <w:lang w:val="en-US" w:eastAsia="fr-BE"/>
          <w14:ligatures w14:val="none"/>
        </w:rPr>
      </w:pPr>
      <w:r w:rsidRPr="001B6AC1">
        <w:rPr>
          <w:rFonts w:eastAsia="Times New Roman" w:cs="Times New Roman"/>
          <w:kern w:val="0"/>
          <w:lang w:val="en-US" w:eastAsia="fr-BE"/>
          <w14:ligatures w14:val="none"/>
        </w:rPr>
        <w:t xml:space="preserve">This analysis is structured around a tripartite typology of legitimacy: legitimacy by the </w:t>
      </w:r>
      <w:r w:rsidR="004E1AC1" w:rsidRPr="001B6AC1">
        <w:rPr>
          <w:rFonts w:eastAsia="Times New Roman" w:cs="Times New Roman"/>
          <w:kern w:val="0"/>
          <w:lang w:val="en-US" w:eastAsia="fr-BE"/>
          <w14:ligatures w14:val="none"/>
        </w:rPr>
        <w:t>actors involved</w:t>
      </w:r>
      <w:r w:rsidRPr="001B6AC1">
        <w:rPr>
          <w:rFonts w:eastAsia="Times New Roman" w:cs="Times New Roman"/>
          <w:kern w:val="0"/>
          <w:lang w:val="en-US" w:eastAsia="fr-BE"/>
          <w14:ligatures w14:val="none"/>
        </w:rPr>
        <w:t xml:space="preserve">, legitimacy by </w:t>
      </w:r>
      <w:r w:rsidR="00DE74C0" w:rsidRPr="001B6AC1">
        <w:rPr>
          <w:rFonts w:eastAsia="Times New Roman" w:cs="Times New Roman"/>
          <w:kern w:val="0"/>
          <w:lang w:val="en-US" w:eastAsia="fr-BE"/>
          <w14:ligatures w14:val="none"/>
        </w:rPr>
        <w:t xml:space="preserve">the </w:t>
      </w:r>
      <w:r w:rsidRPr="001B6AC1">
        <w:rPr>
          <w:rFonts w:eastAsia="Times New Roman" w:cs="Times New Roman"/>
          <w:kern w:val="0"/>
          <w:lang w:val="en-US" w:eastAsia="fr-BE"/>
          <w14:ligatures w14:val="none"/>
        </w:rPr>
        <w:t>process, and legitimacy by purpose. This framework makes it possible to articulate the theoretical foundations of consent to taxation with the concrete transformations of tax law within the EU legal order.</w:t>
      </w:r>
    </w:p>
    <w:p w14:paraId="49A07E21" w14:textId="264548F5" w:rsidR="00F00973" w:rsidRPr="001B6AC1" w:rsidRDefault="00F00973" w:rsidP="00C3304F">
      <w:pPr>
        <w:spacing w:before="100" w:beforeAutospacing="1" w:after="100" w:afterAutospacing="1" w:line="240" w:lineRule="auto"/>
        <w:jc w:val="both"/>
        <w:rPr>
          <w:rFonts w:eastAsia="Times New Roman" w:cs="Times New Roman"/>
          <w:kern w:val="0"/>
          <w:lang w:val="en-US" w:eastAsia="fr-BE"/>
          <w14:ligatures w14:val="none"/>
        </w:rPr>
      </w:pPr>
      <w:r>
        <w:rPr>
          <w:rFonts w:eastAsia="Times New Roman" w:cs="Times New Roman"/>
          <w:kern w:val="0"/>
          <w:lang w:val="en-US" w:eastAsia="fr-BE"/>
          <w14:ligatures w14:val="none"/>
        </w:rPr>
        <w:t xml:space="preserve">It concludes </w:t>
      </w:r>
      <w:r w:rsidR="00E334D0">
        <w:rPr>
          <w:rFonts w:eastAsia="Times New Roman" w:cs="Times New Roman"/>
          <w:kern w:val="0"/>
          <w:lang w:val="en-US" w:eastAsia="fr-BE"/>
          <w14:ligatures w14:val="none"/>
        </w:rPr>
        <w:t>by showing that</w:t>
      </w:r>
      <w:r>
        <w:rPr>
          <w:rFonts w:eastAsia="Times New Roman" w:cs="Times New Roman"/>
          <w:kern w:val="0"/>
          <w:lang w:val="en-US" w:eastAsia="fr-BE"/>
          <w14:ligatures w14:val="none"/>
        </w:rPr>
        <w:t xml:space="preserve"> the issue of legitimacy</w:t>
      </w:r>
      <w:r w:rsidR="00E334D0">
        <w:rPr>
          <w:rFonts w:eastAsia="Times New Roman" w:cs="Times New Roman"/>
          <w:kern w:val="0"/>
          <w:lang w:val="en-US" w:eastAsia="fr-BE"/>
          <w14:ligatures w14:val="none"/>
        </w:rPr>
        <w:t xml:space="preserve"> far from being an abstract reflection without legal implications, may impact the discussion on the validity of EU tax rules, taking </w:t>
      </w:r>
      <w:proofErr w:type="gramStart"/>
      <w:r w:rsidR="00E334D0">
        <w:rPr>
          <w:rFonts w:eastAsia="Times New Roman" w:cs="Times New Roman"/>
          <w:kern w:val="0"/>
          <w:lang w:val="en-US" w:eastAsia="fr-BE"/>
          <w14:ligatures w14:val="none"/>
        </w:rPr>
        <w:t>as  example</w:t>
      </w:r>
      <w:proofErr w:type="gramEnd"/>
      <w:r w:rsidR="00E334D0">
        <w:rPr>
          <w:rFonts w:eastAsia="Times New Roman" w:cs="Times New Roman"/>
          <w:kern w:val="0"/>
          <w:lang w:val="en-US" w:eastAsia="fr-BE"/>
          <w14:ligatures w14:val="none"/>
        </w:rPr>
        <w:t xml:space="preserve"> the recent controversies around the adequacy </w:t>
      </w:r>
      <w:proofErr w:type="gramStart"/>
      <w:r w:rsidR="00E334D0">
        <w:rPr>
          <w:rFonts w:eastAsia="Times New Roman" w:cs="Times New Roman"/>
          <w:kern w:val="0"/>
          <w:lang w:val="en-US" w:eastAsia="fr-BE"/>
          <w14:ligatures w14:val="none"/>
        </w:rPr>
        <w:t xml:space="preserve">of </w:t>
      </w:r>
      <w:r>
        <w:rPr>
          <w:rFonts w:eastAsia="Times New Roman" w:cs="Times New Roman"/>
          <w:kern w:val="0"/>
          <w:lang w:val="en-US" w:eastAsia="fr-BE"/>
          <w14:ligatures w14:val="none"/>
        </w:rPr>
        <w:t xml:space="preserve"> </w:t>
      </w:r>
      <w:r w:rsidR="00E334D0">
        <w:rPr>
          <w:rFonts w:eastAsia="Times New Roman" w:cs="Times New Roman"/>
          <w:kern w:val="0"/>
          <w:lang w:val="en-US" w:eastAsia="fr-BE"/>
          <w14:ligatures w14:val="none"/>
        </w:rPr>
        <w:t>the</w:t>
      </w:r>
      <w:proofErr w:type="gramEnd"/>
      <w:r w:rsidR="00E334D0">
        <w:rPr>
          <w:rFonts w:eastAsia="Times New Roman" w:cs="Times New Roman"/>
          <w:kern w:val="0"/>
          <w:lang w:val="en-US" w:eastAsia="fr-BE"/>
          <w14:ligatures w14:val="none"/>
        </w:rPr>
        <w:t xml:space="preserve"> use of Article 115 TFEU to adopt directives </w:t>
      </w:r>
      <w:proofErr w:type="gramStart"/>
      <w:r w:rsidR="00E334D0">
        <w:rPr>
          <w:rFonts w:eastAsia="Times New Roman" w:cs="Times New Roman"/>
          <w:kern w:val="0"/>
          <w:lang w:val="en-US" w:eastAsia="fr-BE"/>
          <w14:ligatures w14:val="none"/>
        </w:rPr>
        <w:t>in the area of</w:t>
      </w:r>
      <w:proofErr w:type="gramEnd"/>
      <w:r w:rsidR="00E334D0">
        <w:rPr>
          <w:rFonts w:eastAsia="Times New Roman" w:cs="Times New Roman"/>
          <w:kern w:val="0"/>
          <w:lang w:val="en-US" w:eastAsia="fr-BE"/>
          <w14:ligatures w14:val="none"/>
        </w:rPr>
        <w:t xml:space="preserve"> anti-avoidance measures and administrative cooperation.</w:t>
      </w:r>
    </w:p>
    <w:p w14:paraId="35A5F892" w14:textId="77777777" w:rsidR="00293A2B" w:rsidRPr="001B6AC1" w:rsidRDefault="00293A2B" w:rsidP="00C46253">
      <w:pPr>
        <w:pStyle w:val="Titre1"/>
        <w:rPr>
          <w:rFonts w:eastAsia="Times New Roman"/>
          <w:lang w:val="en-US" w:eastAsia="fr-BE"/>
        </w:rPr>
      </w:pPr>
      <w:r w:rsidRPr="001B6AC1">
        <w:rPr>
          <w:rFonts w:eastAsia="Times New Roman"/>
          <w:lang w:val="en-US" w:eastAsia="fr-BE"/>
        </w:rPr>
        <w:t>I. Legitimacy by the People: Consent to Taxation and European Citizenship</w:t>
      </w:r>
    </w:p>
    <w:p w14:paraId="3B3DC28B" w14:textId="08E422E9" w:rsidR="00293A2B" w:rsidRPr="001B6AC1" w:rsidRDefault="00293A2B" w:rsidP="00DE74C0">
      <w:pPr>
        <w:spacing w:before="100" w:beforeAutospacing="1" w:after="100" w:afterAutospacing="1" w:line="240" w:lineRule="auto"/>
        <w:jc w:val="both"/>
        <w:rPr>
          <w:rFonts w:eastAsia="Times New Roman" w:cs="Times New Roman"/>
          <w:kern w:val="0"/>
          <w:lang w:val="en-US" w:eastAsia="fr-BE"/>
          <w14:ligatures w14:val="none"/>
        </w:rPr>
      </w:pPr>
      <w:r w:rsidRPr="001B6AC1">
        <w:rPr>
          <w:rFonts w:eastAsia="Times New Roman" w:cs="Times New Roman"/>
          <w:kern w:val="0"/>
          <w:lang w:val="en-US" w:eastAsia="fr-BE"/>
          <w14:ligatures w14:val="none"/>
        </w:rPr>
        <w:t>The classical principle that there should be “no taxation without representation”</w:t>
      </w:r>
      <w:r w:rsidR="00653C3A" w:rsidRPr="001B6AC1">
        <w:rPr>
          <w:rStyle w:val="Appelnotedebasdep"/>
          <w:rFonts w:eastAsia="Times New Roman" w:cs="Times New Roman"/>
          <w:kern w:val="0"/>
          <w:lang w:val="en-US" w:eastAsia="fr-BE"/>
          <w14:ligatures w14:val="none"/>
        </w:rPr>
        <w:footnoteReference w:id="2"/>
      </w:r>
      <w:r w:rsidRPr="001B6AC1">
        <w:rPr>
          <w:rFonts w:eastAsia="Times New Roman" w:cs="Times New Roman"/>
          <w:kern w:val="0"/>
          <w:lang w:val="en-US" w:eastAsia="fr-BE"/>
          <w14:ligatures w14:val="none"/>
        </w:rPr>
        <w:t xml:space="preserve"> postulates an inseparable link between the status of taxpayer and participation—direct or indirect—in normative deliberation. This link, historically rooted in the parliamentary tradition, is today </w:t>
      </w:r>
      <w:r w:rsidR="00DE74C0" w:rsidRPr="001B6AC1">
        <w:rPr>
          <w:rFonts w:eastAsia="Times New Roman" w:cs="Times New Roman"/>
          <w:kern w:val="0"/>
          <w:lang w:val="en-US" w:eastAsia="fr-BE"/>
          <w14:ligatures w14:val="none"/>
        </w:rPr>
        <w:t>relativized</w:t>
      </w:r>
      <w:r w:rsidRPr="001B6AC1">
        <w:rPr>
          <w:rFonts w:eastAsia="Times New Roman" w:cs="Times New Roman"/>
          <w:kern w:val="0"/>
          <w:lang w:val="en-US" w:eastAsia="fr-BE"/>
          <w14:ligatures w14:val="none"/>
        </w:rPr>
        <w:t xml:space="preserve"> in the EU context.</w:t>
      </w:r>
    </w:p>
    <w:p w14:paraId="4B5D2F9A" w14:textId="2B04470B" w:rsidR="00293A2B" w:rsidRPr="001B6AC1" w:rsidRDefault="00293A2B" w:rsidP="00977FC1">
      <w:pPr>
        <w:spacing w:before="100" w:beforeAutospacing="1" w:after="100" w:afterAutospacing="1" w:line="240" w:lineRule="auto"/>
        <w:jc w:val="both"/>
        <w:rPr>
          <w:rFonts w:eastAsia="Times New Roman" w:cs="Times New Roman"/>
          <w:kern w:val="0"/>
          <w:lang w:val="en-US" w:eastAsia="fr-BE"/>
          <w14:ligatures w14:val="none"/>
        </w:rPr>
      </w:pPr>
      <w:r w:rsidRPr="001B6AC1">
        <w:rPr>
          <w:rFonts w:eastAsia="Times New Roman" w:cs="Times New Roman"/>
          <w:kern w:val="0"/>
          <w:lang w:val="en-US" w:eastAsia="fr-BE"/>
          <w14:ligatures w14:val="none"/>
        </w:rPr>
        <w:t>Legally, this principle is not explicitly enshrined in the Treaties. However, it forms part of the EU’s democratic ethos as implied in Article 2 of the Treaty on European Union (TEU), which states that the Union is founded on the values of democracy, equality, and the rule of law</w:t>
      </w:r>
      <w:r w:rsidR="00653C3A" w:rsidRPr="001B6AC1">
        <w:rPr>
          <w:rStyle w:val="Appelnotedebasdep"/>
          <w:rFonts w:eastAsia="Times New Roman" w:cs="Times New Roman"/>
          <w:kern w:val="0"/>
          <w:lang w:val="en-US" w:eastAsia="fr-BE"/>
          <w14:ligatures w14:val="none"/>
        </w:rPr>
        <w:footnoteReference w:id="3"/>
      </w:r>
      <w:r w:rsidRPr="001B6AC1">
        <w:rPr>
          <w:rFonts w:eastAsia="Times New Roman" w:cs="Times New Roman"/>
          <w:kern w:val="0"/>
          <w:lang w:val="en-US" w:eastAsia="fr-BE"/>
          <w14:ligatures w14:val="none"/>
        </w:rPr>
        <w:t xml:space="preserve">. The link between taxation and representation can also be related to the right to vote and stand as a </w:t>
      </w:r>
      <w:r w:rsidRPr="001B6AC1">
        <w:rPr>
          <w:rFonts w:eastAsia="Times New Roman" w:cs="Times New Roman"/>
          <w:kern w:val="0"/>
          <w:lang w:val="en-US" w:eastAsia="fr-BE"/>
          <w14:ligatures w14:val="none"/>
        </w:rPr>
        <w:lastRenderedPageBreak/>
        <w:t xml:space="preserve">candidate, as </w:t>
      </w:r>
      <w:proofErr w:type="spellStart"/>
      <w:r w:rsidRPr="001B6AC1">
        <w:rPr>
          <w:rFonts w:eastAsia="Times New Roman" w:cs="Times New Roman"/>
          <w:kern w:val="0"/>
          <w:lang w:val="en-US" w:eastAsia="fr-BE"/>
          <w14:ligatures w14:val="none"/>
        </w:rPr>
        <w:t>recognised</w:t>
      </w:r>
      <w:proofErr w:type="spellEnd"/>
      <w:r w:rsidRPr="001B6AC1">
        <w:rPr>
          <w:rFonts w:eastAsia="Times New Roman" w:cs="Times New Roman"/>
          <w:kern w:val="0"/>
          <w:lang w:val="en-US" w:eastAsia="fr-BE"/>
          <w14:ligatures w14:val="none"/>
        </w:rPr>
        <w:t xml:space="preserve"> in Article 20(2) of the Treaty on the Functioning of the EU (TFEU) and Article 39 of the Charter of Fundamental Rights of the EU</w:t>
      </w:r>
      <w:r w:rsidR="00653C3A" w:rsidRPr="001B6AC1">
        <w:rPr>
          <w:rStyle w:val="Appelnotedebasdep"/>
          <w:rFonts w:eastAsia="Times New Roman" w:cs="Times New Roman"/>
          <w:kern w:val="0"/>
          <w:lang w:val="en-US" w:eastAsia="fr-BE"/>
          <w14:ligatures w14:val="none"/>
        </w:rPr>
        <w:footnoteReference w:id="4"/>
      </w:r>
      <w:r w:rsidRPr="001B6AC1">
        <w:rPr>
          <w:rFonts w:eastAsia="Times New Roman" w:cs="Times New Roman"/>
          <w:kern w:val="0"/>
          <w:lang w:val="en-US" w:eastAsia="fr-BE"/>
          <w14:ligatures w14:val="none"/>
        </w:rPr>
        <w:t>.</w:t>
      </w:r>
    </w:p>
    <w:p w14:paraId="0AAFD6CB" w14:textId="604991AB" w:rsidR="00C3304F" w:rsidRPr="001B6AC1" w:rsidRDefault="00C3304F" w:rsidP="00977FC1">
      <w:pPr>
        <w:spacing w:before="100" w:beforeAutospacing="1" w:after="100" w:afterAutospacing="1" w:line="240" w:lineRule="auto"/>
        <w:jc w:val="both"/>
        <w:rPr>
          <w:lang w:val="en-GB"/>
        </w:rPr>
      </w:pPr>
      <w:r w:rsidRPr="001B6AC1">
        <w:rPr>
          <w:rFonts w:eastAsia="Times New Roman" w:cs="Times New Roman"/>
          <w:kern w:val="0"/>
          <w:lang w:val="en-US" w:eastAsia="fr-BE"/>
          <w14:ligatures w14:val="none"/>
        </w:rPr>
        <w:t>Van</w:t>
      </w:r>
      <w:r w:rsidR="00F00973">
        <w:rPr>
          <w:rFonts w:eastAsia="Times New Roman" w:cs="Times New Roman"/>
          <w:kern w:val="0"/>
          <w:lang w:val="en-US" w:eastAsia="fr-BE"/>
          <w14:ligatures w14:val="none"/>
        </w:rPr>
        <w:t xml:space="preserve"> </w:t>
      </w:r>
      <w:r w:rsidRPr="001B6AC1">
        <w:rPr>
          <w:rFonts w:eastAsia="Times New Roman" w:cs="Times New Roman"/>
          <w:kern w:val="0"/>
          <w:lang w:val="en-US" w:eastAsia="fr-BE"/>
          <w14:ligatures w14:val="none"/>
        </w:rPr>
        <w:t>der</w:t>
      </w:r>
      <w:r w:rsidR="00F00973">
        <w:rPr>
          <w:rFonts w:eastAsia="Times New Roman" w:cs="Times New Roman"/>
          <w:kern w:val="0"/>
          <w:lang w:val="en-US" w:eastAsia="fr-BE"/>
          <w14:ligatures w14:val="none"/>
        </w:rPr>
        <w:t xml:space="preserve"> V</w:t>
      </w:r>
      <w:r w:rsidRPr="001B6AC1">
        <w:rPr>
          <w:rFonts w:eastAsia="Times New Roman" w:cs="Times New Roman"/>
          <w:kern w:val="0"/>
          <w:lang w:val="en-US" w:eastAsia="fr-BE"/>
          <w14:ligatures w14:val="none"/>
        </w:rPr>
        <w:t>lu</w:t>
      </w:r>
      <w:r w:rsidR="00F00973">
        <w:rPr>
          <w:rFonts w:eastAsia="Times New Roman" w:cs="Times New Roman"/>
          <w:kern w:val="0"/>
          <w:lang w:val="en-US" w:eastAsia="fr-BE"/>
          <w14:ligatures w14:val="none"/>
        </w:rPr>
        <w:t>g</w:t>
      </w:r>
      <w:r w:rsidRPr="001B6AC1">
        <w:rPr>
          <w:rFonts w:eastAsia="Times New Roman" w:cs="Times New Roman"/>
          <w:kern w:val="0"/>
          <w:lang w:val="en-US" w:eastAsia="fr-BE"/>
          <w14:ligatures w14:val="none"/>
        </w:rPr>
        <w:t xml:space="preserve">t and </w:t>
      </w:r>
      <w:proofErr w:type="spellStart"/>
      <w:r w:rsidRPr="001B6AC1">
        <w:rPr>
          <w:rFonts w:eastAsia="Times New Roman" w:cs="Times New Roman"/>
          <w:kern w:val="0"/>
          <w:lang w:val="en-US" w:eastAsia="fr-BE"/>
          <w14:ligatures w14:val="none"/>
        </w:rPr>
        <w:t>Szudocky</w:t>
      </w:r>
      <w:proofErr w:type="spellEnd"/>
      <w:r w:rsidR="00F45C64" w:rsidRPr="001B6AC1">
        <w:rPr>
          <w:rFonts w:eastAsia="Times New Roman" w:cs="Times New Roman"/>
          <w:kern w:val="0"/>
          <w:lang w:val="en-US" w:eastAsia="fr-BE"/>
          <w14:ligatures w14:val="none"/>
        </w:rPr>
        <w:t xml:space="preserve"> consider that </w:t>
      </w:r>
      <w:r w:rsidRPr="001B6AC1">
        <w:rPr>
          <w:rFonts w:eastAsia="Times New Roman" w:cs="Times New Roman"/>
          <w:kern w:val="0"/>
          <w:lang w:val="en-US" w:eastAsia="fr-BE"/>
          <w14:ligatures w14:val="none"/>
        </w:rPr>
        <w:t xml:space="preserve">the Court of justice has recognized the principle of legality in the </w:t>
      </w:r>
      <w:r w:rsidRPr="001B6AC1">
        <w:rPr>
          <w:i/>
          <w:iCs/>
          <w:lang w:val="en-US"/>
        </w:rPr>
        <w:t xml:space="preserve">Fiat </w:t>
      </w:r>
      <w:r w:rsidRPr="001B6AC1">
        <w:rPr>
          <w:lang w:val="en-US"/>
        </w:rPr>
        <w:t>case, on State aid</w:t>
      </w:r>
      <w:r w:rsidRPr="001B6AC1">
        <w:rPr>
          <w:rStyle w:val="Appelnotedebasdep"/>
          <w:lang w:val="en-US"/>
        </w:rPr>
        <w:footnoteReference w:id="5"/>
      </w:r>
      <w:r w:rsidRPr="001B6AC1">
        <w:rPr>
          <w:lang w:val="en-US"/>
        </w:rPr>
        <w:t>, without “</w:t>
      </w:r>
      <w:r w:rsidRPr="001B6AC1">
        <w:rPr>
          <w:lang w:val="en-GB"/>
        </w:rPr>
        <w:t xml:space="preserve">reference to the democratic element”. </w:t>
      </w:r>
      <w:r w:rsidR="00F45C64" w:rsidRPr="001B6AC1">
        <w:rPr>
          <w:lang w:val="en-GB"/>
        </w:rPr>
        <w:t xml:space="preserve"> </w:t>
      </w:r>
    </w:p>
    <w:p w14:paraId="3474E955" w14:textId="2D3C6A90" w:rsidR="00D2688F" w:rsidRPr="001B6AC1" w:rsidRDefault="00D2688F" w:rsidP="00977FC1">
      <w:pPr>
        <w:spacing w:before="100" w:beforeAutospacing="1" w:after="100" w:afterAutospacing="1" w:line="240" w:lineRule="auto"/>
        <w:jc w:val="both"/>
        <w:rPr>
          <w:rFonts w:eastAsia="Times New Roman" w:cs="Times New Roman"/>
          <w:kern w:val="0"/>
          <w:lang w:val="en-US" w:eastAsia="fr-BE"/>
          <w14:ligatures w14:val="none"/>
        </w:rPr>
      </w:pPr>
      <w:r w:rsidRPr="001B6AC1">
        <w:rPr>
          <w:rFonts w:eastAsia="Times New Roman" w:cs="Times New Roman"/>
          <w:kern w:val="0"/>
          <w:lang w:val="en-US" w:eastAsia="fr-BE"/>
          <w14:ligatures w14:val="none"/>
        </w:rPr>
        <w:t>Similarly, prior to that case, the Court had acknowledged the existence of this principle in VAT, a harmonized area of EU law</w:t>
      </w:r>
      <w:r w:rsidRPr="001B6AC1">
        <w:rPr>
          <w:rStyle w:val="Appelnotedebasdep"/>
          <w:lang w:val="en-GB"/>
        </w:rPr>
        <w:footnoteReference w:id="6"/>
      </w:r>
      <w:r w:rsidRPr="001B6AC1">
        <w:rPr>
          <w:rFonts w:eastAsia="Times New Roman" w:cs="Times New Roman"/>
          <w:kern w:val="0"/>
          <w:lang w:val="en-US" w:eastAsia="fr-BE"/>
          <w14:ligatures w14:val="none"/>
        </w:rPr>
        <w:t xml:space="preserve">, without explicitly referencing the notion of democratic consent. Instead, the Court stressed the dimensions of foreseeability and legal certainty. However, the Court of Justice's abstract reference to "the law" does not preclude this democratic dimension; it depends on the interpretation given to this term. The Court's reliance on the constitutional traditions of the Member States to elevate this principle to a general principle of EU law is significant, as the EU lacks the power to levy taxes and therefore no EU procedure is provided for this purpose. Furthermore, the presence of the democratic element in almost </w:t>
      </w:r>
      <w:proofErr w:type="gramStart"/>
      <w:r w:rsidRPr="001B6AC1">
        <w:rPr>
          <w:rFonts w:eastAsia="Times New Roman" w:cs="Times New Roman"/>
          <w:kern w:val="0"/>
          <w:lang w:val="en-US" w:eastAsia="fr-BE"/>
          <w14:ligatures w14:val="none"/>
        </w:rPr>
        <w:t>all of</w:t>
      </w:r>
      <w:proofErr w:type="gramEnd"/>
      <w:r w:rsidRPr="001B6AC1">
        <w:rPr>
          <w:rFonts w:eastAsia="Times New Roman" w:cs="Times New Roman"/>
          <w:kern w:val="0"/>
          <w:lang w:val="en-US" w:eastAsia="fr-BE"/>
          <w14:ligatures w14:val="none"/>
        </w:rPr>
        <w:t xml:space="preserve"> the Member States' constitutional traditions should further strengthen this viewpoint.</w:t>
      </w:r>
    </w:p>
    <w:p w14:paraId="5798D5CA" w14:textId="6E429C8F" w:rsidR="00293A2B" w:rsidRPr="001B6AC1" w:rsidRDefault="00293A2B" w:rsidP="00D2688F">
      <w:pPr>
        <w:spacing w:before="100" w:beforeAutospacing="1" w:after="100" w:afterAutospacing="1" w:line="240" w:lineRule="auto"/>
        <w:jc w:val="both"/>
        <w:rPr>
          <w:rFonts w:eastAsia="Times New Roman" w:cs="Times New Roman"/>
          <w:kern w:val="0"/>
          <w:lang w:val="en-US" w:eastAsia="fr-BE"/>
          <w14:ligatures w14:val="none"/>
        </w:rPr>
      </w:pPr>
      <w:r w:rsidRPr="001B6AC1">
        <w:rPr>
          <w:rFonts w:eastAsia="Times New Roman" w:cs="Times New Roman"/>
          <w:kern w:val="0"/>
          <w:lang w:val="en-US" w:eastAsia="fr-BE"/>
          <w14:ligatures w14:val="none"/>
        </w:rPr>
        <w:t xml:space="preserve">In most Member States, taxation is based on the criterion of fiscal residence, while electoral participation depends on citizenship. This disjunction gives rise to two problematic situations </w:t>
      </w:r>
      <w:proofErr w:type="gramStart"/>
      <w:r w:rsidRPr="001B6AC1">
        <w:rPr>
          <w:rFonts w:eastAsia="Times New Roman" w:cs="Times New Roman"/>
          <w:kern w:val="0"/>
          <w:lang w:val="en-US" w:eastAsia="fr-BE"/>
          <w14:ligatures w14:val="none"/>
        </w:rPr>
        <w:t>with regard to</w:t>
      </w:r>
      <w:proofErr w:type="gramEnd"/>
      <w:r w:rsidRPr="001B6AC1">
        <w:rPr>
          <w:rFonts w:eastAsia="Times New Roman" w:cs="Times New Roman"/>
          <w:kern w:val="0"/>
          <w:lang w:val="en-US" w:eastAsia="fr-BE"/>
          <w14:ligatures w14:val="none"/>
        </w:rPr>
        <w:t xml:space="preserve"> democratic legitimacy: on the one hand, non-resident citizens retain voting rights without being subject to national taxation; on the other hand, resident non-citizens—particularly citizens of other Member States—bear the tax burden without participating in national legislative elections</w:t>
      </w:r>
      <w:r w:rsidR="00653C3A" w:rsidRPr="001B6AC1">
        <w:rPr>
          <w:rStyle w:val="Appelnotedebasdep"/>
          <w:rFonts w:eastAsia="Times New Roman" w:cs="Times New Roman"/>
          <w:kern w:val="0"/>
          <w:lang w:val="en-US" w:eastAsia="fr-BE"/>
          <w14:ligatures w14:val="none"/>
        </w:rPr>
        <w:footnoteReference w:id="7"/>
      </w:r>
      <w:r w:rsidRPr="001B6AC1">
        <w:rPr>
          <w:rFonts w:eastAsia="Times New Roman" w:cs="Times New Roman"/>
          <w:kern w:val="0"/>
          <w:lang w:val="en-US" w:eastAsia="fr-BE"/>
          <w14:ligatures w14:val="none"/>
        </w:rPr>
        <w:t>.</w:t>
      </w:r>
      <w:r w:rsidR="00D2688F" w:rsidRPr="001B6AC1">
        <w:rPr>
          <w:rFonts w:eastAsia="Times New Roman" w:cs="Times New Roman"/>
          <w:kern w:val="0"/>
          <w:lang w:val="en-US" w:eastAsia="fr-BE"/>
          <w14:ligatures w14:val="none"/>
        </w:rPr>
        <w:t xml:space="preserve"> </w:t>
      </w:r>
      <w:r w:rsidRPr="001B6AC1">
        <w:rPr>
          <w:rFonts w:eastAsia="Times New Roman" w:cs="Times New Roman"/>
          <w:kern w:val="0"/>
          <w:lang w:val="en-US" w:eastAsia="fr-BE"/>
          <w14:ligatures w14:val="none"/>
        </w:rPr>
        <w:t>Article 22 TFEU does allow EU citizens to vote in municipal elections in their State of residence, but this right remains limited and largely ineffective in the context of national tax legislation, which typically falls within the competence of national parliaments</w:t>
      </w:r>
      <w:r w:rsidR="00653C3A" w:rsidRPr="001B6AC1">
        <w:rPr>
          <w:rStyle w:val="Appelnotedebasdep"/>
          <w:rFonts w:eastAsia="Times New Roman" w:cs="Times New Roman"/>
          <w:kern w:val="0"/>
          <w:lang w:val="en-US" w:eastAsia="fr-BE"/>
          <w14:ligatures w14:val="none"/>
        </w:rPr>
        <w:footnoteReference w:id="8"/>
      </w:r>
      <w:r w:rsidRPr="001B6AC1">
        <w:rPr>
          <w:rFonts w:eastAsia="Times New Roman" w:cs="Times New Roman"/>
          <w:kern w:val="0"/>
          <w:lang w:val="en-US" w:eastAsia="fr-BE"/>
          <w14:ligatures w14:val="none"/>
        </w:rPr>
        <w:t>.</w:t>
      </w:r>
    </w:p>
    <w:p w14:paraId="3B6CCE8C" w14:textId="414F7172" w:rsidR="00293A2B" w:rsidRPr="001B6AC1" w:rsidRDefault="00293A2B" w:rsidP="001B6AC1">
      <w:pPr>
        <w:jc w:val="both"/>
      </w:pPr>
      <w:r w:rsidRPr="001B6AC1">
        <w:rPr>
          <w:lang w:val="en-US" w:eastAsia="fr-BE"/>
        </w:rPr>
        <w:t xml:space="preserve">This gap between electoral citizenship and </w:t>
      </w:r>
      <w:r w:rsidR="008C26E8" w:rsidRPr="001B6AC1">
        <w:rPr>
          <w:lang w:val="en-US" w:eastAsia="fr-BE"/>
        </w:rPr>
        <w:t>tax</w:t>
      </w:r>
      <w:r w:rsidRPr="001B6AC1">
        <w:rPr>
          <w:lang w:val="en-US" w:eastAsia="fr-BE"/>
        </w:rPr>
        <w:t xml:space="preserve"> subjection raises the question of whether suffrage should be extended to resident European taxpayers or, conversely, whether tax obligations should be attached to citizenship. Such reflection requires</w:t>
      </w:r>
      <w:r w:rsidR="008C26E8" w:rsidRPr="001B6AC1">
        <w:rPr>
          <w:lang w:val="en-US" w:eastAsia="fr-BE"/>
        </w:rPr>
        <w:t xml:space="preserve"> not only</w:t>
      </w:r>
      <w:r w:rsidRPr="001B6AC1">
        <w:rPr>
          <w:lang w:val="en-US" w:eastAsia="fr-BE"/>
        </w:rPr>
        <w:t xml:space="preserve"> a reassessment of long-</w:t>
      </w:r>
      <w:r w:rsidRPr="001B6AC1">
        <w:rPr>
          <w:lang w:val="en-US" w:eastAsia="fr-BE"/>
        </w:rPr>
        <w:lastRenderedPageBreak/>
        <w:t xml:space="preserve">established principles of fiscal sovereignty, particularly the </w:t>
      </w:r>
      <w:r w:rsidR="008C26E8" w:rsidRPr="001B6AC1">
        <w:rPr>
          <w:lang w:val="en-US" w:eastAsia="fr-BE"/>
        </w:rPr>
        <w:t xml:space="preserve">concept of tax </w:t>
      </w:r>
      <w:r w:rsidRPr="001B6AC1">
        <w:rPr>
          <w:lang w:val="en-US" w:eastAsia="fr-BE"/>
        </w:rPr>
        <w:t>nexus</w:t>
      </w:r>
      <w:r w:rsidR="00653C3A" w:rsidRPr="001B6AC1">
        <w:rPr>
          <w:rStyle w:val="Appelnotedebasdep"/>
          <w:rFonts w:eastAsia="Times New Roman" w:cs="Times New Roman"/>
          <w:kern w:val="0"/>
          <w:lang w:val="en-US" w:eastAsia="fr-BE"/>
          <w14:ligatures w14:val="none"/>
        </w:rPr>
        <w:footnoteReference w:id="9"/>
      </w:r>
      <w:r w:rsidR="008C26E8" w:rsidRPr="001B6AC1">
        <w:rPr>
          <w:lang w:val="en-US" w:eastAsia="fr-BE"/>
        </w:rPr>
        <w:t>, but questions the very notion of citizenship and nationality</w:t>
      </w:r>
      <w:r w:rsidRPr="001B6AC1">
        <w:rPr>
          <w:lang w:val="en-US" w:eastAsia="fr-BE"/>
        </w:rPr>
        <w:t>.</w:t>
      </w:r>
      <w:r w:rsidR="008C26E8" w:rsidRPr="001B6AC1">
        <w:rPr>
          <w:lang w:val="en-US" w:eastAsia="fr-BE"/>
        </w:rPr>
        <w:t xml:space="preserve"> Long considered – like tax sovereignty- at the core of the member States’ exclusive powers, the granting of citizenship has recently been “</w:t>
      </w:r>
      <w:proofErr w:type="spellStart"/>
      <w:r w:rsidR="008C26E8" w:rsidRPr="001B6AC1">
        <w:rPr>
          <w:lang w:val="en-US" w:eastAsia="fr-BE"/>
        </w:rPr>
        <w:t>europeanized</w:t>
      </w:r>
      <w:proofErr w:type="spellEnd"/>
      <w:r w:rsidR="008C26E8" w:rsidRPr="001B6AC1">
        <w:rPr>
          <w:lang w:val="en-US" w:eastAsia="fr-BE"/>
        </w:rPr>
        <w:t xml:space="preserve">” by the Court of Justice in the Commission v. Malta (citizenship by </w:t>
      </w:r>
      <w:r w:rsidR="000A29E2" w:rsidRPr="001B6AC1">
        <w:rPr>
          <w:lang w:val="en-US" w:eastAsia="fr-BE"/>
        </w:rPr>
        <w:t>investment) case</w:t>
      </w:r>
      <w:r w:rsidR="008C26E8" w:rsidRPr="001B6AC1">
        <w:rPr>
          <w:rStyle w:val="Appelnotedebasdep"/>
          <w:rFonts w:eastAsia="Times New Roman" w:cs="Times New Roman"/>
          <w:kern w:val="0"/>
          <w:lang w:val="en-US" w:eastAsia="fr-BE"/>
          <w14:ligatures w14:val="none"/>
        </w:rPr>
        <w:footnoteReference w:id="10"/>
      </w:r>
      <w:r w:rsidR="008C26E8" w:rsidRPr="001B6AC1">
        <w:rPr>
          <w:lang w:val="en-US" w:eastAsia="fr-BE"/>
        </w:rPr>
        <w:t xml:space="preserve">. </w:t>
      </w:r>
      <w:r w:rsidR="0039075C" w:rsidRPr="001B6AC1">
        <w:rPr>
          <w:lang w:val="en-US" w:eastAsia="fr-BE"/>
        </w:rPr>
        <w:t>According</w:t>
      </w:r>
      <w:r w:rsidR="008C26E8" w:rsidRPr="001B6AC1">
        <w:rPr>
          <w:lang w:val="en-US" w:eastAsia="fr-BE"/>
        </w:rPr>
        <w:t xml:space="preserve"> to the ECJ, Article 20 TFEU and Article 4(3) TEU</w:t>
      </w:r>
      <w:r w:rsidR="00322BBB" w:rsidRPr="001B6AC1">
        <w:rPr>
          <w:lang w:val="en-US" w:eastAsia="fr-BE"/>
        </w:rPr>
        <w:t xml:space="preserve">, an </w:t>
      </w:r>
      <w:r w:rsidR="0039075C" w:rsidRPr="001B6AC1">
        <w:rPr>
          <w:lang w:val="en-US" w:eastAsia="fr-BE"/>
        </w:rPr>
        <w:t>investor</w:t>
      </w:r>
      <w:r w:rsidR="00322BBB" w:rsidRPr="001B6AC1">
        <w:rPr>
          <w:lang w:val="en-US" w:eastAsia="fr-BE"/>
        </w:rPr>
        <w:t xml:space="preserve"> </w:t>
      </w:r>
      <w:r w:rsidR="0039075C" w:rsidRPr="001B6AC1">
        <w:rPr>
          <w:lang w:val="en-US" w:eastAsia="fr-BE"/>
        </w:rPr>
        <w:t>citizenship</w:t>
      </w:r>
      <w:r w:rsidR="00322BBB" w:rsidRPr="001B6AC1">
        <w:rPr>
          <w:lang w:val="en-US" w:eastAsia="fr-BE"/>
        </w:rPr>
        <w:t xml:space="preserve"> scheme establishes “a transactional </w:t>
      </w:r>
      <w:proofErr w:type="spellStart"/>
      <w:r w:rsidR="00322BBB" w:rsidRPr="001B6AC1">
        <w:rPr>
          <w:lang w:val="en-US" w:eastAsia="fr-BE"/>
        </w:rPr>
        <w:t>naturalisation</w:t>
      </w:r>
      <w:proofErr w:type="spellEnd"/>
      <w:r w:rsidR="00322BBB" w:rsidRPr="001B6AC1">
        <w:rPr>
          <w:lang w:val="en-US" w:eastAsia="fr-BE"/>
        </w:rPr>
        <w:t xml:space="preserve"> procedure in exchange for predetermined payments or investments and thus amounts to the </w:t>
      </w:r>
      <w:proofErr w:type="spellStart"/>
      <w:r w:rsidR="00322BBB" w:rsidRPr="001B6AC1">
        <w:rPr>
          <w:lang w:val="en-US" w:eastAsia="fr-BE"/>
        </w:rPr>
        <w:t>commercialisation</w:t>
      </w:r>
      <w:proofErr w:type="spellEnd"/>
      <w:r w:rsidR="00322BBB" w:rsidRPr="001B6AC1">
        <w:rPr>
          <w:lang w:val="en-US" w:eastAsia="fr-BE"/>
        </w:rPr>
        <w:t xml:space="preserve"> of the grant of the nationality of a Member State and, by extension, that of Union citizenship”</w:t>
      </w:r>
      <w:r w:rsidR="00883372">
        <w:rPr>
          <w:rStyle w:val="Appelnotedebasdep"/>
          <w:lang w:val="en-US" w:eastAsia="fr-BE"/>
        </w:rPr>
        <w:footnoteReference w:id="11"/>
      </w:r>
      <w:r w:rsidR="00322BBB" w:rsidRPr="001B6AC1">
        <w:rPr>
          <w:lang w:val="en-US" w:eastAsia="fr-BE"/>
        </w:rPr>
        <w:t>. Such a scheme</w:t>
      </w:r>
      <w:r w:rsidR="00883372">
        <w:rPr>
          <w:lang w:val="en-US" w:eastAsia="fr-BE"/>
        </w:rPr>
        <w:t xml:space="preserve">, </w:t>
      </w:r>
      <w:r w:rsidR="00883372" w:rsidRPr="00883372">
        <w:rPr>
          <w:lang w:val="en-US" w:eastAsia="fr-BE"/>
        </w:rPr>
        <w:t xml:space="preserve">by reducing it </w:t>
      </w:r>
      <w:r w:rsidR="00883372">
        <w:rPr>
          <w:lang w:val="en-US" w:eastAsia="fr-BE"/>
        </w:rPr>
        <w:t>into</w:t>
      </w:r>
      <w:r w:rsidR="00883372" w:rsidRPr="00883372">
        <w:rPr>
          <w:lang w:val="en-US" w:eastAsia="fr-BE"/>
        </w:rPr>
        <w:t xml:space="preserve"> a purely financial transaction and excluding any substantive link with the granting Member State</w:t>
      </w:r>
      <w:r w:rsidR="00883372">
        <w:rPr>
          <w:lang w:val="en-US" w:eastAsia="fr-BE"/>
        </w:rPr>
        <w:t>,</w:t>
      </w:r>
      <w:r w:rsidR="00322BBB" w:rsidRPr="001B6AC1">
        <w:rPr>
          <w:lang w:val="en-US" w:eastAsia="fr-BE"/>
        </w:rPr>
        <w:t xml:space="preserve"> undermines the very idea that “the special relationship of solidarity and good faith between a Member State and its nationals and also the reciprocity of rights and duties form the bedrock of the bond of nationality”</w:t>
      </w:r>
      <w:r w:rsidR="000A29E2">
        <w:rPr>
          <w:rStyle w:val="Appelnotedebasdep"/>
          <w:lang w:val="en-US" w:eastAsia="fr-BE"/>
        </w:rPr>
        <w:footnoteReference w:id="12"/>
      </w:r>
      <w:r w:rsidR="000A29E2">
        <w:rPr>
          <w:lang w:val="en-US" w:eastAsia="fr-BE"/>
        </w:rPr>
        <w:t>.</w:t>
      </w:r>
      <w:r w:rsidR="001774E9" w:rsidRPr="001B6AC1">
        <w:rPr>
          <w:lang w:val="en-US" w:eastAsia="fr-BE"/>
        </w:rPr>
        <w:t xml:space="preserve"> Consequently, Member States can no longer freely determine how citizenship is attributed</w:t>
      </w:r>
      <w:r w:rsidR="00883372">
        <w:rPr>
          <w:lang w:val="en-US" w:eastAsia="fr-BE"/>
        </w:rPr>
        <w:t xml:space="preserve">, </w:t>
      </w:r>
      <w:r w:rsidR="00883372" w:rsidRPr="00883372">
        <w:rPr>
          <w:lang w:val="en-US" w:eastAsia="fr-BE"/>
        </w:rPr>
        <w:t xml:space="preserve">especially when </w:t>
      </w:r>
      <w:r w:rsidR="00883372">
        <w:rPr>
          <w:lang w:val="en-US" w:eastAsia="fr-BE"/>
        </w:rPr>
        <w:t>as a</w:t>
      </w:r>
      <w:r w:rsidR="00883372" w:rsidRPr="00883372">
        <w:rPr>
          <w:lang w:val="en-US" w:eastAsia="fr-BE"/>
        </w:rPr>
        <w:t xml:space="preserve"> result </w:t>
      </w:r>
      <w:r w:rsidR="00883372">
        <w:rPr>
          <w:lang w:val="en-US" w:eastAsia="fr-BE"/>
        </w:rPr>
        <w:t xml:space="preserve">it could be conduce </w:t>
      </w:r>
      <w:r w:rsidR="00883372" w:rsidRPr="00883372">
        <w:rPr>
          <w:lang w:val="en-US" w:eastAsia="fr-BE"/>
        </w:rPr>
        <w:t xml:space="preserve">in a potential </w:t>
      </w:r>
      <w:r w:rsidR="00883372">
        <w:rPr>
          <w:lang w:val="en-US" w:eastAsia="fr-BE"/>
        </w:rPr>
        <w:t>“</w:t>
      </w:r>
      <w:r w:rsidR="00883372" w:rsidRPr="00883372">
        <w:rPr>
          <w:lang w:val="en-US" w:eastAsia="fr-BE"/>
        </w:rPr>
        <w:t>commercialization</w:t>
      </w:r>
      <w:r w:rsidR="00883372">
        <w:rPr>
          <w:lang w:val="en-US" w:eastAsia="fr-BE"/>
        </w:rPr>
        <w:t>”</w:t>
      </w:r>
      <w:r w:rsidR="00883372" w:rsidRPr="00883372">
        <w:rPr>
          <w:lang w:val="en-US" w:eastAsia="fr-BE"/>
        </w:rPr>
        <w:t xml:space="preserve"> of EU citizenship</w:t>
      </w:r>
      <w:r w:rsidR="001774E9" w:rsidRPr="001B6AC1">
        <w:rPr>
          <w:lang w:val="en-US" w:eastAsia="fr-BE"/>
        </w:rPr>
        <w:t>. They must also consider that citizenship of a single Member State involves the European Union as a whole.</w:t>
      </w:r>
      <w:r w:rsidR="00883372">
        <w:rPr>
          <w:lang w:val="en-US" w:eastAsia="fr-BE"/>
        </w:rPr>
        <w:t xml:space="preserve"> </w:t>
      </w:r>
      <w:r w:rsidR="00883372" w:rsidRPr="00883372">
        <w:rPr>
          <w:lang w:val="en-US" w:eastAsia="fr-BE"/>
        </w:rPr>
        <w:t xml:space="preserve">The ruling places EU citizenship beyond the reach of market logic. Based on the idea that access to EU citizenship must be based on genuine ties, the Court has set a precedent for interpreting EU citizenship as a political, not merely economic, bond. This paves the way for harmonizing citizenship rules and, ultimately, tax domicile, strengthening the EU's legal boundaries against national practices that </w:t>
      </w:r>
      <w:r w:rsidR="00EC4793">
        <w:rPr>
          <w:lang w:val="en-US" w:eastAsia="fr-BE"/>
        </w:rPr>
        <w:t xml:space="preserve">undermine </w:t>
      </w:r>
      <w:r w:rsidR="00883372" w:rsidRPr="00883372">
        <w:rPr>
          <w:lang w:val="en-US" w:eastAsia="fr-BE"/>
        </w:rPr>
        <w:t>its fundamental values.</w:t>
      </w:r>
    </w:p>
    <w:p w14:paraId="583CA7B3" w14:textId="77777777" w:rsidR="00293A2B" w:rsidRPr="001B6AC1" w:rsidRDefault="00293A2B" w:rsidP="00C46253">
      <w:pPr>
        <w:pStyle w:val="Titre1"/>
        <w:rPr>
          <w:rFonts w:eastAsia="Times New Roman"/>
          <w:lang w:val="en-US" w:eastAsia="fr-BE"/>
        </w:rPr>
      </w:pPr>
      <w:r w:rsidRPr="001B6AC1">
        <w:rPr>
          <w:rFonts w:eastAsia="Times New Roman"/>
          <w:lang w:val="en-US" w:eastAsia="fr-BE"/>
        </w:rPr>
        <w:t>II. Procedural Legitimacy: Tax Norm-Making and the Crisis of Representativity</w:t>
      </w:r>
    </w:p>
    <w:p w14:paraId="29FA6BE0" w14:textId="38AA7AD9" w:rsidR="00293A2B" w:rsidRPr="001B6AC1" w:rsidRDefault="00293A2B" w:rsidP="0039075C">
      <w:pPr>
        <w:spacing w:before="100" w:beforeAutospacing="1" w:after="100" w:afterAutospacing="1" w:line="240" w:lineRule="auto"/>
        <w:jc w:val="both"/>
        <w:rPr>
          <w:rFonts w:eastAsia="Times New Roman" w:cs="Times New Roman"/>
          <w:kern w:val="0"/>
          <w:lang w:val="en-US" w:eastAsia="fr-BE"/>
          <w14:ligatures w14:val="none"/>
        </w:rPr>
      </w:pPr>
      <w:r w:rsidRPr="001B6AC1">
        <w:rPr>
          <w:rFonts w:eastAsia="Times New Roman" w:cs="Times New Roman"/>
          <w:kern w:val="0"/>
          <w:lang w:val="en-US" w:eastAsia="fr-BE"/>
          <w14:ligatures w14:val="none"/>
        </w:rPr>
        <w:t>EU tax law is primarily enacted via directives,</w:t>
      </w:r>
      <w:r w:rsidR="001774E9" w:rsidRPr="001B6AC1">
        <w:rPr>
          <w:rFonts w:eastAsia="Times New Roman" w:cs="Times New Roman"/>
          <w:kern w:val="0"/>
          <w:lang w:val="en-US" w:eastAsia="fr-BE"/>
          <w14:ligatures w14:val="none"/>
        </w:rPr>
        <w:t xml:space="preserve"> and more rarely </w:t>
      </w:r>
      <w:proofErr w:type="spellStart"/>
      <w:r w:rsidR="001774E9" w:rsidRPr="001B6AC1">
        <w:rPr>
          <w:rFonts w:eastAsia="Times New Roman" w:cs="Times New Roman"/>
          <w:kern w:val="0"/>
          <w:lang w:val="en-US" w:eastAsia="fr-BE"/>
          <w14:ligatures w14:val="none"/>
        </w:rPr>
        <w:t>regulatons</w:t>
      </w:r>
      <w:proofErr w:type="spellEnd"/>
      <w:r w:rsidR="001774E9" w:rsidRPr="001B6AC1">
        <w:rPr>
          <w:rFonts w:eastAsia="Times New Roman" w:cs="Times New Roman"/>
          <w:kern w:val="0"/>
          <w:lang w:val="en-US" w:eastAsia="fr-BE"/>
          <w14:ligatures w14:val="none"/>
        </w:rPr>
        <w:t>,</w:t>
      </w:r>
      <w:r w:rsidRPr="001B6AC1">
        <w:rPr>
          <w:rFonts w:eastAsia="Times New Roman" w:cs="Times New Roman"/>
          <w:kern w:val="0"/>
          <w:lang w:val="en-US" w:eastAsia="fr-BE"/>
          <w14:ligatures w14:val="none"/>
        </w:rPr>
        <w:t xml:space="preserve"> pursuant to Article </w:t>
      </w:r>
      <w:r w:rsidR="0039075C" w:rsidRPr="001B6AC1">
        <w:rPr>
          <w:rFonts w:eastAsia="Times New Roman" w:cs="Times New Roman"/>
          <w:kern w:val="0"/>
          <w:lang w:val="en-US" w:eastAsia="fr-BE"/>
          <w14:ligatures w14:val="none"/>
        </w:rPr>
        <w:t xml:space="preserve">113 and </w:t>
      </w:r>
      <w:r w:rsidRPr="001B6AC1">
        <w:rPr>
          <w:rFonts w:eastAsia="Times New Roman" w:cs="Times New Roman"/>
          <w:kern w:val="0"/>
          <w:lang w:val="en-US" w:eastAsia="fr-BE"/>
          <w14:ligatures w14:val="none"/>
        </w:rPr>
        <w:t>115 TFEU</w:t>
      </w:r>
      <w:r w:rsidR="000A29E2">
        <w:rPr>
          <w:rStyle w:val="Appelnotedebasdep"/>
          <w:rFonts w:eastAsia="Times New Roman" w:cs="Times New Roman"/>
          <w:kern w:val="0"/>
          <w:lang w:val="en-US" w:eastAsia="fr-BE"/>
          <w14:ligatures w14:val="none"/>
        </w:rPr>
        <w:footnoteReference w:id="13"/>
      </w:r>
      <w:r w:rsidRPr="001B6AC1">
        <w:rPr>
          <w:rFonts w:eastAsia="Times New Roman" w:cs="Times New Roman"/>
          <w:kern w:val="0"/>
          <w:lang w:val="en-US" w:eastAsia="fr-BE"/>
          <w14:ligatures w14:val="none"/>
        </w:rPr>
        <w:t>. This legal basis requires unanimity in the Council and only consultation of the European Parliament, which raises concerns regarding representative democracy</w:t>
      </w:r>
      <w:r w:rsidR="00C3309B" w:rsidRPr="001B6AC1">
        <w:rPr>
          <w:rFonts w:eastAsia="Times New Roman" w:cs="Times New Roman"/>
          <w:kern w:val="0"/>
          <w:lang w:val="en-US" w:eastAsia="fr-BE"/>
          <w14:ligatures w14:val="none"/>
        </w:rPr>
        <w:t>, a value explicitly embedded in Article 10</w:t>
      </w:r>
      <w:r w:rsidR="000A29E2">
        <w:rPr>
          <w:rFonts w:eastAsia="Times New Roman" w:cs="Times New Roman"/>
          <w:kern w:val="0"/>
          <w:lang w:val="en-US" w:eastAsia="fr-BE"/>
          <w14:ligatures w14:val="none"/>
        </w:rPr>
        <w:t xml:space="preserve"> (1)</w:t>
      </w:r>
      <w:r w:rsidR="00C3309B" w:rsidRPr="001B6AC1">
        <w:rPr>
          <w:rFonts w:eastAsia="Times New Roman" w:cs="Times New Roman"/>
          <w:kern w:val="0"/>
          <w:lang w:val="en-US" w:eastAsia="fr-BE"/>
          <w14:ligatures w14:val="none"/>
        </w:rPr>
        <w:t xml:space="preserve"> TEU, according to which “the </w:t>
      </w:r>
      <w:proofErr w:type="spellStart"/>
      <w:r w:rsidR="00C3309B" w:rsidRPr="001B6AC1">
        <w:rPr>
          <w:rFonts w:cs="Times New Roman"/>
        </w:rPr>
        <w:t>functioning</w:t>
      </w:r>
      <w:proofErr w:type="spellEnd"/>
      <w:r w:rsidR="00C3309B" w:rsidRPr="001B6AC1">
        <w:rPr>
          <w:rFonts w:cs="Times New Roman"/>
        </w:rPr>
        <w:t xml:space="preserve"> of the Union </w:t>
      </w:r>
      <w:proofErr w:type="spellStart"/>
      <w:r w:rsidR="00C3309B" w:rsidRPr="001B6AC1">
        <w:rPr>
          <w:rFonts w:cs="Times New Roman"/>
        </w:rPr>
        <w:t>shall</w:t>
      </w:r>
      <w:proofErr w:type="spellEnd"/>
      <w:r w:rsidR="00C3309B" w:rsidRPr="001B6AC1">
        <w:rPr>
          <w:rFonts w:cs="Times New Roman"/>
        </w:rPr>
        <w:t xml:space="preserve"> </w:t>
      </w:r>
      <w:proofErr w:type="spellStart"/>
      <w:r w:rsidR="00C3309B" w:rsidRPr="001B6AC1">
        <w:rPr>
          <w:rFonts w:cs="Times New Roman"/>
        </w:rPr>
        <w:t>be</w:t>
      </w:r>
      <w:proofErr w:type="spellEnd"/>
      <w:r w:rsidR="00C3309B" w:rsidRPr="001B6AC1">
        <w:rPr>
          <w:rFonts w:cs="Times New Roman"/>
        </w:rPr>
        <w:t xml:space="preserve"> </w:t>
      </w:r>
      <w:proofErr w:type="spellStart"/>
      <w:r w:rsidR="00C3309B" w:rsidRPr="001B6AC1">
        <w:rPr>
          <w:rFonts w:cs="Times New Roman"/>
        </w:rPr>
        <w:t>founded</w:t>
      </w:r>
      <w:proofErr w:type="spellEnd"/>
      <w:r w:rsidR="00C3309B" w:rsidRPr="001B6AC1">
        <w:rPr>
          <w:rFonts w:cs="Times New Roman"/>
        </w:rPr>
        <w:t xml:space="preserve"> on </w:t>
      </w:r>
      <w:proofErr w:type="spellStart"/>
      <w:r w:rsidR="00C3309B" w:rsidRPr="001B6AC1">
        <w:rPr>
          <w:rFonts w:cs="Times New Roman"/>
        </w:rPr>
        <w:t>representative</w:t>
      </w:r>
      <w:proofErr w:type="spellEnd"/>
      <w:r w:rsidR="00C3309B" w:rsidRPr="001B6AC1">
        <w:rPr>
          <w:rFonts w:cs="Times New Roman"/>
        </w:rPr>
        <w:t xml:space="preserve"> </w:t>
      </w:r>
      <w:proofErr w:type="spellStart"/>
      <w:r w:rsidR="00C3309B" w:rsidRPr="001B6AC1">
        <w:rPr>
          <w:rFonts w:cs="Times New Roman"/>
        </w:rPr>
        <w:t>democracy</w:t>
      </w:r>
      <w:proofErr w:type="spellEnd"/>
      <w:r w:rsidR="000A29E2">
        <w:rPr>
          <w:rFonts w:cs="Times New Roman"/>
        </w:rPr>
        <w:t>’’.</w:t>
      </w:r>
      <w:r w:rsidR="00C3309B" w:rsidRPr="001B6AC1">
        <w:rPr>
          <w:rFonts w:cs="Times New Roman"/>
        </w:rPr>
        <w:t xml:space="preserve"> </w:t>
      </w:r>
    </w:p>
    <w:p w14:paraId="167D7530" w14:textId="74CD1EAF" w:rsidR="0039075C" w:rsidRPr="001B6AC1" w:rsidRDefault="0039075C" w:rsidP="0039075C">
      <w:pPr>
        <w:spacing w:before="100" w:beforeAutospacing="1" w:after="100" w:afterAutospacing="1" w:line="240" w:lineRule="auto"/>
        <w:jc w:val="both"/>
        <w:rPr>
          <w:rFonts w:eastAsia="Times New Roman" w:cs="Times New Roman"/>
          <w:kern w:val="0"/>
          <w:lang w:val="en-US" w:eastAsia="fr-BE"/>
          <w14:ligatures w14:val="none"/>
        </w:rPr>
      </w:pPr>
      <w:r w:rsidRPr="001B6AC1">
        <w:rPr>
          <w:rFonts w:eastAsia="Times New Roman" w:cs="Times New Roman"/>
          <w:kern w:val="0"/>
          <w:lang w:val="en-US" w:eastAsia="fr-BE"/>
          <w14:ligatures w14:val="none"/>
        </w:rPr>
        <w:lastRenderedPageBreak/>
        <w:t>Although the European Parliament is not a co-legislator in tax matters (see Article 113 and 115 TFEU), it has nonetheless engaged in soft law activity and policy evaluation, for example through the establishment of a dedicated subcommittee</w:t>
      </w:r>
      <w:r w:rsidRPr="001B6AC1">
        <w:rPr>
          <w:rStyle w:val="Appelnotedebasdep"/>
          <w:rFonts w:eastAsia="Times New Roman" w:cs="Times New Roman"/>
          <w:kern w:val="0"/>
          <w:lang w:val="en-US" w:eastAsia="fr-BE"/>
          <w14:ligatures w14:val="none"/>
        </w:rPr>
        <w:footnoteReference w:id="14"/>
      </w:r>
      <w:r w:rsidRPr="001B6AC1">
        <w:rPr>
          <w:rFonts w:eastAsia="Times New Roman" w:cs="Times New Roman"/>
          <w:kern w:val="0"/>
          <w:lang w:val="en-US" w:eastAsia="fr-BE"/>
          <w14:ligatures w14:val="none"/>
        </w:rPr>
        <w:t xml:space="preserve"> or the adoption of resolutions</w:t>
      </w:r>
      <w:r w:rsidR="001774E9" w:rsidRPr="001B6AC1">
        <w:rPr>
          <w:rFonts w:eastAsia="Times New Roman" w:cs="Times New Roman"/>
          <w:kern w:val="0"/>
          <w:lang w:val="en-US" w:eastAsia="fr-BE"/>
          <w14:ligatures w14:val="none"/>
        </w:rPr>
        <w:t xml:space="preserve"> on draft legislation or on tax subjects with a cross-border relevance</w:t>
      </w:r>
      <w:r w:rsidRPr="001B6AC1">
        <w:rPr>
          <w:rStyle w:val="Appelnotedebasdep"/>
          <w:rFonts w:eastAsia="Times New Roman" w:cs="Times New Roman"/>
          <w:kern w:val="0"/>
          <w:lang w:val="en-US" w:eastAsia="fr-BE"/>
          <w14:ligatures w14:val="none"/>
        </w:rPr>
        <w:footnoteReference w:id="15"/>
      </w:r>
      <w:r w:rsidRPr="001B6AC1">
        <w:rPr>
          <w:rFonts w:eastAsia="Times New Roman" w:cs="Times New Roman"/>
          <w:kern w:val="0"/>
          <w:lang w:val="en-US" w:eastAsia="fr-BE"/>
          <w14:ligatures w14:val="none"/>
        </w:rPr>
        <w:t xml:space="preserve">. This activity may be interpreted as a symbolic attempt to </w:t>
      </w:r>
      <w:proofErr w:type="spellStart"/>
      <w:r w:rsidRPr="001B6AC1">
        <w:rPr>
          <w:rFonts w:eastAsia="Times New Roman" w:cs="Times New Roman"/>
          <w:kern w:val="0"/>
          <w:lang w:val="en-US" w:eastAsia="fr-BE"/>
          <w14:ligatures w14:val="none"/>
        </w:rPr>
        <w:t>legitimise</w:t>
      </w:r>
      <w:proofErr w:type="spellEnd"/>
      <w:r w:rsidRPr="001B6AC1">
        <w:rPr>
          <w:rFonts w:eastAsia="Times New Roman" w:cs="Times New Roman"/>
          <w:kern w:val="0"/>
          <w:lang w:val="en-US" w:eastAsia="fr-BE"/>
          <w14:ligatures w14:val="none"/>
        </w:rPr>
        <w:t xml:space="preserve"> the EU’s tax authority by anchoring it in the democratic representation of Union citizens.</w:t>
      </w:r>
    </w:p>
    <w:p w14:paraId="07092ECB" w14:textId="34C7271D" w:rsidR="00293A2B" w:rsidRPr="001B6AC1" w:rsidRDefault="00293A2B" w:rsidP="0039075C">
      <w:pPr>
        <w:spacing w:before="100" w:beforeAutospacing="1" w:after="100" w:afterAutospacing="1" w:line="240" w:lineRule="auto"/>
        <w:jc w:val="both"/>
        <w:rPr>
          <w:rFonts w:eastAsia="Times New Roman" w:cs="Times New Roman"/>
          <w:kern w:val="0"/>
          <w:lang w:val="en-US" w:eastAsia="fr-BE"/>
          <w14:ligatures w14:val="none"/>
        </w:rPr>
      </w:pPr>
      <w:r w:rsidRPr="001B6AC1">
        <w:rPr>
          <w:rFonts w:eastAsia="Times New Roman" w:cs="Times New Roman"/>
          <w:kern w:val="0"/>
          <w:lang w:val="en-US" w:eastAsia="fr-BE"/>
          <w14:ligatures w14:val="none"/>
        </w:rPr>
        <w:t xml:space="preserve">This structural democratic deficit is frequently denounced, particularly in the context of ambitious tax reforms (e.g., the BEFIT project, corporate tax reform, the carbon border adjustment mechanism). It stems from a dual </w:t>
      </w:r>
      <w:proofErr w:type="spellStart"/>
      <w:r w:rsidRPr="001B6AC1">
        <w:rPr>
          <w:rFonts w:eastAsia="Times New Roman" w:cs="Times New Roman"/>
          <w:kern w:val="0"/>
          <w:lang w:val="en-US" w:eastAsia="fr-BE"/>
          <w14:ligatures w14:val="none"/>
        </w:rPr>
        <w:t>marginalisation</w:t>
      </w:r>
      <w:proofErr w:type="spellEnd"/>
      <w:r w:rsidRPr="001B6AC1">
        <w:rPr>
          <w:rFonts w:eastAsia="Times New Roman" w:cs="Times New Roman"/>
          <w:kern w:val="0"/>
          <w:lang w:val="en-US" w:eastAsia="fr-BE"/>
          <w14:ligatures w14:val="none"/>
        </w:rPr>
        <w:t>: that of the European Parliament, relegated to an advisory role, and that of national parliaments, which do not directly participate in the adoption of these norms, despite their impact on tax bases and domestic fiscal competences</w:t>
      </w:r>
      <w:r w:rsidR="000A29E2">
        <w:rPr>
          <w:rFonts w:eastAsia="Times New Roman" w:cs="Times New Roman"/>
          <w:kern w:val="0"/>
          <w:lang w:val="en-US" w:eastAsia="fr-BE"/>
          <w14:ligatures w14:val="none"/>
        </w:rPr>
        <w:t>.</w:t>
      </w:r>
    </w:p>
    <w:p w14:paraId="0654E0FD" w14:textId="06E99A32" w:rsidR="00293A2B" w:rsidRPr="001B6AC1" w:rsidRDefault="00293A2B" w:rsidP="0039075C">
      <w:pPr>
        <w:spacing w:before="100" w:beforeAutospacing="1" w:after="100" w:afterAutospacing="1" w:line="240" w:lineRule="auto"/>
        <w:jc w:val="both"/>
        <w:rPr>
          <w:rFonts w:eastAsia="Times New Roman" w:cs="Times New Roman"/>
          <w:kern w:val="0"/>
          <w:lang w:val="en-US" w:eastAsia="fr-BE"/>
          <w14:ligatures w14:val="none"/>
        </w:rPr>
      </w:pPr>
      <w:r w:rsidRPr="001B6AC1">
        <w:rPr>
          <w:rFonts w:eastAsia="Times New Roman" w:cs="Times New Roman"/>
          <w:kern w:val="0"/>
          <w:lang w:val="en-US" w:eastAsia="fr-BE"/>
          <w14:ligatures w14:val="none"/>
        </w:rPr>
        <w:t xml:space="preserve">However, this critique must be nuanced by recalling that EU legislative procedures cannot be compared to national ones. Even domestically, tax lawmaking is increasingly removed from classical parliamentary oversight. </w:t>
      </w:r>
      <w:r w:rsidR="00307221" w:rsidRPr="001B6AC1">
        <w:rPr>
          <w:rFonts w:eastAsia="Times New Roman" w:cs="Times New Roman"/>
          <w:kern w:val="0"/>
          <w:lang w:val="en-US" w:eastAsia="fr-BE"/>
          <w14:ligatures w14:val="none"/>
        </w:rPr>
        <w:t>The delegation of power to the executive branch, the increasing technical nature of norms, and the influence of non-state actors (such as interest groups, experts, and NGOs) have transformed legislative production into a more technocratic and fragmented process than classical representative democratic theory would suggest</w:t>
      </w:r>
      <w:r w:rsidR="005C7C24" w:rsidRPr="001B6AC1">
        <w:rPr>
          <w:rStyle w:val="Appelnotedebasdep"/>
          <w:rFonts w:eastAsia="Times New Roman" w:cs="Times New Roman"/>
          <w:kern w:val="0"/>
          <w:lang w:val="en-US" w:eastAsia="fr-BE"/>
          <w14:ligatures w14:val="none"/>
        </w:rPr>
        <w:footnoteReference w:id="16"/>
      </w:r>
      <w:r w:rsidRPr="001B6AC1">
        <w:rPr>
          <w:rFonts w:eastAsia="Times New Roman" w:cs="Times New Roman"/>
          <w:kern w:val="0"/>
          <w:lang w:val="en-US" w:eastAsia="fr-BE"/>
          <w14:ligatures w14:val="none"/>
        </w:rPr>
        <w:t>.</w:t>
      </w:r>
      <w:r w:rsidR="000A29E2">
        <w:rPr>
          <w:rFonts w:eastAsia="Times New Roman" w:cs="Times New Roman"/>
          <w:kern w:val="0"/>
          <w:lang w:val="en-US" w:eastAsia="fr-BE"/>
          <w14:ligatures w14:val="none"/>
        </w:rPr>
        <w:t xml:space="preserve"> In addition, domestic Parliaments</w:t>
      </w:r>
      <w:r w:rsidR="000A29E2" w:rsidRPr="000A29E2">
        <w:rPr>
          <w:rFonts w:eastAsia="Times New Roman" w:cs="Times New Roman"/>
          <w:kern w:val="0"/>
          <w:lang w:val="en-US" w:eastAsia="fr-BE"/>
          <w14:ligatures w14:val="none"/>
        </w:rPr>
        <w:t xml:space="preserve"> </w:t>
      </w:r>
      <w:r w:rsidR="000A29E2">
        <w:rPr>
          <w:rFonts w:eastAsia="Times New Roman" w:cs="Times New Roman"/>
          <w:kern w:val="0"/>
          <w:lang w:val="en-US" w:eastAsia="fr-BE"/>
          <w14:ligatures w14:val="none"/>
        </w:rPr>
        <w:t xml:space="preserve">can be entitled to </w:t>
      </w:r>
      <w:r w:rsidR="000A29E2" w:rsidRPr="000A29E2">
        <w:rPr>
          <w:rFonts w:eastAsia="Times New Roman" w:cs="Times New Roman"/>
          <w:kern w:val="0"/>
          <w:lang w:val="en-US" w:eastAsia="fr-BE"/>
          <w14:ligatures w14:val="none"/>
        </w:rPr>
        <w:t xml:space="preserve">adopt own </w:t>
      </w:r>
      <w:r w:rsidR="000A29E2">
        <w:rPr>
          <w:rFonts w:eastAsia="Times New Roman" w:cs="Times New Roman"/>
          <w:kern w:val="0"/>
          <w:lang w:val="en-US" w:eastAsia="fr-BE"/>
          <w14:ligatures w14:val="none"/>
        </w:rPr>
        <w:t>r</w:t>
      </w:r>
      <w:r w:rsidR="000A29E2" w:rsidRPr="000A29E2">
        <w:rPr>
          <w:rFonts w:eastAsia="Times New Roman" w:cs="Times New Roman"/>
          <w:kern w:val="0"/>
          <w:lang w:val="en-US" w:eastAsia="fr-BE"/>
          <w14:ligatures w14:val="none"/>
        </w:rPr>
        <w:t xml:space="preserve">ules of </w:t>
      </w:r>
      <w:r w:rsidR="000A29E2">
        <w:rPr>
          <w:rFonts w:eastAsia="Times New Roman" w:cs="Times New Roman"/>
          <w:kern w:val="0"/>
          <w:lang w:val="en-US" w:eastAsia="fr-BE"/>
          <w14:ligatures w14:val="none"/>
        </w:rPr>
        <w:t>p</w:t>
      </w:r>
      <w:r w:rsidR="000A29E2" w:rsidRPr="000A29E2">
        <w:rPr>
          <w:rFonts w:eastAsia="Times New Roman" w:cs="Times New Roman"/>
          <w:kern w:val="0"/>
          <w:lang w:val="en-US" w:eastAsia="fr-BE"/>
          <w14:ligatures w14:val="none"/>
        </w:rPr>
        <w:t xml:space="preserve">rocedure to govern the organization and </w:t>
      </w:r>
      <w:r w:rsidR="000A29E2">
        <w:rPr>
          <w:rFonts w:eastAsia="Times New Roman" w:cs="Times New Roman"/>
          <w:kern w:val="0"/>
          <w:lang w:val="en-US" w:eastAsia="fr-BE"/>
          <w14:ligatures w14:val="none"/>
        </w:rPr>
        <w:t>the work of the assembly,</w:t>
      </w:r>
      <w:r w:rsidR="000A29E2" w:rsidRPr="000A29E2">
        <w:rPr>
          <w:rFonts w:eastAsia="Times New Roman" w:cs="Times New Roman"/>
          <w:kern w:val="0"/>
          <w:lang w:val="en-US" w:eastAsia="fr-BE"/>
          <w14:ligatures w14:val="none"/>
        </w:rPr>
        <w:t xml:space="preserve"> and </w:t>
      </w:r>
      <w:r w:rsidR="000A29E2">
        <w:rPr>
          <w:rFonts w:eastAsia="Times New Roman" w:cs="Times New Roman"/>
          <w:kern w:val="0"/>
          <w:lang w:val="en-US" w:eastAsia="fr-BE"/>
          <w14:ligatures w14:val="none"/>
        </w:rPr>
        <w:t xml:space="preserve">such rules </w:t>
      </w:r>
      <w:r w:rsidR="000A29E2" w:rsidRPr="000A29E2">
        <w:rPr>
          <w:rFonts w:eastAsia="Times New Roman" w:cs="Times New Roman"/>
          <w:kern w:val="0"/>
          <w:lang w:val="en-US" w:eastAsia="fr-BE"/>
          <w14:ligatures w14:val="none"/>
        </w:rPr>
        <w:t xml:space="preserve">may provide for rules affecting the duration and depth of debate on </w:t>
      </w:r>
      <w:r w:rsidR="000A29E2">
        <w:rPr>
          <w:rFonts w:eastAsia="Times New Roman" w:cs="Times New Roman"/>
          <w:kern w:val="0"/>
          <w:lang w:val="en-US" w:eastAsia="fr-BE"/>
          <w14:ligatures w14:val="none"/>
        </w:rPr>
        <w:t>texts proposed by G</w:t>
      </w:r>
      <w:r w:rsidR="000A29E2" w:rsidRPr="000A29E2">
        <w:rPr>
          <w:rFonts w:eastAsia="Times New Roman" w:cs="Times New Roman"/>
          <w:kern w:val="0"/>
          <w:lang w:val="en-US" w:eastAsia="fr-BE"/>
          <w14:ligatures w14:val="none"/>
        </w:rPr>
        <w:t>overnment</w:t>
      </w:r>
      <w:r w:rsidR="000A29E2">
        <w:rPr>
          <w:rFonts w:eastAsia="Times New Roman" w:cs="Times New Roman"/>
          <w:kern w:val="0"/>
          <w:lang w:val="en-US" w:eastAsia="fr-BE"/>
          <w14:ligatures w14:val="none"/>
        </w:rPr>
        <w:t>s</w:t>
      </w:r>
      <w:r w:rsidR="000A29E2" w:rsidRPr="000A29E2">
        <w:rPr>
          <w:rFonts w:eastAsia="Times New Roman" w:cs="Times New Roman"/>
          <w:kern w:val="0"/>
          <w:lang w:val="en-US" w:eastAsia="fr-BE"/>
          <w14:ligatures w14:val="none"/>
        </w:rPr>
        <w:t>.</w:t>
      </w:r>
      <w:r w:rsidR="000A29E2">
        <w:rPr>
          <w:rFonts w:eastAsia="Times New Roman" w:cs="Times New Roman"/>
          <w:kern w:val="0"/>
          <w:lang w:val="en-US" w:eastAsia="fr-BE"/>
          <w14:ligatures w14:val="none"/>
        </w:rPr>
        <w:t xml:space="preserve"> Moreover</w:t>
      </w:r>
      <w:r w:rsidR="000A29E2" w:rsidRPr="000A29E2">
        <w:rPr>
          <w:rFonts w:eastAsia="Times New Roman" w:cs="Times New Roman"/>
          <w:kern w:val="0"/>
          <w:lang w:val="en-US" w:eastAsia="fr-BE"/>
          <w14:ligatures w14:val="none"/>
        </w:rPr>
        <w:t xml:space="preserve">, </w:t>
      </w:r>
      <w:r w:rsidR="000A29E2">
        <w:rPr>
          <w:rFonts w:eastAsia="Times New Roman" w:cs="Times New Roman"/>
          <w:kern w:val="0"/>
          <w:lang w:val="en-US" w:eastAsia="fr-BE"/>
          <w14:ligatures w14:val="none"/>
        </w:rPr>
        <w:t>domestic rules could</w:t>
      </w:r>
      <w:r w:rsidR="000A29E2" w:rsidRPr="000A29E2">
        <w:rPr>
          <w:rFonts w:eastAsia="Times New Roman" w:cs="Times New Roman"/>
          <w:kern w:val="0"/>
          <w:lang w:val="en-US" w:eastAsia="fr-BE"/>
          <w14:ligatures w14:val="none"/>
        </w:rPr>
        <w:t xml:space="preserve"> provide that the </w:t>
      </w:r>
      <w:r w:rsidR="000A29E2">
        <w:rPr>
          <w:rFonts w:eastAsia="Times New Roman" w:cs="Times New Roman"/>
          <w:kern w:val="0"/>
          <w:lang w:val="en-US" w:eastAsia="fr-BE"/>
          <w14:ligatures w14:val="none"/>
        </w:rPr>
        <w:t>G</w:t>
      </w:r>
      <w:r w:rsidR="000A29E2" w:rsidRPr="000A29E2">
        <w:rPr>
          <w:rFonts w:eastAsia="Times New Roman" w:cs="Times New Roman"/>
          <w:kern w:val="0"/>
          <w:lang w:val="en-US" w:eastAsia="fr-BE"/>
          <w14:ligatures w14:val="none"/>
        </w:rPr>
        <w:t xml:space="preserve">overnment </w:t>
      </w:r>
      <w:r w:rsidR="000A29E2">
        <w:rPr>
          <w:rFonts w:eastAsia="Times New Roman" w:cs="Times New Roman"/>
          <w:kern w:val="0"/>
          <w:lang w:val="en-US" w:eastAsia="fr-BE"/>
          <w14:ligatures w14:val="none"/>
        </w:rPr>
        <w:t xml:space="preserve">within a motion of confidence </w:t>
      </w:r>
      <w:r w:rsidR="000A29E2" w:rsidRPr="000A29E2">
        <w:rPr>
          <w:rFonts w:eastAsia="Times New Roman" w:cs="Times New Roman"/>
          <w:kern w:val="0"/>
          <w:lang w:val="en-US" w:eastAsia="fr-BE"/>
          <w14:ligatures w14:val="none"/>
        </w:rPr>
        <w:t xml:space="preserve">may propose a text of a law that must be </w:t>
      </w:r>
      <w:r w:rsidR="000A29E2">
        <w:rPr>
          <w:rFonts w:eastAsia="Times New Roman" w:cs="Times New Roman"/>
          <w:kern w:val="0"/>
          <w:lang w:val="en-US" w:eastAsia="fr-BE"/>
          <w14:ligatures w14:val="none"/>
        </w:rPr>
        <w:t>approved by Parliament</w:t>
      </w:r>
      <w:r w:rsidR="000A29E2" w:rsidRPr="000A29E2">
        <w:rPr>
          <w:rFonts w:eastAsia="Times New Roman" w:cs="Times New Roman"/>
          <w:kern w:val="0"/>
          <w:lang w:val="en-US" w:eastAsia="fr-BE"/>
          <w14:ligatures w14:val="none"/>
        </w:rPr>
        <w:t xml:space="preserve"> without </w:t>
      </w:r>
      <w:r w:rsidR="000A29E2">
        <w:rPr>
          <w:rFonts w:eastAsia="Times New Roman" w:cs="Times New Roman"/>
          <w:kern w:val="0"/>
          <w:lang w:val="en-US" w:eastAsia="fr-BE"/>
          <w14:ligatures w14:val="none"/>
        </w:rPr>
        <w:t xml:space="preserve">discussions and </w:t>
      </w:r>
      <w:r w:rsidR="000A29E2" w:rsidRPr="000A29E2">
        <w:rPr>
          <w:rFonts w:eastAsia="Times New Roman" w:cs="Times New Roman"/>
          <w:kern w:val="0"/>
          <w:lang w:val="en-US" w:eastAsia="fr-BE"/>
          <w14:ligatures w14:val="none"/>
        </w:rPr>
        <w:t>amendment</w:t>
      </w:r>
      <w:r w:rsidR="000A29E2">
        <w:rPr>
          <w:rFonts w:eastAsia="Times New Roman" w:cs="Times New Roman"/>
          <w:kern w:val="0"/>
          <w:lang w:val="en-US" w:eastAsia="fr-BE"/>
          <w14:ligatures w14:val="none"/>
        </w:rPr>
        <w:t>s</w:t>
      </w:r>
      <w:r w:rsidR="000A29E2" w:rsidRPr="000A29E2">
        <w:rPr>
          <w:rFonts w:eastAsia="Times New Roman" w:cs="Times New Roman"/>
          <w:kern w:val="0"/>
          <w:lang w:val="en-US" w:eastAsia="fr-BE"/>
          <w14:ligatures w14:val="none"/>
        </w:rPr>
        <w:t xml:space="preserve">, and this factor also reduces the democratic legitimacy of laws </w:t>
      </w:r>
      <w:r w:rsidR="000A29E2">
        <w:rPr>
          <w:rFonts w:eastAsia="Times New Roman" w:cs="Times New Roman"/>
          <w:kern w:val="0"/>
          <w:lang w:val="en-US" w:eastAsia="fr-BE"/>
          <w14:ligatures w14:val="none"/>
        </w:rPr>
        <w:t>approved</w:t>
      </w:r>
      <w:r w:rsidR="000A29E2" w:rsidRPr="000A29E2">
        <w:rPr>
          <w:rFonts w:eastAsia="Times New Roman" w:cs="Times New Roman"/>
          <w:kern w:val="0"/>
          <w:lang w:val="en-US" w:eastAsia="fr-BE"/>
          <w14:ligatures w14:val="none"/>
        </w:rPr>
        <w:t xml:space="preserve"> by such a procedur</w:t>
      </w:r>
      <w:r w:rsidR="000A29E2">
        <w:rPr>
          <w:rFonts w:eastAsia="Times New Roman" w:cs="Times New Roman"/>
          <w:kern w:val="0"/>
          <w:lang w:val="en-US" w:eastAsia="fr-BE"/>
          <w14:ligatures w14:val="none"/>
        </w:rPr>
        <w:t>e.</w:t>
      </w:r>
    </w:p>
    <w:p w14:paraId="7EE40B07" w14:textId="2E691259" w:rsidR="004E1AC1" w:rsidRPr="001B6AC1" w:rsidRDefault="00293A2B" w:rsidP="0039075C">
      <w:pPr>
        <w:spacing w:before="100" w:beforeAutospacing="1" w:after="100" w:afterAutospacing="1" w:line="240" w:lineRule="auto"/>
        <w:jc w:val="both"/>
        <w:rPr>
          <w:rFonts w:eastAsia="Times New Roman" w:cs="Times New Roman"/>
          <w:kern w:val="0"/>
          <w:lang w:val="en-US" w:eastAsia="fr-BE"/>
          <w14:ligatures w14:val="none"/>
        </w:rPr>
      </w:pPr>
      <w:r w:rsidRPr="001B6AC1">
        <w:rPr>
          <w:rFonts w:eastAsia="Times New Roman" w:cs="Times New Roman"/>
          <w:kern w:val="0"/>
          <w:lang w:val="en-US" w:eastAsia="fr-BE"/>
          <w14:ligatures w14:val="none"/>
        </w:rPr>
        <w:t xml:space="preserve">The Council, while intergovernmental, comprises finance ministers accountable to their national parliaments. This indirect link may be seen as a mitigated form of democratic legitimacy, based on the principle of political accountability. However, in the absence of sufficient transparency in deliberations, this model </w:t>
      </w:r>
      <w:r w:rsidR="00C3309B" w:rsidRPr="001B6AC1">
        <w:rPr>
          <w:rFonts w:eastAsia="Times New Roman" w:cs="Times New Roman"/>
          <w:kern w:val="0"/>
          <w:lang w:val="en-US" w:eastAsia="fr-BE"/>
          <w14:ligatures w14:val="none"/>
        </w:rPr>
        <w:t xml:space="preserve">can hardly be considered </w:t>
      </w:r>
      <w:r w:rsidRPr="001B6AC1">
        <w:rPr>
          <w:rFonts w:eastAsia="Times New Roman" w:cs="Times New Roman"/>
          <w:kern w:val="0"/>
          <w:lang w:val="en-US" w:eastAsia="fr-BE"/>
          <w14:ligatures w14:val="none"/>
        </w:rPr>
        <w:t xml:space="preserve">to meet </w:t>
      </w:r>
      <w:r w:rsidR="004E1AC1" w:rsidRPr="001B6AC1">
        <w:rPr>
          <w:rFonts w:eastAsia="Times New Roman" w:cs="Times New Roman"/>
          <w:kern w:val="0"/>
          <w:lang w:val="en-US" w:eastAsia="fr-BE"/>
          <w14:ligatures w14:val="none"/>
        </w:rPr>
        <w:t xml:space="preserve">sufficient standards of democratic </w:t>
      </w:r>
      <w:r w:rsidR="00653C3A" w:rsidRPr="001B6AC1">
        <w:rPr>
          <w:rFonts w:eastAsia="Times New Roman" w:cs="Times New Roman"/>
          <w:kern w:val="0"/>
          <w:lang w:val="en-US" w:eastAsia="fr-BE"/>
          <w14:ligatures w14:val="none"/>
        </w:rPr>
        <w:t>governance</w:t>
      </w:r>
      <w:r w:rsidR="00D236B8" w:rsidRPr="001B6AC1">
        <w:rPr>
          <w:rFonts w:eastAsia="Times New Roman" w:cs="Times New Roman"/>
          <w:kern w:val="0"/>
          <w:lang w:val="en-US" w:eastAsia="fr-BE"/>
          <w14:ligatures w14:val="none"/>
        </w:rPr>
        <w:t xml:space="preserve"> </w:t>
      </w:r>
      <w:r w:rsidR="00D236B8" w:rsidRPr="001B6AC1">
        <w:rPr>
          <w:rFonts w:eastAsia="Times New Roman" w:cs="Times New Roman"/>
          <w:i/>
          <w:iCs/>
          <w:kern w:val="0"/>
          <w:lang w:val="en-US" w:eastAsia="fr-BE"/>
          <w14:ligatures w14:val="none"/>
        </w:rPr>
        <w:t>per se</w:t>
      </w:r>
      <w:r w:rsidR="00D236B8" w:rsidRPr="001B6AC1">
        <w:rPr>
          <w:rFonts w:eastAsia="Times New Roman" w:cs="Times New Roman"/>
          <w:kern w:val="0"/>
          <w:lang w:val="en-US" w:eastAsia="fr-BE"/>
          <w14:ligatures w14:val="none"/>
        </w:rPr>
        <w:t xml:space="preserve">. It needs some kind of </w:t>
      </w:r>
      <w:r w:rsidR="00D236B8" w:rsidRPr="001B6AC1">
        <w:rPr>
          <w:rFonts w:eastAsia="Times New Roman" w:cs="Times New Roman"/>
          <w:i/>
          <w:iCs/>
          <w:kern w:val="0"/>
          <w:lang w:val="en-US" w:eastAsia="fr-BE"/>
          <w14:ligatures w14:val="none"/>
        </w:rPr>
        <w:t>bottom-up</w:t>
      </w:r>
      <w:r w:rsidR="00D236B8" w:rsidRPr="001B6AC1">
        <w:rPr>
          <w:rFonts w:eastAsia="Times New Roman" w:cs="Times New Roman"/>
          <w:kern w:val="0"/>
          <w:lang w:val="en-US" w:eastAsia="fr-BE"/>
          <w14:ligatures w14:val="none"/>
        </w:rPr>
        <w:t xml:space="preserve"> legitimation through the Member States</w:t>
      </w:r>
      <w:r w:rsidR="005C7C24" w:rsidRPr="001B6AC1">
        <w:rPr>
          <w:rStyle w:val="Appelnotedebasdep"/>
          <w:rFonts w:eastAsia="Times New Roman" w:cs="Times New Roman"/>
          <w:kern w:val="0"/>
          <w:lang w:val="en-US" w:eastAsia="fr-BE"/>
          <w14:ligatures w14:val="none"/>
        </w:rPr>
        <w:footnoteReference w:id="17"/>
      </w:r>
      <w:r w:rsidR="00C3309B" w:rsidRPr="001B6AC1">
        <w:rPr>
          <w:rFonts w:eastAsia="Times New Roman" w:cs="Times New Roman"/>
          <w:kern w:val="0"/>
          <w:lang w:val="en-US" w:eastAsia="fr-BE"/>
          <w14:ligatures w14:val="none"/>
        </w:rPr>
        <w:t>.</w:t>
      </w:r>
    </w:p>
    <w:p w14:paraId="4390FC76" w14:textId="43B2BE59" w:rsidR="00293A2B" w:rsidRPr="001B6AC1" w:rsidRDefault="004E1AC1" w:rsidP="0039075C">
      <w:pPr>
        <w:spacing w:before="100" w:beforeAutospacing="1" w:after="100" w:afterAutospacing="1" w:line="240" w:lineRule="auto"/>
        <w:jc w:val="both"/>
        <w:rPr>
          <w:rFonts w:eastAsia="Times New Roman" w:cs="Times New Roman"/>
          <w:kern w:val="0"/>
          <w:lang w:val="en-US" w:eastAsia="fr-BE"/>
          <w14:ligatures w14:val="none"/>
        </w:rPr>
      </w:pPr>
      <w:r w:rsidRPr="001B6AC1">
        <w:rPr>
          <w:rFonts w:eastAsia="Times New Roman" w:cs="Times New Roman"/>
          <w:kern w:val="0"/>
          <w:lang w:val="en-US" w:eastAsia="fr-BE"/>
          <w14:ligatures w14:val="none"/>
        </w:rPr>
        <w:t>Moreover, the budgetary dimension of democratic legitimacy cannot be overlooked. The structural imbalance between the power to levy taxes—concentrated at the national level—and the detailed EU procedure governing the expenditures—constrained by the Multiannual Financial Framework, where the European Parliament plays a significant, if not decisive, role—</w:t>
      </w:r>
      <w:r w:rsidRPr="001B6AC1">
        <w:rPr>
          <w:rFonts w:eastAsia="Times New Roman" w:cs="Times New Roman"/>
          <w:kern w:val="0"/>
          <w:lang w:val="en-US" w:eastAsia="fr-BE"/>
          <w14:ligatures w14:val="none"/>
        </w:rPr>
        <w:lastRenderedPageBreak/>
        <w:t>hampers the Union’s political autonomy and undermines its capacity to be held accountable by EU citizens</w:t>
      </w:r>
      <w:r w:rsidR="005C7C24" w:rsidRPr="001B6AC1">
        <w:rPr>
          <w:rStyle w:val="Appelnotedebasdep"/>
          <w:rFonts w:eastAsia="Times New Roman" w:cs="Times New Roman"/>
          <w:kern w:val="0"/>
          <w:lang w:val="en-US" w:eastAsia="fr-BE"/>
          <w14:ligatures w14:val="none"/>
        </w:rPr>
        <w:footnoteReference w:id="18"/>
      </w:r>
      <w:r w:rsidRPr="001B6AC1">
        <w:rPr>
          <w:rFonts w:eastAsia="Times New Roman" w:cs="Times New Roman"/>
          <w:kern w:val="0"/>
          <w:lang w:val="en-US" w:eastAsia="fr-BE"/>
          <w14:ligatures w14:val="none"/>
        </w:rPr>
        <w:t>.</w:t>
      </w:r>
    </w:p>
    <w:p w14:paraId="4615CBF4" w14:textId="1581FCCF" w:rsidR="00D236B8" w:rsidRPr="001B6AC1" w:rsidRDefault="00D236B8" w:rsidP="0039075C">
      <w:pPr>
        <w:spacing w:before="100" w:beforeAutospacing="1" w:after="100" w:afterAutospacing="1" w:line="240" w:lineRule="auto"/>
        <w:jc w:val="both"/>
        <w:rPr>
          <w:rFonts w:eastAsia="Times New Roman" w:cs="Times New Roman"/>
          <w:kern w:val="0"/>
          <w:lang w:val="en-US" w:eastAsia="fr-BE"/>
          <w14:ligatures w14:val="none"/>
        </w:rPr>
      </w:pPr>
      <w:r w:rsidRPr="001B6AC1">
        <w:rPr>
          <w:rFonts w:eastAsia="Times New Roman" w:cs="Times New Roman"/>
          <w:kern w:val="0"/>
          <w:lang w:val="en-US" w:eastAsia="fr-BE"/>
          <w14:ligatures w14:val="none"/>
        </w:rPr>
        <w:t xml:space="preserve">Therefore, it is hard to dispute the fact that the process through which norms are adopted in taxation at the EU </w:t>
      </w:r>
      <w:proofErr w:type="gramStart"/>
      <w:r w:rsidRPr="001B6AC1">
        <w:rPr>
          <w:rFonts w:eastAsia="Times New Roman" w:cs="Times New Roman"/>
          <w:kern w:val="0"/>
          <w:lang w:val="en-US" w:eastAsia="fr-BE"/>
          <w14:ligatures w14:val="none"/>
        </w:rPr>
        <w:t>level  could</w:t>
      </w:r>
      <w:proofErr w:type="gramEnd"/>
      <w:r w:rsidRPr="001B6AC1">
        <w:rPr>
          <w:rFonts w:eastAsia="Times New Roman" w:cs="Times New Roman"/>
          <w:kern w:val="0"/>
          <w:lang w:val="en-US" w:eastAsia="fr-BE"/>
          <w14:ligatures w14:val="none"/>
        </w:rPr>
        <w:t xml:space="preserve"> be significantly improved </w:t>
      </w:r>
      <w:proofErr w:type="gramStart"/>
      <w:r w:rsidRPr="001B6AC1">
        <w:rPr>
          <w:rFonts w:eastAsia="Times New Roman" w:cs="Times New Roman"/>
          <w:kern w:val="0"/>
          <w:lang w:val="en-US" w:eastAsia="fr-BE"/>
          <w14:ligatures w14:val="none"/>
        </w:rPr>
        <w:t>in order to</w:t>
      </w:r>
      <w:proofErr w:type="gramEnd"/>
      <w:r w:rsidRPr="001B6AC1">
        <w:rPr>
          <w:rFonts w:eastAsia="Times New Roman" w:cs="Times New Roman"/>
          <w:kern w:val="0"/>
          <w:lang w:val="en-US" w:eastAsia="fr-BE"/>
          <w14:ligatures w14:val="none"/>
        </w:rPr>
        <w:t xml:space="preserve"> better reflect the democratic principles recognized both at the EU and national level. </w:t>
      </w:r>
    </w:p>
    <w:p w14:paraId="2C321D8D" w14:textId="77777777" w:rsidR="00293A2B" w:rsidRPr="001B6AC1" w:rsidRDefault="00293A2B" w:rsidP="00C46253">
      <w:pPr>
        <w:pStyle w:val="Titre1"/>
        <w:rPr>
          <w:rFonts w:eastAsia="Times New Roman"/>
          <w:lang w:val="en-US" w:eastAsia="fr-BE"/>
        </w:rPr>
      </w:pPr>
      <w:r w:rsidRPr="001B6AC1">
        <w:rPr>
          <w:rFonts w:eastAsia="Times New Roman"/>
          <w:lang w:val="en-US" w:eastAsia="fr-BE"/>
        </w:rPr>
        <w:t>III. Legitimacy by Purpose: Toward a Teleological Approach to Fiscal Legitimacy</w:t>
      </w:r>
    </w:p>
    <w:p w14:paraId="477E5D09" w14:textId="7A29ED2F" w:rsidR="004E1AC1" w:rsidRPr="001B6AC1" w:rsidRDefault="00D236B8" w:rsidP="0039075C">
      <w:pPr>
        <w:spacing w:before="100" w:beforeAutospacing="1" w:after="100" w:afterAutospacing="1" w:line="240" w:lineRule="auto"/>
        <w:jc w:val="both"/>
        <w:rPr>
          <w:rFonts w:eastAsia="Times New Roman" w:cs="Times New Roman"/>
          <w:kern w:val="0"/>
          <w:lang w:val="en-US" w:eastAsia="fr-BE"/>
          <w14:ligatures w14:val="none"/>
        </w:rPr>
      </w:pPr>
      <w:r w:rsidRPr="001B6AC1">
        <w:rPr>
          <w:rFonts w:eastAsia="Times New Roman" w:cs="Times New Roman"/>
          <w:kern w:val="0"/>
          <w:lang w:val="en-US" w:eastAsia="fr-BE"/>
          <w14:ligatures w14:val="none"/>
        </w:rPr>
        <w:t>However, a</w:t>
      </w:r>
      <w:r w:rsidR="00293A2B" w:rsidRPr="001B6AC1">
        <w:rPr>
          <w:rFonts w:eastAsia="Times New Roman" w:cs="Times New Roman"/>
          <w:kern w:val="0"/>
          <w:lang w:val="en-US" w:eastAsia="fr-BE"/>
          <w14:ligatures w14:val="none"/>
        </w:rPr>
        <w:t xml:space="preserve"> purely procedural approach to democratic legitimacy risks </w:t>
      </w:r>
      <w:r w:rsidR="00653C3A" w:rsidRPr="001B6AC1">
        <w:rPr>
          <w:rFonts w:eastAsia="Times New Roman" w:cs="Times New Roman"/>
          <w:kern w:val="0"/>
          <w:lang w:val="en-US" w:eastAsia="fr-BE"/>
          <w14:ligatures w14:val="none"/>
        </w:rPr>
        <w:t xml:space="preserve">missing </w:t>
      </w:r>
      <w:r w:rsidR="00293A2B" w:rsidRPr="001B6AC1">
        <w:rPr>
          <w:rFonts w:eastAsia="Times New Roman" w:cs="Times New Roman"/>
          <w:kern w:val="0"/>
          <w:lang w:val="en-US" w:eastAsia="fr-BE"/>
          <w14:ligatures w14:val="none"/>
        </w:rPr>
        <w:t>the substantive objectives</w:t>
      </w:r>
      <w:r w:rsidR="00653C3A" w:rsidRPr="001B6AC1">
        <w:rPr>
          <w:rFonts w:eastAsia="Times New Roman" w:cs="Times New Roman"/>
          <w:kern w:val="0"/>
          <w:lang w:val="en-US" w:eastAsia="fr-BE"/>
          <w14:ligatures w14:val="none"/>
        </w:rPr>
        <w:t xml:space="preserve"> of public policies, especially in the tax area</w:t>
      </w:r>
      <w:r w:rsidR="00293A2B" w:rsidRPr="001B6AC1">
        <w:rPr>
          <w:rFonts w:eastAsia="Times New Roman" w:cs="Times New Roman"/>
          <w:kern w:val="0"/>
          <w:lang w:val="en-US" w:eastAsia="fr-BE"/>
          <w14:ligatures w14:val="none"/>
        </w:rPr>
        <w:t xml:space="preserve">. </w:t>
      </w:r>
      <w:r w:rsidR="00653C3A" w:rsidRPr="001B6AC1">
        <w:rPr>
          <w:rFonts w:eastAsia="Times New Roman" w:cs="Times New Roman"/>
          <w:kern w:val="0"/>
          <w:lang w:val="en-US" w:eastAsia="fr-BE"/>
          <w14:ligatures w14:val="none"/>
        </w:rPr>
        <w:t xml:space="preserve"> </w:t>
      </w:r>
      <w:r w:rsidR="004E1AC1" w:rsidRPr="001B6AC1">
        <w:rPr>
          <w:rFonts w:eastAsia="Times New Roman" w:cs="Times New Roman"/>
          <w:kern w:val="0"/>
          <w:lang w:val="en-US" w:eastAsia="fr-BE"/>
          <w14:ligatures w14:val="none"/>
        </w:rPr>
        <w:t>Legitimacy by purpose is an essential but often overlooked dimension of EU tax law. It compels us to critically assess whether the objectives pursued by EU fiscal legislation are genuinely aligned with the Treaties’ aims—such as the development of the internal market—and whether such legislation respects the boundaries of the EU’s competences. As tax measures increasingly serve goals beyond market integration—such as budgetary protection, international coordination, or regulatory control—the need to re-anchor EU tax policy within a clearly defined constitutional framework becomes ever more pressing.</w:t>
      </w:r>
    </w:p>
    <w:p w14:paraId="2F62CCD2" w14:textId="7C62BAB6" w:rsidR="00653C3A" w:rsidRPr="001B6AC1" w:rsidRDefault="0039075C" w:rsidP="0039075C">
      <w:pPr>
        <w:spacing w:before="100" w:beforeAutospacing="1" w:after="100" w:afterAutospacing="1" w:line="240" w:lineRule="auto"/>
        <w:jc w:val="both"/>
        <w:rPr>
          <w:rFonts w:eastAsia="Times New Roman" w:cs="Times New Roman"/>
          <w:kern w:val="0"/>
          <w:lang w:val="en-US" w:eastAsia="fr-BE"/>
          <w14:ligatures w14:val="none"/>
        </w:rPr>
      </w:pPr>
      <w:r w:rsidRPr="001B6AC1">
        <w:rPr>
          <w:rFonts w:eastAsia="Times New Roman" w:cs="Times New Roman"/>
          <w:kern w:val="0"/>
          <w:lang w:val="en-US" w:eastAsia="fr-BE"/>
          <w14:ligatures w14:val="none"/>
        </w:rPr>
        <w:t>Firstly</w:t>
      </w:r>
      <w:r w:rsidR="00653C3A" w:rsidRPr="001B6AC1">
        <w:rPr>
          <w:rFonts w:eastAsia="Times New Roman" w:cs="Times New Roman"/>
          <w:kern w:val="0"/>
          <w:lang w:val="en-US" w:eastAsia="fr-BE"/>
          <w14:ligatures w14:val="none"/>
        </w:rPr>
        <w:t>, one should not forget that democracy as such is one the objectives of the EU. Strengthening the democratic legitimacy of EU tax law is part of the objectives with those enshrined in Article 3 TEU (promotion of well-being, social justice, economic and social cohesion, protection of fundamental rights). This is a teleological approach to legitimacy, in which consent is derived from the ends pursued rather than the mere procedures of norm production.</w:t>
      </w:r>
    </w:p>
    <w:p w14:paraId="44D4B64F" w14:textId="4C24E21F" w:rsidR="00653C3A" w:rsidRPr="001B6AC1" w:rsidRDefault="00653C3A" w:rsidP="0039075C">
      <w:pPr>
        <w:spacing w:before="100" w:beforeAutospacing="1" w:after="100" w:afterAutospacing="1" w:line="240" w:lineRule="auto"/>
        <w:jc w:val="both"/>
        <w:rPr>
          <w:rFonts w:eastAsia="Times New Roman" w:cs="Times New Roman"/>
          <w:kern w:val="0"/>
          <w:lang w:val="en-US" w:eastAsia="fr-BE"/>
          <w14:ligatures w14:val="none"/>
        </w:rPr>
      </w:pPr>
      <w:r w:rsidRPr="001B6AC1">
        <w:rPr>
          <w:rFonts w:eastAsia="Times New Roman" w:cs="Times New Roman"/>
          <w:kern w:val="0"/>
          <w:lang w:val="en-US" w:eastAsia="fr-BE"/>
          <w14:ligatures w14:val="none"/>
        </w:rPr>
        <w:t>From this perspective, the EU may paradoxically appear as a more robust guarantor of certain democratic principles than some Member States, where electoral mechanisms may no longer suffice to uphold the rule of law. The intervention of the Union judiciary—particularly the Court of Justice—makes it possible to enforce fundamental values, including in the tax</w:t>
      </w:r>
      <w:r w:rsidR="0039075C" w:rsidRPr="001B6AC1">
        <w:rPr>
          <w:rFonts w:eastAsia="Times New Roman" w:cs="Times New Roman"/>
          <w:kern w:val="0"/>
          <w:lang w:val="en-US" w:eastAsia="fr-BE"/>
          <w14:ligatures w14:val="none"/>
        </w:rPr>
        <w:t>-related</w:t>
      </w:r>
      <w:r w:rsidRPr="001B6AC1">
        <w:rPr>
          <w:rFonts w:eastAsia="Times New Roman" w:cs="Times New Roman"/>
          <w:kern w:val="0"/>
          <w:lang w:val="en-US" w:eastAsia="fr-BE"/>
          <w14:ligatures w14:val="none"/>
        </w:rPr>
        <w:t xml:space="preserve"> domain (e.g., </w:t>
      </w:r>
      <w:r w:rsidRPr="001B6AC1">
        <w:rPr>
          <w:rFonts w:eastAsia="Times New Roman" w:cs="Times New Roman"/>
          <w:i/>
          <w:iCs/>
          <w:kern w:val="0"/>
          <w:lang w:val="en-US" w:eastAsia="fr-BE"/>
          <w14:ligatures w14:val="none"/>
        </w:rPr>
        <w:t>Commission v. Hungary</w:t>
      </w:r>
      <w:r w:rsidRPr="001B6AC1">
        <w:rPr>
          <w:rFonts w:eastAsia="Times New Roman" w:cs="Times New Roman"/>
          <w:kern w:val="0"/>
          <w:lang w:val="en-US" w:eastAsia="fr-BE"/>
          <w14:ligatures w14:val="none"/>
        </w:rPr>
        <w:t>, C-78/18, concerning interference with NGOs' freedoms</w:t>
      </w:r>
      <w:r w:rsidR="0039075C" w:rsidRPr="001B6AC1">
        <w:rPr>
          <w:rFonts w:eastAsia="Times New Roman" w:cs="Times New Roman"/>
          <w:kern w:val="0"/>
          <w:lang w:val="en-US" w:eastAsia="fr-BE"/>
          <w14:ligatures w14:val="none"/>
        </w:rPr>
        <w:t xml:space="preserve"> to received donations</w:t>
      </w:r>
      <w:r w:rsidRPr="001B6AC1">
        <w:rPr>
          <w:rFonts w:eastAsia="Times New Roman" w:cs="Times New Roman"/>
          <w:kern w:val="0"/>
          <w:lang w:val="en-US" w:eastAsia="fr-BE"/>
          <w14:ligatures w14:val="none"/>
        </w:rPr>
        <w:t>)</w:t>
      </w:r>
      <w:r w:rsidR="005C7C24" w:rsidRPr="001B6AC1">
        <w:rPr>
          <w:rStyle w:val="Appelnotedebasdep"/>
          <w:rFonts w:eastAsia="Times New Roman" w:cs="Times New Roman"/>
          <w:kern w:val="0"/>
          <w:lang w:val="en-US" w:eastAsia="fr-BE"/>
          <w14:ligatures w14:val="none"/>
        </w:rPr>
        <w:footnoteReference w:id="19"/>
      </w:r>
      <w:r w:rsidRPr="001B6AC1">
        <w:rPr>
          <w:rFonts w:eastAsia="Times New Roman" w:cs="Times New Roman"/>
          <w:kern w:val="0"/>
          <w:lang w:val="en-US" w:eastAsia="fr-BE"/>
          <w14:ligatures w14:val="none"/>
        </w:rPr>
        <w:t>.</w:t>
      </w:r>
    </w:p>
    <w:p w14:paraId="3191F60B" w14:textId="1E4B5E49" w:rsidR="00ED4EA8" w:rsidRPr="001B6AC1" w:rsidRDefault="00653C3A" w:rsidP="0039075C">
      <w:pPr>
        <w:spacing w:before="100" w:beforeAutospacing="1" w:after="100" w:afterAutospacing="1" w:line="240" w:lineRule="auto"/>
        <w:jc w:val="both"/>
        <w:rPr>
          <w:rFonts w:eastAsia="Times New Roman" w:cs="Times New Roman"/>
          <w:kern w:val="0"/>
          <w:lang w:val="en-US" w:eastAsia="fr-BE"/>
          <w14:ligatures w14:val="none"/>
        </w:rPr>
      </w:pPr>
      <w:r w:rsidRPr="001B6AC1">
        <w:rPr>
          <w:rFonts w:eastAsia="Times New Roman" w:cs="Times New Roman"/>
          <w:kern w:val="0"/>
          <w:lang w:val="en-US" w:eastAsia="fr-BE"/>
          <w14:ligatures w14:val="none"/>
        </w:rPr>
        <w:t>Moreover, l</w:t>
      </w:r>
      <w:r w:rsidR="00ED4EA8" w:rsidRPr="001B6AC1">
        <w:rPr>
          <w:rFonts w:eastAsia="Times New Roman" w:cs="Times New Roman"/>
          <w:kern w:val="0"/>
          <w:lang w:val="en-US" w:eastAsia="fr-BE"/>
          <w14:ligatures w14:val="none"/>
        </w:rPr>
        <w:t>egitimacy by purpose acquires a particular significance in the context of the European Union’s tax law framework. Unlike the traditional conception of taxation as a means of revenue collection for public expenditure, the EU’s tax competence is functionally limited and teleologically oriented. It is not grounded in fiscal sovereignty but rather in the objective of facilitating economic integration, and in particular, the establishment and functioning of the internal market</w:t>
      </w:r>
      <w:r w:rsidR="005C7C24" w:rsidRPr="001B6AC1">
        <w:rPr>
          <w:rStyle w:val="Appelnotedebasdep"/>
          <w:rFonts w:eastAsia="Times New Roman" w:cs="Times New Roman"/>
          <w:kern w:val="0"/>
          <w:lang w:val="en-US" w:eastAsia="fr-BE"/>
          <w14:ligatures w14:val="none"/>
        </w:rPr>
        <w:footnoteReference w:id="20"/>
      </w:r>
      <w:r w:rsidR="005C7C24" w:rsidRPr="001B6AC1">
        <w:rPr>
          <w:rFonts w:eastAsia="Times New Roman" w:cs="Times New Roman"/>
          <w:kern w:val="0"/>
          <w:lang w:val="en-US" w:eastAsia="fr-BE"/>
          <w14:ligatures w14:val="none"/>
        </w:rPr>
        <w:t>.</w:t>
      </w:r>
    </w:p>
    <w:p w14:paraId="4798C08A" w14:textId="69B441F4" w:rsidR="00ED4EA8" w:rsidRPr="001B6AC1" w:rsidRDefault="00ED4EA8" w:rsidP="0039075C">
      <w:pPr>
        <w:spacing w:before="100" w:beforeAutospacing="1" w:after="100" w:afterAutospacing="1" w:line="240" w:lineRule="auto"/>
        <w:jc w:val="both"/>
        <w:rPr>
          <w:rFonts w:eastAsia="Times New Roman" w:cs="Times New Roman"/>
          <w:kern w:val="0"/>
          <w:lang w:val="en-US" w:eastAsia="fr-BE"/>
          <w14:ligatures w14:val="none"/>
        </w:rPr>
      </w:pPr>
      <w:r w:rsidRPr="001B6AC1">
        <w:rPr>
          <w:rFonts w:eastAsia="Times New Roman" w:cs="Times New Roman"/>
          <w:kern w:val="0"/>
          <w:lang w:val="en-US" w:eastAsia="fr-BE"/>
          <w14:ligatures w14:val="none"/>
        </w:rPr>
        <w:t>Articles 113 and 115 of the Treaty on the Functioning of the European Union (TFEU) empower the Council to adopt measures—primarily directives, and in some cases regulations—intended to approximate or harmonize the tax laws of the Member States</w:t>
      </w:r>
      <w:r w:rsidR="00E81651">
        <w:rPr>
          <w:rFonts w:eastAsia="Times New Roman" w:cs="Times New Roman"/>
          <w:kern w:val="0"/>
          <w:lang w:val="en-US" w:eastAsia="fr-BE"/>
          <w14:ligatures w14:val="none"/>
        </w:rPr>
        <w:t>.</w:t>
      </w:r>
      <w:r w:rsidRPr="001B6AC1">
        <w:rPr>
          <w:rFonts w:eastAsia="Times New Roman" w:cs="Times New Roman"/>
          <w:kern w:val="0"/>
          <w:lang w:val="en-US" w:eastAsia="fr-BE"/>
          <w14:ligatures w14:val="none"/>
        </w:rPr>
        <w:t xml:space="preserve"> This harmonization is not an </w:t>
      </w:r>
      <w:r w:rsidRPr="001B6AC1">
        <w:rPr>
          <w:rFonts w:eastAsia="Times New Roman" w:cs="Times New Roman"/>
          <w:kern w:val="0"/>
          <w:lang w:val="en-US" w:eastAsia="fr-BE"/>
          <w14:ligatures w14:val="none"/>
        </w:rPr>
        <w:lastRenderedPageBreak/>
        <w:t>end in itself but a means to eliminate distortions or obstacles to the four fundamental freedoms: the free movement of goods, persons, services, and capital within the EU</w:t>
      </w:r>
      <w:r w:rsidR="005C7C24" w:rsidRPr="001B6AC1">
        <w:rPr>
          <w:rStyle w:val="Appelnotedebasdep"/>
          <w:rFonts w:eastAsia="Times New Roman" w:cs="Times New Roman"/>
          <w:kern w:val="0"/>
          <w:lang w:val="en-US" w:eastAsia="fr-BE"/>
          <w14:ligatures w14:val="none"/>
        </w:rPr>
        <w:footnoteReference w:id="21"/>
      </w:r>
      <w:r w:rsidR="005C7C24" w:rsidRPr="001B6AC1">
        <w:rPr>
          <w:rFonts w:eastAsia="Times New Roman" w:cs="Times New Roman"/>
          <w:kern w:val="0"/>
          <w:lang w:val="en-US" w:eastAsia="fr-BE"/>
          <w14:ligatures w14:val="none"/>
        </w:rPr>
        <w:t>.</w:t>
      </w:r>
    </w:p>
    <w:p w14:paraId="00E4DF52" w14:textId="5431C7F4" w:rsidR="005C7C24" w:rsidRPr="001B6AC1" w:rsidRDefault="005C7C24" w:rsidP="00C46253">
      <w:pPr>
        <w:pStyle w:val="Titre1"/>
        <w:rPr>
          <w:rFonts w:eastAsia="Times New Roman"/>
          <w:lang w:val="en-US" w:eastAsia="fr-BE"/>
        </w:rPr>
      </w:pPr>
      <w:r w:rsidRPr="001B6AC1">
        <w:rPr>
          <w:rFonts w:eastAsia="Times New Roman"/>
          <w:lang w:val="en-US" w:eastAsia="fr-BE"/>
        </w:rPr>
        <w:t>IV.</w:t>
      </w:r>
      <w:r w:rsidR="00E334D0">
        <w:rPr>
          <w:rFonts w:eastAsia="Times New Roman"/>
          <w:lang w:val="en-US" w:eastAsia="fr-BE"/>
        </w:rPr>
        <w:t xml:space="preserve"> </w:t>
      </w:r>
      <w:r w:rsidR="00F00973">
        <w:rPr>
          <w:rFonts w:eastAsia="Times New Roman"/>
          <w:lang w:val="en-US" w:eastAsia="fr-BE"/>
        </w:rPr>
        <w:t>L</w:t>
      </w:r>
      <w:r w:rsidRPr="001B6AC1">
        <w:rPr>
          <w:rFonts w:eastAsia="Times New Roman"/>
          <w:lang w:val="en-US" w:eastAsia="fr-BE"/>
        </w:rPr>
        <w:t xml:space="preserve">egitimacy </w:t>
      </w:r>
      <w:r w:rsidR="00F00973">
        <w:rPr>
          <w:rFonts w:eastAsia="Times New Roman"/>
          <w:lang w:val="en-US" w:eastAsia="fr-BE"/>
        </w:rPr>
        <w:t xml:space="preserve">and validity </w:t>
      </w:r>
      <w:r w:rsidRPr="001B6AC1">
        <w:rPr>
          <w:rFonts w:eastAsia="Times New Roman"/>
          <w:lang w:val="en-US" w:eastAsia="fr-BE"/>
        </w:rPr>
        <w:t xml:space="preserve">of EU anti-avoidance </w:t>
      </w:r>
      <w:r w:rsidR="0039075C" w:rsidRPr="001B6AC1">
        <w:rPr>
          <w:rFonts w:eastAsia="Times New Roman"/>
          <w:lang w:val="en-US" w:eastAsia="fr-BE"/>
        </w:rPr>
        <w:t>measures</w:t>
      </w:r>
      <w:r w:rsidRPr="001B6AC1">
        <w:rPr>
          <w:rFonts w:eastAsia="Times New Roman"/>
          <w:lang w:val="en-US" w:eastAsia="fr-BE"/>
        </w:rPr>
        <w:t xml:space="preserve"> in </w:t>
      </w:r>
      <w:r w:rsidR="0039075C" w:rsidRPr="001B6AC1">
        <w:rPr>
          <w:rFonts w:eastAsia="Times New Roman"/>
          <w:lang w:val="en-US" w:eastAsia="fr-BE"/>
        </w:rPr>
        <w:t>non-harmonized</w:t>
      </w:r>
      <w:r w:rsidRPr="001B6AC1">
        <w:rPr>
          <w:rFonts w:eastAsia="Times New Roman"/>
          <w:lang w:val="en-US" w:eastAsia="fr-BE"/>
        </w:rPr>
        <w:t xml:space="preserve"> areas of taxation </w:t>
      </w:r>
    </w:p>
    <w:p w14:paraId="4A1F3EFB" w14:textId="2B236213" w:rsidR="00ED4EA8" w:rsidRPr="001B6AC1" w:rsidRDefault="00ED4EA8" w:rsidP="006F5734">
      <w:pPr>
        <w:spacing w:before="100" w:beforeAutospacing="1" w:after="100" w:afterAutospacing="1" w:line="240" w:lineRule="auto"/>
        <w:jc w:val="both"/>
        <w:rPr>
          <w:rFonts w:eastAsia="Times New Roman" w:cs="Times New Roman"/>
          <w:kern w:val="0"/>
          <w:lang w:val="en-US" w:eastAsia="fr-BE"/>
          <w14:ligatures w14:val="none"/>
        </w:rPr>
      </w:pPr>
      <w:r w:rsidRPr="001B6AC1">
        <w:rPr>
          <w:rFonts w:eastAsia="Times New Roman" w:cs="Times New Roman"/>
          <w:kern w:val="0"/>
          <w:lang w:val="en-US" w:eastAsia="fr-BE"/>
          <w14:ligatures w14:val="none"/>
        </w:rPr>
        <w:t>However, recent developments in EU tax harmonization, particularly in the field of direct taxation, have given rise to critical academic debat</w:t>
      </w:r>
      <w:r w:rsidR="00696027" w:rsidRPr="001B6AC1">
        <w:rPr>
          <w:rFonts w:eastAsia="Times New Roman" w:cs="Times New Roman"/>
          <w:kern w:val="0"/>
          <w:lang w:val="en-US" w:eastAsia="fr-BE"/>
          <w14:ligatures w14:val="none"/>
        </w:rPr>
        <w:t>e</w:t>
      </w:r>
      <w:r w:rsidR="00696027" w:rsidRPr="001B6AC1">
        <w:rPr>
          <w:rStyle w:val="Appelnotedebasdep"/>
          <w:rFonts w:eastAsia="Times New Roman" w:cs="Times New Roman"/>
          <w:kern w:val="0"/>
          <w:lang w:val="en-US" w:eastAsia="fr-BE"/>
          <w14:ligatures w14:val="none"/>
        </w:rPr>
        <w:footnoteReference w:id="22"/>
      </w:r>
      <w:r w:rsidR="00696027" w:rsidRPr="001B6AC1">
        <w:rPr>
          <w:rFonts w:eastAsia="Times New Roman" w:cs="Times New Roman"/>
          <w:kern w:val="0"/>
          <w:lang w:val="en-US" w:eastAsia="fr-BE"/>
          <w14:ligatures w14:val="none"/>
        </w:rPr>
        <w:t>.</w:t>
      </w:r>
      <w:r w:rsidRPr="001B6AC1">
        <w:rPr>
          <w:rFonts w:eastAsia="Times New Roman" w:cs="Times New Roman"/>
          <w:kern w:val="0"/>
          <w:lang w:val="en-US" w:eastAsia="fr-BE"/>
          <w14:ligatures w14:val="none"/>
        </w:rPr>
        <w:t xml:space="preserve"> Several scholars have pointed to a growing disconnect between the formal objectives enshrined in the Treaties and the substantive content of the adopted measures. This critique is especially relevant in relation to the Anti-Tax Avoidance Directive (ATAD)</w:t>
      </w:r>
      <w:r w:rsidR="00696027" w:rsidRPr="001B6AC1">
        <w:rPr>
          <w:rStyle w:val="Appelnotedebasdep"/>
          <w:rFonts w:eastAsia="Times New Roman" w:cs="Times New Roman"/>
          <w:kern w:val="0"/>
          <w:lang w:val="en-US" w:eastAsia="fr-BE"/>
          <w14:ligatures w14:val="none"/>
        </w:rPr>
        <w:footnoteReference w:id="23"/>
      </w:r>
      <w:r w:rsidRPr="001B6AC1">
        <w:rPr>
          <w:rFonts w:eastAsia="Times New Roman" w:cs="Times New Roman"/>
          <w:kern w:val="0"/>
          <w:lang w:val="en-US" w:eastAsia="fr-BE"/>
          <w14:ligatures w14:val="none"/>
        </w:rPr>
        <w:t>, which pursues a dual objective: (i) to prevent aggressive tax planning and profit shifting both within the EU and towards third countries; and (ii) to ensure coordinated implementation of political commitments made at the level of the OECD, notably under the BEPS (Base Erosion and Profit Shifting) framework</w:t>
      </w:r>
      <w:r w:rsidR="00696027" w:rsidRPr="001B6AC1">
        <w:rPr>
          <w:rStyle w:val="Appelnotedebasdep"/>
          <w:rFonts w:eastAsia="Times New Roman" w:cs="Times New Roman"/>
          <w:kern w:val="0"/>
          <w:lang w:val="en-US" w:eastAsia="fr-BE"/>
          <w14:ligatures w14:val="none"/>
        </w:rPr>
        <w:footnoteReference w:id="24"/>
      </w:r>
      <w:r w:rsidR="00696027" w:rsidRPr="001B6AC1">
        <w:rPr>
          <w:rFonts w:eastAsia="Times New Roman" w:cs="Times New Roman"/>
          <w:kern w:val="0"/>
          <w:lang w:val="en-US" w:eastAsia="fr-BE"/>
          <w14:ligatures w14:val="none"/>
        </w:rPr>
        <w:t>.</w:t>
      </w:r>
    </w:p>
    <w:p w14:paraId="085C1A5E" w14:textId="1562BCFC" w:rsidR="00061A1B" w:rsidRPr="001B6AC1" w:rsidRDefault="00ED4EA8" w:rsidP="006F5734">
      <w:pPr>
        <w:spacing w:before="100" w:beforeAutospacing="1" w:after="100" w:afterAutospacing="1" w:line="240" w:lineRule="auto"/>
        <w:jc w:val="both"/>
        <w:rPr>
          <w:rFonts w:eastAsia="Times New Roman" w:cs="Times New Roman"/>
          <w:kern w:val="0"/>
          <w:lang w:val="en-US" w:eastAsia="fr-BE"/>
          <w14:ligatures w14:val="none"/>
        </w:rPr>
      </w:pPr>
      <w:r w:rsidRPr="001B6AC1">
        <w:rPr>
          <w:rFonts w:eastAsia="Times New Roman" w:cs="Times New Roman"/>
          <w:kern w:val="0"/>
          <w:lang w:val="en-US" w:eastAsia="fr-BE"/>
          <w14:ligatures w14:val="none"/>
        </w:rPr>
        <w:t xml:space="preserve">This dual-purpose orientation, while </w:t>
      </w:r>
      <w:proofErr w:type="gramStart"/>
      <w:r w:rsidRPr="001B6AC1">
        <w:rPr>
          <w:rFonts w:eastAsia="Times New Roman" w:cs="Times New Roman"/>
          <w:kern w:val="0"/>
          <w:lang w:val="en-US" w:eastAsia="fr-BE"/>
          <w14:ligatures w14:val="none"/>
        </w:rPr>
        <w:t>legitimate in itself, arguably</w:t>
      </w:r>
      <w:proofErr w:type="gramEnd"/>
      <w:r w:rsidRPr="001B6AC1">
        <w:rPr>
          <w:rFonts w:eastAsia="Times New Roman" w:cs="Times New Roman"/>
          <w:kern w:val="0"/>
          <w:lang w:val="en-US" w:eastAsia="fr-BE"/>
          <w14:ligatures w14:val="none"/>
        </w:rPr>
        <w:t xml:space="preserve"> departs from the original teleology of European economic integration. The ATAD appears to primarily serve national budgetary interests and international political commitments, rather than the goal of market integration as envisaged in the Treaty. This concern was notably echoed by Advocate General </w:t>
      </w:r>
      <w:r w:rsidR="00E81651">
        <w:rPr>
          <w:rFonts w:eastAsia="Times New Roman" w:cs="Times New Roman"/>
          <w:kern w:val="0"/>
          <w:lang w:val="en-US" w:eastAsia="fr-BE"/>
          <w14:ligatures w14:val="none"/>
        </w:rPr>
        <w:t xml:space="preserve">J. </w:t>
      </w:r>
      <w:r w:rsidRPr="001B6AC1">
        <w:rPr>
          <w:rFonts w:eastAsia="Times New Roman" w:cs="Times New Roman"/>
          <w:kern w:val="0"/>
          <w:lang w:val="en-US" w:eastAsia="fr-BE"/>
          <w14:ligatures w14:val="none"/>
        </w:rPr>
        <w:t>Kokott in her Opinion delivered in the Commission v. Belgium case</w:t>
      </w:r>
      <w:r w:rsidR="00061A1B" w:rsidRPr="001B6AC1">
        <w:rPr>
          <w:rStyle w:val="Appelnotedebasdep"/>
          <w:rFonts w:eastAsia="Times New Roman" w:cs="Times New Roman"/>
          <w:kern w:val="0"/>
          <w:lang w:val="en-US" w:eastAsia="fr-BE"/>
          <w14:ligatures w14:val="none"/>
        </w:rPr>
        <w:footnoteReference w:id="25"/>
      </w:r>
      <w:r w:rsidR="00E81651">
        <w:rPr>
          <w:rFonts w:eastAsia="Times New Roman" w:cs="Times New Roman"/>
          <w:kern w:val="0"/>
          <w:lang w:val="en-US" w:eastAsia="fr-BE"/>
          <w14:ligatures w14:val="none"/>
        </w:rPr>
        <w:t>,</w:t>
      </w:r>
      <w:r w:rsidRPr="001B6AC1">
        <w:rPr>
          <w:rFonts w:eastAsia="Times New Roman" w:cs="Times New Roman"/>
          <w:kern w:val="0"/>
          <w:lang w:val="en-US" w:eastAsia="fr-BE"/>
          <w14:ligatures w14:val="none"/>
        </w:rPr>
        <w:t xml:space="preserve"> concerning the implementation of Controlled Foreign Company (CFC) rules. In her view, </w:t>
      </w:r>
    </w:p>
    <w:p w14:paraId="08A32704" w14:textId="27A086A2" w:rsidR="00061A1B" w:rsidRPr="001B6AC1" w:rsidRDefault="00061A1B" w:rsidP="00061A1B">
      <w:pPr>
        <w:spacing w:before="100" w:beforeAutospacing="1" w:after="100" w:afterAutospacing="1" w:line="240" w:lineRule="auto"/>
        <w:ind w:left="708"/>
        <w:jc w:val="both"/>
        <w:rPr>
          <w:rFonts w:eastAsia="Times New Roman" w:cs="Times New Roman"/>
          <w:kern w:val="0"/>
          <w:lang w:val="en-US" w:eastAsia="fr-BE"/>
          <w14:ligatures w14:val="none"/>
        </w:rPr>
      </w:pPr>
      <w:r w:rsidRPr="001B6AC1">
        <w:rPr>
          <w:rFonts w:eastAsia="Times New Roman" w:cs="Times New Roman"/>
          <w:kern w:val="0"/>
          <w:lang w:val="en-US" w:eastAsia="fr-BE"/>
          <w14:ligatures w14:val="none"/>
        </w:rPr>
        <w:t>“</w:t>
      </w:r>
      <w:proofErr w:type="gramStart"/>
      <w:r w:rsidRPr="001B6AC1">
        <w:rPr>
          <w:rFonts w:eastAsia="Times New Roman" w:cs="Times New Roman"/>
          <w:i/>
          <w:iCs/>
          <w:kern w:val="0"/>
          <w:lang w:val="en-US" w:eastAsia="fr-BE"/>
          <w14:ligatures w14:val="none"/>
        </w:rPr>
        <w:t>the</w:t>
      </w:r>
      <w:proofErr w:type="gramEnd"/>
      <w:r w:rsidRPr="001B6AC1">
        <w:rPr>
          <w:rFonts w:eastAsia="Times New Roman" w:cs="Times New Roman"/>
          <w:i/>
          <w:iCs/>
          <w:kern w:val="0"/>
          <w:lang w:val="en-US" w:eastAsia="fr-BE"/>
          <w14:ligatures w14:val="none"/>
        </w:rPr>
        <w:t xml:space="preserve"> EU legislature appears to see the effect of promoting the internal market primarily in combating tax-avoidance practices</w:t>
      </w:r>
      <w:r w:rsidRPr="001B6AC1">
        <w:rPr>
          <w:rFonts w:eastAsia="Times New Roman" w:cs="Times New Roman"/>
          <w:kern w:val="0"/>
          <w:lang w:val="en-US" w:eastAsia="fr-BE"/>
          <w14:ligatures w14:val="none"/>
        </w:rPr>
        <w:t xml:space="preserve">. </w:t>
      </w:r>
      <w:r w:rsidRPr="001B6AC1">
        <w:rPr>
          <w:rFonts w:eastAsia="Times New Roman" w:cs="Times New Roman"/>
          <w:i/>
          <w:iCs/>
          <w:kern w:val="0"/>
          <w:lang w:val="en-US" w:eastAsia="fr-BE"/>
          <w14:ligatures w14:val="none"/>
        </w:rPr>
        <w:t>By so doing, the ATAD does not remove restrictions of fundamental freedoms arising from existing national provisions, however. On the contrary, by placing Member States under an obligation to observe a uniform minimum protection of national corporate tax systems against tax avoidance practices, it limits the companies’ possibilities for cross-border activities. It thereby hinders the exercise of fundamental freedoms instead of promoting it.</w:t>
      </w:r>
      <w:r w:rsidRPr="001B6AC1">
        <w:rPr>
          <w:rFonts w:eastAsia="Times New Roman" w:cs="Times New Roman"/>
          <w:kern w:val="0"/>
          <w:lang w:val="en-US" w:eastAsia="fr-BE"/>
          <w14:ligatures w14:val="none"/>
        </w:rPr>
        <w:t>” (</w:t>
      </w:r>
      <w:proofErr w:type="gramStart"/>
      <w:r w:rsidRPr="001B6AC1">
        <w:rPr>
          <w:rFonts w:eastAsia="Times New Roman" w:cs="Times New Roman"/>
          <w:kern w:val="0"/>
          <w:lang w:val="en-US" w:eastAsia="fr-BE"/>
          <w14:ligatures w14:val="none"/>
        </w:rPr>
        <w:t>para</w:t>
      </w:r>
      <w:proofErr w:type="gramEnd"/>
      <w:r w:rsidRPr="001B6AC1">
        <w:rPr>
          <w:rFonts w:eastAsia="Times New Roman" w:cs="Times New Roman"/>
          <w:kern w:val="0"/>
          <w:lang w:val="en-US" w:eastAsia="fr-BE"/>
          <w14:ligatures w14:val="none"/>
        </w:rPr>
        <w:t>. 27)</w:t>
      </w:r>
      <w:r w:rsidR="00E81651">
        <w:rPr>
          <w:rFonts w:eastAsia="Times New Roman" w:cs="Times New Roman"/>
          <w:kern w:val="0"/>
          <w:lang w:val="en-US" w:eastAsia="fr-BE"/>
          <w14:ligatures w14:val="none"/>
        </w:rPr>
        <w:t>.</w:t>
      </w:r>
    </w:p>
    <w:p w14:paraId="2BBFFCA6" w14:textId="581A4582" w:rsidR="00ED4EA8" w:rsidRPr="001B6AC1" w:rsidRDefault="00061A1B" w:rsidP="006F5734">
      <w:pPr>
        <w:spacing w:before="100" w:beforeAutospacing="1" w:after="100" w:afterAutospacing="1" w:line="240" w:lineRule="auto"/>
        <w:jc w:val="both"/>
        <w:rPr>
          <w:rFonts w:eastAsia="Times New Roman" w:cs="Times New Roman"/>
          <w:kern w:val="0"/>
          <w:lang w:val="en-US" w:eastAsia="fr-BE"/>
          <w14:ligatures w14:val="none"/>
        </w:rPr>
      </w:pPr>
      <w:r w:rsidRPr="001B6AC1">
        <w:rPr>
          <w:rFonts w:eastAsia="Times New Roman" w:cs="Times New Roman"/>
          <w:kern w:val="0"/>
          <w:lang w:val="en-US" w:eastAsia="fr-BE"/>
          <w14:ligatures w14:val="none"/>
        </w:rPr>
        <w:t xml:space="preserve">Indeed, </w:t>
      </w:r>
      <w:r w:rsidR="00ED4EA8" w:rsidRPr="001B6AC1">
        <w:rPr>
          <w:rFonts w:eastAsia="Times New Roman" w:cs="Times New Roman"/>
          <w:kern w:val="0"/>
          <w:lang w:val="en-US" w:eastAsia="fr-BE"/>
          <w14:ligatures w14:val="none"/>
        </w:rPr>
        <w:t>the</w:t>
      </w:r>
      <w:r w:rsidRPr="001B6AC1">
        <w:rPr>
          <w:rFonts w:eastAsia="Times New Roman" w:cs="Times New Roman"/>
          <w:kern w:val="0"/>
          <w:lang w:val="en-US" w:eastAsia="fr-BE"/>
          <w14:ligatures w14:val="none"/>
        </w:rPr>
        <w:t xml:space="preserve"> ATAD</w:t>
      </w:r>
      <w:r w:rsidR="00ED4EA8" w:rsidRPr="001B6AC1">
        <w:rPr>
          <w:rFonts w:eastAsia="Times New Roman" w:cs="Times New Roman"/>
          <w:kern w:val="0"/>
          <w:lang w:val="en-US" w:eastAsia="fr-BE"/>
          <w14:ligatures w14:val="none"/>
        </w:rPr>
        <w:t>'s justification seems detached from internal market considerations and instead primarily motivated by international tax policy coordination—thereby raising questions regarding its compatibility with the Treaties' purpose-limited legal basis.</w:t>
      </w:r>
    </w:p>
    <w:p w14:paraId="7F4C417F" w14:textId="77777777" w:rsidR="00ED4EA8" w:rsidRPr="001B6AC1" w:rsidRDefault="00ED4EA8" w:rsidP="00DE74C0">
      <w:pPr>
        <w:spacing w:before="100" w:beforeAutospacing="1" w:after="100" w:afterAutospacing="1" w:line="240" w:lineRule="auto"/>
        <w:jc w:val="both"/>
        <w:rPr>
          <w:rFonts w:eastAsia="Times New Roman" w:cs="Times New Roman"/>
          <w:kern w:val="0"/>
          <w:lang w:val="en-US" w:eastAsia="fr-BE"/>
          <w14:ligatures w14:val="none"/>
        </w:rPr>
      </w:pPr>
      <w:r w:rsidRPr="001B6AC1">
        <w:rPr>
          <w:rFonts w:eastAsia="Times New Roman" w:cs="Times New Roman"/>
          <w:kern w:val="0"/>
          <w:lang w:val="en-US" w:eastAsia="fr-BE"/>
          <w14:ligatures w14:val="none"/>
        </w:rPr>
        <w:lastRenderedPageBreak/>
        <w:t>This is arguably the first time that an Advocate General has so explicitly challenged the validity of EU tax legislation on the ground that its very purpose may not align with the objectives set out in the TFEU. Her reasoning reinforces the idea that legitimacy by purpose is not merely a political issue, but a matter of legal significance within the EU's constitutional order.</w:t>
      </w:r>
    </w:p>
    <w:p w14:paraId="2B799322" w14:textId="6BDA0D84" w:rsidR="00ED4EA8" w:rsidRPr="001B6AC1" w:rsidRDefault="00ED4EA8" w:rsidP="00DE74C0">
      <w:pPr>
        <w:spacing w:before="100" w:beforeAutospacing="1" w:after="100" w:afterAutospacing="1" w:line="240" w:lineRule="auto"/>
        <w:jc w:val="both"/>
        <w:rPr>
          <w:rFonts w:eastAsia="Times New Roman" w:cs="Times New Roman"/>
          <w:kern w:val="0"/>
          <w:lang w:val="en-US" w:eastAsia="fr-BE"/>
          <w14:ligatures w14:val="none"/>
        </w:rPr>
      </w:pPr>
      <w:r w:rsidRPr="001B6AC1">
        <w:rPr>
          <w:rFonts w:eastAsia="Times New Roman" w:cs="Times New Roman"/>
          <w:kern w:val="0"/>
          <w:lang w:val="en-US" w:eastAsia="fr-BE"/>
          <w14:ligatures w14:val="none"/>
        </w:rPr>
        <w:t xml:space="preserve">A similar line of critique may be extended to the Directive on Administrative Cooperation (DAC) and its successive amendments (DAC1 to </w:t>
      </w:r>
      <w:r w:rsidR="00E81651" w:rsidRPr="001B6AC1">
        <w:rPr>
          <w:rFonts w:eastAsia="Times New Roman" w:cs="Times New Roman"/>
          <w:kern w:val="0"/>
          <w:lang w:val="en-US" w:eastAsia="fr-BE"/>
          <w14:ligatures w14:val="none"/>
        </w:rPr>
        <w:t>DAC</w:t>
      </w:r>
      <w:r w:rsidR="00E81651">
        <w:rPr>
          <w:rFonts w:eastAsia="Times New Roman" w:cs="Times New Roman"/>
          <w:kern w:val="0"/>
          <w:lang w:val="en-US" w:eastAsia="fr-BE"/>
          <w14:ligatures w14:val="none"/>
        </w:rPr>
        <w:t>9</w:t>
      </w:r>
      <w:r w:rsidRPr="001B6AC1">
        <w:rPr>
          <w:rFonts w:eastAsia="Times New Roman" w:cs="Times New Roman"/>
          <w:kern w:val="0"/>
          <w:lang w:val="en-US" w:eastAsia="fr-BE"/>
          <w14:ligatures w14:val="none"/>
        </w:rPr>
        <w:t>),</w:t>
      </w:r>
      <w:r w:rsidR="00696027" w:rsidRPr="001B6AC1">
        <w:rPr>
          <w:rStyle w:val="Appelnotedebasdep"/>
          <w:rFonts w:eastAsia="Times New Roman" w:cs="Times New Roman"/>
          <w:kern w:val="0"/>
          <w:lang w:val="en-US" w:eastAsia="fr-BE"/>
          <w14:ligatures w14:val="none"/>
        </w:rPr>
        <w:footnoteReference w:id="26"/>
      </w:r>
      <w:r w:rsidRPr="001B6AC1">
        <w:rPr>
          <w:rFonts w:eastAsia="Times New Roman" w:cs="Times New Roman"/>
          <w:kern w:val="0"/>
          <w:lang w:val="en-US" w:eastAsia="fr-BE"/>
          <w14:ligatures w14:val="none"/>
        </w:rPr>
        <w:t xml:space="preserve"> which impose far-reaching reporting obligations on both taxpayers and intermediaries</w:t>
      </w:r>
      <w:r w:rsidR="006F5734" w:rsidRPr="001B6AC1">
        <w:rPr>
          <w:rFonts w:eastAsia="Times New Roman" w:cs="Times New Roman"/>
          <w:kern w:val="0"/>
          <w:lang w:val="en-US" w:eastAsia="fr-BE"/>
          <w14:ligatures w14:val="none"/>
        </w:rPr>
        <w:t>, mostly like the ATAD, to curb tax avoidance and tax fraud</w:t>
      </w:r>
      <w:r w:rsidR="00DE74C0" w:rsidRPr="001B6AC1">
        <w:rPr>
          <w:rStyle w:val="Appelnotedebasdep"/>
          <w:rFonts w:eastAsia="Times New Roman" w:cs="Times New Roman"/>
          <w:kern w:val="0"/>
          <w:lang w:val="en-US" w:eastAsia="fr-BE"/>
          <w14:ligatures w14:val="none"/>
        </w:rPr>
        <w:footnoteReference w:id="27"/>
      </w:r>
      <w:r w:rsidRPr="001B6AC1">
        <w:rPr>
          <w:rFonts w:eastAsia="Times New Roman" w:cs="Times New Roman"/>
          <w:kern w:val="0"/>
          <w:lang w:val="en-US" w:eastAsia="fr-BE"/>
          <w14:ligatures w14:val="none"/>
        </w:rPr>
        <w:t>. While these instruments are generally justified on grounds of transparency and the fight against tax evasion, one may question whether such extensive administrative measures, especially in the absence of substantive tax harmonization, can genuinely be said to further the goal of achieving the internal market.</w:t>
      </w:r>
    </w:p>
    <w:p w14:paraId="720E4BB3" w14:textId="77777777" w:rsidR="00ED4EA8" w:rsidRPr="001B6AC1" w:rsidRDefault="00ED4EA8" w:rsidP="00ED4EA8">
      <w:pPr>
        <w:spacing w:before="100" w:beforeAutospacing="1" w:after="100" w:afterAutospacing="1" w:line="240" w:lineRule="auto"/>
        <w:rPr>
          <w:rFonts w:eastAsia="Times New Roman" w:cs="Times New Roman"/>
          <w:kern w:val="0"/>
          <w:lang w:val="en-US" w:eastAsia="fr-BE"/>
          <w14:ligatures w14:val="none"/>
        </w:rPr>
      </w:pPr>
      <w:r w:rsidRPr="001B6AC1">
        <w:rPr>
          <w:rFonts w:eastAsia="Times New Roman" w:cs="Times New Roman"/>
          <w:kern w:val="0"/>
          <w:lang w:val="en-US" w:eastAsia="fr-BE"/>
          <w14:ligatures w14:val="none"/>
        </w:rPr>
        <w:t>To be clear, the issue at stake is not the legitimacy of measures that aim to ensure the proper implementation and enforcement of existing tax rules. Rather, the question is whether, in the absence of harmonized substantive tax provisions, the EU legislator possesses the democratic and constitutional legitimacy to adopt binding measures that effectively serve to enhance the enforcement of national tax systems—thus reinforcing Member State fiscal sovereignty under the guise of market integration.</w:t>
      </w:r>
    </w:p>
    <w:p w14:paraId="297B15C1" w14:textId="75EA85DF" w:rsidR="00ED4EA8" w:rsidRPr="001B6AC1" w:rsidRDefault="00ED4EA8" w:rsidP="006E16E1">
      <w:pPr>
        <w:spacing w:before="100" w:beforeAutospacing="1" w:after="100" w:afterAutospacing="1" w:line="240" w:lineRule="auto"/>
        <w:jc w:val="both"/>
        <w:rPr>
          <w:rFonts w:eastAsia="Times New Roman" w:cs="Times New Roman"/>
          <w:kern w:val="0"/>
          <w:lang w:val="en-US" w:eastAsia="fr-BE"/>
          <w14:ligatures w14:val="none"/>
        </w:rPr>
      </w:pPr>
      <w:r w:rsidRPr="001B6AC1">
        <w:rPr>
          <w:rFonts w:eastAsia="Times New Roman" w:cs="Times New Roman"/>
          <w:kern w:val="0"/>
          <w:lang w:val="en-US" w:eastAsia="fr-BE"/>
          <w14:ligatures w14:val="none"/>
        </w:rPr>
        <w:t>A contrasting and instructive example can be found in the field of Value Added Tax (VAT). Here, measures on administrative cooperation are clearly linked to the implementation of a common EU tax system, as established in the VAT Directive (Directive 2006/112/EC)</w:t>
      </w:r>
      <w:r w:rsidR="00D236B8" w:rsidRPr="001B6AC1">
        <w:rPr>
          <w:rStyle w:val="Appelnotedebasdep"/>
          <w:rFonts w:eastAsia="Times New Roman" w:cs="Times New Roman"/>
          <w:kern w:val="0"/>
          <w:lang w:val="en-US" w:eastAsia="fr-BE"/>
          <w14:ligatures w14:val="none"/>
        </w:rPr>
        <w:footnoteReference w:id="28"/>
      </w:r>
      <w:r w:rsidRPr="001B6AC1">
        <w:rPr>
          <w:rFonts w:eastAsia="Times New Roman" w:cs="Times New Roman"/>
          <w:kern w:val="0"/>
          <w:lang w:val="en-US" w:eastAsia="fr-BE"/>
          <w14:ligatures w14:val="none"/>
        </w:rPr>
        <w:t>. The legitimacy of such measures is therefore more solidly grounded in the Treaties, as they directly support the functioning and coherence of a harmonized, supranational tax regime.</w:t>
      </w:r>
    </w:p>
    <w:p w14:paraId="71FE4D2D" w14:textId="4CEBA03F" w:rsidR="00ED4EA8" w:rsidRPr="001B6AC1" w:rsidRDefault="00ED4EA8" w:rsidP="001B6AC1">
      <w:pPr>
        <w:spacing w:before="100" w:beforeAutospacing="1" w:after="100" w:afterAutospacing="1" w:line="240" w:lineRule="auto"/>
        <w:jc w:val="both"/>
        <w:rPr>
          <w:rFonts w:eastAsia="Times New Roman" w:cs="Times New Roman"/>
          <w:kern w:val="0"/>
          <w:lang w:val="en-US" w:eastAsia="fr-BE"/>
          <w14:ligatures w14:val="none"/>
        </w:rPr>
      </w:pPr>
      <w:r w:rsidRPr="001B6AC1">
        <w:rPr>
          <w:rFonts w:eastAsia="Times New Roman" w:cs="Times New Roman"/>
          <w:kern w:val="0"/>
          <w:lang w:val="en-US" w:eastAsia="fr-BE"/>
          <w14:ligatures w14:val="none"/>
        </w:rPr>
        <w:t>From a legitimacy perspective, one potential justification for the adoption of anti-avoidance and administrative cooperation mechanisms—even when they primarily serve national fiscal interests—could be their role in rendering national tax rules more effective in cross-border contexts. This rationale may partly explain the relative political consensus that has allowed the Council to adopt multiple DAC amendments swiftly, despite the unanimity requirement in tax matters.</w:t>
      </w:r>
      <w:r w:rsidR="006F5734" w:rsidRPr="001B6AC1">
        <w:rPr>
          <w:rStyle w:val="Appelnotedebasdep"/>
          <w:rFonts w:eastAsia="Times New Roman" w:cs="Times New Roman"/>
          <w:kern w:val="0"/>
          <w:lang w:val="en-US" w:eastAsia="fr-BE"/>
          <w14:ligatures w14:val="none"/>
        </w:rPr>
        <w:footnoteReference w:id="29"/>
      </w:r>
    </w:p>
    <w:p w14:paraId="43E39CCD" w14:textId="5DF2405C" w:rsidR="00ED4EA8" w:rsidRPr="001B6AC1" w:rsidRDefault="00ED4EA8" w:rsidP="006E16E1">
      <w:pPr>
        <w:spacing w:before="100" w:beforeAutospacing="1" w:after="100" w:afterAutospacing="1" w:line="240" w:lineRule="auto"/>
        <w:jc w:val="both"/>
        <w:rPr>
          <w:rFonts w:eastAsia="Times New Roman" w:cs="Times New Roman"/>
          <w:kern w:val="0"/>
          <w:lang w:val="en-US" w:eastAsia="fr-BE"/>
          <w14:ligatures w14:val="none"/>
        </w:rPr>
      </w:pPr>
      <w:r w:rsidRPr="001B6AC1">
        <w:rPr>
          <w:rFonts w:eastAsia="Times New Roman" w:cs="Times New Roman"/>
          <w:kern w:val="0"/>
          <w:lang w:val="en-US" w:eastAsia="fr-BE"/>
          <w14:ligatures w14:val="none"/>
        </w:rPr>
        <w:t>However, this line of reasoning remains vulnerable from a democratic legitimacy standpoint. It rests on the assumption that increasing the efficiency of national tax systems—which remain substantively heterogeneous—automatically serves the general interest of the Union. Yet this assumption may be problematic. It risks conflating the budgetary interests of Member States with the general interest of the EU polity, which are not always aligned.</w:t>
      </w:r>
    </w:p>
    <w:p w14:paraId="0E033C38" w14:textId="4B0CB34C" w:rsidR="00ED4EA8" w:rsidRDefault="001B6AC1" w:rsidP="006E16E1">
      <w:pPr>
        <w:spacing w:before="100" w:beforeAutospacing="1" w:after="100" w:afterAutospacing="1" w:line="240" w:lineRule="auto"/>
        <w:jc w:val="both"/>
        <w:rPr>
          <w:rFonts w:eastAsia="Times New Roman" w:cs="Times New Roman"/>
          <w:kern w:val="0"/>
          <w:lang w:val="en-US" w:eastAsia="fr-BE"/>
          <w14:ligatures w14:val="none"/>
        </w:rPr>
      </w:pPr>
      <w:r w:rsidRPr="001B6AC1">
        <w:rPr>
          <w:rFonts w:eastAsia="Times New Roman" w:cs="Times New Roman"/>
          <w:kern w:val="0"/>
          <w:lang w:val="en-US" w:eastAsia="fr-BE"/>
          <w14:ligatures w14:val="none"/>
        </w:rPr>
        <w:lastRenderedPageBreak/>
        <w:t xml:space="preserve">Moreover, several measures introduced under these directives have raised serious concerns about their compatibility with the fundamental rights protected under the Charter of Fundamental Rights of the European Union. For example, in the case of Orde van </w:t>
      </w:r>
      <w:proofErr w:type="spellStart"/>
      <w:r w:rsidRPr="001B6AC1">
        <w:rPr>
          <w:rFonts w:eastAsia="Times New Roman" w:cs="Times New Roman"/>
          <w:kern w:val="0"/>
          <w:lang w:val="en-US" w:eastAsia="fr-BE"/>
          <w14:ligatures w14:val="none"/>
        </w:rPr>
        <w:t>Vlaamse</w:t>
      </w:r>
      <w:proofErr w:type="spellEnd"/>
      <w:r w:rsidRPr="001B6AC1">
        <w:rPr>
          <w:rFonts w:eastAsia="Times New Roman" w:cs="Times New Roman"/>
          <w:kern w:val="0"/>
          <w:lang w:val="en-US" w:eastAsia="fr-BE"/>
          <w14:ligatures w14:val="none"/>
        </w:rPr>
        <w:t xml:space="preserve"> Balies et al. (CJEU, C-694/20), the Court acknowledged that certain reporting obligations imposed on intermediaries under DAC6 could infringe upon the right to legal professional privilege</w:t>
      </w:r>
      <w:r w:rsidR="006F5734" w:rsidRPr="001B6AC1">
        <w:rPr>
          <w:rStyle w:val="Appelnotedebasdep"/>
          <w:rFonts w:eastAsia="Times New Roman" w:cs="Times New Roman"/>
          <w:kern w:val="0"/>
          <w:lang w:val="en-US" w:eastAsia="fr-BE"/>
          <w14:ligatures w14:val="none"/>
        </w:rPr>
        <w:footnoteReference w:id="30"/>
      </w:r>
      <w:r w:rsidR="006F5734" w:rsidRPr="001B6AC1">
        <w:rPr>
          <w:rFonts w:eastAsia="Times New Roman" w:cs="Times New Roman"/>
          <w:kern w:val="0"/>
          <w:lang w:val="en-US" w:eastAsia="fr-BE"/>
          <w14:ligatures w14:val="none"/>
        </w:rPr>
        <w:t>.</w:t>
      </w:r>
      <w:r w:rsidR="00ED4EA8" w:rsidRPr="001B6AC1">
        <w:rPr>
          <w:rFonts w:eastAsia="Times New Roman" w:cs="Times New Roman"/>
          <w:kern w:val="0"/>
          <w:lang w:val="en-US" w:eastAsia="fr-BE"/>
          <w14:ligatures w14:val="none"/>
        </w:rPr>
        <w:t xml:space="preserve"> </w:t>
      </w:r>
      <w:r>
        <w:rPr>
          <w:rFonts w:eastAsia="Times New Roman" w:cs="Times New Roman"/>
          <w:kern w:val="0"/>
          <w:lang w:val="en-US" w:eastAsia="fr-BE"/>
          <w14:ligatures w14:val="none"/>
        </w:rPr>
        <w:t>T</w:t>
      </w:r>
      <w:r w:rsidRPr="001B6AC1">
        <w:rPr>
          <w:rFonts w:eastAsia="Times New Roman" w:cs="Times New Roman"/>
          <w:kern w:val="0"/>
          <w:lang w:val="en-US" w:eastAsia="fr-BE"/>
          <w14:ligatures w14:val="none"/>
        </w:rPr>
        <w:t>his illustrates the need for careful proportionality assessments when adopting such measures and reinforces the idea that the unanimity rule does not perfectly guarantee the democratic character of the adopted legislation</w:t>
      </w:r>
      <w:r>
        <w:rPr>
          <w:rFonts w:eastAsia="Times New Roman" w:cs="Times New Roman"/>
          <w:kern w:val="0"/>
          <w:lang w:val="en-US" w:eastAsia="fr-BE"/>
          <w14:ligatures w14:val="none"/>
        </w:rPr>
        <w:t>.</w:t>
      </w:r>
    </w:p>
    <w:p w14:paraId="68168A8E" w14:textId="6A95AAFE" w:rsidR="00E334D0" w:rsidRPr="001B6AC1" w:rsidRDefault="00E334D0" w:rsidP="006E16E1">
      <w:pPr>
        <w:spacing w:before="100" w:beforeAutospacing="1" w:after="100" w:afterAutospacing="1" w:line="240" w:lineRule="auto"/>
        <w:jc w:val="both"/>
        <w:rPr>
          <w:rFonts w:eastAsia="Times New Roman" w:cs="Times New Roman"/>
          <w:kern w:val="0"/>
          <w:lang w:val="en-US" w:eastAsia="fr-BE"/>
          <w14:ligatures w14:val="none"/>
        </w:rPr>
      </w:pPr>
      <w:r>
        <w:rPr>
          <w:rFonts w:eastAsia="Times New Roman" w:cs="Times New Roman"/>
          <w:kern w:val="0"/>
          <w:lang w:val="en-US" w:eastAsia="fr-BE"/>
          <w14:ligatures w14:val="none"/>
        </w:rPr>
        <w:t xml:space="preserve">In that perspective, clarifying the division of taxing powers between the Eu and the Member States in tax matters would also enhance legal certainty not only for taxpayers, but also for the EU and domestic legislators. </w:t>
      </w:r>
    </w:p>
    <w:p w14:paraId="2D29D85B" w14:textId="73780168" w:rsidR="00ED4EA8" w:rsidRPr="001B6AC1" w:rsidRDefault="00ED4EA8" w:rsidP="00ED4EA8">
      <w:pPr>
        <w:spacing w:after="0" w:line="240" w:lineRule="auto"/>
        <w:rPr>
          <w:rFonts w:eastAsia="Times New Roman" w:cs="Times New Roman"/>
          <w:kern w:val="0"/>
          <w:lang w:val="en-US" w:eastAsia="fr-BE"/>
          <w14:ligatures w14:val="none"/>
        </w:rPr>
      </w:pPr>
    </w:p>
    <w:p w14:paraId="55441CA4" w14:textId="77777777" w:rsidR="00293A2B" w:rsidRPr="001B6AC1" w:rsidRDefault="00293A2B">
      <w:pPr>
        <w:rPr>
          <w:lang w:val="en-US"/>
        </w:rPr>
      </w:pPr>
    </w:p>
    <w:sectPr w:rsidR="00293A2B" w:rsidRPr="001B6AC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F76E439" w14:textId="77777777" w:rsidR="00B659A3" w:rsidRDefault="00B659A3" w:rsidP="00653C3A">
      <w:pPr>
        <w:spacing w:after="0" w:line="240" w:lineRule="auto"/>
      </w:pPr>
      <w:r>
        <w:separator/>
      </w:r>
    </w:p>
  </w:endnote>
  <w:endnote w:type="continuationSeparator" w:id="0">
    <w:p w14:paraId="0AF824B9" w14:textId="77777777" w:rsidR="00B659A3" w:rsidRDefault="00B659A3" w:rsidP="00653C3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DF45D5D" w14:textId="77777777" w:rsidR="00B659A3" w:rsidRDefault="00B659A3" w:rsidP="00653C3A">
      <w:pPr>
        <w:spacing w:after="0" w:line="240" w:lineRule="auto"/>
      </w:pPr>
      <w:r>
        <w:separator/>
      </w:r>
    </w:p>
  </w:footnote>
  <w:footnote w:type="continuationSeparator" w:id="0">
    <w:p w14:paraId="28ACF5D1" w14:textId="77777777" w:rsidR="00B659A3" w:rsidRDefault="00B659A3" w:rsidP="00653C3A">
      <w:pPr>
        <w:spacing w:after="0" w:line="240" w:lineRule="auto"/>
      </w:pPr>
      <w:r>
        <w:continuationSeparator/>
      </w:r>
    </w:p>
  </w:footnote>
  <w:footnote w:id="1">
    <w:p w14:paraId="368220A1" w14:textId="11AA5D68" w:rsidR="00EC4793" w:rsidRDefault="00EC4793">
      <w:pPr>
        <w:pStyle w:val="Notedebasdepage"/>
      </w:pPr>
      <w:r>
        <w:rPr>
          <w:rStyle w:val="Appelnotedebasdep"/>
        </w:rPr>
        <w:footnoteRef/>
      </w:r>
      <w:r>
        <w:t xml:space="preserve"> The </w:t>
      </w:r>
      <w:proofErr w:type="spellStart"/>
      <w:r>
        <w:t>author</w:t>
      </w:r>
      <w:proofErr w:type="spellEnd"/>
      <w:r>
        <w:t xml:space="preserve"> </w:t>
      </w:r>
      <w:proofErr w:type="spellStart"/>
      <w:r>
        <w:t>wants</w:t>
      </w:r>
      <w:proofErr w:type="spellEnd"/>
      <w:r>
        <w:t xml:space="preserve"> to </w:t>
      </w:r>
      <w:proofErr w:type="spellStart"/>
      <w:r>
        <w:t>thank</w:t>
      </w:r>
      <w:proofErr w:type="spellEnd"/>
      <w:r>
        <w:t xml:space="preserve"> Stefano Didoni, PhD </w:t>
      </w:r>
      <w:proofErr w:type="spellStart"/>
      <w:r>
        <w:t>Researcher</w:t>
      </w:r>
      <w:proofErr w:type="spellEnd"/>
      <w:r>
        <w:t xml:space="preserve"> at the University of Milan for </w:t>
      </w:r>
      <w:proofErr w:type="spellStart"/>
      <w:r>
        <w:t>his</w:t>
      </w:r>
      <w:proofErr w:type="spellEnd"/>
      <w:r>
        <w:t xml:space="preserve"> </w:t>
      </w:r>
      <w:proofErr w:type="spellStart"/>
      <w:r>
        <w:t>valuable</w:t>
      </w:r>
      <w:proofErr w:type="spellEnd"/>
      <w:r>
        <w:t xml:space="preserve"> </w:t>
      </w:r>
      <w:proofErr w:type="spellStart"/>
      <w:r>
        <w:t>hel</w:t>
      </w:r>
      <w:proofErr w:type="spellEnd"/>
      <w:r>
        <w:t xml:space="preserve"> and input. </w:t>
      </w:r>
    </w:p>
  </w:footnote>
  <w:footnote w:id="2">
    <w:p w14:paraId="14A29994" w14:textId="0E62261D" w:rsidR="00653C3A" w:rsidRDefault="00653C3A" w:rsidP="001A5FED">
      <w:pPr>
        <w:pStyle w:val="Notedebasdepage"/>
        <w:jc w:val="both"/>
      </w:pPr>
      <w:r>
        <w:rPr>
          <w:rStyle w:val="Appelnotedebasdep"/>
        </w:rPr>
        <w:footnoteRef/>
      </w:r>
      <w:r>
        <w:t xml:space="preserve"> </w:t>
      </w:r>
      <w:r w:rsidRPr="00653C3A">
        <w:t xml:space="preserve">This </w:t>
      </w:r>
      <w:proofErr w:type="spellStart"/>
      <w:r w:rsidRPr="00653C3A">
        <w:t>principle</w:t>
      </w:r>
      <w:proofErr w:type="spellEnd"/>
      <w:r w:rsidRPr="00653C3A">
        <w:t xml:space="preserve"> </w:t>
      </w:r>
      <w:proofErr w:type="spellStart"/>
      <w:r w:rsidRPr="00653C3A">
        <w:t>originates</w:t>
      </w:r>
      <w:proofErr w:type="spellEnd"/>
      <w:r w:rsidRPr="00653C3A">
        <w:t xml:space="preserve"> in </w:t>
      </w:r>
      <w:proofErr w:type="spellStart"/>
      <w:r w:rsidRPr="00653C3A">
        <w:t>Anglo-American</w:t>
      </w:r>
      <w:proofErr w:type="spellEnd"/>
      <w:r w:rsidRPr="00653C3A">
        <w:t xml:space="preserve"> </w:t>
      </w:r>
      <w:proofErr w:type="spellStart"/>
      <w:r w:rsidRPr="00653C3A">
        <w:t>constitutionalism</w:t>
      </w:r>
      <w:proofErr w:type="spellEnd"/>
      <w:r w:rsidRPr="00653C3A">
        <w:t xml:space="preserve">, </w:t>
      </w:r>
      <w:proofErr w:type="spellStart"/>
      <w:r w:rsidRPr="00653C3A">
        <w:t>notably</w:t>
      </w:r>
      <w:proofErr w:type="spellEnd"/>
      <w:r w:rsidRPr="00653C3A">
        <w:t xml:space="preserve"> the English Bill of Rights (1689) and the American Revolution</w:t>
      </w:r>
      <w:r>
        <w:t xml:space="preserve">, but has </w:t>
      </w:r>
      <w:proofErr w:type="spellStart"/>
      <w:r>
        <w:t>also</w:t>
      </w:r>
      <w:proofErr w:type="spellEnd"/>
      <w:r>
        <w:t xml:space="preserve"> </w:t>
      </w:r>
      <w:proofErr w:type="spellStart"/>
      <w:r>
        <w:t>developed</w:t>
      </w:r>
      <w:proofErr w:type="spellEnd"/>
      <w:r>
        <w:t xml:space="preserve"> in continental European </w:t>
      </w:r>
      <w:proofErr w:type="spellStart"/>
      <w:r>
        <w:t>constitional</w:t>
      </w:r>
      <w:proofErr w:type="spellEnd"/>
      <w:r>
        <w:t xml:space="preserve"> </w:t>
      </w:r>
      <w:proofErr w:type="spellStart"/>
      <w:r>
        <w:t>history</w:t>
      </w:r>
      <w:proofErr w:type="spellEnd"/>
      <w:r>
        <w:t xml:space="preserve"> : </w:t>
      </w:r>
      <w:proofErr w:type="spellStart"/>
      <w:r>
        <w:t>see</w:t>
      </w:r>
      <w:proofErr w:type="spellEnd"/>
      <w:r>
        <w:t xml:space="preserve"> for </w:t>
      </w:r>
      <w:proofErr w:type="spellStart"/>
      <w:r w:rsidRPr="00C3309B">
        <w:t>example</w:t>
      </w:r>
      <w:proofErr w:type="spellEnd"/>
      <w:r w:rsidR="001A5FED" w:rsidRPr="001A5FED">
        <w:rPr>
          <w:color w:val="FF0000"/>
        </w:rPr>
        <w:t>,</w:t>
      </w:r>
      <w:r w:rsidRPr="00C3309B">
        <w:t xml:space="preserve"> </w:t>
      </w:r>
      <w:r w:rsidR="001A5FED" w:rsidRPr="001A5FED">
        <w:rPr>
          <w:color w:val="000000" w:themeColor="text1"/>
        </w:rPr>
        <w:t>P</w:t>
      </w:r>
      <w:r w:rsidR="001A5FED">
        <w:rPr>
          <w:color w:val="000000" w:themeColor="text1"/>
        </w:rPr>
        <w:t>.</w:t>
      </w:r>
      <w:r w:rsidR="001A5FED" w:rsidRPr="001A5FED">
        <w:rPr>
          <w:color w:val="000000" w:themeColor="text1"/>
        </w:rPr>
        <w:t xml:space="preserve"> </w:t>
      </w:r>
      <w:r w:rsidRPr="001A5FED">
        <w:rPr>
          <w:color w:val="000000" w:themeColor="text1"/>
        </w:rPr>
        <w:t>Essers</w:t>
      </w:r>
      <w:r w:rsidR="00C3309B" w:rsidRPr="001A5FED">
        <w:rPr>
          <w:color w:val="000000" w:themeColor="text1"/>
        </w:rPr>
        <w:t xml:space="preserve"> (</w:t>
      </w:r>
      <w:proofErr w:type="spellStart"/>
      <w:r w:rsidR="00C3309B" w:rsidRPr="001A5FED">
        <w:rPr>
          <w:color w:val="000000" w:themeColor="text1"/>
        </w:rPr>
        <w:t>ed</w:t>
      </w:r>
      <w:proofErr w:type="spellEnd"/>
      <w:r w:rsidR="00C3309B" w:rsidRPr="001A5FED">
        <w:rPr>
          <w:color w:val="000000" w:themeColor="text1"/>
        </w:rPr>
        <w:t>.)</w:t>
      </w:r>
      <w:r w:rsidRPr="001A5FED">
        <w:rPr>
          <w:color w:val="000000" w:themeColor="text1"/>
        </w:rPr>
        <w:t>,</w:t>
      </w:r>
      <w:r w:rsidR="00C3309B" w:rsidRPr="001A5FED">
        <w:rPr>
          <w:color w:val="000000" w:themeColor="text1"/>
        </w:rPr>
        <w:t xml:space="preserve"> </w:t>
      </w:r>
      <w:proofErr w:type="spellStart"/>
      <w:r w:rsidR="00C3309B" w:rsidRPr="00EC4793">
        <w:rPr>
          <w:i/>
          <w:iCs/>
          <w:color w:val="000000" w:themeColor="text1"/>
        </w:rPr>
        <w:t>History</w:t>
      </w:r>
      <w:proofErr w:type="spellEnd"/>
      <w:r w:rsidR="00C3309B" w:rsidRPr="00EC4793">
        <w:rPr>
          <w:i/>
          <w:iCs/>
          <w:color w:val="000000" w:themeColor="text1"/>
        </w:rPr>
        <w:t xml:space="preserve"> and </w:t>
      </w:r>
      <w:proofErr w:type="gramStart"/>
      <w:r w:rsidR="00C3309B" w:rsidRPr="00EC4793">
        <w:rPr>
          <w:i/>
          <w:iCs/>
          <w:color w:val="000000" w:themeColor="text1"/>
        </w:rPr>
        <w:t>Taxation:</w:t>
      </w:r>
      <w:proofErr w:type="gramEnd"/>
      <w:r w:rsidR="00C3309B" w:rsidRPr="00EC4793">
        <w:rPr>
          <w:i/>
          <w:iCs/>
          <w:color w:val="000000" w:themeColor="text1"/>
        </w:rPr>
        <w:t xml:space="preserve"> The </w:t>
      </w:r>
      <w:proofErr w:type="spellStart"/>
      <w:r w:rsidR="00C3309B" w:rsidRPr="00EC4793">
        <w:rPr>
          <w:i/>
          <w:iCs/>
          <w:color w:val="000000" w:themeColor="text1"/>
        </w:rPr>
        <w:t>Dialectical</w:t>
      </w:r>
      <w:proofErr w:type="spellEnd"/>
      <w:r w:rsidR="00C3309B" w:rsidRPr="00EC4793">
        <w:rPr>
          <w:i/>
          <w:iCs/>
          <w:color w:val="000000" w:themeColor="text1"/>
        </w:rPr>
        <w:t xml:space="preserve"> Relationship </w:t>
      </w:r>
      <w:proofErr w:type="spellStart"/>
      <w:r w:rsidR="00C3309B" w:rsidRPr="00EC4793">
        <w:rPr>
          <w:i/>
          <w:iCs/>
          <w:color w:val="000000" w:themeColor="text1"/>
        </w:rPr>
        <w:t>between</w:t>
      </w:r>
      <w:proofErr w:type="spellEnd"/>
      <w:r w:rsidR="00C3309B" w:rsidRPr="00EC4793">
        <w:rPr>
          <w:i/>
          <w:iCs/>
          <w:color w:val="000000" w:themeColor="text1"/>
        </w:rPr>
        <w:t xml:space="preserve"> Taxation and the </w:t>
      </w:r>
      <w:proofErr w:type="spellStart"/>
      <w:r w:rsidR="00C3309B" w:rsidRPr="00EC4793">
        <w:rPr>
          <w:i/>
          <w:iCs/>
          <w:color w:val="000000" w:themeColor="text1"/>
        </w:rPr>
        <w:t>Political</w:t>
      </w:r>
      <w:proofErr w:type="spellEnd"/>
      <w:r w:rsidR="00C3309B" w:rsidRPr="00EC4793">
        <w:rPr>
          <w:i/>
          <w:iCs/>
          <w:color w:val="000000" w:themeColor="text1"/>
        </w:rPr>
        <w:t xml:space="preserve"> Balance of Power</w:t>
      </w:r>
      <w:r w:rsidR="001A5FED">
        <w:rPr>
          <w:color w:val="000000" w:themeColor="text1"/>
        </w:rPr>
        <w:t>,</w:t>
      </w:r>
      <w:r w:rsidR="00C3309B" w:rsidRPr="001A5FED">
        <w:rPr>
          <w:color w:val="000000" w:themeColor="text1"/>
        </w:rPr>
        <w:t xml:space="preserve"> IBFD, 2022 </w:t>
      </w:r>
      <w:proofErr w:type="gramStart"/>
      <w:r w:rsidR="00C3309B" w:rsidRPr="001A5FED">
        <w:rPr>
          <w:color w:val="000000" w:themeColor="text1"/>
        </w:rPr>
        <w:t xml:space="preserve">; </w:t>
      </w:r>
      <w:r w:rsidRPr="001A5FED">
        <w:rPr>
          <w:color w:val="000000" w:themeColor="text1"/>
        </w:rPr>
        <w:t xml:space="preserve"> </w:t>
      </w:r>
      <w:r w:rsidR="00C3309B" w:rsidRPr="001A5FED">
        <w:rPr>
          <w:color w:val="000000" w:themeColor="text1"/>
        </w:rPr>
        <w:t>F.B.J.</w:t>
      </w:r>
      <w:proofErr w:type="gramEnd"/>
      <w:r w:rsidR="00C3309B" w:rsidRPr="001A5FED">
        <w:rPr>
          <w:color w:val="000000" w:themeColor="text1"/>
        </w:rPr>
        <w:t xml:space="preserve"> </w:t>
      </w:r>
      <w:proofErr w:type="spellStart"/>
      <w:r w:rsidRPr="001A5FED">
        <w:rPr>
          <w:color w:val="000000" w:themeColor="text1"/>
        </w:rPr>
        <w:t>Grapperhaus</w:t>
      </w:r>
      <w:proofErr w:type="spellEnd"/>
      <w:r w:rsidRPr="001A5FED">
        <w:rPr>
          <w:color w:val="000000" w:themeColor="text1"/>
        </w:rPr>
        <w:t xml:space="preserve">, </w:t>
      </w:r>
      <w:r w:rsidR="00C3309B" w:rsidRPr="00EC4793">
        <w:rPr>
          <w:i/>
          <w:iCs/>
          <w:color w:val="000000" w:themeColor="text1"/>
        </w:rPr>
        <w:t xml:space="preserve">Taxes, Liberty and </w:t>
      </w:r>
      <w:proofErr w:type="spellStart"/>
      <w:proofErr w:type="gramStart"/>
      <w:r w:rsidR="00C3309B" w:rsidRPr="00EC4793">
        <w:rPr>
          <w:i/>
          <w:iCs/>
          <w:color w:val="000000" w:themeColor="text1"/>
        </w:rPr>
        <w:t>Property</w:t>
      </w:r>
      <w:proofErr w:type="spellEnd"/>
      <w:r w:rsidR="00C3309B" w:rsidRPr="00EC4793">
        <w:rPr>
          <w:i/>
          <w:iCs/>
          <w:color w:val="000000" w:themeColor="text1"/>
        </w:rPr>
        <w:t>:</w:t>
      </w:r>
      <w:proofErr w:type="gramEnd"/>
      <w:r w:rsidR="00C3309B" w:rsidRPr="00EC4793">
        <w:rPr>
          <w:i/>
          <w:iCs/>
          <w:color w:val="000000" w:themeColor="text1"/>
        </w:rPr>
        <w:t xml:space="preserve"> The </w:t>
      </w:r>
      <w:proofErr w:type="spellStart"/>
      <w:r w:rsidR="00C3309B" w:rsidRPr="00EC4793">
        <w:rPr>
          <w:i/>
          <w:iCs/>
          <w:color w:val="000000" w:themeColor="text1"/>
        </w:rPr>
        <w:t>Role</w:t>
      </w:r>
      <w:proofErr w:type="spellEnd"/>
      <w:r w:rsidR="00C3309B" w:rsidRPr="00EC4793">
        <w:rPr>
          <w:i/>
          <w:iCs/>
          <w:color w:val="000000" w:themeColor="text1"/>
        </w:rPr>
        <w:t xml:space="preserve"> of Taxation in </w:t>
      </w:r>
      <w:proofErr w:type="spellStart"/>
      <w:r w:rsidR="00C3309B" w:rsidRPr="00EC4793">
        <w:rPr>
          <w:i/>
          <w:iCs/>
          <w:color w:val="000000" w:themeColor="text1"/>
        </w:rPr>
        <w:t>Democratization</w:t>
      </w:r>
      <w:proofErr w:type="spellEnd"/>
      <w:r w:rsidR="00C3309B" w:rsidRPr="00EC4793">
        <w:rPr>
          <w:i/>
          <w:iCs/>
          <w:color w:val="000000" w:themeColor="text1"/>
        </w:rPr>
        <w:t xml:space="preserve"> and National </w:t>
      </w:r>
      <w:proofErr w:type="spellStart"/>
      <w:r w:rsidR="00C3309B" w:rsidRPr="00EC4793">
        <w:rPr>
          <w:i/>
          <w:iCs/>
          <w:color w:val="000000" w:themeColor="text1"/>
        </w:rPr>
        <w:t>Unity</w:t>
      </w:r>
      <w:proofErr w:type="spellEnd"/>
      <w:r w:rsidR="00C3309B" w:rsidRPr="00EC4793">
        <w:rPr>
          <w:i/>
          <w:iCs/>
          <w:color w:val="000000" w:themeColor="text1"/>
        </w:rPr>
        <w:t xml:space="preserve"> (511-1787)</w:t>
      </w:r>
      <w:r w:rsidR="00C3309B" w:rsidRPr="001A5FED">
        <w:rPr>
          <w:color w:val="000000" w:themeColor="text1"/>
        </w:rPr>
        <w:t xml:space="preserve">, </w:t>
      </w:r>
      <w:proofErr w:type="spellStart"/>
      <w:r w:rsidR="00C3309B" w:rsidRPr="00C3309B">
        <w:t>Meiburg</w:t>
      </w:r>
      <w:proofErr w:type="spellEnd"/>
      <w:r w:rsidR="00C3309B" w:rsidRPr="00C3309B">
        <w:t xml:space="preserve"> Pers, 1989.</w:t>
      </w:r>
    </w:p>
  </w:footnote>
  <w:footnote w:id="3">
    <w:p w14:paraId="60F5C5BF" w14:textId="0A8B7844" w:rsidR="00653C3A" w:rsidRDefault="00653C3A" w:rsidP="00EC4793">
      <w:pPr>
        <w:pStyle w:val="Notedebasdepage"/>
        <w:jc w:val="both"/>
      </w:pPr>
      <w:r>
        <w:rPr>
          <w:rStyle w:val="Appelnotedebasdep"/>
        </w:rPr>
        <w:footnoteRef/>
      </w:r>
      <w:r>
        <w:t xml:space="preserve"> </w:t>
      </w:r>
      <w:r w:rsidRPr="00653C3A">
        <w:t>Article 2 TEU: “</w:t>
      </w:r>
      <w:r w:rsidRPr="00EC4793">
        <w:rPr>
          <w:i/>
          <w:iCs/>
          <w:color w:val="000000" w:themeColor="text1"/>
        </w:rPr>
        <w:t xml:space="preserve">The Union </w:t>
      </w:r>
      <w:proofErr w:type="spellStart"/>
      <w:r w:rsidRPr="00EC4793">
        <w:rPr>
          <w:i/>
          <w:iCs/>
          <w:color w:val="000000" w:themeColor="text1"/>
        </w:rPr>
        <w:t>is</w:t>
      </w:r>
      <w:proofErr w:type="spellEnd"/>
      <w:r w:rsidRPr="00EC4793">
        <w:rPr>
          <w:i/>
          <w:iCs/>
          <w:color w:val="000000" w:themeColor="text1"/>
        </w:rPr>
        <w:t xml:space="preserve"> </w:t>
      </w:r>
      <w:proofErr w:type="spellStart"/>
      <w:r w:rsidRPr="00EC4793">
        <w:rPr>
          <w:i/>
          <w:iCs/>
          <w:color w:val="000000" w:themeColor="text1"/>
        </w:rPr>
        <w:t>founded</w:t>
      </w:r>
      <w:proofErr w:type="spellEnd"/>
      <w:r w:rsidRPr="00EC4793">
        <w:rPr>
          <w:i/>
          <w:iCs/>
          <w:color w:val="000000" w:themeColor="text1"/>
        </w:rPr>
        <w:t xml:space="preserve"> on the values of respect for </w:t>
      </w:r>
      <w:proofErr w:type="spellStart"/>
      <w:r w:rsidRPr="00EC4793">
        <w:rPr>
          <w:i/>
          <w:iCs/>
          <w:color w:val="000000" w:themeColor="text1"/>
        </w:rPr>
        <w:t>human</w:t>
      </w:r>
      <w:proofErr w:type="spellEnd"/>
      <w:r w:rsidRPr="00EC4793">
        <w:rPr>
          <w:i/>
          <w:iCs/>
          <w:color w:val="000000" w:themeColor="text1"/>
        </w:rPr>
        <w:t xml:space="preserve"> </w:t>
      </w:r>
      <w:proofErr w:type="spellStart"/>
      <w:r w:rsidRPr="00EC4793">
        <w:rPr>
          <w:i/>
          <w:iCs/>
          <w:color w:val="000000" w:themeColor="text1"/>
        </w:rPr>
        <w:t>dignity</w:t>
      </w:r>
      <w:proofErr w:type="spellEnd"/>
      <w:r w:rsidRPr="00EC4793">
        <w:rPr>
          <w:i/>
          <w:iCs/>
          <w:color w:val="000000" w:themeColor="text1"/>
        </w:rPr>
        <w:t xml:space="preserve">, </w:t>
      </w:r>
      <w:proofErr w:type="spellStart"/>
      <w:r w:rsidRPr="00EC4793">
        <w:rPr>
          <w:i/>
          <w:iCs/>
          <w:color w:val="000000" w:themeColor="text1"/>
        </w:rPr>
        <w:t>freedom</w:t>
      </w:r>
      <w:proofErr w:type="spellEnd"/>
      <w:r w:rsidRPr="00EC4793">
        <w:rPr>
          <w:i/>
          <w:iCs/>
          <w:color w:val="000000" w:themeColor="text1"/>
        </w:rPr>
        <w:t xml:space="preserve">, </w:t>
      </w:r>
      <w:proofErr w:type="spellStart"/>
      <w:r w:rsidRPr="00EC4793">
        <w:rPr>
          <w:i/>
          <w:iCs/>
          <w:color w:val="000000" w:themeColor="text1"/>
        </w:rPr>
        <w:t>democracy</w:t>
      </w:r>
      <w:proofErr w:type="spellEnd"/>
      <w:r w:rsidR="001A5FED" w:rsidRPr="00EC4793">
        <w:rPr>
          <w:i/>
          <w:iCs/>
          <w:color w:val="000000" w:themeColor="text1"/>
        </w:rPr>
        <w:t xml:space="preserve"> (</w:t>
      </w:r>
      <w:r w:rsidRPr="00EC4793">
        <w:rPr>
          <w:i/>
          <w:iCs/>
          <w:color w:val="000000" w:themeColor="text1"/>
        </w:rPr>
        <w:t>...</w:t>
      </w:r>
      <w:r w:rsidR="001A5FED" w:rsidRPr="00EC4793">
        <w:rPr>
          <w:i/>
          <w:iCs/>
          <w:color w:val="000000" w:themeColor="text1"/>
        </w:rPr>
        <w:t>)</w:t>
      </w:r>
      <w:r w:rsidRPr="001A5FED">
        <w:rPr>
          <w:color w:val="000000" w:themeColor="text1"/>
        </w:rPr>
        <w:t>”</w:t>
      </w:r>
      <w:r w:rsidR="001A5FED">
        <w:rPr>
          <w:color w:val="000000" w:themeColor="text1"/>
        </w:rPr>
        <w:t>.</w:t>
      </w:r>
    </w:p>
  </w:footnote>
  <w:footnote w:id="4">
    <w:p w14:paraId="5E26375A" w14:textId="40C7960A" w:rsidR="00653C3A" w:rsidRDefault="00653C3A" w:rsidP="00EC4793">
      <w:pPr>
        <w:pStyle w:val="Notedebasdepage"/>
        <w:jc w:val="both"/>
      </w:pPr>
      <w:r>
        <w:rPr>
          <w:rStyle w:val="Appelnotedebasdep"/>
        </w:rPr>
        <w:footnoteRef/>
      </w:r>
      <w:r>
        <w:t xml:space="preserve"> </w:t>
      </w:r>
      <w:r w:rsidRPr="00653C3A">
        <w:t>Article 20(2) TFEU</w:t>
      </w:r>
      <w:r w:rsidR="001A5FED">
        <w:t xml:space="preserve">: </w:t>
      </w:r>
      <w:r w:rsidR="001A5FED" w:rsidRPr="00653C3A">
        <w:t>“</w:t>
      </w:r>
      <w:proofErr w:type="spellStart"/>
      <w:r w:rsidR="001A5FED" w:rsidRPr="001A5FED">
        <w:rPr>
          <w:i/>
          <w:iCs/>
          <w:color w:val="000000" w:themeColor="text1"/>
        </w:rPr>
        <w:t>Citizens</w:t>
      </w:r>
      <w:proofErr w:type="spellEnd"/>
      <w:r w:rsidR="001A5FED" w:rsidRPr="001A5FED">
        <w:rPr>
          <w:i/>
          <w:iCs/>
          <w:color w:val="000000" w:themeColor="text1"/>
        </w:rPr>
        <w:t xml:space="preserve"> of the Union </w:t>
      </w:r>
      <w:proofErr w:type="spellStart"/>
      <w:r w:rsidR="001A5FED" w:rsidRPr="001A5FED">
        <w:rPr>
          <w:i/>
          <w:iCs/>
          <w:color w:val="000000" w:themeColor="text1"/>
        </w:rPr>
        <w:t>shall</w:t>
      </w:r>
      <w:proofErr w:type="spellEnd"/>
      <w:r w:rsidR="001A5FED" w:rsidRPr="001A5FED">
        <w:rPr>
          <w:i/>
          <w:iCs/>
          <w:color w:val="000000" w:themeColor="text1"/>
        </w:rPr>
        <w:t xml:space="preserve"> </w:t>
      </w:r>
      <w:proofErr w:type="spellStart"/>
      <w:r w:rsidR="001A5FED" w:rsidRPr="001A5FED">
        <w:rPr>
          <w:i/>
          <w:iCs/>
          <w:color w:val="000000" w:themeColor="text1"/>
        </w:rPr>
        <w:t>enjoy</w:t>
      </w:r>
      <w:proofErr w:type="spellEnd"/>
      <w:r w:rsidR="001A5FED" w:rsidRPr="001A5FED">
        <w:rPr>
          <w:i/>
          <w:iCs/>
          <w:color w:val="000000" w:themeColor="text1"/>
        </w:rPr>
        <w:t xml:space="preserve"> the </w:t>
      </w:r>
      <w:proofErr w:type="spellStart"/>
      <w:r w:rsidR="001A5FED" w:rsidRPr="001A5FED">
        <w:rPr>
          <w:i/>
          <w:iCs/>
          <w:color w:val="000000" w:themeColor="text1"/>
        </w:rPr>
        <w:t>rights</w:t>
      </w:r>
      <w:proofErr w:type="spellEnd"/>
      <w:r w:rsidR="001A5FED" w:rsidRPr="001A5FED">
        <w:rPr>
          <w:i/>
          <w:iCs/>
          <w:color w:val="000000" w:themeColor="text1"/>
        </w:rPr>
        <w:t xml:space="preserve"> and </w:t>
      </w:r>
      <w:proofErr w:type="spellStart"/>
      <w:r w:rsidR="001A5FED" w:rsidRPr="001A5FED">
        <w:rPr>
          <w:i/>
          <w:iCs/>
          <w:color w:val="000000" w:themeColor="text1"/>
        </w:rPr>
        <w:t>be</w:t>
      </w:r>
      <w:proofErr w:type="spellEnd"/>
      <w:r w:rsidR="001A5FED" w:rsidRPr="001A5FED">
        <w:rPr>
          <w:i/>
          <w:iCs/>
          <w:color w:val="000000" w:themeColor="text1"/>
        </w:rPr>
        <w:t xml:space="preserve"> </w:t>
      </w:r>
      <w:proofErr w:type="spellStart"/>
      <w:r w:rsidR="001A5FED" w:rsidRPr="001A5FED">
        <w:rPr>
          <w:i/>
          <w:iCs/>
          <w:color w:val="000000" w:themeColor="text1"/>
        </w:rPr>
        <w:t>subject</w:t>
      </w:r>
      <w:proofErr w:type="spellEnd"/>
      <w:r w:rsidR="001A5FED" w:rsidRPr="001A5FED">
        <w:rPr>
          <w:i/>
          <w:iCs/>
          <w:color w:val="000000" w:themeColor="text1"/>
        </w:rPr>
        <w:t xml:space="preserve"> to the </w:t>
      </w:r>
      <w:proofErr w:type="spellStart"/>
      <w:r w:rsidR="001A5FED" w:rsidRPr="001A5FED">
        <w:rPr>
          <w:i/>
          <w:iCs/>
          <w:color w:val="000000" w:themeColor="text1"/>
        </w:rPr>
        <w:t>duties</w:t>
      </w:r>
      <w:proofErr w:type="spellEnd"/>
      <w:r w:rsidR="001A5FED" w:rsidRPr="001A5FED">
        <w:rPr>
          <w:i/>
          <w:iCs/>
          <w:color w:val="000000" w:themeColor="text1"/>
        </w:rPr>
        <w:t xml:space="preserve"> </w:t>
      </w:r>
      <w:proofErr w:type="spellStart"/>
      <w:r w:rsidR="001A5FED" w:rsidRPr="001A5FED">
        <w:rPr>
          <w:i/>
          <w:iCs/>
          <w:color w:val="000000" w:themeColor="text1"/>
        </w:rPr>
        <w:t>provided</w:t>
      </w:r>
      <w:proofErr w:type="spellEnd"/>
      <w:r w:rsidR="001A5FED" w:rsidRPr="001A5FED">
        <w:rPr>
          <w:i/>
          <w:iCs/>
          <w:color w:val="000000" w:themeColor="text1"/>
        </w:rPr>
        <w:t xml:space="preserve"> for in the </w:t>
      </w:r>
      <w:proofErr w:type="spellStart"/>
      <w:r w:rsidR="001A5FED" w:rsidRPr="001A5FED">
        <w:rPr>
          <w:i/>
          <w:iCs/>
          <w:color w:val="000000" w:themeColor="text1"/>
        </w:rPr>
        <w:t>Treaties</w:t>
      </w:r>
      <w:proofErr w:type="spellEnd"/>
      <w:r w:rsidR="001A5FED" w:rsidRPr="001A5FED">
        <w:rPr>
          <w:i/>
          <w:iCs/>
          <w:color w:val="000000" w:themeColor="text1"/>
        </w:rPr>
        <w:t xml:space="preserve">. </w:t>
      </w:r>
      <w:proofErr w:type="spellStart"/>
      <w:r w:rsidR="001A5FED" w:rsidRPr="001A5FED">
        <w:rPr>
          <w:i/>
          <w:iCs/>
          <w:color w:val="000000" w:themeColor="text1"/>
        </w:rPr>
        <w:t>They</w:t>
      </w:r>
      <w:proofErr w:type="spellEnd"/>
      <w:r w:rsidR="001A5FED" w:rsidRPr="001A5FED">
        <w:rPr>
          <w:i/>
          <w:iCs/>
          <w:color w:val="000000" w:themeColor="text1"/>
        </w:rPr>
        <w:t xml:space="preserve"> </w:t>
      </w:r>
      <w:proofErr w:type="spellStart"/>
      <w:r w:rsidR="001A5FED" w:rsidRPr="001A5FED">
        <w:rPr>
          <w:i/>
          <w:iCs/>
          <w:color w:val="000000" w:themeColor="text1"/>
        </w:rPr>
        <w:t>shall</w:t>
      </w:r>
      <w:proofErr w:type="spellEnd"/>
      <w:r w:rsidR="001A5FED" w:rsidRPr="001A5FED">
        <w:rPr>
          <w:i/>
          <w:iCs/>
          <w:color w:val="000000" w:themeColor="text1"/>
        </w:rPr>
        <w:t xml:space="preserve"> have, inter alia: </w:t>
      </w:r>
      <w:r w:rsidR="001A5FED" w:rsidRPr="0051021B">
        <w:rPr>
          <w:i/>
          <w:iCs/>
          <w:color w:val="000000" w:themeColor="text1"/>
        </w:rPr>
        <w:t>(...)</w:t>
      </w:r>
      <w:r w:rsidR="001A5FED">
        <w:rPr>
          <w:i/>
          <w:iCs/>
          <w:color w:val="000000" w:themeColor="text1"/>
        </w:rPr>
        <w:t xml:space="preserve"> </w:t>
      </w:r>
      <w:r w:rsidR="001A5FED" w:rsidRPr="001A5FED">
        <w:rPr>
          <w:i/>
          <w:iCs/>
          <w:color w:val="000000" w:themeColor="text1"/>
        </w:rPr>
        <w:t xml:space="preserve">the right to vote and to stand as candidates in </w:t>
      </w:r>
      <w:proofErr w:type="spellStart"/>
      <w:r w:rsidR="001A5FED" w:rsidRPr="001A5FED">
        <w:rPr>
          <w:i/>
          <w:iCs/>
          <w:color w:val="000000" w:themeColor="text1"/>
        </w:rPr>
        <w:t>elections</w:t>
      </w:r>
      <w:proofErr w:type="spellEnd"/>
      <w:r w:rsidR="001A5FED" w:rsidRPr="001A5FED">
        <w:rPr>
          <w:i/>
          <w:iCs/>
          <w:color w:val="000000" w:themeColor="text1"/>
        </w:rPr>
        <w:t xml:space="preserve"> to the European </w:t>
      </w:r>
      <w:proofErr w:type="spellStart"/>
      <w:r w:rsidR="001A5FED" w:rsidRPr="001A5FED">
        <w:rPr>
          <w:i/>
          <w:iCs/>
          <w:color w:val="000000" w:themeColor="text1"/>
        </w:rPr>
        <w:t>Parliament</w:t>
      </w:r>
      <w:proofErr w:type="spellEnd"/>
      <w:r w:rsidR="001A5FED" w:rsidRPr="001A5FED">
        <w:rPr>
          <w:i/>
          <w:iCs/>
          <w:color w:val="000000" w:themeColor="text1"/>
        </w:rPr>
        <w:t xml:space="preserve"> and in municipal </w:t>
      </w:r>
      <w:proofErr w:type="spellStart"/>
      <w:r w:rsidR="001A5FED" w:rsidRPr="001A5FED">
        <w:rPr>
          <w:i/>
          <w:iCs/>
          <w:color w:val="000000" w:themeColor="text1"/>
        </w:rPr>
        <w:t>elections</w:t>
      </w:r>
      <w:proofErr w:type="spellEnd"/>
      <w:r w:rsidR="001A5FED" w:rsidRPr="001A5FED">
        <w:rPr>
          <w:i/>
          <w:iCs/>
          <w:color w:val="000000" w:themeColor="text1"/>
        </w:rPr>
        <w:t xml:space="preserve"> in </w:t>
      </w:r>
      <w:proofErr w:type="spellStart"/>
      <w:r w:rsidR="001A5FED" w:rsidRPr="001A5FED">
        <w:rPr>
          <w:i/>
          <w:iCs/>
          <w:color w:val="000000" w:themeColor="text1"/>
        </w:rPr>
        <w:t>their</w:t>
      </w:r>
      <w:proofErr w:type="spellEnd"/>
      <w:r w:rsidR="001A5FED" w:rsidRPr="001A5FED">
        <w:rPr>
          <w:i/>
          <w:iCs/>
          <w:color w:val="000000" w:themeColor="text1"/>
        </w:rPr>
        <w:t xml:space="preserve"> </w:t>
      </w:r>
      <w:proofErr w:type="spellStart"/>
      <w:r w:rsidR="001A5FED" w:rsidRPr="001A5FED">
        <w:rPr>
          <w:i/>
          <w:iCs/>
          <w:color w:val="000000" w:themeColor="text1"/>
        </w:rPr>
        <w:t>Member</w:t>
      </w:r>
      <w:proofErr w:type="spellEnd"/>
      <w:r w:rsidR="001A5FED" w:rsidRPr="001A5FED">
        <w:rPr>
          <w:i/>
          <w:iCs/>
          <w:color w:val="000000" w:themeColor="text1"/>
        </w:rPr>
        <w:t xml:space="preserve"> State of </w:t>
      </w:r>
      <w:proofErr w:type="spellStart"/>
      <w:r w:rsidR="001A5FED" w:rsidRPr="001A5FED">
        <w:rPr>
          <w:i/>
          <w:iCs/>
          <w:color w:val="000000" w:themeColor="text1"/>
        </w:rPr>
        <w:t>residence</w:t>
      </w:r>
      <w:proofErr w:type="spellEnd"/>
      <w:r w:rsidR="001A5FED" w:rsidRPr="001A5FED">
        <w:rPr>
          <w:i/>
          <w:iCs/>
          <w:color w:val="000000" w:themeColor="text1"/>
        </w:rPr>
        <w:t xml:space="preserve">, </w:t>
      </w:r>
      <w:proofErr w:type="spellStart"/>
      <w:r w:rsidR="001A5FED" w:rsidRPr="001A5FED">
        <w:rPr>
          <w:i/>
          <w:iCs/>
          <w:color w:val="000000" w:themeColor="text1"/>
        </w:rPr>
        <w:t>under</w:t>
      </w:r>
      <w:proofErr w:type="spellEnd"/>
      <w:r w:rsidR="001A5FED" w:rsidRPr="001A5FED">
        <w:rPr>
          <w:i/>
          <w:iCs/>
          <w:color w:val="000000" w:themeColor="text1"/>
        </w:rPr>
        <w:t xml:space="preserve"> the </w:t>
      </w:r>
      <w:proofErr w:type="spellStart"/>
      <w:r w:rsidR="001A5FED" w:rsidRPr="001A5FED">
        <w:rPr>
          <w:i/>
          <w:iCs/>
          <w:color w:val="000000" w:themeColor="text1"/>
        </w:rPr>
        <w:t>same</w:t>
      </w:r>
      <w:proofErr w:type="spellEnd"/>
      <w:r w:rsidR="001A5FED" w:rsidRPr="001A5FED">
        <w:rPr>
          <w:i/>
          <w:iCs/>
          <w:color w:val="000000" w:themeColor="text1"/>
        </w:rPr>
        <w:t xml:space="preserve"> conditions as </w:t>
      </w:r>
      <w:proofErr w:type="spellStart"/>
      <w:r w:rsidR="001A5FED" w:rsidRPr="001A5FED">
        <w:rPr>
          <w:i/>
          <w:iCs/>
          <w:color w:val="000000" w:themeColor="text1"/>
        </w:rPr>
        <w:t>nationals</w:t>
      </w:r>
      <w:proofErr w:type="spellEnd"/>
      <w:r w:rsidR="001A5FED" w:rsidRPr="001A5FED">
        <w:rPr>
          <w:i/>
          <w:iCs/>
          <w:color w:val="000000" w:themeColor="text1"/>
        </w:rPr>
        <w:t xml:space="preserve"> of </w:t>
      </w:r>
      <w:proofErr w:type="spellStart"/>
      <w:r w:rsidR="001A5FED" w:rsidRPr="001A5FED">
        <w:rPr>
          <w:i/>
          <w:iCs/>
          <w:color w:val="000000" w:themeColor="text1"/>
        </w:rPr>
        <w:t>that</w:t>
      </w:r>
      <w:proofErr w:type="spellEnd"/>
      <w:r w:rsidR="001A5FED" w:rsidRPr="001A5FED">
        <w:rPr>
          <w:i/>
          <w:iCs/>
          <w:color w:val="000000" w:themeColor="text1"/>
        </w:rPr>
        <w:t xml:space="preserve"> State</w:t>
      </w:r>
      <w:r w:rsidR="001A5FED">
        <w:rPr>
          <w:i/>
          <w:iCs/>
          <w:color w:val="000000" w:themeColor="text1"/>
        </w:rPr>
        <w:t xml:space="preserve"> (…)</w:t>
      </w:r>
      <w:r w:rsidR="001A5FED" w:rsidRPr="001A5FED">
        <w:rPr>
          <w:color w:val="000000" w:themeColor="text1"/>
        </w:rPr>
        <w:t>”</w:t>
      </w:r>
      <w:r w:rsidRPr="00653C3A">
        <w:t>; Article 39 Charter of Fundamental Rights of the EU</w:t>
      </w:r>
      <w:r w:rsidR="001A5FED">
        <w:t xml:space="preserve">: </w:t>
      </w:r>
      <w:r w:rsidR="001A5FED" w:rsidRPr="00653C3A">
        <w:t>“</w:t>
      </w:r>
      <w:r w:rsidR="001A5FED">
        <w:rPr>
          <w:i/>
          <w:iCs/>
        </w:rPr>
        <w:t xml:space="preserve">(1) </w:t>
      </w:r>
      <w:proofErr w:type="spellStart"/>
      <w:r w:rsidR="001A5FED" w:rsidRPr="00EC4793">
        <w:rPr>
          <w:i/>
          <w:iCs/>
        </w:rPr>
        <w:t>Every</w:t>
      </w:r>
      <w:proofErr w:type="spellEnd"/>
      <w:r w:rsidR="001A5FED" w:rsidRPr="00EC4793">
        <w:rPr>
          <w:i/>
          <w:iCs/>
        </w:rPr>
        <w:t xml:space="preserve"> </w:t>
      </w:r>
      <w:proofErr w:type="spellStart"/>
      <w:r w:rsidR="001A5FED" w:rsidRPr="00EC4793">
        <w:rPr>
          <w:i/>
          <w:iCs/>
        </w:rPr>
        <w:t>citizen</w:t>
      </w:r>
      <w:proofErr w:type="spellEnd"/>
      <w:r w:rsidR="001A5FED" w:rsidRPr="00EC4793">
        <w:rPr>
          <w:i/>
          <w:iCs/>
        </w:rPr>
        <w:t xml:space="preserve"> of the Union has the right to vote and to stand as a candidate at </w:t>
      </w:r>
      <w:proofErr w:type="spellStart"/>
      <w:r w:rsidR="001A5FED" w:rsidRPr="00EC4793">
        <w:rPr>
          <w:i/>
          <w:iCs/>
        </w:rPr>
        <w:t>elections</w:t>
      </w:r>
      <w:proofErr w:type="spellEnd"/>
      <w:r w:rsidR="001A5FED" w:rsidRPr="00EC4793">
        <w:rPr>
          <w:i/>
          <w:iCs/>
        </w:rPr>
        <w:t xml:space="preserve"> to the European </w:t>
      </w:r>
      <w:proofErr w:type="spellStart"/>
      <w:r w:rsidR="001A5FED" w:rsidRPr="00EC4793">
        <w:rPr>
          <w:i/>
          <w:iCs/>
        </w:rPr>
        <w:t>Parliament</w:t>
      </w:r>
      <w:proofErr w:type="spellEnd"/>
      <w:r w:rsidR="001A5FED" w:rsidRPr="00EC4793">
        <w:rPr>
          <w:i/>
          <w:iCs/>
        </w:rPr>
        <w:t xml:space="preserve"> in the </w:t>
      </w:r>
      <w:proofErr w:type="spellStart"/>
      <w:r w:rsidR="001A5FED" w:rsidRPr="00EC4793">
        <w:rPr>
          <w:i/>
          <w:iCs/>
        </w:rPr>
        <w:t>Member</w:t>
      </w:r>
      <w:proofErr w:type="spellEnd"/>
      <w:r w:rsidR="001A5FED" w:rsidRPr="00EC4793">
        <w:rPr>
          <w:i/>
          <w:iCs/>
        </w:rPr>
        <w:t xml:space="preserve"> State in </w:t>
      </w:r>
      <w:proofErr w:type="spellStart"/>
      <w:r w:rsidR="001A5FED" w:rsidRPr="00EC4793">
        <w:rPr>
          <w:i/>
          <w:iCs/>
        </w:rPr>
        <w:t>which</w:t>
      </w:r>
      <w:proofErr w:type="spellEnd"/>
      <w:r w:rsidR="001A5FED" w:rsidRPr="00EC4793">
        <w:rPr>
          <w:i/>
          <w:iCs/>
        </w:rPr>
        <w:t xml:space="preserve"> </w:t>
      </w:r>
      <w:proofErr w:type="spellStart"/>
      <w:r w:rsidR="001A5FED" w:rsidRPr="00EC4793">
        <w:rPr>
          <w:i/>
          <w:iCs/>
        </w:rPr>
        <w:t>he</w:t>
      </w:r>
      <w:proofErr w:type="spellEnd"/>
      <w:r w:rsidR="001A5FED" w:rsidRPr="00EC4793">
        <w:rPr>
          <w:i/>
          <w:iCs/>
        </w:rPr>
        <w:t xml:space="preserve"> or </w:t>
      </w:r>
      <w:proofErr w:type="spellStart"/>
      <w:r w:rsidR="001A5FED" w:rsidRPr="00EC4793">
        <w:rPr>
          <w:i/>
          <w:iCs/>
        </w:rPr>
        <w:t>she</w:t>
      </w:r>
      <w:proofErr w:type="spellEnd"/>
      <w:r w:rsidR="001A5FED" w:rsidRPr="00EC4793">
        <w:rPr>
          <w:i/>
          <w:iCs/>
        </w:rPr>
        <w:t xml:space="preserve"> </w:t>
      </w:r>
      <w:proofErr w:type="spellStart"/>
      <w:r w:rsidR="001A5FED" w:rsidRPr="00EC4793">
        <w:rPr>
          <w:i/>
          <w:iCs/>
        </w:rPr>
        <w:t>resides</w:t>
      </w:r>
      <w:proofErr w:type="spellEnd"/>
      <w:r w:rsidR="001A5FED" w:rsidRPr="00EC4793">
        <w:rPr>
          <w:i/>
          <w:iCs/>
        </w:rPr>
        <w:t xml:space="preserve">, </w:t>
      </w:r>
      <w:proofErr w:type="spellStart"/>
      <w:r w:rsidR="001A5FED" w:rsidRPr="00EC4793">
        <w:rPr>
          <w:i/>
          <w:iCs/>
        </w:rPr>
        <w:t>under</w:t>
      </w:r>
      <w:proofErr w:type="spellEnd"/>
      <w:r w:rsidR="001A5FED" w:rsidRPr="00EC4793">
        <w:rPr>
          <w:i/>
          <w:iCs/>
        </w:rPr>
        <w:t xml:space="preserve"> the </w:t>
      </w:r>
      <w:proofErr w:type="spellStart"/>
      <w:r w:rsidR="001A5FED" w:rsidRPr="00EC4793">
        <w:rPr>
          <w:i/>
          <w:iCs/>
        </w:rPr>
        <w:t>same</w:t>
      </w:r>
      <w:proofErr w:type="spellEnd"/>
      <w:r w:rsidR="001A5FED" w:rsidRPr="00EC4793">
        <w:rPr>
          <w:i/>
          <w:iCs/>
        </w:rPr>
        <w:t xml:space="preserve"> conditions as </w:t>
      </w:r>
      <w:proofErr w:type="spellStart"/>
      <w:r w:rsidR="001A5FED" w:rsidRPr="00EC4793">
        <w:rPr>
          <w:i/>
          <w:iCs/>
        </w:rPr>
        <w:t>nationals</w:t>
      </w:r>
      <w:proofErr w:type="spellEnd"/>
      <w:r w:rsidR="001A5FED" w:rsidRPr="00EC4793">
        <w:rPr>
          <w:i/>
          <w:iCs/>
        </w:rPr>
        <w:t xml:space="preserve"> of </w:t>
      </w:r>
      <w:proofErr w:type="spellStart"/>
      <w:r w:rsidR="001A5FED" w:rsidRPr="00EC4793">
        <w:rPr>
          <w:i/>
          <w:iCs/>
        </w:rPr>
        <w:t>that</w:t>
      </w:r>
      <w:proofErr w:type="spellEnd"/>
      <w:r w:rsidR="001A5FED" w:rsidRPr="00EC4793">
        <w:rPr>
          <w:i/>
          <w:iCs/>
        </w:rPr>
        <w:t xml:space="preserve"> State. (2) Members of the European </w:t>
      </w:r>
      <w:proofErr w:type="spellStart"/>
      <w:r w:rsidR="001A5FED" w:rsidRPr="00EC4793">
        <w:rPr>
          <w:i/>
          <w:iCs/>
        </w:rPr>
        <w:t>Parliament</w:t>
      </w:r>
      <w:proofErr w:type="spellEnd"/>
      <w:r w:rsidR="001A5FED" w:rsidRPr="00EC4793">
        <w:rPr>
          <w:i/>
          <w:iCs/>
        </w:rPr>
        <w:t xml:space="preserve"> </w:t>
      </w:r>
      <w:proofErr w:type="spellStart"/>
      <w:r w:rsidR="001A5FED" w:rsidRPr="00EC4793">
        <w:rPr>
          <w:i/>
          <w:iCs/>
        </w:rPr>
        <w:t>shall</w:t>
      </w:r>
      <w:proofErr w:type="spellEnd"/>
      <w:r w:rsidR="001A5FED" w:rsidRPr="00EC4793">
        <w:rPr>
          <w:i/>
          <w:iCs/>
        </w:rPr>
        <w:t xml:space="preserve"> </w:t>
      </w:r>
      <w:proofErr w:type="spellStart"/>
      <w:r w:rsidR="001A5FED" w:rsidRPr="00EC4793">
        <w:rPr>
          <w:i/>
          <w:iCs/>
        </w:rPr>
        <w:t>be</w:t>
      </w:r>
      <w:proofErr w:type="spellEnd"/>
      <w:r w:rsidR="001A5FED" w:rsidRPr="00EC4793">
        <w:rPr>
          <w:i/>
          <w:iCs/>
        </w:rPr>
        <w:t xml:space="preserve"> </w:t>
      </w:r>
      <w:proofErr w:type="spellStart"/>
      <w:r w:rsidR="001A5FED" w:rsidRPr="00EC4793">
        <w:rPr>
          <w:i/>
          <w:iCs/>
        </w:rPr>
        <w:t>elected</w:t>
      </w:r>
      <w:proofErr w:type="spellEnd"/>
      <w:r w:rsidR="001A5FED" w:rsidRPr="00EC4793">
        <w:rPr>
          <w:i/>
          <w:iCs/>
        </w:rPr>
        <w:t xml:space="preserve"> by direct </w:t>
      </w:r>
      <w:proofErr w:type="spellStart"/>
      <w:r w:rsidR="001A5FED" w:rsidRPr="00EC4793">
        <w:rPr>
          <w:i/>
          <w:iCs/>
        </w:rPr>
        <w:t>universal</w:t>
      </w:r>
      <w:proofErr w:type="spellEnd"/>
      <w:r w:rsidR="001A5FED" w:rsidRPr="00EC4793">
        <w:rPr>
          <w:i/>
          <w:iCs/>
        </w:rPr>
        <w:t xml:space="preserve"> suffrage in a free and secret ballot</w:t>
      </w:r>
      <w:r w:rsidR="001A5FED" w:rsidRPr="001A5FED">
        <w:rPr>
          <w:color w:val="000000" w:themeColor="text1"/>
        </w:rPr>
        <w:t>”</w:t>
      </w:r>
      <w:r w:rsidRPr="00653C3A">
        <w:t>.</w:t>
      </w:r>
    </w:p>
  </w:footnote>
  <w:footnote w:id="5">
    <w:p w14:paraId="07FC5C51" w14:textId="2C266634" w:rsidR="00C3304F" w:rsidRPr="00BA32F1" w:rsidRDefault="00C3304F" w:rsidP="00EC4793">
      <w:pPr>
        <w:pStyle w:val="Notedebasdepage"/>
        <w:jc w:val="both"/>
        <w:rPr>
          <w:lang w:val="en-GB"/>
        </w:rPr>
      </w:pPr>
      <w:r>
        <w:rPr>
          <w:rStyle w:val="Appelnotedebasdep"/>
        </w:rPr>
        <w:footnoteRef/>
      </w:r>
      <w:r w:rsidRPr="00BA32F1">
        <w:rPr>
          <w:lang w:val="en-GB"/>
        </w:rPr>
        <w:t xml:space="preserve"> </w:t>
      </w:r>
      <w:r>
        <w:rPr>
          <w:lang w:val="en-GB"/>
        </w:rPr>
        <w:t>“</w:t>
      </w:r>
      <w:r w:rsidRPr="00C65A17">
        <w:rPr>
          <w:i/>
          <w:iCs/>
          <w:lang w:val="en-GB"/>
        </w:rPr>
        <w:t>[…] the principle of legality of taxation, which forms part of the legal order of the European Union as a general principle of law, requiring that any obligation to pay a tax and all the essential elements defining the substantive features thereof must be provided for by law, the taxable person having to be in a position to foresee and calculate the amount of tax due and determine the point at which it becomes payable […]</w:t>
      </w:r>
      <w:r>
        <w:rPr>
          <w:lang w:val="en-GB"/>
        </w:rPr>
        <w:t>”,</w:t>
      </w:r>
      <w:r w:rsidRPr="00AD7907">
        <w:rPr>
          <w:lang w:val="en-GB"/>
        </w:rPr>
        <w:t xml:space="preserve"> </w:t>
      </w:r>
      <w:r w:rsidRPr="00BA32F1">
        <w:rPr>
          <w:lang w:val="en-GB"/>
        </w:rPr>
        <w:t>CJEU</w:t>
      </w:r>
      <w:r w:rsidR="001A5FED">
        <w:rPr>
          <w:lang w:val="en-GB"/>
        </w:rPr>
        <w:t xml:space="preserve"> (Grand Chamber)</w:t>
      </w:r>
      <w:r w:rsidRPr="00BA32F1">
        <w:rPr>
          <w:lang w:val="en-GB"/>
        </w:rPr>
        <w:t>, 8 Nov</w:t>
      </w:r>
      <w:r>
        <w:rPr>
          <w:lang w:val="en-GB"/>
        </w:rPr>
        <w:t>.</w:t>
      </w:r>
      <w:r w:rsidRPr="00BA32F1">
        <w:rPr>
          <w:lang w:val="en-GB"/>
        </w:rPr>
        <w:t xml:space="preserve"> 2022, Joined cases C-885/19 P and </w:t>
      </w:r>
      <w:r>
        <w:rPr>
          <w:lang w:val="en-GB"/>
        </w:rPr>
        <w:t>C-898/19 P,</w:t>
      </w:r>
      <w:r w:rsidRPr="00BA32F1">
        <w:rPr>
          <w:lang w:val="en-GB"/>
        </w:rPr>
        <w:t xml:space="preserve"> Fiat Chrysler Finance Europe v European Commission, </w:t>
      </w:r>
      <w:r>
        <w:rPr>
          <w:lang w:val="en-GB"/>
        </w:rPr>
        <w:t xml:space="preserve">ECLI:EU:C:2022:859, para. 97. </w:t>
      </w:r>
      <w:r w:rsidRPr="00BA32F1">
        <w:rPr>
          <w:lang w:val="en-GB"/>
        </w:rPr>
        <w:t xml:space="preserve"> </w:t>
      </w:r>
      <w:r w:rsidR="00C3309B">
        <w:rPr>
          <w:lang w:val="en-GB"/>
        </w:rPr>
        <w:t xml:space="preserve">See </w:t>
      </w:r>
      <w:r w:rsidR="00C3309B" w:rsidRPr="009E1D2D">
        <w:rPr>
          <w:rFonts w:cs="Times New Roman"/>
        </w:rPr>
        <w:t>:</w:t>
      </w:r>
      <w:r w:rsidR="00C3309B">
        <w:rPr>
          <w:rFonts w:cs="Times New Roman"/>
        </w:rPr>
        <w:t xml:space="preserve"> </w:t>
      </w:r>
      <w:r w:rsidR="001A5FED">
        <w:rPr>
          <w:rFonts w:cs="Times New Roman"/>
        </w:rPr>
        <w:t>S.</w:t>
      </w:r>
      <w:r w:rsidR="001A5FED" w:rsidRPr="009E1D2D">
        <w:rPr>
          <w:rFonts w:cs="Times New Roman"/>
        </w:rPr>
        <w:t xml:space="preserve"> </w:t>
      </w:r>
      <w:r w:rsidR="00C3309B" w:rsidRPr="009E1D2D">
        <w:rPr>
          <w:rFonts w:cs="Times New Roman"/>
        </w:rPr>
        <w:t xml:space="preserve">van der Vlugt, </w:t>
      </w:r>
      <w:r w:rsidR="00C3309B" w:rsidRPr="00EC4793">
        <w:rPr>
          <w:rFonts w:cs="Times New Roman"/>
          <w:i/>
          <w:iCs/>
        </w:rPr>
        <w:t xml:space="preserve">The </w:t>
      </w:r>
      <w:proofErr w:type="spellStart"/>
      <w:r w:rsidR="00C3309B" w:rsidRPr="00EC4793">
        <w:rPr>
          <w:rFonts w:cs="Times New Roman"/>
          <w:i/>
          <w:iCs/>
        </w:rPr>
        <w:t>Principle</w:t>
      </w:r>
      <w:proofErr w:type="spellEnd"/>
      <w:r w:rsidR="00C3309B" w:rsidRPr="00EC4793">
        <w:rPr>
          <w:rFonts w:cs="Times New Roman"/>
          <w:i/>
          <w:iCs/>
        </w:rPr>
        <w:t xml:space="preserve"> of </w:t>
      </w:r>
      <w:proofErr w:type="spellStart"/>
      <w:r w:rsidR="00C3309B" w:rsidRPr="00EC4793">
        <w:rPr>
          <w:rFonts w:cs="Times New Roman"/>
          <w:i/>
          <w:iCs/>
        </w:rPr>
        <w:t>Legality</w:t>
      </w:r>
      <w:proofErr w:type="spellEnd"/>
      <w:r w:rsidR="00C3309B" w:rsidRPr="00EC4793">
        <w:rPr>
          <w:rFonts w:cs="Times New Roman"/>
          <w:i/>
          <w:iCs/>
        </w:rPr>
        <w:t xml:space="preserve"> of Taxation as a General </w:t>
      </w:r>
      <w:proofErr w:type="spellStart"/>
      <w:r w:rsidR="00C3309B" w:rsidRPr="00EC4793">
        <w:rPr>
          <w:rFonts w:cs="Times New Roman"/>
          <w:i/>
          <w:iCs/>
        </w:rPr>
        <w:t>Principle</w:t>
      </w:r>
      <w:proofErr w:type="spellEnd"/>
      <w:r w:rsidR="00C3309B" w:rsidRPr="00EC4793">
        <w:rPr>
          <w:rFonts w:cs="Times New Roman"/>
          <w:i/>
          <w:iCs/>
        </w:rPr>
        <w:t xml:space="preserve"> of EU Law: National and Supranational </w:t>
      </w:r>
      <w:proofErr w:type="spellStart"/>
      <w:r w:rsidR="00C3309B" w:rsidRPr="00EC4793">
        <w:rPr>
          <w:rFonts w:cs="Times New Roman"/>
          <w:i/>
          <w:iCs/>
        </w:rPr>
        <w:t>Differences</w:t>
      </w:r>
      <w:proofErr w:type="spellEnd"/>
      <w:r w:rsidR="00C3309B" w:rsidRPr="00EC4793">
        <w:rPr>
          <w:rFonts w:cs="Times New Roman"/>
          <w:i/>
          <w:iCs/>
        </w:rPr>
        <w:t xml:space="preserve"> of </w:t>
      </w:r>
      <w:proofErr w:type="spellStart"/>
      <w:r w:rsidR="00C3309B" w:rsidRPr="00EC4793">
        <w:rPr>
          <w:rFonts w:cs="Times New Roman"/>
          <w:i/>
          <w:iCs/>
        </w:rPr>
        <w:t>Interpretation</w:t>
      </w:r>
      <w:proofErr w:type="spellEnd"/>
      <w:r w:rsidR="00C3309B" w:rsidRPr="00EC4793">
        <w:rPr>
          <w:rFonts w:cs="Times New Roman"/>
          <w:i/>
          <w:iCs/>
        </w:rPr>
        <w:t xml:space="preserve"> and </w:t>
      </w:r>
      <w:proofErr w:type="spellStart"/>
      <w:r w:rsidR="00C3309B" w:rsidRPr="00EC4793">
        <w:rPr>
          <w:rFonts w:cs="Times New Roman"/>
          <w:i/>
          <w:iCs/>
        </w:rPr>
        <w:t>Potential</w:t>
      </w:r>
      <w:proofErr w:type="spellEnd"/>
      <w:r w:rsidR="00C3309B" w:rsidRPr="00EC4793">
        <w:rPr>
          <w:rFonts w:cs="Times New Roman"/>
          <w:i/>
          <w:iCs/>
        </w:rPr>
        <w:t xml:space="preserve"> </w:t>
      </w:r>
      <w:proofErr w:type="spellStart"/>
      <w:r w:rsidR="00C3309B" w:rsidRPr="00EC4793">
        <w:rPr>
          <w:rFonts w:cs="Times New Roman"/>
          <w:i/>
          <w:iCs/>
        </w:rPr>
        <w:t>Difficulties</w:t>
      </w:r>
      <w:proofErr w:type="spellEnd"/>
      <w:r w:rsidR="00C3309B">
        <w:rPr>
          <w:rFonts w:cs="Times New Roman"/>
        </w:rPr>
        <w:t xml:space="preserve">, </w:t>
      </w:r>
      <w:r w:rsidR="00C3309B" w:rsidRPr="00EC4793">
        <w:rPr>
          <w:rFonts w:cs="Times New Roman"/>
        </w:rPr>
        <w:t>EC Tax Review</w:t>
      </w:r>
      <w:r w:rsidR="00C3309B" w:rsidRPr="009E1D2D">
        <w:rPr>
          <w:rFonts w:cs="Times New Roman"/>
        </w:rPr>
        <w:t xml:space="preserve"> </w:t>
      </w:r>
      <w:r w:rsidR="00E81651">
        <w:rPr>
          <w:rFonts w:cs="Times New Roman"/>
        </w:rPr>
        <w:t xml:space="preserve">(2023), Vol. </w:t>
      </w:r>
      <w:r w:rsidR="00C3309B" w:rsidRPr="009E1D2D">
        <w:rPr>
          <w:rFonts w:cs="Times New Roman"/>
        </w:rPr>
        <w:t>32</w:t>
      </w:r>
      <w:r w:rsidR="00E81651">
        <w:rPr>
          <w:rFonts w:cs="Times New Roman"/>
        </w:rPr>
        <w:t xml:space="preserve"> (</w:t>
      </w:r>
      <w:r w:rsidR="00C3309B" w:rsidRPr="009E1D2D">
        <w:rPr>
          <w:rFonts w:cs="Times New Roman"/>
        </w:rPr>
        <w:t>5</w:t>
      </w:r>
      <w:r w:rsidR="00E81651">
        <w:rPr>
          <w:rFonts w:cs="Times New Roman"/>
        </w:rPr>
        <w:t>)</w:t>
      </w:r>
      <w:r w:rsidR="00C3309B">
        <w:rPr>
          <w:rFonts w:cs="Times New Roman"/>
        </w:rPr>
        <w:t>,</w:t>
      </w:r>
      <w:r w:rsidR="00C3309B" w:rsidRPr="009E1D2D">
        <w:rPr>
          <w:rFonts w:cs="Times New Roman"/>
        </w:rPr>
        <w:t xml:space="preserve"> </w:t>
      </w:r>
      <w:r w:rsidR="00E81651">
        <w:rPr>
          <w:rFonts w:cs="Times New Roman"/>
        </w:rPr>
        <w:t xml:space="preserve">p. </w:t>
      </w:r>
      <w:r w:rsidR="00C3309B" w:rsidRPr="009E1D2D">
        <w:rPr>
          <w:rFonts w:cs="Times New Roman"/>
        </w:rPr>
        <w:t>214–28</w:t>
      </w:r>
      <w:r w:rsidR="00C3309B">
        <w:rPr>
          <w:rFonts w:cs="Times New Roman"/>
        </w:rPr>
        <w:t>,</w:t>
      </w:r>
      <w:r w:rsidR="00C3309B" w:rsidRPr="009E1D2D">
        <w:rPr>
          <w:rFonts w:cs="Times New Roman"/>
        </w:rPr>
        <w:t xml:space="preserve"> </w:t>
      </w:r>
      <w:hyperlink r:id="rId1" w:history="1">
        <w:r w:rsidR="00C3309B" w:rsidRPr="009E1D2D">
          <w:rPr>
            <w:rStyle w:val="Lienhypertexte"/>
            <w:rFonts w:cs="Times New Roman"/>
          </w:rPr>
          <w:t>https://doi.org/10.54648/ECTA2023027</w:t>
        </w:r>
      </w:hyperlink>
      <w:r w:rsidR="00C3309B">
        <w:t>.</w:t>
      </w:r>
    </w:p>
  </w:footnote>
  <w:footnote w:id="6">
    <w:p w14:paraId="01D0EAB0" w14:textId="032BC2D7" w:rsidR="00D2688F" w:rsidRDefault="00D2688F" w:rsidP="00EC4793">
      <w:pPr>
        <w:pStyle w:val="Notedebasdepage"/>
        <w:jc w:val="both"/>
      </w:pPr>
      <w:r>
        <w:rPr>
          <w:rStyle w:val="Appelnotedebasdep"/>
        </w:rPr>
        <w:footnoteRef/>
      </w:r>
      <w:r>
        <w:t xml:space="preserve"> </w:t>
      </w:r>
      <w:r w:rsidRPr="00F45C64">
        <w:t xml:space="preserve"> </w:t>
      </w:r>
      <w:r w:rsidR="001A5FED">
        <w:t>CJEU</w:t>
      </w:r>
      <w:r>
        <w:t>,</w:t>
      </w:r>
      <w:r w:rsidRPr="00F45C64">
        <w:t xml:space="preserve"> 8 May 2019, </w:t>
      </w:r>
      <w:proofErr w:type="spellStart"/>
      <w:r w:rsidRPr="00F45C64">
        <w:t>Związek</w:t>
      </w:r>
      <w:proofErr w:type="spellEnd"/>
      <w:r w:rsidRPr="00F45C64">
        <w:t xml:space="preserve"> </w:t>
      </w:r>
      <w:proofErr w:type="spellStart"/>
      <w:r w:rsidRPr="00F45C64">
        <w:t>Gmin</w:t>
      </w:r>
      <w:proofErr w:type="spellEnd"/>
      <w:r w:rsidRPr="00F45C64">
        <w:t xml:space="preserve"> </w:t>
      </w:r>
      <w:proofErr w:type="spellStart"/>
      <w:r w:rsidRPr="00F45C64">
        <w:t>Zagłębia</w:t>
      </w:r>
      <w:proofErr w:type="spellEnd"/>
      <w:r w:rsidRPr="00F45C64">
        <w:t xml:space="preserve"> </w:t>
      </w:r>
      <w:proofErr w:type="spellStart"/>
      <w:r w:rsidRPr="00F45C64">
        <w:t>Miedziowego</w:t>
      </w:r>
      <w:proofErr w:type="spellEnd"/>
      <w:r w:rsidRPr="00F45C64">
        <w:t xml:space="preserve">, </w:t>
      </w:r>
      <w:r w:rsidR="001A5FED">
        <w:t xml:space="preserve">case </w:t>
      </w:r>
      <w:r w:rsidRPr="00F45C64">
        <w:t>C</w:t>
      </w:r>
      <w:r w:rsidRPr="00F45C64">
        <w:rPr>
          <w:rFonts w:ascii="Cambria Math" w:hAnsi="Cambria Math" w:cs="Cambria Math"/>
        </w:rPr>
        <w:t>‑</w:t>
      </w:r>
      <w:r w:rsidRPr="00F45C64">
        <w:t xml:space="preserve">566/17, </w:t>
      </w:r>
      <w:proofErr w:type="gramStart"/>
      <w:r w:rsidR="001A5FED">
        <w:t>ECLI:</w:t>
      </w:r>
      <w:r w:rsidRPr="00F45C64">
        <w:t>EU:C:2019:</w:t>
      </w:r>
      <w:proofErr w:type="gramEnd"/>
      <w:r w:rsidRPr="00F45C64">
        <w:t xml:space="preserve">390, </w:t>
      </w:r>
      <w:r w:rsidR="001A5FED" w:rsidRPr="00F45C64">
        <w:t>para</w:t>
      </w:r>
      <w:r w:rsidR="001A5FED">
        <w:t>.</w:t>
      </w:r>
      <w:r w:rsidR="001A5FED" w:rsidRPr="00F45C64">
        <w:t xml:space="preserve"> </w:t>
      </w:r>
      <w:r w:rsidRPr="00F45C64">
        <w:t>39</w:t>
      </w:r>
      <w:r>
        <w:t>.</w:t>
      </w:r>
    </w:p>
  </w:footnote>
  <w:footnote w:id="7">
    <w:p w14:paraId="74024F0A" w14:textId="66692302" w:rsidR="00653C3A" w:rsidRPr="001774E9" w:rsidRDefault="00653C3A" w:rsidP="0039075C">
      <w:pPr>
        <w:pStyle w:val="Notedebasdepage"/>
        <w:jc w:val="both"/>
      </w:pPr>
      <w:r>
        <w:rPr>
          <w:rStyle w:val="Appelnotedebasdep"/>
        </w:rPr>
        <w:footnoteRef/>
      </w:r>
      <w:r>
        <w:t xml:space="preserve"> </w:t>
      </w:r>
      <w:r w:rsidRPr="00653C3A">
        <w:t xml:space="preserve">On the tension </w:t>
      </w:r>
      <w:proofErr w:type="spellStart"/>
      <w:r w:rsidRPr="00653C3A">
        <w:t>between</w:t>
      </w:r>
      <w:proofErr w:type="spellEnd"/>
      <w:r w:rsidRPr="00653C3A">
        <w:t xml:space="preserve"> </w:t>
      </w:r>
      <w:proofErr w:type="spellStart"/>
      <w:r w:rsidRPr="00653C3A">
        <w:t>tax</w:t>
      </w:r>
      <w:proofErr w:type="spellEnd"/>
      <w:r w:rsidRPr="00653C3A">
        <w:t xml:space="preserve"> </w:t>
      </w:r>
      <w:proofErr w:type="spellStart"/>
      <w:r w:rsidRPr="00653C3A">
        <w:t>residence</w:t>
      </w:r>
      <w:proofErr w:type="spellEnd"/>
      <w:r w:rsidRPr="00653C3A">
        <w:t xml:space="preserve"> and </w:t>
      </w:r>
      <w:proofErr w:type="spellStart"/>
      <w:r w:rsidRPr="00653C3A">
        <w:t>political</w:t>
      </w:r>
      <w:proofErr w:type="spellEnd"/>
      <w:r w:rsidRPr="00653C3A">
        <w:t xml:space="preserve"> </w:t>
      </w:r>
      <w:proofErr w:type="spellStart"/>
      <w:r w:rsidRPr="00653C3A">
        <w:t>representation</w:t>
      </w:r>
      <w:proofErr w:type="spellEnd"/>
      <w:r w:rsidRPr="00653C3A">
        <w:t xml:space="preserve">, </w:t>
      </w:r>
      <w:proofErr w:type="spellStart"/>
      <w:r w:rsidRPr="00653C3A">
        <w:t>see</w:t>
      </w:r>
      <w:proofErr w:type="spellEnd"/>
      <w:r w:rsidRPr="00653C3A">
        <w:t xml:space="preserve"> </w:t>
      </w:r>
      <w:r w:rsidR="001A5FED">
        <w:t xml:space="preserve">W. </w:t>
      </w:r>
      <w:r w:rsidRPr="001774E9">
        <w:t xml:space="preserve">Schoen, </w:t>
      </w:r>
      <w:r w:rsidRPr="00EC4793">
        <w:rPr>
          <w:i/>
          <w:iCs/>
        </w:rPr>
        <w:t xml:space="preserve">Taxation and </w:t>
      </w:r>
      <w:proofErr w:type="spellStart"/>
      <w:r w:rsidRPr="00EC4793">
        <w:rPr>
          <w:i/>
          <w:iCs/>
        </w:rPr>
        <w:t>Democracy</w:t>
      </w:r>
      <w:proofErr w:type="spellEnd"/>
      <w:r w:rsidR="00977FC1" w:rsidRPr="001774E9">
        <w:t xml:space="preserve">, Max Planck Institute for Tax Law and Public Finance </w:t>
      </w:r>
      <w:proofErr w:type="spellStart"/>
      <w:r w:rsidR="00977FC1" w:rsidRPr="001774E9">
        <w:t>Working</w:t>
      </w:r>
      <w:proofErr w:type="spellEnd"/>
      <w:r w:rsidR="00977FC1" w:rsidRPr="001774E9">
        <w:t xml:space="preserve"> Paper 2018 – 13, p. 43</w:t>
      </w:r>
      <w:r w:rsidR="001A5FED">
        <w:t xml:space="preserve"> </w:t>
      </w:r>
      <w:proofErr w:type="spellStart"/>
      <w:r w:rsidR="00977FC1" w:rsidRPr="001774E9">
        <w:t>seq</w:t>
      </w:r>
      <w:proofErr w:type="spellEnd"/>
      <w:r w:rsidR="00977FC1" w:rsidRPr="001774E9">
        <w:t xml:space="preserve">., </w:t>
      </w:r>
      <w:proofErr w:type="spellStart"/>
      <w:r w:rsidR="00977FC1" w:rsidRPr="001774E9">
        <w:t>which</w:t>
      </w:r>
      <w:proofErr w:type="spellEnd"/>
      <w:r w:rsidR="00977FC1" w:rsidRPr="001774E9">
        <w:t xml:space="preserve"> </w:t>
      </w:r>
      <w:proofErr w:type="spellStart"/>
      <w:r w:rsidR="00977FC1" w:rsidRPr="001774E9">
        <w:t>specifically</w:t>
      </w:r>
      <w:proofErr w:type="spellEnd"/>
      <w:r w:rsidR="00977FC1" w:rsidRPr="001774E9">
        <w:t xml:space="preserve"> </w:t>
      </w:r>
      <w:proofErr w:type="spellStart"/>
      <w:r w:rsidR="00977FC1" w:rsidRPr="001774E9">
        <w:t>addresses</w:t>
      </w:r>
      <w:proofErr w:type="spellEnd"/>
      <w:r w:rsidR="00977FC1" w:rsidRPr="001774E9">
        <w:t xml:space="preserve"> the issue of </w:t>
      </w:r>
      <w:r w:rsidR="001A5FED">
        <w:rPr>
          <w:lang w:val="en-GB"/>
        </w:rPr>
        <w:t>“</w:t>
      </w:r>
      <w:r w:rsidR="00977FC1" w:rsidRPr="00EC4793">
        <w:rPr>
          <w:i/>
          <w:iCs/>
        </w:rPr>
        <w:t xml:space="preserve">congruence </w:t>
      </w:r>
      <w:proofErr w:type="spellStart"/>
      <w:r w:rsidR="00977FC1" w:rsidRPr="00EC4793">
        <w:rPr>
          <w:i/>
          <w:iCs/>
        </w:rPr>
        <w:t>between</w:t>
      </w:r>
      <w:proofErr w:type="spellEnd"/>
      <w:r w:rsidR="00977FC1" w:rsidRPr="00EC4793">
        <w:rPr>
          <w:i/>
          <w:iCs/>
        </w:rPr>
        <w:t xml:space="preserve"> </w:t>
      </w:r>
      <w:proofErr w:type="spellStart"/>
      <w:r w:rsidR="00977FC1" w:rsidRPr="00EC4793">
        <w:rPr>
          <w:i/>
          <w:iCs/>
        </w:rPr>
        <w:t>voters</w:t>
      </w:r>
      <w:proofErr w:type="spellEnd"/>
      <w:r w:rsidR="00977FC1" w:rsidRPr="00EC4793">
        <w:rPr>
          <w:i/>
          <w:iCs/>
        </w:rPr>
        <w:t xml:space="preserve">, </w:t>
      </w:r>
      <w:proofErr w:type="spellStart"/>
      <w:r w:rsidR="00977FC1" w:rsidRPr="00EC4793">
        <w:rPr>
          <w:i/>
          <w:iCs/>
        </w:rPr>
        <w:t>taxpayers</w:t>
      </w:r>
      <w:proofErr w:type="spellEnd"/>
      <w:r w:rsidR="00977FC1" w:rsidRPr="00EC4793">
        <w:rPr>
          <w:i/>
          <w:iCs/>
        </w:rPr>
        <w:t xml:space="preserve"> and </w:t>
      </w:r>
      <w:proofErr w:type="spellStart"/>
      <w:r w:rsidR="00977FC1" w:rsidRPr="00EC4793">
        <w:rPr>
          <w:i/>
          <w:iCs/>
        </w:rPr>
        <w:t>beneficiaries</w:t>
      </w:r>
      <w:proofErr w:type="spellEnd"/>
      <w:r w:rsidR="001A5FED">
        <w:rPr>
          <w:lang w:val="en-GB"/>
        </w:rPr>
        <w:t>”</w:t>
      </w:r>
      <w:r w:rsidR="00977FC1" w:rsidRPr="001774E9">
        <w:t xml:space="preserve">, </w:t>
      </w:r>
      <w:proofErr w:type="gramStart"/>
      <w:r w:rsidR="001A5FED" w:rsidRPr="001A5FED">
        <w:t>https://dx.doi.org/10.2139/ssrn.3267279</w:t>
      </w:r>
      <w:r w:rsidRPr="001774E9">
        <w:t>;</w:t>
      </w:r>
      <w:proofErr w:type="gramEnd"/>
      <w:r w:rsidRPr="001774E9">
        <w:t xml:space="preserve"> </w:t>
      </w:r>
      <w:r w:rsidR="001A5FED">
        <w:t>T.</w:t>
      </w:r>
      <w:r w:rsidR="001A5FED" w:rsidRPr="001A5FED">
        <w:t xml:space="preserve"> Dagan &amp; </w:t>
      </w:r>
      <w:r w:rsidR="001A5FED">
        <w:t>R.</w:t>
      </w:r>
      <w:r w:rsidR="001A5FED" w:rsidRPr="001A5FED">
        <w:t xml:space="preserve"> Mason</w:t>
      </w:r>
      <w:r w:rsidR="00977FC1" w:rsidRPr="001774E9">
        <w:t xml:space="preserve">, </w:t>
      </w:r>
      <w:proofErr w:type="spellStart"/>
      <w:r w:rsidR="00977FC1" w:rsidRPr="00EC4793">
        <w:rPr>
          <w:i/>
          <w:iCs/>
        </w:rPr>
        <w:t>Reconsidering</w:t>
      </w:r>
      <w:proofErr w:type="spellEnd"/>
      <w:r w:rsidR="00977FC1" w:rsidRPr="00EC4793">
        <w:rPr>
          <w:i/>
          <w:iCs/>
        </w:rPr>
        <w:t xml:space="preserve"> </w:t>
      </w:r>
      <w:proofErr w:type="spellStart"/>
      <w:r w:rsidR="00977FC1" w:rsidRPr="00EC4793">
        <w:rPr>
          <w:i/>
          <w:iCs/>
        </w:rPr>
        <w:t>Citizenship</w:t>
      </w:r>
      <w:proofErr w:type="spellEnd"/>
      <w:r w:rsidR="00977FC1" w:rsidRPr="00EC4793">
        <w:rPr>
          <w:i/>
          <w:iCs/>
        </w:rPr>
        <w:t xml:space="preserve"> Taxation</w:t>
      </w:r>
      <w:r w:rsidR="001A5FED">
        <w:t>,</w:t>
      </w:r>
      <w:r w:rsidR="00977FC1" w:rsidRPr="001774E9">
        <w:t xml:space="preserve"> Virginia Public Law and Legal Theory Research Paper No. 2024-69, Virginia Law and </w:t>
      </w:r>
      <w:proofErr w:type="spellStart"/>
      <w:r w:rsidR="00977FC1" w:rsidRPr="001774E9">
        <w:t>Economics</w:t>
      </w:r>
      <w:proofErr w:type="spellEnd"/>
      <w:r w:rsidR="00977FC1" w:rsidRPr="001774E9">
        <w:t xml:space="preserve"> Research Paper No. 2024-34, </w:t>
      </w:r>
      <w:proofErr w:type="spellStart"/>
      <w:r w:rsidR="00977FC1" w:rsidRPr="001774E9">
        <w:t>Working</w:t>
      </w:r>
      <w:proofErr w:type="spellEnd"/>
      <w:r w:rsidR="00977FC1" w:rsidRPr="001774E9">
        <w:t xml:space="preserve"> Paper of the Max Planck Institute for Tax Law and Public Finance No. 2024-16, </w:t>
      </w:r>
      <w:hyperlink r:id="rId2" w:history="1">
        <w:r w:rsidR="001A5FED" w:rsidRPr="001A5FED">
          <w:rPr>
            <w:rStyle w:val="Lienhypertexte"/>
          </w:rPr>
          <w:t>http://dx.doi.org/10.2139/ssrn.5029551</w:t>
        </w:r>
      </w:hyperlink>
      <w:r w:rsidR="00977FC1" w:rsidRPr="001774E9">
        <w:t>.</w:t>
      </w:r>
    </w:p>
  </w:footnote>
  <w:footnote w:id="8">
    <w:p w14:paraId="2E9B7877" w14:textId="6F03BC8E" w:rsidR="00653C3A" w:rsidRPr="001774E9" w:rsidRDefault="00653C3A">
      <w:pPr>
        <w:pStyle w:val="Notedebasdepage"/>
      </w:pPr>
      <w:r w:rsidRPr="001774E9">
        <w:rPr>
          <w:rStyle w:val="Appelnotedebasdep"/>
        </w:rPr>
        <w:footnoteRef/>
      </w:r>
      <w:r w:rsidRPr="001774E9">
        <w:t xml:space="preserve"> Article 22 TFEU </w:t>
      </w:r>
      <w:proofErr w:type="spellStart"/>
      <w:r w:rsidRPr="001774E9">
        <w:t>provides</w:t>
      </w:r>
      <w:proofErr w:type="spellEnd"/>
      <w:r w:rsidRPr="001774E9">
        <w:t xml:space="preserve"> </w:t>
      </w:r>
      <w:proofErr w:type="spellStart"/>
      <w:r w:rsidRPr="001774E9">
        <w:t>voting</w:t>
      </w:r>
      <w:proofErr w:type="spellEnd"/>
      <w:r w:rsidRPr="001774E9">
        <w:t xml:space="preserve"> </w:t>
      </w:r>
      <w:proofErr w:type="spellStart"/>
      <w:r w:rsidRPr="001774E9">
        <w:t>rights</w:t>
      </w:r>
      <w:proofErr w:type="spellEnd"/>
      <w:r w:rsidRPr="001774E9">
        <w:t xml:space="preserve"> in municipal </w:t>
      </w:r>
      <w:proofErr w:type="spellStart"/>
      <w:r w:rsidRPr="001774E9">
        <w:t>elections</w:t>
      </w:r>
      <w:proofErr w:type="spellEnd"/>
      <w:r w:rsidRPr="001774E9">
        <w:t xml:space="preserve"> </w:t>
      </w:r>
      <w:proofErr w:type="spellStart"/>
      <w:r w:rsidRPr="001774E9">
        <w:t>only</w:t>
      </w:r>
      <w:proofErr w:type="spellEnd"/>
      <w:r w:rsidRPr="001774E9">
        <w:t>.</w:t>
      </w:r>
    </w:p>
  </w:footnote>
  <w:footnote w:id="9">
    <w:p w14:paraId="2C650E22" w14:textId="72BB7563" w:rsidR="00653C3A" w:rsidRDefault="00653C3A" w:rsidP="00EC4793">
      <w:pPr>
        <w:pStyle w:val="Notedebasdepage"/>
        <w:jc w:val="both"/>
      </w:pPr>
      <w:r w:rsidRPr="001774E9">
        <w:rPr>
          <w:rStyle w:val="Appelnotedebasdep"/>
        </w:rPr>
        <w:footnoteRef/>
      </w:r>
      <w:r w:rsidRPr="001774E9">
        <w:t xml:space="preserve"> On the concept of </w:t>
      </w:r>
      <w:proofErr w:type="spellStart"/>
      <w:r w:rsidRPr="001774E9">
        <w:t>tax</w:t>
      </w:r>
      <w:proofErr w:type="spellEnd"/>
      <w:r w:rsidRPr="001774E9">
        <w:t xml:space="preserve"> nexus, </w:t>
      </w:r>
      <w:proofErr w:type="spellStart"/>
      <w:r w:rsidRPr="001774E9">
        <w:t>see</w:t>
      </w:r>
      <w:proofErr w:type="spellEnd"/>
      <w:r w:rsidRPr="001774E9">
        <w:t xml:space="preserve"> E. Traversa, </w:t>
      </w:r>
      <w:r w:rsidRPr="00EC4793">
        <w:rPr>
          <w:i/>
          <w:iCs/>
        </w:rPr>
        <w:t xml:space="preserve">Nexus and </w:t>
      </w:r>
      <w:r w:rsidR="001774E9" w:rsidRPr="00EC4793">
        <w:rPr>
          <w:i/>
          <w:iCs/>
        </w:rPr>
        <w:t>juridiction</w:t>
      </w:r>
      <w:r w:rsidRPr="00EC4793">
        <w:rPr>
          <w:i/>
          <w:iCs/>
        </w:rPr>
        <w:t xml:space="preserve"> in EU </w:t>
      </w:r>
      <w:proofErr w:type="spellStart"/>
      <w:r w:rsidRPr="00EC4793">
        <w:rPr>
          <w:i/>
          <w:iCs/>
        </w:rPr>
        <w:t>tax</w:t>
      </w:r>
      <w:proofErr w:type="spellEnd"/>
      <w:r w:rsidRPr="00EC4793">
        <w:rPr>
          <w:i/>
          <w:iCs/>
        </w:rPr>
        <w:t xml:space="preserve"> </w:t>
      </w:r>
      <w:proofErr w:type="spellStart"/>
      <w:r w:rsidRPr="00EC4793">
        <w:rPr>
          <w:i/>
          <w:iCs/>
        </w:rPr>
        <w:t>law</w:t>
      </w:r>
      <w:proofErr w:type="spellEnd"/>
      <w:r w:rsidRPr="001774E9">
        <w:t>, IBFD, 2020</w:t>
      </w:r>
      <w:r w:rsidR="001774E9" w:rsidRPr="001774E9">
        <w:t xml:space="preserve"> ; P. Baker, </w:t>
      </w:r>
      <w:proofErr w:type="spellStart"/>
      <w:r w:rsidR="001774E9" w:rsidRPr="00EC4793">
        <w:rPr>
          <w:i/>
          <w:iCs/>
        </w:rPr>
        <w:t>Some</w:t>
      </w:r>
      <w:proofErr w:type="spellEnd"/>
      <w:r w:rsidR="001774E9" w:rsidRPr="00EC4793">
        <w:rPr>
          <w:i/>
          <w:iCs/>
        </w:rPr>
        <w:t xml:space="preserve"> </w:t>
      </w:r>
      <w:proofErr w:type="spellStart"/>
      <w:r w:rsidR="001774E9" w:rsidRPr="00EC4793">
        <w:rPr>
          <w:i/>
          <w:iCs/>
        </w:rPr>
        <w:t>Thoughts</w:t>
      </w:r>
      <w:proofErr w:type="spellEnd"/>
      <w:r w:rsidR="001774E9" w:rsidRPr="00EC4793">
        <w:rPr>
          <w:i/>
          <w:iCs/>
        </w:rPr>
        <w:t xml:space="preserve"> on </w:t>
      </w:r>
      <w:proofErr w:type="spellStart"/>
      <w:r w:rsidR="001774E9" w:rsidRPr="00EC4793">
        <w:rPr>
          <w:i/>
          <w:iCs/>
        </w:rPr>
        <w:t>Jurisdiction</w:t>
      </w:r>
      <w:proofErr w:type="spellEnd"/>
      <w:r w:rsidR="001774E9" w:rsidRPr="00EC4793">
        <w:rPr>
          <w:i/>
          <w:iCs/>
        </w:rPr>
        <w:t xml:space="preserve"> and Nexus</w:t>
      </w:r>
      <w:r w:rsidR="001774E9" w:rsidRPr="001774E9">
        <w:t xml:space="preserve">, in </w:t>
      </w:r>
      <w:proofErr w:type="spellStart"/>
      <w:r w:rsidR="001774E9" w:rsidRPr="00EC4793">
        <w:rPr>
          <w:i/>
          <w:iCs/>
        </w:rPr>
        <w:t>Current</w:t>
      </w:r>
      <w:proofErr w:type="spellEnd"/>
      <w:r w:rsidR="001774E9" w:rsidRPr="00EC4793">
        <w:rPr>
          <w:i/>
          <w:iCs/>
        </w:rPr>
        <w:t xml:space="preserve"> Tax </w:t>
      </w:r>
      <w:proofErr w:type="spellStart"/>
      <w:r w:rsidR="001774E9" w:rsidRPr="00EC4793">
        <w:rPr>
          <w:i/>
          <w:iCs/>
        </w:rPr>
        <w:t>Treaty</w:t>
      </w:r>
      <w:proofErr w:type="spellEnd"/>
      <w:r w:rsidR="001774E9" w:rsidRPr="00EC4793">
        <w:rPr>
          <w:i/>
          <w:iCs/>
        </w:rPr>
        <w:t xml:space="preserve"> Issues: 50th </w:t>
      </w:r>
      <w:proofErr w:type="spellStart"/>
      <w:r w:rsidR="001774E9" w:rsidRPr="00EC4793">
        <w:rPr>
          <w:i/>
          <w:iCs/>
        </w:rPr>
        <w:t>Anniversary</w:t>
      </w:r>
      <w:proofErr w:type="spellEnd"/>
      <w:r w:rsidR="001774E9" w:rsidRPr="00EC4793">
        <w:rPr>
          <w:i/>
          <w:iCs/>
        </w:rPr>
        <w:t xml:space="preserve"> of the International Tax Group</w:t>
      </w:r>
      <w:r w:rsidR="001774E9" w:rsidRPr="001774E9">
        <w:t xml:space="preserve"> </w:t>
      </w:r>
      <w:r w:rsidR="000A29E2" w:rsidRPr="001774E9">
        <w:t xml:space="preserve">(G. Maisto </w:t>
      </w:r>
      <w:proofErr w:type="spellStart"/>
      <w:r w:rsidR="000A29E2" w:rsidRPr="001774E9">
        <w:t>ed</w:t>
      </w:r>
      <w:proofErr w:type="spellEnd"/>
      <w:r w:rsidR="000A29E2" w:rsidRPr="001774E9">
        <w:t>., IBFD 2020), Books IBFD</w:t>
      </w:r>
      <w:r w:rsidR="000A29E2">
        <w:t xml:space="preserve">, </w:t>
      </w:r>
      <w:r w:rsidR="001774E9" w:rsidRPr="001774E9">
        <w:t xml:space="preserve">pp. 441 et </w:t>
      </w:r>
      <w:proofErr w:type="spellStart"/>
      <w:r w:rsidR="001774E9" w:rsidRPr="001774E9">
        <w:t>seq</w:t>
      </w:r>
      <w:proofErr w:type="spellEnd"/>
      <w:r w:rsidR="001774E9" w:rsidRPr="001774E9">
        <w:t xml:space="preserve">. </w:t>
      </w:r>
      <w:proofErr w:type="gramStart"/>
      <w:r w:rsidR="001774E9" w:rsidRPr="001774E9">
        <w:t>and</w:t>
      </w:r>
      <w:proofErr w:type="gramEnd"/>
      <w:r w:rsidR="001774E9" w:rsidRPr="001774E9">
        <w:t xml:space="preserve"> 453 et </w:t>
      </w:r>
      <w:proofErr w:type="spellStart"/>
      <w:r w:rsidR="001774E9" w:rsidRPr="001774E9">
        <w:t>seq</w:t>
      </w:r>
      <w:proofErr w:type="spellEnd"/>
      <w:r w:rsidR="001774E9" w:rsidRPr="001774E9">
        <w:t>.</w:t>
      </w:r>
    </w:p>
  </w:footnote>
  <w:footnote w:id="10">
    <w:p w14:paraId="2E5B076B" w14:textId="6C6283CF" w:rsidR="008C26E8" w:rsidRDefault="008C26E8" w:rsidP="00EC4793">
      <w:pPr>
        <w:pStyle w:val="Notedebasdepage"/>
        <w:jc w:val="both"/>
      </w:pPr>
      <w:r>
        <w:rPr>
          <w:rStyle w:val="Appelnotedebasdep"/>
        </w:rPr>
        <w:footnoteRef/>
      </w:r>
      <w:r>
        <w:t xml:space="preserve"> </w:t>
      </w:r>
      <w:r w:rsidR="000A29E2">
        <w:t>CJEU (Grand Chambre)</w:t>
      </w:r>
      <w:r>
        <w:t xml:space="preserve">, 29 </w:t>
      </w:r>
      <w:r w:rsidR="000A29E2">
        <w:t xml:space="preserve">April </w:t>
      </w:r>
      <w:r>
        <w:t>2025,</w:t>
      </w:r>
      <w:r w:rsidR="000A29E2">
        <w:t xml:space="preserve"> case </w:t>
      </w:r>
      <w:r w:rsidRPr="008C26E8">
        <w:t>C-181/23</w:t>
      </w:r>
      <w:r>
        <w:t xml:space="preserve">, </w:t>
      </w:r>
      <w:r w:rsidRPr="008C26E8">
        <w:t>Commission v</w:t>
      </w:r>
      <w:r w:rsidR="000A29E2">
        <w:t xml:space="preserve"> Republic of</w:t>
      </w:r>
      <w:r w:rsidRPr="008C26E8">
        <w:t xml:space="preserve"> Malt</w:t>
      </w:r>
      <w:r w:rsidR="000A29E2">
        <w:t xml:space="preserve">a, </w:t>
      </w:r>
      <w:proofErr w:type="gramStart"/>
      <w:r w:rsidR="000A29E2" w:rsidRPr="000A29E2">
        <w:t>ECLI:EU:C:2025:</w:t>
      </w:r>
      <w:proofErr w:type="gramEnd"/>
      <w:r w:rsidR="000A29E2" w:rsidRPr="000A29E2">
        <w:t>283</w:t>
      </w:r>
      <w:r>
        <w:t>.</w:t>
      </w:r>
    </w:p>
  </w:footnote>
  <w:footnote w:id="11">
    <w:p w14:paraId="6ED73B60" w14:textId="572A928C" w:rsidR="00883372" w:rsidRPr="00EC4793" w:rsidRDefault="00883372" w:rsidP="00EC4793">
      <w:pPr>
        <w:pStyle w:val="Notedebasdepage"/>
        <w:jc w:val="both"/>
        <w:rPr>
          <w:lang w:val="it-IT"/>
        </w:rPr>
      </w:pPr>
      <w:r w:rsidRPr="00883372">
        <w:rPr>
          <w:rStyle w:val="Appelnotedebasdep"/>
        </w:rPr>
        <w:footnoteRef/>
      </w:r>
      <w:r w:rsidRPr="00883372">
        <w:t xml:space="preserve"> The program for the acquisition of Maltese </w:t>
      </w:r>
      <w:proofErr w:type="spellStart"/>
      <w:r w:rsidRPr="00883372">
        <w:t>citizenship</w:t>
      </w:r>
      <w:proofErr w:type="spellEnd"/>
      <w:r w:rsidRPr="00883372">
        <w:t xml:space="preserve"> </w:t>
      </w:r>
      <w:proofErr w:type="spellStart"/>
      <w:r w:rsidRPr="00883372">
        <w:t>through</w:t>
      </w:r>
      <w:proofErr w:type="spellEnd"/>
      <w:r w:rsidRPr="00883372">
        <w:t xml:space="preserve"> naturalisation for </w:t>
      </w:r>
      <w:proofErr w:type="spellStart"/>
      <w:r w:rsidRPr="00883372">
        <w:t>exceptional</w:t>
      </w:r>
      <w:proofErr w:type="spellEnd"/>
      <w:r w:rsidRPr="00883372">
        <w:t xml:space="preserve"> direct </w:t>
      </w:r>
      <w:proofErr w:type="spellStart"/>
      <w:r w:rsidRPr="00883372">
        <w:t>investments</w:t>
      </w:r>
      <w:proofErr w:type="spellEnd"/>
      <w:r w:rsidRPr="00883372">
        <w:t xml:space="preserve"> </w:t>
      </w:r>
      <w:proofErr w:type="spellStart"/>
      <w:r w:rsidRPr="00883372">
        <w:t>had</w:t>
      </w:r>
      <w:proofErr w:type="spellEnd"/>
      <w:r w:rsidRPr="00883372">
        <w:t xml:space="preserve"> </w:t>
      </w:r>
      <w:proofErr w:type="spellStart"/>
      <w:r w:rsidRPr="00883372">
        <w:t>allowed</w:t>
      </w:r>
      <w:proofErr w:type="spellEnd"/>
      <w:r w:rsidRPr="00883372">
        <w:t xml:space="preserve"> </w:t>
      </w:r>
      <w:proofErr w:type="spellStart"/>
      <w:r w:rsidRPr="00883372">
        <w:t>third</w:t>
      </w:r>
      <w:proofErr w:type="spellEnd"/>
      <w:r w:rsidRPr="00883372">
        <w:t xml:space="preserve">-country </w:t>
      </w:r>
      <w:proofErr w:type="spellStart"/>
      <w:r w:rsidRPr="00883372">
        <w:t>nationals</w:t>
      </w:r>
      <w:proofErr w:type="spellEnd"/>
      <w:r w:rsidRPr="00883372">
        <w:t xml:space="preserve"> to </w:t>
      </w:r>
      <w:proofErr w:type="spellStart"/>
      <w:r w:rsidRPr="00883372">
        <w:t>acquire</w:t>
      </w:r>
      <w:proofErr w:type="spellEnd"/>
      <w:r w:rsidRPr="00883372">
        <w:t xml:space="preserve"> Maltese </w:t>
      </w:r>
      <w:proofErr w:type="spellStart"/>
      <w:r w:rsidRPr="00883372">
        <w:t>citizenship</w:t>
      </w:r>
      <w:proofErr w:type="spellEnd"/>
      <w:r w:rsidRPr="00883372">
        <w:t xml:space="preserve">, and </w:t>
      </w:r>
      <w:proofErr w:type="spellStart"/>
      <w:r w:rsidRPr="00883372">
        <w:t>therefore</w:t>
      </w:r>
      <w:proofErr w:type="spellEnd"/>
      <w:r w:rsidRPr="00883372">
        <w:t xml:space="preserve"> EU </w:t>
      </w:r>
      <w:proofErr w:type="spellStart"/>
      <w:r w:rsidRPr="00883372">
        <w:t>citizenship</w:t>
      </w:r>
      <w:proofErr w:type="spellEnd"/>
      <w:r w:rsidRPr="00883372">
        <w:t xml:space="preserve">, </w:t>
      </w:r>
      <w:proofErr w:type="spellStart"/>
      <w:r w:rsidRPr="00883372">
        <w:t>after</w:t>
      </w:r>
      <w:proofErr w:type="spellEnd"/>
      <w:r w:rsidRPr="00883372">
        <w:t xml:space="preserve"> </w:t>
      </w:r>
      <w:proofErr w:type="spellStart"/>
      <w:r w:rsidRPr="00883372">
        <w:t>providing</w:t>
      </w:r>
      <w:proofErr w:type="spellEnd"/>
      <w:r w:rsidRPr="00883372">
        <w:t xml:space="preserve"> a </w:t>
      </w:r>
      <w:proofErr w:type="spellStart"/>
      <w:r w:rsidRPr="00883372">
        <w:t>financial</w:t>
      </w:r>
      <w:proofErr w:type="spellEnd"/>
      <w:r w:rsidRPr="00883372">
        <w:t xml:space="preserve"> contribution in the </w:t>
      </w:r>
      <w:proofErr w:type="spellStart"/>
      <w:r w:rsidRPr="00883372">
        <w:t>form</w:t>
      </w:r>
      <w:proofErr w:type="spellEnd"/>
      <w:r w:rsidRPr="00883372">
        <w:t xml:space="preserve"> of </w:t>
      </w:r>
      <w:proofErr w:type="spellStart"/>
      <w:r w:rsidRPr="00883372">
        <w:t>investment</w:t>
      </w:r>
      <w:proofErr w:type="spellEnd"/>
      <w:r w:rsidRPr="00883372">
        <w:t xml:space="preserve"> in </w:t>
      </w:r>
      <w:proofErr w:type="spellStart"/>
      <w:r w:rsidRPr="00883372">
        <w:t>property</w:t>
      </w:r>
      <w:proofErr w:type="spellEnd"/>
      <w:r w:rsidRPr="00883372">
        <w:t xml:space="preserve"> and </w:t>
      </w:r>
      <w:proofErr w:type="spellStart"/>
      <w:r w:rsidRPr="00883372">
        <w:t>residing</w:t>
      </w:r>
      <w:proofErr w:type="spellEnd"/>
      <w:r w:rsidRPr="00883372">
        <w:t xml:space="preserve"> in Malta for </w:t>
      </w:r>
      <w:proofErr w:type="spellStart"/>
      <w:r w:rsidRPr="00883372">
        <w:t>twelve</w:t>
      </w:r>
      <w:proofErr w:type="spellEnd"/>
      <w:r w:rsidRPr="00883372">
        <w:t xml:space="preserve"> </w:t>
      </w:r>
      <w:proofErr w:type="spellStart"/>
      <w:r w:rsidRPr="00883372">
        <w:t>months</w:t>
      </w:r>
      <w:proofErr w:type="spellEnd"/>
      <w:r w:rsidRPr="00883372">
        <w:t xml:space="preserve">, </w:t>
      </w:r>
      <w:proofErr w:type="spellStart"/>
      <w:r w:rsidRPr="00883372">
        <w:t>without</w:t>
      </w:r>
      <w:proofErr w:type="spellEnd"/>
      <w:r w:rsidRPr="00883372">
        <w:t xml:space="preserve"> </w:t>
      </w:r>
      <w:proofErr w:type="spellStart"/>
      <w:r w:rsidRPr="00883372">
        <w:t>any</w:t>
      </w:r>
      <w:proofErr w:type="spellEnd"/>
      <w:r w:rsidRPr="00883372">
        <w:t xml:space="preserve"> </w:t>
      </w:r>
      <w:proofErr w:type="spellStart"/>
      <w:r w:rsidRPr="00883372">
        <w:t>requirement</w:t>
      </w:r>
      <w:proofErr w:type="spellEnd"/>
      <w:r w:rsidRPr="00883372">
        <w:t xml:space="preserve"> of effective </w:t>
      </w:r>
      <w:proofErr w:type="spellStart"/>
      <w:r w:rsidRPr="00883372">
        <w:t>integration</w:t>
      </w:r>
      <w:proofErr w:type="spellEnd"/>
      <w:r w:rsidRPr="00883372">
        <w:t xml:space="preserve"> or the </w:t>
      </w:r>
      <w:proofErr w:type="spellStart"/>
      <w:r w:rsidRPr="00883372">
        <w:t>presence</w:t>
      </w:r>
      <w:proofErr w:type="spellEnd"/>
      <w:r w:rsidRPr="00883372">
        <w:t xml:space="preserve"> of </w:t>
      </w:r>
      <w:proofErr w:type="spellStart"/>
      <w:r w:rsidRPr="00883372">
        <w:t>significant</w:t>
      </w:r>
      <w:proofErr w:type="spellEnd"/>
      <w:r w:rsidRPr="00883372">
        <w:t xml:space="preserve"> social ties.</w:t>
      </w:r>
    </w:p>
  </w:footnote>
  <w:footnote w:id="12">
    <w:p w14:paraId="62023D5B" w14:textId="21567462" w:rsidR="000A29E2" w:rsidRPr="00EC4793" w:rsidRDefault="000A29E2" w:rsidP="00EC4793">
      <w:pPr>
        <w:pStyle w:val="Notedebasdepage"/>
        <w:jc w:val="both"/>
        <w:rPr>
          <w:lang w:val="it-IT"/>
        </w:rPr>
      </w:pPr>
      <w:r>
        <w:rPr>
          <w:rStyle w:val="Appelnotedebasdep"/>
        </w:rPr>
        <w:footnoteRef/>
      </w:r>
      <w:r>
        <w:t xml:space="preserve"> CJEU (Grand </w:t>
      </w:r>
      <w:proofErr w:type="spellStart"/>
      <w:r>
        <w:t>Chamb</w:t>
      </w:r>
      <w:r w:rsidR="00EC4793">
        <w:t>er</w:t>
      </w:r>
      <w:proofErr w:type="spellEnd"/>
      <w:r>
        <w:t xml:space="preserve">), 29 April 2025, case </w:t>
      </w:r>
      <w:r w:rsidRPr="008C26E8">
        <w:t>C-181/23</w:t>
      </w:r>
      <w:r>
        <w:t xml:space="preserve">, </w:t>
      </w:r>
      <w:r w:rsidRPr="008C26E8">
        <w:t>Commission v</w:t>
      </w:r>
      <w:r>
        <w:t xml:space="preserve"> Republic of</w:t>
      </w:r>
      <w:r w:rsidRPr="008C26E8">
        <w:t xml:space="preserve"> Malt</w:t>
      </w:r>
      <w:r>
        <w:t xml:space="preserve">a, </w:t>
      </w:r>
      <w:proofErr w:type="gramStart"/>
      <w:r w:rsidRPr="000A29E2">
        <w:t>ECLI:EU:C:2025:</w:t>
      </w:r>
      <w:proofErr w:type="gramEnd"/>
      <w:r w:rsidRPr="000A29E2">
        <w:t>283</w:t>
      </w:r>
      <w:r>
        <w:t>, para. 121 and 50.</w:t>
      </w:r>
    </w:p>
  </w:footnote>
  <w:footnote w:id="13">
    <w:p w14:paraId="5F64435D" w14:textId="40AF2E6C" w:rsidR="000A29E2" w:rsidRPr="00EC4793" w:rsidRDefault="000A29E2" w:rsidP="00EC4793">
      <w:pPr>
        <w:spacing w:after="0" w:line="240" w:lineRule="auto"/>
        <w:jc w:val="both"/>
        <w:rPr>
          <w:lang w:val="it-IT"/>
        </w:rPr>
      </w:pPr>
      <w:r w:rsidRPr="000A29E2">
        <w:rPr>
          <w:rStyle w:val="Appelnotedebasdep"/>
          <w:sz w:val="20"/>
          <w:szCs w:val="20"/>
        </w:rPr>
        <w:footnoteRef/>
      </w:r>
      <w:r w:rsidRPr="000A29E2">
        <w:rPr>
          <w:sz w:val="20"/>
          <w:szCs w:val="20"/>
        </w:rPr>
        <w:t xml:space="preserve"> </w:t>
      </w:r>
      <w:r w:rsidRPr="000A29E2">
        <w:rPr>
          <w:sz w:val="20"/>
          <w:szCs w:val="20"/>
          <w:lang w:val="it-IT"/>
        </w:rPr>
        <w:t>Article 113 TEU: “</w:t>
      </w:r>
      <w:r w:rsidRPr="00EC4793">
        <w:rPr>
          <w:i/>
          <w:iCs/>
          <w:sz w:val="20"/>
          <w:szCs w:val="20"/>
          <w:lang w:val="it-IT"/>
        </w:rPr>
        <w:t>The Council shall, acting unanimously in accordance with a special legislative procedure and after consulting the European Parliament and the Economic and Social Committee, adopt provisions for the harmonisation of legislation concerning turnover taxes, excise duties and other forms of indirect taxation to the extent that such harmonisation is necessary to ensure the establishment and the functioning of the internal market and to avoid distortion of competition</w:t>
      </w:r>
      <w:r w:rsidRPr="000A29E2">
        <w:rPr>
          <w:sz w:val="20"/>
          <w:szCs w:val="20"/>
          <w:lang w:val="it-IT"/>
        </w:rPr>
        <w:t>”; article 115 TEU: “</w:t>
      </w:r>
      <w:r w:rsidRPr="00EC4793">
        <w:rPr>
          <w:i/>
          <w:iCs/>
          <w:sz w:val="20"/>
          <w:szCs w:val="20"/>
          <w:lang w:val="it-IT"/>
        </w:rPr>
        <w:t>(…) the Council shall, acting unanimously in accordance with a special legislative procedure and after consulting the European Parliament and the Economic and Social Committee, issue directives for the approximation of such laws, regulations or administrative provisions of the Member States as directly affect the establishment or functioning of the internal market</w:t>
      </w:r>
      <w:r w:rsidRPr="000A29E2">
        <w:rPr>
          <w:sz w:val="20"/>
          <w:szCs w:val="20"/>
          <w:lang w:val="it-IT"/>
        </w:rPr>
        <w:t>”.</w:t>
      </w:r>
    </w:p>
  </w:footnote>
  <w:footnote w:id="14">
    <w:p w14:paraId="314B663A" w14:textId="35F9FFD9" w:rsidR="0039075C" w:rsidRDefault="0039075C" w:rsidP="00EC4793">
      <w:pPr>
        <w:pStyle w:val="Notedebasdepage"/>
        <w:jc w:val="both"/>
      </w:pPr>
      <w:r>
        <w:rPr>
          <w:rStyle w:val="Appelnotedebasdep"/>
        </w:rPr>
        <w:footnoteRef/>
      </w:r>
      <w:r>
        <w:t xml:space="preserve">  European </w:t>
      </w:r>
      <w:proofErr w:type="spellStart"/>
      <w:r>
        <w:t>Parliament</w:t>
      </w:r>
      <w:proofErr w:type="spellEnd"/>
      <w:r>
        <w:t xml:space="preserve">, </w:t>
      </w:r>
      <w:proofErr w:type="spellStart"/>
      <w:r>
        <w:t>Decision</w:t>
      </w:r>
      <w:proofErr w:type="spellEnd"/>
      <w:r>
        <w:t xml:space="preserve"> of 18 June 2020 on setting up a </w:t>
      </w:r>
      <w:proofErr w:type="spellStart"/>
      <w:r>
        <w:t>subcommittee</w:t>
      </w:r>
      <w:proofErr w:type="spellEnd"/>
      <w:r>
        <w:t xml:space="preserve"> on </w:t>
      </w:r>
      <w:proofErr w:type="spellStart"/>
      <w:r>
        <w:t>tax</w:t>
      </w:r>
      <w:proofErr w:type="spellEnd"/>
      <w:r w:rsidR="003D114E">
        <w:t xml:space="preserve"> </w:t>
      </w:r>
      <w:proofErr w:type="spellStart"/>
      <w:r>
        <w:t>matters</w:t>
      </w:r>
      <w:proofErr w:type="spellEnd"/>
      <w:r>
        <w:t xml:space="preserve"> (2020/2681(RSO)</w:t>
      </w:r>
      <w:r w:rsidR="000A29E2">
        <w:t>)</w:t>
      </w:r>
      <w:r>
        <w:t>,</w:t>
      </w:r>
      <w:r w:rsidRPr="00D2688F">
        <w:t xml:space="preserve"> </w:t>
      </w:r>
      <w:r w:rsidR="000A29E2">
        <w:t xml:space="preserve">document n. </w:t>
      </w:r>
      <w:r>
        <w:t>P9_TA-</w:t>
      </w:r>
      <w:proofErr w:type="gramStart"/>
      <w:r>
        <w:t>PROV(</w:t>
      </w:r>
      <w:proofErr w:type="gramEnd"/>
      <w:r>
        <w:t>2020)0159</w:t>
      </w:r>
      <w:r w:rsidR="000A29E2">
        <w:t>.</w:t>
      </w:r>
    </w:p>
  </w:footnote>
  <w:footnote w:id="15">
    <w:p w14:paraId="349D8461" w14:textId="0B0A81A2" w:rsidR="0039075C" w:rsidRDefault="0039075C" w:rsidP="00EC4793">
      <w:pPr>
        <w:pStyle w:val="Notedebasdepage"/>
        <w:jc w:val="both"/>
      </w:pPr>
      <w:r>
        <w:rPr>
          <w:rStyle w:val="Appelnotedebasdep"/>
        </w:rPr>
        <w:footnoteRef/>
      </w:r>
      <w:r>
        <w:t xml:space="preserve"> </w:t>
      </w:r>
      <w:r w:rsidRPr="00D2688F">
        <w:t xml:space="preserve">European </w:t>
      </w:r>
      <w:proofErr w:type="spellStart"/>
      <w:r w:rsidRPr="00D2688F">
        <w:t>Parliament</w:t>
      </w:r>
      <w:proofErr w:type="spellEnd"/>
      <w:r w:rsidR="000A29E2">
        <w:t xml:space="preserve">, </w:t>
      </w:r>
      <w:proofErr w:type="spellStart"/>
      <w:r w:rsidR="000A29E2">
        <w:t>R</w:t>
      </w:r>
      <w:r w:rsidRPr="00D2688F">
        <w:t>esolution</w:t>
      </w:r>
      <w:proofErr w:type="spellEnd"/>
      <w:r w:rsidRPr="00D2688F">
        <w:t xml:space="preserve"> of 15 June 2023 on </w:t>
      </w:r>
      <w:proofErr w:type="spellStart"/>
      <w:r w:rsidRPr="00D2688F">
        <w:t>lessons</w:t>
      </w:r>
      <w:proofErr w:type="spellEnd"/>
      <w:r w:rsidRPr="00D2688F">
        <w:t xml:space="preserve"> </w:t>
      </w:r>
      <w:proofErr w:type="spellStart"/>
      <w:r w:rsidRPr="00D2688F">
        <w:t>learnt</w:t>
      </w:r>
      <w:proofErr w:type="spellEnd"/>
      <w:r w:rsidRPr="00D2688F">
        <w:t xml:space="preserve"> </w:t>
      </w:r>
      <w:proofErr w:type="spellStart"/>
      <w:r w:rsidRPr="00D2688F">
        <w:t>from</w:t>
      </w:r>
      <w:proofErr w:type="spellEnd"/>
      <w:r w:rsidRPr="00D2688F">
        <w:t xml:space="preserve"> the Pandora Papers and </w:t>
      </w:r>
      <w:proofErr w:type="spellStart"/>
      <w:r w:rsidRPr="00D2688F">
        <w:t>other</w:t>
      </w:r>
      <w:proofErr w:type="spellEnd"/>
      <w:r w:rsidRPr="00D2688F">
        <w:t xml:space="preserve"> </w:t>
      </w:r>
      <w:proofErr w:type="spellStart"/>
      <w:r w:rsidRPr="00D2688F">
        <w:t>revelations</w:t>
      </w:r>
      <w:proofErr w:type="spellEnd"/>
      <w:r>
        <w:t xml:space="preserve">, </w:t>
      </w:r>
      <w:r w:rsidR="000A29E2">
        <w:t>(</w:t>
      </w:r>
      <w:r w:rsidRPr="00D2688F">
        <w:t>2022/2080(INI)</w:t>
      </w:r>
      <w:r w:rsidR="000A29E2">
        <w:t xml:space="preserve">), document. n. </w:t>
      </w:r>
      <w:r w:rsidR="000A29E2" w:rsidRPr="000A29E2">
        <w:t>P9_TA(2023)0249</w:t>
      </w:r>
      <w:r w:rsidR="001774E9">
        <w:t>.</w:t>
      </w:r>
    </w:p>
  </w:footnote>
  <w:footnote w:id="16">
    <w:p w14:paraId="4B6D7354" w14:textId="4D316D08" w:rsidR="005C7C24" w:rsidRDefault="005C7C24" w:rsidP="00EC4793">
      <w:pPr>
        <w:pStyle w:val="Notedebasdepage"/>
        <w:jc w:val="both"/>
      </w:pPr>
      <w:r>
        <w:rPr>
          <w:rStyle w:val="Appelnotedebasdep"/>
        </w:rPr>
        <w:footnoteRef/>
      </w:r>
      <w:r>
        <w:t xml:space="preserve"> </w:t>
      </w:r>
      <w:r w:rsidR="001774E9">
        <w:t xml:space="preserve">For </w:t>
      </w:r>
      <w:proofErr w:type="spellStart"/>
      <w:r w:rsidR="001774E9">
        <w:t>example</w:t>
      </w:r>
      <w:proofErr w:type="spellEnd"/>
      <w:r w:rsidR="001774E9">
        <w:t xml:space="preserve">, European </w:t>
      </w:r>
      <w:proofErr w:type="spellStart"/>
      <w:r w:rsidR="001774E9">
        <w:t>Parliament</w:t>
      </w:r>
      <w:proofErr w:type="spellEnd"/>
      <w:r w:rsidR="001774E9">
        <w:t xml:space="preserve">, </w:t>
      </w:r>
      <w:proofErr w:type="spellStart"/>
      <w:r w:rsidR="001774E9">
        <w:t>Resolution</w:t>
      </w:r>
      <w:proofErr w:type="spellEnd"/>
      <w:r w:rsidR="001774E9">
        <w:t xml:space="preserve"> of 29 April 2021 on digital taxation: OECD </w:t>
      </w:r>
      <w:proofErr w:type="spellStart"/>
      <w:r w:rsidR="001774E9">
        <w:t>negotiations</w:t>
      </w:r>
      <w:proofErr w:type="spellEnd"/>
      <w:r w:rsidR="001774E9">
        <w:t xml:space="preserve">, </w:t>
      </w:r>
      <w:proofErr w:type="spellStart"/>
      <w:r w:rsidR="001774E9">
        <w:t>tax</w:t>
      </w:r>
      <w:proofErr w:type="spellEnd"/>
      <w:r w:rsidR="001774E9">
        <w:t xml:space="preserve"> </w:t>
      </w:r>
      <w:proofErr w:type="spellStart"/>
      <w:r w:rsidR="001774E9">
        <w:t>residency</w:t>
      </w:r>
      <w:proofErr w:type="spellEnd"/>
      <w:r w:rsidR="001774E9">
        <w:t xml:space="preserve"> of digital </w:t>
      </w:r>
      <w:proofErr w:type="spellStart"/>
      <w:r w:rsidR="001774E9">
        <w:t>companies</w:t>
      </w:r>
      <w:proofErr w:type="spellEnd"/>
      <w:r w:rsidR="001774E9">
        <w:t xml:space="preserve"> and a possible European digital </w:t>
      </w:r>
      <w:proofErr w:type="spellStart"/>
      <w:r w:rsidR="001774E9">
        <w:t>tax</w:t>
      </w:r>
      <w:proofErr w:type="spellEnd"/>
      <w:r w:rsidR="001774E9">
        <w:t xml:space="preserve"> (202</w:t>
      </w:r>
      <w:r w:rsidR="00307221">
        <w:t>1</w:t>
      </w:r>
      <w:r w:rsidR="001774E9">
        <w:t>/2</w:t>
      </w:r>
      <w:r w:rsidR="00307221">
        <w:t>010</w:t>
      </w:r>
      <w:r w:rsidR="001774E9">
        <w:t>(INI))</w:t>
      </w:r>
      <w:r w:rsidR="000A29E2">
        <w:t xml:space="preserve">, document n. </w:t>
      </w:r>
      <w:r w:rsidR="000A29E2" w:rsidRPr="000A29E2">
        <w:t>P9_TA(2021)0147</w:t>
      </w:r>
      <w:r w:rsidR="001774E9">
        <w:t xml:space="preserve">; European </w:t>
      </w:r>
      <w:proofErr w:type="spellStart"/>
      <w:r w:rsidR="001774E9">
        <w:t>Parliament</w:t>
      </w:r>
      <w:proofErr w:type="spellEnd"/>
      <w:r w:rsidR="001774E9">
        <w:t xml:space="preserve">, </w:t>
      </w:r>
      <w:proofErr w:type="spellStart"/>
      <w:r w:rsidR="001774E9">
        <w:t>Resolution</w:t>
      </w:r>
      <w:proofErr w:type="spellEnd"/>
      <w:r w:rsidR="001774E9">
        <w:t xml:space="preserve"> of 4 </w:t>
      </w:r>
      <w:proofErr w:type="spellStart"/>
      <w:r w:rsidR="001774E9">
        <w:t>October</w:t>
      </w:r>
      <w:proofErr w:type="spellEnd"/>
      <w:r w:rsidR="001774E9">
        <w:t xml:space="preserve"> 2022 on the impact of new technologies on taxation: crypto and blockchain (202</w:t>
      </w:r>
      <w:r w:rsidR="00307221">
        <w:t>1</w:t>
      </w:r>
      <w:r w:rsidR="001774E9">
        <w:t>/2</w:t>
      </w:r>
      <w:r w:rsidR="00307221">
        <w:t>201</w:t>
      </w:r>
      <w:r w:rsidR="001774E9">
        <w:t>(INI))</w:t>
      </w:r>
      <w:r w:rsidR="000A29E2">
        <w:t xml:space="preserve">, document n. </w:t>
      </w:r>
      <w:r w:rsidR="000A29E2" w:rsidRPr="000A29E2">
        <w:t>P9_TA(2022)0335</w:t>
      </w:r>
      <w:r w:rsidR="001774E9">
        <w:t xml:space="preserve">;  European </w:t>
      </w:r>
      <w:proofErr w:type="spellStart"/>
      <w:r w:rsidR="001774E9">
        <w:t>Parliament</w:t>
      </w:r>
      <w:proofErr w:type="spellEnd"/>
      <w:r w:rsidR="001774E9">
        <w:t xml:space="preserve">, </w:t>
      </w:r>
      <w:proofErr w:type="spellStart"/>
      <w:r w:rsidR="001774E9">
        <w:t>Legislative</w:t>
      </w:r>
      <w:proofErr w:type="spellEnd"/>
      <w:r w:rsidR="001774E9">
        <w:t xml:space="preserve"> </w:t>
      </w:r>
      <w:proofErr w:type="spellStart"/>
      <w:r w:rsidR="001774E9">
        <w:t>Resolution</w:t>
      </w:r>
      <w:proofErr w:type="spellEnd"/>
      <w:r w:rsidR="001774E9">
        <w:t xml:space="preserve"> of 12 </w:t>
      </w:r>
      <w:proofErr w:type="spellStart"/>
      <w:r w:rsidR="001774E9">
        <w:t>February</w:t>
      </w:r>
      <w:proofErr w:type="spellEnd"/>
      <w:r w:rsidR="001774E9">
        <w:t xml:space="preserve"> 2025 on the draft Council directive </w:t>
      </w:r>
      <w:proofErr w:type="spellStart"/>
      <w:r w:rsidR="001774E9">
        <w:t>amending</w:t>
      </w:r>
      <w:proofErr w:type="spellEnd"/>
      <w:r w:rsidR="001774E9">
        <w:t xml:space="preserve"> Directive 2006/112/EC as regards VAT </w:t>
      </w:r>
      <w:proofErr w:type="spellStart"/>
      <w:r w:rsidR="001774E9">
        <w:t>rules</w:t>
      </w:r>
      <w:proofErr w:type="spellEnd"/>
      <w:r w:rsidR="001774E9">
        <w:t xml:space="preserve"> for the digital </w:t>
      </w:r>
      <w:proofErr w:type="spellStart"/>
      <w:r w:rsidR="001774E9">
        <w:t>age</w:t>
      </w:r>
      <w:proofErr w:type="spellEnd"/>
      <w:r w:rsidR="001774E9">
        <w:t xml:space="preserve"> </w:t>
      </w:r>
      <w:r w:rsidR="000A29E2" w:rsidRPr="000A29E2">
        <w:t>(15159/2024 – C10-0170/2024 – 2022/0407(CNS))</w:t>
      </w:r>
      <w:r w:rsidR="000A29E2">
        <w:t xml:space="preserve">, document n. </w:t>
      </w:r>
      <w:r w:rsidR="000A29E2" w:rsidRPr="000A29E2">
        <w:t>P10_TA(2025)0012</w:t>
      </w:r>
      <w:r w:rsidR="00307221">
        <w:t>.</w:t>
      </w:r>
    </w:p>
  </w:footnote>
  <w:footnote w:id="17">
    <w:p w14:paraId="6ED68838" w14:textId="3B8BBC3B" w:rsidR="005C7C24" w:rsidRDefault="005C7C24" w:rsidP="00EC4793">
      <w:pPr>
        <w:pStyle w:val="Notedebasdepage"/>
        <w:jc w:val="both"/>
      </w:pPr>
      <w:r>
        <w:rPr>
          <w:rStyle w:val="Appelnotedebasdep"/>
        </w:rPr>
        <w:footnoteRef/>
      </w:r>
      <w:r>
        <w:t xml:space="preserve"> </w:t>
      </w:r>
      <w:proofErr w:type="spellStart"/>
      <w:r w:rsidR="00D236B8">
        <w:t>See</w:t>
      </w:r>
      <w:proofErr w:type="spellEnd"/>
      <w:r w:rsidR="00E81651">
        <w:t> :</w:t>
      </w:r>
      <w:r w:rsidR="00D236B8">
        <w:t xml:space="preserve"> </w:t>
      </w:r>
      <w:r w:rsidR="00E81651">
        <w:t xml:space="preserve">S. </w:t>
      </w:r>
      <w:r w:rsidR="00D236B8">
        <w:t xml:space="preserve">Van der </w:t>
      </w:r>
      <w:proofErr w:type="spellStart"/>
      <w:r w:rsidR="00D236B8">
        <w:t>Vlucht’s</w:t>
      </w:r>
      <w:proofErr w:type="spellEnd"/>
      <w:r w:rsidR="00D236B8">
        <w:t xml:space="preserve"> contribution, </w:t>
      </w:r>
      <w:proofErr w:type="spellStart"/>
      <w:r w:rsidR="00D236B8">
        <w:t>where</w:t>
      </w:r>
      <w:proofErr w:type="spellEnd"/>
      <w:r w:rsidR="00D236B8">
        <w:t xml:space="preserve"> </w:t>
      </w:r>
      <w:proofErr w:type="spellStart"/>
      <w:r w:rsidR="00D236B8">
        <w:t>he</w:t>
      </w:r>
      <w:proofErr w:type="spellEnd"/>
      <w:r w:rsidR="00D236B8">
        <w:t xml:space="preserve"> </w:t>
      </w:r>
      <w:proofErr w:type="spellStart"/>
      <w:r w:rsidR="00D236B8">
        <w:t>says</w:t>
      </w:r>
      <w:proofErr w:type="spellEnd"/>
      <w:r w:rsidR="00D236B8">
        <w:t xml:space="preserve"> </w:t>
      </w:r>
      <w:proofErr w:type="spellStart"/>
      <w:r w:rsidR="00D236B8">
        <w:t>that</w:t>
      </w:r>
      <w:proofErr w:type="spellEnd"/>
      <w:r w:rsidR="00D236B8">
        <w:t xml:space="preserve"> </w:t>
      </w:r>
      <w:r w:rsidR="00E81651" w:rsidRPr="0051021B">
        <w:rPr>
          <w:lang w:val="it-IT"/>
        </w:rPr>
        <w:t>“</w:t>
      </w:r>
      <w:r w:rsidR="00D236B8" w:rsidRPr="00D236B8">
        <w:t xml:space="preserve">Executive </w:t>
      </w:r>
      <w:proofErr w:type="spellStart"/>
      <w:r w:rsidR="00D236B8" w:rsidRPr="00D236B8">
        <w:t>delegation</w:t>
      </w:r>
      <w:proofErr w:type="spellEnd"/>
      <w:r w:rsidR="00D236B8" w:rsidRPr="00D236B8">
        <w:t xml:space="preserve"> </w:t>
      </w:r>
      <w:proofErr w:type="spellStart"/>
      <w:r w:rsidR="00D236B8" w:rsidRPr="00D236B8">
        <w:t>within</w:t>
      </w:r>
      <w:proofErr w:type="spellEnd"/>
      <w:r w:rsidR="00D236B8" w:rsidRPr="00D236B8">
        <w:t xml:space="preserve"> European </w:t>
      </w:r>
      <w:proofErr w:type="spellStart"/>
      <w:r w:rsidR="00D236B8" w:rsidRPr="00D236B8">
        <w:t>integration</w:t>
      </w:r>
      <w:proofErr w:type="spellEnd"/>
      <w:r w:rsidR="00D236B8" w:rsidRPr="00D236B8">
        <w:t xml:space="preserve"> </w:t>
      </w:r>
      <w:proofErr w:type="spellStart"/>
      <w:r w:rsidR="00D236B8" w:rsidRPr="00D236B8">
        <w:t>is</w:t>
      </w:r>
      <w:proofErr w:type="spellEnd"/>
      <w:r w:rsidR="00D236B8" w:rsidRPr="00D236B8">
        <w:t xml:space="preserve"> a national </w:t>
      </w:r>
      <w:proofErr w:type="spellStart"/>
      <w:r w:rsidR="00D236B8" w:rsidRPr="00D236B8">
        <w:t>affair</w:t>
      </w:r>
      <w:proofErr w:type="spellEnd"/>
      <w:r w:rsidR="00D236B8" w:rsidRPr="00D236B8">
        <w:t xml:space="preserve">, and the </w:t>
      </w:r>
      <w:proofErr w:type="spellStart"/>
      <w:r w:rsidR="00D236B8" w:rsidRPr="00D236B8">
        <w:t>legality</w:t>
      </w:r>
      <w:proofErr w:type="spellEnd"/>
      <w:r w:rsidR="00D236B8" w:rsidRPr="00D236B8">
        <w:t xml:space="preserve"> (and </w:t>
      </w:r>
      <w:proofErr w:type="spellStart"/>
      <w:r w:rsidR="00D236B8" w:rsidRPr="00D236B8">
        <w:t>thereby</w:t>
      </w:r>
      <w:proofErr w:type="spellEnd"/>
      <w:r w:rsidR="00D236B8" w:rsidRPr="00D236B8">
        <w:t xml:space="preserve">, </w:t>
      </w:r>
      <w:proofErr w:type="spellStart"/>
      <w:r w:rsidR="00D236B8" w:rsidRPr="00D236B8">
        <w:t>democracy</w:t>
      </w:r>
      <w:proofErr w:type="spellEnd"/>
      <w:r w:rsidR="00D236B8" w:rsidRPr="00D236B8">
        <w:t xml:space="preserve">) checks are </w:t>
      </w:r>
      <w:proofErr w:type="spellStart"/>
      <w:r w:rsidR="00D236B8" w:rsidRPr="00D236B8">
        <w:t>performed</w:t>
      </w:r>
      <w:proofErr w:type="spellEnd"/>
      <w:r w:rsidR="00D236B8" w:rsidRPr="00D236B8">
        <w:t xml:space="preserve"> </w:t>
      </w:r>
      <w:proofErr w:type="spellStart"/>
      <w:r w:rsidR="00D236B8" w:rsidRPr="00D236B8">
        <w:t>within</w:t>
      </w:r>
      <w:proofErr w:type="spellEnd"/>
      <w:r w:rsidR="00D236B8" w:rsidRPr="00D236B8">
        <w:t xml:space="preserve"> </w:t>
      </w:r>
      <w:proofErr w:type="spellStart"/>
      <w:r w:rsidR="00D236B8" w:rsidRPr="00D236B8">
        <w:t>that</w:t>
      </w:r>
      <w:proofErr w:type="spellEnd"/>
      <w:r w:rsidR="00D236B8" w:rsidRPr="00D236B8">
        <w:t xml:space="preserve"> national setting</w:t>
      </w:r>
      <w:r w:rsidR="00E81651">
        <w:t>’’.</w:t>
      </w:r>
    </w:p>
  </w:footnote>
  <w:footnote w:id="18">
    <w:p w14:paraId="48EB5CC0" w14:textId="10FB2F7B" w:rsidR="005C7C24" w:rsidRDefault="005C7C24" w:rsidP="00EC4793">
      <w:pPr>
        <w:pStyle w:val="Notedebasdepage"/>
        <w:jc w:val="both"/>
      </w:pPr>
      <w:r>
        <w:rPr>
          <w:rStyle w:val="Appelnotedebasdep"/>
        </w:rPr>
        <w:footnoteRef/>
      </w:r>
      <w:r>
        <w:t xml:space="preserve"> </w:t>
      </w:r>
      <w:proofErr w:type="spellStart"/>
      <w:proofErr w:type="gramStart"/>
      <w:r w:rsidRPr="0039075C">
        <w:t>See</w:t>
      </w:r>
      <w:proofErr w:type="spellEnd"/>
      <w:r w:rsidR="00E81651">
        <w:t>:</w:t>
      </w:r>
      <w:proofErr w:type="gramEnd"/>
      <w:r w:rsidRPr="0039075C">
        <w:t xml:space="preserve"> A. Hinarejos </w:t>
      </w:r>
      <w:r w:rsidR="00E81651">
        <w:t>&amp;</w:t>
      </w:r>
      <w:r w:rsidR="00E81651" w:rsidRPr="0039075C">
        <w:t xml:space="preserve"> </w:t>
      </w:r>
      <w:r w:rsidRPr="0039075C">
        <w:t xml:space="preserve">R. </w:t>
      </w:r>
      <w:proofErr w:type="spellStart"/>
      <w:r w:rsidRPr="0039075C">
        <w:t>Schutze</w:t>
      </w:r>
      <w:proofErr w:type="spellEnd"/>
      <w:r w:rsidRPr="0039075C">
        <w:t>, EU Fisca</w:t>
      </w:r>
      <w:r w:rsidR="0039075C" w:rsidRPr="0039075C">
        <w:t>l</w:t>
      </w:r>
      <w:r w:rsidRPr="0039075C">
        <w:t xml:space="preserve"> </w:t>
      </w:r>
      <w:proofErr w:type="spellStart"/>
      <w:r w:rsidRPr="0039075C">
        <w:t>Federalism</w:t>
      </w:r>
      <w:proofErr w:type="spellEnd"/>
      <w:r w:rsidRPr="0039075C">
        <w:t>, Oxford, 2024</w:t>
      </w:r>
      <w:r w:rsidR="00E81651">
        <w:t>.</w:t>
      </w:r>
    </w:p>
  </w:footnote>
  <w:footnote w:id="19">
    <w:p w14:paraId="7F211FC8" w14:textId="4BC6D68D" w:rsidR="005C7C24" w:rsidRDefault="005C7C24" w:rsidP="00EC4793">
      <w:pPr>
        <w:pStyle w:val="Notedebasdepage"/>
        <w:jc w:val="both"/>
      </w:pPr>
      <w:r>
        <w:rPr>
          <w:rStyle w:val="Appelnotedebasdep"/>
        </w:rPr>
        <w:footnoteRef/>
      </w:r>
      <w:r>
        <w:t xml:space="preserve"> </w:t>
      </w:r>
      <w:r w:rsidR="00E81651">
        <w:t>CJEU (Grande Chambre)</w:t>
      </w:r>
      <w:r w:rsidR="00D236B8">
        <w:t xml:space="preserve">, 18 June 2020, </w:t>
      </w:r>
      <w:r w:rsidR="00E81651">
        <w:t>c</w:t>
      </w:r>
      <w:r w:rsidRPr="00D236B8">
        <w:t xml:space="preserve">ase C-78/18, Commission v. </w:t>
      </w:r>
      <w:proofErr w:type="spellStart"/>
      <w:r w:rsidRPr="00D236B8">
        <w:t>Hungary</w:t>
      </w:r>
      <w:proofErr w:type="spellEnd"/>
      <w:r w:rsidRPr="00D236B8">
        <w:t xml:space="preserve">, </w:t>
      </w:r>
      <w:r w:rsidR="00E81651">
        <w:t>ECLI :</w:t>
      </w:r>
      <w:proofErr w:type="gramStart"/>
      <w:r w:rsidRPr="00D236B8">
        <w:t>EU:C:2020:</w:t>
      </w:r>
      <w:proofErr w:type="gramEnd"/>
      <w:r w:rsidRPr="00D236B8">
        <w:t>476</w:t>
      </w:r>
      <w:r w:rsidR="003D114E">
        <w:t>.</w:t>
      </w:r>
    </w:p>
  </w:footnote>
  <w:footnote w:id="20">
    <w:p w14:paraId="776084EC" w14:textId="3FF35AAD" w:rsidR="005C7C24" w:rsidRDefault="005C7C24" w:rsidP="00EC4793">
      <w:pPr>
        <w:pStyle w:val="Notedebasdepage"/>
        <w:jc w:val="both"/>
      </w:pPr>
      <w:r>
        <w:rPr>
          <w:rStyle w:val="Appelnotedebasdep"/>
        </w:rPr>
        <w:footnoteRef/>
      </w:r>
      <w:r>
        <w:t xml:space="preserve"> </w:t>
      </w:r>
      <w:proofErr w:type="spellStart"/>
      <w:r w:rsidRPr="005C7C24">
        <w:t>See</w:t>
      </w:r>
      <w:proofErr w:type="spellEnd"/>
      <w:r w:rsidRPr="005C7C24">
        <w:t xml:space="preserve"> Case 26/62, Van Gend en Loos [1963] ECR 1, at 12; </w:t>
      </w:r>
      <w:proofErr w:type="spellStart"/>
      <w:r w:rsidRPr="005C7C24">
        <w:t>see</w:t>
      </w:r>
      <w:proofErr w:type="spellEnd"/>
      <w:r w:rsidRPr="005C7C24">
        <w:t xml:space="preserve"> </w:t>
      </w:r>
      <w:proofErr w:type="spellStart"/>
      <w:r w:rsidRPr="005C7C24">
        <w:t>also</w:t>
      </w:r>
      <w:proofErr w:type="spellEnd"/>
      <w:r w:rsidRPr="005C7C24">
        <w:t xml:space="preserve"> Article 3(3) TEU, </w:t>
      </w:r>
      <w:proofErr w:type="spellStart"/>
      <w:r w:rsidRPr="005C7C24">
        <w:t>which</w:t>
      </w:r>
      <w:proofErr w:type="spellEnd"/>
      <w:r w:rsidRPr="005C7C24">
        <w:t xml:space="preserve"> </w:t>
      </w:r>
      <w:proofErr w:type="spellStart"/>
      <w:r w:rsidRPr="005C7C24">
        <w:t>defines</w:t>
      </w:r>
      <w:proofErr w:type="spellEnd"/>
      <w:r w:rsidRPr="005C7C24">
        <w:t xml:space="preserve"> the </w:t>
      </w:r>
      <w:proofErr w:type="spellStart"/>
      <w:r w:rsidRPr="005C7C24">
        <w:t>internal</w:t>
      </w:r>
      <w:proofErr w:type="spellEnd"/>
      <w:r w:rsidRPr="005C7C24">
        <w:t xml:space="preserve"> </w:t>
      </w:r>
      <w:proofErr w:type="spellStart"/>
      <w:r w:rsidRPr="005C7C24">
        <w:t>market</w:t>
      </w:r>
      <w:proofErr w:type="spellEnd"/>
      <w:r w:rsidRPr="005C7C24">
        <w:t xml:space="preserve"> as a </w:t>
      </w:r>
      <w:proofErr w:type="spellStart"/>
      <w:r w:rsidRPr="005C7C24">
        <w:t>core</w:t>
      </w:r>
      <w:proofErr w:type="spellEnd"/>
      <w:r w:rsidRPr="005C7C24">
        <w:t xml:space="preserve"> objective of the Union.</w:t>
      </w:r>
      <w:r w:rsidR="00696027" w:rsidRPr="00696027">
        <w:t xml:space="preserve"> On the </w:t>
      </w:r>
      <w:proofErr w:type="spellStart"/>
      <w:r w:rsidR="00696027" w:rsidRPr="00696027">
        <w:t>internal</w:t>
      </w:r>
      <w:proofErr w:type="spellEnd"/>
      <w:r w:rsidR="00696027" w:rsidRPr="00696027">
        <w:t xml:space="preserve"> </w:t>
      </w:r>
      <w:proofErr w:type="spellStart"/>
      <w:r w:rsidR="00696027" w:rsidRPr="00696027">
        <w:t>market</w:t>
      </w:r>
      <w:proofErr w:type="spellEnd"/>
      <w:r w:rsidR="00696027" w:rsidRPr="00696027">
        <w:t xml:space="preserve"> and </w:t>
      </w:r>
      <w:proofErr w:type="spellStart"/>
      <w:r w:rsidR="00696027" w:rsidRPr="00696027">
        <w:t>tax</w:t>
      </w:r>
      <w:proofErr w:type="spellEnd"/>
      <w:r w:rsidR="00696027" w:rsidRPr="00696027">
        <w:t xml:space="preserve"> </w:t>
      </w:r>
      <w:proofErr w:type="spellStart"/>
      <w:r w:rsidR="00696027" w:rsidRPr="00696027">
        <w:t>law</w:t>
      </w:r>
      <w:proofErr w:type="spellEnd"/>
      <w:r w:rsidR="00696027" w:rsidRPr="00696027">
        <w:t xml:space="preserve">, </w:t>
      </w:r>
      <w:proofErr w:type="spellStart"/>
      <w:r w:rsidR="00696027" w:rsidRPr="00696027">
        <w:t>see</w:t>
      </w:r>
      <w:proofErr w:type="spellEnd"/>
      <w:r w:rsidR="00696027" w:rsidRPr="00696027">
        <w:t xml:space="preserve"> M. Helminen, EU Tax Law: Direct Taxation (IBFD, 2022), pp. 35–50.</w:t>
      </w:r>
    </w:p>
  </w:footnote>
  <w:footnote w:id="21">
    <w:p w14:paraId="48DD17D3" w14:textId="362EC23D" w:rsidR="005C7C24" w:rsidRDefault="005C7C24" w:rsidP="00EC4793">
      <w:pPr>
        <w:pStyle w:val="Notedebasdepage"/>
        <w:jc w:val="both"/>
      </w:pPr>
      <w:r>
        <w:rPr>
          <w:rStyle w:val="Appelnotedebasdep"/>
        </w:rPr>
        <w:footnoteRef/>
      </w:r>
      <w:r>
        <w:t xml:space="preserve"> </w:t>
      </w:r>
      <w:r w:rsidRPr="005C7C24">
        <w:t xml:space="preserve">Article 113 TFEU </w:t>
      </w:r>
      <w:proofErr w:type="spellStart"/>
      <w:r w:rsidRPr="005C7C24">
        <w:t>authorizes</w:t>
      </w:r>
      <w:proofErr w:type="spellEnd"/>
      <w:r w:rsidRPr="005C7C24">
        <w:t xml:space="preserve"> </w:t>
      </w:r>
      <w:proofErr w:type="spellStart"/>
      <w:r w:rsidRPr="005C7C24">
        <w:t>harmonization</w:t>
      </w:r>
      <w:proofErr w:type="spellEnd"/>
      <w:r w:rsidRPr="005C7C24">
        <w:t xml:space="preserve"> of indirect taxation; Article 115 TFEU </w:t>
      </w:r>
      <w:proofErr w:type="spellStart"/>
      <w:r w:rsidRPr="005C7C24">
        <w:t>allows</w:t>
      </w:r>
      <w:proofErr w:type="spellEnd"/>
      <w:r w:rsidRPr="005C7C24">
        <w:t xml:space="preserve"> for approximation of </w:t>
      </w:r>
      <w:proofErr w:type="spellStart"/>
      <w:r w:rsidRPr="005C7C24">
        <w:t>laws</w:t>
      </w:r>
      <w:proofErr w:type="spellEnd"/>
      <w:r w:rsidRPr="005C7C24">
        <w:t xml:space="preserve"> </w:t>
      </w:r>
      <w:proofErr w:type="spellStart"/>
      <w:r w:rsidRPr="005C7C24">
        <w:t>affecting</w:t>
      </w:r>
      <w:proofErr w:type="spellEnd"/>
      <w:r w:rsidRPr="005C7C24">
        <w:t xml:space="preserve"> the </w:t>
      </w:r>
      <w:proofErr w:type="spellStart"/>
      <w:r w:rsidRPr="005C7C24">
        <w:t>internal</w:t>
      </w:r>
      <w:proofErr w:type="spellEnd"/>
      <w:r w:rsidRPr="005C7C24">
        <w:t xml:space="preserve"> </w:t>
      </w:r>
      <w:proofErr w:type="spellStart"/>
      <w:r w:rsidRPr="005C7C24">
        <w:t>market</w:t>
      </w:r>
      <w:proofErr w:type="spellEnd"/>
      <w:r w:rsidRPr="005C7C24">
        <w:t xml:space="preserve">, </w:t>
      </w:r>
      <w:proofErr w:type="spellStart"/>
      <w:r w:rsidRPr="005C7C24">
        <w:t>including</w:t>
      </w:r>
      <w:proofErr w:type="spellEnd"/>
      <w:r w:rsidRPr="005C7C24">
        <w:t xml:space="preserve"> direct taxation, </w:t>
      </w:r>
      <w:proofErr w:type="spellStart"/>
      <w:r w:rsidRPr="005C7C24">
        <w:t>subject</w:t>
      </w:r>
      <w:proofErr w:type="spellEnd"/>
      <w:r w:rsidRPr="005C7C24">
        <w:t xml:space="preserve"> to </w:t>
      </w:r>
      <w:proofErr w:type="spellStart"/>
      <w:r w:rsidRPr="005C7C24">
        <w:t>unanimity</w:t>
      </w:r>
      <w:proofErr w:type="spellEnd"/>
      <w:r w:rsidRPr="005C7C24">
        <w:t>.</w:t>
      </w:r>
    </w:p>
  </w:footnote>
  <w:footnote w:id="22">
    <w:p w14:paraId="0870BA1D" w14:textId="7EF1C07C" w:rsidR="00696027" w:rsidRDefault="00696027" w:rsidP="006E16E1">
      <w:pPr>
        <w:pStyle w:val="Notedebasdepage"/>
        <w:jc w:val="both"/>
      </w:pPr>
      <w:r>
        <w:rPr>
          <w:rStyle w:val="Appelnotedebasdep"/>
        </w:rPr>
        <w:footnoteRef/>
      </w:r>
      <w:r w:rsidR="006E16E1">
        <w:t xml:space="preserve"> </w:t>
      </w:r>
      <w:proofErr w:type="spellStart"/>
      <w:proofErr w:type="gramStart"/>
      <w:r w:rsidR="00E81651">
        <w:t>See</w:t>
      </w:r>
      <w:proofErr w:type="spellEnd"/>
      <w:r w:rsidR="00E81651">
        <w:t>:</w:t>
      </w:r>
      <w:proofErr w:type="gramEnd"/>
      <w:r w:rsidR="00E81651">
        <w:t xml:space="preserve"> A. </w:t>
      </w:r>
      <w:r w:rsidR="006E16E1">
        <w:t>d</w:t>
      </w:r>
      <w:r w:rsidR="006E16E1" w:rsidRPr="006E16E1">
        <w:t>e Graaf</w:t>
      </w:r>
      <w:r w:rsidR="00E81651">
        <w:t xml:space="preserve"> &amp; K.J. </w:t>
      </w:r>
      <w:r w:rsidR="006E16E1" w:rsidRPr="006E16E1">
        <w:t xml:space="preserve">Visser, </w:t>
      </w:r>
      <w:r w:rsidR="006E16E1" w:rsidRPr="00EC4793">
        <w:rPr>
          <w:i/>
          <w:iCs/>
        </w:rPr>
        <w:t xml:space="preserve">ATAD Directive: </w:t>
      </w:r>
      <w:proofErr w:type="spellStart"/>
      <w:r w:rsidR="006E16E1" w:rsidRPr="00EC4793">
        <w:rPr>
          <w:i/>
          <w:iCs/>
        </w:rPr>
        <w:t>Some</w:t>
      </w:r>
      <w:proofErr w:type="spellEnd"/>
      <w:r w:rsidR="006E16E1" w:rsidRPr="00EC4793">
        <w:rPr>
          <w:i/>
          <w:iCs/>
        </w:rPr>
        <w:t xml:space="preserve"> Observations </w:t>
      </w:r>
      <w:proofErr w:type="spellStart"/>
      <w:r w:rsidR="006E16E1" w:rsidRPr="00EC4793">
        <w:rPr>
          <w:i/>
          <w:iCs/>
        </w:rPr>
        <w:t>Regarding</w:t>
      </w:r>
      <w:proofErr w:type="spellEnd"/>
      <w:r w:rsidR="006E16E1" w:rsidRPr="00EC4793">
        <w:rPr>
          <w:i/>
          <w:iCs/>
        </w:rPr>
        <w:t xml:space="preserve"> </w:t>
      </w:r>
      <w:proofErr w:type="spellStart"/>
      <w:r w:rsidR="006E16E1" w:rsidRPr="00EC4793">
        <w:rPr>
          <w:i/>
          <w:iCs/>
        </w:rPr>
        <w:t>Formal</w:t>
      </w:r>
      <w:proofErr w:type="spellEnd"/>
      <w:r w:rsidR="006E16E1" w:rsidRPr="00EC4793">
        <w:rPr>
          <w:i/>
          <w:iCs/>
        </w:rPr>
        <w:t xml:space="preserve"> Aspects</w:t>
      </w:r>
      <w:r w:rsidR="006E16E1" w:rsidRPr="006E16E1">
        <w:t xml:space="preserve">, EC Tax Review </w:t>
      </w:r>
      <w:r w:rsidR="00E81651">
        <w:t xml:space="preserve">(2016), Vol. </w:t>
      </w:r>
      <w:r w:rsidR="006E16E1" w:rsidRPr="006E16E1">
        <w:t>25 (</w:t>
      </w:r>
      <w:r w:rsidR="00E81651">
        <w:t>4</w:t>
      </w:r>
      <w:r w:rsidR="006E16E1" w:rsidRPr="006E16E1">
        <w:t>), p. 199</w:t>
      </w:r>
      <w:r w:rsidR="00E81651">
        <w:t>-210 (</w:t>
      </w:r>
      <w:proofErr w:type="spellStart"/>
      <w:r w:rsidR="00E81651">
        <w:t>see</w:t>
      </w:r>
      <w:proofErr w:type="spellEnd"/>
      <w:r w:rsidR="00E81651">
        <w:t xml:space="preserve"> p. 204</w:t>
      </w:r>
      <w:proofErr w:type="gramStart"/>
      <w:r w:rsidR="00E81651">
        <w:t>)</w:t>
      </w:r>
      <w:r w:rsidR="006E16E1" w:rsidRPr="006E16E1">
        <w:t>;</w:t>
      </w:r>
      <w:proofErr w:type="gramEnd"/>
      <w:r w:rsidR="006E16E1" w:rsidRPr="006E16E1">
        <w:t xml:space="preserve"> </w:t>
      </w:r>
      <w:r w:rsidR="00E81651">
        <w:t xml:space="preserve">E. </w:t>
      </w:r>
      <w:r w:rsidR="006E16E1" w:rsidRPr="006E16E1">
        <w:t>Traversa</w:t>
      </w:r>
      <w:r w:rsidR="00E81651">
        <w:t xml:space="preserve"> &amp; M. </w:t>
      </w:r>
      <w:r w:rsidR="006E16E1" w:rsidRPr="006E16E1">
        <w:t xml:space="preserve">Possoz, </w:t>
      </w:r>
      <w:r w:rsidR="006E16E1" w:rsidRPr="00EC4793">
        <w:rPr>
          <w:i/>
          <w:iCs/>
        </w:rPr>
        <w:t>L’équilibre délicat entre la lutte contre l’évasion fiscale internationale et l’achèvement du marché intérieur: réflexion sur la mise en œuvre du plan BEPS de l’OCDE au sein de l’Union européenne</w:t>
      </w:r>
      <w:r w:rsidR="006E16E1" w:rsidRPr="006E16E1">
        <w:t xml:space="preserve">, Revue des affaires européennes </w:t>
      </w:r>
      <w:r w:rsidR="00E81651">
        <w:t>(</w:t>
      </w:r>
      <w:r w:rsidR="006E16E1" w:rsidRPr="006E16E1">
        <w:t>2018</w:t>
      </w:r>
      <w:r w:rsidR="00E81651">
        <w:t>), no. 4</w:t>
      </w:r>
      <w:r w:rsidR="006E16E1" w:rsidRPr="006E16E1">
        <w:t>, p. 611</w:t>
      </w:r>
      <w:r w:rsidR="00E81651">
        <w:t>-626</w:t>
      </w:r>
      <w:r w:rsidR="006E16E1" w:rsidRPr="006E16E1">
        <w:t xml:space="preserve"> (</w:t>
      </w:r>
      <w:proofErr w:type="spellStart"/>
      <w:r w:rsidR="00E81651">
        <w:t>see</w:t>
      </w:r>
      <w:proofErr w:type="spellEnd"/>
      <w:r w:rsidR="00E81651">
        <w:t xml:space="preserve"> p. </w:t>
      </w:r>
      <w:r w:rsidR="006E16E1" w:rsidRPr="006E16E1">
        <w:t>624 and 625</w:t>
      </w:r>
      <w:proofErr w:type="gramStart"/>
      <w:r w:rsidR="006E16E1" w:rsidRPr="006E16E1">
        <w:t>);</w:t>
      </w:r>
      <w:proofErr w:type="gramEnd"/>
      <w:r w:rsidR="006E16E1" w:rsidRPr="006E16E1">
        <w:t xml:space="preserve"> </w:t>
      </w:r>
      <w:r w:rsidR="00E81651">
        <w:t xml:space="preserve">C. </w:t>
      </w:r>
      <w:r w:rsidR="006E16E1" w:rsidRPr="006E16E1">
        <w:t xml:space="preserve">Brokelind, </w:t>
      </w:r>
      <w:r w:rsidR="006E16E1" w:rsidRPr="00EC4793">
        <w:rPr>
          <w:i/>
          <w:iCs/>
        </w:rPr>
        <w:t xml:space="preserve">The Anti-Tax </w:t>
      </w:r>
      <w:proofErr w:type="spellStart"/>
      <w:r w:rsidR="006E16E1" w:rsidRPr="00EC4793">
        <w:rPr>
          <w:i/>
          <w:iCs/>
        </w:rPr>
        <w:t>Avoidance</w:t>
      </w:r>
      <w:proofErr w:type="spellEnd"/>
      <w:r w:rsidR="006E16E1" w:rsidRPr="00EC4793">
        <w:rPr>
          <w:i/>
          <w:iCs/>
        </w:rPr>
        <w:t xml:space="preserve"> Directive </w:t>
      </w:r>
      <w:proofErr w:type="spellStart"/>
      <w:r w:rsidR="006E16E1" w:rsidRPr="00EC4793">
        <w:rPr>
          <w:i/>
          <w:iCs/>
        </w:rPr>
        <w:t>under</w:t>
      </w:r>
      <w:proofErr w:type="spellEnd"/>
      <w:r w:rsidR="006E16E1" w:rsidRPr="00EC4793">
        <w:rPr>
          <w:i/>
          <w:iCs/>
        </w:rPr>
        <w:t xml:space="preserve"> </w:t>
      </w:r>
      <w:proofErr w:type="spellStart"/>
      <w:proofErr w:type="gramStart"/>
      <w:r w:rsidR="006E16E1" w:rsidRPr="00EC4793">
        <w:rPr>
          <w:i/>
          <w:iCs/>
        </w:rPr>
        <w:t>Scrutiny</w:t>
      </w:r>
      <w:proofErr w:type="spellEnd"/>
      <w:r w:rsidR="006E16E1" w:rsidRPr="00EC4793">
        <w:rPr>
          <w:i/>
          <w:iCs/>
        </w:rPr>
        <w:t>:</w:t>
      </w:r>
      <w:proofErr w:type="gramEnd"/>
      <w:r w:rsidR="006E16E1" w:rsidRPr="00EC4793">
        <w:rPr>
          <w:i/>
          <w:iCs/>
        </w:rPr>
        <w:t xml:space="preserve"> A </w:t>
      </w:r>
      <w:proofErr w:type="spellStart"/>
      <w:r w:rsidR="006E16E1" w:rsidRPr="00EC4793">
        <w:rPr>
          <w:i/>
          <w:iCs/>
        </w:rPr>
        <w:t>Matter</w:t>
      </w:r>
      <w:proofErr w:type="spellEnd"/>
      <w:r w:rsidR="006E16E1" w:rsidRPr="00EC4793">
        <w:rPr>
          <w:i/>
          <w:iCs/>
        </w:rPr>
        <w:t xml:space="preserve"> of </w:t>
      </w:r>
      <w:proofErr w:type="spellStart"/>
      <w:proofErr w:type="gramStart"/>
      <w:r w:rsidR="006E16E1" w:rsidRPr="00EC4793">
        <w:rPr>
          <w:i/>
          <w:iCs/>
        </w:rPr>
        <w:t>Competence</w:t>
      </w:r>
      <w:proofErr w:type="spellEnd"/>
      <w:r w:rsidR="006E16E1" w:rsidRPr="00EC4793">
        <w:rPr>
          <w:i/>
          <w:iCs/>
        </w:rPr>
        <w:t>?</w:t>
      </w:r>
      <w:r w:rsidR="006E16E1" w:rsidRPr="006E16E1">
        <w:t>,</w:t>
      </w:r>
      <w:proofErr w:type="gramEnd"/>
      <w:r w:rsidR="006E16E1" w:rsidRPr="006E16E1">
        <w:t xml:space="preserve"> in </w:t>
      </w:r>
      <w:r w:rsidR="006E16E1" w:rsidRPr="00EC4793">
        <w:rPr>
          <w:i/>
          <w:iCs/>
        </w:rPr>
        <w:t xml:space="preserve">International Taxation in a </w:t>
      </w:r>
      <w:proofErr w:type="spellStart"/>
      <w:r w:rsidR="006E16E1" w:rsidRPr="00EC4793">
        <w:rPr>
          <w:i/>
          <w:iCs/>
        </w:rPr>
        <w:t>Changing</w:t>
      </w:r>
      <w:proofErr w:type="spellEnd"/>
      <w:r w:rsidR="006E16E1" w:rsidRPr="00EC4793">
        <w:rPr>
          <w:i/>
          <w:iCs/>
        </w:rPr>
        <w:t xml:space="preserve"> </w:t>
      </w:r>
      <w:proofErr w:type="spellStart"/>
      <w:r w:rsidR="006E16E1" w:rsidRPr="00EC4793">
        <w:rPr>
          <w:i/>
          <w:iCs/>
        </w:rPr>
        <w:t>Landscape</w:t>
      </w:r>
      <w:proofErr w:type="spellEnd"/>
      <w:r w:rsidR="006E16E1" w:rsidRPr="00EC4793">
        <w:rPr>
          <w:i/>
          <w:iCs/>
        </w:rPr>
        <w:t xml:space="preserve"> – Liber </w:t>
      </w:r>
      <w:proofErr w:type="spellStart"/>
      <w:r w:rsidR="006E16E1" w:rsidRPr="00EC4793">
        <w:rPr>
          <w:i/>
          <w:iCs/>
        </w:rPr>
        <w:t>Amicorum</w:t>
      </w:r>
      <w:proofErr w:type="spellEnd"/>
      <w:r w:rsidR="006E16E1" w:rsidRPr="00EC4793">
        <w:rPr>
          <w:i/>
          <w:iCs/>
        </w:rPr>
        <w:t xml:space="preserve"> in </w:t>
      </w:r>
      <w:proofErr w:type="spellStart"/>
      <w:r w:rsidR="006E16E1" w:rsidRPr="00EC4793">
        <w:rPr>
          <w:i/>
          <w:iCs/>
        </w:rPr>
        <w:t>Honour</w:t>
      </w:r>
      <w:proofErr w:type="spellEnd"/>
      <w:r w:rsidR="006E16E1" w:rsidRPr="00EC4793">
        <w:rPr>
          <w:i/>
          <w:iCs/>
        </w:rPr>
        <w:t xml:space="preserve"> of Bertil </w:t>
      </w:r>
      <w:proofErr w:type="spellStart"/>
      <w:r w:rsidR="006E16E1" w:rsidRPr="00EC4793">
        <w:rPr>
          <w:i/>
          <w:iCs/>
        </w:rPr>
        <w:t>Wiman</w:t>
      </w:r>
      <w:proofErr w:type="spellEnd"/>
      <w:r w:rsidR="00E81651">
        <w:t xml:space="preserve"> (J. </w:t>
      </w:r>
      <w:proofErr w:type="spellStart"/>
      <w:r w:rsidR="00E81651" w:rsidRPr="006E16E1">
        <w:t>Monsénégo</w:t>
      </w:r>
      <w:proofErr w:type="spellEnd"/>
      <w:r w:rsidR="00E81651">
        <w:t xml:space="preserve"> &amp; J. </w:t>
      </w:r>
      <w:proofErr w:type="spellStart"/>
      <w:r w:rsidR="00E81651" w:rsidRPr="006E16E1">
        <w:t>Bjuvberg</w:t>
      </w:r>
      <w:proofErr w:type="spellEnd"/>
      <w:r w:rsidR="00E81651" w:rsidRPr="006E16E1">
        <w:t xml:space="preserve"> </w:t>
      </w:r>
      <w:proofErr w:type="spellStart"/>
      <w:r w:rsidR="00E81651">
        <w:t>e</w:t>
      </w:r>
      <w:r w:rsidR="00E81651" w:rsidRPr="006E16E1">
        <w:t>ds</w:t>
      </w:r>
      <w:proofErr w:type="spellEnd"/>
      <w:r w:rsidR="00E81651" w:rsidRPr="006E16E1">
        <w:t>.</w:t>
      </w:r>
      <w:r w:rsidR="00E81651">
        <w:t>)</w:t>
      </w:r>
      <w:r w:rsidR="006E16E1" w:rsidRPr="006E16E1">
        <w:t xml:space="preserve">, </w:t>
      </w:r>
      <w:proofErr w:type="spellStart"/>
      <w:r w:rsidR="006E16E1" w:rsidRPr="006E16E1">
        <w:t>Alphen</w:t>
      </w:r>
      <w:proofErr w:type="spellEnd"/>
      <w:r w:rsidR="006E16E1" w:rsidRPr="006E16E1">
        <w:t xml:space="preserve"> </w:t>
      </w:r>
      <w:proofErr w:type="spellStart"/>
      <w:r w:rsidR="006E16E1" w:rsidRPr="006E16E1">
        <w:t>aan</w:t>
      </w:r>
      <w:proofErr w:type="spellEnd"/>
      <w:r w:rsidR="006E16E1" w:rsidRPr="006E16E1">
        <w:t xml:space="preserve"> den Rijn, 2019, </w:t>
      </w:r>
      <w:r w:rsidR="00E81651">
        <w:t>(</w:t>
      </w:r>
      <w:proofErr w:type="spellStart"/>
      <w:r w:rsidR="00E81651">
        <w:t>see</w:t>
      </w:r>
      <w:proofErr w:type="spellEnd"/>
      <w:r w:rsidR="00E81651">
        <w:t xml:space="preserve"> </w:t>
      </w:r>
      <w:r w:rsidR="006E16E1" w:rsidRPr="006E16E1">
        <w:t>p. 45</w:t>
      </w:r>
      <w:r w:rsidR="00E81651">
        <w:t xml:space="preserve">, </w:t>
      </w:r>
      <w:r w:rsidR="006E16E1" w:rsidRPr="006E16E1">
        <w:t xml:space="preserve">48 and 49); </w:t>
      </w:r>
      <w:r w:rsidR="00E81651">
        <w:t xml:space="preserve">W. </w:t>
      </w:r>
      <w:r w:rsidR="006E16E1" w:rsidRPr="006E16E1">
        <w:t xml:space="preserve">Haslehner, </w:t>
      </w:r>
      <w:r w:rsidR="006E16E1" w:rsidRPr="00EC4793">
        <w:rPr>
          <w:i/>
          <w:iCs/>
        </w:rPr>
        <w:t xml:space="preserve">The General Scope of the ATAD and </w:t>
      </w:r>
      <w:proofErr w:type="spellStart"/>
      <w:r w:rsidR="006E16E1" w:rsidRPr="00EC4793">
        <w:rPr>
          <w:i/>
          <w:iCs/>
        </w:rPr>
        <w:t>its</w:t>
      </w:r>
      <w:proofErr w:type="spellEnd"/>
      <w:r w:rsidR="006E16E1" w:rsidRPr="00EC4793">
        <w:rPr>
          <w:i/>
          <w:iCs/>
        </w:rPr>
        <w:t xml:space="preserve"> Position in the EU Legal </w:t>
      </w:r>
      <w:proofErr w:type="spellStart"/>
      <w:r w:rsidR="006E16E1" w:rsidRPr="00EC4793">
        <w:rPr>
          <w:i/>
          <w:iCs/>
        </w:rPr>
        <w:t>Order</w:t>
      </w:r>
      <w:proofErr w:type="spellEnd"/>
      <w:r w:rsidR="006E16E1" w:rsidRPr="006E16E1">
        <w:t>, in</w:t>
      </w:r>
      <w:r w:rsidR="00E81651">
        <w:t xml:space="preserve"> </w:t>
      </w:r>
      <w:r w:rsidR="006E16E1" w:rsidRPr="00EC4793">
        <w:rPr>
          <w:i/>
          <w:iCs/>
        </w:rPr>
        <w:t xml:space="preserve">A Guide to the Anti-Tax </w:t>
      </w:r>
      <w:proofErr w:type="spellStart"/>
      <w:r w:rsidR="006E16E1" w:rsidRPr="00EC4793">
        <w:rPr>
          <w:i/>
          <w:iCs/>
        </w:rPr>
        <w:t>Avoidance</w:t>
      </w:r>
      <w:proofErr w:type="spellEnd"/>
      <w:r w:rsidR="006E16E1" w:rsidRPr="00EC4793">
        <w:rPr>
          <w:i/>
          <w:iCs/>
        </w:rPr>
        <w:t xml:space="preserve"> Directive</w:t>
      </w:r>
      <w:r w:rsidR="00E81651">
        <w:t xml:space="preserve"> (W. </w:t>
      </w:r>
      <w:r w:rsidR="00E81651" w:rsidRPr="006E16E1">
        <w:t>Haslehner et al</w:t>
      </w:r>
      <w:r w:rsidR="00E81651">
        <w:t>.</w:t>
      </w:r>
      <w:r w:rsidR="00E81651" w:rsidRPr="006E16E1">
        <w:t xml:space="preserve"> </w:t>
      </w:r>
      <w:proofErr w:type="spellStart"/>
      <w:proofErr w:type="gramStart"/>
      <w:r w:rsidR="00E81651">
        <w:t>e</w:t>
      </w:r>
      <w:r w:rsidR="00E81651" w:rsidRPr="006E16E1">
        <w:t>ds</w:t>
      </w:r>
      <w:proofErr w:type="spellEnd"/>
      <w:proofErr w:type="gramEnd"/>
      <w:r w:rsidR="00E81651" w:rsidRPr="006E16E1">
        <w:t>.</w:t>
      </w:r>
      <w:r w:rsidR="006E16E1" w:rsidRPr="006E16E1">
        <w:t xml:space="preserve">, Cheltenham, 2020, </w:t>
      </w:r>
      <w:r w:rsidR="00E81651">
        <w:t>(</w:t>
      </w:r>
      <w:proofErr w:type="spellStart"/>
      <w:r w:rsidR="00E81651">
        <w:t>see</w:t>
      </w:r>
      <w:proofErr w:type="spellEnd"/>
      <w:r w:rsidR="00E81651">
        <w:t xml:space="preserve"> </w:t>
      </w:r>
      <w:r w:rsidR="006E16E1" w:rsidRPr="006E16E1">
        <w:t>p. 32</w:t>
      </w:r>
      <w:r w:rsidR="00E81651">
        <w:t xml:space="preserve">, </w:t>
      </w:r>
      <w:r w:rsidR="006E16E1" w:rsidRPr="006E16E1">
        <w:t>38 and 39)</w:t>
      </w:r>
      <w:r w:rsidR="006E16E1">
        <w:t>.</w:t>
      </w:r>
    </w:p>
  </w:footnote>
  <w:footnote w:id="23">
    <w:p w14:paraId="0B36D56D" w14:textId="6B8F0145" w:rsidR="00696027" w:rsidRDefault="00696027" w:rsidP="00EC4793">
      <w:pPr>
        <w:pStyle w:val="Notedebasdepage"/>
        <w:jc w:val="both"/>
      </w:pPr>
      <w:r>
        <w:rPr>
          <w:rStyle w:val="Appelnotedebasdep"/>
        </w:rPr>
        <w:footnoteRef/>
      </w:r>
      <w:r>
        <w:t xml:space="preserve"> </w:t>
      </w:r>
      <w:r w:rsidRPr="00696027">
        <w:t xml:space="preserve">Council Directive (EU) 2016/1164 of 12 July 2016 </w:t>
      </w:r>
      <w:proofErr w:type="spellStart"/>
      <w:r w:rsidRPr="00696027">
        <w:t>laying</w:t>
      </w:r>
      <w:proofErr w:type="spellEnd"/>
      <w:r w:rsidRPr="00696027">
        <w:t xml:space="preserve"> down </w:t>
      </w:r>
      <w:proofErr w:type="spellStart"/>
      <w:r w:rsidRPr="00696027">
        <w:t>rules</w:t>
      </w:r>
      <w:proofErr w:type="spellEnd"/>
      <w:r w:rsidRPr="00696027">
        <w:t xml:space="preserve"> </w:t>
      </w:r>
      <w:proofErr w:type="spellStart"/>
      <w:r w:rsidRPr="00696027">
        <w:t>against</w:t>
      </w:r>
      <w:proofErr w:type="spellEnd"/>
      <w:r w:rsidRPr="00696027">
        <w:t xml:space="preserve"> </w:t>
      </w:r>
      <w:proofErr w:type="spellStart"/>
      <w:r w:rsidRPr="00696027">
        <w:t>tax</w:t>
      </w:r>
      <w:proofErr w:type="spellEnd"/>
      <w:r w:rsidRPr="00696027">
        <w:t xml:space="preserve"> </w:t>
      </w:r>
      <w:proofErr w:type="spellStart"/>
      <w:r w:rsidRPr="00696027">
        <w:t>avoidance</w:t>
      </w:r>
      <w:proofErr w:type="spellEnd"/>
      <w:r w:rsidRPr="00696027">
        <w:t xml:space="preserve"> practices </w:t>
      </w:r>
      <w:proofErr w:type="spellStart"/>
      <w:r w:rsidRPr="00696027">
        <w:t>that</w:t>
      </w:r>
      <w:proofErr w:type="spellEnd"/>
      <w:r w:rsidRPr="00696027">
        <w:t xml:space="preserve"> </w:t>
      </w:r>
      <w:proofErr w:type="spellStart"/>
      <w:r w:rsidRPr="00696027">
        <w:t>directly</w:t>
      </w:r>
      <w:proofErr w:type="spellEnd"/>
      <w:r w:rsidRPr="00696027">
        <w:t xml:space="preserve"> affect the </w:t>
      </w:r>
      <w:proofErr w:type="spellStart"/>
      <w:r w:rsidRPr="00696027">
        <w:t>functioning</w:t>
      </w:r>
      <w:proofErr w:type="spellEnd"/>
      <w:r w:rsidRPr="00696027">
        <w:t xml:space="preserve"> of the </w:t>
      </w:r>
      <w:proofErr w:type="spellStart"/>
      <w:r w:rsidRPr="00696027">
        <w:t>internal</w:t>
      </w:r>
      <w:proofErr w:type="spellEnd"/>
      <w:r w:rsidRPr="00696027">
        <w:t xml:space="preserve"> </w:t>
      </w:r>
      <w:proofErr w:type="spellStart"/>
      <w:r w:rsidRPr="00696027">
        <w:t>market</w:t>
      </w:r>
      <w:proofErr w:type="spellEnd"/>
      <w:r w:rsidRPr="00696027">
        <w:t xml:space="preserve"> (ATAD), OJ L 193/1.</w:t>
      </w:r>
    </w:p>
  </w:footnote>
  <w:footnote w:id="24">
    <w:p w14:paraId="7236BF6B" w14:textId="2056783F" w:rsidR="00696027" w:rsidRDefault="00696027" w:rsidP="00EC4793">
      <w:pPr>
        <w:pStyle w:val="Notedebasdepage"/>
        <w:jc w:val="both"/>
      </w:pPr>
      <w:r>
        <w:rPr>
          <w:rStyle w:val="Appelnotedebasdep"/>
        </w:rPr>
        <w:footnoteRef/>
      </w:r>
      <w:r>
        <w:t xml:space="preserve"> </w:t>
      </w:r>
      <w:proofErr w:type="spellStart"/>
      <w:r w:rsidRPr="00696027">
        <w:t>See</w:t>
      </w:r>
      <w:proofErr w:type="spellEnd"/>
      <w:r w:rsidR="00E81651">
        <w:t>:</w:t>
      </w:r>
      <w:r w:rsidRPr="00696027">
        <w:t xml:space="preserve"> OECD, </w:t>
      </w:r>
      <w:r w:rsidRPr="00EC4793">
        <w:rPr>
          <w:i/>
          <w:iCs/>
        </w:rPr>
        <w:t xml:space="preserve">Action Plan on Base Erosion and Profit </w:t>
      </w:r>
      <w:proofErr w:type="spellStart"/>
      <w:r w:rsidRPr="00EC4793">
        <w:rPr>
          <w:i/>
          <w:iCs/>
        </w:rPr>
        <w:t>Shifting</w:t>
      </w:r>
      <w:proofErr w:type="spellEnd"/>
      <w:r w:rsidRPr="00696027">
        <w:t xml:space="preserve"> (OECD </w:t>
      </w:r>
      <w:proofErr w:type="spellStart"/>
      <w:r w:rsidRPr="00696027">
        <w:t>Publishing</w:t>
      </w:r>
      <w:proofErr w:type="spellEnd"/>
      <w:r w:rsidRPr="00696027">
        <w:t xml:space="preserve">, 2013); the ATAD </w:t>
      </w:r>
      <w:proofErr w:type="spellStart"/>
      <w:r w:rsidRPr="00696027">
        <w:t>was</w:t>
      </w:r>
      <w:proofErr w:type="spellEnd"/>
      <w:r w:rsidRPr="00696027">
        <w:t xml:space="preserve"> </w:t>
      </w:r>
      <w:proofErr w:type="spellStart"/>
      <w:r w:rsidRPr="00696027">
        <w:t>largely</w:t>
      </w:r>
      <w:proofErr w:type="spellEnd"/>
      <w:r w:rsidRPr="00696027">
        <w:t xml:space="preserve"> </w:t>
      </w:r>
      <w:proofErr w:type="spellStart"/>
      <w:r w:rsidRPr="00696027">
        <w:t>designed</w:t>
      </w:r>
      <w:proofErr w:type="spellEnd"/>
      <w:r w:rsidRPr="00696027">
        <w:t xml:space="preserve"> to </w:t>
      </w:r>
      <w:proofErr w:type="spellStart"/>
      <w:r w:rsidRPr="00696027">
        <w:t>implement</w:t>
      </w:r>
      <w:proofErr w:type="spellEnd"/>
      <w:r w:rsidRPr="00696027">
        <w:t xml:space="preserve"> BEPS </w:t>
      </w:r>
      <w:proofErr w:type="spellStart"/>
      <w:r w:rsidRPr="00696027">
        <w:t>recommendations</w:t>
      </w:r>
      <w:proofErr w:type="spellEnd"/>
      <w:r w:rsidRPr="00696027">
        <w:t xml:space="preserve"> in an EU </w:t>
      </w:r>
      <w:proofErr w:type="spellStart"/>
      <w:r w:rsidRPr="00696027">
        <w:t>framework</w:t>
      </w:r>
      <w:proofErr w:type="spellEnd"/>
      <w:r w:rsidRPr="00696027">
        <w:t>.</w:t>
      </w:r>
    </w:p>
  </w:footnote>
  <w:footnote w:id="25">
    <w:p w14:paraId="51A20618" w14:textId="691194AB" w:rsidR="00061A1B" w:rsidRDefault="00061A1B" w:rsidP="00EC4793">
      <w:pPr>
        <w:pStyle w:val="Notedebasdepage"/>
        <w:jc w:val="both"/>
      </w:pPr>
      <w:r>
        <w:rPr>
          <w:rStyle w:val="Appelnotedebasdep"/>
        </w:rPr>
        <w:footnoteRef/>
      </w:r>
      <w:r>
        <w:t xml:space="preserve"> </w:t>
      </w:r>
      <w:proofErr w:type="spellStart"/>
      <w:r>
        <w:t>Opionion</w:t>
      </w:r>
      <w:proofErr w:type="spellEnd"/>
      <w:r>
        <w:t xml:space="preserve"> of Adv.-</w:t>
      </w:r>
      <w:proofErr w:type="spellStart"/>
      <w:r>
        <w:t>Gen</w:t>
      </w:r>
      <w:proofErr w:type="spellEnd"/>
      <w:r>
        <w:t xml:space="preserve">. KOKOTT </w:t>
      </w:r>
      <w:proofErr w:type="spellStart"/>
      <w:r>
        <w:t>delivered</w:t>
      </w:r>
      <w:proofErr w:type="spellEnd"/>
      <w:r>
        <w:t xml:space="preserve"> on 22 May 2025, </w:t>
      </w:r>
      <w:r w:rsidR="00E81651">
        <w:t>c</w:t>
      </w:r>
      <w:r>
        <w:t>ase C</w:t>
      </w:r>
      <w:r>
        <w:rPr>
          <w:rFonts w:ascii="Cambria Math" w:hAnsi="Cambria Math" w:cs="Cambria Math"/>
        </w:rPr>
        <w:t>‑</w:t>
      </w:r>
      <w:r>
        <w:t xml:space="preserve">524/23, European Commission v </w:t>
      </w:r>
      <w:proofErr w:type="spellStart"/>
      <w:r>
        <w:t>Kingdom</w:t>
      </w:r>
      <w:proofErr w:type="spellEnd"/>
      <w:r>
        <w:t xml:space="preserve"> of Belgium, </w:t>
      </w:r>
      <w:proofErr w:type="gramStart"/>
      <w:r w:rsidR="00E81651" w:rsidRPr="00E81651">
        <w:t>ECLI:EU:C:2025:</w:t>
      </w:r>
      <w:proofErr w:type="gramEnd"/>
      <w:r w:rsidR="00E81651" w:rsidRPr="00E81651">
        <w:t>381</w:t>
      </w:r>
      <w:r w:rsidR="00E81651">
        <w:t>.</w:t>
      </w:r>
    </w:p>
  </w:footnote>
  <w:footnote w:id="26">
    <w:p w14:paraId="69C9752D" w14:textId="6696E0AA" w:rsidR="00696027" w:rsidRPr="00DE74C0" w:rsidRDefault="00696027" w:rsidP="00E334D0">
      <w:pPr>
        <w:pStyle w:val="Notedebasdepage"/>
        <w:jc w:val="both"/>
        <w:rPr>
          <w:lang w:val="en-US"/>
        </w:rPr>
      </w:pPr>
      <w:r>
        <w:rPr>
          <w:rStyle w:val="Appelnotedebasdep"/>
        </w:rPr>
        <w:footnoteRef/>
      </w:r>
      <w:r>
        <w:t xml:space="preserve"> </w:t>
      </w:r>
      <w:r w:rsidRPr="00696027">
        <w:t xml:space="preserve">The </w:t>
      </w:r>
      <w:r w:rsidRPr="00DE74C0">
        <w:rPr>
          <w:lang w:val="en-US"/>
        </w:rPr>
        <w:t xml:space="preserve">DAC was introduced by Council Directive 2011/16/EU </w:t>
      </w:r>
      <w:r w:rsidR="00E81651" w:rsidRPr="00E81651">
        <w:rPr>
          <w:lang w:val="en-US"/>
        </w:rPr>
        <w:t xml:space="preserve">of 15 February 2011 on administrative cooperation in the field of taxation and repealing Directive 77/799/EEC </w:t>
      </w:r>
      <w:r w:rsidRPr="00DE74C0">
        <w:rPr>
          <w:lang w:val="en-US"/>
        </w:rPr>
        <w:t>and successively amended by DAC2</w:t>
      </w:r>
      <w:r w:rsidR="00E81651">
        <w:rPr>
          <w:lang w:val="en-US"/>
        </w:rPr>
        <w:t xml:space="preserve"> (Council Directive</w:t>
      </w:r>
      <w:r w:rsidR="00E81651" w:rsidRPr="00E81651">
        <w:rPr>
          <w:lang w:val="en-US"/>
        </w:rPr>
        <w:t xml:space="preserve"> 2014/107/UE </w:t>
      </w:r>
      <w:r w:rsidR="00E81651">
        <w:rPr>
          <w:lang w:val="en-US"/>
        </w:rPr>
        <w:t>of</w:t>
      </w:r>
      <w:r w:rsidR="00E81651" w:rsidRPr="00E81651">
        <w:rPr>
          <w:lang w:val="en-US"/>
        </w:rPr>
        <w:t xml:space="preserve"> 9 </w:t>
      </w:r>
      <w:r w:rsidR="00E81651">
        <w:rPr>
          <w:lang w:val="en-US"/>
        </w:rPr>
        <w:t>December</w:t>
      </w:r>
      <w:r w:rsidR="00E81651" w:rsidRPr="00E81651">
        <w:rPr>
          <w:lang w:val="en-US"/>
        </w:rPr>
        <w:t xml:space="preserve"> 2014</w:t>
      </w:r>
      <w:r w:rsidR="00E81651">
        <w:rPr>
          <w:lang w:val="en-US"/>
        </w:rPr>
        <w:t>)</w:t>
      </w:r>
      <w:r w:rsidRPr="00DE74C0">
        <w:rPr>
          <w:lang w:val="en-US"/>
        </w:rPr>
        <w:t xml:space="preserve"> to </w:t>
      </w:r>
      <w:r w:rsidR="00E81651" w:rsidRPr="00DE74C0">
        <w:rPr>
          <w:lang w:val="en-US"/>
        </w:rPr>
        <w:t>DAC</w:t>
      </w:r>
      <w:r w:rsidR="00E81651">
        <w:rPr>
          <w:lang w:val="en-US"/>
        </w:rPr>
        <w:t>9 (</w:t>
      </w:r>
      <w:r w:rsidR="00E81651" w:rsidRPr="00E81651">
        <w:rPr>
          <w:lang w:val="en-US"/>
        </w:rPr>
        <w:t>Council Directive (EU) 2025/872 of 14 April 2025</w:t>
      </w:r>
      <w:r w:rsidR="00E81651">
        <w:rPr>
          <w:lang w:val="en-US"/>
        </w:rPr>
        <w:t>)</w:t>
      </w:r>
      <w:r w:rsidRPr="00DE74C0">
        <w:rPr>
          <w:lang w:val="en-US"/>
        </w:rPr>
        <w:t>. See, e.g., DAC6 (Council Directive (EU) 2018/822</w:t>
      </w:r>
      <w:r w:rsidR="00E81651">
        <w:rPr>
          <w:lang w:val="en-US"/>
        </w:rPr>
        <w:t xml:space="preserve"> of 25 May 2018</w:t>
      </w:r>
      <w:r w:rsidRPr="00DE74C0">
        <w:rPr>
          <w:lang w:val="en-US"/>
        </w:rPr>
        <w:t>) on mandatory disclosure rules.</w:t>
      </w:r>
    </w:p>
  </w:footnote>
  <w:footnote w:id="27">
    <w:p w14:paraId="007128BF" w14:textId="07393E7C" w:rsidR="00DE74C0" w:rsidRPr="00DE74C0" w:rsidRDefault="00DE74C0" w:rsidP="00E334D0">
      <w:pPr>
        <w:pStyle w:val="Notedebasdepage"/>
        <w:jc w:val="both"/>
        <w:rPr>
          <w:lang w:val="en-US"/>
        </w:rPr>
      </w:pPr>
      <w:r w:rsidRPr="00DE74C0">
        <w:rPr>
          <w:rStyle w:val="Appelnotedebasdep"/>
          <w:lang w:val="en-US"/>
        </w:rPr>
        <w:footnoteRef/>
      </w:r>
      <w:r w:rsidRPr="00DE74C0">
        <w:rPr>
          <w:lang w:val="en-US"/>
        </w:rPr>
        <w:t xml:space="preserve">  </w:t>
      </w:r>
      <w:r w:rsidR="006E16E1">
        <w:rPr>
          <w:lang w:val="en-US"/>
        </w:rPr>
        <w:t xml:space="preserve">For a critical </w:t>
      </w:r>
      <w:r w:rsidR="00E81651">
        <w:rPr>
          <w:lang w:val="en-US"/>
        </w:rPr>
        <w:t>opinion</w:t>
      </w:r>
      <w:r w:rsidR="006E16E1">
        <w:rPr>
          <w:lang w:val="en-US"/>
        </w:rPr>
        <w:t xml:space="preserve">, </w:t>
      </w:r>
      <w:r w:rsidR="00E81651" w:rsidRPr="00DE74C0">
        <w:rPr>
          <w:lang w:val="en-US"/>
        </w:rPr>
        <w:t>W</w:t>
      </w:r>
      <w:r w:rsidR="00E81651">
        <w:rPr>
          <w:lang w:val="en-US"/>
        </w:rPr>
        <w:t>.</w:t>
      </w:r>
      <w:r w:rsidR="00E81651" w:rsidRPr="00DE74C0">
        <w:rPr>
          <w:lang w:val="en-US"/>
        </w:rPr>
        <w:t xml:space="preserve"> H</w:t>
      </w:r>
      <w:r w:rsidR="00E81651">
        <w:rPr>
          <w:lang w:val="en-US"/>
        </w:rPr>
        <w:t>aslehner</w:t>
      </w:r>
      <w:r w:rsidR="00E81651" w:rsidRPr="00DE74C0">
        <w:rPr>
          <w:lang w:val="en-US"/>
        </w:rPr>
        <w:t xml:space="preserve"> </w:t>
      </w:r>
      <w:r w:rsidR="00E81651">
        <w:rPr>
          <w:lang w:val="en-US"/>
        </w:rPr>
        <w:t>&amp;</w:t>
      </w:r>
      <w:r w:rsidR="00E81651" w:rsidRPr="00DE74C0">
        <w:rPr>
          <w:lang w:val="en-US"/>
        </w:rPr>
        <w:t xml:space="preserve"> K</w:t>
      </w:r>
      <w:r w:rsidR="00E81651">
        <w:rPr>
          <w:lang w:val="en-US"/>
        </w:rPr>
        <w:t>.</w:t>
      </w:r>
      <w:r w:rsidR="00E81651" w:rsidRPr="00DE74C0">
        <w:rPr>
          <w:lang w:val="en-US"/>
        </w:rPr>
        <w:t xml:space="preserve"> </w:t>
      </w:r>
      <w:proofErr w:type="spellStart"/>
      <w:r w:rsidR="00E81651" w:rsidRPr="00DE74C0">
        <w:rPr>
          <w:lang w:val="en-US"/>
        </w:rPr>
        <w:t>P</w:t>
      </w:r>
      <w:r w:rsidR="00E81651">
        <w:rPr>
          <w:lang w:val="en-US"/>
        </w:rPr>
        <w:t>antazatou</w:t>
      </w:r>
      <w:proofErr w:type="spellEnd"/>
      <w:r w:rsidR="00E81651">
        <w:rPr>
          <w:lang w:val="en-US"/>
        </w:rPr>
        <w:t xml:space="preserve">, </w:t>
      </w:r>
      <w:r w:rsidRPr="00EC4793">
        <w:rPr>
          <w:i/>
          <w:iCs/>
          <w:lang w:val="en-US"/>
        </w:rPr>
        <w:t xml:space="preserve">Assessment of </w:t>
      </w:r>
      <w:proofErr w:type="gramStart"/>
      <w:r w:rsidRPr="00EC4793">
        <w:rPr>
          <w:i/>
          <w:iCs/>
          <w:lang w:val="en-US"/>
        </w:rPr>
        <w:t>recent  anti</w:t>
      </w:r>
      <w:proofErr w:type="gramEnd"/>
      <w:r w:rsidRPr="00EC4793">
        <w:rPr>
          <w:i/>
          <w:iCs/>
          <w:lang w:val="en-US"/>
        </w:rPr>
        <w:t xml:space="preserve">-tax </w:t>
      </w:r>
      <w:proofErr w:type="gramStart"/>
      <w:r w:rsidRPr="00EC4793">
        <w:rPr>
          <w:i/>
          <w:iCs/>
          <w:lang w:val="en-US"/>
        </w:rPr>
        <w:t>avoidance  and</w:t>
      </w:r>
      <w:proofErr w:type="gramEnd"/>
      <w:r w:rsidRPr="00EC4793">
        <w:rPr>
          <w:i/>
          <w:iCs/>
          <w:lang w:val="en-US"/>
        </w:rPr>
        <w:t xml:space="preserve"> </w:t>
      </w:r>
      <w:proofErr w:type="gramStart"/>
      <w:r w:rsidRPr="00EC4793">
        <w:rPr>
          <w:i/>
          <w:iCs/>
          <w:lang w:val="en-US"/>
        </w:rPr>
        <w:t>evasion  measures</w:t>
      </w:r>
      <w:proofErr w:type="gramEnd"/>
      <w:r w:rsidRPr="00EC4793">
        <w:rPr>
          <w:i/>
          <w:iCs/>
          <w:lang w:val="en-US"/>
        </w:rPr>
        <w:t xml:space="preserve"> (ATAD &amp; DAC 6)</w:t>
      </w:r>
      <w:r w:rsidRPr="00DE74C0">
        <w:rPr>
          <w:lang w:val="en-US"/>
        </w:rPr>
        <w:t>,</w:t>
      </w:r>
      <w:r w:rsidR="00E81651">
        <w:rPr>
          <w:lang w:val="en-US"/>
        </w:rPr>
        <w:t xml:space="preserve"> European Parliament, Study, </w:t>
      </w:r>
      <w:r w:rsidRPr="00DE74C0">
        <w:rPr>
          <w:lang w:val="en-US"/>
        </w:rPr>
        <w:t>Policy Department for Economic, Scientific and Quality of Life Policies Directorate-General for Internal Policies</w:t>
      </w:r>
      <w:r>
        <w:rPr>
          <w:lang w:val="en-US"/>
        </w:rPr>
        <w:t xml:space="preserve">, </w:t>
      </w:r>
      <w:r w:rsidR="00E81651">
        <w:rPr>
          <w:lang w:val="en-US"/>
        </w:rPr>
        <w:t xml:space="preserve">document n. </w:t>
      </w:r>
      <w:r w:rsidRPr="00DE74C0">
        <w:rPr>
          <w:lang w:val="en-US"/>
        </w:rPr>
        <w:t>PE 703.353</w:t>
      </w:r>
      <w:r w:rsidR="00E81651">
        <w:rPr>
          <w:lang w:val="en-US"/>
        </w:rPr>
        <w:t>,</w:t>
      </w:r>
      <w:r w:rsidRPr="00DE74C0">
        <w:rPr>
          <w:lang w:val="en-US"/>
        </w:rPr>
        <w:t xml:space="preserve"> March 2022</w:t>
      </w:r>
      <w:r>
        <w:rPr>
          <w:lang w:val="en-US"/>
        </w:rPr>
        <w:t>.</w:t>
      </w:r>
    </w:p>
  </w:footnote>
  <w:footnote w:id="28">
    <w:p w14:paraId="411EB2D9" w14:textId="48616904" w:rsidR="00D236B8" w:rsidRDefault="00D236B8" w:rsidP="00EC4793">
      <w:pPr>
        <w:pStyle w:val="Notedebasdepage"/>
        <w:jc w:val="both"/>
      </w:pPr>
      <w:r>
        <w:rPr>
          <w:rStyle w:val="Appelnotedebasdep"/>
        </w:rPr>
        <w:footnoteRef/>
      </w:r>
      <w:r>
        <w:t xml:space="preserve"> </w:t>
      </w:r>
      <w:proofErr w:type="spellStart"/>
      <w:r>
        <w:t>See</w:t>
      </w:r>
      <w:proofErr w:type="spellEnd"/>
      <w:r w:rsidR="00E81651">
        <w:t>,</w:t>
      </w:r>
      <w:r>
        <w:t xml:space="preserve"> in </w:t>
      </w:r>
      <w:proofErr w:type="spellStart"/>
      <w:r>
        <w:t>particular</w:t>
      </w:r>
      <w:proofErr w:type="spellEnd"/>
      <w:r w:rsidR="00E81651">
        <w:t>,</w:t>
      </w:r>
      <w:r>
        <w:t xml:space="preserve"> </w:t>
      </w:r>
      <w:r w:rsidR="001B6AC1" w:rsidRPr="001B6AC1">
        <w:t xml:space="preserve">Council </w:t>
      </w:r>
      <w:proofErr w:type="spellStart"/>
      <w:r w:rsidR="001B6AC1" w:rsidRPr="001B6AC1">
        <w:t>Regulation</w:t>
      </w:r>
      <w:proofErr w:type="spellEnd"/>
      <w:r w:rsidR="001B6AC1" w:rsidRPr="001B6AC1">
        <w:t xml:space="preserve"> (EU) 904/2010 of 7 </w:t>
      </w:r>
      <w:proofErr w:type="spellStart"/>
      <w:r w:rsidR="001B6AC1" w:rsidRPr="001B6AC1">
        <w:t>October</w:t>
      </w:r>
      <w:proofErr w:type="spellEnd"/>
      <w:r w:rsidR="001B6AC1" w:rsidRPr="001B6AC1">
        <w:t xml:space="preserve"> 2010 on administrative </w:t>
      </w:r>
      <w:proofErr w:type="spellStart"/>
      <w:r w:rsidR="001B6AC1" w:rsidRPr="001B6AC1">
        <w:t>cooperation</w:t>
      </w:r>
      <w:proofErr w:type="spellEnd"/>
      <w:r w:rsidR="001B6AC1" w:rsidRPr="001B6AC1">
        <w:t xml:space="preserve"> and </w:t>
      </w:r>
      <w:proofErr w:type="spellStart"/>
      <w:r w:rsidR="001B6AC1" w:rsidRPr="001B6AC1">
        <w:t>combating</w:t>
      </w:r>
      <w:proofErr w:type="spellEnd"/>
      <w:r w:rsidR="001B6AC1" w:rsidRPr="001B6AC1">
        <w:t xml:space="preserve"> </w:t>
      </w:r>
      <w:proofErr w:type="spellStart"/>
      <w:r w:rsidR="001B6AC1" w:rsidRPr="001B6AC1">
        <w:t>fraud</w:t>
      </w:r>
      <w:proofErr w:type="spellEnd"/>
      <w:r w:rsidR="001B6AC1" w:rsidRPr="001B6AC1">
        <w:t xml:space="preserve"> in the </w:t>
      </w:r>
      <w:proofErr w:type="spellStart"/>
      <w:r w:rsidR="001B6AC1" w:rsidRPr="001B6AC1">
        <w:t>field</w:t>
      </w:r>
      <w:proofErr w:type="spellEnd"/>
      <w:r w:rsidR="001B6AC1" w:rsidRPr="001B6AC1">
        <w:t xml:space="preserve"> of value </w:t>
      </w:r>
      <w:proofErr w:type="spellStart"/>
      <w:r w:rsidR="001B6AC1" w:rsidRPr="001B6AC1">
        <w:t>added</w:t>
      </w:r>
      <w:proofErr w:type="spellEnd"/>
      <w:r w:rsidR="001B6AC1" w:rsidRPr="001B6AC1">
        <w:t xml:space="preserve"> </w:t>
      </w:r>
      <w:proofErr w:type="spellStart"/>
      <w:r w:rsidR="001B6AC1" w:rsidRPr="001B6AC1">
        <w:t>tax</w:t>
      </w:r>
      <w:proofErr w:type="spellEnd"/>
      <w:r w:rsidR="001B6AC1" w:rsidRPr="001B6AC1">
        <w:t xml:space="preserve"> (</w:t>
      </w:r>
      <w:proofErr w:type="spellStart"/>
      <w:r w:rsidR="001B6AC1" w:rsidRPr="001B6AC1">
        <w:t>recast</w:t>
      </w:r>
      <w:proofErr w:type="spellEnd"/>
      <w:r w:rsidR="001B6AC1" w:rsidRPr="001B6AC1">
        <w:t>)</w:t>
      </w:r>
      <w:r w:rsidR="001B6AC1">
        <w:t xml:space="preserve">, </w:t>
      </w:r>
      <w:r w:rsidR="001B6AC1" w:rsidRPr="001B6AC1">
        <w:t>OJ L 268 12.10.2010, p. 1</w:t>
      </w:r>
      <w:r w:rsidR="001B6AC1">
        <w:t>.</w:t>
      </w:r>
    </w:p>
  </w:footnote>
  <w:footnote w:id="29">
    <w:p w14:paraId="066F5DEB" w14:textId="69CEA7D2" w:rsidR="006F5734" w:rsidRPr="00E81651" w:rsidRDefault="006F5734" w:rsidP="00EC4793">
      <w:pPr>
        <w:spacing w:after="0" w:line="240" w:lineRule="auto"/>
        <w:jc w:val="both"/>
        <w:rPr>
          <w:lang w:val="en-US"/>
        </w:rPr>
      </w:pPr>
      <w:r w:rsidRPr="00E81651">
        <w:rPr>
          <w:rStyle w:val="Appelnotedebasdep"/>
          <w:sz w:val="20"/>
          <w:szCs w:val="20"/>
          <w:lang w:val="en-US"/>
        </w:rPr>
        <w:footnoteRef/>
      </w:r>
      <w:r w:rsidRPr="00E81651">
        <w:rPr>
          <w:sz w:val="20"/>
          <w:szCs w:val="20"/>
          <w:lang w:val="en-US"/>
        </w:rPr>
        <w:t xml:space="preserve"> On political consensus and the limits of unanimity in tax matters, see</w:t>
      </w:r>
      <w:r w:rsidR="00E81651" w:rsidRPr="00E81651">
        <w:rPr>
          <w:sz w:val="20"/>
          <w:szCs w:val="20"/>
          <w:lang w:val="en-US"/>
        </w:rPr>
        <w:t>:</w:t>
      </w:r>
      <w:r w:rsidR="00DE74C0" w:rsidRPr="00E81651">
        <w:rPr>
          <w:sz w:val="20"/>
          <w:szCs w:val="20"/>
          <w:lang w:val="en-US"/>
        </w:rPr>
        <w:t xml:space="preserve"> R. de la Feria, </w:t>
      </w:r>
      <w:r w:rsidR="00DE74C0" w:rsidRPr="00EC4793">
        <w:rPr>
          <w:i/>
          <w:iCs/>
          <w:sz w:val="20"/>
          <w:szCs w:val="20"/>
          <w:lang w:val="en-US"/>
        </w:rPr>
        <w:t>Pillar 2, Fiat, and the EU Unanimity Rule on Tax Matters</w:t>
      </w:r>
      <w:r w:rsidR="00E81651" w:rsidRPr="00E81651">
        <w:rPr>
          <w:sz w:val="20"/>
          <w:szCs w:val="20"/>
          <w:lang w:val="en-US"/>
        </w:rPr>
        <w:t>,</w:t>
      </w:r>
      <w:r w:rsidR="00DE74C0" w:rsidRPr="00E81651">
        <w:rPr>
          <w:sz w:val="20"/>
          <w:szCs w:val="20"/>
          <w:lang w:val="en-US"/>
        </w:rPr>
        <w:t xml:space="preserve"> EC Tax Review </w:t>
      </w:r>
      <w:r w:rsidR="00E81651" w:rsidRPr="00E81651">
        <w:rPr>
          <w:sz w:val="20"/>
          <w:szCs w:val="20"/>
          <w:lang w:val="en-US"/>
        </w:rPr>
        <w:t>(2023), Vol. 32 (</w:t>
      </w:r>
      <w:r w:rsidR="00DE74C0" w:rsidRPr="00E81651">
        <w:rPr>
          <w:sz w:val="20"/>
          <w:szCs w:val="20"/>
          <w:lang w:val="en-US"/>
        </w:rPr>
        <w:t>1</w:t>
      </w:r>
      <w:r w:rsidR="00E81651" w:rsidRPr="00E81651">
        <w:rPr>
          <w:sz w:val="20"/>
          <w:szCs w:val="20"/>
          <w:lang w:val="en-US"/>
        </w:rPr>
        <w:t>)</w:t>
      </w:r>
      <w:r w:rsidR="00DE74C0" w:rsidRPr="00E81651">
        <w:rPr>
          <w:sz w:val="20"/>
          <w:szCs w:val="20"/>
          <w:lang w:val="en-US"/>
        </w:rPr>
        <w:t>,</w:t>
      </w:r>
      <w:r w:rsidR="00E81651" w:rsidRPr="00E81651">
        <w:rPr>
          <w:sz w:val="20"/>
          <w:szCs w:val="20"/>
          <w:lang w:val="en-US"/>
        </w:rPr>
        <w:t xml:space="preserve"> p.</w:t>
      </w:r>
      <w:r w:rsidR="00DE74C0" w:rsidRPr="00E81651">
        <w:rPr>
          <w:sz w:val="20"/>
          <w:szCs w:val="20"/>
          <w:lang w:val="en-US"/>
        </w:rPr>
        <w:t xml:space="preserve"> 2-8</w:t>
      </w:r>
      <w:r w:rsidR="00E81651" w:rsidRPr="00E81651">
        <w:rPr>
          <w:sz w:val="20"/>
          <w:szCs w:val="20"/>
          <w:lang w:val="en-US"/>
        </w:rPr>
        <w:t>, https://doi.org/10.54648/ecta2023001</w:t>
      </w:r>
      <w:r w:rsidR="00DE74C0" w:rsidRPr="00E81651">
        <w:rPr>
          <w:sz w:val="20"/>
          <w:szCs w:val="20"/>
          <w:lang w:val="en-US"/>
        </w:rPr>
        <w:t>.</w:t>
      </w:r>
    </w:p>
  </w:footnote>
  <w:footnote w:id="30">
    <w:p w14:paraId="106ADBF5" w14:textId="1660AFE3" w:rsidR="006F5734" w:rsidRDefault="006F5734" w:rsidP="00EC4793">
      <w:pPr>
        <w:pStyle w:val="Notedebasdepage"/>
        <w:jc w:val="both"/>
      </w:pPr>
      <w:r>
        <w:rPr>
          <w:rStyle w:val="Appelnotedebasdep"/>
        </w:rPr>
        <w:footnoteRef/>
      </w:r>
      <w:r w:rsidR="001B6AC1">
        <w:t xml:space="preserve"> </w:t>
      </w:r>
      <w:r w:rsidR="00E81651">
        <w:t>CJEU (Grand Chambre)</w:t>
      </w:r>
      <w:r w:rsidR="001B6AC1">
        <w:t xml:space="preserve">, 8 </w:t>
      </w:r>
      <w:proofErr w:type="spellStart"/>
      <w:r w:rsidR="001B6AC1">
        <w:t>December</w:t>
      </w:r>
      <w:proofErr w:type="spellEnd"/>
      <w:r w:rsidR="001B6AC1">
        <w:t xml:space="preserve"> 2022,</w:t>
      </w:r>
      <w:r>
        <w:t xml:space="preserve"> </w:t>
      </w:r>
      <w:r w:rsidR="00E81651">
        <w:t>c</w:t>
      </w:r>
      <w:r w:rsidRPr="006F5734">
        <w:t xml:space="preserve">ase C 694/20, </w:t>
      </w:r>
      <w:proofErr w:type="spellStart"/>
      <w:r w:rsidR="001B6AC1" w:rsidRPr="001B6AC1">
        <w:t>Orde</w:t>
      </w:r>
      <w:proofErr w:type="spellEnd"/>
      <w:r w:rsidR="001B6AC1" w:rsidRPr="001B6AC1">
        <w:t xml:space="preserve"> van </w:t>
      </w:r>
      <w:proofErr w:type="spellStart"/>
      <w:r w:rsidR="001B6AC1" w:rsidRPr="001B6AC1">
        <w:t>Vlaamse</w:t>
      </w:r>
      <w:proofErr w:type="spellEnd"/>
      <w:r w:rsidR="001B6AC1" w:rsidRPr="001B6AC1">
        <w:t xml:space="preserve"> </w:t>
      </w:r>
      <w:proofErr w:type="spellStart"/>
      <w:r w:rsidR="001B6AC1" w:rsidRPr="001B6AC1">
        <w:t>Balies</w:t>
      </w:r>
      <w:proofErr w:type="spellEnd"/>
      <w:r w:rsidR="001B6AC1" w:rsidRPr="001B6AC1">
        <w:t xml:space="preserve"> </w:t>
      </w:r>
      <w:r w:rsidR="00E81651">
        <w:t xml:space="preserve">and </w:t>
      </w:r>
      <w:proofErr w:type="spellStart"/>
      <w:r w:rsidR="00E81651">
        <w:t>Others</w:t>
      </w:r>
      <w:proofErr w:type="spellEnd"/>
      <w:r w:rsidR="00E81651">
        <w:t xml:space="preserve"> </w:t>
      </w:r>
      <w:r w:rsidR="00E81651" w:rsidRPr="00E81651">
        <w:t xml:space="preserve">v </w:t>
      </w:r>
      <w:proofErr w:type="spellStart"/>
      <w:r w:rsidR="00E81651" w:rsidRPr="00E81651">
        <w:t>Vlaamse</w:t>
      </w:r>
      <w:proofErr w:type="spellEnd"/>
      <w:r w:rsidR="00E81651" w:rsidRPr="00E81651">
        <w:t xml:space="preserve"> </w:t>
      </w:r>
      <w:proofErr w:type="spellStart"/>
      <w:r w:rsidR="00E81651" w:rsidRPr="00E81651">
        <w:t>Regering</w:t>
      </w:r>
      <w:proofErr w:type="spellEnd"/>
      <w:r w:rsidRPr="006F5734">
        <w:t xml:space="preserve">, </w:t>
      </w:r>
      <w:proofErr w:type="gramStart"/>
      <w:r w:rsidRPr="006F5734">
        <w:t>ECLI:EU:C:2022:</w:t>
      </w:r>
      <w:proofErr w:type="gramEnd"/>
      <w:r w:rsidR="001B6AC1">
        <w:t>963</w:t>
      </w:r>
      <w:r w:rsidRPr="006F5734">
        <w:t xml:space="preserve">, para. </w:t>
      </w:r>
      <w:r w:rsidR="001B6AC1">
        <w:t>59-62</w:t>
      </w:r>
      <w:r w:rsidRPr="006F5734">
        <w:t xml:space="preserve">. The Court </w:t>
      </w:r>
      <w:proofErr w:type="spellStart"/>
      <w:r w:rsidRPr="006F5734">
        <w:t>emphasized</w:t>
      </w:r>
      <w:proofErr w:type="spellEnd"/>
      <w:r w:rsidRPr="006F5734">
        <w:t xml:space="preserve"> </w:t>
      </w:r>
      <w:proofErr w:type="spellStart"/>
      <w:r w:rsidRPr="006F5734">
        <w:t>that</w:t>
      </w:r>
      <w:proofErr w:type="spellEnd"/>
      <w:r w:rsidRPr="006F5734">
        <w:t xml:space="preserve"> DAC6 must </w:t>
      </w:r>
      <w:proofErr w:type="spellStart"/>
      <w:r w:rsidRPr="006F5734">
        <w:t>be</w:t>
      </w:r>
      <w:proofErr w:type="spellEnd"/>
      <w:r w:rsidRPr="006F5734">
        <w:t xml:space="preserve"> </w:t>
      </w:r>
      <w:proofErr w:type="spellStart"/>
      <w:r w:rsidRPr="006F5734">
        <w:t>interpreted</w:t>
      </w:r>
      <w:proofErr w:type="spellEnd"/>
      <w:r w:rsidRPr="006F5734">
        <w:t xml:space="preserve"> in light of Articles 7 and 47 of the Charter</w:t>
      </w:r>
      <w:r w:rsidR="00E81651">
        <w:t xml:space="preserve"> </w:t>
      </w:r>
      <w:r w:rsidR="00E81651" w:rsidRPr="00E81651">
        <w:t>of Fundamental Rights of the European Union</w:t>
      </w:r>
      <w:r w:rsidRPr="006F5734">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CDC56EF"/>
    <w:multiLevelType w:val="multilevel"/>
    <w:tmpl w:val="BBBEF5D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35606ACF"/>
    <w:multiLevelType w:val="multilevel"/>
    <w:tmpl w:val="D090BA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901604337">
    <w:abstractNumId w:val="1"/>
  </w:num>
  <w:num w:numId="2" w16cid:durableId="7447309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trackRevision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93A2B"/>
    <w:rsid w:val="00006462"/>
    <w:rsid w:val="00025BD7"/>
    <w:rsid w:val="00061A1B"/>
    <w:rsid w:val="000A29E2"/>
    <w:rsid w:val="001774E9"/>
    <w:rsid w:val="001A5FED"/>
    <w:rsid w:val="001B6AC1"/>
    <w:rsid w:val="001D421B"/>
    <w:rsid w:val="00293A2B"/>
    <w:rsid w:val="002B11C6"/>
    <w:rsid w:val="00307221"/>
    <w:rsid w:val="00322BBB"/>
    <w:rsid w:val="0039075C"/>
    <w:rsid w:val="003A58E1"/>
    <w:rsid w:val="003D114E"/>
    <w:rsid w:val="004E1AC1"/>
    <w:rsid w:val="005C7C24"/>
    <w:rsid w:val="00653C3A"/>
    <w:rsid w:val="00696027"/>
    <w:rsid w:val="006E16E1"/>
    <w:rsid w:val="006F5734"/>
    <w:rsid w:val="00883372"/>
    <w:rsid w:val="008C26E8"/>
    <w:rsid w:val="008C2E87"/>
    <w:rsid w:val="00977FC1"/>
    <w:rsid w:val="00A01EEC"/>
    <w:rsid w:val="00B659A3"/>
    <w:rsid w:val="00C3304F"/>
    <w:rsid w:val="00C3309B"/>
    <w:rsid w:val="00C46253"/>
    <w:rsid w:val="00D236B8"/>
    <w:rsid w:val="00D26554"/>
    <w:rsid w:val="00D2688F"/>
    <w:rsid w:val="00D75CC9"/>
    <w:rsid w:val="00DE74C0"/>
    <w:rsid w:val="00E334D0"/>
    <w:rsid w:val="00E81651"/>
    <w:rsid w:val="00EC4793"/>
    <w:rsid w:val="00ED4EA8"/>
    <w:rsid w:val="00F00973"/>
    <w:rsid w:val="00F45C64"/>
    <w:rsid w:val="00F505C2"/>
    <w:rsid w:val="00FF3806"/>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6BCC79"/>
  <w15:chartTrackingRefBased/>
  <w15:docId w15:val="{6216B870-DCB9-4A0B-9946-EECAE0A9DD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fr-BE"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B6AC1"/>
    <w:rPr>
      <w:rFonts w:ascii="Times New Roman" w:hAnsi="Times New Roman"/>
    </w:rPr>
  </w:style>
  <w:style w:type="paragraph" w:styleId="Titre1">
    <w:name w:val="heading 1"/>
    <w:basedOn w:val="Normal"/>
    <w:next w:val="Normal"/>
    <w:link w:val="Titre1Car"/>
    <w:uiPriority w:val="9"/>
    <w:qFormat/>
    <w:rsid w:val="001B6AC1"/>
    <w:pPr>
      <w:keepNext/>
      <w:keepLines/>
      <w:spacing w:before="360" w:after="80"/>
      <w:outlineLvl w:val="0"/>
    </w:pPr>
    <w:rPr>
      <w:rFonts w:asciiTheme="majorHAnsi" w:eastAsiaTheme="majorEastAsia" w:hAnsiTheme="majorHAnsi" w:cstheme="majorBidi"/>
      <w:color w:val="000000" w:themeColor="text1"/>
      <w:sz w:val="28"/>
      <w:szCs w:val="40"/>
      <w:u w:val="single"/>
    </w:rPr>
  </w:style>
  <w:style w:type="paragraph" w:styleId="Titre2">
    <w:name w:val="heading 2"/>
    <w:basedOn w:val="Normal"/>
    <w:next w:val="Normal"/>
    <w:link w:val="Titre2Car"/>
    <w:uiPriority w:val="9"/>
    <w:semiHidden/>
    <w:unhideWhenUsed/>
    <w:qFormat/>
    <w:rsid w:val="00293A2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re3">
    <w:name w:val="heading 3"/>
    <w:basedOn w:val="Normal"/>
    <w:next w:val="Normal"/>
    <w:link w:val="Titre3Car"/>
    <w:uiPriority w:val="9"/>
    <w:semiHidden/>
    <w:unhideWhenUsed/>
    <w:qFormat/>
    <w:rsid w:val="00293A2B"/>
    <w:pPr>
      <w:keepNext/>
      <w:keepLines/>
      <w:spacing w:before="160" w:after="80"/>
      <w:outlineLvl w:val="2"/>
    </w:pPr>
    <w:rPr>
      <w:rFonts w:eastAsiaTheme="majorEastAsia" w:cstheme="majorBidi"/>
      <w:color w:val="0F4761" w:themeColor="accent1" w:themeShade="BF"/>
      <w:sz w:val="28"/>
      <w:szCs w:val="28"/>
    </w:rPr>
  </w:style>
  <w:style w:type="paragraph" w:styleId="Titre4">
    <w:name w:val="heading 4"/>
    <w:basedOn w:val="Normal"/>
    <w:next w:val="Normal"/>
    <w:link w:val="Titre4Car"/>
    <w:uiPriority w:val="9"/>
    <w:semiHidden/>
    <w:unhideWhenUsed/>
    <w:qFormat/>
    <w:rsid w:val="00293A2B"/>
    <w:pPr>
      <w:keepNext/>
      <w:keepLines/>
      <w:spacing w:before="80" w:after="40"/>
      <w:outlineLvl w:val="3"/>
    </w:pPr>
    <w:rPr>
      <w:rFonts w:eastAsiaTheme="majorEastAsia" w:cstheme="majorBidi"/>
      <w:i/>
      <w:iCs/>
      <w:color w:val="0F4761" w:themeColor="accent1" w:themeShade="BF"/>
    </w:rPr>
  </w:style>
  <w:style w:type="paragraph" w:styleId="Titre5">
    <w:name w:val="heading 5"/>
    <w:basedOn w:val="Normal"/>
    <w:next w:val="Normal"/>
    <w:link w:val="Titre5Car"/>
    <w:uiPriority w:val="9"/>
    <w:semiHidden/>
    <w:unhideWhenUsed/>
    <w:qFormat/>
    <w:rsid w:val="00293A2B"/>
    <w:pPr>
      <w:keepNext/>
      <w:keepLines/>
      <w:spacing w:before="80" w:after="40"/>
      <w:outlineLvl w:val="4"/>
    </w:pPr>
    <w:rPr>
      <w:rFonts w:eastAsiaTheme="majorEastAsia" w:cstheme="majorBidi"/>
      <w:color w:val="0F4761" w:themeColor="accent1" w:themeShade="BF"/>
    </w:rPr>
  </w:style>
  <w:style w:type="paragraph" w:styleId="Titre6">
    <w:name w:val="heading 6"/>
    <w:basedOn w:val="Normal"/>
    <w:next w:val="Normal"/>
    <w:link w:val="Titre6Car"/>
    <w:uiPriority w:val="9"/>
    <w:semiHidden/>
    <w:unhideWhenUsed/>
    <w:qFormat/>
    <w:rsid w:val="00293A2B"/>
    <w:pPr>
      <w:keepNext/>
      <w:keepLines/>
      <w:spacing w:before="40" w:after="0"/>
      <w:outlineLvl w:val="5"/>
    </w:pPr>
    <w:rPr>
      <w:rFonts w:eastAsiaTheme="majorEastAsia" w:cstheme="majorBidi"/>
      <w:i/>
      <w:iCs/>
      <w:color w:val="595959" w:themeColor="text1" w:themeTint="A6"/>
    </w:rPr>
  </w:style>
  <w:style w:type="paragraph" w:styleId="Titre7">
    <w:name w:val="heading 7"/>
    <w:basedOn w:val="Normal"/>
    <w:next w:val="Normal"/>
    <w:link w:val="Titre7Car"/>
    <w:uiPriority w:val="9"/>
    <w:semiHidden/>
    <w:unhideWhenUsed/>
    <w:qFormat/>
    <w:rsid w:val="00293A2B"/>
    <w:pPr>
      <w:keepNext/>
      <w:keepLines/>
      <w:spacing w:before="40" w:after="0"/>
      <w:outlineLvl w:val="6"/>
    </w:pPr>
    <w:rPr>
      <w:rFonts w:eastAsiaTheme="majorEastAsia" w:cstheme="majorBidi"/>
      <w:color w:val="595959" w:themeColor="text1" w:themeTint="A6"/>
    </w:rPr>
  </w:style>
  <w:style w:type="paragraph" w:styleId="Titre8">
    <w:name w:val="heading 8"/>
    <w:basedOn w:val="Normal"/>
    <w:next w:val="Normal"/>
    <w:link w:val="Titre8Car"/>
    <w:uiPriority w:val="9"/>
    <w:semiHidden/>
    <w:unhideWhenUsed/>
    <w:qFormat/>
    <w:rsid w:val="00293A2B"/>
    <w:pPr>
      <w:keepNext/>
      <w:keepLines/>
      <w:spacing w:after="0"/>
      <w:outlineLvl w:val="7"/>
    </w:pPr>
    <w:rPr>
      <w:rFonts w:eastAsiaTheme="majorEastAsia" w:cstheme="majorBidi"/>
      <w:i/>
      <w:iCs/>
      <w:color w:val="272727" w:themeColor="text1" w:themeTint="D8"/>
    </w:rPr>
  </w:style>
  <w:style w:type="paragraph" w:styleId="Titre9">
    <w:name w:val="heading 9"/>
    <w:basedOn w:val="Normal"/>
    <w:next w:val="Normal"/>
    <w:link w:val="Titre9Car"/>
    <w:uiPriority w:val="9"/>
    <w:semiHidden/>
    <w:unhideWhenUsed/>
    <w:qFormat/>
    <w:rsid w:val="00293A2B"/>
    <w:pPr>
      <w:keepNext/>
      <w:keepLines/>
      <w:spacing w:after="0"/>
      <w:outlineLvl w:val="8"/>
    </w:pPr>
    <w:rPr>
      <w:rFonts w:eastAsiaTheme="majorEastAsia" w:cstheme="majorBidi"/>
      <w:color w:val="272727" w:themeColor="text1" w:themeTint="D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1B6AC1"/>
    <w:rPr>
      <w:rFonts w:asciiTheme="majorHAnsi" w:eastAsiaTheme="majorEastAsia" w:hAnsiTheme="majorHAnsi" w:cstheme="majorBidi"/>
      <w:color w:val="000000" w:themeColor="text1"/>
      <w:sz w:val="28"/>
      <w:szCs w:val="40"/>
      <w:u w:val="single"/>
    </w:rPr>
  </w:style>
  <w:style w:type="character" w:customStyle="1" w:styleId="Titre2Car">
    <w:name w:val="Titre 2 Car"/>
    <w:basedOn w:val="Policepardfaut"/>
    <w:link w:val="Titre2"/>
    <w:uiPriority w:val="9"/>
    <w:semiHidden/>
    <w:rsid w:val="00293A2B"/>
    <w:rPr>
      <w:rFonts w:asciiTheme="majorHAnsi" w:eastAsiaTheme="majorEastAsia" w:hAnsiTheme="majorHAnsi" w:cstheme="majorBidi"/>
      <w:color w:val="0F4761" w:themeColor="accent1" w:themeShade="BF"/>
      <w:sz w:val="32"/>
      <w:szCs w:val="32"/>
    </w:rPr>
  </w:style>
  <w:style w:type="character" w:customStyle="1" w:styleId="Titre3Car">
    <w:name w:val="Titre 3 Car"/>
    <w:basedOn w:val="Policepardfaut"/>
    <w:link w:val="Titre3"/>
    <w:uiPriority w:val="9"/>
    <w:semiHidden/>
    <w:rsid w:val="00293A2B"/>
    <w:rPr>
      <w:rFonts w:eastAsiaTheme="majorEastAsia" w:cstheme="majorBidi"/>
      <w:color w:val="0F4761" w:themeColor="accent1" w:themeShade="BF"/>
      <w:sz w:val="28"/>
      <w:szCs w:val="28"/>
    </w:rPr>
  </w:style>
  <w:style w:type="character" w:customStyle="1" w:styleId="Titre4Car">
    <w:name w:val="Titre 4 Car"/>
    <w:basedOn w:val="Policepardfaut"/>
    <w:link w:val="Titre4"/>
    <w:uiPriority w:val="9"/>
    <w:semiHidden/>
    <w:rsid w:val="00293A2B"/>
    <w:rPr>
      <w:rFonts w:eastAsiaTheme="majorEastAsia" w:cstheme="majorBidi"/>
      <w:i/>
      <w:iCs/>
      <w:color w:val="0F4761" w:themeColor="accent1" w:themeShade="BF"/>
    </w:rPr>
  </w:style>
  <w:style w:type="character" w:customStyle="1" w:styleId="Titre5Car">
    <w:name w:val="Titre 5 Car"/>
    <w:basedOn w:val="Policepardfaut"/>
    <w:link w:val="Titre5"/>
    <w:uiPriority w:val="9"/>
    <w:semiHidden/>
    <w:rsid w:val="00293A2B"/>
    <w:rPr>
      <w:rFonts w:eastAsiaTheme="majorEastAsia" w:cstheme="majorBidi"/>
      <w:color w:val="0F4761" w:themeColor="accent1" w:themeShade="BF"/>
    </w:rPr>
  </w:style>
  <w:style w:type="character" w:customStyle="1" w:styleId="Titre6Car">
    <w:name w:val="Titre 6 Car"/>
    <w:basedOn w:val="Policepardfaut"/>
    <w:link w:val="Titre6"/>
    <w:uiPriority w:val="9"/>
    <w:semiHidden/>
    <w:rsid w:val="00293A2B"/>
    <w:rPr>
      <w:rFonts w:eastAsiaTheme="majorEastAsia" w:cstheme="majorBidi"/>
      <w:i/>
      <w:iCs/>
      <w:color w:val="595959" w:themeColor="text1" w:themeTint="A6"/>
    </w:rPr>
  </w:style>
  <w:style w:type="character" w:customStyle="1" w:styleId="Titre7Car">
    <w:name w:val="Titre 7 Car"/>
    <w:basedOn w:val="Policepardfaut"/>
    <w:link w:val="Titre7"/>
    <w:uiPriority w:val="9"/>
    <w:semiHidden/>
    <w:rsid w:val="00293A2B"/>
    <w:rPr>
      <w:rFonts w:eastAsiaTheme="majorEastAsia" w:cstheme="majorBidi"/>
      <w:color w:val="595959" w:themeColor="text1" w:themeTint="A6"/>
    </w:rPr>
  </w:style>
  <w:style w:type="character" w:customStyle="1" w:styleId="Titre8Car">
    <w:name w:val="Titre 8 Car"/>
    <w:basedOn w:val="Policepardfaut"/>
    <w:link w:val="Titre8"/>
    <w:uiPriority w:val="9"/>
    <w:semiHidden/>
    <w:rsid w:val="00293A2B"/>
    <w:rPr>
      <w:rFonts w:eastAsiaTheme="majorEastAsia" w:cstheme="majorBidi"/>
      <w:i/>
      <w:iCs/>
      <w:color w:val="272727" w:themeColor="text1" w:themeTint="D8"/>
    </w:rPr>
  </w:style>
  <w:style w:type="character" w:customStyle="1" w:styleId="Titre9Car">
    <w:name w:val="Titre 9 Car"/>
    <w:basedOn w:val="Policepardfaut"/>
    <w:link w:val="Titre9"/>
    <w:uiPriority w:val="9"/>
    <w:semiHidden/>
    <w:rsid w:val="00293A2B"/>
    <w:rPr>
      <w:rFonts w:eastAsiaTheme="majorEastAsia" w:cstheme="majorBidi"/>
      <w:color w:val="272727" w:themeColor="text1" w:themeTint="D8"/>
    </w:rPr>
  </w:style>
  <w:style w:type="paragraph" w:styleId="Titre">
    <w:name w:val="Title"/>
    <w:basedOn w:val="Normal"/>
    <w:next w:val="Normal"/>
    <w:link w:val="TitreCar"/>
    <w:uiPriority w:val="10"/>
    <w:qFormat/>
    <w:rsid w:val="00293A2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reCar">
    <w:name w:val="Titre Car"/>
    <w:basedOn w:val="Policepardfaut"/>
    <w:link w:val="Titre"/>
    <w:uiPriority w:val="10"/>
    <w:rsid w:val="00293A2B"/>
    <w:rPr>
      <w:rFonts w:asciiTheme="majorHAnsi" w:eastAsiaTheme="majorEastAsia" w:hAnsiTheme="majorHAnsi" w:cstheme="majorBidi"/>
      <w:spacing w:val="-10"/>
      <w:kern w:val="28"/>
      <w:sz w:val="56"/>
      <w:szCs w:val="56"/>
    </w:rPr>
  </w:style>
  <w:style w:type="paragraph" w:styleId="Sous-titre">
    <w:name w:val="Subtitle"/>
    <w:basedOn w:val="Normal"/>
    <w:next w:val="Normal"/>
    <w:link w:val="Sous-titreCar"/>
    <w:uiPriority w:val="11"/>
    <w:qFormat/>
    <w:rsid w:val="00293A2B"/>
    <w:pPr>
      <w:numPr>
        <w:ilvl w:val="1"/>
      </w:numPr>
    </w:pPr>
    <w:rPr>
      <w:rFonts w:eastAsiaTheme="majorEastAsia" w:cstheme="majorBidi"/>
      <w:color w:val="595959" w:themeColor="text1" w:themeTint="A6"/>
      <w:spacing w:val="15"/>
      <w:sz w:val="28"/>
      <w:szCs w:val="28"/>
    </w:rPr>
  </w:style>
  <w:style w:type="character" w:customStyle="1" w:styleId="Sous-titreCar">
    <w:name w:val="Sous-titre Car"/>
    <w:basedOn w:val="Policepardfaut"/>
    <w:link w:val="Sous-titre"/>
    <w:uiPriority w:val="11"/>
    <w:rsid w:val="00293A2B"/>
    <w:rPr>
      <w:rFonts w:eastAsiaTheme="majorEastAsia" w:cstheme="majorBidi"/>
      <w:color w:val="595959" w:themeColor="text1" w:themeTint="A6"/>
      <w:spacing w:val="15"/>
      <w:sz w:val="28"/>
      <w:szCs w:val="28"/>
    </w:rPr>
  </w:style>
  <w:style w:type="paragraph" w:styleId="Citation">
    <w:name w:val="Quote"/>
    <w:basedOn w:val="Normal"/>
    <w:next w:val="Normal"/>
    <w:link w:val="CitationCar"/>
    <w:uiPriority w:val="29"/>
    <w:qFormat/>
    <w:rsid w:val="00293A2B"/>
    <w:pPr>
      <w:spacing w:before="160"/>
      <w:jc w:val="center"/>
    </w:pPr>
    <w:rPr>
      <w:i/>
      <w:iCs/>
      <w:color w:val="404040" w:themeColor="text1" w:themeTint="BF"/>
    </w:rPr>
  </w:style>
  <w:style w:type="character" w:customStyle="1" w:styleId="CitationCar">
    <w:name w:val="Citation Car"/>
    <w:basedOn w:val="Policepardfaut"/>
    <w:link w:val="Citation"/>
    <w:uiPriority w:val="29"/>
    <w:rsid w:val="00293A2B"/>
    <w:rPr>
      <w:i/>
      <w:iCs/>
      <w:color w:val="404040" w:themeColor="text1" w:themeTint="BF"/>
    </w:rPr>
  </w:style>
  <w:style w:type="paragraph" w:styleId="Paragraphedeliste">
    <w:name w:val="List Paragraph"/>
    <w:basedOn w:val="Normal"/>
    <w:uiPriority w:val="34"/>
    <w:qFormat/>
    <w:rsid w:val="00293A2B"/>
    <w:pPr>
      <w:ind w:left="720"/>
      <w:contextualSpacing/>
    </w:pPr>
  </w:style>
  <w:style w:type="character" w:styleId="Accentuationintense">
    <w:name w:val="Intense Emphasis"/>
    <w:basedOn w:val="Policepardfaut"/>
    <w:uiPriority w:val="21"/>
    <w:qFormat/>
    <w:rsid w:val="00293A2B"/>
    <w:rPr>
      <w:i/>
      <w:iCs/>
      <w:color w:val="0F4761" w:themeColor="accent1" w:themeShade="BF"/>
    </w:rPr>
  </w:style>
  <w:style w:type="paragraph" w:styleId="Citationintense">
    <w:name w:val="Intense Quote"/>
    <w:basedOn w:val="Normal"/>
    <w:next w:val="Normal"/>
    <w:link w:val="CitationintenseCar"/>
    <w:uiPriority w:val="30"/>
    <w:qFormat/>
    <w:rsid w:val="00293A2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tionintenseCar">
    <w:name w:val="Citation intense Car"/>
    <w:basedOn w:val="Policepardfaut"/>
    <w:link w:val="Citationintense"/>
    <w:uiPriority w:val="30"/>
    <w:rsid w:val="00293A2B"/>
    <w:rPr>
      <w:i/>
      <w:iCs/>
      <w:color w:val="0F4761" w:themeColor="accent1" w:themeShade="BF"/>
    </w:rPr>
  </w:style>
  <w:style w:type="character" w:styleId="Rfrenceintense">
    <w:name w:val="Intense Reference"/>
    <w:basedOn w:val="Policepardfaut"/>
    <w:uiPriority w:val="32"/>
    <w:qFormat/>
    <w:rsid w:val="00293A2B"/>
    <w:rPr>
      <w:b/>
      <w:bCs/>
      <w:smallCaps/>
      <w:color w:val="0F4761" w:themeColor="accent1" w:themeShade="BF"/>
      <w:spacing w:val="5"/>
    </w:rPr>
  </w:style>
  <w:style w:type="paragraph" w:styleId="Notedebasdepage">
    <w:name w:val="footnote text"/>
    <w:aliases w:val=" Char1,Char1,Char1 Char"/>
    <w:basedOn w:val="Normal"/>
    <w:link w:val="NotedebasdepageCar"/>
    <w:uiPriority w:val="99"/>
    <w:unhideWhenUsed/>
    <w:rsid w:val="00653C3A"/>
    <w:pPr>
      <w:spacing w:after="0" w:line="240" w:lineRule="auto"/>
    </w:pPr>
    <w:rPr>
      <w:sz w:val="20"/>
      <w:szCs w:val="20"/>
    </w:rPr>
  </w:style>
  <w:style w:type="character" w:customStyle="1" w:styleId="NotedebasdepageCar">
    <w:name w:val="Note de bas de page Car"/>
    <w:aliases w:val=" Char1 Car,Char1 Car,Char1 Char Car"/>
    <w:basedOn w:val="Policepardfaut"/>
    <w:link w:val="Notedebasdepage"/>
    <w:uiPriority w:val="99"/>
    <w:rsid w:val="00653C3A"/>
    <w:rPr>
      <w:sz w:val="20"/>
      <w:szCs w:val="20"/>
    </w:rPr>
  </w:style>
  <w:style w:type="character" w:styleId="Appelnotedebasdep">
    <w:name w:val="footnote reference"/>
    <w:aliases w:val="BVI fnr"/>
    <w:basedOn w:val="Policepardfaut"/>
    <w:uiPriority w:val="99"/>
    <w:unhideWhenUsed/>
    <w:rsid w:val="00653C3A"/>
    <w:rPr>
      <w:vertAlign w:val="superscript"/>
    </w:rPr>
  </w:style>
  <w:style w:type="character" w:styleId="Lienhypertexte">
    <w:name w:val="Hyperlink"/>
    <w:basedOn w:val="Policepardfaut"/>
    <w:uiPriority w:val="99"/>
    <w:unhideWhenUsed/>
    <w:rsid w:val="00977FC1"/>
    <w:rPr>
      <w:color w:val="467886" w:themeColor="hyperlink"/>
      <w:u w:val="single"/>
    </w:rPr>
  </w:style>
  <w:style w:type="character" w:styleId="Mentionnonrsolue">
    <w:name w:val="Unresolved Mention"/>
    <w:basedOn w:val="Policepardfaut"/>
    <w:uiPriority w:val="99"/>
    <w:semiHidden/>
    <w:unhideWhenUsed/>
    <w:rsid w:val="00977FC1"/>
    <w:rPr>
      <w:color w:val="605E5C"/>
      <w:shd w:val="clear" w:color="auto" w:fill="E1DFDD"/>
    </w:rPr>
  </w:style>
  <w:style w:type="paragraph" w:styleId="Rvision">
    <w:name w:val="Revision"/>
    <w:hidden/>
    <w:uiPriority w:val="99"/>
    <w:semiHidden/>
    <w:rsid w:val="001A5FED"/>
    <w:pPr>
      <w:spacing w:after="0" w:line="240" w:lineRule="auto"/>
    </w:pPr>
    <w:rPr>
      <w:rFonts w:ascii="Times New Roman" w:hAnsi="Times New Roman"/>
    </w:rPr>
  </w:style>
  <w:style w:type="character" w:styleId="Lienhypertextesuivivisit">
    <w:name w:val="FollowedHyperlink"/>
    <w:basedOn w:val="Policepardfaut"/>
    <w:uiPriority w:val="99"/>
    <w:semiHidden/>
    <w:unhideWhenUsed/>
    <w:rsid w:val="001A5FED"/>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84469062">
      <w:bodyDiv w:val="1"/>
      <w:marLeft w:val="0"/>
      <w:marRight w:val="0"/>
      <w:marTop w:val="0"/>
      <w:marBottom w:val="0"/>
      <w:divBdr>
        <w:top w:val="none" w:sz="0" w:space="0" w:color="auto"/>
        <w:left w:val="none" w:sz="0" w:space="0" w:color="auto"/>
        <w:bottom w:val="none" w:sz="0" w:space="0" w:color="auto"/>
        <w:right w:val="none" w:sz="0" w:space="0" w:color="auto"/>
      </w:divBdr>
    </w:div>
    <w:div w:id="532350280">
      <w:bodyDiv w:val="1"/>
      <w:marLeft w:val="0"/>
      <w:marRight w:val="0"/>
      <w:marTop w:val="0"/>
      <w:marBottom w:val="0"/>
      <w:divBdr>
        <w:top w:val="none" w:sz="0" w:space="0" w:color="auto"/>
        <w:left w:val="none" w:sz="0" w:space="0" w:color="auto"/>
        <w:bottom w:val="none" w:sz="0" w:space="0" w:color="auto"/>
        <w:right w:val="none" w:sz="0" w:space="0" w:color="auto"/>
      </w:divBdr>
    </w:div>
    <w:div w:id="644043965">
      <w:bodyDiv w:val="1"/>
      <w:marLeft w:val="0"/>
      <w:marRight w:val="0"/>
      <w:marTop w:val="0"/>
      <w:marBottom w:val="0"/>
      <w:divBdr>
        <w:top w:val="none" w:sz="0" w:space="0" w:color="auto"/>
        <w:left w:val="none" w:sz="0" w:space="0" w:color="auto"/>
        <w:bottom w:val="none" w:sz="0" w:space="0" w:color="auto"/>
        <w:right w:val="none" w:sz="0" w:space="0" w:color="auto"/>
      </w:divBdr>
    </w:div>
    <w:div w:id="814880622">
      <w:bodyDiv w:val="1"/>
      <w:marLeft w:val="0"/>
      <w:marRight w:val="0"/>
      <w:marTop w:val="0"/>
      <w:marBottom w:val="0"/>
      <w:divBdr>
        <w:top w:val="none" w:sz="0" w:space="0" w:color="auto"/>
        <w:left w:val="none" w:sz="0" w:space="0" w:color="auto"/>
        <w:bottom w:val="none" w:sz="0" w:space="0" w:color="auto"/>
        <w:right w:val="none" w:sz="0" w:space="0" w:color="auto"/>
      </w:divBdr>
    </w:div>
    <w:div w:id="848374482">
      <w:bodyDiv w:val="1"/>
      <w:marLeft w:val="0"/>
      <w:marRight w:val="0"/>
      <w:marTop w:val="0"/>
      <w:marBottom w:val="0"/>
      <w:divBdr>
        <w:top w:val="none" w:sz="0" w:space="0" w:color="auto"/>
        <w:left w:val="none" w:sz="0" w:space="0" w:color="auto"/>
        <w:bottom w:val="none" w:sz="0" w:space="0" w:color="auto"/>
        <w:right w:val="none" w:sz="0" w:space="0" w:color="auto"/>
      </w:divBdr>
    </w:div>
    <w:div w:id="1150943349">
      <w:bodyDiv w:val="1"/>
      <w:marLeft w:val="0"/>
      <w:marRight w:val="0"/>
      <w:marTop w:val="0"/>
      <w:marBottom w:val="0"/>
      <w:divBdr>
        <w:top w:val="none" w:sz="0" w:space="0" w:color="auto"/>
        <w:left w:val="none" w:sz="0" w:space="0" w:color="auto"/>
        <w:bottom w:val="none" w:sz="0" w:space="0" w:color="auto"/>
        <w:right w:val="none" w:sz="0" w:space="0" w:color="auto"/>
      </w:divBdr>
    </w:div>
    <w:div w:id="1352797568">
      <w:bodyDiv w:val="1"/>
      <w:marLeft w:val="0"/>
      <w:marRight w:val="0"/>
      <w:marTop w:val="0"/>
      <w:marBottom w:val="0"/>
      <w:divBdr>
        <w:top w:val="none" w:sz="0" w:space="0" w:color="auto"/>
        <w:left w:val="none" w:sz="0" w:space="0" w:color="auto"/>
        <w:bottom w:val="none" w:sz="0" w:space="0" w:color="auto"/>
        <w:right w:val="none" w:sz="0" w:space="0" w:color="auto"/>
      </w:divBdr>
    </w:div>
    <w:div w:id="1697464743">
      <w:bodyDiv w:val="1"/>
      <w:marLeft w:val="0"/>
      <w:marRight w:val="0"/>
      <w:marTop w:val="0"/>
      <w:marBottom w:val="0"/>
      <w:divBdr>
        <w:top w:val="none" w:sz="0" w:space="0" w:color="auto"/>
        <w:left w:val="none" w:sz="0" w:space="0" w:color="auto"/>
        <w:bottom w:val="none" w:sz="0" w:space="0" w:color="auto"/>
        <w:right w:val="none" w:sz="0" w:space="0" w:color="auto"/>
      </w:divBdr>
    </w:div>
    <w:div w:id="1746100167">
      <w:bodyDiv w:val="1"/>
      <w:marLeft w:val="0"/>
      <w:marRight w:val="0"/>
      <w:marTop w:val="0"/>
      <w:marBottom w:val="0"/>
      <w:divBdr>
        <w:top w:val="none" w:sz="0" w:space="0" w:color="auto"/>
        <w:left w:val="none" w:sz="0" w:space="0" w:color="auto"/>
        <w:bottom w:val="none" w:sz="0" w:space="0" w:color="auto"/>
        <w:right w:val="none" w:sz="0" w:space="0" w:color="auto"/>
      </w:divBdr>
    </w:div>
    <w:div w:id="1855413081">
      <w:bodyDiv w:val="1"/>
      <w:marLeft w:val="0"/>
      <w:marRight w:val="0"/>
      <w:marTop w:val="0"/>
      <w:marBottom w:val="0"/>
      <w:divBdr>
        <w:top w:val="none" w:sz="0" w:space="0" w:color="auto"/>
        <w:left w:val="none" w:sz="0" w:space="0" w:color="auto"/>
        <w:bottom w:val="none" w:sz="0" w:space="0" w:color="auto"/>
        <w:right w:val="none" w:sz="0" w:space="0" w:color="auto"/>
      </w:divBdr>
    </w:div>
    <w:div w:id="21398387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_rels/footnotes.xml.rels><?xml version="1.0" encoding="UTF-8" standalone="yes"?>
<Relationships xmlns="http://schemas.openxmlformats.org/package/2006/relationships"><Relationship Id="rId2" Type="http://schemas.openxmlformats.org/officeDocument/2006/relationships/hyperlink" Target="http://dx.doi.org/10.2139/ssrn.5029551" TargetMode="External"/><Relationship Id="rId1" Type="http://schemas.openxmlformats.org/officeDocument/2006/relationships/hyperlink" Target="https://doi.org/10.54648/ECTA2023027"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79E079B-4305-4CEE-B5DD-28C0047DAA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8</Pages>
  <Words>2920</Words>
  <Characters>16064</Characters>
  <Application>Microsoft Office Word</Application>
  <DocSecurity>0</DocSecurity>
  <Lines>133</Lines>
  <Paragraphs>37</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18947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Edoardo Traversa</dc:creator>
  <cp:keywords/>
  <dc:description/>
  <cp:lastModifiedBy>Edoardo Traversa</cp:lastModifiedBy>
  <cp:revision>2</cp:revision>
  <dcterms:created xsi:type="dcterms:W3CDTF">2025-07-17T15:29:00Z</dcterms:created>
  <dcterms:modified xsi:type="dcterms:W3CDTF">2025-07-17T15:29:00Z</dcterms:modified>
</cp:coreProperties>
</file>