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1AFD1" w14:textId="77777777" w:rsidR="00C22485" w:rsidRDefault="00C22485" w:rsidP="00C22485">
      <w:pPr>
        <w:spacing w:after="24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PALIMPSEST OF DESTRUCTION AND REUSE. NEW CHRONOLOGICAL INSIGHTS FROM THE DOUBLE VASES AND LINEAR B TABLETS FROM THE NORTHERN ENTRANCE PASSAGE OF THE PALACE OF KNOSSOS</w:t>
      </w:r>
    </w:p>
    <w:p w14:paraId="0A12CAAF" w14:textId="77777777" w:rsidR="00C22485" w:rsidRPr="00CA32C0" w:rsidRDefault="00C22485" w:rsidP="00C2248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A32C0">
        <w:rPr>
          <w:rFonts w:ascii="Times New Roman" w:hAnsi="Times New Roman" w:cs="Times New Roman"/>
          <w:sz w:val="24"/>
          <w:szCs w:val="24"/>
        </w:rPr>
        <w:t>Charlotte Langohr</w:t>
      </w:r>
      <w:r w:rsidRPr="00CA32C0">
        <w:rPr>
          <w:rFonts w:ascii="Times New Roman" w:hAnsi="Times New Roman" w:cs="Times New Roman"/>
          <w:sz w:val="24"/>
          <w:szCs w:val="24"/>
          <w:vertAlign w:val="superscript"/>
        </w:rPr>
        <w:t>1, 2</w:t>
      </w:r>
      <w:r w:rsidRPr="00CA32C0">
        <w:rPr>
          <w:rFonts w:ascii="Times New Roman" w:hAnsi="Times New Roman" w:cs="Times New Roman"/>
          <w:sz w:val="24"/>
          <w:szCs w:val="24"/>
        </w:rPr>
        <w:t xml:space="preserve"> and Ophélie Mouthuy</w:t>
      </w:r>
      <w:r w:rsidRPr="00CA32C0">
        <w:rPr>
          <w:rFonts w:ascii="Times New Roman" w:hAnsi="Times New Roman" w:cs="Times New Roman"/>
          <w:sz w:val="24"/>
          <w:szCs w:val="24"/>
          <w:vertAlign w:val="superscript"/>
        </w:rPr>
        <w:t>1, 2</w:t>
      </w:r>
    </w:p>
    <w:p w14:paraId="0DF64251" w14:textId="77777777" w:rsidR="00C22485" w:rsidRPr="00CA32C0" w:rsidRDefault="00C22485" w:rsidP="00C22485">
      <w:pPr>
        <w:spacing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A32C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CA32C0">
        <w:rPr>
          <w:rFonts w:ascii="Times New Roman" w:hAnsi="Times New Roman" w:cs="Times New Roman"/>
          <w:sz w:val="24"/>
          <w:szCs w:val="24"/>
        </w:rPr>
        <w:t>The Fund for Scientific Research-</w:t>
      </w:r>
      <w:r w:rsidRPr="00CA32C0">
        <w:rPr>
          <w:rFonts w:ascii="Times New Roman" w:hAnsi="Times New Roman" w:cs="Times New Roman"/>
          <w:i/>
          <w:iCs/>
          <w:sz w:val="24"/>
          <w:szCs w:val="24"/>
        </w:rPr>
        <w:t>FNRS</w:t>
      </w:r>
    </w:p>
    <w:p w14:paraId="3B5ACD61" w14:textId="77777777" w:rsidR="00C22485" w:rsidRPr="00CA32C0" w:rsidRDefault="00C22485" w:rsidP="00C2248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A32C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A32C0">
        <w:rPr>
          <w:rFonts w:ascii="Times New Roman" w:hAnsi="Times New Roman" w:cs="Times New Roman"/>
          <w:sz w:val="24"/>
          <w:szCs w:val="24"/>
        </w:rPr>
        <w:t>UCLouvain</w:t>
      </w:r>
      <w:r>
        <w:rPr>
          <w:rFonts w:ascii="Times New Roman" w:hAnsi="Times New Roman" w:cs="Times New Roman"/>
          <w:sz w:val="24"/>
          <w:szCs w:val="24"/>
        </w:rPr>
        <w:t xml:space="preserve"> (Aegis/INCAL)</w:t>
      </w:r>
      <w:r w:rsidRPr="00CA32C0">
        <w:rPr>
          <w:rFonts w:ascii="Times New Roman" w:hAnsi="Times New Roman" w:cs="Times New Roman"/>
          <w:sz w:val="24"/>
          <w:szCs w:val="24"/>
        </w:rPr>
        <w:t>, Belgium</w:t>
      </w:r>
    </w:p>
    <w:p w14:paraId="2585E5AC" w14:textId="77777777" w:rsidR="00C22485" w:rsidRDefault="00C22485" w:rsidP="00C224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C8AC63" w14:textId="77777777" w:rsidR="00C22485" w:rsidRDefault="00C22485" w:rsidP="00C22485">
      <w:pPr>
        <w:spacing w:line="240" w:lineRule="auto"/>
        <w:jc w:val="both"/>
        <w:rPr>
          <w:rFonts w:ascii="Times New Roman" w:hAnsi="Times New Roman" w:cs="Times New Roman"/>
          <w:i/>
          <w:iCs/>
          <w:lang w:val="en-US"/>
        </w:rPr>
      </w:pPr>
      <w:r w:rsidRPr="00167A18">
        <w:rPr>
          <w:rFonts w:ascii="Times New Roman" w:hAnsi="Times New Roman" w:cs="Times New Roman"/>
          <w:i/>
          <w:iCs/>
          <w:lang w:val="en-US"/>
        </w:rPr>
        <w:t>The long-standing debate in Aegean archaeology concerning the date of the major fire destruction of the Palace of Knossos</w:t>
      </w:r>
      <w:r>
        <w:rPr>
          <w:rFonts w:ascii="Times New Roman" w:hAnsi="Times New Roman" w:cs="Times New Roman"/>
          <w:i/>
          <w:iCs/>
          <w:lang w:val="en-US"/>
        </w:rPr>
        <w:t xml:space="preserve"> – </w:t>
      </w:r>
      <w:r w:rsidRPr="00167A18">
        <w:rPr>
          <w:rFonts w:ascii="Times New Roman" w:hAnsi="Times New Roman" w:cs="Times New Roman"/>
          <w:i/>
          <w:iCs/>
          <w:lang w:val="en-US"/>
        </w:rPr>
        <w:t xml:space="preserve">and thus the chronological framework of </w:t>
      </w:r>
      <w:r>
        <w:rPr>
          <w:rFonts w:ascii="Times New Roman" w:hAnsi="Times New Roman" w:cs="Times New Roman"/>
          <w:i/>
          <w:iCs/>
          <w:lang w:val="en-US"/>
        </w:rPr>
        <w:t xml:space="preserve">the </w:t>
      </w:r>
      <w:r w:rsidRPr="00167A18">
        <w:rPr>
          <w:rFonts w:ascii="Times New Roman" w:hAnsi="Times New Roman" w:cs="Times New Roman"/>
          <w:i/>
          <w:iCs/>
        </w:rPr>
        <w:t>centrali</w:t>
      </w:r>
      <w:r>
        <w:rPr>
          <w:rFonts w:ascii="Times New Roman" w:hAnsi="Times New Roman" w:cs="Times New Roman"/>
          <w:i/>
          <w:iCs/>
        </w:rPr>
        <w:t>s</w:t>
      </w:r>
      <w:r w:rsidRPr="00167A18">
        <w:rPr>
          <w:rFonts w:ascii="Times New Roman" w:hAnsi="Times New Roman" w:cs="Times New Roman"/>
          <w:i/>
          <w:iCs/>
        </w:rPr>
        <w:t xml:space="preserve">ed administration documented in the Linear B </w:t>
      </w:r>
      <w:r>
        <w:rPr>
          <w:rFonts w:ascii="Times New Roman" w:hAnsi="Times New Roman" w:cs="Times New Roman"/>
          <w:i/>
          <w:iCs/>
        </w:rPr>
        <w:t xml:space="preserve">clay tablets preserved </w:t>
      </w:r>
      <w:r w:rsidRPr="00167A18">
        <w:rPr>
          <w:rFonts w:ascii="Times New Roman" w:hAnsi="Times New Roman" w:cs="Times New Roman"/>
          <w:i/>
          <w:iCs/>
          <w:lang w:val="en-US"/>
        </w:rPr>
        <w:t>by that conflagration</w:t>
      </w:r>
      <w:r>
        <w:rPr>
          <w:rFonts w:ascii="Times New Roman" w:hAnsi="Times New Roman" w:cs="Times New Roman"/>
          <w:i/>
          <w:iCs/>
          <w:lang w:val="en-US"/>
        </w:rPr>
        <w:t xml:space="preserve"> – </w:t>
      </w:r>
      <w:r w:rsidRPr="00167A18">
        <w:rPr>
          <w:rFonts w:ascii="Times New Roman" w:hAnsi="Times New Roman" w:cs="Times New Roman"/>
          <w:i/>
          <w:iCs/>
          <w:lang w:val="en-US"/>
        </w:rPr>
        <w:t>is here reassessed through a focused study of the Northern Entrance Passage (NEP). This area yielded a major concentration of Linear B tablets associated with approximately forty intact ceramic double vases.</w:t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167A18">
        <w:rPr>
          <w:rFonts w:ascii="Times New Roman" w:hAnsi="Times New Roman" w:cs="Times New Roman"/>
          <w:i/>
          <w:iCs/>
          <w:lang w:val="en-US"/>
        </w:rPr>
        <w:t xml:space="preserve">A re-examination of this ceramic assemblage, addressing both chronology and taphonomy, clarifies its relationship with the tablets and the stratigraphic context of the NEP archive. </w:t>
      </w:r>
      <w:r w:rsidRPr="00167A18">
        <w:rPr>
          <w:rFonts w:ascii="Times New Roman" w:hAnsi="Times New Roman" w:cs="Times New Roman"/>
          <w:i/>
          <w:iCs/>
        </w:rPr>
        <w:t>Building upon the recent</w:t>
      </w:r>
      <w:r>
        <w:rPr>
          <w:rFonts w:ascii="Times New Roman" w:hAnsi="Times New Roman" w:cs="Times New Roman"/>
          <w:i/>
          <w:iCs/>
        </w:rPr>
        <w:t>,</w:t>
      </w:r>
      <w:r w:rsidRPr="00167A18">
        <w:rPr>
          <w:rFonts w:ascii="Times New Roman" w:hAnsi="Times New Roman" w:cs="Times New Roman"/>
          <w:i/>
          <w:iCs/>
        </w:rPr>
        <w:t xml:space="preserve"> in-depth reassessment of the tablets deposit from the NEP</w:t>
      </w:r>
      <w:r>
        <w:rPr>
          <w:rFonts w:ascii="Times New Roman" w:hAnsi="Times New Roman" w:cs="Times New Roman"/>
          <w:i/>
          <w:iCs/>
        </w:rPr>
        <w:t xml:space="preserve"> and </w:t>
      </w:r>
      <w:r w:rsidRPr="00167A18">
        <w:rPr>
          <w:rFonts w:ascii="Times New Roman" w:hAnsi="Times New Roman" w:cs="Times New Roman"/>
          <w:i/>
          <w:iCs/>
        </w:rPr>
        <w:t>integrating architectural, stratigraphic, and textual evidence</w:t>
      </w:r>
      <w:r w:rsidRPr="00167A18">
        <w:rPr>
          <w:rFonts w:ascii="Times New Roman" w:hAnsi="Times New Roman" w:cs="Times New Roman"/>
          <w:i/>
          <w:iCs/>
          <w:lang w:val="en-US"/>
        </w:rPr>
        <w:t xml:space="preserve">, the study of eleven previously unpublished double vases </w:t>
      </w:r>
      <w:r>
        <w:rPr>
          <w:rFonts w:ascii="Times New Roman" w:hAnsi="Times New Roman" w:cs="Times New Roman"/>
          <w:i/>
          <w:iCs/>
          <w:lang w:val="en-US"/>
        </w:rPr>
        <w:t xml:space="preserve">conserved </w:t>
      </w:r>
      <w:r w:rsidRPr="00167A18">
        <w:rPr>
          <w:rFonts w:ascii="Times New Roman" w:hAnsi="Times New Roman" w:cs="Times New Roman"/>
          <w:i/>
          <w:iCs/>
          <w:lang w:val="en-US"/>
        </w:rPr>
        <w:t xml:space="preserve">in the Heraklion Archaeological Museum resolves </w:t>
      </w:r>
      <w:r w:rsidRPr="00CA7E36">
        <w:rPr>
          <w:rFonts w:ascii="Times New Roman" w:hAnsi="Times New Roman" w:cs="Times New Roman"/>
          <w:i/>
          <w:iCs/>
        </w:rPr>
        <w:t xml:space="preserve">the apparent discrepancy between the ceramic and textual evidence </w:t>
      </w:r>
      <w:proofErr w:type="gramStart"/>
      <w:r w:rsidRPr="00CA7E36">
        <w:rPr>
          <w:rFonts w:ascii="Times New Roman" w:hAnsi="Times New Roman" w:cs="Times New Roman"/>
          <w:i/>
          <w:iCs/>
        </w:rPr>
        <w:t>with regard to</w:t>
      </w:r>
      <w:proofErr w:type="gramEnd"/>
      <w:r w:rsidRPr="00CA7E36">
        <w:rPr>
          <w:rFonts w:ascii="Times New Roman" w:hAnsi="Times New Roman" w:cs="Times New Roman"/>
          <w:i/>
          <w:iCs/>
        </w:rPr>
        <w:t xml:space="preserve"> physical condition and spatial distribution</w:t>
      </w:r>
      <w:r w:rsidRPr="00167A18">
        <w:rPr>
          <w:rFonts w:ascii="Times New Roman" w:hAnsi="Times New Roman" w:cs="Times New Roman"/>
          <w:i/>
          <w:iCs/>
          <w:lang w:val="en-US"/>
        </w:rPr>
        <w:t xml:space="preserve">. The vases indicate </w:t>
      </w:r>
      <w:r>
        <w:rPr>
          <w:rFonts w:ascii="Times New Roman" w:hAnsi="Times New Roman" w:cs="Times New Roman"/>
          <w:i/>
          <w:iCs/>
          <w:lang w:val="en-US"/>
        </w:rPr>
        <w:t xml:space="preserve">a </w:t>
      </w:r>
      <w:r w:rsidRPr="00167A18">
        <w:rPr>
          <w:rFonts w:ascii="Times New Roman" w:hAnsi="Times New Roman" w:cs="Times New Roman"/>
          <w:i/>
          <w:iCs/>
          <w:lang w:val="en-US"/>
        </w:rPr>
        <w:t>continued use of th</w:t>
      </w:r>
      <w:r>
        <w:rPr>
          <w:rFonts w:ascii="Times New Roman" w:hAnsi="Times New Roman" w:cs="Times New Roman"/>
          <w:i/>
          <w:iCs/>
          <w:lang w:val="en-US"/>
        </w:rPr>
        <w:t xml:space="preserve">is area of the Palace </w:t>
      </w:r>
      <w:r w:rsidRPr="00167A18">
        <w:rPr>
          <w:rFonts w:ascii="Times New Roman" w:hAnsi="Times New Roman" w:cs="Times New Roman"/>
          <w:i/>
          <w:iCs/>
          <w:lang w:val="en-US"/>
        </w:rPr>
        <w:t>into LM IIIB, representing its final phase of activity, whereas the tablets reflect an earlier LM IIIA2 administrative horizon that was secondarily incorporated into a later deposit.</w:t>
      </w:r>
    </w:p>
    <w:p w14:paraId="63315690" w14:textId="77777777" w:rsidR="00995A2E" w:rsidRPr="00C22485" w:rsidRDefault="00995A2E">
      <w:pPr>
        <w:rPr>
          <w:lang w:val="en-US"/>
        </w:rPr>
      </w:pPr>
    </w:p>
    <w:sectPr w:rsidR="00995A2E" w:rsidRPr="00C224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85"/>
    <w:rsid w:val="000C6171"/>
    <w:rsid w:val="003B70F0"/>
    <w:rsid w:val="00995A2E"/>
    <w:rsid w:val="009974B2"/>
    <w:rsid w:val="009F4FEB"/>
    <w:rsid w:val="00A82F6C"/>
    <w:rsid w:val="00B1219D"/>
    <w:rsid w:val="00C22485"/>
    <w:rsid w:val="00D94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A6C45"/>
  <w15:chartTrackingRefBased/>
  <w15:docId w15:val="{55416C75-E955-459E-B003-1025D4924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485"/>
    <w:pPr>
      <w:spacing w:line="259" w:lineRule="auto"/>
    </w:pPr>
    <w:rPr>
      <w:rFonts w:ascii="Calibri" w:eastAsia="Calibri" w:hAnsi="Calibri" w:cs="Calibri"/>
      <w:kern w:val="0"/>
      <w:sz w:val="22"/>
      <w:szCs w:val="22"/>
      <w:lang w:val="en-GB" w:eastAsia="fr-FR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C224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fr-FR" w:eastAsia="en-US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224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fr-FR" w:eastAsia="en-US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224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fr-FR" w:eastAsia="en-US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224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224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2248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fr-FR" w:eastAsia="en-US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2248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fr-FR" w:eastAsia="en-US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2248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fr-FR" w:eastAsia="en-US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2248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fr-FR" w:eastAsia="en-US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224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C224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C224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C2248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C2248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C2248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C2248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C2248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C2248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C224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fr-FR" w:eastAsia="en-US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C224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22485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fr-FR" w:eastAsia="en-US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C224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C22485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fr-FR" w:eastAsia="en-US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C2248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C22485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fr-FR" w:eastAsia="en-US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C2248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224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fr-FR" w:eastAsia="en-US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2248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C224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1342</Characters>
  <Application>Microsoft Office Word</Application>
  <DocSecurity>0</DocSecurity>
  <Lines>11</Lines>
  <Paragraphs>3</Paragraphs>
  <ScaleCrop>false</ScaleCrop>
  <Company>UCLouvain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Langohr</dc:creator>
  <cp:keywords/>
  <dc:description/>
  <cp:lastModifiedBy>Charlotte Langohr</cp:lastModifiedBy>
  <cp:revision>1</cp:revision>
  <dcterms:created xsi:type="dcterms:W3CDTF">2026-07-02T09:18:00Z</dcterms:created>
  <dcterms:modified xsi:type="dcterms:W3CDTF">2026-07-02T09:18:00Z</dcterms:modified>
</cp:coreProperties>
</file>