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E80B2" w14:textId="77777777" w:rsidR="00DA3014" w:rsidRPr="00DA3014" w:rsidRDefault="00DA3014" w:rsidP="00D12FD8">
      <w:pPr>
        <w:tabs>
          <w:tab w:val="left" w:pos="2268"/>
          <w:tab w:val="left" w:pos="6487"/>
        </w:tabs>
        <w:ind w:right="-1"/>
        <w:jc w:val="both"/>
        <w:rPr>
          <w:rFonts w:ascii="Times New Roman" w:hAnsi="Times New Roman" w:cs="Times New Roman"/>
          <w:b/>
          <w:i/>
          <w:iCs/>
          <w:sz w:val="24"/>
          <w:szCs w:val="24"/>
        </w:rPr>
      </w:pPr>
      <w:r w:rsidRPr="00DA3014">
        <w:rPr>
          <w:rFonts w:ascii="Times New Roman" w:hAnsi="Times New Roman" w:cs="Times New Roman"/>
          <w:b/>
          <w:i/>
          <w:iCs/>
          <w:sz w:val="24"/>
          <w:szCs w:val="24"/>
        </w:rPr>
        <w:t>Note sous Liège (14e chambre), 04/06/2015</w:t>
      </w:r>
    </w:p>
    <w:p w14:paraId="02C41465" w14:textId="77777777" w:rsidR="00DA3014" w:rsidRDefault="00DA3014" w:rsidP="00D12FD8">
      <w:pPr>
        <w:tabs>
          <w:tab w:val="left" w:pos="2268"/>
          <w:tab w:val="left" w:pos="6487"/>
        </w:tabs>
        <w:ind w:right="-1"/>
        <w:jc w:val="both"/>
        <w:rPr>
          <w:rFonts w:ascii="Times New Roman" w:hAnsi="Times New Roman" w:cs="Times New Roman"/>
          <w:b/>
          <w:sz w:val="24"/>
          <w:szCs w:val="24"/>
        </w:rPr>
      </w:pPr>
    </w:p>
    <w:p w14:paraId="31C5F1EE" w14:textId="7B1C2BAA" w:rsidR="00DD4777" w:rsidRDefault="00481F99" w:rsidP="00D12FD8">
      <w:pPr>
        <w:tabs>
          <w:tab w:val="left" w:pos="2268"/>
          <w:tab w:val="left" w:pos="6487"/>
        </w:tabs>
        <w:ind w:right="-1"/>
        <w:jc w:val="both"/>
        <w:rPr>
          <w:rFonts w:ascii="Times New Roman" w:hAnsi="Times New Roman" w:cs="Times New Roman"/>
          <w:b/>
          <w:sz w:val="24"/>
          <w:szCs w:val="24"/>
        </w:rPr>
      </w:pPr>
      <w:r w:rsidRPr="0089482B">
        <w:rPr>
          <w:rFonts w:ascii="Times New Roman" w:hAnsi="Times New Roman" w:cs="Times New Roman"/>
          <w:b/>
          <w:sz w:val="24"/>
          <w:szCs w:val="24"/>
        </w:rPr>
        <w:t>Quel contenu donner au droit belge déclaré applicable à un contrat d’agence commerciale exécuté à l ’étranger ?</w:t>
      </w:r>
    </w:p>
    <w:p w14:paraId="3A88CFCA" w14:textId="77777777" w:rsidR="005F5F43" w:rsidRPr="0089482B" w:rsidRDefault="005F5F43" w:rsidP="00D12FD8">
      <w:pPr>
        <w:tabs>
          <w:tab w:val="left" w:pos="2268"/>
          <w:tab w:val="left" w:pos="6487"/>
        </w:tabs>
        <w:ind w:right="-1"/>
        <w:jc w:val="both"/>
        <w:rPr>
          <w:rFonts w:ascii="Times New Roman" w:hAnsi="Times New Roman" w:cs="Times New Roman"/>
          <w:b/>
          <w:sz w:val="24"/>
          <w:szCs w:val="24"/>
        </w:rPr>
      </w:pPr>
    </w:p>
    <w:p w14:paraId="11DEF6C8" w14:textId="2D983D18"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Dans l’affaire soumise à la cour d’appel de Liège, les parties avaient simplement désigné, dans le contrat d’agence qui les liait, le « droit belge » comme régissant cette convention, sans viser expressément la loi du 13 avril 1995 relative au contrat d’agence commerciale.</w:t>
      </w:r>
    </w:p>
    <w:p w14:paraId="446C8AD9"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31AE0D6E" w14:textId="13178B77"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 question se posait donc de savoir si celle-ci était applicable ou non à leur relation. La cour d’appel de Liège raisonna en deux temps.</w:t>
      </w:r>
    </w:p>
    <w:p w14:paraId="094E0589"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7D460654" w14:textId="02FA1A70" w:rsidR="00DD4777" w:rsidRDefault="00481F99" w:rsidP="00D12FD8">
      <w:pPr>
        <w:tabs>
          <w:tab w:val="left" w:pos="2268"/>
          <w:tab w:val="left" w:pos="6487"/>
        </w:tabs>
        <w:ind w:right="-1"/>
        <w:jc w:val="both"/>
        <w:rPr>
          <w:rFonts w:ascii="Times New Roman" w:hAnsi="Times New Roman" w:cs="Times New Roman"/>
          <w:sz w:val="24"/>
          <w:szCs w:val="24"/>
        </w:rPr>
      </w:pPr>
      <w:r w:rsidRPr="0089482B">
        <w:rPr>
          <w:rFonts w:ascii="Times New Roman" w:hAnsi="Times New Roman" w:cs="Times New Roman"/>
          <w:sz w:val="24"/>
          <w:szCs w:val="24"/>
        </w:rPr>
        <w:t xml:space="preserve">Elle observa tout d’abord le champ d’application matériel et territorial de la loi du 13 avril 1995 relative au contrat d’agence commerciale. L’article 27 de cette loi (actuel article X.25 du Code de droit économique) prévoit à cet effet que « </w:t>
      </w:r>
      <w:r w:rsidRPr="0089482B">
        <w:rPr>
          <w:rFonts w:ascii="Times New Roman" w:hAnsi="Times New Roman" w:cs="Times New Roman"/>
          <w:i/>
          <w:sz w:val="24"/>
          <w:szCs w:val="24"/>
        </w:rPr>
        <w:t xml:space="preserve">sous réserve de l’application des conventions internationales auxquelles la Belgique est partie et nonobstant des clauses contraires dans le contrat d’agence commerciale, toute activité d’un agent commercial ayant son établissement principal en Belgique relève de la loi belge et de la compétence des tribunaux belges </w:t>
      </w:r>
      <w:r w:rsidRPr="0089482B">
        <w:rPr>
          <w:rFonts w:ascii="Times New Roman" w:hAnsi="Times New Roman" w:cs="Times New Roman"/>
          <w:sz w:val="24"/>
          <w:szCs w:val="24"/>
        </w:rPr>
        <w:t>». C’est donc le lieu de l’établissement principal de l’agent (facteur légal de rattachement territorial) qui conditionne l’application de cette loi à la relation contractuelle visée.</w:t>
      </w:r>
    </w:p>
    <w:p w14:paraId="0ADA3C29" w14:textId="77777777" w:rsidR="005F5F43" w:rsidRPr="0089482B" w:rsidRDefault="005F5F43" w:rsidP="00D12FD8">
      <w:pPr>
        <w:tabs>
          <w:tab w:val="left" w:pos="2268"/>
          <w:tab w:val="left" w:pos="6487"/>
        </w:tabs>
        <w:ind w:right="-1"/>
        <w:jc w:val="both"/>
        <w:rPr>
          <w:rFonts w:ascii="Times New Roman" w:hAnsi="Times New Roman" w:cs="Times New Roman"/>
          <w:sz w:val="24"/>
          <w:szCs w:val="24"/>
        </w:rPr>
      </w:pPr>
    </w:p>
    <w:p w14:paraId="026DCEC3" w14:textId="7142B441"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 xml:space="preserve">Or, en l’espèce, l’agent commercial avait son établissement principal en France, et non en Belgique. L’application de la loi du 13 avril 1995 devait donc, selon la cour, être </w:t>
      </w:r>
      <w:r w:rsidRPr="0089482B">
        <w:rPr>
          <w:rFonts w:ascii="Times New Roman" w:hAnsi="Times New Roman" w:cs="Times New Roman"/>
          <w:i/>
          <w:sz w:val="24"/>
          <w:szCs w:val="24"/>
        </w:rPr>
        <w:t xml:space="preserve">a priori </w:t>
      </w:r>
      <w:r w:rsidRPr="0089482B">
        <w:rPr>
          <w:rFonts w:ascii="Times New Roman" w:hAnsi="Times New Roman" w:cs="Times New Roman"/>
          <w:sz w:val="24"/>
          <w:szCs w:val="24"/>
        </w:rPr>
        <w:t>écartée au profit de l’application du droit commun belge des contrats, tel qu’il est appliqué par la jurisprudence en la matière.</w:t>
      </w:r>
    </w:p>
    <w:p w14:paraId="270A06C5"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3803FBD8" w14:textId="011A974E"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 solution est conforme à l’avis majoritaire de la doctrine concernant le caractère autolimité de la loi du 13 avril 1995</w:t>
      </w:r>
      <w:r w:rsidR="00CE08E9">
        <w:rPr>
          <w:rStyle w:val="Appelnotedebasdep"/>
          <w:rFonts w:ascii="Times New Roman" w:hAnsi="Times New Roman" w:cs="Times New Roman"/>
          <w:sz w:val="24"/>
          <w:szCs w:val="24"/>
        </w:rPr>
        <w:footnoteReference w:id="1"/>
      </w:r>
      <w:r w:rsidRPr="0089482B">
        <w:rPr>
          <w:rFonts w:ascii="Times New Roman" w:hAnsi="Times New Roman" w:cs="Times New Roman"/>
          <w:sz w:val="24"/>
          <w:szCs w:val="24"/>
        </w:rPr>
        <w:t>. En effet, à défaut pour l’agent d’avoir son principal établissement sur le territoire belge, et par analogie à la solution retenue</w:t>
      </w:r>
      <w:r w:rsidR="00841994">
        <w:rPr>
          <w:rFonts w:ascii="Times New Roman" w:hAnsi="Times New Roman" w:cs="Times New Roman"/>
          <w:sz w:val="24"/>
          <w:szCs w:val="24"/>
        </w:rPr>
        <w:t xml:space="preserve"> </w:t>
      </w:r>
      <w:r w:rsidR="00AB3B6B" w:rsidRPr="0089482B">
        <w:rPr>
          <w:rFonts w:ascii="Times New Roman" w:hAnsi="Times New Roman" w:cs="Times New Roman"/>
          <w:sz w:val="24"/>
          <w:szCs w:val="24"/>
        </w:rPr>
        <w:t>en matière</w:t>
      </w:r>
      <w:r w:rsidRPr="0089482B">
        <w:rPr>
          <w:rFonts w:ascii="Times New Roman" w:hAnsi="Times New Roman" w:cs="Times New Roman"/>
          <w:sz w:val="24"/>
          <w:szCs w:val="24"/>
        </w:rPr>
        <w:t xml:space="preserve"> de concession de vente</w:t>
      </w:r>
      <w:r w:rsidR="00CE08E9">
        <w:rPr>
          <w:rStyle w:val="Appelnotedebasdep"/>
          <w:rFonts w:ascii="Times New Roman" w:hAnsi="Times New Roman" w:cs="Times New Roman"/>
          <w:sz w:val="24"/>
          <w:szCs w:val="24"/>
        </w:rPr>
        <w:footnoteReference w:id="2"/>
      </w:r>
      <w:r w:rsidRPr="0089482B">
        <w:rPr>
          <w:rFonts w:ascii="Times New Roman" w:hAnsi="Times New Roman" w:cs="Times New Roman"/>
          <w:sz w:val="24"/>
          <w:szCs w:val="24"/>
        </w:rPr>
        <w:t xml:space="preserve"> et de franchise</w:t>
      </w:r>
      <w:r w:rsidR="00226D7A">
        <w:rPr>
          <w:rStyle w:val="Appelnotedebasdep"/>
          <w:rFonts w:ascii="Times New Roman" w:hAnsi="Times New Roman" w:cs="Times New Roman"/>
          <w:sz w:val="24"/>
          <w:szCs w:val="24"/>
        </w:rPr>
        <w:footnoteReference w:id="3"/>
      </w:r>
      <w:r w:rsidRPr="0089482B">
        <w:rPr>
          <w:rFonts w:ascii="Times New Roman" w:hAnsi="Times New Roman" w:cs="Times New Roman"/>
          <w:sz w:val="24"/>
          <w:szCs w:val="24"/>
        </w:rPr>
        <w:t xml:space="preserve">, il est admis que la loi du 13 avril 1995 </w:t>
      </w:r>
      <w:r w:rsidRPr="0089482B">
        <w:rPr>
          <w:rFonts w:ascii="Times New Roman" w:hAnsi="Times New Roman" w:cs="Times New Roman"/>
          <w:sz w:val="24"/>
          <w:szCs w:val="24"/>
        </w:rPr>
        <w:lastRenderedPageBreak/>
        <w:t>(aujourd’hui titre 1 du livre X du Code de droit économique) perd son caractère de loi d’application immédiate et n’a donc plus vocation à s’appliquer, à moins que les parties en aient expressément convenu autrement</w:t>
      </w:r>
      <w:r w:rsidR="00226D7A">
        <w:rPr>
          <w:rStyle w:val="Appelnotedebasdep"/>
          <w:rFonts w:ascii="Times New Roman" w:hAnsi="Times New Roman" w:cs="Times New Roman"/>
          <w:sz w:val="24"/>
          <w:szCs w:val="24"/>
        </w:rPr>
        <w:footnoteReference w:id="4"/>
      </w:r>
      <w:r w:rsidRPr="0089482B">
        <w:rPr>
          <w:rFonts w:ascii="Times New Roman" w:hAnsi="Times New Roman" w:cs="Times New Roman"/>
          <w:sz w:val="24"/>
          <w:szCs w:val="24"/>
        </w:rPr>
        <w:t xml:space="preserve"> (ce qui n’était pas le cas en l’espèce).</w:t>
      </w:r>
    </w:p>
    <w:p w14:paraId="4669D42F"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0BE1703A" w14:textId="021EFA22"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L’arrêt de la cour d’appel de Liège ici commenté est donc intéressant en ce qu’il permet de cerner le cadre légal applicable à la relation, à défaut de pouvoir y appliquer la loi du 13 avril 1995.</w:t>
      </w:r>
    </w:p>
    <w:p w14:paraId="7B9DED86"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629B23FB" w14:textId="1634C046"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Dans un second temps, la cour rappela l’existence de la directive n°</w:t>
      </w:r>
      <w:r w:rsidR="00226D7A">
        <w:rPr>
          <w:rFonts w:ascii="Times New Roman" w:hAnsi="Times New Roman" w:cs="Times New Roman"/>
          <w:sz w:val="24"/>
          <w:szCs w:val="24"/>
        </w:rPr>
        <w:t xml:space="preserve"> </w:t>
      </w:r>
      <w:r w:rsidRPr="0089482B">
        <w:rPr>
          <w:rFonts w:ascii="Times New Roman" w:hAnsi="Times New Roman" w:cs="Times New Roman"/>
          <w:sz w:val="24"/>
          <w:szCs w:val="24"/>
        </w:rPr>
        <w:t>86/653 du Conseil des Communautés européennes du 18 décembre 1986 relative à la coordination des droits des États membres concernant les agents commerciaux indépendants</w:t>
      </w:r>
      <w:r w:rsidR="00226D7A">
        <w:rPr>
          <w:rStyle w:val="Appelnotedebasdep"/>
          <w:rFonts w:ascii="Times New Roman" w:hAnsi="Times New Roman" w:cs="Times New Roman"/>
          <w:sz w:val="24"/>
          <w:szCs w:val="24"/>
        </w:rPr>
        <w:footnoteReference w:id="5"/>
      </w:r>
      <w:r w:rsidRPr="0089482B">
        <w:rPr>
          <w:rFonts w:ascii="Times New Roman" w:hAnsi="Times New Roman" w:cs="Times New Roman"/>
          <w:sz w:val="24"/>
          <w:szCs w:val="24"/>
        </w:rPr>
        <w:t xml:space="preserve"> (ci-après, « la directive »).</w:t>
      </w:r>
    </w:p>
    <w:p w14:paraId="5568B3C9"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74C035E3" w14:textId="41D18EC7"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Concernant la question de l’indemnité d’éviction, elle rappela également le caractère impératif des articles 17 à 19 de la directive, ainsi que la jurisprudence de la Cour de justice de l’Union européenne à cet égard : le régime de ces dispositions revêt « une importance déterminante, car [il définit] le niveau de protection que le législateur de l’Union a estimé raisonnable d’accorder aux agents commerciaux dans le cadre du marché unique (...). Le régime instauré à cette fin par la directive 86/653 présente un caractère impératif »</w:t>
      </w:r>
      <w:r w:rsidR="00226D7A">
        <w:rPr>
          <w:rStyle w:val="Appelnotedebasdep"/>
          <w:rFonts w:ascii="Times New Roman" w:hAnsi="Times New Roman" w:cs="Times New Roman"/>
          <w:sz w:val="24"/>
          <w:szCs w:val="24"/>
        </w:rPr>
        <w:footnoteReference w:id="6"/>
      </w:r>
      <w:r w:rsidRPr="0089482B">
        <w:rPr>
          <w:rFonts w:ascii="Times New Roman" w:hAnsi="Times New Roman" w:cs="Times New Roman"/>
          <w:sz w:val="24"/>
          <w:szCs w:val="24"/>
        </w:rPr>
        <w:t>.</w:t>
      </w:r>
    </w:p>
    <w:p w14:paraId="4203F775"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0CE04047" w14:textId="7738B644"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 xml:space="preserve">Partant, la cour d’appel entama l’analyse des champs d’application matériel et territorial de la directive au regard de la jurisprudence de la Cour de justice, en vue de déterminer l’application ou non de ce </w:t>
      </w:r>
      <w:r w:rsidRPr="0089482B">
        <w:rPr>
          <w:rFonts w:ascii="Times New Roman" w:hAnsi="Times New Roman" w:cs="Times New Roman"/>
          <w:sz w:val="24"/>
          <w:szCs w:val="24"/>
        </w:rPr>
        <w:lastRenderedPageBreak/>
        <w:t>régime impératif au présent litige.</w:t>
      </w:r>
    </w:p>
    <w:p w14:paraId="0338C9DE"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120E8C2F" w14:textId="34A50A50"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Concernant le champ d’application matériel, elle considéra que le rapport juridique en question était, sans nul doute, visé par la directive.</w:t>
      </w:r>
    </w:p>
    <w:p w14:paraId="3A896F8A"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532496E1" w14:textId="4588CEC2"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Quant au champ d’application territorial, la cour releva que la présente situation se trouvait bien en lien étroit avec l’Union, étant donné que les parties au contrat étaient toutes deux établies sur le territoire d’un État membre, à savoir la Belgique pour le commettant et la France pour l’agent (ce dernier exerçait pour partie son activité sur le territoire des régions « ultrapériphériques » de France).</w:t>
      </w:r>
    </w:p>
    <w:p w14:paraId="2C70C936"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7B8281CB" w14:textId="59F11211"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Par conséquent, la cour d’appel de Liège considéra « le régime impératif des règles transposant en droit interne les articles 17 à 19 de la [directive] » comme devant trouver à s’appliquer au cas présent, à savoir « à tout le moins en l’espèce, les dispositions transposant ces règles, contenues dans les articles 20 et 21 de ladite loi [actuellement articles X.18 et X.19 du Code de droit économique] ». Elle précisa toutefois, citant P. Hollander, que « le juge belge appliquera le droit commun belge, mais devra donner effet aux dispositions impératives de la directive telles que</w:t>
      </w:r>
      <w:r w:rsidR="00226D7A">
        <w:rPr>
          <w:rFonts w:ascii="Times New Roman" w:hAnsi="Times New Roman" w:cs="Times New Roman"/>
          <w:sz w:val="24"/>
          <w:szCs w:val="24"/>
        </w:rPr>
        <w:t xml:space="preserve"> </w:t>
      </w:r>
      <w:r w:rsidRPr="0089482B">
        <w:rPr>
          <w:rFonts w:ascii="Times New Roman" w:hAnsi="Times New Roman" w:cs="Times New Roman"/>
          <w:sz w:val="24"/>
          <w:szCs w:val="24"/>
        </w:rPr>
        <w:t>transposées en droit belge. Il convient d’être attentif au fait que cela n’impliquera pas d’appliquer la loi de 1995 dans son intégralité, puisque celle-ci contient des dispositions non prévues par la directive, mais uniquement celles transposant en droit belge les dispositions impératives de la directive. Pour le surplus, le droit commun belge sera applicable »</w:t>
      </w:r>
      <w:r w:rsidR="008725A8">
        <w:rPr>
          <w:rStyle w:val="Appelnotedebasdep"/>
          <w:rFonts w:ascii="Times New Roman" w:hAnsi="Times New Roman" w:cs="Times New Roman"/>
          <w:sz w:val="24"/>
          <w:szCs w:val="24"/>
        </w:rPr>
        <w:footnoteReference w:id="7"/>
      </w:r>
      <w:r w:rsidR="008725A8">
        <w:rPr>
          <w:rFonts w:ascii="Times New Roman" w:hAnsi="Times New Roman" w:cs="Times New Roman"/>
          <w:sz w:val="24"/>
          <w:szCs w:val="24"/>
        </w:rPr>
        <w:t>.</w:t>
      </w:r>
    </w:p>
    <w:p w14:paraId="547151EB"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58BA3983" w14:textId="1A6081E2"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 nuance est intéressante. La loi du 13 avril 1995 ne trouvera donc pas à s’appliquer dans son intégralité, mais uniquement en ses dispositions transposant les normes impératives de la directive. Une telle précision est importante, car elle influence notamment l’octroi de l’indemnité d’éviction.</w:t>
      </w:r>
    </w:p>
    <w:p w14:paraId="036388F5"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7B3D3EA9" w14:textId="116CCE79"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En effet, on sait que l’article X.18, alinéa 1</w:t>
      </w:r>
      <w:r w:rsidRPr="0089482B">
        <w:rPr>
          <w:rFonts w:ascii="Times New Roman" w:hAnsi="Times New Roman" w:cs="Times New Roman"/>
          <w:sz w:val="24"/>
          <w:szCs w:val="24"/>
          <w:vertAlign w:val="superscript"/>
        </w:rPr>
        <w:t>er</w:t>
      </w:r>
      <w:r w:rsidRPr="0089482B">
        <w:rPr>
          <w:rFonts w:ascii="Times New Roman" w:hAnsi="Times New Roman" w:cs="Times New Roman"/>
          <w:sz w:val="24"/>
          <w:szCs w:val="24"/>
        </w:rPr>
        <w:t>, du Code de droit économique subordonne le droit de l’agent à une indemnité d’éviction à ce que celui-ci établisse :</w:t>
      </w:r>
    </w:p>
    <w:p w14:paraId="1639ABA9" w14:textId="3D7B329C" w:rsidR="00340536" w:rsidRDefault="00340536" w:rsidP="00D12FD8">
      <w:pPr>
        <w:pStyle w:val="Corpsdetexte"/>
        <w:tabs>
          <w:tab w:val="left" w:pos="2268"/>
          <w:tab w:val="left" w:pos="6487"/>
        </w:tabs>
        <w:ind w:right="-1"/>
        <w:rPr>
          <w:rFonts w:ascii="Times New Roman" w:hAnsi="Times New Roman" w:cs="Times New Roman"/>
          <w:sz w:val="24"/>
          <w:szCs w:val="24"/>
        </w:rPr>
      </w:pPr>
    </w:p>
    <w:p w14:paraId="3A5157B3" w14:textId="77777777" w:rsidR="00340536" w:rsidRDefault="00340536" w:rsidP="00D12FD8">
      <w:pPr>
        <w:pStyle w:val="Corpsdetexte"/>
        <w:tabs>
          <w:tab w:val="left" w:pos="2268"/>
          <w:tab w:val="left" w:pos="6487"/>
        </w:tabs>
        <w:ind w:right="-1"/>
        <w:rPr>
          <w:rFonts w:ascii="Times New Roman" w:hAnsi="Times New Roman" w:cs="Times New Roman"/>
          <w:sz w:val="24"/>
          <w:szCs w:val="24"/>
        </w:rPr>
      </w:pPr>
    </w:p>
    <w:p w14:paraId="6CC73C97"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7799E50F" w14:textId="2DFBAF6B" w:rsidR="00DD4777" w:rsidRDefault="00D12FD8" w:rsidP="00340536">
      <w:pPr>
        <w:pStyle w:val="Paragraphedeliste"/>
        <w:numPr>
          <w:ilvl w:val="0"/>
          <w:numId w:val="2"/>
        </w:numPr>
        <w:tabs>
          <w:tab w:val="left" w:pos="709"/>
          <w:tab w:val="left" w:pos="6487"/>
        </w:tabs>
        <w:spacing w:before="0"/>
        <w:ind w:left="709" w:right="-1" w:hanging="425"/>
        <w:rPr>
          <w:rFonts w:ascii="Times New Roman" w:hAnsi="Times New Roman" w:cs="Times New Roman"/>
          <w:sz w:val="24"/>
          <w:szCs w:val="24"/>
        </w:rPr>
      </w:pPr>
      <w:r w:rsidRPr="0089482B">
        <w:rPr>
          <w:rFonts w:ascii="Times New Roman" w:hAnsi="Times New Roman" w:cs="Times New Roman"/>
          <w:sz w:val="24"/>
          <w:szCs w:val="24"/>
        </w:rPr>
        <w:lastRenderedPageBreak/>
        <w:t>D’une</w:t>
      </w:r>
      <w:r w:rsidR="00481F99" w:rsidRPr="0089482B">
        <w:rPr>
          <w:rFonts w:ascii="Times New Roman" w:hAnsi="Times New Roman" w:cs="Times New Roman"/>
          <w:sz w:val="24"/>
          <w:szCs w:val="24"/>
        </w:rPr>
        <w:t xml:space="preserve"> part, qu’il a « </w:t>
      </w:r>
      <w:r w:rsidR="00481F99" w:rsidRPr="0089482B">
        <w:rPr>
          <w:rFonts w:ascii="Times New Roman" w:hAnsi="Times New Roman" w:cs="Times New Roman"/>
          <w:i/>
          <w:sz w:val="24"/>
          <w:szCs w:val="24"/>
        </w:rPr>
        <w:t xml:space="preserve">apporté de nouveaux clients au commettant ou a développé sensiblement les affaires avec la clientèle existante </w:t>
      </w:r>
      <w:r w:rsidR="00481F99" w:rsidRPr="0089482B">
        <w:rPr>
          <w:rFonts w:ascii="Times New Roman" w:hAnsi="Times New Roman" w:cs="Times New Roman"/>
          <w:sz w:val="24"/>
          <w:szCs w:val="24"/>
        </w:rPr>
        <w:t>», et</w:t>
      </w:r>
    </w:p>
    <w:p w14:paraId="7FA74369" w14:textId="77777777" w:rsidR="005F5F43" w:rsidRPr="0089482B" w:rsidRDefault="005F5F43" w:rsidP="00340536">
      <w:pPr>
        <w:pStyle w:val="Paragraphedeliste"/>
        <w:tabs>
          <w:tab w:val="left" w:pos="475"/>
          <w:tab w:val="left" w:pos="2268"/>
          <w:tab w:val="left" w:pos="6487"/>
        </w:tabs>
        <w:spacing w:before="0"/>
        <w:ind w:left="709" w:right="-1" w:hanging="425"/>
        <w:rPr>
          <w:rFonts w:ascii="Times New Roman" w:hAnsi="Times New Roman" w:cs="Times New Roman"/>
          <w:sz w:val="24"/>
          <w:szCs w:val="24"/>
        </w:rPr>
      </w:pPr>
    </w:p>
    <w:p w14:paraId="65F56077" w14:textId="397D5EBD" w:rsidR="00DD4777" w:rsidRDefault="00D12FD8" w:rsidP="00340536">
      <w:pPr>
        <w:pStyle w:val="Paragraphedeliste"/>
        <w:numPr>
          <w:ilvl w:val="0"/>
          <w:numId w:val="2"/>
        </w:numPr>
        <w:tabs>
          <w:tab w:val="left" w:pos="709"/>
          <w:tab w:val="left" w:pos="6487"/>
        </w:tabs>
        <w:spacing w:before="0"/>
        <w:ind w:left="709" w:right="-1" w:hanging="425"/>
        <w:rPr>
          <w:rFonts w:ascii="Times New Roman" w:hAnsi="Times New Roman" w:cs="Times New Roman"/>
          <w:sz w:val="24"/>
          <w:szCs w:val="24"/>
        </w:rPr>
      </w:pPr>
      <w:r w:rsidRPr="0089482B">
        <w:rPr>
          <w:rFonts w:ascii="Times New Roman" w:hAnsi="Times New Roman" w:cs="Times New Roman"/>
          <w:sz w:val="24"/>
          <w:szCs w:val="24"/>
        </w:rPr>
        <w:t>D’autre</w:t>
      </w:r>
      <w:r w:rsidR="00481F99" w:rsidRPr="0089482B">
        <w:rPr>
          <w:rFonts w:ascii="Times New Roman" w:hAnsi="Times New Roman" w:cs="Times New Roman"/>
          <w:sz w:val="24"/>
          <w:szCs w:val="24"/>
        </w:rPr>
        <w:t xml:space="preserve"> part, que son activité « </w:t>
      </w:r>
      <w:r w:rsidR="00481F99" w:rsidRPr="0089482B">
        <w:rPr>
          <w:rFonts w:ascii="Times New Roman" w:hAnsi="Times New Roman" w:cs="Times New Roman"/>
          <w:i/>
          <w:sz w:val="24"/>
          <w:szCs w:val="24"/>
        </w:rPr>
        <w:t xml:space="preserve">puisse encore procurer des avantages substantiels au commettant </w:t>
      </w:r>
      <w:r w:rsidR="00481F99" w:rsidRPr="0089482B">
        <w:rPr>
          <w:rFonts w:ascii="Times New Roman" w:hAnsi="Times New Roman" w:cs="Times New Roman"/>
          <w:sz w:val="24"/>
          <w:szCs w:val="24"/>
        </w:rPr>
        <w:t>».</w:t>
      </w:r>
    </w:p>
    <w:p w14:paraId="69CD4B37" w14:textId="77777777" w:rsidR="005F5F43" w:rsidRPr="0089482B" w:rsidRDefault="005F5F43" w:rsidP="00D12FD8">
      <w:pPr>
        <w:pStyle w:val="Paragraphedeliste"/>
        <w:tabs>
          <w:tab w:val="left" w:pos="475"/>
          <w:tab w:val="left" w:pos="2268"/>
          <w:tab w:val="left" w:pos="6487"/>
        </w:tabs>
        <w:spacing w:before="0"/>
        <w:ind w:left="0" w:right="-1" w:firstLine="0"/>
        <w:rPr>
          <w:rFonts w:ascii="Times New Roman" w:hAnsi="Times New Roman" w:cs="Times New Roman"/>
          <w:sz w:val="24"/>
          <w:szCs w:val="24"/>
        </w:rPr>
      </w:pPr>
    </w:p>
    <w:p w14:paraId="1182A45A" w14:textId="4A00CCC7" w:rsidR="00DD4777" w:rsidRDefault="00481F99" w:rsidP="00D12FD8">
      <w:pPr>
        <w:tabs>
          <w:tab w:val="left" w:pos="2268"/>
          <w:tab w:val="left" w:pos="6487"/>
        </w:tabs>
        <w:ind w:right="-1"/>
        <w:jc w:val="both"/>
        <w:rPr>
          <w:rFonts w:ascii="Times New Roman" w:hAnsi="Times New Roman" w:cs="Times New Roman"/>
          <w:sz w:val="24"/>
          <w:szCs w:val="24"/>
        </w:rPr>
      </w:pPr>
      <w:r w:rsidRPr="0089482B">
        <w:rPr>
          <w:rFonts w:ascii="Times New Roman" w:hAnsi="Times New Roman" w:cs="Times New Roman"/>
          <w:sz w:val="24"/>
          <w:szCs w:val="24"/>
        </w:rPr>
        <w:t xml:space="preserve">Le second alinéa du même article précise, quant à lui, que « </w:t>
      </w:r>
      <w:r w:rsidRPr="0089482B">
        <w:rPr>
          <w:rFonts w:ascii="Times New Roman" w:hAnsi="Times New Roman" w:cs="Times New Roman"/>
          <w:i/>
          <w:sz w:val="24"/>
          <w:szCs w:val="24"/>
        </w:rPr>
        <w:t xml:space="preserve">si le contrat d’agence commerciale prévoit une clause de non-concurrence, le commettant est réputé, sauf preuve contraire, recevoir des avantages substantiels </w:t>
      </w:r>
      <w:r w:rsidRPr="0089482B">
        <w:rPr>
          <w:rFonts w:ascii="Times New Roman" w:hAnsi="Times New Roman" w:cs="Times New Roman"/>
          <w:sz w:val="24"/>
          <w:szCs w:val="24"/>
        </w:rPr>
        <w:t>». Cette dernière disposition n’était pas prévue par la directive, mais résulte d’une volonté du législateur belge d’accorder une protection supplémentaire à l’agent.</w:t>
      </w:r>
    </w:p>
    <w:p w14:paraId="1BBCC4FD" w14:textId="77777777" w:rsidR="005F5F43" w:rsidRPr="0089482B" w:rsidRDefault="005F5F43" w:rsidP="00D12FD8">
      <w:pPr>
        <w:tabs>
          <w:tab w:val="left" w:pos="2268"/>
          <w:tab w:val="left" w:pos="6487"/>
        </w:tabs>
        <w:ind w:right="-1"/>
        <w:jc w:val="both"/>
        <w:rPr>
          <w:rFonts w:ascii="Times New Roman" w:hAnsi="Times New Roman" w:cs="Times New Roman"/>
          <w:sz w:val="24"/>
          <w:szCs w:val="24"/>
        </w:rPr>
      </w:pPr>
    </w:p>
    <w:p w14:paraId="20C31A14" w14:textId="404FD854" w:rsidR="008725A8" w:rsidRDefault="00481F99" w:rsidP="00D12FD8">
      <w:pPr>
        <w:tabs>
          <w:tab w:val="left" w:pos="2268"/>
          <w:tab w:val="left" w:pos="6487"/>
        </w:tabs>
        <w:ind w:right="-1"/>
        <w:jc w:val="both"/>
        <w:rPr>
          <w:rFonts w:ascii="Times New Roman" w:hAnsi="Times New Roman" w:cs="Times New Roman"/>
          <w:sz w:val="24"/>
          <w:szCs w:val="24"/>
        </w:rPr>
      </w:pPr>
      <w:r w:rsidRPr="0089482B">
        <w:rPr>
          <w:rFonts w:ascii="Times New Roman" w:hAnsi="Times New Roman" w:cs="Times New Roman"/>
          <w:sz w:val="24"/>
          <w:szCs w:val="24"/>
        </w:rPr>
        <w:t>Or, selon le raisonnement suivi par la cour d’appel, les articles X.18 et X.19 du Code de droit économique ne pouvaient trouver à s’appliquer que dans la mesure de la transposition de la directive qu’ils opèrent.</w:t>
      </w:r>
      <w:r w:rsidR="008725A8">
        <w:rPr>
          <w:rFonts w:ascii="Times New Roman" w:hAnsi="Times New Roman" w:cs="Times New Roman"/>
          <w:sz w:val="24"/>
          <w:szCs w:val="24"/>
        </w:rPr>
        <w:t xml:space="preserve"> </w:t>
      </w:r>
      <w:r w:rsidRPr="0089482B">
        <w:rPr>
          <w:rFonts w:ascii="Times New Roman" w:hAnsi="Times New Roman" w:cs="Times New Roman"/>
          <w:sz w:val="24"/>
          <w:szCs w:val="24"/>
        </w:rPr>
        <w:t>La présomption prévue par le second alinéa de l’article X.18 ne pouvait donc jouer.</w:t>
      </w:r>
      <w:r w:rsidR="008725A8" w:rsidRPr="008725A8">
        <w:rPr>
          <w:rFonts w:ascii="Times New Roman" w:hAnsi="Times New Roman" w:cs="Times New Roman"/>
          <w:sz w:val="24"/>
          <w:szCs w:val="24"/>
        </w:rPr>
        <w:t xml:space="preserve"> </w:t>
      </w:r>
    </w:p>
    <w:p w14:paraId="6DEC7BB8" w14:textId="77777777" w:rsidR="008725A8" w:rsidRDefault="008725A8" w:rsidP="00D12FD8">
      <w:pPr>
        <w:tabs>
          <w:tab w:val="left" w:pos="2268"/>
          <w:tab w:val="left" w:pos="6487"/>
        </w:tabs>
        <w:ind w:right="-1"/>
        <w:jc w:val="both"/>
        <w:rPr>
          <w:rFonts w:ascii="Times New Roman" w:hAnsi="Times New Roman" w:cs="Times New Roman"/>
          <w:sz w:val="24"/>
          <w:szCs w:val="24"/>
        </w:rPr>
      </w:pPr>
    </w:p>
    <w:p w14:paraId="6782A4F4" w14:textId="5EB88BBF"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Il appartenait alors à l’agent d’établir que les deux conditions prévues par l’alinéa 1</w:t>
      </w:r>
      <w:r w:rsidRPr="0089482B">
        <w:rPr>
          <w:rFonts w:ascii="Times New Roman" w:hAnsi="Times New Roman" w:cs="Times New Roman"/>
          <w:sz w:val="24"/>
          <w:szCs w:val="24"/>
          <w:vertAlign w:val="superscript"/>
        </w:rPr>
        <w:t>er</w:t>
      </w:r>
      <w:r w:rsidRPr="0089482B">
        <w:rPr>
          <w:rFonts w:ascii="Times New Roman" w:hAnsi="Times New Roman" w:cs="Times New Roman"/>
          <w:sz w:val="24"/>
          <w:szCs w:val="24"/>
        </w:rPr>
        <w:t xml:space="preserve"> de l’article X.18 étaient bien remplies.</w:t>
      </w:r>
    </w:p>
    <w:p w14:paraId="68D60AF5"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19FF108A" w14:textId="690A4ED3"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Selon la cour, des présomptions concordantes suffisantes ont permis de conclure à ce que l’agent a apporté de nouveaux clients au commettant et, rappelant la double nature de l’indemnité d’éviction, en conclut qu</w:t>
      </w:r>
      <w:proofErr w:type="gramStart"/>
      <w:r w:rsidRPr="0089482B">
        <w:rPr>
          <w:rFonts w:ascii="Times New Roman" w:hAnsi="Times New Roman" w:cs="Times New Roman"/>
          <w:sz w:val="24"/>
          <w:szCs w:val="24"/>
        </w:rPr>
        <w:t>’«</w:t>
      </w:r>
      <w:proofErr w:type="gramEnd"/>
      <w:r w:rsidRPr="0089482B">
        <w:rPr>
          <w:rFonts w:ascii="Times New Roman" w:hAnsi="Times New Roman" w:cs="Times New Roman"/>
          <w:sz w:val="24"/>
          <w:szCs w:val="24"/>
        </w:rPr>
        <w:t xml:space="preserve"> il est [dès lors] acquis que l’activité de l’agent a encore procuré des avantages substantiels au commettant après la rupture de leur relation contractuelle et aurait pu lui en procurer plus si cette dernière n’y avait pas volontairement renoncé ».</w:t>
      </w:r>
    </w:p>
    <w:p w14:paraId="2420AD15"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692A4730" w14:textId="149CB781"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L’agent commercial pouvait donc, selon la cour d’appel de Liège, prétendre à l’indemnité d’éviction convoitée.</w:t>
      </w:r>
    </w:p>
    <w:p w14:paraId="5B387E2B"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15F9DA1A" w14:textId="214D1B34"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Enfin, l’arrêt commenté est également intéressant en ce qu’il permet de mettre en lumière l’incidence de l’application ou non de la loi du 13 avril 1995 sur celle des clauses de non-concurrence.</w:t>
      </w:r>
    </w:p>
    <w:p w14:paraId="26195CBB" w14:textId="77777777" w:rsidR="005F5F43" w:rsidRPr="0089482B" w:rsidRDefault="005F5F43" w:rsidP="00D12FD8">
      <w:pPr>
        <w:pStyle w:val="Corpsdetexte"/>
        <w:tabs>
          <w:tab w:val="left" w:pos="2268"/>
          <w:tab w:val="left" w:pos="6487"/>
        </w:tabs>
        <w:ind w:right="-1"/>
        <w:rPr>
          <w:rFonts w:ascii="Times New Roman" w:hAnsi="Times New Roman" w:cs="Times New Roman"/>
          <w:sz w:val="24"/>
          <w:szCs w:val="24"/>
        </w:rPr>
      </w:pPr>
    </w:p>
    <w:p w14:paraId="2D30CCDF" w14:textId="20EF5146" w:rsidR="00DD4777" w:rsidRDefault="00481F99" w:rsidP="00D12FD8">
      <w:pPr>
        <w:tabs>
          <w:tab w:val="left" w:pos="2268"/>
          <w:tab w:val="left" w:pos="6487"/>
        </w:tabs>
        <w:ind w:right="-1"/>
        <w:jc w:val="both"/>
        <w:rPr>
          <w:rFonts w:ascii="Times New Roman" w:hAnsi="Times New Roman" w:cs="Times New Roman"/>
          <w:sz w:val="24"/>
          <w:szCs w:val="24"/>
        </w:rPr>
      </w:pPr>
      <w:r w:rsidRPr="0089482B">
        <w:rPr>
          <w:rFonts w:ascii="Times New Roman" w:hAnsi="Times New Roman" w:cs="Times New Roman"/>
          <w:sz w:val="24"/>
          <w:szCs w:val="24"/>
        </w:rPr>
        <w:t xml:space="preserve">Selon l’article X.22, paragraphe 2 du Code de droit économique, « </w:t>
      </w:r>
      <w:r w:rsidRPr="0089482B">
        <w:rPr>
          <w:rFonts w:ascii="Times New Roman" w:hAnsi="Times New Roman" w:cs="Times New Roman"/>
          <w:i/>
          <w:sz w:val="24"/>
          <w:szCs w:val="24"/>
        </w:rPr>
        <w:t>la clause de non-concurrence ne produit pas ses effets lorsqu’il est mis fin au contrat d’agence commerciale par le commettant, sans invoquer un motif prévu à l’article X.17, alinéa 1</w:t>
      </w:r>
      <w:r w:rsidRPr="0089482B">
        <w:rPr>
          <w:rFonts w:ascii="Times New Roman" w:hAnsi="Times New Roman" w:cs="Times New Roman"/>
          <w:i/>
          <w:sz w:val="24"/>
          <w:szCs w:val="24"/>
          <w:vertAlign w:val="superscript"/>
        </w:rPr>
        <w:t>er</w:t>
      </w:r>
      <w:r w:rsidRPr="0089482B">
        <w:rPr>
          <w:rFonts w:ascii="Times New Roman" w:hAnsi="Times New Roman" w:cs="Times New Roman"/>
          <w:i/>
          <w:sz w:val="24"/>
          <w:szCs w:val="24"/>
        </w:rPr>
        <w:t xml:space="preserve"> </w:t>
      </w:r>
      <w:r w:rsidRPr="0089482B">
        <w:rPr>
          <w:rFonts w:ascii="Times New Roman" w:hAnsi="Times New Roman" w:cs="Times New Roman"/>
          <w:sz w:val="24"/>
          <w:szCs w:val="24"/>
        </w:rPr>
        <w:t xml:space="preserve">[à savoir, un </w:t>
      </w:r>
      <w:r w:rsidRPr="0089482B">
        <w:rPr>
          <w:rFonts w:ascii="Times New Roman" w:hAnsi="Times New Roman" w:cs="Times New Roman"/>
          <w:sz w:val="24"/>
          <w:szCs w:val="24"/>
        </w:rPr>
        <w:lastRenderedPageBreak/>
        <w:t xml:space="preserve">manquement grave de l’agent ou des circonstances exceptionnelles] </w:t>
      </w:r>
      <w:r w:rsidRPr="0089482B">
        <w:rPr>
          <w:rFonts w:ascii="Times New Roman" w:hAnsi="Times New Roman" w:cs="Times New Roman"/>
          <w:i/>
          <w:sz w:val="24"/>
          <w:szCs w:val="24"/>
        </w:rPr>
        <w:t xml:space="preserve">(...) </w:t>
      </w:r>
      <w:r w:rsidRPr="0089482B">
        <w:rPr>
          <w:rFonts w:ascii="Times New Roman" w:hAnsi="Times New Roman" w:cs="Times New Roman"/>
          <w:sz w:val="24"/>
          <w:szCs w:val="24"/>
        </w:rPr>
        <w:t>».</w:t>
      </w:r>
    </w:p>
    <w:p w14:paraId="5FAF90CD" w14:textId="77777777" w:rsidR="00D12FD8" w:rsidRDefault="00D12FD8" w:rsidP="00D12FD8">
      <w:pPr>
        <w:pStyle w:val="Corpsdetexte"/>
        <w:tabs>
          <w:tab w:val="left" w:pos="2268"/>
          <w:tab w:val="left" w:pos="6487"/>
        </w:tabs>
        <w:ind w:right="-1"/>
        <w:rPr>
          <w:rFonts w:ascii="Times New Roman" w:hAnsi="Times New Roman" w:cs="Times New Roman"/>
          <w:sz w:val="24"/>
          <w:szCs w:val="24"/>
        </w:rPr>
      </w:pPr>
    </w:p>
    <w:p w14:paraId="578525CA" w14:textId="4B7EEF4F"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 xml:space="preserve">En l’espèce, dans sa lettre de rupture notifiée à l’agent le 25 octobre 2012, le commettant avait écrit qu’il entendait lui accorder une indemnité correspondant à trois mois de rémunération et ce, </w:t>
      </w:r>
      <w:r w:rsidR="008725A8">
        <w:rPr>
          <w:rFonts w:ascii="Times New Roman" w:hAnsi="Times New Roman" w:cs="Times New Roman"/>
          <w:sz w:val="24"/>
          <w:szCs w:val="24"/>
        </w:rPr>
        <w:t>« </w:t>
      </w:r>
      <w:r w:rsidRPr="0089482B">
        <w:rPr>
          <w:rFonts w:ascii="Times New Roman" w:hAnsi="Times New Roman" w:cs="Times New Roman"/>
          <w:sz w:val="24"/>
          <w:szCs w:val="24"/>
        </w:rPr>
        <w:t>conformément à la loi du 13 avril 1995 ». Dans ses courriers ultérieurs adressés à l’agent, le commettant réitéra, à de multiples reprises, cette référence à « la loi ».</w:t>
      </w:r>
    </w:p>
    <w:p w14:paraId="1AEB37C1" w14:textId="77777777" w:rsidR="008725A8" w:rsidRPr="0089482B" w:rsidRDefault="008725A8" w:rsidP="00D12FD8">
      <w:pPr>
        <w:pStyle w:val="Corpsdetexte"/>
        <w:tabs>
          <w:tab w:val="left" w:pos="2268"/>
          <w:tab w:val="left" w:pos="6487"/>
        </w:tabs>
        <w:ind w:right="-1"/>
        <w:rPr>
          <w:rFonts w:ascii="Times New Roman" w:hAnsi="Times New Roman" w:cs="Times New Roman"/>
          <w:sz w:val="24"/>
          <w:szCs w:val="24"/>
        </w:rPr>
      </w:pPr>
    </w:p>
    <w:p w14:paraId="1D4DDE40" w14:textId="4B822840"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Considérant donc que la loi du 13 avril 1995 régissait leur relation, et aucun motif prévu par l’article X.17 n’ayant été relevé par le commettant, l’agent commercial en conclut que les conditions d’application de la clause de non-concurrence n’étaient pas réunies, la rendant dès lors inopérante. Il poursuivit donc ses activités, postérieurement à la rupture de sa convention.</w:t>
      </w:r>
    </w:p>
    <w:p w14:paraId="2D97F91F" w14:textId="77777777" w:rsidR="00734FD2" w:rsidRPr="0089482B" w:rsidRDefault="00734FD2" w:rsidP="00D12FD8">
      <w:pPr>
        <w:pStyle w:val="Corpsdetexte"/>
        <w:tabs>
          <w:tab w:val="left" w:pos="2268"/>
          <w:tab w:val="left" w:pos="6487"/>
        </w:tabs>
        <w:ind w:right="-1"/>
        <w:rPr>
          <w:rFonts w:ascii="Times New Roman" w:hAnsi="Times New Roman" w:cs="Times New Roman"/>
          <w:sz w:val="24"/>
          <w:szCs w:val="24"/>
        </w:rPr>
      </w:pPr>
    </w:p>
    <w:p w14:paraId="4F53EE2D" w14:textId="29487226"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Le commettant avait alors invoqué la violation de cette clause de non-concurrence par l’agent, clause qu’il considérait valide en vertu du droit commun belge des contrats et non au regard de la loi du 13 avril 1995, dont il soutenait à ce moment qu’elle n’était pas d’application.</w:t>
      </w:r>
    </w:p>
    <w:p w14:paraId="5B4FD2BA" w14:textId="77777777" w:rsidR="00734FD2" w:rsidRPr="0089482B" w:rsidRDefault="00734FD2" w:rsidP="00D12FD8">
      <w:pPr>
        <w:pStyle w:val="Corpsdetexte"/>
        <w:tabs>
          <w:tab w:val="left" w:pos="2268"/>
          <w:tab w:val="left" w:pos="6487"/>
        </w:tabs>
        <w:ind w:right="-1"/>
        <w:rPr>
          <w:rFonts w:ascii="Times New Roman" w:hAnsi="Times New Roman" w:cs="Times New Roman"/>
          <w:sz w:val="24"/>
          <w:szCs w:val="24"/>
        </w:rPr>
      </w:pPr>
    </w:p>
    <w:p w14:paraId="61E525A3" w14:textId="20541FE2"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Or, la restriction prévue par l’article X.22 du Code de droit économique est propre au régime qu’instaure la loi du 13 avril 1995 et ne trouve donc pas à s’appliquer en droit commun des contrats.</w:t>
      </w:r>
    </w:p>
    <w:p w14:paraId="5657F3AC" w14:textId="77777777" w:rsidR="00734FD2" w:rsidRPr="0089482B" w:rsidRDefault="00734FD2" w:rsidP="00D12FD8">
      <w:pPr>
        <w:pStyle w:val="Corpsdetexte"/>
        <w:tabs>
          <w:tab w:val="left" w:pos="2268"/>
          <w:tab w:val="left" w:pos="6487"/>
        </w:tabs>
        <w:ind w:right="-1"/>
        <w:rPr>
          <w:rFonts w:ascii="Times New Roman" w:hAnsi="Times New Roman" w:cs="Times New Roman"/>
          <w:sz w:val="24"/>
          <w:szCs w:val="24"/>
        </w:rPr>
      </w:pPr>
    </w:p>
    <w:p w14:paraId="2EE1D0A2" w14:textId="072BEDC5" w:rsidR="00DD4777" w:rsidRDefault="00481F99" w:rsidP="00D12FD8">
      <w:pPr>
        <w:pStyle w:val="Corpsdetexte"/>
        <w:tabs>
          <w:tab w:val="left" w:pos="2268"/>
          <w:tab w:val="left" w:pos="6487"/>
        </w:tabs>
        <w:ind w:right="-1"/>
        <w:rPr>
          <w:rFonts w:ascii="Times New Roman" w:hAnsi="Times New Roman" w:cs="Times New Roman"/>
          <w:sz w:val="24"/>
          <w:szCs w:val="24"/>
        </w:rPr>
      </w:pPr>
      <w:r w:rsidRPr="0089482B">
        <w:rPr>
          <w:rFonts w:ascii="Times New Roman" w:hAnsi="Times New Roman" w:cs="Times New Roman"/>
          <w:sz w:val="24"/>
          <w:szCs w:val="24"/>
        </w:rPr>
        <w:t>La cour d’appel de Liège rejeta l’argumentation du commettant, singulièrement contraire au principe de bonne foi. Elle considéra en effet qu’il était légitime que l’agent ait pu croire que la loi du 13 avril 1995 régissait leur relation et se prévale de la restriction prévue par l’article 24. Elle s’exprima en ces termes : « en prétendant, de façon permanente, continue et non équivoque durant quatre mois, que la loi du 13 avril 1995 était d’application, pour ensuite opérer un revirement complet le      1</w:t>
      </w:r>
      <w:r w:rsidRPr="0089482B">
        <w:rPr>
          <w:rFonts w:ascii="Times New Roman" w:hAnsi="Times New Roman" w:cs="Times New Roman"/>
          <w:sz w:val="24"/>
          <w:szCs w:val="24"/>
          <w:vertAlign w:val="superscript"/>
        </w:rPr>
        <w:t>er</w:t>
      </w:r>
      <w:r w:rsidRPr="0089482B">
        <w:rPr>
          <w:rFonts w:ascii="Times New Roman" w:hAnsi="Times New Roman" w:cs="Times New Roman"/>
          <w:sz w:val="24"/>
          <w:szCs w:val="24"/>
        </w:rPr>
        <w:t xml:space="preserve"> mars 2013, le commettant a déjoué les espérances légitimes de l’agent (...). Un tel comportement est fautif, contraire à l’exécution de bonne foi par le commettant de la convention (...). Il doit être sanctionné par l’écartement de l’application de [la clause de non-concurrence] jusqu’au 1</w:t>
      </w:r>
      <w:r w:rsidRPr="0089482B">
        <w:rPr>
          <w:rFonts w:ascii="Times New Roman" w:hAnsi="Times New Roman" w:cs="Times New Roman"/>
          <w:sz w:val="24"/>
          <w:szCs w:val="24"/>
          <w:vertAlign w:val="superscript"/>
        </w:rPr>
        <w:t>er</w:t>
      </w:r>
      <w:r w:rsidRPr="0089482B">
        <w:rPr>
          <w:rFonts w:ascii="Times New Roman" w:hAnsi="Times New Roman" w:cs="Times New Roman"/>
          <w:sz w:val="24"/>
          <w:szCs w:val="24"/>
        </w:rPr>
        <w:t xml:space="preserve"> mars 2013, ce qui revient en fait à priver la clause de non-concurrence de tout effet pratique dès lors que celle-ci était limitée à trois mois à dater de la résiliation [en date du 25 octobre 2012, on le rappelle] ».</w:t>
      </w:r>
    </w:p>
    <w:p w14:paraId="3B4D61B4" w14:textId="2EC63897" w:rsidR="00734FD2" w:rsidRDefault="00734FD2" w:rsidP="00D12FD8">
      <w:pPr>
        <w:pStyle w:val="Corpsdetexte"/>
        <w:tabs>
          <w:tab w:val="left" w:pos="2268"/>
          <w:tab w:val="left" w:pos="6487"/>
        </w:tabs>
        <w:ind w:right="-1"/>
        <w:rPr>
          <w:rFonts w:ascii="Times New Roman" w:hAnsi="Times New Roman" w:cs="Times New Roman"/>
          <w:sz w:val="24"/>
          <w:szCs w:val="24"/>
        </w:rPr>
      </w:pPr>
    </w:p>
    <w:p w14:paraId="0575D2C6" w14:textId="77777777" w:rsidR="00734FD2" w:rsidRPr="0089482B" w:rsidRDefault="00734FD2" w:rsidP="00D12FD8">
      <w:pPr>
        <w:pStyle w:val="Corpsdetexte"/>
        <w:tabs>
          <w:tab w:val="left" w:pos="2268"/>
          <w:tab w:val="left" w:pos="6487"/>
        </w:tabs>
        <w:ind w:right="-1"/>
        <w:rPr>
          <w:rFonts w:ascii="Times New Roman" w:hAnsi="Times New Roman" w:cs="Times New Roman"/>
          <w:sz w:val="24"/>
          <w:szCs w:val="24"/>
        </w:rPr>
      </w:pPr>
    </w:p>
    <w:p w14:paraId="6FCD89A8" w14:textId="09F8F471" w:rsidR="00734FD2" w:rsidRPr="00734FD2" w:rsidRDefault="00481F99" w:rsidP="00D12FD8">
      <w:pPr>
        <w:tabs>
          <w:tab w:val="left" w:pos="2268"/>
          <w:tab w:val="left" w:pos="5854"/>
          <w:tab w:val="left" w:pos="6487"/>
        </w:tabs>
        <w:ind w:right="-1"/>
        <w:jc w:val="right"/>
        <w:rPr>
          <w:rFonts w:ascii="Times New Roman" w:hAnsi="Times New Roman" w:cs="Times New Roman"/>
          <w:i/>
          <w:iCs/>
          <w:sz w:val="24"/>
          <w:szCs w:val="24"/>
        </w:rPr>
      </w:pPr>
      <w:r w:rsidRPr="00734FD2">
        <w:rPr>
          <w:rFonts w:ascii="Times New Roman" w:hAnsi="Times New Roman" w:cs="Times New Roman"/>
          <w:i/>
          <w:iCs/>
          <w:sz w:val="24"/>
          <w:szCs w:val="24"/>
        </w:rPr>
        <w:t>Alice DEJOLLIER</w:t>
      </w:r>
    </w:p>
    <w:p w14:paraId="280D9857" w14:textId="22AA06A4" w:rsidR="00DD4777" w:rsidRPr="00734FD2" w:rsidRDefault="00481F99" w:rsidP="00D12FD8">
      <w:pPr>
        <w:tabs>
          <w:tab w:val="left" w:pos="2268"/>
          <w:tab w:val="left" w:pos="5854"/>
          <w:tab w:val="left" w:pos="6487"/>
        </w:tabs>
        <w:ind w:right="-1"/>
        <w:jc w:val="right"/>
        <w:rPr>
          <w:rFonts w:ascii="Times New Roman" w:hAnsi="Times New Roman" w:cs="Times New Roman"/>
          <w:i/>
          <w:iCs/>
          <w:sz w:val="24"/>
          <w:szCs w:val="24"/>
        </w:rPr>
      </w:pPr>
      <w:r w:rsidRPr="00734FD2">
        <w:rPr>
          <w:rFonts w:ascii="Times New Roman" w:hAnsi="Times New Roman" w:cs="Times New Roman"/>
          <w:i/>
          <w:iCs/>
          <w:sz w:val="24"/>
          <w:szCs w:val="24"/>
        </w:rPr>
        <w:t>Patrick KILESTE</w:t>
      </w:r>
    </w:p>
    <w:p w14:paraId="2C9A1201" w14:textId="61E3E997" w:rsidR="00DD4777" w:rsidRPr="00734FD2" w:rsidRDefault="00734FD2" w:rsidP="00D12FD8">
      <w:pPr>
        <w:pStyle w:val="Corpsdetexte"/>
        <w:tabs>
          <w:tab w:val="left" w:pos="2268"/>
          <w:tab w:val="left" w:pos="4450"/>
          <w:tab w:val="left" w:pos="6487"/>
        </w:tabs>
        <w:ind w:right="-1"/>
        <w:jc w:val="right"/>
        <w:rPr>
          <w:rFonts w:ascii="Times New Roman" w:hAnsi="Times New Roman" w:cs="Times New Roman"/>
          <w:i/>
          <w:iCs/>
          <w:sz w:val="24"/>
          <w:szCs w:val="24"/>
        </w:rPr>
      </w:pPr>
      <w:r w:rsidRPr="00734FD2">
        <w:rPr>
          <w:rFonts w:ascii="Times New Roman" w:hAnsi="Times New Roman" w:cs="Times New Roman"/>
          <w:i/>
          <w:iCs/>
          <w:sz w:val="24"/>
          <w:szCs w:val="24"/>
        </w:rPr>
        <w:t>Avocats</w:t>
      </w:r>
      <w:r w:rsidR="00481F99" w:rsidRPr="00734FD2">
        <w:rPr>
          <w:rFonts w:ascii="Times New Roman" w:hAnsi="Times New Roman" w:cs="Times New Roman"/>
          <w:i/>
          <w:iCs/>
          <w:sz w:val="24"/>
          <w:szCs w:val="24"/>
        </w:rPr>
        <w:t xml:space="preserve"> au barreau de Bruxelle</w:t>
      </w:r>
      <w:r w:rsidRPr="00734FD2">
        <w:rPr>
          <w:rFonts w:ascii="Times New Roman" w:hAnsi="Times New Roman" w:cs="Times New Roman"/>
          <w:i/>
          <w:iCs/>
          <w:sz w:val="24"/>
          <w:szCs w:val="24"/>
        </w:rPr>
        <w:t>s</w:t>
      </w:r>
    </w:p>
    <w:sectPr w:rsidR="00DD4777" w:rsidRPr="00734FD2" w:rsidSect="00D12FD8">
      <w:headerReference w:type="default" r:id="rId7"/>
      <w:type w:val="continuous"/>
      <w:pgSz w:w="8790" w:h="13610"/>
      <w:pgMar w:top="993" w:right="993" w:bottom="993"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56FA" w14:textId="77777777" w:rsidR="00481F99" w:rsidRDefault="00481F99">
      <w:r>
        <w:separator/>
      </w:r>
    </w:p>
  </w:endnote>
  <w:endnote w:type="continuationSeparator" w:id="0">
    <w:p w14:paraId="7DBDCB9E" w14:textId="77777777" w:rsidR="00481F99" w:rsidRDefault="0048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96DF1" w14:textId="77777777" w:rsidR="00481F99" w:rsidRDefault="00481F99">
      <w:r>
        <w:separator/>
      </w:r>
    </w:p>
  </w:footnote>
  <w:footnote w:type="continuationSeparator" w:id="0">
    <w:p w14:paraId="02B2C4F9" w14:textId="77777777" w:rsidR="00481F99" w:rsidRDefault="00481F99">
      <w:r>
        <w:continuationSeparator/>
      </w:r>
    </w:p>
  </w:footnote>
  <w:footnote w:id="1">
    <w:p w14:paraId="31BD1B48" w14:textId="649A1EC5" w:rsidR="00CE08E9" w:rsidRPr="00226D7A" w:rsidRDefault="00CE08E9" w:rsidP="00841994">
      <w:pPr>
        <w:pStyle w:val="Notedebasdepage"/>
        <w:jc w:val="both"/>
        <w:rPr>
          <w:rFonts w:ascii="Times New Roman" w:hAnsi="Times New Roman" w:cs="Times New Roman"/>
          <w:sz w:val="18"/>
          <w:szCs w:val="18"/>
          <w:lang w:val="fr-BE"/>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w:t>
      </w:r>
      <w:proofErr w:type="spellStart"/>
      <w:r w:rsidRPr="00226D7A">
        <w:rPr>
          <w:rFonts w:ascii="Times New Roman" w:hAnsi="Times New Roman" w:cs="Times New Roman"/>
          <w:sz w:val="18"/>
          <w:szCs w:val="18"/>
        </w:rPr>
        <w:t>Voy</w:t>
      </w:r>
      <w:proofErr w:type="spellEnd"/>
      <w:r w:rsidRPr="00226D7A">
        <w:rPr>
          <w:rFonts w:ascii="Times New Roman" w:hAnsi="Times New Roman" w:cs="Times New Roman"/>
          <w:sz w:val="18"/>
          <w:szCs w:val="18"/>
        </w:rPr>
        <w:t xml:space="preserve">. </w:t>
      </w:r>
      <w:proofErr w:type="gramStart"/>
      <w:r w:rsidRPr="00226D7A">
        <w:rPr>
          <w:rFonts w:ascii="Times New Roman" w:hAnsi="Times New Roman" w:cs="Times New Roman"/>
          <w:sz w:val="18"/>
          <w:szCs w:val="18"/>
        </w:rPr>
        <w:t>notamment</w:t>
      </w:r>
      <w:proofErr w:type="gramEnd"/>
      <w:r w:rsidRPr="00226D7A">
        <w:rPr>
          <w:rFonts w:ascii="Times New Roman" w:hAnsi="Times New Roman" w:cs="Times New Roman"/>
          <w:sz w:val="18"/>
          <w:szCs w:val="18"/>
        </w:rPr>
        <w:t xml:space="preserve"> P. HOLLANDER, « Questions de droit international privé et d’arbitrage touchant à la distribution commerciale », </w:t>
      </w:r>
      <w:r w:rsidRPr="00226D7A">
        <w:rPr>
          <w:rFonts w:ascii="Times New Roman" w:hAnsi="Times New Roman" w:cs="Times New Roman"/>
          <w:i/>
          <w:sz w:val="18"/>
          <w:szCs w:val="18"/>
        </w:rPr>
        <w:t>in Le droit de la distribution</w:t>
      </w:r>
      <w:r w:rsidRPr="00226D7A">
        <w:rPr>
          <w:rFonts w:ascii="Times New Roman" w:hAnsi="Times New Roman" w:cs="Times New Roman"/>
          <w:sz w:val="18"/>
          <w:szCs w:val="18"/>
        </w:rPr>
        <w:t xml:space="preserve">, Formation permanente CUP, </w:t>
      </w:r>
      <w:proofErr w:type="spellStart"/>
      <w:r w:rsidRPr="00226D7A">
        <w:rPr>
          <w:rFonts w:ascii="Times New Roman" w:hAnsi="Times New Roman" w:cs="Times New Roman"/>
          <w:sz w:val="18"/>
          <w:szCs w:val="18"/>
        </w:rPr>
        <w:t>Limal</w:t>
      </w:r>
      <w:proofErr w:type="spellEnd"/>
      <w:r w:rsidRPr="00226D7A">
        <w:rPr>
          <w:rFonts w:ascii="Times New Roman" w:hAnsi="Times New Roman" w:cs="Times New Roman"/>
          <w:sz w:val="18"/>
          <w:szCs w:val="18"/>
        </w:rPr>
        <w:t xml:space="preserve">, </w:t>
      </w:r>
      <w:proofErr w:type="spellStart"/>
      <w:r w:rsidRPr="00226D7A">
        <w:rPr>
          <w:rFonts w:ascii="Times New Roman" w:hAnsi="Times New Roman" w:cs="Times New Roman"/>
          <w:sz w:val="18"/>
          <w:szCs w:val="18"/>
        </w:rPr>
        <w:t>Anthemis</w:t>
      </w:r>
      <w:proofErr w:type="spellEnd"/>
      <w:r w:rsidRPr="00226D7A">
        <w:rPr>
          <w:rFonts w:ascii="Times New Roman" w:hAnsi="Times New Roman" w:cs="Times New Roman"/>
          <w:sz w:val="18"/>
          <w:szCs w:val="18"/>
        </w:rPr>
        <w:t xml:space="preserve">, 2009, vol. 110, p. 307 ; P. KILESTE, « Agence et concession : deux lois interactives ? », </w:t>
      </w:r>
      <w:r w:rsidRPr="00226D7A">
        <w:rPr>
          <w:rFonts w:ascii="Times New Roman" w:hAnsi="Times New Roman" w:cs="Times New Roman"/>
          <w:i/>
          <w:sz w:val="18"/>
          <w:szCs w:val="18"/>
        </w:rPr>
        <w:t>cette revue</w:t>
      </w:r>
      <w:r w:rsidRPr="00226D7A">
        <w:rPr>
          <w:rFonts w:ascii="Times New Roman" w:hAnsi="Times New Roman" w:cs="Times New Roman"/>
          <w:sz w:val="18"/>
          <w:szCs w:val="18"/>
        </w:rPr>
        <w:t>, 2002, liv. 19, p. 837.</w:t>
      </w:r>
    </w:p>
  </w:footnote>
  <w:footnote w:id="2">
    <w:p w14:paraId="0A0EBC54" w14:textId="60EF66C0" w:rsidR="00CE08E9" w:rsidRPr="00226D7A" w:rsidRDefault="00CE08E9" w:rsidP="00841994">
      <w:pPr>
        <w:tabs>
          <w:tab w:val="left" w:pos="2268"/>
          <w:tab w:val="left" w:pos="6487"/>
        </w:tabs>
        <w:ind w:right="-1"/>
        <w:jc w:val="both"/>
        <w:rPr>
          <w:rFonts w:ascii="Times New Roman" w:hAnsi="Times New Roman" w:cs="Times New Roman"/>
          <w:sz w:val="18"/>
          <w:szCs w:val="18"/>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Sur le caractère autolimité de la loi en matière de concessions de vente, </w:t>
      </w:r>
      <w:proofErr w:type="spellStart"/>
      <w:r w:rsidRPr="00226D7A">
        <w:rPr>
          <w:rFonts w:ascii="Times New Roman" w:hAnsi="Times New Roman" w:cs="Times New Roman"/>
          <w:sz w:val="18"/>
          <w:szCs w:val="18"/>
        </w:rPr>
        <w:t>voy</w:t>
      </w:r>
      <w:proofErr w:type="spellEnd"/>
      <w:r w:rsidRPr="00226D7A">
        <w:rPr>
          <w:rFonts w:ascii="Times New Roman" w:hAnsi="Times New Roman" w:cs="Times New Roman"/>
          <w:sz w:val="18"/>
          <w:szCs w:val="18"/>
        </w:rPr>
        <w:t xml:space="preserve">. notamment Fr. RIGAUX, </w:t>
      </w:r>
      <w:r w:rsidRPr="00226D7A">
        <w:rPr>
          <w:rFonts w:ascii="Times New Roman" w:hAnsi="Times New Roman" w:cs="Times New Roman"/>
          <w:i/>
          <w:sz w:val="18"/>
          <w:szCs w:val="18"/>
        </w:rPr>
        <w:t>Droit international privé</w:t>
      </w:r>
      <w:r w:rsidRPr="00226D7A">
        <w:rPr>
          <w:rFonts w:ascii="Times New Roman" w:hAnsi="Times New Roman" w:cs="Times New Roman"/>
          <w:sz w:val="18"/>
          <w:szCs w:val="18"/>
        </w:rPr>
        <w:t>, tome 1, Bruxelles, Larcier, 1968, 1</w:t>
      </w:r>
      <w:r w:rsidRPr="00226D7A">
        <w:rPr>
          <w:rFonts w:ascii="Times New Roman" w:hAnsi="Times New Roman" w:cs="Times New Roman"/>
          <w:sz w:val="18"/>
          <w:szCs w:val="18"/>
          <w:vertAlign w:val="superscript"/>
        </w:rPr>
        <w:t>re</w:t>
      </w:r>
      <w:r w:rsidRPr="00226D7A">
        <w:rPr>
          <w:rFonts w:ascii="Times New Roman" w:hAnsi="Times New Roman" w:cs="Times New Roman"/>
          <w:sz w:val="18"/>
          <w:szCs w:val="18"/>
        </w:rPr>
        <w:t xml:space="preserve"> édition, p. 120 ; M. VERWILGHEN, « Les règles de droit limitant leur propre domaine d’application en droit international privé belge », Rapports belges au X</w:t>
      </w:r>
      <w:r w:rsidRPr="00226D7A">
        <w:rPr>
          <w:rFonts w:ascii="Times New Roman" w:hAnsi="Times New Roman" w:cs="Times New Roman"/>
          <w:sz w:val="18"/>
          <w:szCs w:val="18"/>
          <w:vertAlign w:val="superscript"/>
        </w:rPr>
        <w:t>e</w:t>
      </w:r>
      <w:r w:rsidRPr="00226D7A">
        <w:rPr>
          <w:rFonts w:ascii="Times New Roman" w:hAnsi="Times New Roman" w:cs="Times New Roman"/>
          <w:sz w:val="18"/>
          <w:szCs w:val="18"/>
        </w:rPr>
        <w:t xml:space="preserve"> congrès de l’Académie internationale de droit comparé, Bruxelles, Bruylant, p. 359 ; Bruxelles, 30 janvier 2004, </w:t>
      </w:r>
      <w:r w:rsidRPr="00226D7A">
        <w:rPr>
          <w:rFonts w:ascii="Times New Roman" w:hAnsi="Times New Roman" w:cs="Times New Roman"/>
          <w:i/>
          <w:sz w:val="18"/>
          <w:szCs w:val="18"/>
        </w:rPr>
        <w:t>R.D.C.</w:t>
      </w:r>
      <w:r w:rsidRPr="00226D7A">
        <w:rPr>
          <w:rFonts w:ascii="Times New Roman" w:hAnsi="Times New Roman" w:cs="Times New Roman"/>
          <w:sz w:val="18"/>
          <w:szCs w:val="18"/>
        </w:rPr>
        <w:t xml:space="preserve">, 2005, p. 55 ; Bruxelles, 27 avril 2004, </w:t>
      </w:r>
      <w:r w:rsidRPr="00226D7A">
        <w:rPr>
          <w:rFonts w:ascii="Times New Roman" w:hAnsi="Times New Roman" w:cs="Times New Roman"/>
          <w:i/>
          <w:sz w:val="18"/>
          <w:szCs w:val="18"/>
        </w:rPr>
        <w:t>R.D.C.</w:t>
      </w:r>
      <w:r w:rsidRPr="00226D7A">
        <w:rPr>
          <w:rFonts w:ascii="Times New Roman" w:hAnsi="Times New Roman" w:cs="Times New Roman"/>
          <w:sz w:val="18"/>
          <w:szCs w:val="18"/>
        </w:rPr>
        <w:t xml:space="preserve">, 2007, p. 974 et Cass., 6 avril 2006, R.G. n° C.05.0290.N, </w:t>
      </w:r>
      <w:r w:rsidRPr="00226D7A">
        <w:rPr>
          <w:rFonts w:ascii="Times New Roman" w:hAnsi="Times New Roman" w:cs="Times New Roman"/>
          <w:i/>
          <w:sz w:val="18"/>
          <w:szCs w:val="18"/>
        </w:rPr>
        <w:t>Pas</w:t>
      </w:r>
      <w:r w:rsidRPr="00226D7A">
        <w:rPr>
          <w:rFonts w:ascii="Times New Roman" w:hAnsi="Times New Roman" w:cs="Times New Roman"/>
          <w:sz w:val="18"/>
          <w:szCs w:val="18"/>
        </w:rPr>
        <w:t>., 2006, I, p. 808.</w:t>
      </w:r>
    </w:p>
  </w:footnote>
  <w:footnote w:id="3">
    <w:p w14:paraId="006BCAF2" w14:textId="4670656A" w:rsidR="00226D7A" w:rsidRPr="00226D7A" w:rsidRDefault="00226D7A" w:rsidP="00841994">
      <w:pPr>
        <w:tabs>
          <w:tab w:val="left" w:pos="2268"/>
          <w:tab w:val="left" w:pos="6487"/>
        </w:tabs>
        <w:ind w:right="-1"/>
        <w:jc w:val="both"/>
        <w:rPr>
          <w:rFonts w:ascii="Times New Roman" w:hAnsi="Times New Roman" w:cs="Times New Roman"/>
          <w:sz w:val="18"/>
          <w:szCs w:val="18"/>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Sur le caractère autolimité de la loi en matière de franchise, </w:t>
      </w:r>
      <w:proofErr w:type="spellStart"/>
      <w:r w:rsidRPr="00226D7A">
        <w:rPr>
          <w:rFonts w:ascii="Times New Roman" w:hAnsi="Times New Roman" w:cs="Times New Roman"/>
          <w:sz w:val="18"/>
          <w:szCs w:val="18"/>
        </w:rPr>
        <w:t>voy</w:t>
      </w:r>
      <w:proofErr w:type="spellEnd"/>
      <w:r w:rsidRPr="00226D7A">
        <w:rPr>
          <w:rFonts w:ascii="Times New Roman" w:hAnsi="Times New Roman" w:cs="Times New Roman"/>
          <w:sz w:val="18"/>
          <w:szCs w:val="18"/>
        </w:rPr>
        <w:t xml:space="preserve">. </w:t>
      </w:r>
      <w:proofErr w:type="gramStart"/>
      <w:r w:rsidRPr="00226D7A">
        <w:rPr>
          <w:rFonts w:ascii="Times New Roman" w:hAnsi="Times New Roman" w:cs="Times New Roman"/>
          <w:sz w:val="18"/>
          <w:szCs w:val="18"/>
        </w:rPr>
        <w:t>notamment</w:t>
      </w:r>
      <w:proofErr w:type="gramEnd"/>
      <w:r w:rsidRPr="00226D7A">
        <w:rPr>
          <w:rFonts w:ascii="Times New Roman" w:hAnsi="Times New Roman" w:cs="Times New Roman"/>
          <w:sz w:val="18"/>
          <w:szCs w:val="18"/>
        </w:rPr>
        <w:t xml:space="preserve"> P. KILESTE et C. STAUDT, « Tribunaux compétents et droit  applicable en cas  de litige »,  </w:t>
      </w:r>
      <w:r w:rsidRPr="00226D7A">
        <w:rPr>
          <w:rFonts w:ascii="Times New Roman" w:hAnsi="Times New Roman" w:cs="Times New Roman"/>
          <w:i/>
          <w:sz w:val="18"/>
          <w:szCs w:val="18"/>
        </w:rPr>
        <w:t>in Contrat de  franchise</w:t>
      </w:r>
      <w:r w:rsidRPr="00226D7A">
        <w:rPr>
          <w:rFonts w:ascii="Times New Roman" w:hAnsi="Times New Roman" w:cs="Times New Roman"/>
          <w:sz w:val="18"/>
          <w:szCs w:val="18"/>
        </w:rPr>
        <w:t>,  Bruxelles,  Bruylant,  2014, p. 146, n° 308.</w:t>
      </w:r>
    </w:p>
  </w:footnote>
  <w:footnote w:id="4">
    <w:p w14:paraId="57725AAF" w14:textId="650EFD5F" w:rsidR="00226D7A" w:rsidRPr="00226D7A" w:rsidRDefault="00226D7A" w:rsidP="00841994">
      <w:pPr>
        <w:tabs>
          <w:tab w:val="left" w:pos="2268"/>
          <w:tab w:val="left" w:pos="6487"/>
        </w:tabs>
        <w:ind w:right="-1"/>
        <w:jc w:val="both"/>
        <w:rPr>
          <w:rFonts w:ascii="Times New Roman" w:hAnsi="Times New Roman" w:cs="Times New Roman"/>
          <w:sz w:val="18"/>
          <w:szCs w:val="18"/>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A. DE SCHOUTHEETE et P. VANDEPITTE, « Le caractère autolimité de la loi du 13 avril 1995 relative au contrat</w:t>
      </w:r>
      <w:r w:rsidR="00841994">
        <w:rPr>
          <w:rFonts w:ascii="Times New Roman" w:hAnsi="Times New Roman" w:cs="Times New Roman"/>
          <w:sz w:val="18"/>
          <w:szCs w:val="18"/>
        </w:rPr>
        <w:t xml:space="preserve"> </w:t>
      </w:r>
      <w:r w:rsidRPr="00226D7A">
        <w:rPr>
          <w:rFonts w:ascii="Times New Roman" w:hAnsi="Times New Roman" w:cs="Times New Roman"/>
          <w:sz w:val="18"/>
          <w:szCs w:val="18"/>
        </w:rPr>
        <w:t xml:space="preserve">d’agence commerciale », </w:t>
      </w:r>
      <w:r w:rsidRPr="00226D7A">
        <w:rPr>
          <w:rFonts w:ascii="Times New Roman" w:hAnsi="Times New Roman" w:cs="Times New Roman"/>
          <w:i/>
          <w:sz w:val="18"/>
          <w:szCs w:val="18"/>
        </w:rPr>
        <w:t>R.D.C.</w:t>
      </w:r>
      <w:r w:rsidRPr="00226D7A">
        <w:rPr>
          <w:rFonts w:ascii="Times New Roman" w:hAnsi="Times New Roman" w:cs="Times New Roman"/>
          <w:sz w:val="18"/>
          <w:szCs w:val="18"/>
        </w:rPr>
        <w:t>, 2012/3, p. 244.</w:t>
      </w:r>
    </w:p>
  </w:footnote>
  <w:footnote w:id="5">
    <w:p w14:paraId="00C10A4F" w14:textId="6538733F" w:rsidR="00226D7A" w:rsidRPr="00226D7A" w:rsidRDefault="00226D7A" w:rsidP="00841994">
      <w:pPr>
        <w:tabs>
          <w:tab w:val="left" w:pos="2268"/>
          <w:tab w:val="left" w:pos="6487"/>
        </w:tabs>
        <w:ind w:right="-1"/>
        <w:jc w:val="both"/>
        <w:rPr>
          <w:rFonts w:ascii="Times New Roman" w:hAnsi="Times New Roman" w:cs="Times New Roman"/>
          <w:sz w:val="18"/>
          <w:szCs w:val="18"/>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Directive du Conseil du 18 décembre 1986 relative à la coordination des droits des États membres concernant les agents commerciaux indépendants, </w:t>
      </w:r>
      <w:r w:rsidRPr="00226D7A">
        <w:rPr>
          <w:rFonts w:ascii="Times New Roman" w:hAnsi="Times New Roman" w:cs="Times New Roman"/>
          <w:i/>
          <w:sz w:val="18"/>
          <w:szCs w:val="18"/>
        </w:rPr>
        <w:t>J.O.U.E</w:t>
      </w:r>
      <w:r w:rsidRPr="00226D7A">
        <w:rPr>
          <w:rFonts w:ascii="Times New Roman" w:hAnsi="Times New Roman" w:cs="Times New Roman"/>
          <w:sz w:val="18"/>
          <w:szCs w:val="18"/>
        </w:rPr>
        <w:t>., L. 382, 31 décembre 1986, pp. 17 à 21.</w:t>
      </w:r>
    </w:p>
  </w:footnote>
  <w:footnote w:id="6">
    <w:p w14:paraId="1F5F2EF4" w14:textId="0BF63E70" w:rsidR="00226D7A" w:rsidRPr="00226D7A" w:rsidRDefault="00226D7A" w:rsidP="00841994">
      <w:pPr>
        <w:tabs>
          <w:tab w:val="left" w:pos="2268"/>
          <w:tab w:val="left" w:pos="6487"/>
        </w:tabs>
        <w:ind w:right="-1"/>
        <w:jc w:val="both"/>
        <w:rPr>
          <w:rFonts w:ascii="Times New Roman" w:hAnsi="Times New Roman" w:cs="Times New Roman"/>
          <w:sz w:val="18"/>
          <w:szCs w:val="18"/>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C.J.U.E., </w:t>
      </w:r>
      <w:r w:rsidRPr="00226D7A">
        <w:rPr>
          <w:rFonts w:ascii="Times New Roman" w:hAnsi="Times New Roman" w:cs="Times New Roman"/>
          <w:i/>
          <w:sz w:val="18"/>
          <w:szCs w:val="18"/>
        </w:rPr>
        <w:t xml:space="preserve">United </w:t>
      </w:r>
      <w:proofErr w:type="spellStart"/>
      <w:r w:rsidRPr="00226D7A">
        <w:rPr>
          <w:rFonts w:ascii="Times New Roman" w:hAnsi="Times New Roman" w:cs="Times New Roman"/>
          <w:i/>
          <w:sz w:val="18"/>
          <w:szCs w:val="18"/>
        </w:rPr>
        <w:t>Antwerp</w:t>
      </w:r>
      <w:proofErr w:type="spellEnd"/>
      <w:r w:rsidRPr="00226D7A">
        <w:rPr>
          <w:rFonts w:ascii="Times New Roman" w:hAnsi="Times New Roman" w:cs="Times New Roman"/>
          <w:i/>
          <w:sz w:val="18"/>
          <w:szCs w:val="18"/>
        </w:rPr>
        <w:t xml:space="preserve"> Maritime </w:t>
      </w:r>
      <w:proofErr w:type="spellStart"/>
      <w:r w:rsidRPr="00226D7A">
        <w:rPr>
          <w:rFonts w:ascii="Times New Roman" w:hAnsi="Times New Roman" w:cs="Times New Roman"/>
          <w:i/>
          <w:sz w:val="18"/>
          <w:szCs w:val="18"/>
        </w:rPr>
        <w:t>Agencies</w:t>
      </w:r>
      <w:proofErr w:type="spellEnd"/>
      <w:r w:rsidRPr="00226D7A">
        <w:rPr>
          <w:rFonts w:ascii="Times New Roman" w:hAnsi="Times New Roman" w:cs="Times New Roman"/>
          <w:i/>
          <w:sz w:val="18"/>
          <w:szCs w:val="18"/>
        </w:rPr>
        <w:t xml:space="preserve"> (</w:t>
      </w:r>
      <w:proofErr w:type="spellStart"/>
      <w:r w:rsidRPr="00226D7A">
        <w:rPr>
          <w:rFonts w:ascii="Times New Roman" w:hAnsi="Times New Roman" w:cs="Times New Roman"/>
          <w:i/>
          <w:sz w:val="18"/>
          <w:szCs w:val="18"/>
        </w:rPr>
        <w:t>Unamar</w:t>
      </w:r>
      <w:proofErr w:type="spellEnd"/>
      <w:r w:rsidRPr="00226D7A">
        <w:rPr>
          <w:rFonts w:ascii="Times New Roman" w:hAnsi="Times New Roman" w:cs="Times New Roman"/>
          <w:i/>
          <w:sz w:val="18"/>
          <w:szCs w:val="18"/>
        </w:rPr>
        <w:t xml:space="preserve"> NV) c. Navigation Maritime Bulgare</w:t>
      </w:r>
      <w:r w:rsidRPr="00226D7A">
        <w:rPr>
          <w:rFonts w:ascii="Times New Roman" w:hAnsi="Times New Roman" w:cs="Times New Roman"/>
          <w:sz w:val="18"/>
          <w:szCs w:val="18"/>
        </w:rPr>
        <w:t xml:space="preserve">, 17 octobre 2013, C-184/12, points 39 et 40, confirmant l’interprétation donnée dans C.J.U.E., </w:t>
      </w:r>
      <w:r w:rsidRPr="00226D7A">
        <w:rPr>
          <w:rFonts w:ascii="Times New Roman" w:hAnsi="Times New Roman" w:cs="Times New Roman"/>
          <w:i/>
          <w:sz w:val="18"/>
          <w:szCs w:val="18"/>
        </w:rPr>
        <w:t>Ingmar G.B. Ltd c. Eaton Leonard Technologies Inc.</w:t>
      </w:r>
      <w:r w:rsidRPr="00226D7A">
        <w:rPr>
          <w:rFonts w:ascii="Times New Roman" w:hAnsi="Times New Roman" w:cs="Times New Roman"/>
          <w:sz w:val="18"/>
          <w:szCs w:val="18"/>
        </w:rPr>
        <w:t xml:space="preserve">, 9 novembre 2000, C-381/98, point 24 ; ces deux arrêts sont disponibles sur </w:t>
      </w:r>
      <w:hyperlink r:id="rId1">
        <w:r w:rsidRPr="00226D7A">
          <w:rPr>
            <w:rFonts w:ascii="Times New Roman" w:hAnsi="Times New Roman" w:cs="Times New Roman"/>
            <w:sz w:val="18"/>
            <w:szCs w:val="18"/>
            <w:u w:val="single"/>
          </w:rPr>
          <w:t>www.curia.europa.eu</w:t>
        </w:r>
        <w:r w:rsidRPr="00226D7A">
          <w:rPr>
            <w:rFonts w:ascii="Times New Roman" w:hAnsi="Times New Roman" w:cs="Times New Roman"/>
            <w:sz w:val="18"/>
            <w:szCs w:val="18"/>
          </w:rPr>
          <w:t>.</w:t>
        </w:r>
      </w:hyperlink>
    </w:p>
  </w:footnote>
  <w:footnote w:id="7">
    <w:p w14:paraId="73A006A0" w14:textId="46521D51" w:rsidR="008725A8" w:rsidRPr="00226D7A" w:rsidRDefault="008725A8" w:rsidP="00841994">
      <w:pPr>
        <w:pStyle w:val="Notedebasdepage"/>
        <w:jc w:val="both"/>
        <w:rPr>
          <w:rFonts w:ascii="Times New Roman" w:hAnsi="Times New Roman" w:cs="Times New Roman"/>
          <w:sz w:val="18"/>
          <w:szCs w:val="18"/>
          <w:lang w:val="fr-BE"/>
        </w:rPr>
      </w:pPr>
      <w:r w:rsidRPr="00226D7A">
        <w:rPr>
          <w:rStyle w:val="Appelnotedebasdep"/>
          <w:rFonts w:ascii="Times New Roman" w:hAnsi="Times New Roman" w:cs="Times New Roman"/>
          <w:sz w:val="18"/>
          <w:szCs w:val="18"/>
        </w:rPr>
        <w:footnoteRef/>
      </w:r>
      <w:r w:rsidRPr="00226D7A">
        <w:rPr>
          <w:rFonts w:ascii="Times New Roman" w:hAnsi="Times New Roman" w:cs="Times New Roman"/>
          <w:sz w:val="18"/>
          <w:szCs w:val="18"/>
        </w:rPr>
        <w:t xml:space="preserve"> P. HOLLANDER, </w:t>
      </w:r>
      <w:r w:rsidRPr="00226D7A">
        <w:rPr>
          <w:rFonts w:ascii="Times New Roman" w:hAnsi="Times New Roman" w:cs="Times New Roman"/>
          <w:i/>
          <w:sz w:val="18"/>
          <w:szCs w:val="18"/>
        </w:rPr>
        <w:t xml:space="preserve">op. </w:t>
      </w:r>
      <w:proofErr w:type="spellStart"/>
      <w:proofErr w:type="gramStart"/>
      <w:r w:rsidRPr="00226D7A">
        <w:rPr>
          <w:rFonts w:ascii="Times New Roman" w:hAnsi="Times New Roman" w:cs="Times New Roman"/>
          <w:i/>
          <w:sz w:val="18"/>
          <w:szCs w:val="18"/>
        </w:rPr>
        <w:t>cit</w:t>
      </w:r>
      <w:proofErr w:type="spellEnd"/>
      <w:proofErr w:type="gramEnd"/>
      <w:r w:rsidRPr="00226D7A">
        <w:rPr>
          <w:rFonts w:ascii="Times New Roman" w:hAnsi="Times New Roman" w:cs="Times New Roman"/>
          <w:i/>
          <w:sz w:val="18"/>
          <w:szCs w:val="18"/>
        </w:rPr>
        <w:t>.</w:t>
      </w:r>
      <w:r w:rsidRPr="00226D7A">
        <w:rPr>
          <w:rFonts w:ascii="Times New Roman" w:hAnsi="Times New Roman" w:cs="Times New Roman"/>
          <w:sz w:val="18"/>
          <w:szCs w:val="18"/>
        </w:rPr>
        <w:t>, p.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EB1C4" w14:textId="2375DBF5" w:rsidR="00DD4777" w:rsidRDefault="00DD4777">
    <w:pPr>
      <w:pStyle w:val="Corpsdetexte"/>
      <w:spacing w:line="14"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E4381"/>
    <w:multiLevelType w:val="hybridMultilevel"/>
    <w:tmpl w:val="B5120444"/>
    <w:lvl w:ilvl="0" w:tplc="B4548466">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66B2C9F"/>
    <w:multiLevelType w:val="hybridMultilevel"/>
    <w:tmpl w:val="11A2C948"/>
    <w:lvl w:ilvl="0" w:tplc="54E41B08">
      <w:numFmt w:val="bullet"/>
      <w:lvlText w:val="–"/>
      <w:lvlJc w:val="left"/>
      <w:pPr>
        <w:ind w:left="474" w:hanging="255"/>
      </w:pPr>
      <w:rPr>
        <w:rFonts w:ascii="Times New Roman" w:eastAsia="Times New Roman" w:hAnsi="Times New Roman" w:cs="Times New Roman" w:hint="default"/>
        <w:w w:val="99"/>
        <w:sz w:val="20"/>
        <w:szCs w:val="20"/>
        <w:lang w:val="fr-FR" w:eastAsia="fr-FR" w:bidi="fr-FR"/>
      </w:rPr>
    </w:lvl>
    <w:lvl w:ilvl="1" w:tplc="6428D396">
      <w:numFmt w:val="bullet"/>
      <w:lvlText w:val="•"/>
      <w:lvlJc w:val="left"/>
      <w:pPr>
        <w:ind w:left="1152" w:hanging="255"/>
      </w:pPr>
      <w:rPr>
        <w:rFonts w:hint="default"/>
        <w:lang w:val="fr-FR" w:eastAsia="fr-FR" w:bidi="fr-FR"/>
      </w:rPr>
    </w:lvl>
    <w:lvl w:ilvl="2" w:tplc="BD68AE4C">
      <w:numFmt w:val="bullet"/>
      <w:lvlText w:val="•"/>
      <w:lvlJc w:val="left"/>
      <w:pPr>
        <w:ind w:left="1825" w:hanging="255"/>
      </w:pPr>
      <w:rPr>
        <w:rFonts w:hint="default"/>
        <w:lang w:val="fr-FR" w:eastAsia="fr-FR" w:bidi="fr-FR"/>
      </w:rPr>
    </w:lvl>
    <w:lvl w:ilvl="3" w:tplc="14C87A00">
      <w:numFmt w:val="bullet"/>
      <w:lvlText w:val="•"/>
      <w:lvlJc w:val="left"/>
      <w:pPr>
        <w:ind w:left="2498" w:hanging="255"/>
      </w:pPr>
      <w:rPr>
        <w:rFonts w:hint="default"/>
        <w:lang w:val="fr-FR" w:eastAsia="fr-FR" w:bidi="fr-FR"/>
      </w:rPr>
    </w:lvl>
    <w:lvl w:ilvl="4" w:tplc="F5706206">
      <w:numFmt w:val="bullet"/>
      <w:lvlText w:val="•"/>
      <w:lvlJc w:val="left"/>
      <w:pPr>
        <w:ind w:left="3171" w:hanging="255"/>
      </w:pPr>
      <w:rPr>
        <w:rFonts w:hint="default"/>
        <w:lang w:val="fr-FR" w:eastAsia="fr-FR" w:bidi="fr-FR"/>
      </w:rPr>
    </w:lvl>
    <w:lvl w:ilvl="5" w:tplc="1DBC116A">
      <w:numFmt w:val="bullet"/>
      <w:lvlText w:val="•"/>
      <w:lvlJc w:val="left"/>
      <w:pPr>
        <w:ind w:left="3844" w:hanging="255"/>
      </w:pPr>
      <w:rPr>
        <w:rFonts w:hint="default"/>
        <w:lang w:val="fr-FR" w:eastAsia="fr-FR" w:bidi="fr-FR"/>
      </w:rPr>
    </w:lvl>
    <w:lvl w:ilvl="6" w:tplc="4F6897C0">
      <w:numFmt w:val="bullet"/>
      <w:lvlText w:val="•"/>
      <w:lvlJc w:val="left"/>
      <w:pPr>
        <w:ind w:left="4517" w:hanging="255"/>
      </w:pPr>
      <w:rPr>
        <w:rFonts w:hint="default"/>
        <w:lang w:val="fr-FR" w:eastAsia="fr-FR" w:bidi="fr-FR"/>
      </w:rPr>
    </w:lvl>
    <w:lvl w:ilvl="7" w:tplc="42A89456">
      <w:numFmt w:val="bullet"/>
      <w:lvlText w:val="•"/>
      <w:lvlJc w:val="left"/>
      <w:pPr>
        <w:ind w:left="5190" w:hanging="255"/>
      </w:pPr>
      <w:rPr>
        <w:rFonts w:hint="default"/>
        <w:lang w:val="fr-FR" w:eastAsia="fr-FR" w:bidi="fr-FR"/>
      </w:rPr>
    </w:lvl>
    <w:lvl w:ilvl="8" w:tplc="1F72AABC">
      <w:numFmt w:val="bullet"/>
      <w:lvlText w:val="•"/>
      <w:lvlJc w:val="left"/>
      <w:pPr>
        <w:ind w:left="5863" w:hanging="255"/>
      </w:pPr>
      <w:rPr>
        <w:rFonts w:hint="default"/>
        <w:lang w:val="fr-FR" w:eastAsia="fr-FR" w:bidi="fr-FR"/>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D4777"/>
    <w:rsid w:val="00226D7A"/>
    <w:rsid w:val="00340536"/>
    <w:rsid w:val="00481F99"/>
    <w:rsid w:val="005F5F43"/>
    <w:rsid w:val="00734FD2"/>
    <w:rsid w:val="00772A68"/>
    <w:rsid w:val="00841994"/>
    <w:rsid w:val="008725A8"/>
    <w:rsid w:val="0089482B"/>
    <w:rsid w:val="00AB3B6B"/>
    <w:rsid w:val="00CE08E9"/>
    <w:rsid w:val="00D12FD8"/>
    <w:rsid w:val="00DA3014"/>
    <w:rsid w:val="00DD477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4B5DBE"/>
  <w15:docId w15:val="{3B5D8462-35A4-4CCE-BE8D-6159CFD9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jc w:val="both"/>
    </w:pPr>
    <w:rPr>
      <w:sz w:val="20"/>
      <w:szCs w:val="20"/>
    </w:rPr>
  </w:style>
  <w:style w:type="paragraph" w:styleId="Paragraphedeliste">
    <w:name w:val="List Paragraph"/>
    <w:basedOn w:val="Normal"/>
    <w:uiPriority w:val="1"/>
    <w:qFormat/>
    <w:pPr>
      <w:spacing w:before="57"/>
      <w:ind w:left="474" w:right="128" w:hanging="255"/>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9482B"/>
    <w:pPr>
      <w:tabs>
        <w:tab w:val="center" w:pos="4536"/>
        <w:tab w:val="right" w:pos="9072"/>
      </w:tabs>
    </w:pPr>
  </w:style>
  <w:style w:type="character" w:customStyle="1" w:styleId="En-tteCar">
    <w:name w:val="En-tête Car"/>
    <w:basedOn w:val="Policepardfaut"/>
    <w:link w:val="En-tte"/>
    <w:uiPriority w:val="99"/>
    <w:rsid w:val="0089482B"/>
    <w:rPr>
      <w:rFonts w:ascii="Calibri" w:eastAsia="Calibri" w:hAnsi="Calibri" w:cs="Calibri"/>
      <w:lang w:val="fr-FR" w:eastAsia="fr-FR" w:bidi="fr-FR"/>
    </w:rPr>
  </w:style>
  <w:style w:type="paragraph" w:styleId="Pieddepage">
    <w:name w:val="footer"/>
    <w:basedOn w:val="Normal"/>
    <w:link w:val="PieddepageCar"/>
    <w:uiPriority w:val="99"/>
    <w:unhideWhenUsed/>
    <w:rsid w:val="0089482B"/>
    <w:pPr>
      <w:tabs>
        <w:tab w:val="center" w:pos="4536"/>
        <w:tab w:val="right" w:pos="9072"/>
      </w:tabs>
    </w:pPr>
  </w:style>
  <w:style w:type="character" w:customStyle="1" w:styleId="PieddepageCar">
    <w:name w:val="Pied de page Car"/>
    <w:basedOn w:val="Policepardfaut"/>
    <w:link w:val="Pieddepage"/>
    <w:uiPriority w:val="99"/>
    <w:rsid w:val="0089482B"/>
    <w:rPr>
      <w:rFonts w:ascii="Calibri" w:eastAsia="Calibri" w:hAnsi="Calibri" w:cs="Calibri"/>
      <w:lang w:val="fr-FR" w:eastAsia="fr-FR" w:bidi="fr-FR"/>
    </w:rPr>
  </w:style>
  <w:style w:type="paragraph" w:styleId="Notedebasdepage">
    <w:name w:val="footnote text"/>
    <w:basedOn w:val="Normal"/>
    <w:link w:val="NotedebasdepageCar"/>
    <w:uiPriority w:val="99"/>
    <w:semiHidden/>
    <w:unhideWhenUsed/>
    <w:rsid w:val="008725A8"/>
    <w:rPr>
      <w:sz w:val="20"/>
      <w:szCs w:val="20"/>
    </w:rPr>
  </w:style>
  <w:style w:type="character" w:customStyle="1" w:styleId="NotedebasdepageCar">
    <w:name w:val="Note de bas de page Car"/>
    <w:basedOn w:val="Policepardfaut"/>
    <w:link w:val="Notedebasdepage"/>
    <w:uiPriority w:val="99"/>
    <w:semiHidden/>
    <w:rsid w:val="008725A8"/>
    <w:rPr>
      <w:rFonts w:ascii="Calibri" w:eastAsia="Calibri" w:hAnsi="Calibri" w:cs="Calibri"/>
      <w:sz w:val="20"/>
      <w:szCs w:val="20"/>
      <w:lang w:val="fr-FR" w:eastAsia="fr-FR" w:bidi="fr-FR"/>
    </w:rPr>
  </w:style>
  <w:style w:type="character" w:styleId="Appelnotedebasdep">
    <w:name w:val="footnote reference"/>
    <w:basedOn w:val="Policepardfaut"/>
    <w:uiPriority w:val="99"/>
    <w:semiHidden/>
    <w:unhideWhenUsed/>
    <w:rsid w:val="0087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uri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1532</Words>
  <Characters>8432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Dejollier</cp:lastModifiedBy>
  <cp:revision>4</cp:revision>
  <dcterms:created xsi:type="dcterms:W3CDTF">2020-11-25T16:58:00Z</dcterms:created>
  <dcterms:modified xsi:type="dcterms:W3CDTF">2020-11-25T17:34:00Z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2017-03-23T00:00:00Z</vt:filetime>
  </property>
  <property fmtid="{D5CDD505-2E9C-101B-9397-08002B2CF9AE}" pid="3" name="Creator">
    <vt:lpwstr>pdftk 1.41 - www.pdftk.com</vt:lpwstr>
  </property>
  <property fmtid="{D5CDD505-2E9C-101B-9397-08002B2CF9AE}" pid="4" name="LastSaved">
    <vt:filetime>2020-11-25T00:00:00Z</vt:filetime>
  </property>
</Properties>
</file>