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9C6897" w14:textId="77777777" w:rsidR="002023DF" w:rsidRPr="00AC4154" w:rsidRDefault="002023DF" w:rsidP="005D70B4">
      <w:pPr>
        <w:jc w:val="center"/>
        <w:rPr>
          <w:b/>
          <w:bCs/>
          <w:lang w:val="fr-FR"/>
        </w:rPr>
      </w:pPr>
      <w:r w:rsidRPr="00AC4154">
        <w:rPr>
          <w:b/>
          <w:bCs/>
          <w:lang w:val="fr-FR"/>
        </w:rPr>
        <w:t>De la contrainte à la conviction : promouvoir une culture de l’amiable dans la résolution des conflits</w:t>
      </w:r>
    </w:p>
    <w:p w14:paraId="57F8486D" w14:textId="22DDCCF5" w:rsidR="004972B7" w:rsidRPr="00AC4154" w:rsidRDefault="00B66AEB" w:rsidP="005D70B4">
      <w:pPr>
        <w:jc w:val="center"/>
        <w:rPr>
          <w:i/>
          <w:iCs/>
          <w:lang w:val="fr-FR"/>
        </w:rPr>
      </w:pPr>
      <w:r w:rsidRPr="00AC4154">
        <w:rPr>
          <w:i/>
          <w:iCs/>
          <w:lang w:val="fr-FR"/>
        </w:rPr>
        <w:t>Stéphanie</w:t>
      </w:r>
      <w:r w:rsidR="004972B7" w:rsidRPr="00AC4154">
        <w:rPr>
          <w:i/>
          <w:iCs/>
          <w:lang w:val="fr-FR"/>
        </w:rPr>
        <w:t xml:space="preserve"> Demoulin</w:t>
      </w:r>
    </w:p>
    <w:p w14:paraId="0BE52487" w14:textId="7A64C1E7" w:rsidR="00D02DE3" w:rsidRPr="00D02DE3" w:rsidRDefault="00D02DE3" w:rsidP="005D70B4">
      <w:pPr>
        <w:jc w:val="both"/>
        <w:rPr>
          <w:b/>
          <w:bCs/>
          <w:i/>
          <w:iCs/>
          <w:lang w:val="fr-FR"/>
        </w:rPr>
      </w:pPr>
      <w:r w:rsidRPr="00D02DE3">
        <w:rPr>
          <w:b/>
          <w:bCs/>
          <w:i/>
          <w:iCs/>
          <w:lang w:val="fr-FR"/>
        </w:rPr>
        <w:t>Résumé</w:t>
      </w:r>
    </w:p>
    <w:p w14:paraId="6D085005" w14:textId="38345038" w:rsidR="00D02DE3" w:rsidRPr="00D02DE3" w:rsidRDefault="00D02DE3" w:rsidP="00D02DE3">
      <w:pPr>
        <w:jc w:val="both"/>
        <w:rPr>
          <w:i/>
          <w:iCs/>
        </w:rPr>
      </w:pPr>
      <w:r w:rsidRPr="00D02DE3">
        <w:rPr>
          <w:i/>
          <w:iCs/>
        </w:rPr>
        <w:t>Face à l’engorgement des tribunaux, les modes alternatifs de résolution des différends (MARD) offrent une justice plus rapide, moins coûteuse et plus coopérative. Mais leur adoption reste limitée, freinée par des représentations ancrées et un langage judiciaire marqué par la confrontation.</w:t>
      </w:r>
      <w:r w:rsidRPr="00D02DE3">
        <w:rPr>
          <w:i/>
          <w:iCs/>
        </w:rPr>
        <w:t xml:space="preserve"> </w:t>
      </w:r>
      <w:r w:rsidRPr="00D02DE3">
        <w:rPr>
          <w:i/>
          <w:iCs/>
        </w:rPr>
        <w:t>En mobilisant la théorie de l’auto-détermination, on peut comprendre comment passer d’une participation contrainte à une adhésion par conviction : d’abord imposée par la loi, puis encouragée par la pression sociale, la démarche devient progressivement reconnue, intégrée aux valeurs personnelles, et enfin choisie librement.</w:t>
      </w:r>
      <w:r w:rsidRPr="00D02DE3">
        <w:rPr>
          <w:i/>
          <w:iCs/>
        </w:rPr>
        <w:t xml:space="preserve"> </w:t>
      </w:r>
      <w:r w:rsidRPr="00D02DE3">
        <w:rPr>
          <w:i/>
          <w:iCs/>
        </w:rPr>
        <w:t>Pour réussir cette transition, il faut renforcer l’autonomie, la compétence et le lien social des citoyens, tout en s’appuyant sur l’éducation, la culture et l’action des institutions. L’objectif : faire de l’amiable non une exception, mais une nouvelle norme sociale.</w:t>
      </w:r>
    </w:p>
    <w:p w14:paraId="5B360029" w14:textId="4DE7194D" w:rsidR="00D02DE3" w:rsidRPr="00AD1957" w:rsidRDefault="00AD1957" w:rsidP="005D70B4">
      <w:pPr>
        <w:jc w:val="both"/>
        <w:rPr>
          <w:b/>
          <w:bCs/>
          <w:lang w:val="fr-FR"/>
        </w:rPr>
      </w:pPr>
      <w:r w:rsidRPr="00AD1957">
        <w:rPr>
          <w:b/>
          <w:bCs/>
          <w:lang w:val="fr-FR"/>
        </w:rPr>
        <w:t>Bio</w:t>
      </w:r>
    </w:p>
    <w:p w14:paraId="4E19300F" w14:textId="77777777" w:rsidR="00AD1957" w:rsidRPr="003D36F9" w:rsidRDefault="00AD1957" w:rsidP="00AD1957">
      <w:r w:rsidRPr="003D36F9">
        <w:rPr>
          <w:b/>
          <w:bCs/>
          <w:lang w:val="fr-FR"/>
        </w:rPr>
        <w:t>Stéphanie Demoulin</w:t>
      </w:r>
      <w:r w:rsidRPr="003D36F9">
        <w:rPr>
          <w:lang w:val="fr-FR"/>
        </w:rPr>
        <w:t xml:space="preserve"> (docteure en psychologie sociale de l’</w:t>
      </w:r>
      <w:proofErr w:type="spellStart"/>
      <w:r w:rsidRPr="003D36F9">
        <w:rPr>
          <w:lang w:val="fr-FR"/>
        </w:rPr>
        <w:t>UCLouvain</w:t>
      </w:r>
      <w:proofErr w:type="spellEnd"/>
      <w:r w:rsidRPr="003D36F9">
        <w:rPr>
          <w:lang w:val="fr-FR"/>
        </w:rPr>
        <w:t>, Belgique) est actuellement professeure au Laboratoire de psychologie sociale de l’Institut des sciences psychologiques de l’</w:t>
      </w:r>
      <w:proofErr w:type="spellStart"/>
      <w:r w:rsidRPr="003D36F9">
        <w:rPr>
          <w:lang w:val="fr-FR"/>
        </w:rPr>
        <w:t>UCLouvain</w:t>
      </w:r>
      <w:proofErr w:type="spellEnd"/>
      <w:r w:rsidRPr="003D36F9">
        <w:rPr>
          <w:lang w:val="fr-FR"/>
        </w:rPr>
        <w:t xml:space="preserve">. Ses recherches portent sur la déshumanisation, les relations intergroupes, la négociation et les processus </w:t>
      </w:r>
      <w:r>
        <w:t xml:space="preserve">amiables </w:t>
      </w:r>
      <w:r w:rsidRPr="003D36F9">
        <w:rPr>
          <w:lang w:val="fr-FR"/>
        </w:rPr>
        <w:t>de gestion des conflits</w:t>
      </w:r>
      <w:r>
        <w:t xml:space="preserve"> tels que la médiation</w:t>
      </w:r>
      <w:r w:rsidRPr="003D36F9">
        <w:rPr>
          <w:lang w:val="fr-FR"/>
        </w:rPr>
        <w:t>.</w:t>
      </w:r>
    </w:p>
    <w:p w14:paraId="7FD29E8B" w14:textId="77777777" w:rsidR="00AD1957" w:rsidRPr="00AD1957" w:rsidRDefault="00AD1957" w:rsidP="005D70B4">
      <w:pPr>
        <w:jc w:val="both"/>
      </w:pPr>
    </w:p>
    <w:p w14:paraId="3E967F0E" w14:textId="291610C7" w:rsidR="00D02DE3" w:rsidRPr="00D02DE3" w:rsidRDefault="00D02DE3" w:rsidP="005D70B4">
      <w:pPr>
        <w:jc w:val="both"/>
        <w:rPr>
          <w:b/>
          <w:bCs/>
          <w:lang w:val="fr-FR"/>
        </w:rPr>
      </w:pPr>
      <w:r w:rsidRPr="00D02DE3">
        <w:rPr>
          <w:b/>
          <w:bCs/>
          <w:lang w:val="fr-FR"/>
        </w:rPr>
        <w:t>Texte</w:t>
      </w:r>
    </w:p>
    <w:p w14:paraId="196559C6" w14:textId="41B10195" w:rsidR="002023DF" w:rsidRPr="00AC4154" w:rsidRDefault="002023DF" w:rsidP="005D70B4">
      <w:pPr>
        <w:jc w:val="both"/>
        <w:rPr>
          <w:lang w:val="fr-FR"/>
        </w:rPr>
      </w:pPr>
      <w:r w:rsidRPr="00AC4154">
        <w:rPr>
          <w:lang w:val="fr-FR"/>
        </w:rPr>
        <w:t xml:space="preserve">Face à l’engorgement des tribunaux, à la complexité croissante du droit, mais aussi à l’évolution des attentes citoyennes en matière de justice, les modes alternatifs de résolution des différends (MARD) connaissent un essor lent mais continu. Médiation, conciliation, </w:t>
      </w:r>
      <w:r w:rsidR="003D4A9A" w:rsidRPr="00AC4154">
        <w:rPr>
          <w:lang w:val="fr-FR"/>
        </w:rPr>
        <w:t>droit collaboratif</w:t>
      </w:r>
      <w:r w:rsidR="004E54FB" w:rsidRPr="00AC4154">
        <w:rPr>
          <w:lang w:val="fr-FR"/>
        </w:rPr>
        <w:t xml:space="preserve">, </w:t>
      </w:r>
      <w:r w:rsidRPr="00AC4154">
        <w:rPr>
          <w:lang w:val="fr-FR"/>
        </w:rPr>
        <w:t xml:space="preserve">… </w:t>
      </w:r>
      <w:r w:rsidRPr="009A1F99">
        <w:rPr>
          <w:u w:val="single"/>
          <w:lang w:val="fr-FR"/>
        </w:rPr>
        <w:t>ces outils partagent une même philosophie : favoriser l’écoute, la coopération et la recherche de solutions équilibrées</w:t>
      </w:r>
      <w:r w:rsidRPr="00AC4154">
        <w:rPr>
          <w:lang w:val="fr-FR"/>
        </w:rPr>
        <w:t>, en dehors ou en complément des procédures judiciaires classiques.</w:t>
      </w:r>
    </w:p>
    <w:p w14:paraId="6031D080" w14:textId="77777777" w:rsidR="002023DF" w:rsidRPr="00AC4154" w:rsidRDefault="002023DF" w:rsidP="005D70B4">
      <w:pPr>
        <w:jc w:val="both"/>
        <w:rPr>
          <w:lang w:val="fr-FR"/>
        </w:rPr>
      </w:pPr>
      <w:r w:rsidRPr="00AC4154">
        <w:rPr>
          <w:lang w:val="fr-FR"/>
        </w:rPr>
        <w:t>Mais si leur efficacité est démontrée – en termes de coût, de rapidité, de satisfaction des parties – ils peinent encore à s’imposer comme un réflexe social. L’accès à une culture de l’amiable reste limité, entravé par des représentations ancrées, une méconnaissance des dispositifs, voire une certaine défiance.</w:t>
      </w:r>
    </w:p>
    <w:p w14:paraId="7218BAF4" w14:textId="6D281165" w:rsidR="002023DF" w:rsidRPr="005D70B4" w:rsidRDefault="002023DF" w:rsidP="005D70B4">
      <w:pPr>
        <w:jc w:val="both"/>
        <w:rPr>
          <w:lang w:val="fr-FR"/>
        </w:rPr>
      </w:pPr>
      <w:r w:rsidRPr="00AC4154">
        <w:rPr>
          <w:lang w:val="fr-FR"/>
        </w:rPr>
        <w:t>Comment alors promouvoir un changement culturel profond, pour que l’amiable devienne une norme sociale, et non une exception</w:t>
      </w:r>
      <w:r w:rsidRPr="00AC4154">
        <w:rPr>
          <w:rFonts w:ascii="Arial" w:hAnsi="Arial" w:cs="Arial"/>
          <w:lang w:val="fr-FR"/>
        </w:rPr>
        <w:t> </w:t>
      </w:r>
      <w:r w:rsidRPr="00AC4154">
        <w:rPr>
          <w:lang w:val="fr-FR"/>
        </w:rPr>
        <w:t>? Une r</w:t>
      </w:r>
      <w:r w:rsidRPr="00AC4154">
        <w:rPr>
          <w:rFonts w:ascii="Aptos" w:hAnsi="Aptos" w:cs="Aptos"/>
          <w:lang w:val="fr-FR"/>
        </w:rPr>
        <w:t>é</w:t>
      </w:r>
      <w:r w:rsidRPr="00AC4154">
        <w:rPr>
          <w:lang w:val="fr-FR"/>
        </w:rPr>
        <w:t>ponse possible r</w:t>
      </w:r>
      <w:r w:rsidRPr="00AC4154">
        <w:rPr>
          <w:rFonts w:ascii="Aptos" w:hAnsi="Aptos" w:cs="Aptos"/>
          <w:lang w:val="fr-FR"/>
        </w:rPr>
        <w:t>é</w:t>
      </w:r>
      <w:r w:rsidRPr="00AC4154">
        <w:rPr>
          <w:lang w:val="fr-FR"/>
        </w:rPr>
        <w:t xml:space="preserve">side dans le </w:t>
      </w:r>
      <w:r w:rsidRPr="00AC4154">
        <w:rPr>
          <w:lang w:val="fr-FR"/>
        </w:rPr>
        <w:lastRenderedPageBreak/>
        <w:t xml:space="preserve">modèle de l’auto-détermination développé par </w:t>
      </w:r>
      <w:proofErr w:type="spellStart"/>
      <w:r w:rsidRPr="00AC4154">
        <w:rPr>
          <w:lang w:val="fr-FR"/>
        </w:rPr>
        <w:t>Deci</w:t>
      </w:r>
      <w:proofErr w:type="spellEnd"/>
      <w:r w:rsidRPr="00AC4154">
        <w:rPr>
          <w:lang w:val="fr-FR"/>
        </w:rPr>
        <w:t xml:space="preserve"> et Ryan</w:t>
      </w:r>
      <w:r w:rsidR="002307FE" w:rsidRPr="00AC4154">
        <w:rPr>
          <w:rStyle w:val="Appelnotedebasdep"/>
          <w:lang w:val="fr-FR"/>
        </w:rPr>
        <w:footnoteReference w:id="1"/>
      </w:r>
      <w:r w:rsidRPr="005D70B4">
        <w:rPr>
          <w:lang w:val="fr-FR"/>
        </w:rPr>
        <w:t>, qui permet de comprendre les différentes étapes de la motivation humaine. En l’appliquant à la question de la résolution des conflits, on peut identifier les leviers d’un passage progressif de la contrainte à l’adhésion.</w:t>
      </w:r>
    </w:p>
    <w:p w14:paraId="72987DAB" w14:textId="77777777" w:rsidR="002023DF" w:rsidRPr="005D70B4" w:rsidRDefault="002023DF" w:rsidP="005D70B4">
      <w:pPr>
        <w:jc w:val="both"/>
        <w:rPr>
          <w:b/>
          <w:bCs/>
          <w:lang w:val="fr-FR"/>
        </w:rPr>
      </w:pPr>
      <w:r w:rsidRPr="005D70B4">
        <w:rPr>
          <w:b/>
          <w:bCs/>
          <w:lang w:val="fr-FR"/>
        </w:rPr>
        <w:t>De la motivation extrinsèque à la motivation intrinsèque : un continuum</w:t>
      </w:r>
    </w:p>
    <w:p w14:paraId="5F19EAFA" w14:textId="77777777" w:rsidR="002023DF" w:rsidRDefault="002023DF" w:rsidP="005D70B4">
      <w:pPr>
        <w:jc w:val="both"/>
        <w:rPr>
          <w:lang w:val="fr-FR"/>
        </w:rPr>
      </w:pPr>
      <w:r w:rsidRPr="005D70B4">
        <w:rPr>
          <w:lang w:val="fr-FR"/>
        </w:rPr>
        <w:t>Le modèle de l’auto-détermination décrit un continuum motivationnel, allant de l’absence totale de motivation (l’amotivation) à une motivation pleinement autonome (la motivation intrinsèque). Entre ces deux extrêmes, plusieurs formes de motivation extrinsèque se succèdent, chacune correspondant à un niveau d’internalisation plus ou moins avancé.</w:t>
      </w:r>
    </w:p>
    <w:p w14:paraId="34A0997F" w14:textId="1A465092" w:rsidR="00AC4154" w:rsidRPr="005D70B4" w:rsidRDefault="00AC4154" w:rsidP="005D70B4">
      <w:pPr>
        <w:jc w:val="both"/>
        <w:rPr>
          <w:lang w:val="fr-FR"/>
        </w:rPr>
      </w:pPr>
      <w:r w:rsidRPr="00AC4154">
        <w:rPr>
          <w:noProof/>
          <w:lang w:val="fr-FR"/>
        </w:rPr>
        <w:drawing>
          <wp:inline distT="0" distB="0" distL="0" distR="0" wp14:anchorId="168DA8FA" wp14:editId="6E2ED6B9">
            <wp:extent cx="5760720" cy="1141730"/>
            <wp:effectExtent l="0" t="0" r="0" b="1270"/>
            <wp:docPr id="355457995" name="Image 1" descr="Une image contenant texte, Police, capture d’écran, Bleu électriqu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457995" name="Image 1" descr="Une image contenant texte, Police, capture d’écran, Bleu électrique&#10;&#10;Le contenu généré par l’IA peut être incorrect."/>
                    <pic:cNvPicPr/>
                  </pic:nvPicPr>
                  <pic:blipFill>
                    <a:blip r:embed="rId7"/>
                    <a:stretch>
                      <a:fillRect/>
                    </a:stretch>
                  </pic:blipFill>
                  <pic:spPr>
                    <a:xfrm>
                      <a:off x="0" y="0"/>
                      <a:ext cx="5760720" cy="1141730"/>
                    </a:xfrm>
                    <a:prstGeom prst="rect">
                      <a:avLst/>
                    </a:prstGeom>
                  </pic:spPr>
                </pic:pic>
              </a:graphicData>
            </a:graphic>
          </wp:inline>
        </w:drawing>
      </w:r>
    </w:p>
    <w:p w14:paraId="00585B5B" w14:textId="044EDE90" w:rsidR="002023DF" w:rsidRPr="005D70B4" w:rsidRDefault="002023DF" w:rsidP="005D70B4">
      <w:pPr>
        <w:jc w:val="both"/>
        <w:rPr>
          <w:lang w:val="fr-FR"/>
        </w:rPr>
      </w:pPr>
      <w:r w:rsidRPr="005D70B4">
        <w:rPr>
          <w:lang w:val="fr-FR"/>
        </w:rPr>
        <w:t>Ce cadre théorique offre une grille d’analyse pour comprendre comment amener les citoyens à adopter spontanément les MARD, non pas sous la contrainte ou par résignation, mais par conviction, et même par satisfaction.</w:t>
      </w:r>
    </w:p>
    <w:p w14:paraId="413333E2" w14:textId="699C9C1E" w:rsidR="002023DF" w:rsidRPr="005D70B4" w:rsidRDefault="002023DF" w:rsidP="005D70B4">
      <w:pPr>
        <w:jc w:val="both"/>
        <w:rPr>
          <w:u w:val="single"/>
          <w:lang w:val="fr-FR"/>
        </w:rPr>
      </w:pPr>
      <w:r w:rsidRPr="005D70B4">
        <w:rPr>
          <w:u w:val="single"/>
          <w:lang w:val="fr-FR"/>
        </w:rPr>
        <w:t>La régulation externe : l’amiable imposé par la norme</w:t>
      </w:r>
    </w:p>
    <w:p w14:paraId="4D3059F2" w14:textId="7E25A346" w:rsidR="002812E7" w:rsidRPr="005D70B4" w:rsidRDefault="002812E7" w:rsidP="005D70B4">
      <w:pPr>
        <w:jc w:val="both"/>
        <w:rPr>
          <w:lang w:val="fr-FR"/>
        </w:rPr>
      </w:pPr>
      <w:r w:rsidRPr="005D70B4">
        <w:rPr>
          <w:lang w:val="fr-FR"/>
        </w:rPr>
        <w:t>Au stade le plus extrinsèque de la motivation, les modes amiables sont perçus comme imposés de l’extérieur, sans véritable adhésion personnelle. C’est le cas lorsque la démarche est rendue obligatoire par le cadre juridique, ce qui peut générer un comportement de conformité plutôt que de conviction. En Belgique, la loi du 18 juin 2018 illustre bien cette dynamique : elle encourage activement</w:t>
      </w:r>
      <w:r w:rsidR="004E54FB" w:rsidRPr="005D70B4">
        <w:rPr>
          <w:lang w:val="fr-FR"/>
        </w:rPr>
        <w:t xml:space="preserve"> </w:t>
      </w:r>
      <w:r w:rsidRPr="005D70B4">
        <w:rPr>
          <w:lang w:val="fr-FR"/>
        </w:rPr>
        <w:t xml:space="preserve">le recours à une tentative préalable de résolution amiable avant toute saisine judiciaire. Ainsi, le juge peut désormais inviter ou contraindre les parties à envisager une médiation ou une conciliation en amont de toute procédure contentieuse. Si cette approche a pour mérite de rendre les modes amiables plus visibles et de leur conférer une légitimité institutionnelle, elle ne garantit pas une appropriation réelle de la culture de l’amiable par les justiciables. </w:t>
      </w:r>
      <w:r w:rsidRPr="00077654">
        <w:rPr>
          <w:u w:val="single"/>
          <w:lang w:val="fr-FR"/>
        </w:rPr>
        <w:t>Tant que la démarche reste perçue comme une formalité ou une obligation procédurale, le risque demeure que les parties s’y engagent sans conviction, voire avec résistance</w:t>
      </w:r>
      <w:r w:rsidRPr="005D70B4">
        <w:rPr>
          <w:lang w:val="fr-FR"/>
        </w:rPr>
        <w:t>. C’est donc une première étape importante, mais insuffisante à elle seule pour instaurer un changement durable des pratiques sociales.</w:t>
      </w:r>
    </w:p>
    <w:p w14:paraId="765B47A4" w14:textId="5C74E197" w:rsidR="002023DF" w:rsidRPr="005D70B4" w:rsidRDefault="002023DF" w:rsidP="005D70B4">
      <w:pPr>
        <w:jc w:val="both"/>
        <w:rPr>
          <w:lang w:val="fr-FR"/>
        </w:rPr>
      </w:pPr>
      <w:r w:rsidRPr="005D70B4">
        <w:rPr>
          <w:lang w:val="fr-FR"/>
        </w:rPr>
        <w:lastRenderedPageBreak/>
        <w:t>Prenons l’exemple d’un litige entre un artisan et un</w:t>
      </w:r>
      <w:r w:rsidR="00D77AEE" w:rsidRPr="005D70B4">
        <w:rPr>
          <w:lang w:val="fr-FR"/>
        </w:rPr>
        <w:t>e</w:t>
      </w:r>
      <w:r w:rsidRPr="005D70B4">
        <w:rPr>
          <w:lang w:val="fr-FR"/>
        </w:rPr>
        <w:t xml:space="preserve"> client</w:t>
      </w:r>
      <w:r w:rsidR="00D77AEE" w:rsidRPr="005D70B4">
        <w:rPr>
          <w:lang w:val="fr-FR"/>
        </w:rPr>
        <w:t>e</w:t>
      </w:r>
      <w:r w:rsidRPr="005D70B4">
        <w:rPr>
          <w:lang w:val="fr-FR"/>
        </w:rPr>
        <w:t xml:space="preserve"> sur une facture contestée. Avant de pouvoir saisir le tribunal, </w:t>
      </w:r>
      <w:r w:rsidR="00D77AEE" w:rsidRPr="005D70B4">
        <w:rPr>
          <w:lang w:val="fr-FR"/>
        </w:rPr>
        <w:t xml:space="preserve">la </w:t>
      </w:r>
      <w:r w:rsidRPr="005D70B4">
        <w:rPr>
          <w:lang w:val="fr-FR"/>
        </w:rPr>
        <w:t>client</w:t>
      </w:r>
      <w:r w:rsidR="00D77AEE" w:rsidRPr="005D70B4">
        <w:rPr>
          <w:lang w:val="fr-FR"/>
        </w:rPr>
        <w:t>e</w:t>
      </w:r>
      <w:r w:rsidRPr="005D70B4">
        <w:rPr>
          <w:lang w:val="fr-FR"/>
        </w:rPr>
        <w:t xml:space="preserve"> </w:t>
      </w:r>
      <w:r w:rsidR="00D77AEE" w:rsidRPr="005D70B4">
        <w:rPr>
          <w:lang w:val="fr-FR"/>
        </w:rPr>
        <w:t xml:space="preserve">pourrait être fortement incitée par un juge </w:t>
      </w:r>
      <w:r w:rsidRPr="005D70B4">
        <w:rPr>
          <w:lang w:val="fr-FR"/>
        </w:rPr>
        <w:t xml:space="preserve">de </w:t>
      </w:r>
      <w:r w:rsidR="001B5B3E" w:rsidRPr="005D70B4">
        <w:rPr>
          <w:lang w:val="fr-FR"/>
        </w:rPr>
        <w:t xml:space="preserve">recourir à </w:t>
      </w:r>
      <w:r w:rsidR="003D4A9A" w:rsidRPr="005D70B4">
        <w:rPr>
          <w:lang w:val="fr-FR"/>
        </w:rPr>
        <w:t xml:space="preserve">une </w:t>
      </w:r>
      <w:r w:rsidR="001B5B3E" w:rsidRPr="005D70B4">
        <w:rPr>
          <w:lang w:val="fr-FR"/>
        </w:rPr>
        <w:t>médiation</w:t>
      </w:r>
      <w:r w:rsidRPr="005D70B4">
        <w:rPr>
          <w:lang w:val="fr-FR"/>
        </w:rPr>
        <w:t xml:space="preserve">. </w:t>
      </w:r>
      <w:r w:rsidR="001B5B3E" w:rsidRPr="005D70B4">
        <w:rPr>
          <w:lang w:val="fr-FR"/>
        </w:rPr>
        <w:t xml:space="preserve">Elle </w:t>
      </w:r>
      <w:r w:rsidRPr="005D70B4">
        <w:rPr>
          <w:lang w:val="fr-FR"/>
        </w:rPr>
        <w:t xml:space="preserve">s’exécute </w:t>
      </w:r>
      <w:r w:rsidR="00D77AEE" w:rsidRPr="005D70B4">
        <w:rPr>
          <w:lang w:val="fr-FR"/>
        </w:rPr>
        <w:t xml:space="preserve">alors </w:t>
      </w:r>
      <w:r w:rsidRPr="005D70B4">
        <w:rPr>
          <w:lang w:val="fr-FR"/>
        </w:rPr>
        <w:t>par obligation, sans réelle volonté de dialogue. Son seul objectif est de pouvoir engager la procédure contentieuse ensuite. À ce stade, la motivation est strictement légale et utilitaire.</w:t>
      </w:r>
    </w:p>
    <w:p w14:paraId="26D8539E" w14:textId="2CCF8980" w:rsidR="002023DF" w:rsidRPr="005D70B4" w:rsidRDefault="002023DF" w:rsidP="005D70B4">
      <w:pPr>
        <w:jc w:val="both"/>
        <w:rPr>
          <w:lang w:val="fr-FR"/>
        </w:rPr>
      </w:pPr>
      <w:r w:rsidRPr="005D70B4">
        <w:rPr>
          <w:lang w:val="fr-FR"/>
        </w:rPr>
        <w:t>Si cette contrainte peut favoriser la visibilité des MARD, elle comporte un risque : celui d’un rejet ou d’un scepticisme renforcé si l’expérience n’est pas satisfaisante. Il est donc crucial que l’accueil, l’écoute et la pédagogie soient au cœur de cette première expérience de l’amiable.</w:t>
      </w:r>
    </w:p>
    <w:p w14:paraId="03F2BDF1" w14:textId="5E779814" w:rsidR="002023DF" w:rsidRPr="005D70B4" w:rsidRDefault="002023DF" w:rsidP="005D70B4">
      <w:pPr>
        <w:jc w:val="both"/>
        <w:rPr>
          <w:u w:val="single"/>
          <w:lang w:val="fr-FR"/>
        </w:rPr>
      </w:pPr>
      <w:r w:rsidRPr="005D70B4">
        <w:rPr>
          <w:u w:val="single"/>
          <w:lang w:val="fr-FR"/>
        </w:rPr>
        <w:t>La régulation introjectée : la pression sociale ou morale</w:t>
      </w:r>
    </w:p>
    <w:p w14:paraId="126D7B14" w14:textId="77777777" w:rsidR="002023DF" w:rsidRPr="005D70B4" w:rsidRDefault="002023DF" w:rsidP="005D70B4">
      <w:pPr>
        <w:jc w:val="both"/>
        <w:rPr>
          <w:lang w:val="fr-FR"/>
        </w:rPr>
      </w:pPr>
      <w:r w:rsidRPr="005D70B4">
        <w:rPr>
          <w:lang w:val="fr-FR"/>
        </w:rPr>
        <w:t>Dans cette seconde phase, la personne ne participe plus seulement par obligation, mais aussi parce qu’elle se sentirait coupable de refuser, ou aurait l’impression de mal agir. La motivation est encore extrinsèque, mais partiellement intériorisée.</w:t>
      </w:r>
    </w:p>
    <w:p w14:paraId="0D176E68" w14:textId="64C662D9" w:rsidR="002023DF" w:rsidRPr="005D70B4" w:rsidRDefault="002023DF" w:rsidP="005D70B4">
      <w:pPr>
        <w:jc w:val="both"/>
        <w:rPr>
          <w:lang w:val="fr-FR"/>
        </w:rPr>
      </w:pPr>
      <w:r w:rsidRPr="005D70B4">
        <w:rPr>
          <w:lang w:val="fr-FR"/>
        </w:rPr>
        <w:t xml:space="preserve">Imaginons une entreprise assignée par un salarié devant le </w:t>
      </w:r>
      <w:r w:rsidR="006C42AC" w:rsidRPr="005D70B4">
        <w:rPr>
          <w:lang w:val="fr-FR"/>
        </w:rPr>
        <w:t>tribunal du travail</w:t>
      </w:r>
      <w:r w:rsidRPr="005D70B4">
        <w:rPr>
          <w:lang w:val="fr-FR"/>
        </w:rPr>
        <w:t>. Avant l’audience, une conciliation préalable est proposée. L’employeur, soucieux de son image ou de sa réputation dans le milieu local, accepte de participer pour ne pas paraître rigide ou agressif. Ce comportement est dicté par une pression interne</w:t>
      </w:r>
      <w:r w:rsidRPr="005D70B4">
        <w:rPr>
          <w:rFonts w:ascii="Arial" w:hAnsi="Arial" w:cs="Arial"/>
          <w:lang w:val="fr-FR"/>
        </w:rPr>
        <w:t> </w:t>
      </w:r>
      <w:r w:rsidRPr="005D70B4">
        <w:rPr>
          <w:lang w:val="fr-FR"/>
        </w:rPr>
        <w:t xml:space="preserve">: </w:t>
      </w:r>
      <w:r w:rsidRPr="005D70B4">
        <w:rPr>
          <w:rFonts w:ascii="Aptos" w:hAnsi="Aptos" w:cs="Aptos"/>
          <w:lang w:val="fr-FR"/>
        </w:rPr>
        <w:t>é</w:t>
      </w:r>
      <w:r w:rsidRPr="005D70B4">
        <w:rPr>
          <w:lang w:val="fr-FR"/>
        </w:rPr>
        <w:t>viter d</w:t>
      </w:r>
      <w:r w:rsidRPr="005D70B4">
        <w:rPr>
          <w:rFonts w:ascii="Aptos" w:hAnsi="Aptos" w:cs="Aptos"/>
          <w:lang w:val="fr-FR"/>
        </w:rPr>
        <w:t>’ê</w:t>
      </w:r>
      <w:r w:rsidRPr="005D70B4">
        <w:rPr>
          <w:lang w:val="fr-FR"/>
        </w:rPr>
        <w:t>tre per</w:t>
      </w:r>
      <w:r w:rsidRPr="005D70B4">
        <w:rPr>
          <w:rFonts w:ascii="Aptos" w:hAnsi="Aptos" w:cs="Aptos"/>
          <w:lang w:val="fr-FR"/>
        </w:rPr>
        <w:t>ç</w:t>
      </w:r>
      <w:r w:rsidRPr="005D70B4">
        <w:rPr>
          <w:lang w:val="fr-FR"/>
        </w:rPr>
        <w:t xml:space="preserve">u comme </w:t>
      </w:r>
      <w:r w:rsidRPr="005D70B4">
        <w:rPr>
          <w:rFonts w:ascii="Aptos" w:hAnsi="Aptos" w:cs="Aptos"/>
          <w:lang w:val="fr-FR"/>
        </w:rPr>
        <w:t>«</w:t>
      </w:r>
      <w:r w:rsidRPr="005D70B4">
        <w:rPr>
          <w:rFonts w:ascii="Arial" w:hAnsi="Arial" w:cs="Arial"/>
          <w:lang w:val="fr-FR"/>
        </w:rPr>
        <w:t> </w:t>
      </w:r>
      <w:r w:rsidRPr="005D70B4">
        <w:rPr>
          <w:lang w:val="fr-FR"/>
        </w:rPr>
        <w:t xml:space="preserve">le mauvais </w:t>
      </w:r>
      <w:r w:rsidRPr="005D70B4">
        <w:rPr>
          <w:rFonts w:ascii="Aptos" w:hAnsi="Aptos" w:cs="Aptos"/>
          <w:lang w:val="fr-FR"/>
        </w:rPr>
        <w:t>é</w:t>
      </w:r>
      <w:r w:rsidRPr="005D70B4">
        <w:rPr>
          <w:lang w:val="fr-FR"/>
        </w:rPr>
        <w:t>l</w:t>
      </w:r>
      <w:r w:rsidRPr="005D70B4">
        <w:rPr>
          <w:rFonts w:ascii="Aptos" w:hAnsi="Aptos" w:cs="Aptos"/>
          <w:lang w:val="fr-FR"/>
        </w:rPr>
        <w:t>è</w:t>
      </w:r>
      <w:r w:rsidRPr="005D70B4">
        <w:rPr>
          <w:lang w:val="fr-FR"/>
        </w:rPr>
        <w:t>ve du dialogue</w:t>
      </w:r>
      <w:r w:rsidRPr="005D70B4">
        <w:rPr>
          <w:rFonts w:ascii="Arial" w:hAnsi="Arial" w:cs="Arial"/>
          <w:lang w:val="fr-FR"/>
        </w:rPr>
        <w:t> </w:t>
      </w:r>
      <w:r w:rsidRPr="005D70B4">
        <w:rPr>
          <w:rFonts w:ascii="Aptos" w:hAnsi="Aptos" w:cs="Aptos"/>
          <w:lang w:val="fr-FR"/>
        </w:rPr>
        <w:t>»</w:t>
      </w:r>
      <w:r w:rsidRPr="005D70B4">
        <w:rPr>
          <w:lang w:val="fr-FR"/>
        </w:rPr>
        <w:t>.</w:t>
      </w:r>
    </w:p>
    <w:p w14:paraId="56F351D7" w14:textId="77777777" w:rsidR="002023DF" w:rsidRPr="005D70B4" w:rsidRDefault="002023DF" w:rsidP="005D70B4">
      <w:pPr>
        <w:jc w:val="both"/>
        <w:rPr>
          <w:lang w:val="fr-FR"/>
        </w:rPr>
      </w:pPr>
      <w:r w:rsidRPr="005D70B4">
        <w:rPr>
          <w:lang w:val="fr-FR"/>
        </w:rPr>
        <w:t>Cette étape permet un premier glissement vers l’appropriation. Mais la participation reste fragile : elle dépend du regard des autres, du sentiment de devoir. Pour qu’elle s’ancre, il est nécessaire de valoriser publiquement les démarches amiables, de montrer qu’elles sont non seulement légales, mais aussi éthiquement souhaitables.</w:t>
      </w:r>
    </w:p>
    <w:p w14:paraId="00F98695" w14:textId="2CC8DB3D" w:rsidR="002023DF" w:rsidRPr="005D70B4" w:rsidRDefault="002023DF" w:rsidP="005D70B4">
      <w:pPr>
        <w:jc w:val="both"/>
        <w:rPr>
          <w:u w:val="single"/>
          <w:lang w:val="fr-FR"/>
        </w:rPr>
      </w:pPr>
      <w:r w:rsidRPr="005D70B4">
        <w:rPr>
          <w:u w:val="single"/>
          <w:lang w:val="fr-FR"/>
        </w:rPr>
        <w:t>La régulation identifiée : les bénéfices sont reconnus</w:t>
      </w:r>
    </w:p>
    <w:p w14:paraId="7FACBA2C" w14:textId="77777777" w:rsidR="002023DF" w:rsidRPr="005D70B4" w:rsidRDefault="002023DF" w:rsidP="005D70B4">
      <w:pPr>
        <w:jc w:val="both"/>
        <w:rPr>
          <w:lang w:val="fr-FR"/>
        </w:rPr>
      </w:pPr>
      <w:r w:rsidRPr="005D70B4">
        <w:rPr>
          <w:lang w:val="fr-FR"/>
        </w:rPr>
        <w:t>Ici, l’individu agit non par obligation ou pression, mais parce qu’il reconnaît l’intérêt personnel de recourir à un mode amiable. Il choisit cette voie car elle lui paraît plus pertinente, efficace ou satisfaisante.</w:t>
      </w:r>
    </w:p>
    <w:p w14:paraId="206F2518" w14:textId="7E082250" w:rsidR="002023DF" w:rsidRPr="005D70B4" w:rsidRDefault="002023DF" w:rsidP="005D70B4">
      <w:pPr>
        <w:jc w:val="both"/>
        <w:rPr>
          <w:lang w:val="fr-FR"/>
        </w:rPr>
      </w:pPr>
      <w:r w:rsidRPr="005D70B4">
        <w:rPr>
          <w:lang w:val="fr-FR"/>
        </w:rPr>
        <w:t>Prenons le cas d’un couple séparé, en désaccord sur la garde des enfants. Plutôt que de s’en remettre au juge, les membres du couple optent pour un</w:t>
      </w:r>
      <w:r w:rsidR="003D4A9A" w:rsidRPr="005D70B4">
        <w:rPr>
          <w:lang w:val="fr-FR"/>
        </w:rPr>
        <w:t xml:space="preserve"> processus de droit collaboratif </w:t>
      </w:r>
      <w:r w:rsidRPr="005D70B4">
        <w:rPr>
          <w:lang w:val="fr-FR"/>
        </w:rPr>
        <w:t xml:space="preserve">avec leurs avocats, qui leur permet de coconstruire un accord équilibré. Ils identifient clairement les avantages : rapidité, </w:t>
      </w:r>
      <w:r w:rsidR="003D4A9A" w:rsidRPr="005D70B4">
        <w:rPr>
          <w:lang w:val="fr-FR"/>
        </w:rPr>
        <w:t xml:space="preserve">réduction du </w:t>
      </w:r>
      <w:r w:rsidRPr="005D70B4">
        <w:rPr>
          <w:lang w:val="fr-FR"/>
        </w:rPr>
        <w:t>stress, solution</w:t>
      </w:r>
      <w:r w:rsidR="003D4A9A" w:rsidRPr="005D70B4">
        <w:rPr>
          <w:lang w:val="fr-FR"/>
        </w:rPr>
        <w:t>s</w:t>
      </w:r>
      <w:r w:rsidRPr="005D70B4">
        <w:rPr>
          <w:lang w:val="fr-FR"/>
        </w:rPr>
        <w:t xml:space="preserve"> sur mesure.</w:t>
      </w:r>
    </w:p>
    <w:p w14:paraId="62EED984" w14:textId="6AF891EA" w:rsidR="002023DF" w:rsidRPr="005D70B4" w:rsidRDefault="002023DF" w:rsidP="005D70B4">
      <w:pPr>
        <w:jc w:val="both"/>
        <w:rPr>
          <w:lang w:val="fr-FR"/>
        </w:rPr>
      </w:pPr>
      <w:r w:rsidRPr="005D70B4">
        <w:rPr>
          <w:lang w:val="fr-FR"/>
        </w:rPr>
        <w:t>Cette forme de motivation est déjà autonome. Le recours à l’amiable n’est plus subi, mais voulu. Pour favoriser cette régulation, les institutions doivent informer clairement sur les bénéfices concrets des différents modes amiables : taux de réussite</w:t>
      </w:r>
      <w:r w:rsidR="003D4A9A" w:rsidRPr="005D70B4">
        <w:rPr>
          <w:lang w:val="fr-FR"/>
        </w:rPr>
        <w:t xml:space="preserve"> élevé</w:t>
      </w:r>
      <w:r w:rsidRPr="005D70B4">
        <w:rPr>
          <w:lang w:val="fr-FR"/>
        </w:rPr>
        <w:t>, gain de temps</w:t>
      </w:r>
      <w:r w:rsidR="003D4A9A" w:rsidRPr="005D70B4">
        <w:rPr>
          <w:lang w:val="fr-FR"/>
        </w:rPr>
        <w:t>, réduction des coûts</w:t>
      </w:r>
      <w:r w:rsidRPr="005D70B4">
        <w:rPr>
          <w:lang w:val="fr-FR"/>
        </w:rPr>
        <w:t>, préservation des liens, satisfaction des parties</w:t>
      </w:r>
      <w:r w:rsidR="00B85436" w:rsidRPr="005D70B4">
        <w:rPr>
          <w:lang w:val="fr-FR"/>
        </w:rPr>
        <w:t xml:space="preserve"> et de celles et ceux qui en dépendent (ex</w:t>
      </w:r>
      <w:r w:rsidR="007C6D8D">
        <w:rPr>
          <w:lang w:val="fr-FR"/>
        </w:rPr>
        <w:t>.</w:t>
      </w:r>
      <w:r w:rsidR="00B85436" w:rsidRPr="005D70B4">
        <w:rPr>
          <w:lang w:val="fr-FR"/>
        </w:rPr>
        <w:t> : les enfants d’un couple qui divorce)</w:t>
      </w:r>
      <w:r w:rsidRPr="005D70B4">
        <w:rPr>
          <w:lang w:val="fr-FR"/>
        </w:rPr>
        <w:t>. Des témoignages, des études de cas, des simulations peuvent renforcer cette identification.</w:t>
      </w:r>
    </w:p>
    <w:p w14:paraId="3B3B5DCE" w14:textId="70B9508D" w:rsidR="002023DF" w:rsidRPr="005D70B4" w:rsidRDefault="002023DF" w:rsidP="005D70B4">
      <w:pPr>
        <w:jc w:val="both"/>
        <w:rPr>
          <w:u w:val="single"/>
          <w:lang w:val="fr-FR"/>
        </w:rPr>
      </w:pPr>
      <w:r w:rsidRPr="005D70B4">
        <w:rPr>
          <w:u w:val="single"/>
          <w:lang w:val="fr-FR"/>
        </w:rPr>
        <w:lastRenderedPageBreak/>
        <w:t>La régulation intégrée : cohérence avec ses valeurs</w:t>
      </w:r>
    </w:p>
    <w:p w14:paraId="6F8A6A39" w14:textId="77777777" w:rsidR="002023DF" w:rsidRPr="005D70B4" w:rsidRDefault="002023DF" w:rsidP="005D70B4">
      <w:pPr>
        <w:jc w:val="both"/>
        <w:rPr>
          <w:lang w:val="fr-FR"/>
        </w:rPr>
      </w:pPr>
      <w:r w:rsidRPr="005D70B4">
        <w:rPr>
          <w:lang w:val="fr-FR"/>
        </w:rPr>
        <w:t>À ce niveau, la démarche amiable est intégrée à l’identité et aux valeurs profondes de la personne. Elle ne choisit pas un mode amiable uniquement pour son efficacité, mais parce qu’il est en accord avec sa vision de la justice, du dialogue ou de la société.</w:t>
      </w:r>
    </w:p>
    <w:p w14:paraId="2C19F263" w14:textId="2EBC90D0" w:rsidR="002023DF" w:rsidRPr="005D70B4" w:rsidRDefault="002023DF" w:rsidP="005D70B4">
      <w:pPr>
        <w:jc w:val="both"/>
        <w:rPr>
          <w:lang w:val="fr-FR"/>
        </w:rPr>
      </w:pPr>
      <w:r w:rsidRPr="005D70B4">
        <w:rPr>
          <w:lang w:val="fr-FR"/>
        </w:rPr>
        <w:t>Un</w:t>
      </w:r>
      <w:r w:rsidR="00310599" w:rsidRPr="005D70B4">
        <w:rPr>
          <w:lang w:val="fr-FR"/>
        </w:rPr>
        <w:t>e</w:t>
      </w:r>
      <w:r w:rsidRPr="005D70B4">
        <w:rPr>
          <w:lang w:val="fr-FR"/>
        </w:rPr>
        <w:t xml:space="preserve"> cadre dirigeant</w:t>
      </w:r>
      <w:r w:rsidR="00310599" w:rsidRPr="005D70B4">
        <w:rPr>
          <w:lang w:val="fr-FR"/>
        </w:rPr>
        <w:t>e</w:t>
      </w:r>
      <w:r w:rsidRPr="005D70B4">
        <w:rPr>
          <w:lang w:val="fr-FR"/>
        </w:rPr>
        <w:t>, sensibilisé</w:t>
      </w:r>
      <w:r w:rsidR="005D70B4">
        <w:rPr>
          <w:lang w:val="fr-FR"/>
        </w:rPr>
        <w:t>e</w:t>
      </w:r>
      <w:r w:rsidRPr="005D70B4">
        <w:rPr>
          <w:lang w:val="fr-FR"/>
        </w:rPr>
        <w:t xml:space="preserve"> aux principes de gouvernance éthique, choisira systématiquement de favoriser la médiation ou l’arbitrage interne en cas de conflit dans son entreprise, parce que cela reflète sa conception de la responsabilité sociale. Une bourgmestre pourra instaurer une cellule de conciliation citoyenne car cela correspond à sa vision d’une démocratie participative.</w:t>
      </w:r>
    </w:p>
    <w:p w14:paraId="7A74862B" w14:textId="77777777" w:rsidR="002023DF" w:rsidRPr="005D70B4" w:rsidRDefault="002023DF" w:rsidP="005D70B4">
      <w:pPr>
        <w:jc w:val="both"/>
        <w:rPr>
          <w:lang w:val="fr-FR"/>
        </w:rPr>
      </w:pPr>
      <w:r w:rsidRPr="005D70B4">
        <w:rPr>
          <w:lang w:val="fr-FR"/>
        </w:rPr>
        <w:t>Ici, l’amiable devient cohérent avec une manière d’être au monde. Pour accompagner cette intégration, il est essentiel d’articuler les MARD avec des valeurs fortes : autonomie, responsabilité, dignité, justice restaurative, pacification sociale.</w:t>
      </w:r>
    </w:p>
    <w:p w14:paraId="7B900642" w14:textId="59085321" w:rsidR="002023DF" w:rsidRPr="005D70B4" w:rsidRDefault="002023DF" w:rsidP="005D70B4">
      <w:pPr>
        <w:jc w:val="both"/>
        <w:rPr>
          <w:u w:val="single"/>
          <w:lang w:val="fr-FR"/>
        </w:rPr>
      </w:pPr>
      <w:r w:rsidRPr="005D70B4">
        <w:rPr>
          <w:u w:val="single"/>
          <w:lang w:val="fr-FR"/>
        </w:rPr>
        <w:t>La motivation intrinsèque : l’amiable comme engagement personnel</w:t>
      </w:r>
    </w:p>
    <w:p w14:paraId="300BD8EE" w14:textId="662296AE" w:rsidR="00553A5F" w:rsidRPr="005D70B4" w:rsidRDefault="002023DF" w:rsidP="005D70B4">
      <w:pPr>
        <w:jc w:val="both"/>
        <w:rPr>
          <w:lang w:val="fr-FR"/>
        </w:rPr>
      </w:pPr>
      <w:r w:rsidRPr="005D70B4">
        <w:rPr>
          <w:lang w:val="fr-FR"/>
        </w:rPr>
        <w:t xml:space="preserve">Enfin, au sommet du continuum, on trouve </w:t>
      </w:r>
      <w:r w:rsidR="00CC25D2" w:rsidRPr="005D70B4">
        <w:rPr>
          <w:lang w:val="fr-FR"/>
        </w:rPr>
        <w:t xml:space="preserve">celles et </w:t>
      </w:r>
      <w:r w:rsidRPr="005D70B4">
        <w:rPr>
          <w:lang w:val="fr-FR"/>
        </w:rPr>
        <w:t xml:space="preserve">ceux qui recourent à l’amiable par </w:t>
      </w:r>
      <w:r w:rsidR="00553A5F" w:rsidRPr="005D70B4">
        <w:rPr>
          <w:lang w:val="fr-FR"/>
        </w:rPr>
        <w:t xml:space="preserve">passion, </w:t>
      </w:r>
      <w:r w:rsidRPr="005D70B4">
        <w:rPr>
          <w:lang w:val="fr-FR"/>
        </w:rPr>
        <w:t>conviction</w:t>
      </w:r>
      <w:r w:rsidR="00553A5F" w:rsidRPr="005D70B4">
        <w:rPr>
          <w:lang w:val="fr-FR"/>
        </w:rPr>
        <w:t xml:space="preserve"> et</w:t>
      </w:r>
      <w:r w:rsidRPr="005D70B4">
        <w:rPr>
          <w:lang w:val="fr-FR"/>
        </w:rPr>
        <w:t xml:space="preserve"> vocation. </w:t>
      </w:r>
      <w:r w:rsidR="00CC25D2" w:rsidRPr="005D70B4">
        <w:rPr>
          <w:lang w:val="fr-FR"/>
        </w:rPr>
        <w:t>Ces personnes</w:t>
      </w:r>
      <w:r w:rsidRPr="005D70B4">
        <w:rPr>
          <w:lang w:val="fr-FR"/>
        </w:rPr>
        <w:t xml:space="preserve"> y trouvent une satisfaction personnelle, un épanouissement</w:t>
      </w:r>
      <w:r w:rsidR="00553A5F" w:rsidRPr="005D70B4">
        <w:rPr>
          <w:lang w:val="fr-FR"/>
        </w:rPr>
        <w:t>, du sens</w:t>
      </w:r>
      <w:r w:rsidRPr="005D70B4">
        <w:rPr>
          <w:lang w:val="fr-FR"/>
        </w:rPr>
        <w:t xml:space="preserve">. </w:t>
      </w:r>
    </w:p>
    <w:p w14:paraId="5F4D177F" w14:textId="589C7C86" w:rsidR="002023DF" w:rsidRPr="005D70B4" w:rsidRDefault="00553A5F" w:rsidP="005D70B4">
      <w:pPr>
        <w:jc w:val="both"/>
        <w:rPr>
          <w:lang w:val="fr-FR"/>
        </w:rPr>
      </w:pPr>
      <w:r w:rsidRPr="005D70B4">
        <w:rPr>
          <w:lang w:val="fr-FR"/>
        </w:rPr>
        <w:t xml:space="preserve">On y retrouve tous ceux et celles </w:t>
      </w:r>
      <w:r w:rsidR="002023DF" w:rsidRPr="005D70B4">
        <w:rPr>
          <w:lang w:val="fr-FR"/>
        </w:rPr>
        <w:t xml:space="preserve">qui initient des pratiques de </w:t>
      </w:r>
      <w:r w:rsidR="00574488" w:rsidRPr="005D70B4">
        <w:rPr>
          <w:lang w:val="fr-FR"/>
        </w:rPr>
        <w:t>l’amiable</w:t>
      </w:r>
      <w:r w:rsidR="002F5E9E" w:rsidRPr="005D70B4">
        <w:rPr>
          <w:lang w:val="fr-FR"/>
        </w:rPr>
        <w:t xml:space="preserve"> au quotidien, </w:t>
      </w:r>
      <w:r w:rsidR="00F74225" w:rsidRPr="005D70B4">
        <w:rPr>
          <w:lang w:val="fr-FR"/>
        </w:rPr>
        <w:t xml:space="preserve">notamment </w:t>
      </w:r>
      <w:r w:rsidR="009767CF" w:rsidRPr="005D70B4">
        <w:rPr>
          <w:lang w:val="fr-FR"/>
        </w:rPr>
        <w:t>de manière bénévole</w:t>
      </w:r>
      <w:r w:rsidR="00B66746" w:rsidRPr="005D70B4">
        <w:rPr>
          <w:lang w:val="fr-FR"/>
        </w:rPr>
        <w:t>, avec la volonté de semer un réel autre état d’esprit dans le règlement des conflits qui sont inhérents à toute vie sociale et aux échanges entre les êtres humains</w:t>
      </w:r>
      <w:r w:rsidR="009767CF" w:rsidRPr="005D70B4">
        <w:rPr>
          <w:lang w:val="fr-FR"/>
        </w:rPr>
        <w:t xml:space="preserve">. </w:t>
      </w:r>
    </w:p>
    <w:p w14:paraId="2B8B575A" w14:textId="5361463E" w:rsidR="002023DF" w:rsidRPr="005D70B4" w:rsidRDefault="002023DF" w:rsidP="005D70B4">
      <w:pPr>
        <w:jc w:val="both"/>
        <w:rPr>
          <w:lang w:val="fr-FR"/>
        </w:rPr>
      </w:pPr>
      <w:r w:rsidRPr="005D70B4">
        <w:rPr>
          <w:lang w:val="fr-FR"/>
        </w:rPr>
        <w:t>Ils ne le font pas pour éviter un procès ou pour gagner du temps, mais parce qu’il</w:t>
      </w:r>
      <w:r w:rsidR="00F74225" w:rsidRPr="005D70B4">
        <w:rPr>
          <w:lang w:val="fr-FR"/>
        </w:rPr>
        <w:t xml:space="preserve"> est essentiel pour eux de </w:t>
      </w:r>
      <w:r w:rsidRPr="005D70B4">
        <w:rPr>
          <w:lang w:val="fr-FR"/>
        </w:rPr>
        <w:t xml:space="preserve">faciliter les liens, </w:t>
      </w:r>
      <w:r w:rsidR="00913683" w:rsidRPr="005D70B4">
        <w:rPr>
          <w:lang w:val="fr-FR"/>
        </w:rPr>
        <w:t xml:space="preserve">de </w:t>
      </w:r>
      <w:r w:rsidRPr="005D70B4">
        <w:rPr>
          <w:lang w:val="fr-FR"/>
        </w:rPr>
        <w:t xml:space="preserve">restaurer la confiance, </w:t>
      </w:r>
      <w:r w:rsidR="00913683" w:rsidRPr="005D70B4">
        <w:rPr>
          <w:lang w:val="fr-FR"/>
        </w:rPr>
        <w:t>d’</w:t>
      </w:r>
      <w:r w:rsidRPr="005D70B4">
        <w:rPr>
          <w:lang w:val="fr-FR"/>
        </w:rPr>
        <w:t>aider à transformer les conflits.</w:t>
      </w:r>
    </w:p>
    <w:p w14:paraId="1BA2E6F9" w14:textId="4AA1390A" w:rsidR="002023DF" w:rsidRPr="005D70B4" w:rsidRDefault="002023DF" w:rsidP="005D70B4">
      <w:pPr>
        <w:jc w:val="both"/>
        <w:rPr>
          <w:lang w:val="fr-FR"/>
        </w:rPr>
      </w:pPr>
      <w:r w:rsidRPr="005D70B4">
        <w:rPr>
          <w:lang w:val="fr-FR"/>
        </w:rPr>
        <w:t xml:space="preserve">La culture de l’amiable devient alors une identité collective, valorisée, transmissible. Pour encourager cette forme de motivation, il </w:t>
      </w:r>
      <w:r w:rsidR="00400768" w:rsidRPr="005D70B4">
        <w:rPr>
          <w:lang w:val="fr-FR"/>
        </w:rPr>
        <w:t>importe</w:t>
      </w:r>
      <w:r w:rsidRPr="005D70B4">
        <w:rPr>
          <w:lang w:val="fr-FR"/>
        </w:rPr>
        <w:t xml:space="preserve"> </w:t>
      </w:r>
      <w:r w:rsidR="00C868D4">
        <w:rPr>
          <w:lang w:val="fr-FR"/>
        </w:rPr>
        <w:t xml:space="preserve">de </w:t>
      </w:r>
      <w:r w:rsidRPr="005D70B4">
        <w:rPr>
          <w:lang w:val="fr-FR"/>
        </w:rPr>
        <w:t xml:space="preserve">célébrer les figures de l’amiable, </w:t>
      </w:r>
      <w:r w:rsidR="00C868D4">
        <w:rPr>
          <w:lang w:val="fr-FR"/>
        </w:rPr>
        <w:t>d’</w:t>
      </w:r>
      <w:r w:rsidRPr="005D70B4">
        <w:rPr>
          <w:lang w:val="fr-FR"/>
        </w:rPr>
        <w:t xml:space="preserve">organiser des événements, </w:t>
      </w:r>
      <w:r w:rsidR="00C868D4">
        <w:rPr>
          <w:lang w:val="fr-FR"/>
        </w:rPr>
        <w:t xml:space="preserve">de </w:t>
      </w:r>
      <w:r w:rsidRPr="005D70B4">
        <w:rPr>
          <w:lang w:val="fr-FR"/>
        </w:rPr>
        <w:t xml:space="preserve">créer des réseaux, </w:t>
      </w:r>
      <w:r w:rsidR="00C868D4">
        <w:rPr>
          <w:lang w:val="fr-FR"/>
        </w:rPr>
        <w:t xml:space="preserve">de </w:t>
      </w:r>
      <w:r w:rsidRPr="005D70B4">
        <w:rPr>
          <w:lang w:val="fr-FR"/>
        </w:rPr>
        <w:t>favoriser les vocations. Cela suppose aussi un soutien institutionnel fort, une reconnaissance officielle de ces pratiques dans l’espace public.</w:t>
      </w:r>
    </w:p>
    <w:p w14:paraId="4F16F13E" w14:textId="77777777" w:rsidR="00705137" w:rsidRPr="005D70B4" w:rsidRDefault="00705137" w:rsidP="005D70B4">
      <w:pPr>
        <w:jc w:val="both"/>
        <w:rPr>
          <w:b/>
          <w:bCs/>
          <w:lang w:val="fr-FR"/>
        </w:rPr>
      </w:pPr>
      <w:r w:rsidRPr="005D70B4">
        <w:rPr>
          <w:b/>
          <w:bCs/>
          <w:lang w:val="fr-FR"/>
        </w:rPr>
        <w:t>Créer les conditions de la motivation autonome</w:t>
      </w:r>
    </w:p>
    <w:p w14:paraId="3E31C957" w14:textId="740E7624" w:rsidR="00705137" w:rsidRPr="005D70B4" w:rsidRDefault="00553298" w:rsidP="005D70B4">
      <w:pPr>
        <w:jc w:val="both"/>
        <w:rPr>
          <w:lang w:val="fr-FR"/>
        </w:rPr>
      </w:pPr>
      <w:r w:rsidRPr="005D70B4">
        <w:rPr>
          <w:lang w:val="fr-FR"/>
        </w:rPr>
        <w:t xml:space="preserve">Les pratiques de l’amiable seront d’autant plus susceptibles d’être adoptées qu’elles répondent </w:t>
      </w:r>
      <w:r w:rsidR="00705137" w:rsidRPr="005D70B4">
        <w:rPr>
          <w:lang w:val="fr-FR"/>
        </w:rPr>
        <w:t xml:space="preserve">aux </w:t>
      </w:r>
      <w:r w:rsidR="00705137" w:rsidRPr="00CE56D6">
        <w:rPr>
          <w:u w:val="single"/>
          <w:lang w:val="fr-FR"/>
        </w:rPr>
        <w:t>trois besoins psychologiques fondamentaux identifiés par la théorie de l’auto-détermination</w:t>
      </w:r>
      <w:r w:rsidR="00705137" w:rsidRPr="00CE56D6">
        <w:rPr>
          <w:rFonts w:ascii="Arial" w:hAnsi="Arial" w:cs="Arial"/>
          <w:u w:val="single"/>
          <w:lang w:val="fr-FR"/>
        </w:rPr>
        <w:t> </w:t>
      </w:r>
      <w:r w:rsidR="00705137" w:rsidRPr="00CE56D6">
        <w:rPr>
          <w:u w:val="single"/>
          <w:lang w:val="fr-FR"/>
        </w:rPr>
        <w:t>: l’autonomie, la compétence, et le lien social</w:t>
      </w:r>
      <w:r w:rsidR="00705137" w:rsidRPr="005D70B4">
        <w:rPr>
          <w:lang w:val="fr-FR"/>
        </w:rPr>
        <w:t>.</w:t>
      </w:r>
    </w:p>
    <w:p w14:paraId="0C84420A" w14:textId="19CB4105" w:rsidR="00705137" w:rsidRPr="005D70B4" w:rsidRDefault="00705137" w:rsidP="005D70B4">
      <w:pPr>
        <w:jc w:val="both"/>
        <w:rPr>
          <w:lang w:val="fr-FR"/>
        </w:rPr>
      </w:pPr>
      <w:r w:rsidRPr="005D70B4">
        <w:rPr>
          <w:lang w:val="fr-FR"/>
        </w:rPr>
        <w:t>D’abord, l’autonomie. La médiation</w:t>
      </w:r>
      <w:r w:rsidR="00E0665A" w:rsidRPr="005D70B4">
        <w:rPr>
          <w:lang w:val="fr-FR"/>
        </w:rPr>
        <w:t xml:space="preserve"> par exemple peut </w:t>
      </w:r>
      <w:r w:rsidRPr="005D70B4">
        <w:rPr>
          <w:lang w:val="fr-FR"/>
        </w:rPr>
        <w:t xml:space="preserve">être présentée comme un espace de liberté, où les parties </w:t>
      </w:r>
      <w:r w:rsidR="00731FF0" w:rsidRPr="005D70B4">
        <w:rPr>
          <w:lang w:val="fr-FR"/>
        </w:rPr>
        <w:t xml:space="preserve">se réapproprient leur conflit et </w:t>
      </w:r>
      <w:r w:rsidRPr="005D70B4">
        <w:rPr>
          <w:lang w:val="fr-FR"/>
        </w:rPr>
        <w:t>sont actrices de l</w:t>
      </w:r>
      <w:r w:rsidR="00731FF0" w:rsidRPr="005D70B4">
        <w:rPr>
          <w:lang w:val="fr-FR"/>
        </w:rPr>
        <w:t xml:space="preserve">eurs </w:t>
      </w:r>
      <w:r w:rsidRPr="005D70B4">
        <w:rPr>
          <w:lang w:val="fr-FR"/>
        </w:rPr>
        <w:t>solution</w:t>
      </w:r>
      <w:r w:rsidR="00731FF0" w:rsidRPr="005D70B4">
        <w:rPr>
          <w:lang w:val="fr-FR"/>
        </w:rPr>
        <w:t>s</w:t>
      </w:r>
      <w:r w:rsidRPr="005D70B4">
        <w:rPr>
          <w:lang w:val="fr-FR"/>
        </w:rPr>
        <w:t>. Cela suppose d’éviter tout discours moralisant ou culpabilisant, qui produirait l’effet inverse en suscitant de la résistance.</w:t>
      </w:r>
      <w:r w:rsidR="00596C6C" w:rsidRPr="005D70B4">
        <w:rPr>
          <w:lang w:val="fr-FR"/>
        </w:rPr>
        <w:t xml:space="preserve"> </w:t>
      </w:r>
      <w:r w:rsidRPr="005D70B4">
        <w:rPr>
          <w:lang w:val="fr-FR"/>
        </w:rPr>
        <w:t xml:space="preserve">Ensuite, la compétence. Il est essentiel que les </w:t>
      </w:r>
      <w:r w:rsidRPr="005D70B4">
        <w:rPr>
          <w:lang w:val="fr-FR"/>
        </w:rPr>
        <w:lastRenderedPageBreak/>
        <w:t xml:space="preserve">personnes aient le sentiment qu’elles peuvent s’engager dans </w:t>
      </w:r>
      <w:r w:rsidR="00E0665A" w:rsidRPr="005D70B4">
        <w:rPr>
          <w:lang w:val="fr-FR"/>
        </w:rPr>
        <w:t xml:space="preserve">les MARD </w:t>
      </w:r>
      <w:r w:rsidR="00C74C0F" w:rsidRPr="005D70B4">
        <w:rPr>
          <w:lang w:val="fr-FR"/>
        </w:rPr>
        <w:t>avec un sentiment de maîtrise</w:t>
      </w:r>
      <w:r w:rsidR="00396FBA" w:rsidRPr="005D70B4">
        <w:rPr>
          <w:lang w:val="fr-FR"/>
        </w:rPr>
        <w:t xml:space="preserve"> et de contrôle sur ce qui</w:t>
      </w:r>
      <w:r w:rsidR="00CB48FC" w:rsidRPr="005D70B4">
        <w:rPr>
          <w:lang w:val="fr-FR"/>
        </w:rPr>
        <w:t xml:space="preserve"> va s’y produire</w:t>
      </w:r>
      <w:r w:rsidRPr="005D70B4">
        <w:rPr>
          <w:lang w:val="fr-FR"/>
        </w:rPr>
        <w:t>. Cela passe par une préparation pédagogique, des explications claires et un accompagnement professionnel rassurant.</w:t>
      </w:r>
      <w:r w:rsidR="00596C6C" w:rsidRPr="005D70B4">
        <w:rPr>
          <w:lang w:val="fr-FR"/>
        </w:rPr>
        <w:t xml:space="preserve"> </w:t>
      </w:r>
      <w:r w:rsidRPr="005D70B4">
        <w:rPr>
          <w:lang w:val="fr-FR"/>
        </w:rPr>
        <w:t xml:space="preserve">Enfin, le lien. </w:t>
      </w:r>
      <w:r w:rsidR="00E0665A" w:rsidRPr="005D70B4">
        <w:rPr>
          <w:lang w:val="fr-FR"/>
        </w:rPr>
        <w:t xml:space="preserve">Les MARD doivent </w:t>
      </w:r>
      <w:r w:rsidRPr="005D70B4">
        <w:rPr>
          <w:lang w:val="fr-FR"/>
        </w:rPr>
        <w:t>être perçu</w:t>
      </w:r>
      <w:r w:rsidR="00E0665A" w:rsidRPr="005D70B4">
        <w:rPr>
          <w:lang w:val="fr-FR"/>
        </w:rPr>
        <w:t>s</w:t>
      </w:r>
      <w:r w:rsidRPr="005D70B4">
        <w:rPr>
          <w:lang w:val="fr-FR"/>
        </w:rPr>
        <w:t xml:space="preserve"> comme </w:t>
      </w:r>
      <w:r w:rsidR="00E0665A" w:rsidRPr="005D70B4">
        <w:rPr>
          <w:lang w:val="fr-FR"/>
        </w:rPr>
        <w:t xml:space="preserve">des </w:t>
      </w:r>
      <w:r w:rsidRPr="005D70B4">
        <w:rPr>
          <w:lang w:val="fr-FR"/>
        </w:rPr>
        <w:t>lieu</w:t>
      </w:r>
      <w:r w:rsidR="00E0665A" w:rsidRPr="005D70B4">
        <w:rPr>
          <w:lang w:val="fr-FR"/>
        </w:rPr>
        <w:t>x</w:t>
      </w:r>
      <w:r w:rsidRPr="005D70B4">
        <w:rPr>
          <w:lang w:val="fr-FR"/>
        </w:rPr>
        <w:t xml:space="preserve"> de reconnexion, où l’on peut retrouver une forme de reconnaissance mutuelle, même minimale. C’est ce besoin de lien qui permet de dépasser les logiques de confrontation stérile.</w:t>
      </w:r>
    </w:p>
    <w:p w14:paraId="7A8503DA" w14:textId="77777777" w:rsidR="002023DF" w:rsidRPr="005D70B4" w:rsidRDefault="002023DF" w:rsidP="005D70B4">
      <w:pPr>
        <w:jc w:val="both"/>
        <w:rPr>
          <w:b/>
          <w:bCs/>
          <w:lang w:val="fr-FR"/>
        </w:rPr>
      </w:pPr>
      <w:r w:rsidRPr="005D70B4">
        <w:rPr>
          <w:b/>
          <w:bCs/>
          <w:lang w:val="fr-FR"/>
        </w:rPr>
        <w:t>Créer un environnement propice à l’auto-détermination</w:t>
      </w:r>
    </w:p>
    <w:p w14:paraId="6692FF97" w14:textId="1D423FE6" w:rsidR="002023DF" w:rsidRPr="005D70B4" w:rsidRDefault="002023DF" w:rsidP="005D70B4">
      <w:pPr>
        <w:jc w:val="both"/>
        <w:rPr>
          <w:lang w:val="fr-FR"/>
        </w:rPr>
      </w:pPr>
      <w:r w:rsidRPr="005D70B4">
        <w:rPr>
          <w:lang w:val="fr-FR"/>
        </w:rPr>
        <w:t xml:space="preserve">Si les motivations individuelles sont essentielles, elles sont influencées par l’environnement social, institutionnel et culturel. Trois leviers sont particulièrement stratégiques pour favoriser le développement des pratiques de l’amiable : l’éducation, la culture et les institutions. </w:t>
      </w:r>
    </w:p>
    <w:p w14:paraId="7D114071" w14:textId="22074694" w:rsidR="002023DF" w:rsidRPr="00AC4154" w:rsidRDefault="002023DF" w:rsidP="005D70B4">
      <w:pPr>
        <w:jc w:val="both"/>
        <w:rPr>
          <w:lang w:val="fr-FR"/>
        </w:rPr>
      </w:pPr>
      <w:r w:rsidRPr="005D70B4">
        <w:rPr>
          <w:lang w:val="fr-FR"/>
        </w:rPr>
        <w:t>Au niveau de l’éducation, former</w:t>
      </w:r>
      <w:r w:rsidR="00AC4154">
        <w:rPr>
          <w:lang w:val="fr-FR"/>
        </w:rPr>
        <w:t>, tout d’abord,</w:t>
      </w:r>
      <w:r w:rsidRPr="005D70B4">
        <w:rPr>
          <w:lang w:val="fr-FR"/>
        </w:rPr>
        <w:t xml:space="preserve"> les jeunes dès l’école à la gestion constructive des conflits – par la médiation scolaire, les cercles de parole,</w:t>
      </w:r>
      <w:r w:rsidR="00731FF0" w:rsidRPr="005D70B4">
        <w:rPr>
          <w:lang w:val="fr-FR"/>
        </w:rPr>
        <w:t xml:space="preserve"> le dialogue, la régulation des émotions</w:t>
      </w:r>
      <w:r w:rsidRPr="005D70B4">
        <w:rPr>
          <w:lang w:val="fr-FR"/>
        </w:rPr>
        <w:t xml:space="preserve"> – permet de normaliser la négociation, l’écoute et le compromis comme compétences de base. </w:t>
      </w:r>
      <w:r w:rsidR="0099671C" w:rsidRPr="005D70B4">
        <w:rPr>
          <w:lang w:val="fr-FR"/>
        </w:rPr>
        <w:t>C’est dans cette direction que s’est notamment développée l’initiative « graine de médiateur »</w:t>
      </w:r>
      <w:r w:rsidR="00DF48F6" w:rsidRPr="00AC4154">
        <w:rPr>
          <w:rStyle w:val="Appelnotedebasdep"/>
          <w:lang w:val="fr-FR"/>
        </w:rPr>
        <w:footnoteReference w:id="2"/>
      </w:r>
      <w:r w:rsidR="00DF48F6" w:rsidRPr="00AC4154">
        <w:rPr>
          <w:lang w:val="fr-FR"/>
        </w:rPr>
        <w:t xml:space="preserve">. </w:t>
      </w:r>
      <w:r w:rsidRPr="00AC4154">
        <w:rPr>
          <w:lang w:val="fr-FR"/>
        </w:rPr>
        <w:t xml:space="preserve">Ces apprentissages favorisent une internalisation durable des modes amiables. </w:t>
      </w:r>
      <w:r w:rsidR="00AC4154">
        <w:rPr>
          <w:lang w:val="fr-FR"/>
        </w:rPr>
        <w:t>Ensuite, l</w:t>
      </w:r>
      <w:r w:rsidRPr="00AC4154">
        <w:rPr>
          <w:lang w:val="fr-FR"/>
        </w:rPr>
        <w:t xml:space="preserve">e changement des représentations sur les « bonnes » manières de gérer les conflits passe également par la sphère culturelle. Tant que les films, les séries ou les discours politiques mettront en scène le conflit judiciaire comme le seul théâtre de la vérité, l’amiable restera marginal. Il faut proposer d’autres récits, où le dialogue, la réparation, la négociation sont valorisés. Un documentaire, </w:t>
      </w:r>
      <w:r w:rsidR="00AC2D10" w:rsidRPr="00AC4154">
        <w:rPr>
          <w:lang w:val="fr-FR"/>
        </w:rPr>
        <w:t>un film</w:t>
      </w:r>
      <w:r w:rsidR="00AC2D10" w:rsidRPr="00AC4154">
        <w:rPr>
          <w:rStyle w:val="Appelnotedebasdep"/>
          <w:lang w:val="fr-FR"/>
        </w:rPr>
        <w:footnoteReference w:id="3"/>
      </w:r>
      <w:r w:rsidR="00AC2D10" w:rsidRPr="00AC4154">
        <w:rPr>
          <w:lang w:val="fr-FR"/>
        </w:rPr>
        <w:t xml:space="preserve">, </w:t>
      </w:r>
      <w:r w:rsidRPr="00AC4154">
        <w:rPr>
          <w:lang w:val="fr-FR"/>
        </w:rPr>
        <w:t xml:space="preserve">un roman, un podcast peuvent changer un imaginaire. Enfin, les pouvoirs publics </w:t>
      </w:r>
      <w:r w:rsidR="00BF4A4D" w:rsidRPr="00AC4154">
        <w:rPr>
          <w:lang w:val="fr-FR"/>
        </w:rPr>
        <w:t>jouent</w:t>
      </w:r>
      <w:r w:rsidRPr="00AC4154">
        <w:rPr>
          <w:lang w:val="fr-FR"/>
        </w:rPr>
        <w:t xml:space="preserve"> un rôle de modélisation. </w:t>
      </w:r>
      <w:r w:rsidR="004E0A26" w:rsidRPr="004E0A26">
        <w:t>Lorsqu’un ministère, une commune, un tribunal promeut activement les MARD, qu’ils les intègrent dans leurs pratiques, qu’ils forment leurs agents, ils créent un climat propice à l’adhésion. Cette dynamique ne se limite pas aux institutions judiciaires : certaines communes belges ont, par exemple, mis en place des services de médiation locale pour traiter les conflits de voisinage, les nuisances ou encore les litiges relatifs à la cohabitation dans l’espace public, offrant ainsi aux citoyens un accès direct et pragmatique à des modes alternatifs de résolution des différends. De la même manière, différents niveaux de pouvoir en Belgique se sont dotés d’ombudsmans — qu’il s’agisse du Médiateur fédéral, du Médiateur de la Wallonie et de la Fédération Wallonie-Bruxelles</w:t>
      </w:r>
      <w:r w:rsidR="004E0A26">
        <w:t xml:space="preserve"> ou</w:t>
      </w:r>
      <w:r w:rsidR="004E0A26" w:rsidRPr="004E0A26">
        <w:t xml:space="preserve"> de l’</w:t>
      </w:r>
      <w:proofErr w:type="spellStart"/>
      <w:r w:rsidR="004E0A26" w:rsidRPr="004E0A26">
        <w:t>Ombudsfin</w:t>
      </w:r>
      <w:proofErr w:type="spellEnd"/>
      <w:r w:rsidR="004E0A26" w:rsidRPr="004E0A26">
        <w:t xml:space="preserve"> pour les litiges financiers. Ces dispositifs constituent autant de relais institutionnels qui traduisent une volonté d’encourager le dialogue, de restaurer la confiance et de renforcer la transparence dans la relation entre l’administration et les citoyens. Ils illustrent un modèle de gouvernance </w:t>
      </w:r>
      <w:r w:rsidR="004E0A26" w:rsidRPr="004E0A26">
        <w:lastRenderedPageBreak/>
        <w:t>plus participatif, où la résolution des conflits et l’amélioration du service public ne reposent pas uniquement sur des procédures judiciaires, mais aussi sur l’écoute, la médiation et la recherche de solutions consensuelles.</w:t>
      </w:r>
    </w:p>
    <w:p w14:paraId="3D65E880" w14:textId="72ACD523" w:rsidR="00C4027A" w:rsidRPr="00AC4154" w:rsidRDefault="00AA4EDB" w:rsidP="005D70B4">
      <w:pPr>
        <w:jc w:val="both"/>
        <w:rPr>
          <w:b/>
          <w:bCs/>
          <w:lang w:val="fr-FR"/>
        </w:rPr>
      </w:pPr>
      <w:r w:rsidRPr="00AC4154">
        <w:rPr>
          <w:b/>
          <w:bCs/>
          <w:lang w:val="fr-FR"/>
        </w:rPr>
        <w:t>Passer à l’action pour modifier ou renforcer l’attitude</w:t>
      </w:r>
    </w:p>
    <w:p w14:paraId="3C3561D7" w14:textId="77777777" w:rsidR="009F7561" w:rsidRPr="009F7561" w:rsidRDefault="009F7561" w:rsidP="009F7561">
      <w:pPr>
        <w:jc w:val="both"/>
      </w:pPr>
      <w:r w:rsidRPr="009F7561">
        <w:t>Le passage à l’action – c’est-à-dire le moment où une personne choisit concrètement de recourir à un mode amiable – peut être éclairé par deux théories complémentaires : la théorie de l’engagement et la théorie du comportement planifié. La première montre que ce sont souvent les actes qui façonnent les attitudes. En engageant une personne dans une action même minime – assister à une réunion d’information sur les modes amiables, signer une pétition en faveur de l’amiable, participer à un jeu de rôle en formation –, on crée une dynamique psychologique de cohérence interne qui peut favoriser un alignement progressif entre les croyances et attitudes. Ce « pied dans la porte » peut ainsi ouvrir un espace de réceptivité aux valeurs de la culture de l’amiable.</w:t>
      </w:r>
    </w:p>
    <w:p w14:paraId="66F7510A" w14:textId="77777777" w:rsidR="009F7561" w:rsidRPr="009F7561" w:rsidRDefault="009F7561" w:rsidP="009F7561">
      <w:pPr>
        <w:jc w:val="both"/>
      </w:pPr>
      <w:r w:rsidRPr="009F7561">
        <w:t>De son côté, la théorie du comportement planifié met en lumière trois facteurs qui conditionnent la probabilité de passer à l’action : l’attitude vis-à-vis du comportement (percevoir l’amiable comme utile et bénéfique), la norme subjective (penser que des personnes importantes pour soi valorisent cette démarche) et le contrôle perçu (se sentir capable d’y recourir, comprendre les démarches à suivre). Pour qu’une personne se tourne spontanément vers un processus amiable, il est donc essentiel de travailler sur ces trois leviers : renforcer les perceptions positives (bénéfices concrets, témoignages inspirants), rendre visibles les normes sociales favorables (exemples d’entreprises, d’institutions, de citoyens ayant choisi cette voie), et surtout, simplifier l’accès à ces dispositifs (guides clairs, accompagnement, soutien logistique et financier).</w:t>
      </w:r>
    </w:p>
    <w:p w14:paraId="38ECE7F7" w14:textId="77777777" w:rsidR="009F7561" w:rsidRPr="009F7561" w:rsidRDefault="009F7561" w:rsidP="009F7561">
      <w:pPr>
        <w:jc w:val="both"/>
      </w:pPr>
      <w:r w:rsidRPr="009F7561">
        <w:t>Toutefois, ce passage à l’action risque d’être entravé si le monde judiciaire conserve ses anciens réflexes dans la manière de communiquer avec les justiciables. Les écrits officiels adressés aux personnes utilisent encore trop souvent un langage guerrier – on y parle de « procès », de « requérant », de « cité », de « gagnant » et de « perdant ». Ce vocabulaire, imprégné d’une logique de confrontation, peut inconsciemment décourager le recours aux modes amiables en renforçant l’idée que la justice est avant tout un champ de bataille. Pour favoriser l’émergence d’une véritable culture de l’amiable, il est donc tout aussi important de transformer les représentations véhiculées par les mots, en adoptant une communication plus neutre, inclusive et orientée vers la coopération.</w:t>
      </w:r>
    </w:p>
    <w:p w14:paraId="132ABA29" w14:textId="77777777" w:rsidR="002023DF" w:rsidRPr="00AC4154" w:rsidRDefault="002023DF" w:rsidP="005D70B4">
      <w:pPr>
        <w:jc w:val="both"/>
        <w:rPr>
          <w:b/>
          <w:bCs/>
          <w:lang w:val="fr-FR"/>
        </w:rPr>
      </w:pPr>
      <w:r w:rsidRPr="00AC4154">
        <w:rPr>
          <w:b/>
          <w:bCs/>
          <w:lang w:val="fr-FR"/>
        </w:rPr>
        <w:t>Vers une société de l’amiable</w:t>
      </w:r>
    </w:p>
    <w:p w14:paraId="693467E5" w14:textId="7E142AA9" w:rsidR="002023DF" w:rsidRPr="00AC4154" w:rsidRDefault="002023DF" w:rsidP="005D70B4">
      <w:pPr>
        <w:jc w:val="both"/>
        <w:rPr>
          <w:lang w:val="fr-FR"/>
        </w:rPr>
      </w:pPr>
      <w:r w:rsidRPr="00EF30F2">
        <w:rPr>
          <w:u w:val="single"/>
          <w:lang w:val="fr-FR"/>
        </w:rPr>
        <w:t>Promouvoir une culture de l’amiable ne consiste pas à opposer le dialogue à la justice, ni à ériger les MARD en solution miracle</w:t>
      </w:r>
      <w:r w:rsidRPr="00AC4154">
        <w:rPr>
          <w:lang w:val="fr-FR"/>
        </w:rPr>
        <w:t xml:space="preserve">. Il s’agit de faire émerger une autre manière d’envisager le conflit : non plus comme un combat à gagner, mais comme un espace à traverser ensemble, dans le respect </w:t>
      </w:r>
      <w:r w:rsidR="009767CF" w:rsidRPr="00AC4154">
        <w:rPr>
          <w:lang w:val="fr-FR"/>
        </w:rPr>
        <w:t xml:space="preserve">mutuel </w:t>
      </w:r>
      <w:r w:rsidRPr="00AC4154">
        <w:rPr>
          <w:lang w:val="fr-FR"/>
        </w:rPr>
        <w:t>et la responsabilité.</w:t>
      </w:r>
    </w:p>
    <w:p w14:paraId="1A82B474" w14:textId="77777777" w:rsidR="002023DF" w:rsidRPr="00AC4154" w:rsidRDefault="002023DF" w:rsidP="005D70B4">
      <w:pPr>
        <w:jc w:val="both"/>
        <w:rPr>
          <w:lang w:val="fr-FR"/>
        </w:rPr>
      </w:pPr>
      <w:r w:rsidRPr="00AC4154">
        <w:rPr>
          <w:lang w:val="fr-FR"/>
        </w:rPr>
        <w:lastRenderedPageBreak/>
        <w:t>Cela demande du temps, de la cohérence, une vision systémique. Mais les transformations individuelles, appuyées par des environnements favorables, peuvent faire évoluer les normes sociales. À condition de respecter le rythme de chacun et de soutenir le passage de la contrainte à la conviction.</w:t>
      </w:r>
    </w:p>
    <w:p w14:paraId="23518E13" w14:textId="77777777" w:rsidR="002023DF" w:rsidRPr="00AC4154" w:rsidRDefault="002023DF" w:rsidP="005D70B4">
      <w:pPr>
        <w:jc w:val="both"/>
        <w:rPr>
          <w:lang w:val="fr-FR"/>
        </w:rPr>
      </w:pPr>
      <w:r w:rsidRPr="00AC4154">
        <w:rPr>
          <w:lang w:val="fr-FR"/>
        </w:rPr>
        <w:t>Parce qu’au fond, une société qui valorise l’amiable est une société qui croit encore à la parole partagée, à la capacité des humains à s’écouter et à se comprendre. C’est une société du lien, et non du litige.</w:t>
      </w:r>
    </w:p>
    <w:p w14:paraId="0CD1A10A" w14:textId="2BDCB858" w:rsidR="00A62BB9" w:rsidRPr="00AC4154" w:rsidRDefault="00A62BB9" w:rsidP="005D70B4">
      <w:pPr>
        <w:jc w:val="both"/>
        <w:rPr>
          <w:lang w:val="fr-FR"/>
        </w:rPr>
      </w:pPr>
    </w:p>
    <w:sectPr w:rsidR="00A62BB9" w:rsidRPr="00AC41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72175" w14:textId="77777777" w:rsidR="00DD3D6C" w:rsidRDefault="00DD3D6C" w:rsidP="00DF48F6">
      <w:pPr>
        <w:spacing w:after="0" w:line="240" w:lineRule="auto"/>
      </w:pPr>
      <w:r>
        <w:separator/>
      </w:r>
    </w:p>
  </w:endnote>
  <w:endnote w:type="continuationSeparator" w:id="0">
    <w:p w14:paraId="4A5E4FC3" w14:textId="77777777" w:rsidR="00DD3D6C" w:rsidRDefault="00DD3D6C" w:rsidP="00DF48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11DD56" w14:textId="77777777" w:rsidR="00DD3D6C" w:rsidRDefault="00DD3D6C" w:rsidP="00DF48F6">
      <w:pPr>
        <w:spacing w:after="0" w:line="240" w:lineRule="auto"/>
      </w:pPr>
      <w:r>
        <w:separator/>
      </w:r>
    </w:p>
  </w:footnote>
  <w:footnote w:type="continuationSeparator" w:id="0">
    <w:p w14:paraId="5C88B74B" w14:textId="77777777" w:rsidR="00DD3D6C" w:rsidRDefault="00DD3D6C" w:rsidP="00DF48F6">
      <w:pPr>
        <w:spacing w:after="0" w:line="240" w:lineRule="auto"/>
      </w:pPr>
      <w:r>
        <w:continuationSeparator/>
      </w:r>
    </w:p>
  </w:footnote>
  <w:footnote w:id="1">
    <w:p w14:paraId="04C2F6F8" w14:textId="77777777" w:rsidR="002307FE" w:rsidRPr="00D03967" w:rsidRDefault="002307FE" w:rsidP="002307FE">
      <w:pPr>
        <w:rPr>
          <w:lang w:val="en-US"/>
        </w:rPr>
      </w:pPr>
      <w:r>
        <w:rPr>
          <w:rStyle w:val="Appelnotedebasdep"/>
        </w:rPr>
        <w:footnoteRef/>
      </w:r>
      <w:r w:rsidRPr="00424D4B">
        <w:rPr>
          <w:lang w:val="en-US"/>
        </w:rPr>
        <w:t xml:space="preserve"> </w:t>
      </w:r>
      <w:r w:rsidRPr="00424D4B">
        <w:rPr>
          <w:sz w:val="20"/>
          <w:szCs w:val="20"/>
          <w:lang w:val="en-US"/>
        </w:rPr>
        <w:t xml:space="preserve">Deci, E. L., &amp; Ryan, R. M. (1985). </w:t>
      </w:r>
      <w:r w:rsidRPr="00424D4B">
        <w:rPr>
          <w:i/>
          <w:iCs/>
          <w:sz w:val="20"/>
          <w:szCs w:val="20"/>
          <w:lang w:val="en-US"/>
        </w:rPr>
        <w:t xml:space="preserve">Intrinsic motivation and </w:t>
      </w:r>
      <w:proofErr w:type="spellStart"/>
      <w:r w:rsidRPr="00424D4B">
        <w:rPr>
          <w:i/>
          <w:iCs/>
          <w:sz w:val="20"/>
          <w:szCs w:val="20"/>
          <w:lang w:val="en-US"/>
        </w:rPr>
        <w:t>selfdetermination</w:t>
      </w:r>
      <w:proofErr w:type="spellEnd"/>
      <w:r w:rsidRPr="00424D4B">
        <w:rPr>
          <w:i/>
          <w:iCs/>
          <w:sz w:val="20"/>
          <w:szCs w:val="20"/>
          <w:lang w:val="en-US"/>
        </w:rPr>
        <w:t xml:space="preserve"> in human behavior</w:t>
      </w:r>
      <w:r w:rsidRPr="00424D4B">
        <w:rPr>
          <w:sz w:val="20"/>
          <w:szCs w:val="20"/>
          <w:lang w:val="en-US"/>
        </w:rPr>
        <w:t>. New York: Plenum.</w:t>
      </w:r>
    </w:p>
    <w:p w14:paraId="353032AC" w14:textId="46892E4F" w:rsidR="002307FE" w:rsidRPr="005D70B4" w:rsidRDefault="002307FE">
      <w:pPr>
        <w:pStyle w:val="Notedebasdepage"/>
        <w:rPr>
          <w:lang w:val="en-US"/>
        </w:rPr>
      </w:pPr>
    </w:p>
  </w:footnote>
  <w:footnote w:id="2">
    <w:p w14:paraId="1291BC4C" w14:textId="77777777" w:rsidR="00DF48F6" w:rsidRPr="005D70B4" w:rsidRDefault="00DF48F6" w:rsidP="00DF48F6">
      <w:pPr>
        <w:pStyle w:val="Notedebasdepage"/>
        <w:rPr>
          <w:lang w:val="en-US"/>
        </w:rPr>
      </w:pPr>
      <w:r>
        <w:rPr>
          <w:rStyle w:val="Appelnotedebasdep"/>
        </w:rPr>
        <w:footnoteRef/>
      </w:r>
      <w:r w:rsidRPr="005D70B4">
        <w:rPr>
          <w:lang w:val="en-US"/>
        </w:rPr>
        <w:t xml:space="preserve"> </w:t>
      </w:r>
      <w:r>
        <w:fldChar w:fldCharType="begin"/>
      </w:r>
      <w:r w:rsidRPr="009A1F99">
        <w:rPr>
          <w:lang w:val="en-US"/>
        </w:rPr>
        <w:instrText>HYPERLINK "https://www.universitedepaix.org/gdm-primaire"</w:instrText>
      </w:r>
      <w:r>
        <w:fldChar w:fldCharType="separate"/>
      </w:r>
      <w:r w:rsidRPr="005D70B4">
        <w:rPr>
          <w:rStyle w:val="Lienhypertexte"/>
          <w:lang w:val="en-US"/>
        </w:rPr>
        <w:t>https://www.universitedepaix.org/gdm-primaire</w:t>
      </w:r>
      <w:r>
        <w:fldChar w:fldCharType="end"/>
      </w:r>
    </w:p>
    <w:p w14:paraId="7BF15A3E" w14:textId="77777777" w:rsidR="00DF48F6" w:rsidRPr="005D70B4" w:rsidRDefault="00DF48F6" w:rsidP="00DF48F6">
      <w:pPr>
        <w:pStyle w:val="Notedebasdepage"/>
        <w:rPr>
          <w:lang w:val="en-US"/>
        </w:rPr>
      </w:pPr>
      <w:r>
        <w:fldChar w:fldCharType="begin"/>
      </w:r>
      <w:r w:rsidRPr="009A1F99">
        <w:rPr>
          <w:lang w:val="en-US"/>
        </w:rPr>
        <w:instrText>HYPERLINK "https://www.pipsa.be/outils/detail-2139614237/graines-de-mediateurs-en-maternelle.html"</w:instrText>
      </w:r>
      <w:r>
        <w:fldChar w:fldCharType="separate"/>
      </w:r>
      <w:r w:rsidRPr="005D70B4">
        <w:rPr>
          <w:rStyle w:val="Lienhypertexte"/>
          <w:lang w:val="en-US"/>
        </w:rPr>
        <w:t>https://www.pipsa.be/outils/detail-2139614237/graines-de-mediateurs-en-maternelle.html</w:t>
      </w:r>
      <w:r>
        <w:fldChar w:fldCharType="end"/>
      </w:r>
    </w:p>
    <w:p w14:paraId="25B86D49" w14:textId="751FEF6C" w:rsidR="00DF48F6" w:rsidRPr="005D70B4" w:rsidRDefault="00DF48F6">
      <w:pPr>
        <w:pStyle w:val="Notedebasdepage"/>
        <w:rPr>
          <w:lang w:val="en-US"/>
        </w:rPr>
      </w:pPr>
    </w:p>
  </w:footnote>
  <w:footnote w:id="3">
    <w:p w14:paraId="6C8B93C7" w14:textId="13788C0F" w:rsidR="00AC2D10" w:rsidRPr="00C34EB3" w:rsidRDefault="00A666E1" w:rsidP="00AC4154">
      <w:pPr>
        <w:pStyle w:val="Notedebasdepage"/>
        <w:jc w:val="both"/>
        <w:rPr>
          <w:lang w:val="fr-FR"/>
        </w:rPr>
      </w:pPr>
      <w:r>
        <w:rPr>
          <w:rStyle w:val="Appelnotedebasdep"/>
        </w:rPr>
        <w:footnoteRef/>
      </w:r>
      <w:r w:rsidR="00AC2D10">
        <w:rPr>
          <w:lang w:val="fr-FR"/>
        </w:rPr>
        <w:t xml:space="preserve">Voir par exemple l’excellent film de Jeanne </w:t>
      </w:r>
      <w:proofErr w:type="spellStart"/>
      <w:r w:rsidR="00AC2D10">
        <w:rPr>
          <w:lang w:val="fr-FR"/>
        </w:rPr>
        <w:t>Herry</w:t>
      </w:r>
      <w:proofErr w:type="spellEnd"/>
      <w:r w:rsidR="00AC2D10">
        <w:rPr>
          <w:lang w:val="fr-FR"/>
        </w:rPr>
        <w:t xml:space="preserve"> (2023</w:t>
      </w:r>
      <w:proofErr w:type="gramStart"/>
      <w:r w:rsidR="00AC2D10">
        <w:rPr>
          <w:lang w:val="fr-FR"/>
        </w:rPr>
        <w:t>)  «</w:t>
      </w:r>
      <w:proofErr w:type="gramEnd"/>
      <w:r w:rsidR="00AC2D10">
        <w:rPr>
          <w:lang w:val="fr-FR"/>
        </w:rPr>
        <w:t xml:space="preserve"> Je verrai toujours vos visages » qui met en scène les pratiques de justice restaurative.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3DF"/>
    <w:rsid w:val="00077654"/>
    <w:rsid w:val="000E4C5E"/>
    <w:rsid w:val="001B5B3E"/>
    <w:rsid w:val="001B5E06"/>
    <w:rsid w:val="001C0A69"/>
    <w:rsid w:val="001E6F48"/>
    <w:rsid w:val="002023DF"/>
    <w:rsid w:val="0020644A"/>
    <w:rsid w:val="002307FE"/>
    <w:rsid w:val="0023089C"/>
    <w:rsid w:val="00247636"/>
    <w:rsid w:val="002812E7"/>
    <w:rsid w:val="002D57C4"/>
    <w:rsid w:val="002F5E9E"/>
    <w:rsid w:val="00310599"/>
    <w:rsid w:val="003569DA"/>
    <w:rsid w:val="00396FBA"/>
    <w:rsid w:val="003D4A9A"/>
    <w:rsid w:val="00400768"/>
    <w:rsid w:val="00424D4B"/>
    <w:rsid w:val="00427847"/>
    <w:rsid w:val="00446F00"/>
    <w:rsid w:val="004972B7"/>
    <w:rsid w:val="004A0BDF"/>
    <w:rsid w:val="004E0A26"/>
    <w:rsid w:val="004E54FB"/>
    <w:rsid w:val="00502963"/>
    <w:rsid w:val="00553298"/>
    <w:rsid w:val="00553A5F"/>
    <w:rsid w:val="00574488"/>
    <w:rsid w:val="00596C6C"/>
    <w:rsid w:val="005D70B4"/>
    <w:rsid w:val="00604F49"/>
    <w:rsid w:val="00630ED7"/>
    <w:rsid w:val="006C42AC"/>
    <w:rsid w:val="006F514F"/>
    <w:rsid w:val="00705137"/>
    <w:rsid w:val="00731FF0"/>
    <w:rsid w:val="007502AC"/>
    <w:rsid w:val="007C6D8D"/>
    <w:rsid w:val="007C7180"/>
    <w:rsid w:val="008326F1"/>
    <w:rsid w:val="008C7245"/>
    <w:rsid w:val="00913683"/>
    <w:rsid w:val="0091392C"/>
    <w:rsid w:val="009751A7"/>
    <w:rsid w:val="009767CF"/>
    <w:rsid w:val="0099337B"/>
    <w:rsid w:val="0099671C"/>
    <w:rsid w:val="009A1F99"/>
    <w:rsid w:val="009E1443"/>
    <w:rsid w:val="009F7561"/>
    <w:rsid w:val="00A62BB9"/>
    <w:rsid w:val="00A666E1"/>
    <w:rsid w:val="00AA4EDB"/>
    <w:rsid w:val="00AA69C5"/>
    <w:rsid w:val="00AC2D10"/>
    <w:rsid w:val="00AC4154"/>
    <w:rsid w:val="00AD1957"/>
    <w:rsid w:val="00B21177"/>
    <w:rsid w:val="00B32068"/>
    <w:rsid w:val="00B37F34"/>
    <w:rsid w:val="00B41B33"/>
    <w:rsid w:val="00B66746"/>
    <w:rsid w:val="00B66AEB"/>
    <w:rsid w:val="00B85436"/>
    <w:rsid w:val="00BE160E"/>
    <w:rsid w:val="00BF4A4D"/>
    <w:rsid w:val="00C4027A"/>
    <w:rsid w:val="00C65177"/>
    <w:rsid w:val="00C74C0F"/>
    <w:rsid w:val="00C868D4"/>
    <w:rsid w:val="00C91FAC"/>
    <w:rsid w:val="00CB48FC"/>
    <w:rsid w:val="00CC25D2"/>
    <w:rsid w:val="00CE56D6"/>
    <w:rsid w:val="00D02DE3"/>
    <w:rsid w:val="00D03967"/>
    <w:rsid w:val="00D20456"/>
    <w:rsid w:val="00D77AEE"/>
    <w:rsid w:val="00D931A2"/>
    <w:rsid w:val="00DA32E1"/>
    <w:rsid w:val="00DD3D6C"/>
    <w:rsid w:val="00DF48F6"/>
    <w:rsid w:val="00E04796"/>
    <w:rsid w:val="00E0665A"/>
    <w:rsid w:val="00E21214"/>
    <w:rsid w:val="00EF30F2"/>
    <w:rsid w:val="00F74225"/>
    <w:rsid w:val="00F9349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95232"/>
  <w15:chartTrackingRefBased/>
  <w15:docId w15:val="{694D7F53-43B1-4055-BFAA-5C730649B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2023D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2023D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2023DF"/>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2023DF"/>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2023DF"/>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2023DF"/>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2023DF"/>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2023DF"/>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2023DF"/>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023DF"/>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2023DF"/>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2023DF"/>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2023DF"/>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2023DF"/>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2023DF"/>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2023DF"/>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2023DF"/>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2023DF"/>
    <w:rPr>
      <w:rFonts w:eastAsiaTheme="majorEastAsia" w:cstheme="majorBidi"/>
      <w:color w:val="272727" w:themeColor="text1" w:themeTint="D8"/>
    </w:rPr>
  </w:style>
  <w:style w:type="paragraph" w:styleId="Titre">
    <w:name w:val="Title"/>
    <w:basedOn w:val="Normal"/>
    <w:next w:val="Normal"/>
    <w:link w:val="TitreCar"/>
    <w:uiPriority w:val="10"/>
    <w:qFormat/>
    <w:rsid w:val="002023D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023DF"/>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023DF"/>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023DF"/>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023DF"/>
    <w:pPr>
      <w:spacing w:before="160"/>
      <w:jc w:val="center"/>
    </w:pPr>
    <w:rPr>
      <w:i/>
      <w:iCs/>
      <w:color w:val="404040" w:themeColor="text1" w:themeTint="BF"/>
    </w:rPr>
  </w:style>
  <w:style w:type="character" w:customStyle="1" w:styleId="CitationCar">
    <w:name w:val="Citation Car"/>
    <w:basedOn w:val="Policepardfaut"/>
    <w:link w:val="Citation"/>
    <w:uiPriority w:val="29"/>
    <w:rsid w:val="002023DF"/>
    <w:rPr>
      <w:i/>
      <w:iCs/>
      <w:color w:val="404040" w:themeColor="text1" w:themeTint="BF"/>
    </w:rPr>
  </w:style>
  <w:style w:type="paragraph" w:styleId="Paragraphedeliste">
    <w:name w:val="List Paragraph"/>
    <w:basedOn w:val="Normal"/>
    <w:uiPriority w:val="34"/>
    <w:qFormat/>
    <w:rsid w:val="002023DF"/>
    <w:pPr>
      <w:ind w:left="720"/>
      <w:contextualSpacing/>
    </w:pPr>
  </w:style>
  <w:style w:type="character" w:styleId="Accentuationintense">
    <w:name w:val="Intense Emphasis"/>
    <w:basedOn w:val="Policepardfaut"/>
    <w:uiPriority w:val="21"/>
    <w:qFormat/>
    <w:rsid w:val="002023DF"/>
    <w:rPr>
      <w:i/>
      <w:iCs/>
      <w:color w:val="0F4761" w:themeColor="accent1" w:themeShade="BF"/>
    </w:rPr>
  </w:style>
  <w:style w:type="paragraph" w:styleId="Citationintense">
    <w:name w:val="Intense Quote"/>
    <w:basedOn w:val="Normal"/>
    <w:next w:val="Normal"/>
    <w:link w:val="CitationintenseCar"/>
    <w:uiPriority w:val="30"/>
    <w:qFormat/>
    <w:rsid w:val="002023D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2023DF"/>
    <w:rPr>
      <w:i/>
      <w:iCs/>
      <w:color w:val="0F4761" w:themeColor="accent1" w:themeShade="BF"/>
    </w:rPr>
  </w:style>
  <w:style w:type="character" w:styleId="Rfrenceintense">
    <w:name w:val="Intense Reference"/>
    <w:basedOn w:val="Policepardfaut"/>
    <w:uiPriority w:val="32"/>
    <w:qFormat/>
    <w:rsid w:val="002023DF"/>
    <w:rPr>
      <w:b/>
      <w:bCs/>
      <w:smallCaps/>
      <w:color w:val="0F4761" w:themeColor="accent1" w:themeShade="BF"/>
      <w:spacing w:val="5"/>
    </w:rPr>
  </w:style>
  <w:style w:type="paragraph" w:styleId="Rvision">
    <w:name w:val="Revision"/>
    <w:hidden/>
    <w:uiPriority w:val="99"/>
    <w:semiHidden/>
    <w:rsid w:val="003D4A9A"/>
    <w:pPr>
      <w:spacing w:after="0" w:line="240" w:lineRule="auto"/>
    </w:pPr>
  </w:style>
  <w:style w:type="character" w:styleId="Marquedecommentaire">
    <w:name w:val="annotation reference"/>
    <w:basedOn w:val="Policepardfaut"/>
    <w:uiPriority w:val="99"/>
    <w:semiHidden/>
    <w:unhideWhenUsed/>
    <w:rsid w:val="003D4A9A"/>
    <w:rPr>
      <w:sz w:val="16"/>
      <w:szCs w:val="16"/>
    </w:rPr>
  </w:style>
  <w:style w:type="paragraph" w:styleId="Commentaire">
    <w:name w:val="annotation text"/>
    <w:basedOn w:val="Normal"/>
    <w:link w:val="CommentaireCar"/>
    <w:uiPriority w:val="99"/>
    <w:unhideWhenUsed/>
    <w:rsid w:val="003D4A9A"/>
    <w:pPr>
      <w:spacing w:line="240" w:lineRule="auto"/>
    </w:pPr>
    <w:rPr>
      <w:sz w:val="20"/>
      <w:szCs w:val="20"/>
    </w:rPr>
  </w:style>
  <w:style w:type="character" w:customStyle="1" w:styleId="CommentaireCar">
    <w:name w:val="Commentaire Car"/>
    <w:basedOn w:val="Policepardfaut"/>
    <w:link w:val="Commentaire"/>
    <w:uiPriority w:val="99"/>
    <w:rsid w:val="003D4A9A"/>
    <w:rPr>
      <w:sz w:val="20"/>
      <w:szCs w:val="20"/>
    </w:rPr>
  </w:style>
  <w:style w:type="paragraph" w:styleId="Objetducommentaire">
    <w:name w:val="annotation subject"/>
    <w:basedOn w:val="Commentaire"/>
    <w:next w:val="Commentaire"/>
    <w:link w:val="ObjetducommentaireCar"/>
    <w:uiPriority w:val="99"/>
    <w:semiHidden/>
    <w:unhideWhenUsed/>
    <w:rsid w:val="003D4A9A"/>
    <w:rPr>
      <w:b/>
      <w:bCs/>
    </w:rPr>
  </w:style>
  <w:style w:type="character" w:customStyle="1" w:styleId="ObjetducommentaireCar">
    <w:name w:val="Objet du commentaire Car"/>
    <w:basedOn w:val="CommentaireCar"/>
    <w:link w:val="Objetducommentaire"/>
    <w:uiPriority w:val="99"/>
    <w:semiHidden/>
    <w:rsid w:val="003D4A9A"/>
    <w:rPr>
      <w:b/>
      <w:bCs/>
      <w:sz w:val="20"/>
      <w:szCs w:val="20"/>
    </w:rPr>
  </w:style>
  <w:style w:type="character" w:styleId="Lienhypertexte">
    <w:name w:val="Hyperlink"/>
    <w:basedOn w:val="Policepardfaut"/>
    <w:uiPriority w:val="99"/>
    <w:unhideWhenUsed/>
    <w:rsid w:val="00731FF0"/>
    <w:rPr>
      <w:color w:val="467886" w:themeColor="hyperlink"/>
      <w:u w:val="single"/>
    </w:rPr>
  </w:style>
  <w:style w:type="character" w:styleId="Mentionnonrsolue">
    <w:name w:val="Unresolved Mention"/>
    <w:basedOn w:val="Policepardfaut"/>
    <w:uiPriority w:val="99"/>
    <w:semiHidden/>
    <w:unhideWhenUsed/>
    <w:rsid w:val="00731FF0"/>
    <w:rPr>
      <w:color w:val="605E5C"/>
      <w:shd w:val="clear" w:color="auto" w:fill="E1DFDD"/>
    </w:rPr>
  </w:style>
  <w:style w:type="paragraph" w:styleId="Notedebasdepage">
    <w:name w:val="footnote text"/>
    <w:basedOn w:val="Normal"/>
    <w:link w:val="NotedebasdepageCar"/>
    <w:uiPriority w:val="99"/>
    <w:semiHidden/>
    <w:unhideWhenUsed/>
    <w:rsid w:val="00DF48F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F48F6"/>
    <w:rPr>
      <w:sz w:val="20"/>
      <w:szCs w:val="20"/>
    </w:rPr>
  </w:style>
  <w:style w:type="character" w:styleId="Appelnotedebasdep">
    <w:name w:val="footnote reference"/>
    <w:basedOn w:val="Policepardfaut"/>
    <w:uiPriority w:val="99"/>
    <w:semiHidden/>
    <w:unhideWhenUsed/>
    <w:rsid w:val="00DF48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965983">
      <w:bodyDiv w:val="1"/>
      <w:marLeft w:val="0"/>
      <w:marRight w:val="0"/>
      <w:marTop w:val="0"/>
      <w:marBottom w:val="0"/>
      <w:divBdr>
        <w:top w:val="none" w:sz="0" w:space="0" w:color="auto"/>
        <w:left w:val="none" w:sz="0" w:space="0" w:color="auto"/>
        <w:bottom w:val="none" w:sz="0" w:space="0" w:color="auto"/>
        <w:right w:val="none" w:sz="0" w:space="0" w:color="auto"/>
      </w:divBdr>
    </w:div>
    <w:div w:id="252595876">
      <w:bodyDiv w:val="1"/>
      <w:marLeft w:val="0"/>
      <w:marRight w:val="0"/>
      <w:marTop w:val="0"/>
      <w:marBottom w:val="0"/>
      <w:divBdr>
        <w:top w:val="none" w:sz="0" w:space="0" w:color="auto"/>
        <w:left w:val="none" w:sz="0" w:space="0" w:color="auto"/>
        <w:bottom w:val="none" w:sz="0" w:space="0" w:color="auto"/>
        <w:right w:val="none" w:sz="0" w:space="0" w:color="auto"/>
      </w:divBdr>
    </w:div>
    <w:div w:id="332924689">
      <w:bodyDiv w:val="1"/>
      <w:marLeft w:val="0"/>
      <w:marRight w:val="0"/>
      <w:marTop w:val="0"/>
      <w:marBottom w:val="0"/>
      <w:divBdr>
        <w:top w:val="none" w:sz="0" w:space="0" w:color="auto"/>
        <w:left w:val="none" w:sz="0" w:space="0" w:color="auto"/>
        <w:bottom w:val="none" w:sz="0" w:space="0" w:color="auto"/>
        <w:right w:val="none" w:sz="0" w:space="0" w:color="auto"/>
      </w:divBdr>
    </w:div>
    <w:div w:id="786578895">
      <w:bodyDiv w:val="1"/>
      <w:marLeft w:val="0"/>
      <w:marRight w:val="0"/>
      <w:marTop w:val="0"/>
      <w:marBottom w:val="0"/>
      <w:divBdr>
        <w:top w:val="none" w:sz="0" w:space="0" w:color="auto"/>
        <w:left w:val="none" w:sz="0" w:space="0" w:color="auto"/>
        <w:bottom w:val="none" w:sz="0" w:space="0" w:color="auto"/>
        <w:right w:val="none" w:sz="0" w:space="0" w:color="auto"/>
      </w:divBdr>
    </w:div>
    <w:div w:id="1255287008">
      <w:bodyDiv w:val="1"/>
      <w:marLeft w:val="0"/>
      <w:marRight w:val="0"/>
      <w:marTop w:val="0"/>
      <w:marBottom w:val="0"/>
      <w:divBdr>
        <w:top w:val="none" w:sz="0" w:space="0" w:color="auto"/>
        <w:left w:val="none" w:sz="0" w:space="0" w:color="auto"/>
        <w:bottom w:val="none" w:sz="0" w:space="0" w:color="auto"/>
        <w:right w:val="none" w:sz="0" w:space="0" w:color="auto"/>
      </w:divBdr>
    </w:div>
    <w:div w:id="1318613500">
      <w:bodyDiv w:val="1"/>
      <w:marLeft w:val="0"/>
      <w:marRight w:val="0"/>
      <w:marTop w:val="0"/>
      <w:marBottom w:val="0"/>
      <w:divBdr>
        <w:top w:val="none" w:sz="0" w:space="0" w:color="auto"/>
        <w:left w:val="none" w:sz="0" w:space="0" w:color="auto"/>
        <w:bottom w:val="none" w:sz="0" w:space="0" w:color="auto"/>
        <w:right w:val="none" w:sz="0" w:space="0" w:color="auto"/>
      </w:divBdr>
    </w:div>
    <w:div w:id="1390377679">
      <w:bodyDiv w:val="1"/>
      <w:marLeft w:val="0"/>
      <w:marRight w:val="0"/>
      <w:marTop w:val="0"/>
      <w:marBottom w:val="0"/>
      <w:divBdr>
        <w:top w:val="none" w:sz="0" w:space="0" w:color="auto"/>
        <w:left w:val="none" w:sz="0" w:space="0" w:color="auto"/>
        <w:bottom w:val="none" w:sz="0" w:space="0" w:color="auto"/>
        <w:right w:val="none" w:sz="0" w:space="0" w:color="auto"/>
      </w:divBdr>
    </w:div>
    <w:div w:id="1536578305">
      <w:bodyDiv w:val="1"/>
      <w:marLeft w:val="0"/>
      <w:marRight w:val="0"/>
      <w:marTop w:val="0"/>
      <w:marBottom w:val="0"/>
      <w:divBdr>
        <w:top w:val="none" w:sz="0" w:space="0" w:color="auto"/>
        <w:left w:val="none" w:sz="0" w:space="0" w:color="auto"/>
        <w:bottom w:val="none" w:sz="0" w:space="0" w:color="auto"/>
        <w:right w:val="none" w:sz="0" w:space="0" w:color="auto"/>
      </w:divBdr>
    </w:div>
    <w:div w:id="1537233512">
      <w:bodyDiv w:val="1"/>
      <w:marLeft w:val="0"/>
      <w:marRight w:val="0"/>
      <w:marTop w:val="0"/>
      <w:marBottom w:val="0"/>
      <w:divBdr>
        <w:top w:val="none" w:sz="0" w:space="0" w:color="auto"/>
        <w:left w:val="none" w:sz="0" w:space="0" w:color="auto"/>
        <w:bottom w:val="none" w:sz="0" w:space="0" w:color="auto"/>
        <w:right w:val="none" w:sz="0" w:space="0" w:color="auto"/>
      </w:divBdr>
    </w:div>
    <w:div w:id="1609314683">
      <w:bodyDiv w:val="1"/>
      <w:marLeft w:val="0"/>
      <w:marRight w:val="0"/>
      <w:marTop w:val="0"/>
      <w:marBottom w:val="0"/>
      <w:divBdr>
        <w:top w:val="none" w:sz="0" w:space="0" w:color="auto"/>
        <w:left w:val="none" w:sz="0" w:space="0" w:color="auto"/>
        <w:bottom w:val="none" w:sz="0" w:space="0" w:color="auto"/>
        <w:right w:val="none" w:sz="0" w:space="0" w:color="auto"/>
      </w:divBdr>
    </w:div>
    <w:div w:id="1647735452">
      <w:bodyDiv w:val="1"/>
      <w:marLeft w:val="0"/>
      <w:marRight w:val="0"/>
      <w:marTop w:val="0"/>
      <w:marBottom w:val="0"/>
      <w:divBdr>
        <w:top w:val="none" w:sz="0" w:space="0" w:color="auto"/>
        <w:left w:val="none" w:sz="0" w:space="0" w:color="auto"/>
        <w:bottom w:val="none" w:sz="0" w:space="0" w:color="auto"/>
        <w:right w:val="none" w:sz="0" w:space="0" w:color="auto"/>
      </w:divBdr>
    </w:div>
    <w:div w:id="1727951618">
      <w:bodyDiv w:val="1"/>
      <w:marLeft w:val="0"/>
      <w:marRight w:val="0"/>
      <w:marTop w:val="0"/>
      <w:marBottom w:val="0"/>
      <w:divBdr>
        <w:top w:val="none" w:sz="0" w:space="0" w:color="auto"/>
        <w:left w:val="none" w:sz="0" w:space="0" w:color="auto"/>
        <w:bottom w:val="none" w:sz="0" w:space="0" w:color="auto"/>
        <w:right w:val="none" w:sz="0" w:space="0" w:color="auto"/>
      </w:divBdr>
    </w:div>
    <w:div w:id="1843624824">
      <w:bodyDiv w:val="1"/>
      <w:marLeft w:val="0"/>
      <w:marRight w:val="0"/>
      <w:marTop w:val="0"/>
      <w:marBottom w:val="0"/>
      <w:divBdr>
        <w:top w:val="none" w:sz="0" w:space="0" w:color="auto"/>
        <w:left w:val="none" w:sz="0" w:space="0" w:color="auto"/>
        <w:bottom w:val="none" w:sz="0" w:space="0" w:color="auto"/>
        <w:right w:val="none" w:sz="0" w:space="0" w:color="auto"/>
      </w:divBdr>
    </w:div>
    <w:div w:id="207920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C5735-1E65-4076-92DF-60C11C3F3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2547</Words>
  <Characters>14009</Characters>
  <Application>Microsoft Office Word</Application>
  <DocSecurity>0</DocSecurity>
  <Lines>116</Lines>
  <Paragraphs>33</Paragraphs>
  <ScaleCrop>false</ScaleCrop>
  <HeadingPairs>
    <vt:vector size="2" baseType="variant">
      <vt:variant>
        <vt:lpstr>Titre</vt:lpstr>
      </vt:variant>
      <vt:variant>
        <vt:i4>1</vt:i4>
      </vt:variant>
    </vt:vector>
  </HeadingPairs>
  <TitlesOfParts>
    <vt:vector size="1" baseType="lpstr">
      <vt:lpstr/>
    </vt:vector>
  </TitlesOfParts>
  <Company>UCLouvain</Company>
  <LinksUpToDate>false</LinksUpToDate>
  <CharactersWithSpaces>16523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Stéphanie Demoulin</dc:creator>
  <cp:keywords/>
  <dc:description/>
  <cp:lastModifiedBy>Stéphanie Demoulin</cp:lastModifiedBy>
  <cp:revision>9</cp:revision>
  <dcterms:created xsi:type="dcterms:W3CDTF">2025-08-22T08:11:00Z</dcterms:created>
  <dcterms:modified xsi:type="dcterms:W3CDTF">2025-08-22T08:22:00Z</dcterms:modified>
</cp:coreProperties>
</file>