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F8F8" w14:textId="7B431AF6" w:rsidR="00554481" w:rsidRDefault="00554481" w:rsidP="00554481">
      <w:pPr>
        <w:rPr>
          <w:b/>
          <w:bCs/>
        </w:rPr>
      </w:pPr>
      <w:r w:rsidRPr="008B5FDB">
        <w:rPr>
          <w:b/>
          <w:bCs/>
        </w:rPr>
        <w:t xml:space="preserve">Who tells (post)colonial history and how? </w:t>
      </w:r>
      <w:r w:rsidR="00A715A3" w:rsidRPr="008B5FDB">
        <w:rPr>
          <w:b/>
          <w:bCs/>
        </w:rPr>
        <w:t>A corpus-based analysis of postcolonial debates in Belgi</w:t>
      </w:r>
      <w:r w:rsidR="009E2EE8" w:rsidRPr="008B5FDB">
        <w:rPr>
          <w:b/>
          <w:bCs/>
        </w:rPr>
        <w:t>an</w:t>
      </w:r>
      <w:r w:rsidR="00A715A3" w:rsidRPr="008B5FDB">
        <w:rPr>
          <w:b/>
          <w:bCs/>
        </w:rPr>
        <w:t xml:space="preserve"> media</w:t>
      </w:r>
    </w:p>
    <w:p w14:paraId="4D588A2A" w14:textId="580E8116" w:rsidR="006D3D56" w:rsidRPr="006D3D56" w:rsidRDefault="006D3D56" w:rsidP="00554481">
      <w:r>
        <w:t>Lucie Niclaes</w:t>
      </w:r>
    </w:p>
    <w:p w14:paraId="4F3B6EC1" w14:textId="7F8006DD" w:rsidR="009C2AA7" w:rsidRPr="008B5FDB" w:rsidRDefault="009C2AA7" w:rsidP="00554481">
      <w:pPr>
        <w:rPr>
          <w:b/>
          <w:bCs/>
        </w:rPr>
      </w:pPr>
      <w:r w:rsidRPr="008B5FDB">
        <w:rPr>
          <w:b/>
          <w:bCs/>
        </w:rPr>
        <w:t>Abstract (294 words</w:t>
      </w:r>
      <w:r w:rsidR="00E91E16">
        <w:rPr>
          <w:b/>
          <w:bCs/>
        </w:rPr>
        <w:t xml:space="preserve"> including references</w:t>
      </w:r>
      <w:r w:rsidRPr="008B5FDB">
        <w:rPr>
          <w:b/>
          <w:bCs/>
        </w:rPr>
        <w:t>)</w:t>
      </w:r>
    </w:p>
    <w:p w14:paraId="0F6375B1" w14:textId="2DFB8568" w:rsidR="00B21A68" w:rsidRPr="008B5FDB" w:rsidRDefault="006E2FAD" w:rsidP="00E408E6">
      <w:pPr>
        <w:jc w:val="both"/>
      </w:pPr>
      <w:r w:rsidRPr="008B5FDB">
        <w:t>How should we talk about colonisation? Should Belgium apologise or give compensation to the Democratic Republic of Congo?</w:t>
      </w:r>
      <w:r w:rsidR="00F37901" w:rsidRPr="008B5FDB">
        <w:t xml:space="preserve"> </w:t>
      </w:r>
      <w:r w:rsidR="00B026D2" w:rsidRPr="008B5FDB">
        <w:t>In 2020,</w:t>
      </w:r>
      <w:r w:rsidR="007769C1" w:rsidRPr="008B5FDB">
        <w:t xml:space="preserve"> </w:t>
      </w:r>
      <w:r w:rsidR="00FE7623" w:rsidRPr="008B5FDB">
        <w:t>at a time when</w:t>
      </w:r>
      <w:r w:rsidR="00B026D2" w:rsidRPr="008B5FDB">
        <w:t xml:space="preserve"> </w:t>
      </w:r>
      <w:r w:rsidR="00932773" w:rsidRPr="008B5FDB">
        <w:t>such questions were losing momentum</w:t>
      </w:r>
      <w:r w:rsidR="00B026D2" w:rsidRPr="008B5FDB">
        <w:t>, the Black Lives Matters movement gave rise to a revival of postcolonial debates in Belgium (Verbeke 2020)</w:t>
      </w:r>
      <w:r w:rsidR="007769C1" w:rsidRPr="008B5FDB">
        <w:t>.</w:t>
      </w:r>
      <w:r w:rsidR="00FE7623" w:rsidRPr="008B5FDB">
        <w:t xml:space="preserve"> </w:t>
      </w:r>
      <w:r w:rsidR="00963709" w:rsidRPr="008B5FDB">
        <w:t xml:space="preserve">While the dominant discourse </w:t>
      </w:r>
      <w:r w:rsidR="00C0001C" w:rsidRPr="008B5FDB">
        <w:t xml:space="preserve">converged on </w:t>
      </w:r>
      <w:r w:rsidR="00963709" w:rsidRPr="008B5FDB">
        <w:t>a semi-recognition of colonial abuses (Goddeeris 2015),</w:t>
      </w:r>
      <w:r w:rsidR="001B3789" w:rsidRPr="008B5FDB">
        <w:t xml:space="preserve"> the Congolese diaspora requested not to be excluded anymore from public discussions on decolonisation and highlighted the intimate connection between </w:t>
      </w:r>
      <w:r w:rsidR="001B3789" w:rsidRPr="008B5FDB">
        <w:rPr>
          <w:i/>
          <w:iCs/>
        </w:rPr>
        <w:t>how</w:t>
      </w:r>
      <w:r w:rsidR="001B3789" w:rsidRPr="008B5FDB">
        <w:t xml:space="preserve"> history is told and </w:t>
      </w:r>
      <w:r w:rsidR="001B3789" w:rsidRPr="008B5FDB">
        <w:rPr>
          <w:i/>
          <w:iCs/>
        </w:rPr>
        <w:t>by whom</w:t>
      </w:r>
      <w:r w:rsidR="001B3789" w:rsidRPr="008B5FDB">
        <w:t xml:space="preserve"> it is told.</w:t>
      </w:r>
    </w:p>
    <w:p w14:paraId="4339D737" w14:textId="612045BB" w:rsidR="0050644F" w:rsidRPr="008B5FDB" w:rsidRDefault="00554481" w:rsidP="009C2AA7">
      <w:pPr>
        <w:jc w:val="both"/>
      </w:pPr>
      <w:r w:rsidRPr="008B5FDB">
        <w:t xml:space="preserve">The present study </w:t>
      </w:r>
      <w:r w:rsidR="00640A25" w:rsidRPr="008B5FDB">
        <w:t>approaches</w:t>
      </w:r>
      <w:r w:rsidRPr="008B5FDB">
        <w:t xml:space="preserve"> these debates from the perspective of their discursive construction</w:t>
      </w:r>
      <w:r w:rsidR="00640A25" w:rsidRPr="008B5FDB">
        <w:t>, across a corpus of</w:t>
      </w:r>
      <w:r w:rsidRPr="008B5FDB">
        <w:t xml:space="preserve"> Belgian press articles published between 2020 and 2025 and commenting an aspect of the (post)colonial relationship between Belgium and the DRC. </w:t>
      </w:r>
      <w:r w:rsidR="0074766C" w:rsidRPr="008B5FDB">
        <w:t xml:space="preserve">On the one hand, </w:t>
      </w:r>
      <w:r w:rsidR="009509BA" w:rsidRPr="008B5FDB">
        <w:t xml:space="preserve">I will </w:t>
      </w:r>
      <w:r w:rsidRPr="008B5FDB">
        <w:t>map</w:t>
      </w:r>
      <w:r w:rsidR="00675765" w:rsidRPr="008B5FDB">
        <w:t xml:space="preserve"> </w:t>
      </w:r>
      <w:r w:rsidRPr="008B5FDB">
        <w:t xml:space="preserve">whose voices (i.e. Afro-descendent </w:t>
      </w:r>
      <w:r w:rsidR="00640A25" w:rsidRPr="008B5FDB">
        <w:t>or not</w:t>
      </w:r>
      <w:r w:rsidRPr="008B5FDB">
        <w:t xml:space="preserve">) are included in these articles, paying particular attention to the space </w:t>
      </w:r>
      <w:r w:rsidR="007672A3" w:rsidRPr="008B5FDB">
        <w:t>these voices</w:t>
      </w:r>
      <w:r w:rsidR="00640A25" w:rsidRPr="008B5FDB">
        <w:t xml:space="preserve"> are given</w:t>
      </w:r>
      <w:r w:rsidR="007672A3" w:rsidRPr="008B5FDB">
        <w:t>,</w:t>
      </w:r>
      <w:r w:rsidR="00640A25" w:rsidRPr="008B5FDB">
        <w:t xml:space="preserve"> </w:t>
      </w:r>
      <w:r w:rsidRPr="008B5FDB">
        <w:t xml:space="preserve">and </w:t>
      </w:r>
      <w:r w:rsidR="00640A25" w:rsidRPr="008B5FDB">
        <w:t>to</w:t>
      </w:r>
      <w:r w:rsidRPr="008B5FDB">
        <w:t xml:space="preserve"> the identity features</w:t>
      </w:r>
      <w:r w:rsidR="007672A3" w:rsidRPr="008B5FDB">
        <w:t xml:space="preserve"> </w:t>
      </w:r>
      <w:r w:rsidRPr="008B5FDB">
        <w:t xml:space="preserve">these voices </w:t>
      </w:r>
      <w:r w:rsidR="0050644F" w:rsidRPr="008B5FDB">
        <w:t>put forward</w:t>
      </w:r>
      <w:r w:rsidRPr="008B5FDB">
        <w:t xml:space="preserve"> when expressing themselves on (post)coloniality. On the other hand,</w:t>
      </w:r>
      <w:r w:rsidR="00BA6154" w:rsidRPr="008B5FDB">
        <w:rPr>
          <w:rFonts w:ascii="Segoe UI" w:eastAsia="Times New Roman" w:hAnsi="Segoe UI" w:cs="Segoe UI"/>
          <w:kern w:val="0"/>
          <w:sz w:val="18"/>
          <w:szCs w:val="18"/>
          <w:lang w:eastAsia="fr-FR"/>
          <w14:ligatures w14:val="none"/>
        </w:rPr>
        <w:t xml:space="preserve"> </w:t>
      </w:r>
      <w:r w:rsidR="00026B03" w:rsidRPr="008B5FDB">
        <w:t xml:space="preserve">I will investigate </w:t>
      </w:r>
      <w:r w:rsidR="00550EBB" w:rsidRPr="008B5FDB">
        <w:t xml:space="preserve">how </w:t>
      </w:r>
      <w:r w:rsidR="00BA6154" w:rsidRPr="008B5FDB">
        <w:t>the syntactic and semantic encoding of Belgium and RDC when describing important historical events</w:t>
      </w:r>
      <w:r w:rsidR="00B25BE2" w:rsidRPr="008B5FDB">
        <w:t xml:space="preserve"> </w:t>
      </w:r>
      <w:r w:rsidR="00550EBB" w:rsidRPr="008B5FDB">
        <w:t>impacts the discursiv</w:t>
      </w:r>
      <w:r w:rsidR="00BA6154" w:rsidRPr="008B5FDB">
        <w:t>e representation of their responsibility regarding (post)colonial events</w:t>
      </w:r>
      <w:r w:rsidR="00B62103" w:rsidRPr="008B5FDB">
        <w:t xml:space="preserve">, </w:t>
      </w:r>
      <w:r w:rsidR="000A0800" w:rsidRPr="008B5FDB">
        <w:t>approaching th</w:t>
      </w:r>
      <w:r w:rsidR="00F60AEB" w:rsidRPr="008B5FDB">
        <w:t>is encoding from the perspective of agentivity</w:t>
      </w:r>
      <w:r w:rsidRPr="008B5FDB">
        <w:t xml:space="preserve"> (De Cock &amp; Michaud Maturana 2014).</w:t>
      </w:r>
      <w:r w:rsidR="007672A3" w:rsidRPr="008B5FDB">
        <w:t xml:space="preserve"> With these measures, t</w:t>
      </w:r>
      <w:r w:rsidR="00640A25" w:rsidRPr="008B5FDB">
        <w:t>his study aims to shed light on possible dominant and alternative representations of postcolonial debates.</w:t>
      </w:r>
    </w:p>
    <w:p w14:paraId="42A3358B" w14:textId="66752574" w:rsidR="00554481" w:rsidRPr="006D3D56" w:rsidRDefault="00554481" w:rsidP="00554481">
      <w:pPr>
        <w:rPr>
          <w:b/>
          <w:bCs/>
          <w:lang w:val="es-ES"/>
        </w:rPr>
      </w:pPr>
      <w:proofErr w:type="spellStart"/>
      <w:r w:rsidRPr="006D3D56">
        <w:rPr>
          <w:b/>
          <w:bCs/>
          <w:lang w:val="es-ES"/>
        </w:rPr>
        <w:t>References</w:t>
      </w:r>
      <w:proofErr w:type="spellEnd"/>
    </w:p>
    <w:p w14:paraId="0A49F3FC" w14:textId="77777777" w:rsidR="00554481" w:rsidRPr="006D3D56" w:rsidRDefault="00554481" w:rsidP="00554481">
      <w:pPr>
        <w:rPr>
          <w:lang w:val="es-ES"/>
        </w:rPr>
      </w:pPr>
      <w:r w:rsidRPr="006D3D56">
        <w:rPr>
          <w:lang w:val="es-ES"/>
        </w:rPr>
        <w:t xml:space="preserve">De </w:t>
      </w:r>
      <w:proofErr w:type="spellStart"/>
      <w:r w:rsidRPr="006D3D56">
        <w:rPr>
          <w:lang w:val="es-ES"/>
        </w:rPr>
        <w:t>Cock</w:t>
      </w:r>
      <w:proofErr w:type="spellEnd"/>
      <w:r w:rsidRPr="006D3D56">
        <w:rPr>
          <w:lang w:val="es-ES"/>
        </w:rPr>
        <w:t xml:space="preserve">, B. &amp; </w:t>
      </w:r>
      <w:proofErr w:type="spellStart"/>
      <w:r w:rsidRPr="006D3D56">
        <w:rPr>
          <w:lang w:val="es-ES"/>
        </w:rPr>
        <w:t>Michaud</w:t>
      </w:r>
      <w:proofErr w:type="spellEnd"/>
      <w:r w:rsidRPr="006D3D56">
        <w:rPr>
          <w:lang w:val="es-ES"/>
        </w:rPr>
        <w:t xml:space="preserve"> Maturana, D. (2014). La expresión de la </w:t>
      </w:r>
      <w:proofErr w:type="spellStart"/>
      <w:r w:rsidRPr="006D3D56">
        <w:rPr>
          <w:lang w:val="es-ES"/>
        </w:rPr>
        <w:t>agentividad</w:t>
      </w:r>
      <w:proofErr w:type="spellEnd"/>
      <w:r w:rsidRPr="006D3D56">
        <w:rPr>
          <w:lang w:val="es-ES"/>
        </w:rPr>
        <w:t xml:space="preserve"> en el Informe Rettig (Chile, 1991). </w:t>
      </w:r>
      <w:r w:rsidRPr="006D3D56">
        <w:rPr>
          <w:i/>
          <w:iCs/>
          <w:lang w:val="es-ES"/>
        </w:rPr>
        <w:t>Revista Internacional de Lingüística Iberoamericana, 23</w:t>
      </w:r>
      <w:r w:rsidRPr="006D3D56">
        <w:rPr>
          <w:lang w:val="es-ES"/>
        </w:rPr>
        <w:t>(1), 123–140.</w:t>
      </w:r>
    </w:p>
    <w:p w14:paraId="5221BFE5" w14:textId="77777777" w:rsidR="00554481" w:rsidRPr="006D3D56" w:rsidRDefault="00554481" w:rsidP="00554481">
      <w:pPr>
        <w:jc w:val="both"/>
        <w:rPr>
          <w:lang w:val="nl-BE"/>
        </w:rPr>
      </w:pPr>
      <w:proofErr w:type="spellStart"/>
      <w:r w:rsidRPr="006D3D56">
        <w:rPr>
          <w:lang w:val="es-ES"/>
        </w:rPr>
        <w:t>Goddeeris</w:t>
      </w:r>
      <w:proofErr w:type="spellEnd"/>
      <w:r w:rsidRPr="006D3D56">
        <w:rPr>
          <w:lang w:val="es-ES"/>
        </w:rPr>
        <w:t xml:space="preserve">, I. (2015). Postcolonial </w:t>
      </w:r>
      <w:proofErr w:type="spellStart"/>
      <w:r w:rsidRPr="006D3D56">
        <w:rPr>
          <w:lang w:val="es-ES"/>
        </w:rPr>
        <w:t>Belgium</w:t>
      </w:r>
      <w:proofErr w:type="spellEnd"/>
      <w:r w:rsidRPr="006D3D56">
        <w:rPr>
          <w:lang w:val="es-ES"/>
        </w:rPr>
        <w:t xml:space="preserve">. </w:t>
      </w:r>
      <w:proofErr w:type="spellStart"/>
      <w:r w:rsidRPr="006D3D56">
        <w:rPr>
          <w:i/>
          <w:iCs/>
          <w:lang w:val="es-ES"/>
        </w:rPr>
        <w:t>Interventions</w:t>
      </w:r>
      <w:proofErr w:type="spellEnd"/>
      <w:r w:rsidRPr="006D3D56">
        <w:rPr>
          <w:i/>
          <w:iCs/>
          <w:lang w:val="es-ES"/>
        </w:rPr>
        <w:t>, 17</w:t>
      </w:r>
      <w:r w:rsidRPr="006D3D56">
        <w:rPr>
          <w:lang w:val="es-ES"/>
        </w:rPr>
        <w:t xml:space="preserve">(3), 434-451. </w:t>
      </w:r>
      <w:hyperlink r:id="rId4" w:history="1">
        <w:r w:rsidRPr="006D3D56">
          <w:rPr>
            <w:rStyle w:val="Lienhypertexte"/>
            <w:lang w:val="nl-BE"/>
          </w:rPr>
          <w:t>https://doi.org/10.1080/1369801X.2014.998253</w:t>
        </w:r>
      </w:hyperlink>
    </w:p>
    <w:p w14:paraId="3215F0AF" w14:textId="40E50C26" w:rsidR="006C5D2E" w:rsidRPr="008B5FDB" w:rsidRDefault="00554481" w:rsidP="00FD2397">
      <w:pPr>
        <w:jc w:val="both"/>
      </w:pPr>
      <w:r w:rsidRPr="006D3D56">
        <w:rPr>
          <w:lang w:val="nl-BE"/>
        </w:rPr>
        <w:t xml:space="preserve">Verbeke, D. (2020). Verlegde Sisyfus een steen? Gecontesteerd Belgisch koloniaal erfgoed en de herdenking van de herdenking (2004-2020). </w:t>
      </w:r>
      <w:r w:rsidRPr="008B5FDB">
        <w:rPr>
          <w:i/>
          <w:iCs/>
        </w:rPr>
        <w:t>Brood &amp; Rozen, 25</w:t>
      </w:r>
      <w:r w:rsidRPr="008B5FDB">
        <w:t xml:space="preserve">(3), 50-59. </w:t>
      </w:r>
      <w:hyperlink r:id="rId5" w:history="1">
        <w:r w:rsidRPr="008B5FDB">
          <w:rPr>
            <w:rStyle w:val="Lienhypertexte"/>
          </w:rPr>
          <w:t>https://doi.org/10.21825/broodenrozen.85722</w:t>
        </w:r>
      </w:hyperlink>
      <w:r w:rsidRPr="008B5FDB">
        <w:t xml:space="preserve"> </w:t>
      </w:r>
    </w:p>
    <w:p w14:paraId="5659DB6B" w14:textId="7D34DADA" w:rsidR="006C5D2E" w:rsidRPr="008B5FDB" w:rsidRDefault="006C5D2E" w:rsidP="00FD2397">
      <w:pPr>
        <w:jc w:val="both"/>
        <w:rPr>
          <w:b/>
          <w:bCs/>
        </w:rPr>
      </w:pPr>
      <w:r w:rsidRPr="008B5FDB">
        <w:rPr>
          <w:b/>
          <w:bCs/>
        </w:rPr>
        <w:t>Keywords</w:t>
      </w:r>
    </w:p>
    <w:p w14:paraId="2BC91455" w14:textId="08C9EC88" w:rsidR="006C5D2E" w:rsidRPr="008B5FDB" w:rsidRDefault="006C5D2E" w:rsidP="00FD2397">
      <w:pPr>
        <w:jc w:val="both"/>
      </w:pPr>
      <w:r w:rsidRPr="008B5FDB">
        <w:t xml:space="preserve">Agentivity, discourse analysis, </w:t>
      </w:r>
      <w:r w:rsidR="00D92662" w:rsidRPr="008B5FDB">
        <w:t xml:space="preserve">postcolonial, Belgium, </w:t>
      </w:r>
      <w:r w:rsidR="00F16E3A" w:rsidRPr="008B5FDB">
        <w:t>Democratic Republic of Congo</w:t>
      </w:r>
    </w:p>
    <w:p w14:paraId="6734B482" w14:textId="77777777" w:rsidR="00FD2397" w:rsidRPr="00FD2397" w:rsidRDefault="00FD2397" w:rsidP="00554481">
      <w:pPr>
        <w:jc w:val="both"/>
        <w:rPr>
          <w:lang w:val="en-US"/>
        </w:rPr>
      </w:pPr>
    </w:p>
    <w:sectPr w:rsidR="00FD2397" w:rsidRPr="00FD2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81"/>
    <w:rsid w:val="00026B03"/>
    <w:rsid w:val="000633DB"/>
    <w:rsid w:val="000A0800"/>
    <w:rsid w:val="000A6034"/>
    <w:rsid w:val="00151783"/>
    <w:rsid w:val="00156108"/>
    <w:rsid w:val="00157500"/>
    <w:rsid w:val="001A35F7"/>
    <w:rsid w:val="001B3789"/>
    <w:rsid w:val="001E7377"/>
    <w:rsid w:val="002F5209"/>
    <w:rsid w:val="00386105"/>
    <w:rsid w:val="00393571"/>
    <w:rsid w:val="003A371B"/>
    <w:rsid w:val="00422E58"/>
    <w:rsid w:val="00457950"/>
    <w:rsid w:val="0050644F"/>
    <w:rsid w:val="00550EBB"/>
    <w:rsid w:val="00554481"/>
    <w:rsid w:val="005C2CA2"/>
    <w:rsid w:val="005C3890"/>
    <w:rsid w:val="005D1C90"/>
    <w:rsid w:val="005D3EDC"/>
    <w:rsid w:val="00640A25"/>
    <w:rsid w:val="00675765"/>
    <w:rsid w:val="006C5D2E"/>
    <w:rsid w:val="006D3D56"/>
    <w:rsid w:val="006E2FAD"/>
    <w:rsid w:val="006E3B17"/>
    <w:rsid w:val="007447E6"/>
    <w:rsid w:val="0074766C"/>
    <w:rsid w:val="007672A3"/>
    <w:rsid w:val="00770580"/>
    <w:rsid w:val="007769C1"/>
    <w:rsid w:val="007F0B54"/>
    <w:rsid w:val="008B5FDB"/>
    <w:rsid w:val="008E232C"/>
    <w:rsid w:val="009028F7"/>
    <w:rsid w:val="00932773"/>
    <w:rsid w:val="009509BA"/>
    <w:rsid w:val="00963709"/>
    <w:rsid w:val="009C2AA7"/>
    <w:rsid w:val="009E135A"/>
    <w:rsid w:val="009E2EE8"/>
    <w:rsid w:val="00A04BAB"/>
    <w:rsid w:val="00A715A3"/>
    <w:rsid w:val="00A83742"/>
    <w:rsid w:val="00AB72DE"/>
    <w:rsid w:val="00AE3013"/>
    <w:rsid w:val="00B026D2"/>
    <w:rsid w:val="00B21A68"/>
    <w:rsid w:val="00B25BE2"/>
    <w:rsid w:val="00B62103"/>
    <w:rsid w:val="00B71043"/>
    <w:rsid w:val="00BA6154"/>
    <w:rsid w:val="00BC0584"/>
    <w:rsid w:val="00BE6666"/>
    <w:rsid w:val="00C0001C"/>
    <w:rsid w:val="00C14EF9"/>
    <w:rsid w:val="00C62FF5"/>
    <w:rsid w:val="00C76D6A"/>
    <w:rsid w:val="00CF726A"/>
    <w:rsid w:val="00D02C80"/>
    <w:rsid w:val="00D92662"/>
    <w:rsid w:val="00D928DE"/>
    <w:rsid w:val="00DF0361"/>
    <w:rsid w:val="00DF326F"/>
    <w:rsid w:val="00E408E6"/>
    <w:rsid w:val="00E50E09"/>
    <w:rsid w:val="00E765A2"/>
    <w:rsid w:val="00E90D5A"/>
    <w:rsid w:val="00E91E16"/>
    <w:rsid w:val="00EE1E18"/>
    <w:rsid w:val="00EF0D5C"/>
    <w:rsid w:val="00EF641D"/>
    <w:rsid w:val="00F02655"/>
    <w:rsid w:val="00F16E3A"/>
    <w:rsid w:val="00F37901"/>
    <w:rsid w:val="00F421ED"/>
    <w:rsid w:val="00F467B2"/>
    <w:rsid w:val="00F60AEB"/>
    <w:rsid w:val="00FD2397"/>
    <w:rsid w:val="00FE05B1"/>
    <w:rsid w:val="00FE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8E12C"/>
  <w15:chartTrackingRefBased/>
  <w15:docId w15:val="{3A796554-8DBE-41AE-B335-9C6F97E9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481"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554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4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4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4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4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4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4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4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4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4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4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4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44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44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44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44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44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44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4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4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4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4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4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44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44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44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4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44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448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54481"/>
    <w:rPr>
      <w:color w:val="467886" w:themeColor="hyperlink"/>
      <w:u w:val="single"/>
    </w:rPr>
  </w:style>
  <w:style w:type="paragraph" w:styleId="Rvision">
    <w:name w:val="Revision"/>
    <w:hidden/>
    <w:uiPriority w:val="99"/>
    <w:semiHidden/>
    <w:rsid w:val="009E2EE8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C14EF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14EF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14EF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14EF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14E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21825/broodenrozen.85722" TargetMode="External"/><Relationship Id="rId4" Type="http://schemas.openxmlformats.org/officeDocument/2006/relationships/hyperlink" Target="https://doi.org/10.1080/1369801X.2014.99825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380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UCLouvain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Niclaes</dc:creator>
  <cp:keywords/>
  <dc:description/>
  <cp:lastModifiedBy>Lucie Niclaes</cp:lastModifiedBy>
  <cp:revision>69</cp:revision>
  <dcterms:created xsi:type="dcterms:W3CDTF">2025-11-18T14:23:00Z</dcterms:created>
  <dcterms:modified xsi:type="dcterms:W3CDTF">2025-12-01T08:59:00Z</dcterms:modified>
</cp:coreProperties>
</file>