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0BD3FC" w14:textId="77777777" w:rsidR="007A3031" w:rsidRDefault="007A3031" w:rsidP="007A3031">
      <w:pPr>
        <w:ind w:firstLine="0"/>
        <w:rPr>
          <w:noProof/>
          <w:color w:val="000000" w:themeColor="text1"/>
          <w:sz w:val="36"/>
          <w:szCs w:val="48"/>
          <w:lang w:val="en-US" w:eastAsia="fr-BE"/>
        </w:rPr>
      </w:pPr>
    </w:p>
    <w:p w14:paraId="71D36500" w14:textId="77777777" w:rsidR="007A3031" w:rsidRDefault="007A3031" w:rsidP="007A3031">
      <w:pPr>
        <w:ind w:firstLine="0"/>
        <w:rPr>
          <w:noProof/>
          <w:color w:val="000000" w:themeColor="text1"/>
          <w:sz w:val="36"/>
          <w:szCs w:val="48"/>
          <w:lang w:val="en-US" w:eastAsia="fr-BE"/>
        </w:rPr>
      </w:pPr>
    </w:p>
    <w:p w14:paraId="296FBD05" w14:textId="77777777" w:rsidR="007A3031" w:rsidRDefault="007A3031" w:rsidP="007A3031">
      <w:pPr>
        <w:ind w:firstLine="0"/>
        <w:rPr>
          <w:noProof/>
          <w:color w:val="000000" w:themeColor="text1"/>
          <w:sz w:val="36"/>
          <w:szCs w:val="48"/>
          <w:lang w:val="en-US" w:eastAsia="fr-BE"/>
        </w:rPr>
      </w:pPr>
    </w:p>
    <w:p w14:paraId="7B95B548" w14:textId="77777777" w:rsidR="007A3031" w:rsidRDefault="007A3031" w:rsidP="007A3031">
      <w:pPr>
        <w:ind w:firstLine="0"/>
        <w:rPr>
          <w:noProof/>
          <w:color w:val="000000" w:themeColor="text1"/>
          <w:sz w:val="36"/>
          <w:szCs w:val="48"/>
          <w:lang w:val="en-US" w:eastAsia="fr-BE"/>
        </w:rPr>
      </w:pPr>
    </w:p>
    <w:p w14:paraId="13578C13" w14:textId="77777777" w:rsidR="007A3031" w:rsidRDefault="007A3031" w:rsidP="007A3031">
      <w:pPr>
        <w:ind w:firstLine="0"/>
        <w:rPr>
          <w:noProof/>
          <w:color w:val="000000" w:themeColor="text1"/>
          <w:sz w:val="36"/>
          <w:szCs w:val="48"/>
          <w:lang w:val="en-US" w:eastAsia="fr-BE"/>
        </w:rPr>
      </w:pPr>
    </w:p>
    <w:p w14:paraId="042C4837" w14:textId="77777777" w:rsidR="007A3031" w:rsidRDefault="007A3031" w:rsidP="007A3031">
      <w:pPr>
        <w:ind w:firstLine="0"/>
        <w:rPr>
          <w:noProof/>
          <w:color w:val="000000" w:themeColor="text1"/>
          <w:sz w:val="36"/>
          <w:szCs w:val="48"/>
          <w:lang w:val="en-US" w:eastAsia="fr-BE"/>
        </w:rPr>
      </w:pPr>
    </w:p>
    <w:p w14:paraId="3FAE352E" w14:textId="77777777" w:rsidR="007A3031" w:rsidRDefault="007A3031" w:rsidP="007A3031">
      <w:pPr>
        <w:ind w:firstLine="0"/>
        <w:rPr>
          <w:noProof/>
          <w:color w:val="000000" w:themeColor="text1"/>
          <w:sz w:val="36"/>
          <w:szCs w:val="48"/>
          <w:lang w:val="en-US" w:eastAsia="fr-BE"/>
        </w:rPr>
      </w:pPr>
    </w:p>
    <w:p w14:paraId="09B21BA5" w14:textId="77777777" w:rsidR="007A3031" w:rsidRDefault="007A3031" w:rsidP="007A3031">
      <w:pPr>
        <w:ind w:firstLine="0"/>
        <w:rPr>
          <w:noProof/>
          <w:color w:val="000000" w:themeColor="text1"/>
          <w:sz w:val="36"/>
          <w:szCs w:val="48"/>
          <w:lang w:val="en-US" w:eastAsia="fr-BE"/>
        </w:rPr>
      </w:pPr>
    </w:p>
    <w:p w14:paraId="65DAC6A5" w14:textId="5073AD0F" w:rsidR="007A3031" w:rsidRPr="007A3031" w:rsidRDefault="007A3031" w:rsidP="007A3031">
      <w:pPr>
        <w:ind w:firstLine="0"/>
        <w:rPr>
          <w:noProof/>
          <w:color w:val="000000" w:themeColor="text1"/>
          <w:sz w:val="36"/>
          <w:szCs w:val="48"/>
          <w:lang w:val="en-US" w:eastAsia="fr-BE"/>
        </w:rPr>
      </w:pPr>
      <w:r w:rsidRPr="007A3031">
        <w:rPr>
          <w:noProof/>
          <w:color w:val="000000" w:themeColor="text1"/>
          <w:sz w:val="36"/>
          <w:szCs w:val="48"/>
          <w:lang w:val="en-US" w:eastAsia="fr-BE"/>
        </w:rPr>
        <w:t>A compass for a socio-ecological transformation</w:t>
      </w:r>
    </w:p>
    <w:p w14:paraId="75D454D8" w14:textId="77777777" w:rsidR="007A3031" w:rsidRDefault="007A3031">
      <w:pPr>
        <w:spacing w:line="259" w:lineRule="auto"/>
        <w:ind w:firstLine="0"/>
        <w:jc w:val="left"/>
        <w:rPr>
          <w:b/>
          <w:noProof/>
          <w:color w:val="000000" w:themeColor="text1"/>
          <w:lang w:val="en-US" w:eastAsia="fr-BE"/>
        </w:rPr>
      </w:pPr>
      <w:r>
        <w:rPr>
          <w:b/>
          <w:noProof/>
          <w:color w:val="000000" w:themeColor="text1"/>
          <w:lang w:val="en-US" w:eastAsia="fr-BE"/>
        </w:rPr>
        <w:br w:type="page"/>
      </w:r>
    </w:p>
    <w:p w14:paraId="291BC920" w14:textId="77777777" w:rsidR="007A3031" w:rsidRDefault="007A3031">
      <w:pPr>
        <w:spacing w:line="259" w:lineRule="auto"/>
        <w:ind w:firstLine="0"/>
        <w:jc w:val="left"/>
        <w:rPr>
          <w:b/>
          <w:noProof/>
          <w:color w:val="000000" w:themeColor="text1"/>
          <w:lang w:val="en-US" w:eastAsia="fr-BE"/>
        </w:rPr>
      </w:pPr>
    </w:p>
    <w:p w14:paraId="4EA8FB02" w14:textId="77777777" w:rsidR="007A3031" w:rsidRDefault="007A3031">
      <w:pPr>
        <w:spacing w:line="259" w:lineRule="auto"/>
        <w:ind w:firstLine="0"/>
        <w:jc w:val="left"/>
        <w:rPr>
          <w:b/>
          <w:noProof/>
          <w:color w:val="000000" w:themeColor="text1"/>
          <w:lang w:val="en-US" w:eastAsia="fr-BE"/>
        </w:rPr>
      </w:pPr>
    </w:p>
    <w:p w14:paraId="2BB1AB8A" w14:textId="77777777" w:rsidR="007A3031" w:rsidRDefault="007A3031">
      <w:pPr>
        <w:spacing w:line="259" w:lineRule="auto"/>
        <w:ind w:firstLine="0"/>
        <w:jc w:val="left"/>
        <w:rPr>
          <w:b/>
          <w:noProof/>
          <w:color w:val="000000" w:themeColor="text1"/>
          <w:lang w:val="en-US" w:eastAsia="fr-BE"/>
        </w:rPr>
      </w:pPr>
    </w:p>
    <w:p w14:paraId="7C319244" w14:textId="77777777" w:rsidR="007A3031" w:rsidRDefault="007A3031">
      <w:pPr>
        <w:spacing w:line="259" w:lineRule="auto"/>
        <w:ind w:firstLine="0"/>
        <w:jc w:val="left"/>
        <w:rPr>
          <w:b/>
          <w:noProof/>
          <w:color w:val="000000" w:themeColor="text1"/>
          <w:lang w:val="en-US" w:eastAsia="fr-BE"/>
        </w:rPr>
      </w:pPr>
    </w:p>
    <w:p w14:paraId="6F715101" w14:textId="77777777" w:rsidR="007A3031" w:rsidRDefault="007A3031">
      <w:pPr>
        <w:spacing w:line="259" w:lineRule="auto"/>
        <w:ind w:firstLine="0"/>
        <w:jc w:val="left"/>
        <w:rPr>
          <w:b/>
          <w:noProof/>
          <w:color w:val="000000" w:themeColor="text1"/>
          <w:lang w:val="en-US" w:eastAsia="fr-BE"/>
        </w:rPr>
      </w:pPr>
    </w:p>
    <w:p w14:paraId="7A9AD01C" w14:textId="77777777" w:rsidR="007A3031" w:rsidRDefault="007A3031">
      <w:pPr>
        <w:spacing w:line="259" w:lineRule="auto"/>
        <w:ind w:firstLine="0"/>
        <w:jc w:val="left"/>
        <w:rPr>
          <w:b/>
          <w:noProof/>
          <w:color w:val="000000" w:themeColor="text1"/>
          <w:lang w:val="en-US" w:eastAsia="fr-BE"/>
        </w:rPr>
      </w:pPr>
    </w:p>
    <w:p w14:paraId="3EA13AA7" w14:textId="77777777" w:rsidR="007A3031" w:rsidRDefault="007A3031">
      <w:pPr>
        <w:spacing w:line="259" w:lineRule="auto"/>
        <w:ind w:firstLine="0"/>
        <w:jc w:val="left"/>
        <w:rPr>
          <w:b/>
          <w:noProof/>
          <w:color w:val="000000" w:themeColor="text1"/>
          <w:lang w:val="en-US" w:eastAsia="fr-BE"/>
        </w:rPr>
      </w:pPr>
    </w:p>
    <w:p w14:paraId="0FD36AB0" w14:textId="77777777" w:rsidR="007A3031" w:rsidRDefault="007A3031">
      <w:pPr>
        <w:spacing w:line="259" w:lineRule="auto"/>
        <w:ind w:firstLine="0"/>
        <w:jc w:val="left"/>
        <w:rPr>
          <w:b/>
          <w:noProof/>
          <w:color w:val="000000" w:themeColor="text1"/>
          <w:lang w:val="en-US" w:eastAsia="fr-BE"/>
        </w:rPr>
      </w:pPr>
    </w:p>
    <w:p w14:paraId="5FD0991D" w14:textId="77777777" w:rsidR="007A3031" w:rsidRDefault="007A3031">
      <w:pPr>
        <w:spacing w:line="259" w:lineRule="auto"/>
        <w:ind w:firstLine="0"/>
        <w:jc w:val="left"/>
        <w:rPr>
          <w:b/>
          <w:noProof/>
          <w:color w:val="000000" w:themeColor="text1"/>
          <w:lang w:val="en-US" w:eastAsia="fr-BE"/>
        </w:rPr>
      </w:pPr>
    </w:p>
    <w:p w14:paraId="6468F2AB" w14:textId="77777777" w:rsidR="007A3031" w:rsidRDefault="007A3031">
      <w:pPr>
        <w:spacing w:line="259" w:lineRule="auto"/>
        <w:ind w:firstLine="0"/>
        <w:jc w:val="left"/>
        <w:rPr>
          <w:b/>
          <w:noProof/>
          <w:color w:val="000000" w:themeColor="text1"/>
          <w:lang w:val="en-US" w:eastAsia="fr-BE"/>
        </w:rPr>
      </w:pPr>
    </w:p>
    <w:p w14:paraId="114AD6D7" w14:textId="77777777" w:rsidR="007A3031" w:rsidRDefault="007A3031">
      <w:pPr>
        <w:spacing w:line="259" w:lineRule="auto"/>
        <w:ind w:firstLine="0"/>
        <w:jc w:val="left"/>
        <w:rPr>
          <w:b/>
          <w:noProof/>
          <w:color w:val="000000" w:themeColor="text1"/>
          <w:lang w:val="en-US" w:eastAsia="fr-BE"/>
        </w:rPr>
      </w:pPr>
    </w:p>
    <w:p w14:paraId="117E5721" w14:textId="376AC595" w:rsidR="007A3031" w:rsidRDefault="007A3031">
      <w:pPr>
        <w:spacing w:line="259" w:lineRule="auto"/>
        <w:ind w:firstLine="0"/>
        <w:jc w:val="left"/>
        <w:rPr>
          <w:b/>
          <w:noProof/>
          <w:color w:val="000000" w:themeColor="text1"/>
          <w:lang w:val="en-US" w:eastAsia="fr-BE"/>
        </w:rPr>
      </w:pPr>
    </w:p>
    <w:p w14:paraId="793994FF" w14:textId="77777777" w:rsidR="007A3031" w:rsidRDefault="007A3031">
      <w:pPr>
        <w:spacing w:line="259" w:lineRule="auto"/>
        <w:ind w:firstLine="0"/>
        <w:jc w:val="left"/>
        <w:rPr>
          <w:b/>
          <w:noProof/>
          <w:color w:val="000000" w:themeColor="text1"/>
          <w:lang w:val="en-US" w:eastAsia="fr-BE"/>
        </w:rPr>
      </w:pPr>
    </w:p>
    <w:p w14:paraId="31874FD3" w14:textId="77777777" w:rsidR="007A3031" w:rsidRDefault="007A3031">
      <w:pPr>
        <w:spacing w:line="259" w:lineRule="auto"/>
        <w:ind w:firstLine="0"/>
        <w:jc w:val="left"/>
        <w:rPr>
          <w:b/>
          <w:noProof/>
          <w:color w:val="000000" w:themeColor="text1"/>
          <w:lang w:val="en-US" w:eastAsia="fr-BE"/>
        </w:rPr>
      </w:pPr>
    </w:p>
    <w:p w14:paraId="4B938A5F" w14:textId="77777777" w:rsidR="007A3031" w:rsidRDefault="007A3031">
      <w:pPr>
        <w:spacing w:line="259" w:lineRule="auto"/>
        <w:ind w:firstLine="0"/>
        <w:jc w:val="left"/>
        <w:rPr>
          <w:b/>
          <w:noProof/>
          <w:color w:val="000000" w:themeColor="text1"/>
          <w:lang w:val="en-US" w:eastAsia="fr-BE"/>
        </w:rPr>
      </w:pPr>
    </w:p>
    <w:p w14:paraId="32228F8D" w14:textId="65785357" w:rsidR="007A3031" w:rsidRDefault="007A3031">
      <w:pPr>
        <w:spacing w:line="259" w:lineRule="auto"/>
        <w:ind w:firstLine="0"/>
        <w:jc w:val="left"/>
        <w:rPr>
          <w:b/>
          <w:noProof/>
          <w:color w:val="000000" w:themeColor="text1"/>
          <w:lang w:val="en-US" w:eastAsia="fr-BE"/>
        </w:rPr>
      </w:pPr>
    </w:p>
    <w:p w14:paraId="54222EDC" w14:textId="4EEB9119" w:rsidR="007A3031" w:rsidRDefault="007A3031">
      <w:pPr>
        <w:spacing w:line="259" w:lineRule="auto"/>
        <w:ind w:firstLine="0"/>
        <w:jc w:val="left"/>
        <w:rPr>
          <w:b/>
          <w:noProof/>
          <w:color w:val="000000" w:themeColor="text1"/>
          <w:lang w:val="en-US" w:eastAsia="fr-BE"/>
        </w:rPr>
      </w:pPr>
    </w:p>
    <w:p w14:paraId="3E2A5D13" w14:textId="77777777" w:rsidR="007A3031" w:rsidRDefault="007A3031">
      <w:pPr>
        <w:spacing w:line="259" w:lineRule="auto"/>
        <w:ind w:firstLine="0"/>
        <w:jc w:val="left"/>
        <w:rPr>
          <w:b/>
          <w:noProof/>
          <w:color w:val="000000" w:themeColor="text1"/>
          <w:lang w:val="en-US" w:eastAsia="fr-BE"/>
        </w:rPr>
      </w:pPr>
    </w:p>
    <w:p w14:paraId="112B46D6" w14:textId="77777777" w:rsidR="007A3031" w:rsidRDefault="007A3031">
      <w:pPr>
        <w:spacing w:line="259" w:lineRule="auto"/>
        <w:ind w:firstLine="0"/>
        <w:jc w:val="left"/>
        <w:rPr>
          <w:b/>
          <w:noProof/>
          <w:color w:val="000000" w:themeColor="text1"/>
          <w:lang w:val="en-US" w:eastAsia="fr-BE"/>
        </w:rPr>
      </w:pPr>
    </w:p>
    <w:p w14:paraId="4783B9E9" w14:textId="04B9C2F1" w:rsidR="007A3031" w:rsidRDefault="007A3031">
      <w:pPr>
        <w:spacing w:line="259" w:lineRule="auto"/>
        <w:ind w:firstLine="0"/>
        <w:jc w:val="left"/>
        <w:rPr>
          <w:b/>
          <w:noProof/>
          <w:color w:val="000000" w:themeColor="text1"/>
          <w:lang w:val="en-US" w:eastAsia="fr-BE"/>
        </w:rPr>
      </w:pPr>
      <w:r>
        <w:rPr>
          <w:noProof/>
        </w:rPr>
        <w:drawing>
          <wp:anchor distT="0" distB="0" distL="114300" distR="114300" simplePos="0" relativeHeight="251658240" behindDoc="1" locked="0" layoutInCell="1" allowOverlap="1" wp14:anchorId="53A87CCE" wp14:editId="22B1096D">
            <wp:simplePos x="0" y="0"/>
            <wp:positionH relativeFrom="column">
              <wp:posOffset>64770</wp:posOffset>
            </wp:positionH>
            <wp:positionV relativeFrom="paragraph">
              <wp:posOffset>266700</wp:posOffset>
            </wp:positionV>
            <wp:extent cx="279400" cy="279400"/>
            <wp:effectExtent l="0" t="0" r="6350" b="6350"/>
            <wp:wrapThrough wrapText="bothSides">
              <wp:wrapPolygon edited="0">
                <wp:start x="0" y="0"/>
                <wp:lineTo x="0" y="20618"/>
                <wp:lineTo x="20618" y="20618"/>
                <wp:lineTo x="20618" y="0"/>
                <wp:lineTo x="0" y="0"/>
              </wp:wrapPolygon>
            </wp:wrapThrough>
            <wp:docPr id="1" name="Image 1" descr="Le symbole du copyleft - LinuxFr.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 symbole du copyleft - LinuxFr.or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9400" cy="279400"/>
                    </a:xfrm>
                    <a:prstGeom prst="rect">
                      <a:avLst/>
                    </a:prstGeom>
                    <a:noFill/>
                    <a:ln>
                      <a:noFill/>
                    </a:ln>
                  </pic:spPr>
                </pic:pic>
              </a:graphicData>
            </a:graphic>
          </wp:anchor>
        </w:drawing>
      </w:r>
      <w:r>
        <w:rPr>
          <w:b/>
          <w:noProof/>
          <w:color w:val="000000" w:themeColor="text1"/>
          <w:lang w:val="en-US" w:eastAsia="fr-BE"/>
        </w:rPr>
        <w:tab/>
        <w:t>All Rights reserved</w:t>
      </w:r>
    </w:p>
    <w:p w14:paraId="267DCCB1" w14:textId="77777777" w:rsidR="007A3031" w:rsidRDefault="007A3031">
      <w:pPr>
        <w:spacing w:line="259" w:lineRule="auto"/>
        <w:ind w:firstLine="0"/>
        <w:jc w:val="left"/>
        <w:rPr>
          <w:noProof/>
          <w:color w:val="000000" w:themeColor="text1"/>
          <w:lang w:val="en-US" w:eastAsia="fr-BE"/>
        </w:rPr>
      </w:pPr>
      <w:r w:rsidRPr="007A3031">
        <w:rPr>
          <w:noProof/>
          <w:color w:val="000000" w:themeColor="text1"/>
          <w:lang w:val="en-US" w:eastAsia="fr-BE"/>
        </w:rPr>
        <w:t>BKB production</w:t>
      </w:r>
      <w:r>
        <w:rPr>
          <w:noProof/>
          <w:color w:val="000000" w:themeColor="text1"/>
          <w:lang w:val="en-US" w:eastAsia="fr-BE"/>
        </w:rPr>
        <w:t>, 2020</w:t>
      </w:r>
    </w:p>
    <w:p w14:paraId="00AA3AF1" w14:textId="3BAA8B3F" w:rsidR="007A3031" w:rsidRPr="007A3031" w:rsidRDefault="007A3031">
      <w:pPr>
        <w:spacing w:line="259" w:lineRule="auto"/>
        <w:ind w:firstLine="0"/>
        <w:jc w:val="left"/>
        <w:rPr>
          <w:noProof/>
          <w:color w:val="000000" w:themeColor="text1"/>
          <w:lang w:val="en-US" w:eastAsia="fr-BE"/>
        </w:rPr>
      </w:pPr>
      <w:r>
        <w:rPr>
          <w:noProof/>
          <w:color w:val="000000" w:themeColor="text1"/>
          <w:lang w:val="en-US" w:eastAsia="fr-BE"/>
        </w:rPr>
        <w:tab/>
        <w:t>www.bkb.be</w:t>
      </w:r>
      <w:r w:rsidRPr="007A3031">
        <w:rPr>
          <w:noProof/>
          <w:color w:val="000000" w:themeColor="text1"/>
          <w:lang w:val="en-US" w:eastAsia="fr-BE"/>
        </w:rPr>
        <w:br w:type="page"/>
      </w:r>
    </w:p>
    <w:p w14:paraId="340FB7CB" w14:textId="1DA3E833" w:rsidR="007A3031" w:rsidRDefault="007A3031">
      <w:pPr>
        <w:spacing w:line="259" w:lineRule="auto"/>
        <w:ind w:firstLine="0"/>
        <w:jc w:val="left"/>
        <w:rPr>
          <w:b/>
          <w:noProof/>
          <w:color w:val="000000" w:themeColor="text1"/>
          <w:lang w:val="en-US" w:eastAsia="fr-BE"/>
        </w:rPr>
      </w:pPr>
    </w:p>
    <w:p w14:paraId="21FCBDB8" w14:textId="01930818" w:rsidR="00DE659D" w:rsidRPr="00DE659D" w:rsidRDefault="00DE659D" w:rsidP="00DE659D">
      <w:pPr>
        <w:ind w:firstLine="0"/>
        <w:rPr>
          <w:b/>
          <w:noProof/>
          <w:color w:val="000000" w:themeColor="text1"/>
          <w:lang w:val="en-US" w:eastAsia="fr-BE"/>
        </w:rPr>
      </w:pPr>
      <w:r w:rsidRPr="00DE659D">
        <w:rPr>
          <w:noProof/>
          <w:color w:val="000000" w:themeColor="text1"/>
          <w:lang w:val="hu-HU" w:eastAsia="fr-BE"/>
        </w:rPr>
        <w:drawing>
          <wp:inline distT="0" distB="0" distL="0" distR="0" wp14:anchorId="2C43064D" wp14:editId="225571BF">
            <wp:extent cx="2433943" cy="381000"/>
            <wp:effectExtent l="0" t="0" r="5080" b="0"/>
            <wp:docPr id="2" name="Image 2" descr="Moodle UCLouv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odle UCLouva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52521" cy="383908"/>
                    </a:xfrm>
                    <a:prstGeom prst="rect">
                      <a:avLst/>
                    </a:prstGeom>
                    <a:noFill/>
                    <a:ln>
                      <a:noFill/>
                    </a:ln>
                  </pic:spPr>
                </pic:pic>
              </a:graphicData>
            </a:graphic>
          </wp:inline>
        </w:drawing>
      </w:r>
    </w:p>
    <w:p w14:paraId="7806EF51" w14:textId="77777777" w:rsidR="00DE659D" w:rsidRPr="00DE659D" w:rsidRDefault="00DE659D" w:rsidP="00DE659D">
      <w:pPr>
        <w:ind w:firstLine="0"/>
        <w:rPr>
          <w:b/>
          <w:noProof/>
          <w:color w:val="000000" w:themeColor="text1"/>
          <w:lang w:val="en-US" w:eastAsia="fr-BE"/>
        </w:rPr>
      </w:pPr>
      <w:r w:rsidRPr="00DE659D">
        <w:rPr>
          <w:b/>
          <w:noProof/>
          <w:color w:val="000000" w:themeColor="text1"/>
          <w:lang w:val="en-US" w:eastAsia="fr-BE"/>
        </w:rPr>
        <w:t xml:space="preserve">Faculty of Economic, Social and Political Sciences and Communication </w:t>
      </w:r>
    </w:p>
    <w:p w14:paraId="3D17EE76" w14:textId="77777777" w:rsidR="00DE659D" w:rsidRPr="00DE659D" w:rsidRDefault="00DE659D" w:rsidP="00DE659D">
      <w:pPr>
        <w:rPr>
          <w:b/>
          <w:noProof/>
          <w:color w:val="000000" w:themeColor="text1"/>
          <w:lang w:val="en-US" w:eastAsia="fr-BE"/>
        </w:rPr>
      </w:pPr>
    </w:p>
    <w:p w14:paraId="31E3B7F2" w14:textId="77777777" w:rsidR="00DE659D" w:rsidRPr="00DE659D" w:rsidRDefault="00DE659D" w:rsidP="00DE659D">
      <w:pPr>
        <w:rPr>
          <w:b/>
          <w:noProof/>
          <w:color w:val="000000" w:themeColor="text1"/>
          <w:lang w:val="en-US" w:eastAsia="fr-BE"/>
        </w:rPr>
      </w:pPr>
    </w:p>
    <w:p w14:paraId="0814826E" w14:textId="77777777" w:rsidR="00DE659D" w:rsidRPr="00DE659D" w:rsidRDefault="00DE659D" w:rsidP="00DE659D">
      <w:pPr>
        <w:rPr>
          <w:b/>
          <w:noProof/>
          <w:color w:val="000000" w:themeColor="text1"/>
          <w:lang w:val="en-US" w:eastAsia="fr-BE"/>
        </w:rPr>
      </w:pPr>
    </w:p>
    <w:p w14:paraId="15DC5C54" w14:textId="77777777" w:rsidR="00DE659D" w:rsidRPr="00DE659D" w:rsidRDefault="00DE659D" w:rsidP="00DE659D">
      <w:pPr>
        <w:ind w:firstLine="0"/>
        <w:rPr>
          <w:b/>
          <w:noProof/>
          <w:color w:val="000000" w:themeColor="text1"/>
          <w:sz w:val="48"/>
          <w:szCs w:val="48"/>
          <w:lang w:val="en-US" w:eastAsia="fr-BE"/>
        </w:rPr>
      </w:pPr>
      <w:r w:rsidRPr="00DE659D">
        <w:rPr>
          <w:b/>
          <w:noProof/>
          <w:color w:val="000000" w:themeColor="text1"/>
          <w:sz w:val="48"/>
          <w:szCs w:val="48"/>
          <w:lang w:val="en-US" w:eastAsia="fr-BE"/>
        </w:rPr>
        <w:t>A compass for a socio-ecological transformation</w:t>
      </w:r>
    </w:p>
    <w:p w14:paraId="41CEB5FE" w14:textId="77777777" w:rsidR="00DE659D" w:rsidRPr="00DE659D" w:rsidRDefault="00DE659D" w:rsidP="00CE7357">
      <w:pPr>
        <w:ind w:firstLine="0"/>
        <w:rPr>
          <w:b/>
          <w:i/>
          <w:noProof/>
          <w:color w:val="000000" w:themeColor="text1"/>
          <w:lang w:val="en-US" w:eastAsia="fr-BE"/>
        </w:rPr>
      </w:pPr>
      <w:r w:rsidRPr="00DE659D">
        <w:rPr>
          <w:b/>
          <w:i/>
          <w:noProof/>
          <w:color w:val="000000" w:themeColor="text1"/>
          <w:lang w:val="en-US" w:eastAsia="fr-BE"/>
        </w:rPr>
        <w:t>Designing indicators encompassing the government and the business level</w:t>
      </w:r>
    </w:p>
    <w:p w14:paraId="3228A2F2" w14:textId="77777777" w:rsidR="00DE659D" w:rsidRPr="00DE659D" w:rsidRDefault="00DE659D" w:rsidP="00DE659D">
      <w:pPr>
        <w:rPr>
          <w:b/>
          <w:noProof/>
          <w:color w:val="000000" w:themeColor="text1"/>
          <w:lang w:val="en-US" w:eastAsia="fr-BE"/>
        </w:rPr>
      </w:pPr>
      <w:r w:rsidRPr="00DE659D">
        <w:rPr>
          <w:b/>
          <w:noProof/>
          <w:color w:val="000000" w:themeColor="text1"/>
          <w:lang w:val="en-US" w:eastAsia="fr-BE"/>
        </w:rPr>
        <w:t xml:space="preserve"> </w:t>
      </w:r>
    </w:p>
    <w:p w14:paraId="5BFFF74D" w14:textId="77777777" w:rsidR="00DE659D" w:rsidRPr="00DE659D" w:rsidRDefault="00DE659D" w:rsidP="00DE659D">
      <w:pPr>
        <w:rPr>
          <w:noProof/>
          <w:color w:val="000000" w:themeColor="text1"/>
          <w:lang w:val="en-US" w:eastAsia="fr-BE"/>
        </w:rPr>
      </w:pPr>
    </w:p>
    <w:p w14:paraId="05BF3991" w14:textId="77777777" w:rsidR="00DE659D" w:rsidRPr="00DE659D" w:rsidRDefault="00DE659D" w:rsidP="00CE7357">
      <w:pPr>
        <w:jc w:val="center"/>
        <w:rPr>
          <w:noProof/>
          <w:color w:val="000000" w:themeColor="text1"/>
          <w:lang w:val="en-US" w:eastAsia="fr-BE"/>
        </w:rPr>
      </w:pPr>
      <w:r w:rsidRPr="00DE659D">
        <w:rPr>
          <w:noProof/>
          <w:color w:val="000000" w:themeColor="text1"/>
          <w:lang w:val="en-US" w:eastAsia="fr-BE"/>
        </w:rPr>
        <w:t>A dissertation submitted in partial fulfillment of the requirements for the doctoral degree (Ph.D) in Economics and Management</w:t>
      </w:r>
    </w:p>
    <w:p w14:paraId="14101511" w14:textId="77777777" w:rsidR="00DE659D" w:rsidRPr="00DE659D" w:rsidRDefault="00DE659D" w:rsidP="00DE659D">
      <w:pPr>
        <w:rPr>
          <w:b/>
          <w:noProof/>
          <w:color w:val="000000" w:themeColor="text1"/>
          <w:lang w:val="en-US" w:eastAsia="fr-BE"/>
        </w:rPr>
      </w:pPr>
    </w:p>
    <w:p w14:paraId="4804F927" w14:textId="77777777" w:rsidR="00DE659D" w:rsidRPr="00DE659D" w:rsidRDefault="00DE659D" w:rsidP="00CE7357">
      <w:pPr>
        <w:jc w:val="center"/>
        <w:rPr>
          <w:b/>
          <w:noProof/>
          <w:color w:val="000000" w:themeColor="text1"/>
          <w:lang w:val="en-US" w:eastAsia="fr-BE"/>
        </w:rPr>
      </w:pPr>
      <w:r w:rsidRPr="00DE659D">
        <w:rPr>
          <w:b/>
          <w:noProof/>
          <w:color w:val="000000" w:themeColor="text1"/>
          <w:lang w:val="en-US" w:eastAsia="fr-BE"/>
        </w:rPr>
        <w:t>Olivier Malay</w:t>
      </w:r>
    </w:p>
    <w:p w14:paraId="01D72E0E" w14:textId="77777777" w:rsidR="00DE659D" w:rsidRPr="00DE659D" w:rsidRDefault="00DE659D" w:rsidP="00DE659D">
      <w:pPr>
        <w:rPr>
          <w:noProof/>
          <w:color w:val="000000" w:themeColor="text1"/>
          <w:lang w:val="en-US" w:eastAsia="fr-BE"/>
        </w:rPr>
      </w:pPr>
    </w:p>
    <w:p w14:paraId="370E7D3E" w14:textId="77777777" w:rsidR="00DE659D" w:rsidRPr="00DE659D" w:rsidRDefault="00DE659D" w:rsidP="00DE659D">
      <w:pPr>
        <w:rPr>
          <w:noProof/>
          <w:color w:val="000000" w:themeColor="text1"/>
          <w:lang w:val="en-US" w:eastAsia="fr-BE"/>
        </w:rPr>
      </w:pPr>
    </w:p>
    <w:p w14:paraId="41E7892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Jury members:</w:t>
      </w:r>
    </w:p>
    <w:p w14:paraId="6A8618B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Isabelle Cassiers, UCLouvain, co-director</w:t>
      </w:r>
    </w:p>
    <w:p w14:paraId="356E8250"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Marthe Nyssens, UCLouvain, co-director</w:t>
      </w:r>
    </w:p>
    <w:p w14:paraId="6B8A177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Axel Gosseries, UCLouvain, president</w:t>
      </w:r>
    </w:p>
    <w:p w14:paraId="2BB4343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Géraldine Thiry, ICHEC &amp; UCLouvain, secretary</w:t>
      </w:r>
    </w:p>
    <w:p w14:paraId="14FEB41F" w14:textId="77777777" w:rsidR="002B0AD1" w:rsidRDefault="00DE659D" w:rsidP="00DE659D">
      <w:pPr>
        <w:rPr>
          <w:noProof/>
          <w:color w:val="000000" w:themeColor="text1"/>
          <w:lang w:val="en-US" w:eastAsia="fr-BE"/>
        </w:rPr>
        <w:sectPr w:rsidR="002B0AD1" w:rsidSect="00046339">
          <w:footerReference w:type="default" r:id="rId10"/>
          <w:type w:val="oddPage"/>
          <w:pgSz w:w="11906" w:h="16838" w:code="9"/>
          <w:pgMar w:top="1701" w:right="2268" w:bottom="1701" w:left="2268" w:header="992" w:footer="992" w:gutter="0"/>
          <w:cols w:space="708"/>
          <w:titlePg/>
          <w:docGrid w:linePitch="360"/>
        </w:sectPr>
      </w:pPr>
      <w:r w:rsidRPr="00DE659D">
        <w:rPr>
          <w:noProof/>
          <w:color w:val="000000" w:themeColor="text1"/>
          <w:lang w:val="en-US" w:eastAsia="fr-BE"/>
        </w:rPr>
        <w:t>Brent Bleys, UGent, external member</w:t>
      </w:r>
    </w:p>
    <w:p w14:paraId="3B43C3C6" w14:textId="2A0821A0" w:rsidR="00DE659D" w:rsidRPr="00DE659D" w:rsidRDefault="00DE659D" w:rsidP="00DE659D">
      <w:pPr>
        <w:rPr>
          <w:noProof/>
          <w:color w:val="000000" w:themeColor="text1"/>
          <w:lang w:val="en-US" w:eastAsia="fr-BE"/>
        </w:rPr>
      </w:pPr>
    </w:p>
    <w:p w14:paraId="5E58DF08" w14:textId="1189FF97" w:rsidR="00DE659D" w:rsidRPr="00DE659D" w:rsidRDefault="00DE659D" w:rsidP="006B5D8C">
      <w:pPr>
        <w:ind w:firstLine="0"/>
        <w:rPr>
          <w:b/>
          <w:bCs/>
          <w:noProof/>
          <w:color w:val="000000" w:themeColor="text1"/>
          <w:lang w:val="en-US" w:eastAsia="fr-BE"/>
        </w:rPr>
      </w:pPr>
      <w:r w:rsidRPr="00DE659D">
        <w:rPr>
          <w:noProof/>
          <w:color w:val="000000" w:themeColor="text1"/>
          <w:lang w:val="en-US" w:eastAsia="fr-BE"/>
        </w:rPr>
        <w:br w:type="page"/>
      </w:r>
    </w:p>
    <w:p w14:paraId="7054B262" w14:textId="77777777" w:rsidR="002B0AD1" w:rsidRDefault="002B0AD1" w:rsidP="00DE659D">
      <w:pPr>
        <w:pStyle w:val="Titre1"/>
        <w:rPr>
          <w:noProof/>
          <w:lang w:eastAsia="fr-BE"/>
        </w:rPr>
        <w:sectPr w:rsidR="002B0AD1" w:rsidSect="002B0AD1">
          <w:headerReference w:type="first" r:id="rId11"/>
          <w:pgSz w:w="11906" w:h="16838" w:code="9"/>
          <w:pgMar w:top="1701" w:right="2268" w:bottom="1701" w:left="2268" w:header="992" w:footer="992" w:gutter="0"/>
          <w:cols w:space="708"/>
          <w:titlePg/>
          <w:docGrid w:linePitch="360"/>
        </w:sectPr>
      </w:pPr>
    </w:p>
    <w:p w14:paraId="1B2D9408" w14:textId="77777777" w:rsidR="0005195E" w:rsidRPr="00CE7357" w:rsidRDefault="0005195E" w:rsidP="0005195E">
      <w:pPr>
        <w:pStyle w:val="Titre"/>
        <w:jc w:val="left"/>
        <w:rPr>
          <w:sz w:val="56"/>
        </w:rPr>
      </w:pPr>
      <w:bookmarkStart w:id="0" w:name="_Toc51512251"/>
      <w:r w:rsidRPr="00CE7357">
        <w:rPr>
          <w:sz w:val="56"/>
        </w:rPr>
        <w:lastRenderedPageBreak/>
        <w:t>Summary</w:t>
      </w:r>
      <w:bookmarkEnd w:id="0"/>
    </w:p>
    <w:sdt>
      <w:sdtPr>
        <w:rPr>
          <w:rFonts w:cstheme="minorBidi"/>
          <w:b w:val="0"/>
          <w:bCs w:val="0"/>
          <w:caps w:val="0"/>
          <w:noProof/>
          <w:color w:val="000000" w:themeColor="text1"/>
          <w:szCs w:val="22"/>
          <w:lang w:val="fr-FR" w:eastAsia="fr-BE"/>
        </w:rPr>
        <w:id w:val="-1806312393"/>
        <w:docPartObj>
          <w:docPartGallery w:val="Table of Contents"/>
          <w:docPartUnique/>
        </w:docPartObj>
      </w:sdtPr>
      <w:sdtContent>
        <w:p w14:paraId="71AD1FFE" w14:textId="036838DC" w:rsidR="0000351E" w:rsidRDefault="0005195E">
          <w:pPr>
            <w:pStyle w:val="TM1"/>
            <w:rPr>
              <w:rFonts w:asciiTheme="minorHAnsi" w:eastAsiaTheme="minorEastAsia" w:hAnsiTheme="minorHAnsi" w:cstheme="minorBidi"/>
              <w:b w:val="0"/>
              <w:bCs w:val="0"/>
              <w:caps w:val="0"/>
              <w:noProof/>
              <w:sz w:val="22"/>
              <w:szCs w:val="22"/>
              <w:lang w:val="fr-BE" w:eastAsia="fr-BE"/>
            </w:rPr>
          </w:pPr>
          <w:r w:rsidRPr="00DE659D">
            <w:rPr>
              <w:noProof/>
              <w:color w:val="000000" w:themeColor="text1"/>
              <w:lang w:val="fr-BE" w:eastAsia="fr-BE"/>
            </w:rPr>
            <w:fldChar w:fldCharType="begin"/>
          </w:r>
          <w:r w:rsidRPr="00DE659D">
            <w:rPr>
              <w:b w:val="0"/>
              <w:noProof/>
              <w:color w:val="000000" w:themeColor="text1"/>
              <w:lang w:val="hu-HU" w:eastAsia="fr-BE"/>
            </w:rPr>
            <w:instrText xml:space="preserve"> TOC \o "1-3" \h \z \u </w:instrText>
          </w:r>
          <w:r w:rsidRPr="00DE659D">
            <w:rPr>
              <w:noProof/>
              <w:color w:val="000000" w:themeColor="text1"/>
              <w:lang w:val="fr-BE" w:eastAsia="fr-BE"/>
            </w:rPr>
            <w:fldChar w:fldCharType="separate"/>
          </w:r>
          <w:hyperlink w:anchor="_Toc51512251" w:history="1">
            <w:r w:rsidR="0000351E" w:rsidRPr="00CA404E">
              <w:rPr>
                <w:rStyle w:val="Lienhypertexte"/>
                <w:noProof/>
              </w:rPr>
              <w:t>Summary</w:t>
            </w:r>
            <w:r w:rsidR="0000351E">
              <w:rPr>
                <w:noProof/>
                <w:webHidden/>
              </w:rPr>
              <w:tab/>
            </w:r>
            <w:r w:rsidR="0000351E">
              <w:rPr>
                <w:noProof/>
                <w:webHidden/>
              </w:rPr>
              <w:fldChar w:fldCharType="begin"/>
            </w:r>
            <w:r w:rsidR="0000351E">
              <w:rPr>
                <w:noProof/>
                <w:webHidden/>
              </w:rPr>
              <w:instrText xml:space="preserve"> PAGEREF _Toc51512251 \h </w:instrText>
            </w:r>
            <w:r w:rsidR="0000351E">
              <w:rPr>
                <w:noProof/>
                <w:webHidden/>
              </w:rPr>
            </w:r>
            <w:r w:rsidR="0000351E">
              <w:rPr>
                <w:noProof/>
                <w:webHidden/>
              </w:rPr>
              <w:fldChar w:fldCharType="separate"/>
            </w:r>
            <w:r w:rsidR="00BE4688">
              <w:rPr>
                <w:noProof/>
                <w:webHidden/>
              </w:rPr>
              <w:t>i</w:t>
            </w:r>
            <w:r w:rsidR="0000351E">
              <w:rPr>
                <w:noProof/>
                <w:webHidden/>
              </w:rPr>
              <w:fldChar w:fldCharType="end"/>
            </w:r>
          </w:hyperlink>
        </w:p>
        <w:p w14:paraId="19B157D3" w14:textId="276FD44D"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252" w:history="1">
            <w:r w:rsidRPr="00CA404E">
              <w:rPr>
                <w:rStyle w:val="Lienhypertexte"/>
                <w:noProof/>
                <w:lang w:eastAsia="fr-BE"/>
              </w:rPr>
              <w:t>Abstract of the thesis</w:t>
            </w:r>
            <w:r>
              <w:rPr>
                <w:noProof/>
                <w:webHidden/>
              </w:rPr>
              <w:tab/>
            </w:r>
            <w:r>
              <w:rPr>
                <w:noProof/>
                <w:webHidden/>
              </w:rPr>
              <w:fldChar w:fldCharType="begin"/>
            </w:r>
            <w:r>
              <w:rPr>
                <w:noProof/>
                <w:webHidden/>
              </w:rPr>
              <w:instrText xml:space="preserve"> PAGEREF _Toc51512252 \h </w:instrText>
            </w:r>
            <w:r>
              <w:rPr>
                <w:noProof/>
                <w:webHidden/>
              </w:rPr>
            </w:r>
            <w:r>
              <w:rPr>
                <w:noProof/>
                <w:webHidden/>
              </w:rPr>
              <w:fldChar w:fldCharType="separate"/>
            </w:r>
            <w:r w:rsidR="00BE4688">
              <w:rPr>
                <w:noProof/>
                <w:webHidden/>
              </w:rPr>
              <w:t>v</w:t>
            </w:r>
            <w:r>
              <w:rPr>
                <w:noProof/>
                <w:webHidden/>
              </w:rPr>
              <w:fldChar w:fldCharType="end"/>
            </w:r>
          </w:hyperlink>
        </w:p>
        <w:p w14:paraId="4382F991" w14:textId="3F3D1F96"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253" w:history="1">
            <w:r w:rsidRPr="00CA404E">
              <w:rPr>
                <w:rStyle w:val="Lienhypertexte"/>
                <w:noProof/>
                <w:lang w:val="fr-BE" w:eastAsia="fr-BE"/>
              </w:rPr>
              <w:t>Remerciements</w:t>
            </w:r>
            <w:r>
              <w:rPr>
                <w:noProof/>
                <w:webHidden/>
              </w:rPr>
              <w:tab/>
            </w:r>
            <w:r>
              <w:rPr>
                <w:noProof/>
                <w:webHidden/>
              </w:rPr>
              <w:fldChar w:fldCharType="begin"/>
            </w:r>
            <w:r>
              <w:rPr>
                <w:noProof/>
                <w:webHidden/>
              </w:rPr>
              <w:instrText xml:space="preserve"> PAGEREF _Toc51512253 \h </w:instrText>
            </w:r>
            <w:r>
              <w:rPr>
                <w:noProof/>
                <w:webHidden/>
              </w:rPr>
            </w:r>
            <w:r>
              <w:rPr>
                <w:noProof/>
                <w:webHidden/>
              </w:rPr>
              <w:fldChar w:fldCharType="separate"/>
            </w:r>
            <w:r w:rsidR="00BE4688">
              <w:rPr>
                <w:noProof/>
                <w:webHidden/>
              </w:rPr>
              <w:t>xi</w:t>
            </w:r>
            <w:r>
              <w:rPr>
                <w:noProof/>
                <w:webHidden/>
              </w:rPr>
              <w:fldChar w:fldCharType="end"/>
            </w:r>
          </w:hyperlink>
        </w:p>
        <w:p w14:paraId="12AD0732" w14:textId="1D13ABE2"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254" w:history="1">
            <w:r w:rsidRPr="00CA404E">
              <w:rPr>
                <w:rStyle w:val="Lienhypertexte"/>
                <w:noProof/>
              </w:rPr>
              <w:t>Introduction générale</w:t>
            </w:r>
            <w:r>
              <w:rPr>
                <w:noProof/>
                <w:webHidden/>
              </w:rPr>
              <w:tab/>
            </w:r>
            <w:r>
              <w:rPr>
                <w:noProof/>
                <w:webHidden/>
              </w:rPr>
              <w:fldChar w:fldCharType="begin"/>
            </w:r>
            <w:r>
              <w:rPr>
                <w:noProof/>
                <w:webHidden/>
              </w:rPr>
              <w:instrText xml:space="preserve"> PAGEREF _Toc51512254 \h </w:instrText>
            </w:r>
            <w:r>
              <w:rPr>
                <w:noProof/>
                <w:webHidden/>
              </w:rPr>
            </w:r>
            <w:r>
              <w:rPr>
                <w:noProof/>
                <w:webHidden/>
              </w:rPr>
              <w:fldChar w:fldCharType="separate"/>
            </w:r>
            <w:r w:rsidR="00BE4688">
              <w:rPr>
                <w:noProof/>
                <w:webHidden/>
              </w:rPr>
              <w:t>1</w:t>
            </w:r>
            <w:r>
              <w:rPr>
                <w:noProof/>
                <w:webHidden/>
              </w:rPr>
              <w:fldChar w:fldCharType="end"/>
            </w:r>
          </w:hyperlink>
        </w:p>
        <w:p w14:paraId="12F9C2A3" w14:textId="52D0F49C"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55" w:history="1">
            <w:r w:rsidRPr="00CA404E">
              <w:rPr>
                <w:rStyle w:val="Lienhypertexte"/>
                <w:noProof/>
                <w:lang w:val="fr-BE" w:eastAsia="fr-BE"/>
              </w:rPr>
              <w:t>1.</w:t>
            </w:r>
            <w:r>
              <w:rPr>
                <w:rFonts w:asciiTheme="minorHAnsi" w:eastAsiaTheme="minorEastAsia" w:hAnsiTheme="minorHAnsi" w:cstheme="minorBidi"/>
                <w:smallCaps w:val="0"/>
                <w:noProof/>
                <w:szCs w:val="22"/>
                <w:lang w:val="fr-BE" w:eastAsia="fr-BE"/>
              </w:rPr>
              <w:tab/>
            </w:r>
            <w:r w:rsidRPr="00CA404E">
              <w:rPr>
                <w:rStyle w:val="Lienhypertexte"/>
                <w:noProof/>
                <w:lang w:val="fr-BE" w:eastAsia="fr-BE"/>
              </w:rPr>
              <w:t>Cadre général de la thèse</w:t>
            </w:r>
            <w:r>
              <w:rPr>
                <w:noProof/>
                <w:webHidden/>
              </w:rPr>
              <w:tab/>
            </w:r>
            <w:r>
              <w:rPr>
                <w:noProof/>
                <w:webHidden/>
              </w:rPr>
              <w:fldChar w:fldCharType="begin"/>
            </w:r>
            <w:r>
              <w:rPr>
                <w:noProof/>
                <w:webHidden/>
              </w:rPr>
              <w:instrText xml:space="preserve"> PAGEREF _Toc51512255 \h </w:instrText>
            </w:r>
            <w:r>
              <w:rPr>
                <w:noProof/>
                <w:webHidden/>
              </w:rPr>
            </w:r>
            <w:r>
              <w:rPr>
                <w:noProof/>
                <w:webHidden/>
              </w:rPr>
              <w:fldChar w:fldCharType="separate"/>
            </w:r>
            <w:r w:rsidR="00BE4688">
              <w:rPr>
                <w:noProof/>
                <w:webHidden/>
              </w:rPr>
              <w:t>1</w:t>
            </w:r>
            <w:r>
              <w:rPr>
                <w:noProof/>
                <w:webHidden/>
              </w:rPr>
              <w:fldChar w:fldCharType="end"/>
            </w:r>
          </w:hyperlink>
        </w:p>
        <w:p w14:paraId="12ACA6E8" w14:textId="2FBCC662"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56" w:history="1">
            <w:r w:rsidRPr="00CA404E">
              <w:rPr>
                <w:rStyle w:val="Lienhypertexte"/>
                <w:noProof/>
                <w:lang w:val="hu-HU" w:eastAsia="fr-BE"/>
              </w:rPr>
              <w:t>1.1.</w:t>
            </w:r>
            <w:r>
              <w:rPr>
                <w:rFonts w:asciiTheme="minorHAnsi" w:eastAsiaTheme="minorEastAsia" w:hAnsiTheme="minorHAnsi" w:cstheme="minorBidi"/>
                <w:i w:val="0"/>
                <w:iCs w:val="0"/>
                <w:noProof/>
                <w:szCs w:val="22"/>
                <w:lang w:val="fr-BE" w:eastAsia="fr-BE"/>
              </w:rPr>
              <w:tab/>
            </w:r>
            <w:r w:rsidRPr="00CA404E">
              <w:rPr>
                <w:rStyle w:val="Lienhypertexte"/>
                <w:noProof/>
                <w:lang w:val="hu-HU" w:eastAsia="fr-BE"/>
              </w:rPr>
              <w:t>L’objet de la thèse : les indicateurs sociaux et environnementaux</w:t>
            </w:r>
            <w:r>
              <w:rPr>
                <w:noProof/>
                <w:webHidden/>
              </w:rPr>
              <w:tab/>
            </w:r>
            <w:r>
              <w:rPr>
                <w:noProof/>
                <w:webHidden/>
              </w:rPr>
              <w:fldChar w:fldCharType="begin"/>
            </w:r>
            <w:r>
              <w:rPr>
                <w:noProof/>
                <w:webHidden/>
              </w:rPr>
              <w:instrText xml:space="preserve"> PAGEREF _Toc51512256 \h </w:instrText>
            </w:r>
            <w:r>
              <w:rPr>
                <w:noProof/>
                <w:webHidden/>
              </w:rPr>
            </w:r>
            <w:r>
              <w:rPr>
                <w:noProof/>
                <w:webHidden/>
              </w:rPr>
              <w:fldChar w:fldCharType="separate"/>
            </w:r>
            <w:r w:rsidR="00BE4688">
              <w:rPr>
                <w:noProof/>
                <w:webHidden/>
              </w:rPr>
              <w:t>3</w:t>
            </w:r>
            <w:r>
              <w:rPr>
                <w:noProof/>
                <w:webHidden/>
              </w:rPr>
              <w:fldChar w:fldCharType="end"/>
            </w:r>
          </w:hyperlink>
        </w:p>
        <w:p w14:paraId="048BD4E5" w14:textId="19DAA9C4"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57" w:history="1">
            <w:r w:rsidRPr="00CA404E">
              <w:rPr>
                <w:rStyle w:val="Lienhypertexte"/>
                <w:noProof/>
                <w:lang w:val="fr-BE"/>
              </w:rPr>
              <w:t>1.2.</w:t>
            </w:r>
            <w:r>
              <w:rPr>
                <w:rFonts w:asciiTheme="minorHAnsi" w:eastAsiaTheme="minorEastAsia" w:hAnsiTheme="minorHAnsi" w:cstheme="minorBidi"/>
                <w:i w:val="0"/>
                <w:iCs w:val="0"/>
                <w:noProof/>
                <w:szCs w:val="22"/>
                <w:lang w:val="fr-BE" w:eastAsia="fr-BE"/>
              </w:rPr>
              <w:tab/>
            </w:r>
            <w:r w:rsidRPr="00CA404E">
              <w:rPr>
                <w:rStyle w:val="Lienhypertexte"/>
                <w:noProof/>
                <w:lang w:val="fr-BE"/>
              </w:rPr>
              <w:t>L’approche théorique de la thèse : Ecological Economics</w:t>
            </w:r>
            <w:r>
              <w:rPr>
                <w:noProof/>
                <w:webHidden/>
              </w:rPr>
              <w:tab/>
            </w:r>
            <w:r>
              <w:rPr>
                <w:noProof/>
                <w:webHidden/>
              </w:rPr>
              <w:fldChar w:fldCharType="begin"/>
            </w:r>
            <w:r>
              <w:rPr>
                <w:noProof/>
                <w:webHidden/>
              </w:rPr>
              <w:instrText xml:space="preserve"> PAGEREF _Toc51512257 \h </w:instrText>
            </w:r>
            <w:r>
              <w:rPr>
                <w:noProof/>
                <w:webHidden/>
              </w:rPr>
            </w:r>
            <w:r>
              <w:rPr>
                <w:noProof/>
                <w:webHidden/>
              </w:rPr>
              <w:fldChar w:fldCharType="separate"/>
            </w:r>
            <w:r w:rsidR="00BE4688">
              <w:rPr>
                <w:noProof/>
                <w:webHidden/>
              </w:rPr>
              <w:t>6</w:t>
            </w:r>
            <w:r>
              <w:rPr>
                <w:noProof/>
                <w:webHidden/>
              </w:rPr>
              <w:fldChar w:fldCharType="end"/>
            </w:r>
          </w:hyperlink>
        </w:p>
        <w:p w14:paraId="03731B07" w14:textId="0BE8105E"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58" w:history="1">
            <w:r w:rsidRPr="00CA404E">
              <w:rPr>
                <w:rStyle w:val="Lienhypertexte"/>
                <w:noProof/>
                <w:lang w:val="fr-BE" w:eastAsia="fr-BE"/>
              </w:rPr>
              <w:t>2.</w:t>
            </w:r>
            <w:r>
              <w:rPr>
                <w:rFonts w:asciiTheme="minorHAnsi" w:eastAsiaTheme="minorEastAsia" w:hAnsiTheme="minorHAnsi" w:cstheme="minorBidi"/>
                <w:smallCaps w:val="0"/>
                <w:noProof/>
                <w:szCs w:val="22"/>
                <w:lang w:val="fr-BE" w:eastAsia="fr-BE"/>
              </w:rPr>
              <w:tab/>
            </w:r>
            <w:r w:rsidRPr="00CA404E">
              <w:rPr>
                <w:rStyle w:val="Lienhypertexte"/>
                <w:noProof/>
                <w:lang w:val="fr-BE" w:eastAsia="fr-BE"/>
              </w:rPr>
              <w:t>Trois enjeux du développement d’indicateurs de la transition</w:t>
            </w:r>
            <w:r>
              <w:rPr>
                <w:noProof/>
                <w:webHidden/>
              </w:rPr>
              <w:tab/>
            </w:r>
            <w:r>
              <w:rPr>
                <w:noProof/>
                <w:webHidden/>
              </w:rPr>
              <w:fldChar w:fldCharType="begin"/>
            </w:r>
            <w:r>
              <w:rPr>
                <w:noProof/>
                <w:webHidden/>
              </w:rPr>
              <w:instrText xml:space="preserve"> PAGEREF _Toc51512258 \h </w:instrText>
            </w:r>
            <w:r>
              <w:rPr>
                <w:noProof/>
                <w:webHidden/>
              </w:rPr>
            </w:r>
            <w:r>
              <w:rPr>
                <w:noProof/>
                <w:webHidden/>
              </w:rPr>
              <w:fldChar w:fldCharType="separate"/>
            </w:r>
            <w:r w:rsidR="00BE4688">
              <w:rPr>
                <w:noProof/>
                <w:webHidden/>
              </w:rPr>
              <w:t>9</w:t>
            </w:r>
            <w:r>
              <w:rPr>
                <w:noProof/>
                <w:webHidden/>
              </w:rPr>
              <w:fldChar w:fldCharType="end"/>
            </w:r>
          </w:hyperlink>
        </w:p>
        <w:p w14:paraId="71E09A1B" w14:textId="0B4FDA13"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59" w:history="1">
            <w:r w:rsidRPr="00CA404E">
              <w:rPr>
                <w:rStyle w:val="Lienhypertexte"/>
                <w:noProof/>
                <w:lang w:val="hu-HU" w:eastAsia="fr-BE"/>
              </w:rPr>
              <w:t>2.1.</w:t>
            </w:r>
            <w:r>
              <w:rPr>
                <w:rFonts w:asciiTheme="minorHAnsi" w:eastAsiaTheme="minorEastAsia" w:hAnsiTheme="minorHAnsi" w:cstheme="minorBidi"/>
                <w:i w:val="0"/>
                <w:iCs w:val="0"/>
                <w:noProof/>
                <w:szCs w:val="22"/>
                <w:lang w:val="fr-BE" w:eastAsia="fr-BE"/>
              </w:rPr>
              <w:tab/>
            </w:r>
            <w:r w:rsidRPr="00CA404E">
              <w:rPr>
                <w:rStyle w:val="Lienhypertexte"/>
                <w:noProof/>
                <w:lang w:val="hu-HU" w:eastAsia="fr-BE"/>
              </w:rPr>
              <w:t>Quel objectif de transition ?</w:t>
            </w:r>
            <w:r>
              <w:rPr>
                <w:noProof/>
                <w:webHidden/>
              </w:rPr>
              <w:tab/>
            </w:r>
            <w:r>
              <w:rPr>
                <w:noProof/>
                <w:webHidden/>
              </w:rPr>
              <w:fldChar w:fldCharType="begin"/>
            </w:r>
            <w:r>
              <w:rPr>
                <w:noProof/>
                <w:webHidden/>
              </w:rPr>
              <w:instrText xml:space="preserve"> PAGEREF _Toc51512259 \h </w:instrText>
            </w:r>
            <w:r>
              <w:rPr>
                <w:noProof/>
                <w:webHidden/>
              </w:rPr>
            </w:r>
            <w:r>
              <w:rPr>
                <w:noProof/>
                <w:webHidden/>
              </w:rPr>
              <w:fldChar w:fldCharType="separate"/>
            </w:r>
            <w:r w:rsidR="00BE4688">
              <w:rPr>
                <w:noProof/>
                <w:webHidden/>
              </w:rPr>
              <w:t>9</w:t>
            </w:r>
            <w:r>
              <w:rPr>
                <w:noProof/>
                <w:webHidden/>
              </w:rPr>
              <w:fldChar w:fldCharType="end"/>
            </w:r>
          </w:hyperlink>
        </w:p>
        <w:p w14:paraId="5084F159" w14:textId="3C7D8645"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60" w:history="1">
            <w:r w:rsidRPr="00CA404E">
              <w:rPr>
                <w:rStyle w:val="Lienhypertexte"/>
                <w:noProof/>
                <w:lang w:val="hu-HU" w:eastAsia="fr-BE"/>
              </w:rPr>
              <w:t>2.2.</w:t>
            </w:r>
            <w:r>
              <w:rPr>
                <w:rFonts w:asciiTheme="minorHAnsi" w:eastAsiaTheme="minorEastAsia" w:hAnsiTheme="minorHAnsi" w:cstheme="minorBidi"/>
                <w:i w:val="0"/>
                <w:iCs w:val="0"/>
                <w:noProof/>
                <w:szCs w:val="22"/>
                <w:lang w:val="fr-BE" w:eastAsia="fr-BE"/>
              </w:rPr>
              <w:tab/>
            </w:r>
            <w:r w:rsidRPr="00CA404E">
              <w:rPr>
                <w:rStyle w:val="Lienhypertexte"/>
                <w:noProof/>
                <w:lang w:val="hu-HU" w:eastAsia="fr-BE"/>
              </w:rPr>
              <w:t>Quelle stratégie de transition ?</w:t>
            </w:r>
            <w:r>
              <w:rPr>
                <w:noProof/>
                <w:webHidden/>
              </w:rPr>
              <w:tab/>
            </w:r>
            <w:r>
              <w:rPr>
                <w:noProof/>
                <w:webHidden/>
              </w:rPr>
              <w:fldChar w:fldCharType="begin"/>
            </w:r>
            <w:r>
              <w:rPr>
                <w:noProof/>
                <w:webHidden/>
              </w:rPr>
              <w:instrText xml:space="preserve"> PAGEREF _Toc51512260 \h </w:instrText>
            </w:r>
            <w:r>
              <w:rPr>
                <w:noProof/>
                <w:webHidden/>
              </w:rPr>
            </w:r>
            <w:r>
              <w:rPr>
                <w:noProof/>
                <w:webHidden/>
              </w:rPr>
              <w:fldChar w:fldCharType="separate"/>
            </w:r>
            <w:r w:rsidR="00BE4688">
              <w:rPr>
                <w:noProof/>
                <w:webHidden/>
              </w:rPr>
              <w:t>12</w:t>
            </w:r>
            <w:r>
              <w:rPr>
                <w:noProof/>
                <w:webHidden/>
              </w:rPr>
              <w:fldChar w:fldCharType="end"/>
            </w:r>
          </w:hyperlink>
        </w:p>
        <w:p w14:paraId="172BC0C5" w14:textId="07694545"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61" w:history="1">
            <w:r w:rsidRPr="00CA404E">
              <w:rPr>
                <w:rStyle w:val="Lienhypertexte"/>
                <w:noProof/>
                <w:lang w:val="fr-BE" w:eastAsia="fr-BE"/>
              </w:rPr>
              <w:t>2.3.</w:t>
            </w:r>
            <w:r>
              <w:rPr>
                <w:rFonts w:asciiTheme="minorHAnsi" w:eastAsiaTheme="minorEastAsia" w:hAnsiTheme="minorHAnsi" w:cstheme="minorBidi"/>
                <w:i w:val="0"/>
                <w:iCs w:val="0"/>
                <w:noProof/>
                <w:szCs w:val="22"/>
                <w:lang w:val="fr-BE" w:eastAsia="fr-BE"/>
              </w:rPr>
              <w:tab/>
            </w:r>
            <w:r w:rsidRPr="00CA404E">
              <w:rPr>
                <w:rStyle w:val="Lienhypertexte"/>
                <w:noProof/>
                <w:lang w:val="fr-BE" w:eastAsia="fr-BE"/>
              </w:rPr>
              <w:t>Quels destinataires pour les indicateurs ?</w:t>
            </w:r>
            <w:r>
              <w:rPr>
                <w:noProof/>
                <w:webHidden/>
              </w:rPr>
              <w:tab/>
            </w:r>
            <w:r>
              <w:rPr>
                <w:noProof/>
                <w:webHidden/>
              </w:rPr>
              <w:fldChar w:fldCharType="begin"/>
            </w:r>
            <w:r>
              <w:rPr>
                <w:noProof/>
                <w:webHidden/>
              </w:rPr>
              <w:instrText xml:space="preserve"> PAGEREF _Toc51512261 \h </w:instrText>
            </w:r>
            <w:r>
              <w:rPr>
                <w:noProof/>
                <w:webHidden/>
              </w:rPr>
            </w:r>
            <w:r>
              <w:rPr>
                <w:noProof/>
                <w:webHidden/>
              </w:rPr>
              <w:fldChar w:fldCharType="separate"/>
            </w:r>
            <w:r w:rsidR="00BE4688">
              <w:rPr>
                <w:noProof/>
                <w:webHidden/>
              </w:rPr>
              <w:t>21</w:t>
            </w:r>
            <w:r>
              <w:rPr>
                <w:noProof/>
                <w:webHidden/>
              </w:rPr>
              <w:fldChar w:fldCharType="end"/>
            </w:r>
          </w:hyperlink>
        </w:p>
        <w:p w14:paraId="048F0C74" w14:textId="60FC4788"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62" w:history="1">
            <w:r w:rsidRPr="00CA404E">
              <w:rPr>
                <w:rStyle w:val="Lienhypertexte"/>
                <w:noProof/>
                <w:lang w:val="fr-BE" w:eastAsia="fr-BE"/>
              </w:rPr>
              <w:t>3.</w:t>
            </w:r>
            <w:r>
              <w:rPr>
                <w:rFonts w:asciiTheme="minorHAnsi" w:eastAsiaTheme="minorEastAsia" w:hAnsiTheme="minorHAnsi" w:cstheme="minorBidi"/>
                <w:smallCaps w:val="0"/>
                <w:noProof/>
                <w:szCs w:val="22"/>
                <w:lang w:val="fr-BE" w:eastAsia="fr-BE"/>
              </w:rPr>
              <w:tab/>
            </w:r>
            <w:r w:rsidRPr="00CA404E">
              <w:rPr>
                <w:rStyle w:val="Lienhypertexte"/>
                <w:noProof/>
                <w:lang w:val="fr-BE" w:eastAsia="fr-BE"/>
              </w:rPr>
              <w:t>Structure de la thèse</w:t>
            </w:r>
            <w:r>
              <w:rPr>
                <w:noProof/>
                <w:webHidden/>
              </w:rPr>
              <w:tab/>
            </w:r>
            <w:r>
              <w:rPr>
                <w:noProof/>
                <w:webHidden/>
              </w:rPr>
              <w:fldChar w:fldCharType="begin"/>
            </w:r>
            <w:r>
              <w:rPr>
                <w:noProof/>
                <w:webHidden/>
              </w:rPr>
              <w:instrText xml:space="preserve"> PAGEREF _Toc51512262 \h </w:instrText>
            </w:r>
            <w:r>
              <w:rPr>
                <w:noProof/>
                <w:webHidden/>
              </w:rPr>
            </w:r>
            <w:r>
              <w:rPr>
                <w:noProof/>
                <w:webHidden/>
              </w:rPr>
              <w:fldChar w:fldCharType="separate"/>
            </w:r>
            <w:r w:rsidR="00BE4688">
              <w:rPr>
                <w:noProof/>
                <w:webHidden/>
              </w:rPr>
              <w:t>25</w:t>
            </w:r>
            <w:r>
              <w:rPr>
                <w:noProof/>
                <w:webHidden/>
              </w:rPr>
              <w:fldChar w:fldCharType="end"/>
            </w:r>
          </w:hyperlink>
        </w:p>
        <w:p w14:paraId="7EDD6B2B" w14:textId="45CDE086"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63" w:history="1">
            <w:r w:rsidRPr="00CA404E">
              <w:rPr>
                <w:rStyle w:val="Lienhypertexte"/>
                <w:noProof/>
                <w:lang w:val="fr-BE" w:eastAsia="fr-BE"/>
              </w:rPr>
              <w:t>4.</w:t>
            </w:r>
            <w:r>
              <w:rPr>
                <w:rFonts w:asciiTheme="minorHAnsi" w:eastAsiaTheme="minorEastAsia" w:hAnsiTheme="minorHAnsi" w:cstheme="minorBidi"/>
                <w:smallCaps w:val="0"/>
                <w:noProof/>
                <w:szCs w:val="22"/>
                <w:lang w:val="fr-BE" w:eastAsia="fr-BE"/>
              </w:rPr>
              <w:tab/>
            </w:r>
            <w:r w:rsidRPr="00CA404E">
              <w:rPr>
                <w:rStyle w:val="Lienhypertexte"/>
                <w:noProof/>
                <w:lang w:val="fr-BE" w:eastAsia="fr-BE"/>
              </w:rPr>
              <w:t>Références</w:t>
            </w:r>
            <w:r>
              <w:rPr>
                <w:noProof/>
                <w:webHidden/>
              </w:rPr>
              <w:tab/>
            </w:r>
            <w:r>
              <w:rPr>
                <w:noProof/>
                <w:webHidden/>
              </w:rPr>
              <w:fldChar w:fldCharType="begin"/>
            </w:r>
            <w:r>
              <w:rPr>
                <w:noProof/>
                <w:webHidden/>
              </w:rPr>
              <w:instrText xml:space="preserve"> PAGEREF _Toc51512263 \h </w:instrText>
            </w:r>
            <w:r>
              <w:rPr>
                <w:noProof/>
                <w:webHidden/>
              </w:rPr>
            </w:r>
            <w:r>
              <w:rPr>
                <w:noProof/>
                <w:webHidden/>
              </w:rPr>
              <w:fldChar w:fldCharType="separate"/>
            </w:r>
            <w:r w:rsidR="00BE4688">
              <w:rPr>
                <w:noProof/>
                <w:webHidden/>
              </w:rPr>
              <w:t>27</w:t>
            </w:r>
            <w:r>
              <w:rPr>
                <w:noProof/>
                <w:webHidden/>
              </w:rPr>
              <w:fldChar w:fldCharType="end"/>
            </w:r>
          </w:hyperlink>
        </w:p>
        <w:p w14:paraId="0F655732" w14:textId="44876BF9"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264" w:history="1">
            <w:r w:rsidRPr="00CA404E">
              <w:rPr>
                <w:rStyle w:val="Lienhypertexte"/>
                <w:noProof/>
                <w:lang w:val="hu-HU" w:eastAsia="fr-BE"/>
              </w:rPr>
              <w:t xml:space="preserve">Paper 1: </w:t>
            </w:r>
            <w:r w:rsidRPr="00CA404E">
              <w:rPr>
                <w:rStyle w:val="Lienhypertexte"/>
                <w:noProof/>
                <w:lang w:eastAsia="fr-BE"/>
              </w:rPr>
              <w:t>How to articulate beyond GDP and businesses’ social and environmental indicators?</w:t>
            </w:r>
            <w:r>
              <w:rPr>
                <w:noProof/>
                <w:webHidden/>
              </w:rPr>
              <w:tab/>
            </w:r>
            <w:r>
              <w:rPr>
                <w:noProof/>
                <w:webHidden/>
              </w:rPr>
              <w:fldChar w:fldCharType="begin"/>
            </w:r>
            <w:r>
              <w:rPr>
                <w:noProof/>
                <w:webHidden/>
              </w:rPr>
              <w:instrText xml:space="preserve"> PAGEREF _Toc51512264 \h </w:instrText>
            </w:r>
            <w:r>
              <w:rPr>
                <w:noProof/>
                <w:webHidden/>
              </w:rPr>
            </w:r>
            <w:r>
              <w:rPr>
                <w:noProof/>
                <w:webHidden/>
              </w:rPr>
              <w:fldChar w:fldCharType="separate"/>
            </w:r>
            <w:r w:rsidR="00BE4688">
              <w:rPr>
                <w:noProof/>
                <w:webHidden/>
              </w:rPr>
              <w:t>34</w:t>
            </w:r>
            <w:r>
              <w:rPr>
                <w:noProof/>
                <w:webHidden/>
              </w:rPr>
              <w:fldChar w:fldCharType="end"/>
            </w:r>
          </w:hyperlink>
        </w:p>
        <w:p w14:paraId="3DCED555" w14:textId="0D4F69BB"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65" w:history="1">
            <w:r w:rsidRPr="00CA404E">
              <w:rPr>
                <w:rStyle w:val="Lienhypertexte"/>
                <w:noProof/>
                <w:lang w:val="en-US" w:eastAsia="fr-BE"/>
              </w:rPr>
              <w:t>1.</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Introduction</w:t>
            </w:r>
            <w:r>
              <w:rPr>
                <w:noProof/>
                <w:webHidden/>
              </w:rPr>
              <w:tab/>
            </w:r>
            <w:r>
              <w:rPr>
                <w:noProof/>
                <w:webHidden/>
              </w:rPr>
              <w:fldChar w:fldCharType="begin"/>
            </w:r>
            <w:r>
              <w:rPr>
                <w:noProof/>
                <w:webHidden/>
              </w:rPr>
              <w:instrText xml:space="preserve"> PAGEREF _Toc51512265 \h </w:instrText>
            </w:r>
            <w:r>
              <w:rPr>
                <w:noProof/>
                <w:webHidden/>
              </w:rPr>
            </w:r>
            <w:r>
              <w:rPr>
                <w:noProof/>
                <w:webHidden/>
              </w:rPr>
              <w:fldChar w:fldCharType="separate"/>
            </w:r>
            <w:r w:rsidR="00BE4688">
              <w:rPr>
                <w:noProof/>
                <w:webHidden/>
              </w:rPr>
              <w:t>35</w:t>
            </w:r>
            <w:r>
              <w:rPr>
                <w:noProof/>
                <w:webHidden/>
              </w:rPr>
              <w:fldChar w:fldCharType="end"/>
            </w:r>
          </w:hyperlink>
        </w:p>
        <w:p w14:paraId="42DAF240" w14:textId="709AE409"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66" w:history="1">
            <w:r w:rsidRPr="00CA404E">
              <w:rPr>
                <w:rStyle w:val="Lienhypertexte"/>
                <w:noProof/>
                <w:lang w:val="en-US" w:eastAsia="fr-BE"/>
              </w:rPr>
              <w:t>2.</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Beyond GDP and businesses’ social and environmental indicators</w:t>
            </w:r>
            <w:r>
              <w:rPr>
                <w:noProof/>
                <w:webHidden/>
              </w:rPr>
              <w:tab/>
            </w:r>
            <w:r>
              <w:rPr>
                <w:noProof/>
                <w:webHidden/>
              </w:rPr>
              <w:fldChar w:fldCharType="begin"/>
            </w:r>
            <w:r>
              <w:rPr>
                <w:noProof/>
                <w:webHidden/>
              </w:rPr>
              <w:instrText xml:space="preserve"> PAGEREF _Toc51512266 \h </w:instrText>
            </w:r>
            <w:r>
              <w:rPr>
                <w:noProof/>
                <w:webHidden/>
              </w:rPr>
            </w:r>
            <w:r>
              <w:rPr>
                <w:noProof/>
                <w:webHidden/>
              </w:rPr>
              <w:fldChar w:fldCharType="separate"/>
            </w:r>
            <w:r w:rsidR="00BE4688">
              <w:rPr>
                <w:noProof/>
                <w:webHidden/>
              </w:rPr>
              <w:t>38</w:t>
            </w:r>
            <w:r>
              <w:rPr>
                <w:noProof/>
                <w:webHidden/>
              </w:rPr>
              <w:fldChar w:fldCharType="end"/>
            </w:r>
          </w:hyperlink>
        </w:p>
        <w:p w14:paraId="648C48F4" w14:textId="6FCFD476"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67" w:history="1">
            <w:r w:rsidRPr="00CA404E">
              <w:rPr>
                <w:rStyle w:val="Lienhypertexte"/>
                <w:noProof/>
                <w:lang w:eastAsia="fr-BE"/>
              </w:rPr>
              <w:t>2.1.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Beyond GDP indicators</w:t>
            </w:r>
            <w:r>
              <w:rPr>
                <w:noProof/>
                <w:webHidden/>
              </w:rPr>
              <w:tab/>
            </w:r>
            <w:r>
              <w:rPr>
                <w:noProof/>
                <w:webHidden/>
              </w:rPr>
              <w:fldChar w:fldCharType="begin"/>
            </w:r>
            <w:r>
              <w:rPr>
                <w:noProof/>
                <w:webHidden/>
              </w:rPr>
              <w:instrText xml:space="preserve"> PAGEREF _Toc51512267 \h </w:instrText>
            </w:r>
            <w:r>
              <w:rPr>
                <w:noProof/>
                <w:webHidden/>
              </w:rPr>
            </w:r>
            <w:r>
              <w:rPr>
                <w:noProof/>
                <w:webHidden/>
              </w:rPr>
              <w:fldChar w:fldCharType="separate"/>
            </w:r>
            <w:r w:rsidR="00BE4688">
              <w:rPr>
                <w:noProof/>
                <w:webHidden/>
              </w:rPr>
              <w:t>38</w:t>
            </w:r>
            <w:r>
              <w:rPr>
                <w:noProof/>
                <w:webHidden/>
              </w:rPr>
              <w:fldChar w:fldCharType="end"/>
            </w:r>
          </w:hyperlink>
        </w:p>
        <w:p w14:paraId="74D7B252" w14:textId="66AA503A"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68" w:history="1">
            <w:r w:rsidRPr="00CA404E">
              <w:rPr>
                <w:rStyle w:val="Lienhypertexte"/>
                <w:noProof/>
                <w:lang w:eastAsia="fr-BE"/>
              </w:rPr>
              <w:t>2.2.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Businesses’ social and environmental indicators</w:t>
            </w:r>
            <w:r>
              <w:rPr>
                <w:noProof/>
                <w:webHidden/>
              </w:rPr>
              <w:tab/>
            </w:r>
            <w:r>
              <w:rPr>
                <w:noProof/>
                <w:webHidden/>
              </w:rPr>
              <w:fldChar w:fldCharType="begin"/>
            </w:r>
            <w:r>
              <w:rPr>
                <w:noProof/>
                <w:webHidden/>
              </w:rPr>
              <w:instrText xml:space="preserve"> PAGEREF _Toc51512268 \h </w:instrText>
            </w:r>
            <w:r>
              <w:rPr>
                <w:noProof/>
                <w:webHidden/>
              </w:rPr>
            </w:r>
            <w:r>
              <w:rPr>
                <w:noProof/>
                <w:webHidden/>
              </w:rPr>
              <w:fldChar w:fldCharType="separate"/>
            </w:r>
            <w:r w:rsidR="00BE4688">
              <w:rPr>
                <w:noProof/>
                <w:webHidden/>
              </w:rPr>
              <w:t>39</w:t>
            </w:r>
            <w:r>
              <w:rPr>
                <w:noProof/>
                <w:webHidden/>
              </w:rPr>
              <w:fldChar w:fldCharType="end"/>
            </w:r>
          </w:hyperlink>
        </w:p>
        <w:p w14:paraId="11E0F365" w14:textId="2DFCC62C"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69" w:history="1">
            <w:r w:rsidRPr="00CA404E">
              <w:rPr>
                <w:rStyle w:val="Lienhypertexte"/>
                <w:noProof/>
                <w:lang w:val="en-US" w:eastAsia="fr-BE"/>
              </w:rPr>
              <w:t>3.</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The articulation between GDP and business level measures, today and in the past</w:t>
            </w:r>
            <w:r>
              <w:rPr>
                <w:noProof/>
                <w:webHidden/>
              </w:rPr>
              <w:tab/>
            </w:r>
            <w:r>
              <w:rPr>
                <w:noProof/>
                <w:webHidden/>
              </w:rPr>
              <w:fldChar w:fldCharType="begin"/>
            </w:r>
            <w:r>
              <w:rPr>
                <w:noProof/>
                <w:webHidden/>
              </w:rPr>
              <w:instrText xml:space="preserve"> PAGEREF _Toc51512269 \h </w:instrText>
            </w:r>
            <w:r>
              <w:rPr>
                <w:noProof/>
                <w:webHidden/>
              </w:rPr>
            </w:r>
            <w:r>
              <w:rPr>
                <w:noProof/>
                <w:webHidden/>
              </w:rPr>
              <w:fldChar w:fldCharType="separate"/>
            </w:r>
            <w:r w:rsidR="00BE4688">
              <w:rPr>
                <w:noProof/>
                <w:webHidden/>
              </w:rPr>
              <w:t>41</w:t>
            </w:r>
            <w:r>
              <w:rPr>
                <w:noProof/>
                <w:webHidden/>
              </w:rPr>
              <w:fldChar w:fldCharType="end"/>
            </w:r>
          </w:hyperlink>
        </w:p>
        <w:p w14:paraId="7DE62A0D" w14:textId="432D06ED"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0" w:history="1">
            <w:r w:rsidRPr="00CA404E">
              <w:rPr>
                <w:rStyle w:val="Lienhypertexte"/>
                <w:noProof/>
                <w:lang w:eastAsia="fr-BE"/>
              </w:rPr>
              <w:t>3.1.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The simultaneous emergence of GDP and business financial indicators</w:t>
            </w:r>
            <w:r>
              <w:rPr>
                <w:noProof/>
                <w:webHidden/>
              </w:rPr>
              <w:tab/>
            </w:r>
            <w:r>
              <w:rPr>
                <w:noProof/>
                <w:webHidden/>
              </w:rPr>
              <w:fldChar w:fldCharType="begin"/>
            </w:r>
            <w:r>
              <w:rPr>
                <w:noProof/>
                <w:webHidden/>
              </w:rPr>
              <w:instrText xml:space="preserve"> PAGEREF _Toc51512270 \h </w:instrText>
            </w:r>
            <w:r>
              <w:rPr>
                <w:noProof/>
                <w:webHidden/>
              </w:rPr>
            </w:r>
            <w:r>
              <w:rPr>
                <w:noProof/>
                <w:webHidden/>
              </w:rPr>
              <w:fldChar w:fldCharType="separate"/>
            </w:r>
            <w:r w:rsidR="00BE4688">
              <w:rPr>
                <w:noProof/>
                <w:webHidden/>
              </w:rPr>
              <w:t>42</w:t>
            </w:r>
            <w:r>
              <w:rPr>
                <w:noProof/>
                <w:webHidden/>
              </w:rPr>
              <w:fldChar w:fldCharType="end"/>
            </w:r>
          </w:hyperlink>
        </w:p>
        <w:p w14:paraId="01E8360E" w14:textId="1E7AF1D2"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1" w:history="1">
            <w:r w:rsidRPr="00CA404E">
              <w:rPr>
                <w:rStyle w:val="Lienhypertexte"/>
                <w:noProof/>
                <w:lang w:eastAsia="fr-BE"/>
              </w:rPr>
              <w:t>3.2.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The systemic consistency of GDP and business financial indicators</w:t>
            </w:r>
            <w:r>
              <w:rPr>
                <w:noProof/>
                <w:webHidden/>
              </w:rPr>
              <w:tab/>
            </w:r>
            <w:r>
              <w:rPr>
                <w:noProof/>
                <w:webHidden/>
              </w:rPr>
              <w:fldChar w:fldCharType="begin"/>
            </w:r>
            <w:r>
              <w:rPr>
                <w:noProof/>
                <w:webHidden/>
              </w:rPr>
              <w:instrText xml:space="preserve"> PAGEREF _Toc51512271 \h </w:instrText>
            </w:r>
            <w:r>
              <w:rPr>
                <w:noProof/>
                <w:webHidden/>
              </w:rPr>
            </w:r>
            <w:r>
              <w:rPr>
                <w:noProof/>
                <w:webHidden/>
              </w:rPr>
              <w:fldChar w:fldCharType="separate"/>
            </w:r>
            <w:r w:rsidR="00BE4688">
              <w:rPr>
                <w:noProof/>
                <w:webHidden/>
              </w:rPr>
              <w:t>43</w:t>
            </w:r>
            <w:r>
              <w:rPr>
                <w:noProof/>
                <w:webHidden/>
              </w:rPr>
              <w:fldChar w:fldCharType="end"/>
            </w:r>
          </w:hyperlink>
        </w:p>
        <w:p w14:paraId="446E57FB" w14:textId="0B8A57AE"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2" w:history="1">
            <w:r w:rsidRPr="00CA404E">
              <w:rPr>
                <w:rStyle w:val="Lienhypertexte"/>
                <w:noProof/>
                <w:lang w:eastAsia="fr-BE"/>
              </w:rPr>
              <w:t>3.3.</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Existing links between national and business accounts</w:t>
            </w:r>
            <w:r>
              <w:rPr>
                <w:noProof/>
                <w:webHidden/>
              </w:rPr>
              <w:tab/>
            </w:r>
            <w:r>
              <w:rPr>
                <w:noProof/>
                <w:webHidden/>
              </w:rPr>
              <w:fldChar w:fldCharType="begin"/>
            </w:r>
            <w:r>
              <w:rPr>
                <w:noProof/>
                <w:webHidden/>
              </w:rPr>
              <w:instrText xml:space="preserve"> PAGEREF _Toc51512272 \h </w:instrText>
            </w:r>
            <w:r>
              <w:rPr>
                <w:noProof/>
                <w:webHidden/>
              </w:rPr>
            </w:r>
            <w:r>
              <w:rPr>
                <w:noProof/>
                <w:webHidden/>
              </w:rPr>
              <w:fldChar w:fldCharType="separate"/>
            </w:r>
            <w:r w:rsidR="00BE4688">
              <w:rPr>
                <w:noProof/>
                <w:webHidden/>
              </w:rPr>
              <w:t>46</w:t>
            </w:r>
            <w:r>
              <w:rPr>
                <w:noProof/>
                <w:webHidden/>
              </w:rPr>
              <w:fldChar w:fldCharType="end"/>
            </w:r>
          </w:hyperlink>
        </w:p>
        <w:p w14:paraId="5832080F" w14:textId="52C58244"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73" w:history="1">
            <w:r w:rsidRPr="00CA404E">
              <w:rPr>
                <w:rStyle w:val="Lienhypertexte"/>
                <w:noProof/>
                <w:lang w:val="en-US" w:eastAsia="fr-BE"/>
              </w:rPr>
              <w:t>4.</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What is the articulation between Beyond GDP and businesses’ social and environmental indicators?</w:t>
            </w:r>
            <w:r>
              <w:rPr>
                <w:noProof/>
                <w:webHidden/>
              </w:rPr>
              <w:tab/>
            </w:r>
            <w:r>
              <w:rPr>
                <w:noProof/>
                <w:webHidden/>
              </w:rPr>
              <w:fldChar w:fldCharType="begin"/>
            </w:r>
            <w:r>
              <w:rPr>
                <w:noProof/>
                <w:webHidden/>
              </w:rPr>
              <w:instrText xml:space="preserve"> PAGEREF _Toc51512273 \h </w:instrText>
            </w:r>
            <w:r>
              <w:rPr>
                <w:noProof/>
                <w:webHidden/>
              </w:rPr>
            </w:r>
            <w:r>
              <w:rPr>
                <w:noProof/>
                <w:webHidden/>
              </w:rPr>
              <w:fldChar w:fldCharType="separate"/>
            </w:r>
            <w:r w:rsidR="00BE4688">
              <w:rPr>
                <w:noProof/>
                <w:webHidden/>
              </w:rPr>
              <w:t>51</w:t>
            </w:r>
            <w:r>
              <w:rPr>
                <w:noProof/>
                <w:webHidden/>
              </w:rPr>
              <w:fldChar w:fldCharType="end"/>
            </w:r>
          </w:hyperlink>
        </w:p>
        <w:p w14:paraId="126C0A0F" w14:textId="2BDB0538"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4" w:history="1">
            <w:r w:rsidRPr="00CA404E">
              <w:rPr>
                <w:rStyle w:val="Lienhypertexte"/>
                <w:noProof/>
                <w:lang w:eastAsia="fr-BE"/>
              </w:rPr>
              <w:t>4.1.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Gross National Happiness</w:t>
            </w:r>
            <w:r>
              <w:rPr>
                <w:noProof/>
                <w:webHidden/>
              </w:rPr>
              <w:tab/>
            </w:r>
            <w:r>
              <w:rPr>
                <w:noProof/>
                <w:webHidden/>
              </w:rPr>
              <w:fldChar w:fldCharType="begin"/>
            </w:r>
            <w:r>
              <w:rPr>
                <w:noProof/>
                <w:webHidden/>
              </w:rPr>
              <w:instrText xml:space="preserve"> PAGEREF _Toc51512274 \h </w:instrText>
            </w:r>
            <w:r>
              <w:rPr>
                <w:noProof/>
                <w:webHidden/>
              </w:rPr>
            </w:r>
            <w:r>
              <w:rPr>
                <w:noProof/>
                <w:webHidden/>
              </w:rPr>
              <w:fldChar w:fldCharType="separate"/>
            </w:r>
            <w:r w:rsidR="00BE4688">
              <w:rPr>
                <w:noProof/>
                <w:webHidden/>
              </w:rPr>
              <w:t>52</w:t>
            </w:r>
            <w:r>
              <w:rPr>
                <w:noProof/>
                <w:webHidden/>
              </w:rPr>
              <w:fldChar w:fldCharType="end"/>
            </w:r>
          </w:hyperlink>
        </w:p>
        <w:p w14:paraId="55CA966C" w14:textId="7345EB29"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5" w:history="1">
            <w:r w:rsidRPr="00CA404E">
              <w:rPr>
                <w:rStyle w:val="Lienhypertexte"/>
                <w:noProof/>
                <w:lang w:eastAsia="fr-BE"/>
              </w:rPr>
              <w:t>4.2.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Sustainable Development Goals</w:t>
            </w:r>
            <w:r>
              <w:rPr>
                <w:noProof/>
                <w:webHidden/>
              </w:rPr>
              <w:tab/>
            </w:r>
            <w:r>
              <w:rPr>
                <w:noProof/>
                <w:webHidden/>
              </w:rPr>
              <w:fldChar w:fldCharType="begin"/>
            </w:r>
            <w:r>
              <w:rPr>
                <w:noProof/>
                <w:webHidden/>
              </w:rPr>
              <w:instrText xml:space="preserve"> PAGEREF _Toc51512275 \h </w:instrText>
            </w:r>
            <w:r>
              <w:rPr>
                <w:noProof/>
                <w:webHidden/>
              </w:rPr>
            </w:r>
            <w:r>
              <w:rPr>
                <w:noProof/>
                <w:webHidden/>
              </w:rPr>
              <w:fldChar w:fldCharType="separate"/>
            </w:r>
            <w:r w:rsidR="00BE4688">
              <w:rPr>
                <w:noProof/>
                <w:webHidden/>
              </w:rPr>
              <w:t>56</w:t>
            </w:r>
            <w:r>
              <w:rPr>
                <w:noProof/>
                <w:webHidden/>
              </w:rPr>
              <w:fldChar w:fldCharType="end"/>
            </w:r>
          </w:hyperlink>
        </w:p>
        <w:p w14:paraId="57F9972F" w14:textId="3C88D49B"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76" w:history="1">
            <w:r w:rsidRPr="00CA404E">
              <w:rPr>
                <w:rStyle w:val="Lienhypertexte"/>
                <w:noProof/>
                <w:lang w:val="en-US" w:eastAsia="fr-BE"/>
              </w:rPr>
              <w:t>5.</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Theorising the articulation of a macro and a business indicator</w:t>
            </w:r>
            <w:r>
              <w:rPr>
                <w:noProof/>
                <w:webHidden/>
              </w:rPr>
              <w:tab/>
            </w:r>
            <w:r>
              <w:rPr>
                <w:noProof/>
                <w:webHidden/>
              </w:rPr>
              <w:fldChar w:fldCharType="begin"/>
            </w:r>
            <w:r>
              <w:rPr>
                <w:noProof/>
                <w:webHidden/>
              </w:rPr>
              <w:instrText xml:space="preserve"> PAGEREF _Toc51512276 \h </w:instrText>
            </w:r>
            <w:r>
              <w:rPr>
                <w:noProof/>
                <w:webHidden/>
              </w:rPr>
            </w:r>
            <w:r>
              <w:rPr>
                <w:noProof/>
                <w:webHidden/>
              </w:rPr>
              <w:fldChar w:fldCharType="separate"/>
            </w:r>
            <w:r w:rsidR="00BE4688">
              <w:rPr>
                <w:noProof/>
                <w:webHidden/>
              </w:rPr>
              <w:t>60</w:t>
            </w:r>
            <w:r>
              <w:rPr>
                <w:noProof/>
                <w:webHidden/>
              </w:rPr>
              <w:fldChar w:fldCharType="end"/>
            </w:r>
          </w:hyperlink>
        </w:p>
        <w:p w14:paraId="1D29B9C6" w14:textId="0BAD893F"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7" w:history="1">
            <w:r w:rsidRPr="00CA404E">
              <w:rPr>
                <w:rStyle w:val="Lienhypertexte"/>
                <w:noProof/>
                <w:lang w:eastAsia="fr-BE"/>
              </w:rPr>
              <w:t>5.1.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Two types of articulation between a macro and a business indicator</w:t>
            </w:r>
            <w:r>
              <w:rPr>
                <w:noProof/>
                <w:webHidden/>
              </w:rPr>
              <w:tab/>
            </w:r>
            <w:r>
              <w:rPr>
                <w:noProof/>
                <w:webHidden/>
              </w:rPr>
              <w:fldChar w:fldCharType="begin"/>
            </w:r>
            <w:r>
              <w:rPr>
                <w:noProof/>
                <w:webHidden/>
              </w:rPr>
              <w:instrText xml:space="preserve"> PAGEREF _Toc51512277 \h </w:instrText>
            </w:r>
            <w:r>
              <w:rPr>
                <w:noProof/>
                <w:webHidden/>
              </w:rPr>
            </w:r>
            <w:r>
              <w:rPr>
                <w:noProof/>
                <w:webHidden/>
              </w:rPr>
              <w:fldChar w:fldCharType="separate"/>
            </w:r>
            <w:r w:rsidR="00BE4688">
              <w:rPr>
                <w:noProof/>
                <w:webHidden/>
              </w:rPr>
              <w:t>60</w:t>
            </w:r>
            <w:r>
              <w:rPr>
                <w:noProof/>
                <w:webHidden/>
              </w:rPr>
              <w:fldChar w:fldCharType="end"/>
            </w:r>
          </w:hyperlink>
        </w:p>
        <w:p w14:paraId="64C89048" w14:textId="3AFA90EF"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8" w:history="1">
            <w:r w:rsidRPr="00CA404E">
              <w:rPr>
                <w:rStyle w:val="Lienhypertexte"/>
                <w:noProof/>
                <w:lang w:eastAsia="fr-BE"/>
              </w:rPr>
              <w:t>5.2.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Are there theoretical limits to the articulation of alternative indicators?</w:t>
            </w:r>
            <w:r>
              <w:rPr>
                <w:noProof/>
                <w:webHidden/>
              </w:rPr>
              <w:tab/>
            </w:r>
            <w:r>
              <w:rPr>
                <w:noProof/>
                <w:webHidden/>
              </w:rPr>
              <w:fldChar w:fldCharType="begin"/>
            </w:r>
            <w:r>
              <w:rPr>
                <w:noProof/>
                <w:webHidden/>
              </w:rPr>
              <w:instrText xml:space="preserve"> PAGEREF _Toc51512278 \h </w:instrText>
            </w:r>
            <w:r>
              <w:rPr>
                <w:noProof/>
                <w:webHidden/>
              </w:rPr>
            </w:r>
            <w:r>
              <w:rPr>
                <w:noProof/>
                <w:webHidden/>
              </w:rPr>
              <w:fldChar w:fldCharType="separate"/>
            </w:r>
            <w:r w:rsidR="00BE4688">
              <w:rPr>
                <w:noProof/>
                <w:webHidden/>
              </w:rPr>
              <w:t>61</w:t>
            </w:r>
            <w:r>
              <w:rPr>
                <w:noProof/>
                <w:webHidden/>
              </w:rPr>
              <w:fldChar w:fldCharType="end"/>
            </w:r>
          </w:hyperlink>
        </w:p>
        <w:p w14:paraId="7D541290" w14:textId="6E5211FD"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79" w:history="1">
            <w:r w:rsidRPr="00CA404E">
              <w:rPr>
                <w:rStyle w:val="Lienhypertexte"/>
                <w:noProof/>
                <w:lang w:eastAsia="fr-BE"/>
              </w:rPr>
              <w:t>5.3.</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Which variables to articulate on an accounting point of view?</w:t>
            </w:r>
            <w:r>
              <w:rPr>
                <w:noProof/>
                <w:webHidden/>
              </w:rPr>
              <w:tab/>
            </w:r>
            <w:r>
              <w:rPr>
                <w:noProof/>
                <w:webHidden/>
              </w:rPr>
              <w:fldChar w:fldCharType="begin"/>
            </w:r>
            <w:r>
              <w:rPr>
                <w:noProof/>
                <w:webHidden/>
              </w:rPr>
              <w:instrText xml:space="preserve"> PAGEREF _Toc51512279 \h </w:instrText>
            </w:r>
            <w:r>
              <w:rPr>
                <w:noProof/>
                <w:webHidden/>
              </w:rPr>
            </w:r>
            <w:r>
              <w:rPr>
                <w:noProof/>
                <w:webHidden/>
              </w:rPr>
              <w:fldChar w:fldCharType="separate"/>
            </w:r>
            <w:r w:rsidR="00BE4688">
              <w:rPr>
                <w:noProof/>
                <w:webHidden/>
              </w:rPr>
              <w:t>65</w:t>
            </w:r>
            <w:r>
              <w:rPr>
                <w:noProof/>
                <w:webHidden/>
              </w:rPr>
              <w:fldChar w:fldCharType="end"/>
            </w:r>
          </w:hyperlink>
        </w:p>
        <w:p w14:paraId="1D591A8C" w14:textId="6FAD20D4"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80" w:history="1">
            <w:r w:rsidRPr="00CA404E">
              <w:rPr>
                <w:rStyle w:val="Lienhypertexte"/>
                <w:noProof/>
                <w:lang w:val="en-US" w:eastAsia="fr-BE"/>
              </w:rPr>
              <w:t>6.</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Conclusion</w:t>
            </w:r>
            <w:r>
              <w:rPr>
                <w:noProof/>
                <w:webHidden/>
              </w:rPr>
              <w:tab/>
            </w:r>
            <w:r>
              <w:rPr>
                <w:noProof/>
                <w:webHidden/>
              </w:rPr>
              <w:fldChar w:fldCharType="begin"/>
            </w:r>
            <w:r>
              <w:rPr>
                <w:noProof/>
                <w:webHidden/>
              </w:rPr>
              <w:instrText xml:space="preserve"> PAGEREF _Toc51512280 \h </w:instrText>
            </w:r>
            <w:r>
              <w:rPr>
                <w:noProof/>
                <w:webHidden/>
              </w:rPr>
            </w:r>
            <w:r>
              <w:rPr>
                <w:noProof/>
                <w:webHidden/>
              </w:rPr>
              <w:fldChar w:fldCharType="separate"/>
            </w:r>
            <w:r w:rsidR="00BE4688">
              <w:rPr>
                <w:noProof/>
                <w:webHidden/>
              </w:rPr>
              <w:t>68</w:t>
            </w:r>
            <w:r>
              <w:rPr>
                <w:noProof/>
                <w:webHidden/>
              </w:rPr>
              <w:fldChar w:fldCharType="end"/>
            </w:r>
          </w:hyperlink>
        </w:p>
        <w:p w14:paraId="7E5C26A0" w14:textId="7CCC2231" w:rsidR="0000351E" w:rsidRDefault="0000351E">
          <w:pPr>
            <w:pStyle w:val="TM2"/>
            <w:tabs>
              <w:tab w:val="right" w:leader="dot" w:pos="7360"/>
            </w:tabs>
            <w:rPr>
              <w:rFonts w:asciiTheme="minorHAnsi" w:eastAsiaTheme="minorEastAsia" w:hAnsiTheme="minorHAnsi" w:cstheme="minorBidi"/>
              <w:smallCaps w:val="0"/>
              <w:noProof/>
              <w:szCs w:val="22"/>
              <w:lang w:val="fr-BE" w:eastAsia="fr-BE"/>
            </w:rPr>
          </w:pPr>
          <w:hyperlink w:anchor="_Toc51512281" w:history="1">
            <w:r w:rsidRPr="00CA404E">
              <w:rPr>
                <w:rStyle w:val="Lienhypertexte"/>
                <w:noProof/>
                <w:lang w:val="en-US" w:eastAsia="fr-BE"/>
              </w:rPr>
              <w:t>References</w:t>
            </w:r>
            <w:r>
              <w:rPr>
                <w:noProof/>
                <w:webHidden/>
              </w:rPr>
              <w:tab/>
            </w:r>
            <w:r>
              <w:rPr>
                <w:noProof/>
                <w:webHidden/>
              </w:rPr>
              <w:fldChar w:fldCharType="begin"/>
            </w:r>
            <w:r>
              <w:rPr>
                <w:noProof/>
                <w:webHidden/>
              </w:rPr>
              <w:instrText xml:space="preserve"> PAGEREF _Toc51512281 \h </w:instrText>
            </w:r>
            <w:r>
              <w:rPr>
                <w:noProof/>
                <w:webHidden/>
              </w:rPr>
            </w:r>
            <w:r>
              <w:rPr>
                <w:noProof/>
                <w:webHidden/>
              </w:rPr>
              <w:fldChar w:fldCharType="separate"/>
            </w:r>
            <w:r w:rsidR="00BE4688">
              <w:rPr>
                <w:noProof/>
                <w:webHidden/>
              </w:rPr>
              <w:t>71</w:t>
            </w:r>
            <w:r>
              <w:rPr>
                <w:noProof/>
                <w:webHidden/>
              </w:rPr>
              <w:fldChar w:fldCharType="end"/>
            </w:r>
          </w:hyperlink>
        </w:p>
        <w:p w14:paraId="3042CA0D" w14:textId="04BF4F40"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282" w:history="1">
            <w:r w:rsidRPr="00CA404E">
              <w:rPr>
                <w:rStyle w:val="Lienhypertexte"/>
                <w:noProof/>
                <w:lang w:eastAsia="fr-BE"/>
              </w:rPr>
              <w:t>Paper 2: Improving government and business coordination through the use of consistent SDGs indicators.</w:t>
            </w:r>
            <w:r>
              <w:rPr>
                <w:noProof/>
                <w:webHidden/>
              </w:rPr>
              <w:tab/>
            </w:r>
            <w:r>
              <w:rPr>
                <w:noProof/>
                <w:webHidden/>
              </w:rPr>
              <w:fldChar w:fldCharType="begin"/>
            </w:r>
            <w:r>
              <w:rPr>
                <w:noProof/>
                <w:webHidden/>
              </w:rPr>
              <w:instrText xml:space="preserve"> PAGEREF _Toc51512282 \h </w:instrText>
            </w:r>
            <w:r>
              <w:rPr>
                <w:noProof/>
                <w:webHidden/>
              </w:rPr>
            </w:r>
            <w:r>
              <w:rPr>
                <w:noProof/>
                <w:webHidden/>
              </w:rPr>
              <w:fldChar w:fldCharType="separate"/>
            </w:r>
            <w:r w:rsidR="00BE4688">
              <w:rPr>
                <w:noProof/>
                <w:webHidden/>
              </w:rPr>
              <w:t>79</w:t>
            </w:r>
            <w:r>
              <w:rPr>
                <w:noProof/>
                <w:webHidden/>
              </w:rPr>
              <w:fldChar w:fldCharType="end"/>
            </w:r>
          </w:hyperlink>
        </w:p>
        <w:p w14:paraId="0D4E2D5E" w14:textId="2AEDACEC"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83" w:history="1">
            <w:r w:rsidRPr="00CA404E">
              <w:rPr>
                <w:rStyle w:val="Lienhypertexte"/>
                <w:noProof/>
                <w:lang w:val="en-US" w:eastAsia="fr-BE"/>
              </w:rPr>
              <w:t>1.</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Introduction</w:t>
            </w:r>
            <w:r>
              <w:rPr>
                <w:noProof/>
                <w:webHidden/>
              </w:rPr>
              <w:tab/>
            </w:r>
            <w:r>
              <w:rPr>
                <w:noProof/>
                <w:webHidden/>
              </w:rPr>
              <w:fldChar w:fldCharType="begin"/>
            </w:r>
            <w:r>
              <w:rPr>
                <w:noProof/>
                <w:webHidden/>
              </w:rPr>
              <w:instrText xml:space="preserve"> PAGEREF _Toc51512283 \h </w:instrText>
            </w:r>
            <w:r>
              <w:rPr>
                <w:noProof/>
                <w:webHidden/>
              </w:rPr>
            </w:r>
            <w:r>
              <w:rPr>
                <w:noProof/>
                <w:webHidden/>
              </w:rPr>
              <w:fldChar w:fldCharType="separate"/>
            </w:r>
            <w:r w:rsidR="00BE4688">
              <w:rPr>
                <w:noProof/>
                <w:webHidden/>
              </w:rPr>
              <w:t>80</w:t>
            </w:r>
            <w:r>
              <w:rPr>
                <w:noProof/>
                <w:webHidden/>
              </w:rPr>
              <w:fldChar w:fldCharType="end"/>
            </w:r>
          </w:hyperlink>
        </w:p>
        <w:p w14:paraId="0B2F1E0F" w14:textId="23F8C51F"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84" w:history="1">
            <w:r w:rsidRPr="00CA404E">
              <w:rPr>
                <w:rStyle w:val="Lienhypertexte"/>
                <w:noProof/>
                <w:lang w:val="en-US" w:eastAsia="fr-BE"/>
              </w:rPr>
              <w:t>2.</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Literature review</w:t>
            </w:r>
            <w:r>
              <w:rPr>
                <w:noProof/>
                <w:webHidden/>
              </w:rPr>
              <w:tab/>
            </w:r>
            <w:r>
              <w:rPr>
                <w:noProof/>
                <w:webHidden/>
              </w:rPr>
              <w:fldChar w:fldCharType="begin"/>
            </w:r>
            <w:r>
              <w:rPr>
                <w:noProof/>
                <w:webHidden/>
              </w:rPr>
              <w:instrText xml:space="preserve"> PAGEREF _Toc51512284 \h </w:instrText>
            </w:r>
            <w:r>
              <w:rPr>
                <w:noProof/>
                <w:webHidden/>
              </w:rPr>
            </w:r>
            <w:r>
              <w:rPr>
                <w:noProof/>
                <w:webHidden/>
              </w:rPr>
              <w:fldChar w:fldCharType="separate"/>
            </w:r>
            <w:r w:rsidR="00BE4688">
              <w:rPr>
                <w:noProof/>
                <w:webHidden/>
              </w:rPr>
              <w:t>83</w:t>
            </w:r>
            <w:r>
              <w:rPr>
                <w:noProof/>
                <w:webHidden/>
              </w:rPr>
              <w:fldChar w:fldCharType="end"/>
            </w:r>
          </w:hyperlink>
        </w:p>
        <w:p w14:paraId="29A0CDB0" w14:textId="67523D6F"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85" w:history="1">
            <w:r w:rsidRPr="00CA404E">
              <w:rPr>
                <w:rStyle w:val="Lienhypertexte"/>
                <w:noProof/>
                <w:lang w:val="en-US" w:eastAsia="fr-BE"/>
              </w:rPr>
              <w:t>2.1.</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Critique of SDGs</w:t>
            </w:r>
            <w:r>
              <w:rPr>
                <w:noProof/>
                <w:webHidden/>
              </w:rPr>
              <w:tab/>
            </w:r>
            <w:r>
              <w:rPr>
                <w:noProof/>
                <w:webHidden/>
              </w:rPr>
              <w:fldChar w:fldCharType="begin"/>
            </w:r>
            <w:r>
              <w:rPr>
                <w:noProof/>
                <w:webHidden/>
              </w:rPr>
              <w:instrText xml:space="preserve"> PAGEREF _Toc51512285 \h </w:instrText>
            </w:r>
            <w:r>
              <w:rPr>
                <w:noProof/>
                <w:webHidden/>
              </w:rPr>
            </w:r>
            <w:r>
              <w:rPr>
                <w:noProof/>
                <w:webHidden/>
              </w:rPr>
              <w:fldChar w:fldCharType="separate"/>
            </w:r>
            <w:r w:rsidR="00BE4688">
              <w:rPr>
                <w:noProof/>
                <w:webHidden/>
              </w:rPr>
              <w:t>83</w:t>
            </w:r>
            <w:r>
              <w:rPr>
                <w:noProof/>
                <w:webHidden/>
              </w:rPr>
              <w:fldChar w:fldCharType="end"/>
            </w:r>
          </w:hyperlink>
        </w:p>
        <w:p w14:paraId="18FFA12C" w14:textId="2F6746F3"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86" w:history="1">
            <w:r w:rsidRPr="00CA404E">
              <w:rPr>
                <w:rStyle w:val="Lienhypertexte"/>
                <w:noProof/>
                <w:lang w:val="en-US" w:eastAsia="fr-BE"/>
              </w:rPr>
              <w:t>2.2.</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SDGs at the macro level</w:t>
            </w:r>
            <w:r>
              <w:rPr>
                <w:noProof/>
                <w:webHidden/>
              </w:rPr>
              <w:tab/>
            </w:r>
            <w:r>
              <w:rPr>
                <w:noProof/>
                <w:webHidden/>
              </w:rPr>
              <w:fldChar w:fldCharType="begin"/>
            </w:r>
            <w:r>
              <w:rPr>
                <w:noProof/>
                <w:webHidden/>
              </w:rPr>
              <w:instrText xml:space="preserve"> PAGEREF _Toc51512286 \h </w:instrText>
            </w:r>
            <w:r>
              <w:rPr>
                <w:noProof/>
                <w:webHidden/>
              </w:rPr>
            </w:r>
            <w:r>
              <w:rPr>
                <w:noProof/>
                <w:webHidden/>
              </w:rPr>
              <w:fldChar w:fldCharType="separate"/>
            </w:r>
            <w:r w:rsidR="00BE4688">
              <w:rPr>
                <w:noProof/>
                <w:webHidden/>
              </w:rPr>
              <w:t>84</w:t>
            </w:r>
            <w:r>
              <w:rPr>
                <w:noProof/>
                <w:webHidden/>
              </w:rPr>
              <w:fldChar w:fldCharType="end"/>
            </w:r>
          </w:hyperlink>
        </w:p>
        <w:p w14:paraId="21D6CC5C" w14:textId="7827305E"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87" w:history="1">
            <w:r w:rsidRPr="00CA404E">
              <w:rPr>
                <w:rStyle w:val="Lienhypertexte"/>
                <w:noProof/>
                <w:lang w:val="en-US" w:eastAsia="fr-BE"/>
              </w:rPr>
              <w:t>2.3.</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SDGs at the business level</w:t>
            </w:r>
            <w:r>
              <w:rPr>
                <w:noProof/>
                <w:webHidden/>
              </w:rPr>
              <w:tab/>
            </w:r>
            <w:r>
              <w:rPr>
                <w:noProof/>
                <w:webHidden/>
              </w:rPr>
              <w:fldChar w:fldCharType="begin"/>
            </w:r>
            <w:r>
              <w:rPr>
                <w:noProof/>
                <w:webHidden/>
              </w:rPr>
              <w:instrText xml:space="preserve"> PAGEREF _Toc51512287 \h </w:instrText>
            </w:r>
            <w:r>
              <w:rPr>
                <w:noProof/>
                <w:webHidden/>
              </w:rPr>
            </w:r>
            <w:r>
              <w:rPr>
                <w:noProof/>
                <w:webHidden/>
              </w:rPr>
              <w:fldChar w:fldCharType="separate"/>
            </w:r>
            <w:r w:rsidR="00BE4688">
              <w:rPr>
                <w:noProof/>
                <w:webHidden/>
              </w:rPr>
              <w:t>86</w:t>
            </w:r>
            <w:r>
              <w:rPr>
                <w:noProof/>
                <w:webHidden/>
              </w:rPr>
              <w:fldChar w:fldCharType="end"/>
            </w:r>
          </w:hyperlink>
        </w:p>
        <w:p w14:paraId="486AA1D0" w14:textId="0C8CD1EA"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88" w:history="1">
            <w:r w:rsidRPr="00CA404E">
              <w:rPr>
                <w:rStyle w:val="Lienhypertexte"/>
                <w:noProof/>
                <w:lang w:val="en-US" w:eastAsia="fr-BE"/>
              </w:rPr>
              <w:t>3.</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Methodology</w:t>
            </w:r>
            <w:r>
              <w:rPr>
                <w:noProof/>
                <w:webHidden/>
              </w:rPr>
              <w:tab/>
            </w:r>
            <w:r>
              <w:rPr>
                <w:noProof/>
                <w:webHidden/>
              </w:rPr>
              <w:fldChar w:fldCharType="begin"/>
            </w:r>
            <w:r>
              <w:rPr>
                <w:noProof/>
                <w:webHidden/>
              </w:rPr>
              <w:instrText xml:space="preserve"> PAGEREF _Toc51512288 \h </w:instrText>
            </w:r>
            <w:r>
              <w:rPr>
                <w:noProof/>
                <w:webHidden/>
              </w:rPr>
            </w:r>
            <w:r>
              <w:rPr>
                <w:noProof/>
                <w:webHidden/>
              </w:rPr>
              <w:fldChar w:fldCharType="separate"/>
            </w:r>
            <w:r w:rsidR="00BE4688">
              <w:rPr>
                <w:noProof/>
                <w:webHidden/>
              </w:rPr>
              <w:t>90</w:t>
            </w:r>
            <w:r>
              <w:rPr>
                <w:noProof/>
                <w:webHidden/>
              </w:rPr>
              <w:fldChar w:fldCharType="end"/>
            </w:r>
          </w:hyperlink>
        </w:p>
        <w:p w14:paraId="3DCE91D6" w14:textId="52719397"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89" w:history="1">
            <w:r w:rsidRPr="00CA404E">
              <w:rPr>
                <w:rStyle w:val="Lienhypertexte"/>
                <w:noProof/>
                <w:lang w:val="en-US" w:eastAsia="fr-BE"/>
              </w:rPr>
              <w:t>3.1.</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Data selection</w:t>
            </w:r>
            <w:r>
              <w:rPr>
                <w:noProof/>
                <w:webHidden/>
              </w:rPr>
              <w:tab/>
            </w:r>
            <w:r>
              <w:rPr>
                <w:noProof/>
                <w:webHidden/>
              </w:rPr>
              <w:fldChar w:fldCharType="begin"/>
            </w:r>
            <w:r>
              <w:rPr>
                <w:noProof/>
                <w:webHidden/>
              </w:rPr>
              <w:instrText xml:space="preserve"> PAGEREF _Toc51512289 \h </w:instrText>
            </w:r>
            <w:r>
              <w:rPr>
                <w:noProof/>
                <w:webHidden/>
              </w:rPr>
            </w:r>
            <w:r>
              <w:rPr>
                <w:noProof/>
                <w:webHidden/>
              </w:rPr>
              <w:fldChar w:fldCharType="separate"/>
            </w:r>
            <w:r w:rsidR="00BE4688">
              <w:rPr>
                <w:noProof/>
                <w:webHidden/>
              </w:rPr>
              <w:t>90</w:t>
            </w:r>
            <w:r>
              <w:rPr>
                <w:noProof/>
                <w:webHidden/>
              </w:rPr>
              <w:fldChar w:fldCharType="end"/>
            </w:r>
          </w:hyperlink>
        </w:p>
        <w:p w14:paraId="38BDA073" w14:textId="7C2AE339"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90" w:history="1">
            <w:r w:rsidRPr="00CA404E">
              <w:rPr>
                <w:rStyle w:val="Lienhypertexte"/>
                <w:noProof/>
                <w:lang w:val="en-US" w:eastAsia="fr-BE"/>
              </w:rPr>
              <w:t>3.2.</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Data treatment and standardization</w:t>
            </w:r>
            <w:r>
              <w:rPr>
                <w:noProof/>
                <w:webHidden/>
              </w:rPr>
              <w:tab/>
            </w:r>
            <w:r>
              <w:rPr>
                <w:noProof/>
                <w:webHidden/>
              </w:rPr>
              <w:fldChar w:fldCharType="begin"/>
            </w:r>
            <w:r>
              <w:rPr>
                <w:noProof/>
                <w:webHidden/>
              </w:rPr>
              <w:instrText xml:space="preserve"> PAGEREF _Toc51512290 \h </w:instrText>
            </w:r>
            <w:r>
              <w:rPr>
                <w:noProof/>
                <w:webHidden/>
              </w:rPr>
            </w:r>
            <w:r>
              <w:rPr>
                <w:noProof/>
                <w:webHidden/>
              </w:rPr>
              <w:fldChar w:fldCharType="separate"/>
            </w:r>
            <w:r w:rsidR="00BE4688">
              <w:rPr>
                <w:noProof/>
                <w:webHidden/>
              </w:rPr>
              <w:t>92</w:t>
            </w:r>
            <w:r>
              <w:rPr>
                <w:noProof/>
                <w:webHidden/>
              </w:rPr>
              <w:fldChar w:fldCharType="end"/>
            </w:r>
          </w:hyperlink>
        </w:p>
        <w:p w14:paraId="5DC13038" w14:textId="261E97B6"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91" w:history="1">
            <w:r w:rsidRPr="00CA404E">
              <w:rPr>
                <w:rStyle w:val="Lienhypertexte"/>
                <w:noProof/>
                <w:lang w:val="en-US" w:eastAsia="fr-BE"/>
              </w:rPr>
              <w:t>4.</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Analyzing the consistency of national and businesses’ sustainability indicators</w:t>
            </w:r>
            <w:r>
              <w:rPr>
                <w:noProof/>
                <w:webHidden/>
              </w:rPr>
              <w:tab/>
            </w:r>
            <w:r>
              <w:rPr>
                <w:noProof/>
                <w:webHidden/>
              </w:rPr>
              <w:fldChar w:fldCharType="begin"/>
            </w:r>
            <w:r>
              <w:rPr>
                <w:noProof/>
                <w:webHidden/>
              </w:rPr>
              <w:instrText xml:space="preserve"> PAGEREF _Toc51512291 \h </w:instrText>
            </w:r>
            <w:r>
              <w:rPr>
                <w:noProof/>
                <w:webHidden/>
              </w:rPr>
            </w:r>
            <w:r>
              <w:rPr>
                <w:noProof/>
                <w:webHidden/>
              </w:rPr>
              <w:fldChar w:fldCharType="separate"/>
            </w:r>
            <w:r w:rsidR="00BE4688">
              <w:rPr>
                <w:noProof/>
                <w:webHidden/>
              </w:rPr>
              <w:t>94</w:t>
            </w:r>
            <w:r>
              <w:rPr>
                <w:noProof/>
                <w:webHidden/>
              </w:rPr>
              <w:fldChar w:fldCharType="end"/>
            </w:r>
          </w:hyperlink>
        </w:p>
        <w:p w14:paraId="5763C961" w14:textId="1574AD81"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92" w:history="1">
            <w:r w:rsidRPr="00CA404E">
              <w:rPr>
                <w:rStyle w:val="Lienhypertexte"/>
                <w:noProof/>
                <w:lang w:val="en-US" w:eastAsia="fr-BE"/>
              </w:rPr>
              <w:t>4.1.</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RQ1: Do business and national level sustainability indicators measure similar SDGs issues?</w:t>
            </w:r>
            <w:r>
              <w:rPr>
                <w:noProof/>
                <w:webHidden/>
              </w:rPr>
              <w:tab/>
            </w:r>
            <w:r>
              <w:rPr>
                <w:noProof/>
                <w:webHidden/>
              </w:rPr>
              <w:fldChar w:fldCharType="begin"/>
            </w:r>
            <w:r>
              <w:rPr>
                <w:noProof/>
                <w:webHidden/>
              </w:rPr>
              <w:instrText xml:space="preserve"> PAGEREF _Toc51512292 \h </w:instrText>
            </w:r>
            <w:r>
              <w:rPr>
                <w:noProof/>
                <w:webHidden/>
              </w:rPr>
            </w:r>
            <w:r>
              <w:rPr>
                <w:noProof/>
                <w:webHidden/>
              </w:rPr>
              <w:fldChar w:fldCharType="separate"/>
            </w:r>
            <w:r w:rsidR="00BE4688">
              <w:rPr>
                <w:noProof/>
                <w:webHidden/>
              </w:rPr>
              <w:t>95</w:t>
            </w:r>
            <w:r>
              <w:rPr>
                <w:noProof/>
                <w:webHidden/>
              </w:rPr>
              <w:fldChar w:fldCharType="end"/>
            </w:r>
          </w:hyperlink>
        </w:p>
        <w:p w14:paraId="2A3183CD" w14:textId="47724A92"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93" w:history="1">
            <w:r w:rsidRPr="00CA404E">
              <w:rPr>
                <w:rStyle w:val="Lienhypertexte"/>
                <w:noProof/>
                <w:lang w:val="en-US" w:eastAsia="fr-BE"/>
              </w:rPr>
              <w:t>4.2.</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RQ2: Are business and macro level priorities consistent with the performance of one another?</w:t>
            </w:r>
            <w:r>
              <w:rPr>
                <w:noProof/>
                <w:webHidden/>
              </w:rPr>
              <w:tab/>
            </w:r>
            <w:r>
              <w:rPr>
                <w:noProof/>
                <w:webHidden/>
              </w:rPr>
              <w:fldChar w:fldCharType="begin"/>
            </w:r>
            <w:r>
              <w:rPr>
                <w:noProof/>
                <w:webHidden/>
              </w:rPr>
              <w:instrText xml:space="preserve"> PAGEREF _Toc51512293 \h </w:instrText>
            </w:r>
            <w:r>
              <w:rPr>
                <w:noProof/>
                <w:webHidden/>
              </w:rPr>
            </w:r>
            <w:r>
              <w:rPr>
                <w:noProof/>
                <w:webHidden/>
              </w:rPr>
              <w:fldChar w:fldCharType="separate"/>
            </w:r>
            <w:r w:rsidR="00BE4688">
              <w:rPr>
                <w:noProof/>
                <w:webHidden/>
              </w:rPr>
              <w:t>98</w:t>
            </w:r>
            <w:r>
              <w:rPr>
                <w:noProof/>
                <w:webHidden/>
              </w:rPr>
              <w:fldChar w:fldCharType="end"/>
            </w:r>
          </w:hyperlink>
        </w:p>
        <w:p w14:paraId="489A2916" w14:textId="4B7BCFCB"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94" w:history="1">
            <w:r w:rsidRPr="00CA404E">
              <w:rPr>
                <w:rStyle w:val="Lienhypertexte"/>
                <w:noProof/>
                <w:lang w:val="en-US" w:eastAsia="fr-BE"/>
              </w:rPr>
              <w:t>5.</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Analyzing the consistency of national and businesses’ sustainability targets</w:t>
            </w:r>
            <w:r>
              <w:rPr>
                <w:noProof/>
                <w:webHidden/>
              </w:rPr>
              <w:tab/>
            </w:r>
            <w:r>
              <w:rPr>
                <w:noProof/>
                <w:webHidden/>
              </w:rPr>
              <w:fldChar w:fldCharType="begin"/>
            </w:r>
            <w:r>
              <w:rPr>
                <w:noProof/>
                <w:webHidden/>
              </w:rPr>
              <w:instrText xml:space="preserve"> PAGEREF _Toc51512294 \h </w:instrText>
            </w:r>
            <w:r>
              <w:rPr>
                <w:noProof/>
                <w:webHidden/>
              </w:rPr>
            </w:r>
            <w:r>
              <w:rPr>
                <w:noProof/>
                <w:webHidden/>
              </w:rPr>
              <w:fldChar w:fldCharType="separate"/>
            </w:r>
            <w:r w:rsidR="00BE4688">
              <w:rPr>
                <w:noProof/>
                <w:webHidden/>
              </w:rPr>
              <w:t>101</w:t>
            </w:r>
            <w:r>
              <w:rPr>
                <w:noProof/>
                <w:webHidden/>
              </w:rPr>
              <w:fldChar w:fldCharType="end"/>
            </w:r>
          </w:hyperlink>
        </w:p>
        <w:p w14:paraId="5D27141F" w14:textId="02922AA2"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95" w:history="1">
            <w:r w:rsidRPr="00CA404E">
              <w:rPr>
                <w:rStyle w:val="Lienhypertexte"/>
                <w:noProof/>
                <w:lang w:val="en-US" w:eastAsia="fr-BE"/>
              </w:rPr>
              <w:t>5.1.</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RQ3: Which sustainability indicators are accompanied by targets at both the national and business levels?</w:t>
            </w:r>
            <w:r>
              <w:rPr>
                <w:noProof/>
                <w:webHidden/>
              </w:rPr>
              <w:tab/>
            </w:r>
            <w:r>
              <w:rPr>
                <w:noProof/>
                <w:webHidden/>
              </w:rPr>
              <w:fldChar w:fldCharType="begin"/>
            </w:r>
            <w:r>
              <w:rPr>
                <w:noProof/>
                <w:webHidden/>
              </w:rPr>
              <w:instrText xml:space="preserve"> PAGEREF _Toc51512295 \h </w:instrText>
            </w:r>
            <w:r>
              <w:rPr>
                <w:noProof/>
                <w:webHidden/>
              </w:rPr>
            </w:r>
            <w:r>
              <w:rPr>
                <w:noProof/>
                <w:webHidden/>
              </w:rPr>
              <w:fldChar w:fldCharType="separate"/>
            </w:r>
            <w:r w:rsidR="00BE4688">
              <w:rPr>
                <w:noProof/>
                <w:webHidden/>
              </w:rPr>
              <w:t>101</w:t>
            </w:r>
            <w:r>
              <w:rPr>
                <w:noProof/>
                <w:webHidden/>
              </w:rPr>
              <w:fldChar w:fldCharType="end"/>
            </w:r>
          </w:hyperlink>
        </w:p>
        <w:p w14:paraId="3F3BCF04" w14:textId="3A7A1C65"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296" w:history="1">
            <w:r w:rsidRPr="00CA404E">
              <w:rPr>
                <w:rStyle w:val="Lienhypertexte"/>
                <w:noProof/>
                <w:lang w:val="en-US" w:eastAsia="fr-BE"/>
              </w:rPr>
              <w:t>5.2.</w:t>
            </w:r>
            <w:r>
              <w:rPr>
                <w:rFonts w:asciiTheme="minorHAnsi" w:eastAsiaTheme="minorEastAsia" w:hAnsiTheme="minorHAnsi" w:cstheme="minorBidi"/>
                <w:i w:val="0"/>
                <w:iCs w:val="0"/>
                <w:noProof/>
                <w:szCs w:val="22"/>
                <w:lang w:val="fr-BE" w:eastAsia="fr-BE"/>
              </w:rPr>
              <w:tab/>
            </w:r>
            <w:r w:rsidRPr="00CA404E">
              <w:rPr>
                <w:rStyle w:val="Lienhypertexte"/>
                <w:noProof/>
                <w:lang w:val="en-US" w:eastAsia="fr-BE"/>
              </w:rPr>
              <w:t>RQ4: Are greenhouse gas emissions (GHG) targets consistent between the business and national levels?</w:t>
            </w:r>
            <w:r>
              <w:rPr>
                <w:noProof/>
                <w:webHidden/>
              </w:rPr>
              <w:tab/>
            </w:r>
            <w:r>
              <w:rPr>
                <w:noProof/>
                <w:webHidden/>
              </w:rPr>
              <w:fldChar w:fldCharType="begin"/>
            </w:r>
            <w:r>
              <w:rPr>
                <w:noProof/>
                <w:webHidden/>
              </w:rPr>
              <w:instrText xml:space="preserve"> PAGEREF _Toc51512296 \h </w:instrText>
            </w:r>
            <w:r>
              <w:rPr>
                <w:noProof/>
                <w:webHidden/>
              </w:rPr>
            </w:r>
            <w:r>
              <w:rPr>
                <w:noProof/>
                <w:webHidden/>
              </w:rPr>
              <w:fldChar w:fldCharType="separate"/>
            </w:r>
            <w:r w:rsidR="00BE4688">
              <w:rPr>
                <w:noProof/>
                <w:webHidden/>
              </w:rPr>
              <w:t>104</w:t>
            </w:r>
            <w:r>
              <w:rPr>
                <w:noProof/>
                <w:webHidden/>
              </w:rPr>
              <w:fldChar w:fldCharType="end"/>
            </w:r>
          </w:hyperlink>
        </w:p>
        <w:p w14:paraId="7481998D" w14:textId="0F3A26DA"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297" w:history="1">
            <w:r w:rsidRPr="00CA404E">
              <w:rPr>
                <w:rStyle w:val="Lienhypertexte"/>
                <w:noProof/>
                <w:lang w:val="en-US" w:eastAsia="fr-BE"/>
              </w:rPr>
              <w:t>6.</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Discussion and conclusion</w:t>
            </w:r>
            <w:r>
              <w:rPr>
                <w:noProof/>
                <w:webHidden/>
              </w:rPr>
              <w:tab/>
            </w:r>
            <w:r>
              <w:rPr>
                <w:noProof/>
                <w:webHidden/>
              </w:rPr>
              <w:fldChar w:fldCharType="begin"/>
            </w:r>
            <w:r>
              <w:rPr>
                <w:noProof/>
                <w:webHidden/>
              </w:rPr>
              <w:instrText xml:space="preserve"> PAGEREF _Toc51512297 \h </w:instrText>
            </w:r>
            <w:r>
              <w:rPr>
                <w:noProof/>
                <w:webHidden/>
              </w:rPr>
            </w:r>
            <w:r>
              <w:rPr>
                <w:noProof/>
                <w:webHidden/>
              </w:rPr>
              <w:fldChar w:fldCharType="separate"/>
            </w:r>
            <w:r w:rsidR="00BE4688">
              <w:rPr>
                <w:noProof/>
                <w:webHidden/>
              </w:rPr>
              <w:t>109</w:t>
            </w:r>
            <w:r>
              <w:rPr>
                <w:noProof/>
                <w:webHidden/>
              </w:rPr>
              <w:fldChar w:fldCharType="end"/>
            </w:r>
          </w:hyperlink>
        </w:p>
        <w:p w14:paraId="2AECB2E8" w14:textId="71F2A3AC" w:rsidR="0000351E" w:rsidRDefault="0000351E">
          <w:pPr>
            <w:pStyle w:val="TM2"/>
            <w:tabs>
              <w:tab w:val="right" w:leader="dot" w:pos="7360"/>
            </w:tabs>
            <w:rPr>
              <w:rFonts w:asciiTheme="minorHAnsi" w:eastAsiaTheme="minorEastAsia" w:hAnsiTheme="minorHAnsi" w:cstheme="minorBidi"/>
              <w:smallCaps w:val="0"/>
              <w:noProof/>
              <w:szCs w:val="22"/>
              <w:lang w:val="fr-BE" w:eastAsia="fr-BE"/>
            </w:rPr>
          </w:pPr>
          <w:hyperlink w:anchor="_Toc51512298" w:history="1">
            <w:r w:rsidRPr="00CA404E">
              <w:rPr>
                <w:rStyle w:val="Lienhypertexte"/>
                <w:noProof/>
                <w:lang w:val="en-US" w:eastAsia="fr-BE"/>
              </w:rPr>
              <w:t>References</w:t>
            </w:r>
            <w:r>
              <w:rPr>
                <w:noProof/>
                <w:webHidden/>
              </w:rPr>
              <w:tab/>
            </w:r>
            <w:r>
              <w:rPr>
                <w:noProof/>
                <w:webHidden/>
              </w:rPr>
              <w:fldChar w:fldCharType="begin"/>
            </w:r>
            <w:r>
              <w:rPr>
                <w:noProof/>
                <w:webHidden/>
              </w:rPr>
              <w:instrText xml:space="preserve"> PAGEREF _Toc51512298 \h </w:instrText>
            </w:r>
            <w:r>
              <w:rPr>
                <w:noProof/>
                <w:webHidden/>
              </w:rPr>
            </w:r>
            <w:r>
              <w:rPr>
                <w:noProof/>
                <w:webHidden/>
              </w:rPr>
              <w:fldChar w:fldCharType="separate"/>
            </w:r>
            <w:r w:rsidR="00BE4688">
              <w:rPr>
                <w:noProof/>
                <w:webHidden/>
              </w:rPr>
              <w:t>111</w:t>
            </w:r>
            <w:r>
              <w:rPr>
                <w:noProof/>
                <w:webHidden/>
              </w:rPr>
              <w:fldChar w:fldCharType="end"/>
            </w:r>
          </w:hyperlink>
        </w:p>
        <w:p w14:paraId="55982B59" w14:textId="6FC7E2B3" w:rsidR="0000351E" w:rsidRDefault="0000351E">
          <w:pPr>
            <w:pStyle w:val="TM2"/>
            <w:tabs>
              <w:tab w:val="right" w:leader="dot" w:pos="7360"/>
            </w:tabs>
            <w:rPr>
              <w:rFonts w:asciiTheme="minorHAnsi" w:eastAsiaTheme="minorEastAsia" w:hAnsiTheme="minorHAnsi" w:cstheme="minorBidi"/>
              <w:smallCaps w:val="0"/>
              <w:noProof/>
              <w:szCs w:val="22"/>
              <w:lang w:val="fr-BE" w:eastAsia="fr-BE"/>
            </w:rPr>
          </w:pPr>
          <w:hyperlink w:anchor="_Toc51512299" w:history="1">
            <w:r w:rsidRPr="00CA404E">
              <w:rPr>
                <w:rStyle w:val="Lienhypertexte"/>
                <w:noProof/>
                <w:lang w:val="en-US" w:eastAsia="fr-BE"/>
              </w:rPr>
              <w:t>Appendix</w:t>
            </w:r>
            <w:r>
              <w:rPr>
                <w:noProof/>
                <w:webHidden/>
              </w:rPr>
              <w:tab/>
            </w:r>
            <w:r>
              <w:rPr>
                <w:noProof/>
                <w:webHidden/>
              </w:rPr>
              <w:fldChar w:fldCharType="begin"/>
            </w:r>
            <w:r>
              <w:rPr>
                <w:noProof/>
                <w:webHidden/>
              </w:rPr>
              <w:instrText xml:space="preserve"> PAGEREF _Toc51512299 \h </w:instrText>
            </w:r>
            <w:r>
              <w:rPr>
                <w:noProof/>
                <w:webHidden/>
              </w:rPr>
            </w:r>
            <w:r>
              <w:rPr>
                <w:noProof/>
                <w:webHidden/>
              </w:rPr>
              <w:fldChar w:fldCharType="separate"/>
            </w:r>
            <w:r w:rsidR="00BE4688">
              <w:rPr>
                <w:noProof/>
                <w:webHidden/>
              </w:rPr>
              <w:t>118</w:t>
            </w:r>
            <w:r>
              <w:rPr>
                <w:noProof/>
                <w:webHidden/>
              </w:rPr>
              <w:fldChar w:fldCharType="end"/>
            </w:r>
          </w:hyperlink>
        </w:p>
        <w:p w14:paraId="49C3D098" w14:textId="54AFAD5B"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300" w:history="1">
            <w:r w:rsidRPr="00CA404E">
              <w:rPr>
                <w:rStyle w:val="Lienhypertexte"/>
                <w:noProof/>
                <w:lang w:eastAsia="fr-BE"/>
              </w:rPr>
              <w:t>Paper 3: Do Beyond GDP indicators initiated by powerful stakeholders have a transformative potential?</w:t>
            </w:r>
            <w:r>
              <w:rPr>
                <w:noProof/>
                <w:webHidden/>
              </w:rPr>
              <w:tab/>
            </w:r>
            <w:r>
              <w:rPr>
                <w:noProof/>
                <w:webHidden/>
              </w:rPr>
              <w:fldChar w:fldCharType="begin"/>
            </w:r>
            <w:r>
              <w:rPr>
                <w:noProof/>
                <w:webHidden/>
              </w:rPr>
              <w:instrText xml:space="preserve"> PAGEREF _Toc51512300 \h </w:instrText>
            </w:r>
            <w:r>
              <w:rPr>
                <w:noProof/>
                <w:webHidden/>
              </w:rPr>
            </w:r>
            <w:r>
              <w:rPr>
                <w:noProof/>
                <w:webHidden/>
              </w:rPr>
              <w:fldChar w:fldCharType="separate"/>
            </w:r>
            <w:r w:rsidR="00BE4688">
              <w:rPr>
                <w:noProof/>
                <w:webHidden/>
              </w:rPr>
              <w:t>125</w:t>
            </w:r>
            <w:r>
              <w:rPr>
                <w:noProof/>
                <w:webHidden/>
              </w:rPr>
              <w:fldChar w:fldCharType="end"/>
            </w:r>
          </w:hyperlink>
        </w:p>
        <w:p w14:paraId="78263A32" w14:textId="27C9B41D"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01" w:history="1">
            <w:r w:rsidRPr="00CA404E">
              <w:rPr>
                <w:rStyle w:val="Lienhypertexte"/>
                <w:noProof/>
                <w:lang w:val="en-US" w:eastAsia="fr-BE"/>
              </w:rPr>
              <w:t>1.</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Introduction</w:t>
            </w:r>
            <w:r>
              <w:rPr>
                <w:noProof/>
                <w:webHidden/>
              </w:rPr>
              <w:tab/>
            </w:r>
            <w:r>
              <w:rPr>
                <w:noProof/>
                <w:webHidden/>
              </w:rPr>
              <w:fldChar w:fldCharType="begin"/>
            </w:r>
            <w:r>
              <w:rPr>
                <w:noProof/>
                <w:webHidden/>
              </w:rPr>
              <w:instrText xml:space="preserve"> PAGEREF _Toc51512301 \h </w:instrText>
            </w:r>
            <w:r>
              <w:rPr>
                <w:noProof/>
                <w:webHidden/>
              </w:rPr>
            </w:r>
            <w:r>
              <w:rPr>
                <w:noProof/>
                <w:webHidden/>
              </w:rPr>
              <w:fldChar w:fldCharType="separate"/>
            </w:r>
            <w:r w:rsidR="00BE4688">
              <w:rPr>
                <w:noProof/>
                <w:webHidden/>
              </w:rPr>
              <w:t>126</w:t>
            </w:r>
            <w:r>
              <w:rPr>
                <w:noProof/>
                <w:webHidden/>
              </w:rPr>
              <w:fldChar w:fldCharType="end"/>
            </w:r>
          </w:hyperlink>
        </w:p>
        <w:p w14:paraId="6D938E57" w14:textId="6EDB0BA2"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02" w:history="1">
            <w:r w:rsidRPr="00CA404E">
              <w:rPr>
                <w:rStyle w:val="Lienhypertexte"/>
                <w:noProof/>
                <w:lang w:val="en-US" w:eastAsia="fr-BE"/>
              </w:rPr>
              <w:t>2.</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Presentation of the six indicators</w:t>
            </w:r>
            <w:r>
              <w:rPr>
                <w:noProof/>
                <w:webHidden/>
              </w:rPr>
              <w:tab/>
            </w:r>
            <w:r>
              <w:rPr>
                <w:noProof/>
                <w:webHidden/>
              </w:rPr>
              <w:fldChar w:fldCharType="begin"/>
            </w:r>
            <w:r>
              <w:rPr>
                <w:noProof/>
                <w:webHidden/>
              </w:rPr>
              <w:instrText xml:space="preserve"> PAGEREF _Toc51512302 \h </w:instrText>
            </w:r>
            <w:r>
              <w:rPr>
                <w:noProof/>
                <w:webHidden/>
              </w:rPr>
            </w:r>
            <w:r>
              <w:rPr>
                <w:noProof/>
                <w:webHidden/>
              </w:rPr>
              <w:fldChar w:fldCharType="separate"/>
            </w:r>
            <w:r w:rsidR="00BE4688">
              <w:rPr>
                <w:noProof/>
                <w:webHidden/>
              </w:rPr>
              <w:t>128</w:t>
            </w:r>
            <w:r>
              <w:rPr>
                <w:noProof/>
                <w:webHidden/>
              </w:rPr>
              <w:fldChar w:fldCharType="end"/>
            </w:r>
          </w:hyperlink>
        </w:p>
        <w:p w14:paraId="50C89B50" w14:textId="754171D9"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03" w:history="1">
            <w:r w:rsidRPr="00CA404E">
              <w:rPr>
                <w:rStyle w:val="Lienhypertexte"/>
                <w:noProof/>
                <w:lang w:val="en-US" w:eastAsia="fr-BE"/>
              </w:rPr>
              <w:t>3.</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Connection between the indicators and powerful stakeholders</w:t>
            </w:r>
            <w:r>
              <w:rPr>
                <w:noProof/>
                <w:webHidden/>
              </w:rPr>
              <w:tab/>
            </w:r>
            <w:r>
              <w:rPr>
                <w:noProof/>
                <w:webHidden/>
              </w:rPr>
              <w:fldChar w:fldCharType="begin"/>
            </w:r>
            <w:r>
              <w:rPr>
                <w:noProof/>
                <w:webHidden/>
              </w:rPr>
              <w:instrText xml:space="preserve"> PAGEREF _Toc51512303 \h </w:instrText>
            </w:r>
            <w:r>
              <w:rPr>
                <w:noProof/>
                <w:webHidden/>
              </w:rPr>
            </w:r>
            <w:r>
              <w:rPr>
                <w:noProof/>
                <w:webHidden/>
              </w:rPr>
              <w:fldChar w:fldCharType="separate"/>
            </w:r>
            <w:r w:rsidR="00BE4688">
              <w:rPr>
                <w:noProof/>
                <w:webHidden/>
              </w:rPr>
              <w:t>131</w:t>
            </w:r>
            <w:r>
              <w:rPr>
                <w:noProof/>
                <w:webHidden/>
              </w:rPr>
              <w:fldChar w:fldCharType="end"/>
            </w:r>
          </w:hyperlink>
        </w:p>
        <w:p w14:paraId="3AFB21B5" w14:textId="6A4FAA05"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04" w:history="1">
            <w:r w:rsidRPr="00CA404E">
              <w:rPr>
                <w:rStyle w:val="Lienhypertexte"/>
                <w:noProof/>
                <w:lang w:val="en-US" w:eastAsia="fr-BE"/>
              </w:rPr>
              <w:t>4.</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Evaluation of transformative potential</w:t>
            </w:r>
            <w:r>
              <w:rPr>
                <w:noProof/>
                <w:webHidden/>
              </w:rPr>
              <w:tab/>
            </w:r>
            <w:r>
              <w:rPr>
                <w:noProof/>
                <w:webHidden/>
              </w:rPr>
              <w:fldChar w:fldCharType="begin"/>
            </w:r>
            <w:r>
              <w:rPr>
                <w:noProof/>
                <w:webHidden/>
              </w:rPr>
              <w:instrText xml:space="preserve"> PAGEREF _Toc51512304 \h </w:instrText>
            </w:r>
            <w:r>
              <w:rPr>
                <w:noProof/>
                <w:webHidden/>
              </w:rPr>
            </w:r>
            <w:r>
              <w:rPr>
                <w:noProof/>
                <w:webHidden/>
              </w:rPr>
              <w:fldChar w:fldCharType="separate"/>
            </w:r>
            <w:r w:rsidR="00BE4688">
              <w:rPr>
                <w:noProof/>
                <w:webHidden/>
              </w:rPr>
              <w:t>133</w:t>
            </w:r>
            <w:r>
              <w:rPr>
                <w:noProof/>
                <w:webHidden/>
              </w:rPr>
              <w:fldChar w:fldCharType="end"/>
            </w:r>
          </w:hyperlink>
        </w:p>
        <w:p w14:paraId="4F48E7D5" w14:textId="15B80CBA"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05" w:history="1">
            <w:r w:rsidRPr="00CA404E">
              <w:rPr>
                <w:rStyle w:val="Lienhypertexte"/>
                <w:noProof/>
                <w:lang w:eastAsia="fr-BE"/>
              </w:rPr>
              <w:t>4.1.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Methodology</w:t>
            </w:r>
            <w:r>
              <w:rPr>
                <w:noProof/>
                <w:webHidden/>
              </w:rPr>
              <w:tab/>
            </w:r>
            <w:r>
              <w:rPr>
                <w:noProof/>
                <w:webHidden/>
              </w:rPr>
              <w:fldChar w:fldCharType="begin"/>
            </w:r>
            <w:r>
              <w:rPr>
                <w:noProof/>
                <w:webHidden/>
              </w:rPr>
              <w:instrText xml:space="preserve"> PAGEREF _Toc51512305 \h </w:instrText>
            </w:r>
            <w:r>
              <w:rPr>
                <w:noProof/>
                <w:webHidden/>
              </w:rPr>
            </w:r>
            <w:r>
              <w:rPr>
                <w:noProof/>
                <w:webHidden/>
              </w:rPr>
              <w:fldChar w:fldCharType="separate"/>
            </w:r>
            <w:r w:rsidR="00BE4688">
              <w:rPr>
                <w:noProof/>
                <w:webHidden/>
              </w:rPr>
              <w:t>133</w:t>
            </w:r>
            <w:r>
              <w:rPr>
                <w:noProof/>
                <w:webHidden/>
              </w:rPr>
              <w:fldChar w:fldCharType="end"/>
            </w:r>
          </w:hyperlink>
        </w:p>
        <w:p w14:paraId="3AF2B05E" w14:textId="64682996"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06" w:history="1">
            <w:r w:rsidRPr="00CA404E">
              <w:rPr>
                <w:rStyle w:val="Lienhypertexte"/>
                <w:noProof/>
                <w:lang w:eastAsia="fr-BE"/>
              </w:rPr>
              <w:t>4.2.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Survey of indicators’ rankings</w:t>
            </w:r>
            <w:r>
              <w:rPr>
                <w:noProof/>
                <w:webHidden/>
              </w:rPr>
              <w:tab/>
            </w:r>
            <w:r>
              <w:rPr>
                <w:noProof/>
                <w:webHidden/>
              </w:rPr>
              <w:fldChar w:fldCharType="begin"/>
            </w:r>
            <w:r>
              <w:rPr>
                <w:noProof/>
                <w:webHidden/>
              </w:rPr>
              <w:instrText xml:space="preserve"> PAGEREF _Toc51512306 \h </w:instrText>
            </w:r>
            <w:r>
              <w:rPr>
                <w:noProof/>
                <w:webHidden/>
              </w:rPr>
            </w:r>
            <w:r>
              <w:rPr>
                <w:noProof/>
                <w:webHidden/>
              </w:rPr>
              <w:fldChar w:fldCharType="separate"/>
            </w:r>
            <w:r w:rsidR="00BE4688">
              <w:rPr>
                <w:noProof/>
                <w:webHidden/>
              </w:rPr>
              <w:t>135</w:t>
            </w:r>
            <w:r>
              <w:rPr>
                <w:noProof/>
                <w:webHidden/>
              </w:rPr>
              <w:fldChar w:fldCharType="end"/>
            </w:r>
          </w:hyperlink>
        </w:p>
        <w:p w14:paraId="0B64E5C3" w14:textId="09BED4AF"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07" w:history="1">
            <w:r w:rsidRPr="00CA404E">
              <w:rPr>
                <w:rStyle w:val="Lienhypertexte"/>
                <w:noProof/>
                <w:lang w:eastAsia="fr-BE"/>
              </w:rPr>
              <w:t>4.3.</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Extent of divergence between GDP and Beyond GDP indicators</w:t>
            </w:r>
            <w:r>
              <w:rPr>
                <w:noProof/>
                <w:webHidden/>
              </w:rPr>
              <w:tab/>
            </w:r>
            <w:r>
              <w:rPr>
                <w:noProof/>
                <w:webHidden/>
              </w:rPr>
              <w:fldChar w:fldCharType="begin"/>
            </w:r>
            <w:r>
              <w:rPr>
                <w:noProof/>
                <w:webHidden/>
              </w:rPr>
              <w:instrText xml:space="preserve"> PAGEREF _Toc51512307 \h </w:instrText>
            </w:r>
            <w:r>
              <w:rPr>
                <w:noProof/>
                <w:webHidden/>
              </w:rPr>
            </w:r>
            <w:r>
              <w:rPr>
                <w:noProof/>
                <w:webHidden/>
              </w:rPr>
              <w:fldChar w:fldCharType="separate"/>
            </w:r>
            <w:r w:rsidR="00BE4688">
              <w:rPr>
                <w:noProof/>
                <w:webHidden/>
              </w:rPr>
              <w:t>137</w:t>
            </w:r>
            <w:r>
              <w:rPr>
                <w:noProof/>
                <w:webHidden/>
              </w:rPr>
              <w:fldChar w:fldCharType="end"/>
            </w:r>
          </w:hyperlink>
        </w:p>
        <w:p w14:paraId="38CF14A0" w14:textId="729FC993"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08" w:history="1">
            <w:r w:rsidRPr="00CA404E">
              <w:rPr>
                <w:rStyle w:val="Lienhypertexte"/>
                <w:noProof/>
                <w:lang w:eastAsia="fr-BE"/>
              </w:rPr>
              <w:t>4.4.</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Analysis by country group</w:t>
            </w:r>
            <w:r>
              <w:rPr>
                <w:noProof/>
                <w:webHidden/>
              </w:rPr>
              <w:tab/>
            </w:r>
            <w:r>
              <w:rPr>
                <w:noProof/>
                <w:webHidden/>
              </w:rPr>
              <w:fldChar w:fldCharType="begin"/>
            </w:r>
            <w:r>
              <w:rPr>
                <w:noProof/>
                <w:webHidden/>
              </w:rPr>
              <w:instrText xml:space="preserve"> PAGEREF _Toc51512308 \h </w:instrText>
            </w:r>
            <w:r>
              <w:rPr>
                <w:noProof/>
                <w:webHidden/>
              </w:rPr>
            </w:r>
            <w:r>
              <w:rPr>
                <w:noProof/>
                <w:webHidden/>
              </w:rPr>
              <w:fldChar w:fldCharType="separate"/>
            </w:r>
            <w:r w:rsidR="00BE4688">
              <w:rPr>
                <w:noProof/>
                <w:webHidden/>
              </w:rPr>
              <w:t>140</w:t>
            </w:r>
            <w:r>
              <w:rPr>
                <w:noProof/>
                <w:webHidden/>
              </w:rPr>
              <w:fldChar w:fldCharType="end"/>
            </w:r>
          </w:hyperlink>
        </w:p>
        <w:p w14:paraId="7B570D19" w14:textId="183462E3"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09" w:history="1">
            <w:r w:rsidRPr="00CA404E">
              <w:rPr>
                <w:rStyle w:val="Lienhypertexte"/>
                <w:noProof/>
                <w:lang w:val="en-US" w:eastAsia="fr-BE"/>
              </w:rPr>
              <w:t>5.</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Correlation with GDP factors</w:t>
            </w:r>
            <w:r>
              <w:rPr>
                <w:noProof/>
                <w:webHidden/>
              </w:rPr>
              <w:tab/>
            </w:r>
            <w:r>
              <w:rPr>
                <w:noProof/>
                <w:webHidden/>
              </w:rPr>
              <w:fldChar w:fldCharType="begin"/>
            </w:r>
            <w:r>
              <w:rPr>
                <w:noProof/>
                <w:webHidden/>
              </w:rPr>
              <w:instrText xml:space="preserve"> PAGEREF _Toc51512309 \h </w:instrText>
            </w:r>
            <w:r>
              <w:rPr>
                <w:noProof/>
                <w:webHidden/>
              </w:rPr>
            </w:r>
            <w:r>
              <w:rPr>
                <w:noProof/>
                <w:webHidden/>
              </w:rPr>
              <w:fldChar w:fldCharType="separate"/>
            </w:r>
            <w:r w:rsidR="00BE4688">
              <w:rPr>
                <w:noProof/>
                <w:webHidden/>
              </w:rPr>
              <w:t>142</w:t>
            </w:r>
            <w:r>
              <w:rPr>
                <w:noProof/>
                <w:webHidden/>
              </w:rPr>
              <w:fldChar w:fldCharType="end"/>
            </w:r>
          </w:hyperlink>
        </w:p>
        <w:p w14:paraId="559E6327" w14:textId="35166480"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10" w:history="1">
            <w:r w:rsidRPr="00CA404E">
              <w:rPr>
                <w:rStyle w:val="Lienhypertexte"/>
                <w:noProof/>
                <w:lang w:eastAsia="fr-BE"/>
              </w:rPr>
              <w:t>5.1.</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The choice of variables</w:t>
            </w:r>
            <w:r>
              <w:rPr>
                <w:noProof/>
                <w:webHidden/>
              </w:rPr>
              <w:tab/>
            </w:r>
            <w:r>
              <w:rPr>
                <w:noProof/>
                <w:webHidden/>
              </w:rPr>
              <w:fldChar w:fldCharType="begin"/>
            </w:r>
            <w:r>
              <w:rPr>
                <w:noProof/>
                <w:webHidden/>
              </w:rPr>
              <w:instrText xml:space="preserve"> PAGEREF _Toc51512310 \h </w:instrText>
            </w:r>
            <w:r>
              <w:rPr>
                <w:noProof/>
                <w:webHidden/>
              </w:rPr>
            </w:r>
            <w:r>
              <w:rPr>
                <w:noProof/>
                <w:webHidden/>
              </w:rPr>
              <w:fldChar w:fldCharType="separate"/>
            </w:r>
            <w:r w:rsidR="00BE4688">
              <w:rPr>
                <w:noProof/>
                <w:webHidden/>
              </w:rPr>
              <w:t>142</w:t>
            </w:r>
            <w:r>
              <w:rPr>
                <w:noProof/>
                <w:webHidden/>
              </w:rPr>
              <w:fldChar w:fldCharType="end"/>
            </w:r>
          </w:hyperlink>
        </w:p>
        <w:p w14:paraId="384EBEBD" w14:textId="088C1055"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11" w:history="1">
            <w:r w:rsidRPr="00CA404E">
              <w:rPr>
                <w:rStyle w:val="Lienhypertexte"/>
                <w:noProof/>
                <w:lang w:eastAsia="fr-BE"/>
              </w:rPr>
              <w:t>5.2.</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Weight of Variables</w:t>
            </w:r>
            <w:r>
              <w:rPr>
                <w:noProof/>
                <w:webHidden/>
              </w:rPr>
              <w:tab/>
            </w:r>
            <w:r>
              <w:rPr>
                <w:noProof/>
                <w:webHidden/>
              </w:rPr>
              <w:fldChar w:fldCharType="begin"/>
            </w:r>
            <w:r>
              <w:rPr>
                <w:noProof/>
                <w:webHidden/>
              </w:rPr>
              <w:instrText xml:space="preserve"> PAGEREF _Toc51512311 \h </w:instrText>
            </w:r>
            <w:r>
              <w:rPr>
                <w:noProof/>
                <w:webHidden/>
              </w:rPr>
            </w:r>
            <w:r>
              <w:rPr>
                <w:noProof/>
                <w:webHidden/>
              </w:rPr>
              <w:fldChar w:fldCharType="separate"/>
            </w:r>
            <w:r w:rsidR="00BE4688">
              <w:rPr>
                <w:noProof/>
                <w:webHidden/>
              </w:rPr>
              <w:t>145</w:t>
            </w:r>
            <w:r>
              <w:rPr>
                <w:noProof/>
                <w:webHidden/>
              </w:rPr>
              <w:fldChar w:fldCharType="end"/>
            </w:r>
          </w:hyperlink>
        </w:p>
        <w:p w14:paraId="3FF81DE5" w14:textId="4AAC131B" w:rsidR="0000351E" w:rsidRDefault="0000351E">
          <w:pPr>
            <w:pStyle w:val="TM3"/>
            <w:tabs>
              <w:tab w:val="left" w:pos="1440"/>
              <w:tab w:val="right" w:leader="dot" w:pos="7360"/>
            </w:tabs>
            <w:rPr>
              <w:rFonts w:asciiTheme="minorHAnsi" w:eastAsiaTheme="minorEastAsia" w:hAnsiTheme="minorHAnsi" w:cstheme="minorBidi"/>
              <w:i w:val="0"/>
              <w:iCs w:val="0"/>
              <w:noProof/>
              <w:szCs w:val="22"/>
              <w:lang w:val="fr-BE" w:eastAsia="fr-BE"/>
            </w:rPr>
          </w:pPr>
          <w:hyperlink w:anchor="_Toc51512312" w:history="1">
            <w:r w:rsidRPr="00CA404E">
              <w:rPr>
                <w:rStyle w:val="Lienhypertexte"/>
                <w:noProof/>
                <w:lang w:eastAsia="fr-BE"/>
              </w:rPr>
              <w:t>5.3.</w:t>
            </w:r>
            <w:r>
              <w:rPr>
                <w:rFonts w:asciiTheme="minorHAnsi" w:eastAsiaTheme="minorEastAsia" w:hAnsiTheme="minorHAnsi" w:cstheme="minorBidi"/>
                <w:i w:val="0"/>
                <w:iCs w:val="0"/>
                <w:noProof/>
                <w:szCs w:val="22"/>
                <w:lang w:val="fr-BE" w:eastAsia="fr-BE"/>
              </w:rPr>
              <w:tab/>
            </w:r>
            <w:r w:rsidRPr="00CA404E">
              <w:rPr>
                <w:rStyle w:val="Lienhypertexte"/>
                <w:noProof/>
                <w:lang w:eastAsia="fr-BE"/>
              </w:rPr>
              <w:t>Aggregation method</w:t>
            </w:r>
            <w:r>
              <w:rPr>
                <w:noProof/>
                <w:webHidden/>
              </w:rPr>
              <w:tab/>
            </w:r>
            <w:r>
              <w:rPr>
                <w:noProof/>
                <w:webHidden/>
              </w:rPr>
              <w:fldChar w:fldCharType="begin"/>
            </w:r>
            <w:r>
              <w:rPr>
                <w:noProof/>
                <w:webHidden/>
              </w:rPr>
              <w:instrText xml:space="preserve"> PAGEREF _Toc51512312 \h </w:instrText>
            </w:r>
            <w:r>
              <w:rPr>
                <w:noProof/>
                <w:webHidden/>
              </w:rPr>
            </w:r>
            <w:r>
              <w:rPr>
                <w:noProof/>
                <w:webHidden/>
              </w:rPr>
              <w:fldChar w:fldCharType="separate"/>
            </w:r>
            <w:r w:rsidR="00BE4688">
              <w:rPr>
                <w:noProof/>
                <w:webHidden/>
              </w:rPr>
              <w:t>146</w:t>
            </w:r>
            <w:r>
              <w:rPr>
                <w:noProof/>
                <w:webHidden/>
              </w:rPr>
              <w:fldChar w:fldCharType="end"/>
            </w:r>
          </w:hyperlink>
        </w:p>
        <w:p w14:paraId="2C9FADBD" w14:textId="4ABF187C"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13" w:history="1">
            <w:r w:rsidRPr="00CA404E">
              <w:rPr>
                <w:rStyle w:val="Lienhypertexte"/>
                <w:noProof/>
                <w:lang w:val="en-US" w:eastAsia="fr-BE"/>
              </w:rPr>
              <w:t>6.</w:t>
            </w:r>
            <w:r>
              <w:rPr>
                <w:rFonts w:asciiTheme="minorHAnsi" w:eastAsiaTheme="minorEastAsia" w:hAnsiTheme="minorHAnsi" w:cstheme="minorBidi"/>
                <w:smallCaps w:val="0"/>
                <w:noProof/>
                <w:szCs w:val="22"/>
                <w:lang w:val="fr-BE" w:eastAsia="fr-BE"/>
              </w:rPr>
              <w:tab/>
            </w:r>
            <w:r w:rsidRPr="00CA404E">
              <w:rPr>
                <w:rStyle w:val="Lienhypertexte"/>
                <w:noProof/>
                <w:lang w:val="en-US" w:eastAsia="fr-BE"/>
              </w:rPr>
              <w:t>Discussion of the results and conclusion</w:t>
            </w:r>
            <w:r>
              <w:rPr>
                <w:noProof/>
                <w:webHidden/>
              </w:rPr>
              <w:tab/>
            </w:r>
            <w:r>
              <w:rPr>
                <w:noProof/>
                <w:webHidden/>
              </w:rPr>
              <w:fldChar w:fldCharType="begin"/>
            </w:r>
            <w:r>
              <w:rPr>
                <w:noProof/>
                <w:webHidden/>
              </w:rPr>
              <w:instrText xml:space="preserve"> PAGEREF _Toc51512313 \h </w:instrText>
            </w:r>
            <w:r>
              <w:rPr>
                <w:noProof/>
                <w:webHidden/>
              </w:rPr>
            </w:r>
            <w:r>
              <w:rPr>
                <w:noProof/>
                <w:webHidden/>
              </w:rPr>
              <w:fldChar w:fldCharType="separate"/>
            </w:r>
            <w:r w:rsidR="00BE4688">
              <w:rPr>
                <w:noProof/>
                <w:webHidden/>
              </w:rPr>
              <w:t>147</w:t>
            </w:r>
            <w:r>
              <w:rPr>
                <w:noProof/>
                <w:webHidden/>
              </w:rPr>
              <w:fldChar w:fldCharType="end"/>
            </w:r>
          </w:hyperlink>
        </w:p>
        <w:p w14:paraId="04D8F372" w14:textId="4A9EBBEF" w:rsidR="0000351E" w:rsidRDefault="0000351E">
          <w:pPr>
            <w:pStyle w:val="TM2"/>
            <w:tabs>
              <w:tab w:val="right" w:leader="dot" w:pos="7360"/>
            </w:tabs>
            <w:rPr>
              <w:rFonts w:asciiTheme="minorHAnsi" w:eastAsiaTheme="minorEastAsia" w:hAnsiTheme="minorHAnsi" w:cstheme="minorBidi"/>
              <w:smallCaps w:val="0"/>
              <w:noProof/>
              <w:szCs w:val="22"/>
              <w:lang w:val="fr-BE" w:eastAsia="fr-BE"/>
            </w:rPr>
          </w:pPr>
          <w:hyperlink w:anchor="_Toc51512314" w:history="1">
            <w:r w:rsidRPr="00CA404E">
              <w:rPr>
                <w:rStyle w:val="Lienhypertexte"/>
                <w:noProof/>
                <w:lang w:val="en-US" w:eastAsia="fr-BE"/>
              </w:rPr>
              <w:t>References</w:t>
            </w:r>
            <w:r>
              <w:rPr>
                <w:noProof/>
                <w:webHidden/>
              </w:rPr>
              <w:tab/>
            </w:r>
            <w:r>
              <w:rPr>
                <w:noProof/>
                <w:webHidden/>
              </w:rPr>
              <w:fldChar w:fldCharType="begin"/>
            </w:r>
            <w:r>
              <w:rPr>
                <w:noProof/>
                <w:webHidden/>
              </w:rPr>
              <w:instrText xml:space="preserve"> PAGEREF _Toc51512314 \h </w:instrText>
            </w:r>
            <w:r>
              <w:rPr>
                <w:noProof/>
                <w:webHidden/>
              </w:rPr>
            </w:r>
            <w:r>
              <w:rPr>
                <w:noProof/>
                <w:webHidden/>
              </w:rPr>
              <w:fldChar w:fldCharType="separate"/>
            </w:r>
            <w:r w:rsidR="00BE4688">
              <w:rPr>
                <w:noProof/>
                <w:webHidden/>
              </w:rPr>
              <w:t>152</w:t>
            </w:r>
            <w:r>
              <w:rPr>
                <w:noProof/>
                <w:webHidden/>
              </w:rPr>
              <w:fldChar w:fldCharType="end"/>
            </w:r>
          </w:hyperlink>
        </w:p>
        <w:p w14:paraId="12001058" w14:textId="7F55B0B9" w:rsidR="0000351E" w:rsidRDefault="0000351E">
          <w:pPr>
            <w:pStyle w:val="TM1"/>
            <w:rPr>
              <w:rFonts w:asciiTheme="minorHAnsi" w:eastAsiaTheme="minorEastAsia" w:hAnsiTheme="minorHAnsi" w:cstheme="minorBidi"/>
              <w:b w:val="0"/>
              <w:bCs w:val="0"/>
              <w:caps w:val="0"/>
              <w:noProof/>
              <w:sz w:val="22"/>
              <w:szCs w:val="22"/>
              <w:lang w:val="fr-BE" w:eastAsia="fr-BE"/>
            </w:rPr>
          </w:pPr>
          <w:hyperlink w:anchor="_Toc51512315" w:history="1">
            <w:r w:rsidRPr="00CA404E">
              <w:rPr>
                <w:rStyle w:val="Lienhypertexte"/>
                <w:noProof/>
                <w:lang w:val="fr-BE" w:eastAsia="fr-BE"/>
              </w:rPr>
              <w:t>Conclusions générales de la thèse</w:t>
            </w:r>
            <w:r>
              <w:rPr>
                <w:noProof/>
                <w:webHidden/>
              </w:rPr>
              <w:tab/>
            </w:r>
            <w:r>
              <w:rPr>
                <w:noProof/>
                <w:webHidden/>
              </w:rPr>
              <w:fldChar w:fldCharType="begin"/>
            </w:r>
            <w:r>
              <w:rPr>
                <w:noProof/>
                <w:webHidden/>
              </w:rPr>
              <w:instrText xml:space="preserve"> PAGEREF _Toc51512315 \h </w:instrText>
            </w:r>
            <w:r>
              <w:rPr>
                <w:noProof/>
                <w:webHidden/>
              </w:rPr>
            </w:r>
            <w:r>
              <w:rPr>
                <w:noProof/>
                <w:webHidden/>
              </w:rPr>
              <w:fldChar w:fldCharType="separate"/>
            </w:r>
            <w:r w:rsidR="00BE4688">
              <w:rPr>
                <w:noProof/>
                <w:webHidden/>
              </w:rPr>
              <w:t>159</w:t>
            </w:r>
            <w:r>
              <w:rPr>
                <w:noProof/>
                <w:webHidden/>
              </w:rPr>
              <w:fldChar w:fldCharType="end"/>
            </w:r>
          </w:hyperlink>
        </w:p>
        <w:p w14:paraId="277FAEBA" w14:textId="0ED79273"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16" w:history="1">
            <w:r w:rsidRPr="00CA404E">
              <w:rPr>
                <w:rStyle w:val="Lienhypertexte"/>
                <w:noProof/>
                <w:lang w:val="fr-BE"/>
              </w:rPr>
              <w:t>1.</w:t>
            </w:r>
            <w:r>
              <w:rPr>
                <w:rFonts w:asciiTheme="minorHAnsi" w:eastAsiaTheme="minorEastAsia" w:hAnsiTheme="minorHAnsi" w:cstheme="minorBidi"/>
                <w:smallCaps w:val="0"/>
                <w:noProof/>
                <w:szCs w:val="22"/>
                <w:lang w:val="fr-BE" w:eastAsia="fr-BE"/>
              </w:rPr>
              <w:tab/>
            </w:r>
            <w:r w:rsidRPr="00CA404E">
              <w:rPr>
                <w:rStyle w:val="Lienhypertexte"/>
                <w:noProof/>
                <w:lang w:val="fr-BE"/>
              </w:rPr>
              <w:t>Quels indicateurs pour la transition ?</w:t>
            </w:r>
            <w:r>
              <w:rPr>
                <w:noProof/>
                <w:webHidden/>
              </w:rPr>
              <w:tab/>
            </w:r>
            <w:r>
              <w:rPr>
                <w:noProof/>
                <w:webHidden/>
              </w:rPr>
              <w:fldChar w:fldCharType="begin"/>
            </w:r>
            <w:r>
              <w:rPr>
                <w:noProof/>
                <w:webHidden/>
              </w:rPr>
              <w:instrText xml:space="preserve"> PAGEREF _Toc51512316 \h </w:instrText>
            </w:r>
            <w:r>
              <w:rPr>
                <w:noProof/>
                <w:webHidden/>
              </w:rPr>
            </w:r>
            <w:r>
              <w:rPr>
                <w:noProof/>
                <w:webHidden/>
              </w:rPr>
              <w:fldChar w:fldCharType="separate"/>
            </w:r>
            <w:r w:rsidR="00BE4688">
              <w:rPr>
                <w:noProof/>
                <w:webHidden/>
              </w:rPr>
              <w:t>162</w:t>
            </w:r>
            <w:r>
              <w:rPr>
                <w:noProof/>
                <w:webHidden/>
              </w:rPr>
              <w:fldChar w:fldCharType="end"/>
            </w:r>
          </w:hyperlink>
        </w:p>
        <w:p w14:paraId="685ED63B" w14:textId="24AC8B12"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17" w:history="1">
            <w:r w:rsidRPr="00CA404E">
              <w:rPr>
                <w:rStyle w:val="Lienhypertexte"/>
                <w:noProof/>
                <w:lang w:val="fr-BE" w:eastAsia="fr-BE"/>
              </w:rPr>
              <w:t>2.</w:t>
            </w:r>
            <w:r>
              <w:rPr>
                <w:rFonts w:asciiTheme="minorHAnsi" w:eastAsiaTheme="minorEastAsia" w:hAnsiTheme="minorHAnsi" w:cstheme="minorBidi"/>
                <w:smallCaps w:val="0"/>
                <w:noProof/>
                <w:szCs w:val="22"/>
                <w:lang w:val="fr-BE" w:eastAsia="fr-BE"/>
              </w:rPr>
              <w:tab/>
            </w:r>
            <w:r w:rsidRPr="00CA404E">
              <w:rPr>
                <w:rStyle w:val="Lienhypertexte"/>
                <w:noProof/>
                <w:lang w:val="fr-BE" w:eastAsia="fr-BE"/>
              </w:rPr>
              <w:t>Changer les orientations des entreprises et de l’État</w:t>
            </w:r>
            <w:r>
              <w:rPr>
                <w:noProof/>
                <w:webHidden/>
              </w:rPr>
              <w:tab/>
            </w:r>
            <w:r>
              <w:rPr>
                <w:noProof/>
                <w:webHidden/>
              </w:rPr>
              <w:fldChar w:fldCharType="begin"/>
            </w:r>
            <w:r>
              <w:rPr>
                <w:noProof/>
                <w:webHidden/>
              </w:rPr>
              <w:instrText xml:space="preserve"> PAGEREF _Toc51512317 \h </w:instrText>
            </w:r>
            <w:r>
              <w:rPr>
                <w:noProof/>
                <w:webHidden/>
              </w:rPr>
            </w:r>
            <w:r>
              <w:rPr>
                <w:noProof/>
                <w:webHidden/>
              </w:rPr>
              <w:fldChar w:fldCharType="separate"/>
            </w:r>
            <w:r w:rsidR="00BE4688">
              <w:rPr>
                <w:noProof/>
                <w:webHidden/>
              </w:rPr>
              <w:t>164</w:t>
            </w:r>
            <w:r>
              <w:rPr>
                <w:noProof/>
                <w:webHidden/>
              </w:rPr>
              <w:fldChar w:fldCharType="end"/>
            </w:r>
          </w:hyperlink>
        </w:p>
        <w:p w14:paraId="194D8C46" w14:textId="1C20D948" w:rsidR="0000351E" w:rsidRDefault="0000351E">
          <w:pPr>
            <w:pStyle w:val="TM2"/>
            <w:tabs>
              <w:tab w:val="left" w:pos="960"/>
              <w:tab w:val="right" w:leader="dot" w:pos="7360"/>
            </w:tabs>
            <w:rPr>
              <w:rFonts w:asciiTheme="minorHAnsi" w:eastAsiaTheme="minorEastAsia" w:hAnsiTheme="minorHAnsi" w:cstheme="minorBidi"/>
              <w:smallCaps w:val="0"/>
              <w:noProof/>
              <w:szCs w:val="22"/>
              <w:lang w:val="fr-BE" w:eastAsia="fr-BE"/>
            </w:rPr>
          </w:pPr>
          <w:hyperlink w:anchor="_Toc51512318" w:history="1">
            <w:r w:rsidRPr="00CA404E">
              <w:rPr>
                <w:rStyle w:val="Lienhypertexte"/>
                <w:noProof/>
                <w:lang w:val="hu-HU" w:eastAsia="fr-BE"/>
              </w:rPr>
              <w:t>3.</w:t>
            </w:r>
            <w:r>
              <w:rPr>
                <w:rFonts w:asciiTheme="minorHAnsi" w:eastAsiaTheme="minorEastAsia" w:hAnsiTheme="minorHAnsi" w:cstheme="minorBidi"/>
                <w:smallCaps w:val="0"/>
                <w:noProof/>
                <w:szCs w:val="22"/>
                <w:lang w:val="fr-BE" w:eastAsia="fr-BE"/>
              </w:rPr>
              <w:tab/>
            </w:r>
            <w:r w:rsidRPr="00CA404E">
              <w:rPr>
                <w:rStyle w:val="Lienhypertexte"/>
                <w:noProof/>
                <w:lang w:val="hu-HU" w:eastAsia="fr-BE"/>
              </w:rPr>
              <w:t>Changer les rapports de force</w:t>
            </w:r>
            <w:r>
              <w:rPr>
                <w:noProof/>
                <w:webHidden/>
              </w:rPr>
              <w:tab/>
            </w:r>
            <w:r>
              <w:rPr>
                <w:noProof/>
                <w:webHidden/>
              </w:rPr>
              <w:fldChar w:fldCharType="begin"/>
            </w:r>
            <w:r>
              <w:rPr>
                <w:noProof/>
                <w:webHidden/>
              </w:rPr>
              <w:instrText xml:space="preserve"> PAGEREF _Toc51512318 \h </w:instrText>
            </w:r>
            <w:r>
              <w:rPr>
                <w:noProof/>
                <w:webHidden/>
              </w:rPr>
            </w:r>
            <w:r>
              <w:rPr>
                <w:noProof/>
                <w:webHidden/>
              </w:rPr>
              <w:fldChar w:fldCharType="separate"/>
            </w:r>
            <w:r w:rsidR="00BE4688">
              <w:rPr>
                <w:noProof/>
                <w:webHidden/>
              </w:rPr>
              <w:t>166</w:t>
            </w:r>
            <w:r>
              <w:rPr>
                <w:noProof/>
                <w:webHidden/>
              </w:rPr>
              <w:fldChar w:fldCharType="end"/>
            </w:r>
          </w:hyperlink>
        </w:p>
        <w:p w14:paraId="36B0718E" w14:textId="5577D82D" w:rsidR="0005195E" w:rsidRPr="00DE659D" w:rsidRDefault="0005195E" w:rsidP="0005195E">
          <w:pPr>
            <w:rPr>
              <w:noProof/>
              <w:color w:val="000000" w:themeColor="text1"/>
              <w:lang w:val="hu-HU" w:eastAsia="fr-BE"/>
            </w:rPr>
          </w:pPr>
          <w:r w:rsidRPr="00DE659D">
            <w:rPr>
              <w:noProof/>
              <w:color w:val="000000" w:themeColor="text1"/>
              <w:lang w:val="fr-BE" w:eastAsia="fr-BE"/>
            </w:rPr>
            <w:fldChar w:fldCharType="end"/>
          </w:r>
        </w:p>
      </w:sdtContent>
    </w:sdt>
    <w:p w14:paraId="2A011999" w14:textId="77777777" w:rsidR="0005195E" w:rsidRDefault="0005195E" w:rsidP="0005195E">
      <w:pPr>
        <w:spacing w:line="259" w:lineRule="auto"/>
        <w:ind w:firstLine="0"/>
        <w:jc w:val="left"/>
        <w:rPr>
          <w:smallCaps/>
          <w:noProof/>
          <w:sz w:val="56"/>
          <w:lang w:val="en-US" w:eastAsia="fr-BE"/>
        </w:rPr>
      </w:pPr>
      <w:r>
        <w:rPr>
          <w:noProof/>
          <w:lang w:eastAsia="fr-BE"/>
        </w:rPr>
        <w:br w:type="page"/>
      </w:r>
    </w:p>
    <w:p w14:paraId="76E3AA9D" w14:textId="77777777" w:rsidR="007A3031" w:rsidRDefault="007A3031">
      <w:pPr>
        <w:spacing w:line="259" w:lineRule="auto"/>
        <w:ind w:firstLine="0"/>
        <w:jc w:val="left"/>
        <w:rPr>
          <w:smallCaps/>
          <w:noProof/>
          <w:sz w:val="56"/>
          <w:lang w:val="en-US" w:eastAsia="fr-BE"/>
        </w:rPr>
      </w:pPr>
      <w:r>
        <w:rPr>
          <w:noProof/>
          <w:lang w:eastAsia="fr-BE"/>
        </w:rPr>
        <w:lastRenderedPageBreak/>
        <w:br w:type="page"/>
      </w:r>
    </w:p>
    <w:p w14:paraId="12711B23" w14:textId="1E567C1A" w:rsidR="00DE659D" w:rsidRPr="00DE659D" w:rsidRDefault="00DE659D" w:rsidP="00206AD3">
      <w:pPr>
        <w:pStyle w:val="Titre1"/>
        <w:jc w:val="center"/>
        <w:rPr>
          <w:noProof/>
          <w:lang w:eastAsia="fr-BE"/>
        </w:rPr>
      </w:pPr>
      <w:bookmarkStart w:id="1" w:name="_Toc51512252"/>
      <w:r w:rsidRPr="00DE659D">
        <w:rPr>
          <w:noProof/>
          <w:lang w:eastAsia="fr-BE"/>
        </w:rPr>
        <w:lastRenderedPageBreak/>
        <w:t>Abstract of the thesis</w:t>
      </w:r>
      <w:bookmarkEnd w:id="1"/>
    </w:p>
    <w:p w14:paraId="182AD067" w14:textId="77777777" w:rsidR="00DE659D" w:rsidRPr="00DE659D" w:rsidRDefault="00DE659D" w:rsidP="00DE659D">
      <w:pPr>
        <w:rPr>
          <w:noProof/>
          <w:color w:val="000000" w:themeColor="text1"/>
          <w:lang w:val="en-US" w:eastAsia="fr-BE"/>
        </w:rPr>
      </w:pPr>
    </w:p>
    <w:p w14:paraId="3D89CC38" w14:textId="77777777" w:rsidR="00DE659D" w:rsidRPr="00DE659D" w:rsidRDefault="00DE659D" w:rsidP="00DE659D">
      <w:pPr>
        <w:rPr>
          <w:noProof/>
          <w:color w:val="000000" w:themeColor="text1"/>
          <w:lang w:val="en-US" w:eastAsia="fr-BE"/>
        </w:rPr>
      </w:pPr>
    </w:p>
    <w:p w14:paraId="6A6C612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Western societies are facing an unprecedented series of economic, social and ecological challenges (slow growth, inequalities, climate, biodiversity...). In order to meet these challenges, calls for a paradigm shift are multiplying. This shift - also called "socio-ecological transformation" – and its steering require appropriate economic, social and environmental indicators. The present thesis is dedicated to the analysis of such indicators, and the characteristics that they must gather to guide and support a change. The main originality of the thesis is to jointly analyze indicators at the government and business levels. This joint consideration aims at overcoming the absence of macro-micro conjunction in the construction of the existing indicators, which compromises the global steering of a socio-ecological transformation. The thesis is structured in three papers. The first one proposes a critical analysis of the articulation (or lack of articulation) between the indicators of the government and business levels. It successively studies traditional accounting and alternative indicators such as Bhutan's Gross National Happiness (GNH) or the UN's Sustainable Development Goals (SDGs). The objective is to develop a theoretical framework for an optimal articulation between the indicators of the different levels. The second thesis paper looks in more detail at the SDGs as they exist in Belgium. It analyses the similarities or differences - and more generally the consistency - between the SDGs indicators of the federal level and those of companies in the pharmaceutical and retail sectors. Finally, the third thesis paper questions the potential of six existing indicators to be real alternatives to GDP, rather than close replicas. It highlights the key role of social and environmental inequality variables, as well as that of the coalitions of actors behind the indicators.</w:t>
      </w:r>
    </w:p>
    <w:p w14:paraId="5AD7E2B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br w:type="page"/>
      </w:r>
    </w:p>
    <w:p w14:paraId="7DFE44D0" w14:textId="231EDBBF" w:rsidR="00DE659D" w:rsidRPr="002B0AD1" w:rsidRDefault="00E357DD" w:rsidP="00206AD3">
      <w:pPr>
        <w:ind w:firstLine="0"/>
        <w:jc w:val="center"/>
        <w:rPr>
          <w:bCs/>
          <w:noProof/>
          <w:color w:val="000000" w:themeColor="text1"/>
          <w:sz w:val="56"/>
          <w:szCs w:val="56"/>
          <w:lang w:val="fr-BE" w:eastAsia="fr-BE"/>
        </w:rPr>
      </w:pPr>
      <w:r w:rsidRPr="002B0AD1">
        <w:rPr>
          <w:bCs/>
          <w:noProof/>
          <w:color w:val="000000" w:themeColor="text1"/>
          <w:sz w:val="56"/>
          <w:szCs w:val="56"/>
          <w:lang w:val="fr-BE" w:eastAsia="fr-BE"/>
        </w:rPr>
        <w:lastRenderedPageBreak/>
        <w:t>RÉSUMÉ DE LA THÈSE</w:t>
      </w:r>
    </w:p>
    <w:p w14:paraId="67D9E642" w14:textId="77777777" w:rsidR="00DE659D" w:rsidRPr="00DE659D" w:rsidRDefault="00DE659D" w:rsidP="00DE659D">
      <w:pPr>
        <w:rPr>
          <w:noProof/>
          <w:color w:val="000000" w:themeColor="text1"/>
          <w:lang w:val="fr-FR" w:eastAsia="fr-BE"/>
        </w:rPr>
      </w:pPr>
    </w:p>
    <w:p w14:paraId="583D619E" w14:textId="618931C7" w:rsidR="00DE659D" w:rsidRPr="00DE659D" w:rsidRDefault="00DE659D" w:rsidP="00206AD3">
      <w:pPr>
        <w:ind w:firstLine="0"/>
        <w:jc w:val="center"/>
        <w:rPr>
          <w:b/>
          <w:noProof/>
          <w:color w:val="000000" w:themeColor="text1"/>
          <w:lang w:val="fr-FR" w:eastAsia="fr-BE"/>
        </w:rPr>
      </w:pPr>
      <w:r w:rsidRPr="00585C2F">
        <w:rPr>
          <w:b/>
          <w:noProof/>
          <w:color w:val="000000" w:themeColor="text1"/>
          <w:lang w:val="fr-FR" w:eastAsia="fr-BE"/>
        </w:rPr>
        <w:t>Quelle boussole pour une transformation écologique et sociale ? Développer des indicateurs qui englobent le niveau du gouvernement et des entreprises</w:t>
      </w:r>
    </w:p>
    <w:p w14:paraId="5E9FE263" w14:textId="77777777" w:rsidR="00DE659D" w:rsidRPr="00DE659D" w:rsidRDefault="00DE659D" w:rsidP="00DE659D">
      <w:pPr>
        <w:rPr>
          <w:noProof/>
          <w:color w:val="000000" w:themeColor="text1"/>
          <w:lang w:val="fr-FR" w:eastAsia="fr-BE"/>
        </w:rPr>
      </w:pPr>
      <w:bookmarkStart w:id="2" w:name="_GoBack"/>
      <w:bookmarkEnd w:id="2"/>
    </w:p>
    <w:p w14:paraId="36BCD26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Les sociétés occidentales font face à une série inédite de défis économiques, sociaux et écologiques (croissance en berne, inégalités, climat, biodiversité…). Afin d’y répondre, des appels à un changement de paradigme se multiplient. Ce changement qu’il s’agirait de piloter – appelé également « transition écologique et sociale » – nécessite des indicateurs économiques, sociaux et environnementaux appropriés. La présente thèse est dédiée à l’analyse de tels indicateurs, et aux caractéristiques qu’ils doivent rassembler pour guider et soutenir une transition. La principale originalité de la thèse est d’analyser conjointement les indicateurs du niveau du gouvernement et de celui des entreprises. Cette prise en compte conjointe vise à dépasser l’absence de conjonction macro-micro dans la construction même des indicateurs existants, qui compromet le pilotage global de la transition. Cette thèse est structurée en trois articles. Le premier propose une analyse critique de l’articulation (ou absence d’articulation) entre les indicateurs des niveaux du gouvernement et de l’entreprise. Il étudie successivement la comptabilité traditionnelle et des indicateurs alternatifs tels que le Bonheur National Brut (BNB) du Bhoutan ou les Objectifs du Développement Durable (ODD) de l’ONU. L’objectif est de développer un cadre théorique pour une articulation optimale entre les indicateurs des différents niveaux. Le deuxième article de thèse étudie plus en détail les ODD tels qu’ils existent en Belgique. Il analyse les similitudes ou différences – et plus généralement la cohérence – entre les indicateurs ODD de l’État fédéral et ceux des entreprises des secteurs pharmaceutiques et du commerce du détail. Enfin, le troisième article de thèse questionne le potentiel de six indicateurs existants à constituer de véritables alternatives au PIB, </w:t>
      </w:r>
      <w:r w:rsidRPr="00DE659D">
        <w:rPr>
          <w:noProof/>
          <w:color w:val="000000" w:themeColor="text1"/>
          <w:lang w:val="fr-FR" w:eastAsia="fr-BE"/>
        </w:rPr>
        <w:lastRenderedPageBreak/>
        <w:t>plutôt qu’à en être de proches répliques. Il met en lumière le rôle clé des variables d’inégalités sociales et d’environnement, ainsi que celui des coalitions d’acteurs à l’origine des indicateurs.</w:t>
      </w:r>
    </w:p>
    <w:p w14:paraId="04E146A4" w14:textId="77777777" w:rsidR="00DE659D" w:rsidRPr="00DE659D" w:rsidRDefault="00DE659D" w:rsidP="00DE659D">
      <w:pPr>
        <w:rPr>
          <w:noProof/>
          <w:color w:val="000000" w:themeColor="text1"/>
          <w:lang w:val="fr-BE" w:eastAsia="fr-BE"/>
        </w:rPr>
      </w:pPr>
    </w:p>
    <w:p w14:paraId="515FA70B" w14:textId="77777777" w:rsidR="00DE659D" w:rsidRPr="00DE659D" w:rsidRDefault="00DE659D" w:rsidP="00DE659D">
      <w:pPr>
        <w:rPr>
          <w:b/>
          <w:bCs/>
          <w:noProof/>
          <w:color w:val="000000" w:themeColor="text1"/>
          <w:lang w:val="fr-BE" w:eastAsia="fr-BE"/>
        </w:rPr>
      </w:pPr>
      <w:r w:rsidRPr="00DE659D">
        <w:rPr>
          <w:noProof/>
          <w:color w:val="000000" w:themeColor="text1"/>
          <w:lang w:val="fr-BE" w:eastAsia="fr-BE"/>
        </w:rPr>
        <w:br w:type="page"/>
      </w:r>
    </w:p>
    <w:p w14:paraId="2C4A1EF5" w14:textId="77777777" w:rsidR="00DE659D" w:rsidRPr="002B0AD1" w:rsidRDefault="00DE659D" w:rsidP="00206AD3">
      <w:pPr>
        <w:ind w:firstLine="0"/>
        <w:jc w:val="center"/>
        <w:rPr>
          <w:bCs/>
          <w:noProof/>
          <w:color w:val="000000" w:themeColor="text1"/>
          <w:sz w:val="56"/>
          <w:szCs w:val="56"/>
          <w:lang w:val="nl-BE" w:eastAsia="fr-BE"/>
        </w:rPr>
      </w:pPr>
      <w:r w:rsidRPr="002B0AD1">
        <w:rPr>
          <w:bCs/>
          <w:noProof/>
          <w:color w:val="000000" w:themeColor="text1"/>
          <w:sz w:val="56"/>
          <w:szCs w:val="56"/>
          <w:lang w:val="nl-BE" w:eastAsia="fr-BE"/>
        </w:rPr>
        <w:lastRenderedPageBreak/>
        <w:t>Abstract van het thesis</w:t>
      </w:r>
    </w:p>
    <w:p w14:paraId="32926F20" w14:textId="77777777" w:rsidR="00DE659D" w:rsidRPr="00DE659D" w:rsidRDefault="00DE659D" w:rsidP="00DE659D">
      <w:pPr>
        <w:rPr>
          <w:b/>
          <w:bCs/>
          <w:noProof/>
          <w:color w:val="000000" w:themeColor="text1"/>
          <w:lang w:val="nl-BE" w:eastAsia="fr-BE"/>
        </w:rPr>
      </w:pPr>
    </w:p>
    <w:p w14:paraId="36BDFB76" w14:textId="23DDE844" w:rsidR="00DE659D" w:rsidRPr="00DE659D" w:rsidRDefault="00DE659D" w:rsidP="00206AD3">
      <w:pPr>
        <w:ind w:firstLine="0"/>
        <w:jc w:val="center"/>
        <w:rPr>
          <w:b/>
          <w:bCs/>
          <w:noProof/>
          <w:color w:val="000000" w:themeColor="text1"/>
          <w:lang w:val="nl-BE" w:eastAsia="fr-BE"/>
        </w:rPr>
      </w:pPr>
      <w:r w:rsidRPr="00DE659D">
        <w:rPr>
          <w:b/>
          <w:bCs/>
          <w:noProof/>
          <w:color w:val="000000" w:themeColor="text1"/>
          <w:lang w:val="nl-BE" w:eastAsia="fr-BE"/>
        </w:rPr>
        <w:t>Welk kompas hebben we nodig voor een ecologische en sociale transformatie? Het ontwikkelen van indicatoren die het niveau van de overheid en het bedrijfsleven omvatten</w:t>
      </w:r>
    </w:p>
    <w:p w14:paraId="3164B9BB" w14:textId="77777777" w:rsidR="00DE659D" w:rsidRPr="00DE659D" w:rsidRDefault="00DE659D" w:rsidP="00DE659D">
      <w:pPr>
        <w:rPr>
          <w:noProof/>
          <w:color w:val="000000" w:themeColor="text1"/>
          <w:lang w:val="nl-BE" w:eastAsia="fr-BE"/>
        </w:rPr>
      </w:pPr>
    </w:p>
    <w:p w14:paraId="003608F0" w14:textId="77777777" w:rsidR="00DE659D" w:rsidRPr="00DE659D" w:rsidRDefault="00DE659D" w:rsidP="00DE659D">
      <w:pPr>
        <w:rPr>
          <w:noProof/>
          <w:color w:val="000000" w:themeColor="text1"/>
          <w:lang w:val="nl-BE" w:eastAsia="fr-BE"/>
        </w:rPr>
      </w:pPr>
      <w:r w:rsidRPr="00DE659D">
        <w:rPr>
          <w:noProof/>
          <w:color w:val="000000" w:themeColor="text1"/>
          <w:lang w:val="nl-BE" w:eastAsia="fr-BE"/>
        </w:rPr>
        <w:t xml:space="preserve">Westerse maatschappijen worden geconfronteerd met een ongekend aantal economische, sociale en ecologische uitdagingen (lage groei, ongelijkheden, klimaat, biodiversiteit...). Om deze uitdagingen het hoofd te bieden, gaan stemmen op voor een paradigmaverschuiving. Deze verandering, die zou moeten worden gestuurd - ook wel "ecologische en sociale transitie" genoemd - vereist passende economische, sociale en milieu-indicatoren. Deze thesis is gewijd aan de analyse van dergelijke indicatoren en de kenmerken die zij moeten bevatten om deze transitie te ondersteunen. De belangrijkste vernieuwing van deze thesis is het gezamenlijk analyseren van indicatoren op overheids- en bedrijfsniveau. Deze gezamenlijke overweging heeft tot doel de afwezigheid van macro-microcombinaties in de constructie van de bestaande indicatoren, die de mondiale sturing van de overgang in gevaar brengt, te overwinnen. Deze thesis is gestructureerd in drie artikelen. Het eerste artikel stelt een kritische analyse voor van de mate van afstemming (of het gebrek aan afstemming) tussen de indicatoren van de niveaus van de overheid en de onderneming. Het bestudeert achtereenvolgens de traditionele boekhouding en alternatieve indicatoren zoals Bhutan's Bruto Nationaal Geluk (BNG) of de Sustainable Development Goals (SDG's) van de VN. Het doel is een theoretisch kader te ontwikkelen voor een optimale afstemming tussen de indicatoren van de verschillende niveaus. Het tweede scriptie-artikel gaat dieper in op de SDG's zoals die in België bestaan. Het analyseert de overeenkomsten of verschillen - en meer algemeen de coherentie - tussen de SDG's-indicatoren van het federale niveau en die van de bedrijven in de farmaceutische sector en de kleinhandel. Ten slotte wordt in het derde thesis-artikel </w:t>
      </w:r>
      <w:r w:rsidRPr="00DE659D">
        <w:rPr>
          <w:noProof/>
          <w:color w:val="000000" w:themeColor="text1"/>
          <w:lang w:val="nl-BE" w:eastAsia="fr-BE"/>
        </w:rPr>
        <w:lastRenderedPageBreak/>
        <w:t>afgetoetst of de zes bestaande indicatoren een reëel alternatief voor het BBP kunnen zijn en nagegaan of ze niet louter replica’s zijn van het BBP. Het benadrukt de sleutelrol van sociale en milieu-ongelijkheidsvariabelen, evenals die van de coalities van actoren achter de indicatoren.</w:t>
      </w:r>
    </w:p>
    <w:p w14:paraId="4E614B67" w14:textId="7EB90624" w:rsidR="0005195E" w:rsidRPr="007A3031" w:rsidRDefault="00DE659D" w:rsidP="0005195E">
      <w:pPr>
        <w:pStyle w:val="Titre"/>
        <w:jc w:val="left"/>
        <w:rPr>
          <w:smallCaps w:val="0"/>
          <w:noProof/>
          <w:sz w:val="56"/>
          <w:lang w:val="nl-BE" w:eastAsia="fr-BE"/>
        </w:rPr>
      </w:pPr>
      <w:r w:rsidRPr="00DE659D">
        <w:rPr>
          <w:noProof/>
          <w:color w:val="000000" w:themeColor="text1"/>
          <w:lang w:val="nl-BE" w:eastAsia="fr-BE"/>
        </w:rPr>
        <w:br w:type="page"/>
      </w:r>
    </w:p>
    <w:p w14:paraId="34019609" w14:textId="77777777" w:rsidR="00DE659D" w:rsidRPr="00DE659D" w:rsidRDefault="00DE659D" w:rsidP="00DE659D">
      <w:pPr>
        <w:rPr>
          <w:noProof/>
          <w:color w:val="000000" w:themeColor="text1"/>
          <w:lang w:val="nl-BE" w:eastAsia="fr-BE"/>
        </w:rPr>
      </w:pPr>
    </w:p>
    <w:p w14:paraId="09D0A747" w14:textId="77777777" w:rsidR="00EA1EBD" w:rsidRPr="007A3031" w:rsidRDefault="00EA1EBD">
      <w:pPr>
        <w:spacing w:line="259" w:lineRule="auto"/>
        <w:ind w:firstLine="0"/>
        <w:jc w:val="left"/>
        <w:rPr>
          <w:smallCaps/>
          <w:sz w:val="56"/>
          <w:lang w:val="nl-BE"/>
        </w:rPr>
      </w:pPr>
      <w:bookmarkStart w:id="3" w:name="_Toc51258339"/>
      <w:r w:rsidRPr="007A3031">
        <w:rPr>
          <w:sz w:val="56"/>
          <w:lang w:val="nl-BE"/>
        </w:rPr>
        <w:br w:type="page"/>
      </w:r>
    </w:p>
    <w:p w14:paraId="017B228D" w14:textId="6747832C" w:rsidR="00DE659D" w:rsidRPr="00CE7357" w:rsidRDefault="00DE659D" w:rsidP="00DE659D">
      <w:pPr>
        <w:pStyle w:val="Titre1"/>
        <w:rPr>
          <w:noProof/>
          <w:lang w:val="fr-BE" w:eastAsia="fr-BE"/>
        </w:rPr>
      </w:pPr>
      <w:bookmarkStart w:id="4" w:name="_Toc51512253"/>
      <w:bookmarkEnd w:id="3"/>
      <w:r w:rsidRPr="00CE7357">
        <w:rPr>
          <w:noProof/>
          <w:lang w:val="fr-BE" w:eastAsia="fr-BE"/>
        </w:rPr>
        <w:lastRenderedPageBreak/>
        <w:t>Remerciements</w:t>
      </w:r>
      <w:bookmarkEnd w:id="4"/>
    </w:p>
    <w:p w14:paraId="6BE919F1" w14:textId="77777777" w:rsidR="00DE659D" w:rsidRPr="00DE659D" w:rsidRDefault="00DE659D" w:rsidP="00DE659D">
      <w:pPr>
        <w:rPr>
          <w:noProof/>
          <w:color w:val="000000" w:themeColor="text1"/>
          <w:lang w:val="fr-FR" w:eastAsia="fr-BE"/>
        </w:rPr>
      </w:pPr>
    </w:p>
    <w:p w14:paraId="68951E85"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Ecrire une thèse est un travail que l’on s’imagine souvent solitaire. Or, si j’arrive au terme de cette aventure, c’est grâce au concours de nombreuses personnes. </w:t>
      </w:r>
    </w:p>
    <w:p w14:paraId="3BC0D65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Je tiens particulièrement à remercier mes deux co-directrices de thèse, Isabelle Cassiers et Marthe Nyssens.  </w:t>
      </w:r>
    </w:p>
    <w:p w14:paraId="6FEAC0E2"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Isabelle Cassiers est celle qui m’a un jour posé la question « est-ce que ça te dirait de faire une thèse sous ma direction ? », question qui a fait germé en moi l’idée de devenir doctorant, et qui est le point de départ de l’aventure qu’a constituée cette thèse. Mais, avant de m’engager sur ce chemin, Isabelle avait déjà joué un rôle dans mon cheminement intellectuel. En tant que professeure en master, elle m’avait fait découvrir ces disciplines passionnantes que sont l’histoire économique et la théorie de la régulation. Ces enseignements façonnent encore ma compréhension de l’économie et du changement social. En tant que directrice de thèse, Isabelle m’a accompagné et m’a guidé tout au long de celle-ci, avec soin, attention et bienveillance. Je lui suis reconnaissant de la qualité de ses commentaires qui arrivent à articuler une critique fine des détails d’un texte avec une vue d’ensemble sur les enjeux sociaux et politiques macros. Je lui suis surtout reconnaissant de tout le temps qu’elle a consacré à lire, relire et re-relire mes articles, et ce, même en étant à la retraite, ainsi que d’avoir continué à me suivre même pendant les moments difficiles. Maintenant que je termine ces six années de travail, c’est avec joie que je la compte dans mon jury pour clôturer cette aventure de thèse.</w:t>
      </w:r>
    </w:p>
    <w:p w14:paraId="1BF687A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Mes remerciements vont ensuite à mon autre directrice de thèse, Marthe Nyssens, qui a accepté de reprendre la direction de ma thèse il y a trois ans. Vu ses nombreuses responsabilités, ainsi que les turpitudes de mon parcours, le fait qu’elle accepte de me superviser rajoute à la gratitude que j’ai pour la qualité de son suivi. Au même titre qu’Isabelle, les enseignements de Marthe ont façonné ma vision de l’économie dès avant le début de ma thèse. Elle m’a fait découvrir </w:t>
      </w:r>
      <w:r w:rsidRPr="00DE659D">
        <w:rPr>
          <w:noProof/>
          <w:color w:val="000000" w:themeColor="text1"/>
          <w:lang w:val="fr-FR" w:eastAsia="fr-BE"/>
        </w:rPr>
        <w:lastRenderedPageBreak/>
        <w:t xml:space="preserve">certaines approches institutionnalistes de l’économie (Ostrom, Polanyi) qui structurent toujours à l’heure actuelle ma compréhension du social. Lors de mon parcours de thèse, j’ai pu me rendre compte de l’acuité de ses analyses. Ses commentaires toujours très justes m’ont amené à des remaniements parfois importants de ma thèse (comme une réorientation sur les SDGs) qui furent </w:t>
      </w:r>
      <w:r w:rsidRPr="00DE659D">
        <w:rPr>
          <w:i/>
          <w:noProof/>
          <w:color w:val="000000" w:themeColor="text1"/>
          <w:lang w:val="fr-FR" w:eastAsia="fr-BE"/>
        </w:rPr>
        <w:t>in fine</w:t>
      </w:r>
      <w:r w:rsidRPr="00DE659D">
        <w:rPr>
          <w:noProof/>
          <w:color w:val="000000" w:themeColor="text1"/>
          <w:lang w:val="fr-FR" w:eastAsia="fr-BE"/>
        </w:rPr>
        <w:t xml:space="preserve"> très bénéfiques.</w:t>
      </w:r>
    </w:p>
    <w:p w14:paraId="5BBFCF23"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Je tiens ensuite à remercier les membres de mon jury. Axel Gosseries, tout d’abord, qui fut à la fois directeur de la Chaire Hoover pendant la dernière moitié de ma thèse, et membre de mon comité d’accompagnement. C’est lui qui m’a réellement fait comprendre ce qu’impliquait une posture analytique. Ses questions, ses demandes d’exemplification, et sa volonté de pouvoir exprimer les choses compliquées en quelques mots simples ont contribué à me faire penser la science différemment. Son suivi a profondément influencé ma thèse et a abouti à des restructurations complètes des articles. Enfin, je lui suis reconnaissant pour la liberté qu’il m’a donnée dans tous mes projets au sein de la Chaire et en dehors.</w:t>
      </w:r>
    </w:p>
    <w:p w14:paraId="3A350FC8"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Mes remerciements se portent également vers Géraldine Thiry. C’est en lisant sa thèse en 2012 que je me suis penché sérieusement pour la première fois sur les indicateurs alternatifs au PIB. Je ne savais pas encore que l’attrait que cette lecture avait suscité en moi se transformerait trois ans plus tard en mon propre sujet de thèse, et encore moins en comptant Géraldine parmi mon comité d’accompagnement. J’ai été impressionné par sa fine connaissance des indicateurs et de leur technicité, combinée à une compréhension des dynamiques politiques et de pouvoir. Ses conseils m’ont été précieux, notamment lorsque j’ai buté pendant près de trois mois sur la définition des « acteurs puissants ». Ses encouragements et son dynamisme contagieux lui valent ma gratitude. </w:t>
      </w:r>
    </w:p>
    <w:p w14:paraId="20AB2D25"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Enfin, je tiens à remercier Brent Bleys qui a rejoint le jury en tant que membre externe. Ses commentaires m’ont permis d’améliorer le manuscrit de thèse pour qu’il advienne ce qu’il est. Je le remercie pour l’attention qu’il a porté à ma thèse, ainsi que pour les discussions que </w:t>
      </w:r>
      <w:r w:rsidRPr="00DE659D">
        <w:rPr>
          <w:noProof/>
          <w:color w:val="000000" w:themeColor="text1"/>
          <w:lang w:val="fr-FR" w:eastAsia="fr-BE"/>
        </w:rPr>
        <w:lastRenderedPageBreak/>
        <w:t>nous avions pu avoir lors des conférences nationales et internationales en économie écologique.</w:t>
      </w:r>
    </w:p>
    <w:p w14:paraId="61EFB4D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En plus de mon jury, je tiens également à remercier toute une série de personnes qui ont façonné ma vision des sciences économiques et sociales. Leurs enseignements ont influencé de manière directe le contenu de cette thèse. Tout d’abord, le professeur Philippe Van Parijs. C’est lui qui a éveillé mon intérêt pour les questions de justice sociale et de philosophie politique lorsqu’il fut mon professeur d’éthique économique et sociale. Les questionnements sur le « devoir être » que j’ai pu y creuser étaient ce que j’étais venu chercher en m’inscrivant à l’université et qui m’avaient manqué jusque-là. Son cours m’a poussé à suivre le certificat en éthique économique et sociale, et puis, trois ans plus tard, à rejoindre la Chaire Hoover pour une thèse. </w:t>
      </w:r>
    </w:p>
    <w:p w14:paraId="43F9722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Au cours de ce certificat, j’ai eu la chance de suivre les cours des professeurs Christian Arnsperger et Isabelle Ferreras. Je leur suis particulièrement reconnaissant de m’avoir enseigné pour la première fois d’autres épistémologies et d’autres théories économiques que celles proposées dans le reste des cours de la faculté. Les bases des courants Ecological economics et Degrowth que Christian Arnsperger m’a enseignées sont au fondement de cette thèse, même si je m’en suis éloigné sur la fin. </w:t>
      </w:r>
    </w:p>
    <w:p w14:paraId="539BFD2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Ensuite, mes remerciements vont au professeur Jean De Munck. Ayant pu s quelques cours de master en économie contre des cours de sociologie, j’ai eu la chance de suivre ses cours d’épistémologie des sciences sociales et de mondialisation. Grâce à lui, j’ai découvert l’approche du matérialisme historique, qui fut la porte d’entrée de mon intérêt pour le marxisme. Cette approche n’était pas vraiment mobilisée en début de thèse, mais s’est affirmée comme de plus en plus utile au cours de celle-ci pour répondre à la question clé du pourquoi les indicateurs alternatifs ne « prennent » pas (et de ce qu’il faudrait faire pour changer la donne). L’application plus précise d’une grille de lecture matérialiste au cas des indicateurs m’a été proposée par un professeur costaricain avec qui j’ai eu la chance de partager mon bureau pendant quelques mois, Adolfo Rodriguez Herrera. Les </w:t>
      </w:r>
      <w:r w:rsidRPr="00DE659D">
        <w:rPr>
          <w:noProof/>
          <w:color w:val="000000" w:themeColor="text1"/>
          <w:lang w:val="fr-FR" w:eastAsia="fr-BE"/>
        </w:rPr>
        <w:lastRenderedPageBreak/>
        <w:t xml:space="preserve">riches discussions que nous avons eues m’ont ouvert les yeux sur les liens entre usages et indicateurs, ainsi que sur une limitation majeure des indicateurs de bien-être : ils ne rendent jamais compte du fait que la prospérité des pays du Nord est bâtie sur l’exploitation des pays du Sud. </w:t>
      </w:r>
    </w:p>
    <w:p w14:paraId="224CB97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Mentionner et remercier toutes ces personnes, c’est reconnaître la dette intellectuelle que j’ai envers d’autres. Ils et elles ont fait de moi le dépositaire de connaissances que je m’efforce, à mon tour, de communiquer autour de moi.</w:t>
      </w:r>
    </w:p>
    <w:p w14:paraId="74739EF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En plus de la nourriture intellectuelle à l’origine de cette thèse, il y a également la nourriture « physique » qui m’a été apportée par plusieurs organismes. Tout d’abord, je remercie la Fondation Bernheim qui financé la bourse de recherche grâce à laquelle j’ai pu réaliser cette thèse. Dans le cadre de son programme « Social responsability in economic life », la fondation Bernheim a financé plusieurs bourses de recherche à l’UCLouvain, dont je suis le dernier bénéficiaire. Je tiens également à remercier le FNRS pour avoir financé la plupart de mes séjours à l’étranger, l’Académie Royale pour l’octroi d’une « bourse Davin », l’European Society for Ecological Economics (ESEE) pour l’obtention de son prix européen annuel, ainsi que l’institut IACCHOS pour avoir financé la traduction d’un de mes articles de thèse. Merci également à Jon Cox d’avoir traduit un de mes articles, et surtout à ma traductrice Lydia Michailow pour avoir vérifié l’anglais de tous les autres.</w:t>
      </w:r>
    </w:p>
    <w:p w14:paraId="12A70F74"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Durant ces quelques années, j’ai eu la chance de réaliser plusieurs séjours de recherche à l’étranger. Merci à Florence Jany-Catrice de m’avoir accueilli à l’Université de Lille pendant trois mois. Merci également à Tim Jackson de m’avoir accueilli à l’Université de Surrey il y a deux ans. Ce séjour fut l’occasion d’échanger avec les chercheur·e·s Christine Walker, Fergus Lyon, Joanna Paulynn, Sophus zu Ermgassen, Agni Depp, Anastasia Loukianov, Amy Isham et Simon Mair. Je garde un excellent souvenir de ce séjour, tant humainement qu’intellectuellement. Enfin, merci au dasho Karma Ura d’avoir invité Isabelle et moi pour la conférence internationale sur le Bonheur National Brut (BNB) au Bhoutan, qui </w:t>
      </w:r>
      <w:r w:rsidRPr="00DE659D">
        <w:rPr>
          <w:noProof/>
          <w:color w:val="000000" w:themeColor="text1"/>
          <w:lang w:val="fr-FR" w:eastAsia="fr-BE"/>
        </w:rPr>
        <w:lastRenderedPageBreak/>
        <w:t>fut l’occasion pour moi d’avoir un premier aperçu du BNB en application, et de rencontrer plusieurs représentants expliquant ce modèle de l’intérieur. Merci à Sonam Deki de m’avoir accompagné tout au long du séjour.</w:t>
      </w:r>
    </w:p>
    <w:p w14:paraId="2E0889D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Ensuite, il me faut parler de celles et ceux qui ont sans doute été les plus important·e·s pendant ces années de thèse : mes collègues. J’aimerais remercier chaleureusement les membres de la Chaire Hoover d’éthique économique et sociale. Je n’aurais pas pu rêver de meilleurs collègues pour m’accompagner : Thérèse Davio, Emeline De Bouver, Thomas Ferretti, Tim Meijers, Pierre-Etienne Vandamme, Maxime Lambrecht, Louis Larue, Antoine Verret Hamelin, Katarina Pitasse Fragoso, Tinsaye Tamerat, John Pitseys, Anne-France Colla, Hervé Pourtois, Yannick Vanderborght, Jean-Michel Chaumont, Danielle Zwarthoed, Clément Fontan, Refia Kadayifci, Kevin Hartmann, Camille Pascal, Eric Boot, Manuel Valente et Dina Geron. Je ne pensais pas que faire travailler ensemble des gens aux sujets de recherche si éloignés était possible, mais ça l’est et ce fut même très fructueux. Merci pour votre dynamisme, votre soutien et votre bienveillance.</w:t>
      </w:r>
    </w:p>
    <w:p w14:paraId="189BE50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En plus des membres de la Chaire Hoover, bien d’autres collègues m’ont accompagné dans mes recherches. Merci à Sixtine d’Ydewalle, Agathe Osinski, Dimitri Zustrassen, Juliana Mesen Varagas, François Courtoy, Anaïs Périlleux, Elisabeth Lagasse, Lara Burton, Sebastien Antoine, Jean Matthys, Olivier de Schutter, Tom Dedeurwaerdere, Vincent Jacquet et Valérie Swaen. J’ai une pensée toute particulière à celles et ceux avec qui j’ai co-écrit des articles : merci à Stéphane Aubinet pour notre travail commun sur les bals folks et pour cette conférence absurde à Huddersfield, à la team chemins de fer (Leila Van Keirsbilck, Anne-Sophie Bouvy, François-Xavier Lievens, Mathieu Straele et Michael Verbauwhede) pour nos articles sur la libéralisation du rail, à Françoise Bartiaux pour notre travail sur les questions d’isolation des logements, et à Samuel Sonck pour nos travaux sur la gratuité des transports. </w:t>
      </w:r>
    </w:p>
    <w:p w14:paraId="2FAD152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Parmi les jeunes chercheurs, trois personnes ont passé un temps considérable à relire mes articles, les commenter, et en discuter le </w:t>
      </w:r>
      <w:r w:rsidRPr="00DE659D">
        <w:rPr>
          <w:noProof/>
          <w:color w:val="000000" w:themeColor="text1"/>
          <w:lang w:val="fr-FR" w:eastAsia="fr-BE"/>
        </w:rPr>
        <w:lastRenderedPageBreak/>
        <w:t>fond. Un merci tout particulier à Louis Larue, Mathieu Sauvenier et Benjamin Peeters pour toute l’attention que vous leur avez portés. Votre soutien (ainsi qu’avec les juniors de la Chaire Hoover) m’a fait me rendre compte qu’aucune recherche n’est féconde si elle se réalise en solo.</w:t>
      </w:r>
    </w:p>
    <w:p w14:paraId="1E1259E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Je me dois également de mentionner d’autres économistes qui m’ont beaucoup apporté, et notamment ceux du réseau Rethinking Economics Belgium, qui a constitué un vivier intellectuel des plus stimulants. Merci à Bastien Castiaux, Zoé Evrard, Martin Dupont, Louise Lambert, Nabil Sheik Hassan (Dynab), Huguette Croisier, Tanguy Ollinger, Julien Vastenaekels, Charlotte Rigolet, Heike Herden, Jonas Van Der Slycken, Tim Chirstiaens, Tom Bauler, Jean-Christophe Defraigne et Jean-Luc Demeulemeester.</w:t>
      </w:r>
    </w:p>
    <w:p w14:paraId="4110DF98"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Merci également aux personnes hors université qui ont accepté de me rencontrer pour être interviewées : Alain Henry de la Task Force « Développement Durable » du Bureau fédéral du Plan, Charles Seaford de la New Economic Foundation, et Els Vanonckelen et Tim Van Waeyenberge de la Banque Nationale de Belgique.</w:t>
      </w:r>
    </w:p>
    <w:p w14:paraId="3F5EA5C8"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Merci à toute l’équipe du corps scientifique de l’UCLouvain 2018-2020. C’est m’engager avec vous qui m’a permis de revenir à l’UCLouvain après mon </w:t>
      </w:r>
      <w:r w:rsidRPr="00DE659D">
        <w:rPr>
          <w:i/>
          <w:noProof/>
          <w:color w:val="000000" w:themeColor="text1"/>
          <w:lang w:val="fr-FR" w:eastAsia="fr-BE"/>
        </w:rPr>
        <w:t>burn out</w:t>
      </w:r>
      <w:r w:rsidRPr="00DE659D">
        <w:rPr>
          <w:noProof/>
          <w:color w:val="000000" w:themeColor="text1"/>
          <w:lang w:val="fr-FR" w:eastAsia="fr-BE"/>
        </w:rPr>
        <w:t xml:space="preserve">, de canaliser ma frustration dans des projets collectifs, de retrouver du sens dans mon travail, et de mener des projets ambitieux qui ont débouché sur de belles victoires. Merci à Christine Frison, ma co-présidente, avec qui ce tandem pendant deux ans fut une bénédiction. Merci à Gaetan Monterro, Aurore Potavillo-Richardson, Nicolas Moreau, Guillaume Maudoux, Perrine Pigeon, Matias Ramirez, Olivier Schakman, et Edouard Cuvelier pour cette formidable équipe de bureau CORSCI. Merci également à Valentin Couvreur, Corentin Lahouste, Madeleine Guyot, Coralie Hellepute, Sarah Bartelemy, Raphael Rousseau, Martin Prignon, Antoine Saint-Amand, Arnaud Dochain, Annick Thönnissen, Florence Vande Capelle, Jeanne Rezsohazi, Charlotte Descamps, Mathieu Xhonneux, Gwenael Laurent, Ludovic D’Auria, Julien Prévost, Nora Mélard, Matthias Petel, Julia Bihl, François Renaud, Diane Sangara, Axelle Koch, Antoine Deschamps, Emeline Pierre, </w:t>
      </w:r>
      <w:r w:rsidRPr="00DE659D">
        <w:rPr>
          <w:noProof/>
          <w:color w:val="000000" w:themeColor="text1"/>
          <w:lang w:val="fr-FR" w:eastAsia="fr-BE"/>
        </w:rPr>
        <w:lastRenderedPageBreak/>
        <w:t xml:space="preserve">Charlène Crahay, Geraldine Wuyckens, Diane du Val d’Eprémesnil, Maxime Thiry, Rim Lakasci, Camila Scola, Cédric Byl, Nathan Gurnet et Aurélien Cornil pour le travail effectué ensemble. Merci également aux équipes CNE, CORA, CORTA, FENICS, AGL (vous êtes l’espoir), aux administrations et à l’équipe rectorale pour le travail mené ensemble.  </w:t>
      </w:r>
    </w:p>
    <w:p w14:paraId="2D0AC22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D’un point de vue plus personnel, je souhaite remercier toutes les personnes qui sans le savoir ou en connaissance de cause, par leur soutien, leur réconfort ou simplement leur gaieté, ont permis la réalisation de cette thèse. Mes parents tout d’abord, pour m’avoir soutenu pendant mes études, donné le goût du savoir depuis tout petit, et élevé dans un environnement propice à ce que je puisse arriver à l’université. Un grand merci à ma mère pour avoir relu l’orthographe de la thèse, et à la présence infaillible de ma très chère sœur Nathalie. </w:t>
      </w:r>
    </w:p>
    <w:p w14:paraId="10C6F324"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Mes remerciements vont aussi aux médecins et psychologues qui m’ont suivi pendant et après mon </w:t>
      </w:r>
      <w:r w:rsidRPr="00DE659D">
        <w:rPr>
          <w:i/>
          <w:noProof/>
          <w:color w:val="000000" w:themeColor="text1"/>
          <w:lang w:val="fr-FR" w:eastAsia="fr-BE"/>
        </w:rPr>
        <w:t>burn out</w:t>
      </w:r>
      <w:r w:rsidRPr="00DE659D">
        <w:rPr>
          <w:noProof/>
          <w:color w:val="000000" w:themeColor="text1"/>
          <w:lang w:val="fr-FR" w:eastAsia="fr-BE"/>
        </w:rPr>
        <w:t xml:space="preserve">, ainsi qu’à mes coachs de boxe thaï Nordin et Otman et à tout l’équipe du Queensbury. La boxe a été ma thérapie du quotidien et jamais je n’aurais fini cette thèse sans eux. Merci au bar Le Rabelais et à la SNCB, car j’ai littéralement écrit la moitié de ma thèse dans les trains et dans ce bar. </w:t>
      </w:r>
    </w:p>
    <w:p w14:paraId="3B6A5C8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Enfin, Je tiens à remercier les personnes qui ont vécu intimement les aléas et les joies de la vie d’un thésard. Merci aux colocs du 404 Place agora, à Mathilde pour tout ce qu’on a vécu ensemble, au colocs du refuge, à Hélène pour son soutien et sa bonne humeur. Et puis surtout aux joyeux colocs de la Seutinoise avec qui j’ai passé ces deux dernières années : Jeanne, Leila, Pierre, François, Simon, Alice, Rosalie, Marielle, Sophie, Alice, Achraf et Sylvie. Merci particulièrement à Jeanne pour son soutien, sa gaieté et sa présence sur la dernière ligne droite. Merci enfin au squad de choc avec qui je traîne depuis l’AGL : Martin, Merlin, MH, Hélène et tous les autres de cette bande : Romain, Carlotita, BenPé, Sofia, Max, Anaïs, et tous les autres. Merci à Céline pour tous ces bons moments passés ensemble. </w:t>
      </w:r>
    </w:p>
    <w:p w14:paraId="7017F7C7" w14:textId="249C460D" w:rsidR="00EA1EBD" w:rsidRDefault="00DE659D" w:rsidP="00A9028C">
      <w:pPr>
        <w:rPr>
          <w:noProof/>
          <w:color w:val="000000" w:themeColor="text1"/>
          <w:lang w:val="fr-BE" w:eastAsia="fr-BE"/>
        </w:rPr>
      </w:pPr>
      <w:r w:rsidRPr="00DE659D">
        <w:rPr>
          <w:i/>
          <w:noProof/>
          <w:color w:val="000000" w:themeColor="text1"/>
          <w:lang w:val="fr-BE" w:eastAsia="fr-BE"/>
        </w:rPr>
        <w:lastRenderedPageBreak/>
        <w:t>Last but not least</w:t>
      </w:r>
      <w:r w:rsidRPr="00DE659D">
        <w:rPr>
          <w:noProof/>
          <w:color w:val="000000" w:themeColor="text1"/>
          <w:lang w:val="fr-BE" w:eastAsia="fr-BE"/>
        </w:rPr>
        <w:t xml:space="preserve">, je conclus ces remerciements en tirant mon chapeau à mes amis d’enfance pour qui j’ai une profonde amitié : Stéphane, Mathieu, Simon, Raphael, Robin, Oliver, Manon, Anaïd, et Doriane. Vous êtes la crème de la crème. </w:t>
      </w:r>
    </w:p>
    <w:p w14:paraId="4299E2BD" w14:textId="721101E6" w:rsidR="00EA1EBD" w:rsidRDefault="00EA1EBD">
      <w:pPr>
        <w:spacing w:line="259" w:lineRule="auto"/>
        <w:ind w:firstLine="0"/>
        <w:jc w:val="left"/>
        <w:rPr>
          <w:noProof/>
          <w:color w:val="000000" w:themeColor="text1"/>
          <w:lang w:val="fr-BE" w:eastAsia="fr-BE"/>
        </w:rPr>
      </w:pPr>
      <w:r>
        <w:rPr>
          <w:noProof/>
          <w:color w:val="000000" w:themeColor="text1"/>
          <w:lang w:val="fr-BE" w:eastAsia="fr-BE"/>
        </w:rPr>
        <w:br w:type="page"/>
      </w:r>
    </w:p>
    <w:p w14:paraId="2C04BAE3" w14:textId="77777777" w:rsidR="00A9028C" w:rsidRDefault="00A9028C" w:rsidP="00A9028C">
      <w:pPr>
        <w:rPr>
          <w:noProof/>
          <w:color w:val="000000" w:themeColor="text1"/>
          <w:lang w:val="fr-BE" w:eastAsia="fr-BE"/>
        </w:rPr>
        <w:sectPr w:rsidR="00A9028C" w:rsidSect="002B0AD1">
          <w:headerReference w:type="default" r:id="rId12"/>
          <w:footerReference w:type="default" r:id="rId13"/>
          <w:headerReference w:type="first" r:id="rId14"/>
          <w:pgSz w:w="11906" w:h="16838" w:code="9"/>
          <w:pgMar w:top="1701" w:right="2268" w:bottom="1701" w:left="2268" w:header="992" w:footer="992" w:gutter="0"/>
          <w:pgNumType w:fmt="lowerRoman" w:start="1"/>
          <w:cols w:space="708"/>
          <w:docGrid w:linePitch="381"/>
        </w:sectPr>
      </w:pPr>
    </w:p>
    <w:p w14:paraId="00058158" w14:textId="08138668" w:rsidR="00DE659D" w:rsidRPr="00DE659D" w:rsidRDefault="00DE659D" w:rsidP="002B0AD1">
      <w:pPr>
        <w:pStyle w:val="Titre1"/>
        <w:rPr>
          <w:noProof/>
          <w:lang w:eastAsia="fr-BE"/>
        </w:rPr>
      </w:pPr>
      <w:bookmarkStart w:id="5" w:name="_Toc51512254"/>
      <w:r w:rsidRPr="00A9028C">
        <w:rPr>
          <w:rStyle w:val="Titre1Car"/>
        </w:rPr>
        <w:lastRenderedPageBreak/>
        <w:t xml:space="preserve">Introduction </w:t>
      </w:r>
      <w:proofErr w:type="spellStart"/>
      <w:r w:rsidRPr="00A9028C">
        <w:rPr>
          <w:rStyle w:val="Titre1Car"/>
        </w:rPr>
        <w:t>générale</w:t>
      </w:r>
      <w:proofErr w:type="spellEnd"/>
      <w:r w:rsidRPr="00DE659D">
        <w:rPr>
          <w:noProof/>
          <w:vertAlign w:val="superscript"/>
          <w:lang w:eastAsia="fr-BE"/>
        </w:rPr>
        <w:footnoteReference w:id="1"/>
      </w:r>
      <w:bookmarkEnd w:id="5"/>
    </w:p>
    <w:p w14:paraId="6E3FACBC" w14:textId="0057A17B" w:rsidR="00DE659D" w:rsidRPr="00DE659D" w:rsidRDefault="00DE659D" w:rsidP="00DE659D">
      <w:pPr>
        <w:pStyle w:val="Titre2"/>
        <w:rPr>
          <w:noProof/>
          <w:lang w:val="fr-BE" w:eastAsia="fr-BE"/>
        </w:rPr>
      </w:pPr>
      <w:bookmarkStart w:id="6" w:name="_Toc51512255"/>
      <w:r w:rsidRPr="00DE659D">
        <w:rPr>
          <w:noProof/>
          <w:lang w:val="fr-BE" w:eastAsia="fr-BE"/>
        </w:rPr>
        <w:t>Cadre général de la thèse</w:t>
      </w:r>
      <w:bookmarkEnd w:id="6"/>
    </w:p>
    <w:p w14:paraId="1BD2A91A" w14:textId="77777777" w:rsidR="00DE659D" w:rsidRPr="00DE659D" w:rsidRDefault="00DE659D" w:rsidP="00DE659D">
      <w:pPr>
        <w:rPr>
          <w:noProof/>
          <w:color w:val="000000" w:themeColor="text1"/>
          <w:lang w:val="hu-HU" w:eastAsia="fr-BE"/>
        </w:rPr>
      </w:pPr>
      <w:r w:rsidRPr="00DE659D">
        <w:rPr>
          <w:noProof/>
          <w:color w:val="000000" w:themeColor="text1"/>
          <w:lang w:val="fr-FR" w:eastAsia="fr-BE"/>
        </w:rPr>
        <w:t>Les sociétés occidentales font face à une série inédite de défis économiques, sociaux et écologiques. En particulier</w:t>
      </w:r>
      <w:r w:rsidRPr="00DE659D">
        <w:rPr>
          <w:noProof/>
          <w:color w:val="000000" w:themeColor="text1"/>
          <w:lang w:val="fr-BE" w:eastAsia="fr-BE"/>
        </w:rPr>
        <w:t xml:space="preserve">, </w:t>
      </w:r>
      <w:r w:rsidRPr="00DE659D">
        <w:rPr>
          <w:noProof/>
          <w:color w:val="000000" w:themeColor="text1"/>
          <w:lang w:val="fr-FR" w:eastAsia="fr-BE"/>
        </w:rPr>
        <w:t>les dernières décennies ont été marquées</w:t>
      </w:r>
      <w:r w:rsidRPr="00DE659D">
        <w:rPr>
          <w:noProof/>
          <w:color w:val="000000" w:themeColor="text1"/>
          <w:lang w:val="fr-BE" w:eastAsia="fr-BE"/>
        </w:rPr>
        <w:t xml:space="preserve"> par une </w:t>
      </w:r>
      <w:r w:rsidRPr="00DE659D">
        <w:rPr>
          <w:noProof/>
          <w:color w:val="000000" w:themeColor="text1"/>
          <w:lang w:val="fr-FR" w:eastAsia="fr-BE"/>
        </w:rPr>
        <w:t xml:space="preserve">hausse des inégalités (Piketty, 2014), une </w:t>
      </w:r>
      <w:r w:rsidRPr="00DE659D">
        <w:rPr>
          <w:noProof/>
          <w:color w:val="000000" w:themeColor="text1"/>
          <w:lang w:val="fr-BE" w:eastAsia="fr-BE"/>
        </w:rPr>
        <w:t>satisfaction de vie globalement stagnante (</w:t>
      </w:r>
      <w:r w:rsidRPr="00DE659D">
        <w:rPr>
          <w:noProof/>
          <w:color w:val="000000" w:themeColor="text1"/>
          <w:lang w:val="fr-FR" w:eastAsia="fr-BE"/>
        </w:rPr>
        <w:t xml:space="preserve">Easterlin, 1974 ; Layard, 2005), un chômage persistant dans certains pays et par le dépassement des seuils écologiques (Steffen </w:t>
      </w:r>
      <w:r w:rsidRPr="00DE659D">
        <w:rPr>
          <w:i/>
          <w:noProof/>
          <w:color w:val="000000" w:themeColor="text1"/>
          <w:lang w:val="fr-FR" w:eastAsia="fr-BE"/>
        </w:rPr>
        <w:t>et al</w:t>
      </w:r>
      <w:r w:rsidRPr="00DE659D">
        <w:rPr>
          <w:noProof/>
          <w:color w:val="000000" w:themeColor="text1"/>
          <w:lang w:val="fr-FR" w:eastAsia="fr-BE"/>
        </w:rPr>
        <w:t>., 2015). De telles conditions – auxquelles s’ajoute une instabilité économique – constituent un terreau fertile pour des changements, qu’ils soient systémiques, institutionnels ou idéels</w:t>
      </w:r>
    </w:p>
    <w:p w14:paraId="7BAE14F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Aujourd’hui, un nombre croissant d’acteurs appellent un changement de paradigme. Si la nature et l’ampleur de ce changement attendu varient fortement d’un acteur à l’autre, l’objectif final – répondre aux principaux enjeux écologiques et sociaux contemporains – fait consensus. Les 17 Objectifs du Développement Durable (ODD) adoptés en 2015 par l’ensemble des États membres de l’ONU (UN, 2015) actent cet objectif en reconnaissant tant l’importance de dimensions sociales qu’environnementales. Dans le monde francophone, le terme ‘transition écologique et sociale’ ou simplement ‘transition’ est utilisé pour désigner la transformation attendue. Nous adoptons cette terminologie au sein de cette thèse (en anglais </w:t>
      </w:r>
      <w:r w:rsidRPr="00DE659D">
        <w:rPr>
          <w:i/>
          <w:noProof/>
          <w:color w:val="000000" w:themeColor="text1"/>
          <w:lang w:val="fr-FR" w:eastAsia="fr-BE"/>
        </w:rPr>
        <w:t>socio-ecological transformation</w:t>
      </w:r>
      <w:r w:rsidRPr="00DE659D">
        <w:rPr>
          <w:noProof/>
          <w:color w:val="000000" w:themeColor="text1"/>
          <w:lang w:val="fr-FR" w:eastAsia="fr-BE"/>
        </w:rPr>
        <w:t>).</w:t>
      </w:r>
    </w:p>
    <w:p w14:paraId="60687092" w14:textId="77777777" w:rsidR="00DE659D" w:rsidRPr="00DE659D" w:rsidRDefault="00DE659D" w:rsidP="00DE659D">
      <w:pPr>
        <w:rPr>
          <w:noProof/>
          <w:color w:val="000000" w:themeColor="text1"/>
          <w:lang w:val="hu-HU" w:eastAsia="fr-BE"/>
        </w:rPr>
      </w:pPr>
      <w:r w:rsidRPr="00DE659D">
        <w:rPr>
          <w:noProof/>
          <w:color w:val="000000" w:themeColor="text1"/>
          <w:lang w:val="fr-FR" w:eastAsia="fr-BE"/>
        </w:rPr>
        <w:t xml:space="preserve">La littérature scientifique est riche d’analyses des thématiques liées à la transition. De nombreux ouvrages visent à expliciter la mesure dans laquelle une transition est souhaitable, ou nécessaire, ou urgente (le ‘pourquoi’ d’une transition) (Brian, 2015 ; </w:t>
      </w:r>
      <w:r w:rsidRPr="00DE659D">
        <w:rPr>
          <w:noProof/>
          <w:color w:val="000000" w:themeColor="text1"/>
          <w:lang w:val="hu-HU" w:eastAsia="fr-BE"/>
        </w:rPr>
        <w:t xml:space="preserve">Masson-Delmotte </w:t>
      </w:r>
      <w:r w:rsidRPr="00DE659D">
        <w:rPr>
          <w:i/>
          <w:noProof/>
          <w:color w:val="000000" w:themeColor="text1"/>
          <w:lang w:val="hu-HU" w:eastAsia="fr-BE"/>
        </w:rPr>
        <w:t>et al</w:t>
      </w:r>
      <w:r w:rsidRPr="00DE659D">
        <w:rPr>
          <w:noProof/>
          <w:color w:val="000000" w:themeColor="text1"/>
          <w:lang w:val="hu-HU" w:eastAsia="fr-BE"/>
        </w:rPr>
        <w:t>., 2018)</w:t>
      </w:r>
      <w:r w:rsidRPr="00DE659D">
        <w:rPr>
          <w:noProof/>
          <w:color w:val="000000" w:themeColor="text1"/>
          <w:lang w:val="fr-FR" w:eastAsia="fr-BE"/>
        </w:rPr>
        <w:t xml:space="preserve">. D’autres visent à étudier par quelles modalités pratiques celle-ci peut se déployer (le ‘comment’ d’une transition) (Kemp </w:t>
      </w:r>
      <w:r w:rsidRPr="00DE659D">
        <w:rPr>
          <w:i/>
          <w:noProof/>
          <w:color w:val="000000" w:themeColor="text1"/>
          <w:lang w:val="fr-FR" w:eastAsia="fr-BE"/>
        </w:rPr>
        <w:t>et al</w:t>
      </w:r>
      <w:r w:rsidRPr="00DE659D">
        <w:rPr>
          <w:noProof/>
          <w:color w:val="000000" w:themeColor="text1"/>
          <w:lang w:val="fr-FR" w:eastAsia="fr-BE"/>
        </w:rPr>
        <w:t xml:space="preserve">., 2007 ; Löwy, 2008). Dans les deux cas, des scientifiques mettent à profit leur fonction – décrire, expliquer, comprendre, critiquer, </w:t>
      </w:r>
      <w:r w:rsidRPr="00DE659D">
        <w:rPr>
          <w:noProof/>
          <w:color w:val="000000" w:themeColor="text1"/>
          <w:lang w:val="fr-FR" w:eastAsia="fr-BE"/>
        </w:rPr>
        <w:lastRenderedPageBreak/>
        <w:t xml:space="preserve">prédire, proposer – afin d’éclairer tel ou tel pan de la transition en gestation. Cette thèse s’inscrit dans une telle démarche de recherche. </w:t>
      </w:r>
      <w:r w:rsidRPr="00DE659D">
        <w:rPr>
          <w:noProof/>
          <w:color w:val="000000" w:themeColor="text1"/>
          <w:lang w:val="hu-HU" w:eastAsia="fr-BE"/>
        </w:rPr>
        <w:t xml:space="preserve">Parmi tous les enjeux relatifs à la transition, c’est sur l’étude des </w:t>
      </w:r>
      <w:r w:rsidRPr="00DE659D">
        <w:rPr>
          <w:i/>
          <w:iCs/>
          <w:noProof/>
          <w:color w:val="000000" w:themeColor="text1"/>
          <w:lang w:val="hu-HU" w:eastAsia="fr-BE"/>
        </w:rPr>
        <w:t>indicateurs</w:t>
      </w:r>
      <w:r w:rsidRPr="00DE659D">
        <w:rPr>
          <w:noProof/>
          <w:color w:val="000000" w:themeColor="text1"/>
          <w:lang w:val="hu-HU" w:eastAsia="fr-BE"/>
        </w:rPr>
        <w:t xml:space="preserve"> sociaux et environnementaux qu’elle se concentre.</w:t>
      </w:r>
    </w:p>
    <w:p w14:paraId="21B38DA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Un indicateur est une ‘</w:t>
      </w:r>
      <w:r w:rsidRPr="00DE659D">
        <w:rPr>
          <w:i/>
          <w:noProof/>
          <w:color w:val="000000" w:themeColor="text1"/>
          <w:lang w:val="fr-FR" w:eastAsia="fr-BE"/>
        </w:rPr>
        <w:t>variable qui résume ou simplifie une information pertinente, qui rend visible ou perceptible un phénomène d’intérêt, et qui quantifie, mesure et communique une information pertinente</w:t>
      </w:r>
      <w:r w:rsidRPr="00DE659D">
        <w:rPr>
          <w:noProof/>
          <w:color w:val="000000" w:themeColor="text1"/>
          <w:lang w:val="fr-FR" w:eastAsia="fr-BE"/>
        </w:rPr>
        <w:t xml:space="preserve">’ (Gallopin, 1996). Les indicateurs sont de plus en plus utilisés dans la coordination des activités humaines, pour donner une information sur l’état du monde, ou sur le succès ou l’échec d’une action. D’une part, la taille des sociétés humaines rend difficile la compréhension des phénomènes globaux par la seule expérience directe. La quantification qui offre une représentation synthétique permet d’en simplifier la compréhension. D’autre part, l’accent mis sur les incitations microéconomiques et le contrôle des performances individuelles depuis les années 1980 – la ‘gouvernance par les nombres’ – a largement favorisé le développement d’indicateurs. La rémunération à la performance, les </w:t>
      </w:r>
      <w:r w:rsidRPr="00DE659D">
        <w:rPr>
          <w:i/>
          <w:noProof/>
          <w:color w:val="000000" w:themeColor="text1"/>
          <w:lang w:val="fr-FR" w:eastAsia="fr-BE"/>
        </w:rPr>
        <w:t>benchmarkings</w:t>
      </w:r>
      <w:r w:rsidRPr="00DE659D">
        <w:rPr>
          <w:noProof/>
          <w:color w:val="000000" w:themeColor="text1"/>
          <w:lang w:val="fr-FR" w:eastAsia="fr-BE"/>
        </w:rPr>
        <w:t xml:space="preserve">, les </w:t>
      </w:r>
      <w:r w:rsidRPr="00DE659D">
        <w:rPr>
          <w:i/>
          <w:noProof/>
          <w:color w:val="000000" w:themeColor="text1"/>
          <w:lang w:val="fr-FR" w:eastAsia="fr-BE"/>
        </w:rPr>
        <w:t>rankings</w:t>
      </w:r>
      <w:r w:rsidRPr="00DE659D">
        <w:rPr>
          <w:noProof/>
          <w:color w:val="000000" w:themeColor="text1"/>
          <w:lang w:val="fr-FR" w:eastAsia="fr-BE"/>
        </w:rPr>
        <w:t xml:space="preserve">, etc. constituent autant de manières d’inciter, de contrôler ou d’évaluer les comportements sur base d’indicateurs chiffrés (Desrosières, 2012 ; Salais, 2014). </w:t>
      </w:r>
    </w:p>
    <w:p w14:paraId="004DCF68"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 Aujourd’hui, à différents niveaux, les indicateurs utilisés pour évaluer ou guider l’action humaine sont questionnés. Une première critique remet en question la pertinence même de la quantification. Elle considère que cette dernière sera toujours trop réductrice pour saisir les dimensions qualitatives les plus cruciales, ou qu’elle entraîne des rétroactions dont les effets sont souvent pervers (Desrosières, 2012). Cette critique ne sera toutefois pas poursuivie dans cette thèse, car elle tend à amalgamer la quantification en général avec certains usages spécifiques qui ont cours aujourd’hui. Or, s’il est vrai que la quantification prend fréquemment la forme d’un outil de contrôle, elle a eu un tout autre rôle dans le passé, où elle était mise au service de l’émancipation humaine (Bruno </w:t>
      </w:r>
      <w:r w:rsidRPr="00DE659D">
        <w:rPr>
          <w:i/>
          <w:noProof/>
          <w:color w:val="000000" w:themeColor="text1"/>
          <w:lang w:val="fr-FR" w:eastAsia="fr-BE"/>
        </w:rPr>
        <w:t>et al.,</w:t>
      </w:r>
      <w:r w:rsidRPr="00DE659D">
        <w:rPr>
          <w:noProof/>
          <w:color w:val="000000" w:themeColor="text1"/>
          <w:lang w:val="fr-FR" w:eastAsia="fr-BE"/>
        </w:rPr>
        <w:t xml:space="preserve"> 2015). Ce rôle demeure d’ailleurs encore présent si l’on considère des indicateurs tels que l’Empreinte Écologique ou le Coefficient d’inégalités de Gini. </w:t>
      </w:r>
    </w:p>
    <w:p w14:paraId="441A81CD"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lastRenderedPageBreak/>
        <w:t>Le parti pris dans cette thèse est que rien ne s’oppose à ce que la quantification soit remise au service de l’émancipation, si celles et ceux qui en définissent l’usage changent, ou si les fonctions sociales auxquelles elle répond se modifient. Cette thèse s’appuie dès lors sur une autre critique, qui questionne le contenu, la forme ou la finalité des indicateurs en usage actuellement. Ces indicateurs sont principalement des indicateurs macroéconomiques (destinés à la gouvernance publique) ou des indicateurs financiers (destinés à la gouvernance des entreprises) (Gadrey et Jany-Catrice, 2012 ; Kaplan et Atkinson, 2015). Pour certains, le fait que ces indicateurs aient été conçus à d’autres époques historiques, en cohérence avec les besoins propres à ces époques, les rend aveugles aux enjeux sociaux ou environnementaux de la transition contemporaine (Cassiers et Thiry, 2014). Ces indicateurs économiques et financiers sont donc jugés inadéquats ou insuffisants pour piloter une transition.</w:t>
      </w:r>
    </w:p>
    <w:p w14:paraId="47F27814" w14:textId="27599AC6" w:rsidR="00DE659D" w:rsidRPr="00DE659D" w:rsidRDefault="00DE659D" w:rsidP="00DE659D">
      <w:pPr>
        <w:pStyle w:val="Titre3"/>
        <w:rPr>
          <w:noProof/>
          <w:lang w:val="hu-HU" w:eastAsia="fr-BE"/>
        </w:rPr>
      </w:pPr>
      <w:bookmarkStart w:id="7" w:name="_Toc51512256"/>
      <w:r w:rsidRPr="00DE659D">
        <w:rPr>
          <w:noProof/>
          <w:lang w:val="hu-HU" w:eastAsia="fr-BE"/>
        </w:rPr>
        <w:t>L’objet de la thèse : les indicateurs sociaux et environnementaux</w:t>
      </w:r>
      <w:bookmarkEnd w:id="7"/>
    </w:p>
    <w:p w14:paraId="3BF580FD"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Aiguiller une transition requiert dès lors de remplacer ou de compléter les indicateurs économiques et financiers existants par des mesures de ce qui concoure plus directement au bien-être humain ou au respect de limites écosystémiques. En pratique, cela revient à utiliser des indicateurs sociaux ou environnementaux, c’est-à-dire des indicateurs dont l’objet est une préoccupation de nature sociale ou environnementale. Depuis les années 1995, une vaste gamme de tels indicateurs a émergé dans la littérature (</w:t>
      </w:r>
      <w:r w:rsidRPr="00DE659D">
        <w:rPr>
          <w:noProof/>
          <w:color w:val="000000" w:themeColor="text1"/>
          <w:lang w:val="fr-BE" w:eastAsia="fr-BE"/>
        </w:rPr>
        <w:t>Barrington-Leigh et Escande, 2018 ; Herzig et Schaltegger, 2006)</w:t>
      </w:r>
      <w:r w:rsidRPr="00DE659D">
        <w:rPr>
          <w:noProof/>
          <w:color w:val="000000" w:themeColor="text1"/>
          <w:lang w:val="fr-FR" w:eastAsia="fr-BE"/>
        </w:rPr>
        <w:t xml:space="preserve">. Il est intéressant de noter que ce mouvement s’est opéré simultanément tant au niveau macro qu’au niveau de l’entreprise. Au niveau macro, ce sont des variables de santé, d’éducation, de pauvreté, de durabilité, d’inégalités, de bien-être, de logement, etc. qui composent ces indicateurs (Singh et </w:t>
      </w:r>
      <w:r w:rsidRPr="00DE659D">
        <w:rPr>
          <w:i/>
          <w:noProof/>
          <w:color w:val="000000" w:themeColor="text1"/>
          <w:lang w:val="fr-FR" w:eastAsia="fr-BE"/>
        </w:rPr>
        <w:t>al</w:t>
      </w:r>
      <w:r w:rsidRPr="00DE659D">
        <w:rPr>
          <w:noProof/>
          <w:color w:val="000000" w:themeColor="text1"/>
          <w:lang w:val="fr-FR" w:eastAsia="fr-BE"/>
        </w:rPr>
        <w:t>., 2009 ; Gadrey et Jany-Catrice, 2012</w:t>
      </w:r>
      <w:r w:rsidRPr="00DE659D">
        <w:rPr>
          <w:noProof/>
          <w:color w:val="000000" w:themeColor="text1"/>
          <w:lang w:val="fr-BE" w:eastAsia="fr-BE"/>
        </w:rPr>
        <w:t>)</w:t>
      </w:r>
      <w:r w:rsidRPr="00DE659D">
        <w:rPr>
          <w:noProof/>
          <w:color w:val="000000" w:themeColor="text1"/>
          <w:lang w:val="fr-FR" w:eastAsia="fr-BE"/>
        </w:rPr>
        <w:t xml:space="preserve">. Les plus connus d’entre eux sont l’Indice de Développement Humain (IDH), l’Empreinte Ecologique (EE), le Bonheur National Brut (GNH), ou l’indice De Bien-Etre Economique Durable (IBEED). Au niveau de l’entreprise, les éléments mesurés concernent des domaines tels que la santé au travail, les inégalités de genre, l’efficacité énergétique, la satisfaction </w:t>
      </w:r>
      <w:r w:rsidRPr="00DE659D">
        <w:rPr>
          <w:noProof/>
          <w:color w:val="000000" w:themeColor="text1"/>
          <w:lang w:val="fr-FR" w:eastAsia="fr-BE"/>
        </w:rPr>
        <w:lastRenderedPageBreak/>
        <w:t xml:space="preserve">des clients, la bonne gouvernance, les émissions carbone, etc. Les démarches de quantification les plus connues sont la </w:t>
      </w:r>
      <w:r w:rsidRPr="00DE659D">
        <w:rPr>
          <w:i/>
          <w:noProof/>
          <w:color w:val="000000" w:themeColor="text1"/>
          <w:lang w:val="fr-FR" w:eastAsia="fr-BE"/>
        </w:rPr>
        <w:t>Global Reporting Initiative</w:t>
      </w:r>
      <w:r w:rsidRPr="00DE659D">
        <w:rPr>
          <w:noProof/>
          <w:color w:val="000000" w:themeColor="text1"/>
          <w:lang w:val="fr-FR" w:eastAsia="fr-BE"/>
        </w:rPr>
        <w:t xml:space="preserve"> (GRI), la norme </w:t>
      </w:r>
      <w:r w:rsidRPr="00DE659D">
        <w:rPr>
          <w:i/>
          <w:noProof/>
          <w:color w:val="000000" w:themeColor="text1"/>
          <w:lang w:val="fr-FR" w:eastAsia="fr-BE"/>
        </w:rPr>
        <w:t>ISO 26000</w:t>
      </w:r>
      <w:r w:rsidRPr="00DE659D">
        <w:rPr>
          <w:noProof/>
          <w:color w:val="000000" w:themeColor="text1"/>
          <w:lang w:val="fr-FR" w:eastAsia="fr-BE"/>
        </w:rPr>
        <w:t xml:space="preserve"> ou la certification </w:t>
      </w:r>
      <w:r w:rsidRPr="00DE659D">
        <w:rPr>
          <w:i/>
          <w:noProof/>
          <w:color w:val="000000" w:themeColor="text1"/>
          <w:lang w:val="fr-FR" w:eastAsia="fr-BE"/>
        </w:rPr>
        <w:t>B-Corp</w:t>
      </w:r>
      <w:r w:rsidRPr="00DE659D">
        <w:rPr>
          <w:noProof/>
          <w:color w:val="000000" w:themeColor="text1"/>
          <w:lang w:val="fr-FR" w:eastAsia="fr-BE"/>
        </w:rPr>
        <w:t>. Des initiatives rassemblant niveaux macro et micro émergent également, tels que les indicateurs des Objectifs du Développement Durable (ODD).</w:t>
      </w:r>
    </w:p>
    <w:p w14:paraId="54624F1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Indépendamment des spécificités liées aux deux niveaux auxquels ces indicateurs sont développés, les espoirs qui sont généralement associés à leur développement sont similaires et se rapportent à leur rôle d’accompagnateur ou de facilitateur de la transition</w:t>
      </w:r>
      <w:r w:rsidRPr="00DE659D">
        <w:rPr>
          <w:noProof/>
          <w:color w:val="000000" w:themeColor="text1"/>
          <w:vertAlign w:val="superscript"/>
          <w:lang w:val="fr-FR" w:eastAsia="fr-BE"/>
        </w:rPr>
        <w:footnoteReference w:id="2"/>
      </w:r>
      <w:r w:rsidRPr="00DE659D">
        <w:rPr>
          <w:noProof/>
          <w:color w:val="000000" w:themeColor="text1"/>
          <w:lang w:val="fr-FR" w:eastAsia="fr-BE"/>
        </w:rPr>
        <w:t xml:space="preserve">. Ce rôle peut s’effectuer soit par leur usage direct comme rouage dans la gestion politique ou économique (monitoring, évaluation), soit par leur influence indirecte lorsqu’ils dévoilent des grandes tendances ou sont utilisés comme cadre de référence lors de joutes argumentatives (Sebastien et Bauler, 2013). Toutefois, les espoirs qui sont placés dans ces indicateurs semblent jusqu’à présent ne pas avoir été satisfaits. D’un côté, le nombre d’indicateurs sociaux et environnementaux est en augmentation, de même que leur sophistication technique. Mais d’un autre côté, bien que leur nombre croisse, ils sont encore loin d’avoir l’influence ou l’importance des indicateurs économiques ou financiers conventionnels, qui dominent l’espace médiatique comme celui de la prise de décision (Hoekstra, 2019). </w:t>
      </w:r>
    </w:p>
    <w:p w14:paraId="5A7FFAE4"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Cette thèse prend pour point de départ l’ensemble des constats évoqués ci-dessus. D’abord, elle considère que la multiplicité des enjeux sociaux et environnementaux constitue un terreau fertile à un changement de paradigme, désigné de manière croissante par le concept de ‘transition’. Ensuite, elle reconnaît l’importance contemporaine des indicateurs dans la coordination des actions humaines, ainsi que les nombreuses initiatives visant à mettre ces indicateurs en cohérence avec la transition. Enfin, elle considère que si la critique des indicateurs existants est bien établie, des indicateurs alternatifs sociaux ou environnementaux peinent à atteindre le niveau </w:t>
      </w:r>
      <w:r w:rsidRPr="00DE659D">
        <w:rPr>
          <w:noProof/>
          <w:color w:val="000000" w:themeColor="text1"/>
          <w:lang w:val="fr-FR" w:eastAsia="fr-BE"/>
        </w:rPr>
        <w:lastRenderedPageBreak/>
        <w:t xml:space="preserve">d’influence auxquels les indicateurs conventionnels peuvent prétendre. </w:t>
      </w:r>
    </w:p>
    <w:p w14:paraId="7AC8F41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La question générale posée dans cette thèse découle de l’ensemble de ces constats. Elle se formule dans les termes suivants : ‘Quelles doivent être les caractéristiques des indicateurs d’une transition écologique et sociale ? En d’autres mots, à quelles conditions les indicateurs peuvent-ils accélérer le processus de transition ?’ Il s’agit d’un questionnement sous-jacent à chacun des trois articles qui constituent le cœur de la thèse. Selon les articles, certaines facettes de ce questionnement sont davantage accentuées. </w:t>
      </w:r>
    </w:p>
    <w:p w14:paraId="0A49DCF9"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Le choix des éléments qui ont reçu une attention particulière répond à des manques dans la littérature scientifique, qui concernent particulièrement trois enjeux considérés comme cruciaux dans le développement d’un nouveau paradigme comptable pour aiguiller la transition. La suite de cette introduction propose une thématisation de ces enjeux par rapport auxquels les articles de thèse seront positionnés.</w:t>
      </w:r>
    </w:p>
    <w:p w14:paraId="4EAEE73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Au niveau le plus fondamental, un indicateur est un outil qui est employé par un acteur, pour réaliser des objectifs personnels ou des fonctions systémiques. La relation entre usager et indicateur est donc un premier point auquel s’intéresser (Bauler, 2012). Ensuite, tant au niveau du gouvernement que de l’entreprise, il s’avère qu’un indicateur ne sera véritablement approprié que s’il s’inscrit dans une stratégie claire et précise (Seaford, 2013 ; Searcy, 2014). La stratégie de changement sociétal implicite à tout indicateur est donc un second élément auquel l’analyste doit être attentif. Enfin, la définition d’une stratégie dépend elle-même d’un objectif qui a été préalablement fixé. La clarté de l’objectif auquel concoure un indicateur est donc un troisième point d’attention. Ces trois éléments constituent en fait une chaîne logique : la poursuite d’un objectif requiert une stratégie, la mise en œuvre d’une stratégie requiert la mobilisation de certains acteurs, et ces acteurs peuvent utiliser ou non des indicateurs</w:t>
      </w:r>
      <w:r w:rsidRPr="00DE659D">
        <w:rPr>
          <w:noProof/>
          <w:color w:val="000000" w:themeColor="text1"/>
          <w:vertAlign w:val="superscript"/>
          <w:lang w:val="fr-FR" w:eastAsia="fr-BE"/>
        </w:rPr>
        <w:footnoteReference w:id="3"/>
      </w:r>
      <w:r w:rsidRPr="00DE659D">
        <w:rPr>
          <w:noProof/>
          <w:color w:val="000000" w:themeColor="text1"/>
          <w:lang w:val="fr-FR" w:eastAsia="fr-BE"/>
        </w:rPr>
        <w:t xml:space="preserve">. Or, </w:t>
      </w:r>
      <w:r w:rsidRPr="00DE659D">
        <w:rPr>
          <w:noProof/>
          <w:color w:val="000000" w:themeColor="text1"/>
          <w:lang w:val="fr-FR" w:eastAsia="fr-BE"/>
        </w:rPr>
        <w:lastRenderedPageBreak/>
        <w:t>ces trois éléments sont insuffisamment présents dans la conceptualisation d’indicateurs d’une transition. En effet, il n’y a actuellement consensus ni sur la direction exacte que devrait prendre une transition, ni sur la stratégie – et le rôle des indicateurs en son sein – pour l’établir, ni sur le lien à forger entre indicateurs et acteurs.</w:t>
      </w:r>
    </w:p>
    <w:p w14:paraId="26EA048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Les trois questions auxquelles cette thèse accorde une attention particulière sont dès lors: (1) quel est l’objectif de la transition sous-jacent à chaque indicateur ? (2) quelle est la stratégie (politique et économique) de transition derrière chaque indicateur ? et (3) quels sont les destinataires de chaque indicateur ? Ces enjeux sont explicités dans la section suivante. Plus qu’un relevé des différentes tendances, cette thèse entend également se positionner sur chacune de ces questions. </w:t>
      </w:r>
    </w:p>
    <w:p w14:paraId="7ABB6735" w14:textId="0AFA648C" w:rsidR="00DE659D" w:rsidRPr="00D440C7" w:rsidRDefault="00DE659D" w:rsidP="00D440C7">
      <w:pPr>
        <w:pStyle w:val="Titre3"/>
        <w:rPr>
          <w:lang w:val="fr-BE"/>
        </w:rPr>
      </w:pPr>
      <w:bookmarkStart w:id="8" w:name="_Toc51512257"/>
      <w:r w:rsidRPr="00D440C7">
        <w:rPr>
          <w:lang w:val="fr-BE"/>
        </w:rPr>
        <w:t xml:space="preserve">L’approche théorique de la thèse : </w:t>
      </w:r>
      <w:proofErr w:type="spellStart"/>
      <w:r w:rsidRPr="00D440C7">
        <w:rPr>
          <w:lang w:val="fr-BE"/>
        </w:rPr>
        <w:t>Ecological</w:t>
      </w:r>
      <w:proofErr w:type="spellEnd"/>
      <w:r w:rsidRPr="00D440C7">
        <w:rPr>
          <w:lang w:val="fr-BE"/>
        </w:rPr>
        <w:t xml:space="preserve"> </w:t>
      </w:r>
      <w:proofErr w:type="spellStart"/>
      <w:r w:rsidRPr="00D440C7">
        <w:rPr>
          <w:lang w:val="fr-BE"/>
        </w:rPr>
        <w:t>Economics</w:t>
      </w:r>
      <w:bookmarkEnd w:id="8"/>
      <w:proofErr w:type="spellEnd"/>
    </w:p>
    <w:p w14:paraId="02734BC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Avant d’aborder ces enjeux proprement dits, cette section entend expliciter le cadre théorique et épistémologique de la thèse, c’est-à-dire la manière par laquelle celle-ci entend produire du savoir scientifique. Le courant de recherche dans lequel s’inscrit ce travail est le courant </w:t>
      </w:r>
      <w:r w:rsidRPr="00DE659D">
        <w:rPr>
          <w:i/>
          <w:noProof/>
          <w:color w:val="000000" w:themeColor="text1"/>
          <w:lang w:val="fr-FR" w:eastAsia="fr-BE"/>
        </w:rPr>
        <w:t xml:space="preserve">Ecological </w:t>
      </w:r>
      <w:r w:rsidRPr="00DE659D">
        <w:rPr>
          <w:noProof/>
          <w:color w:val="000000" w:themeColor="text1"/>
          <w:lang w:val="fr-FR" w:eastAsia="fr-BE"/>
        </w:rPr>
        <w:t xml:space="preserve">Economics (et plus particulièrement sa déclinaison </w:t>
      </w:r>
      <w:r w:rsidRPr="00DE659D">
        <w:rPr>
          <w:i/>
          <w:noProof/>
          <w:color w:val="000000" w:themeColor="text1"/>
          <w:lang w:val="fr-FR" w:eastAsia="fr-BE"/>
        </w:rPr>
        <w:t>Social Ecological Economics</w:t>
      </w:r>
      <w:r w:rsidRPr="00DE659D">
        <w:rPr>
          <w:noProof/>
          <w:color w:val="000000" w:themeColor="text1"/>
          <w:lang w:val="fr-FR" w:eastAsia="fr-BE"/>
        </w:rPr>
        <w:t xml:space="preserve">). Il s’agit d’un vaste champ de recherche examinant les interactions entre les activités humaines et les limites biophysiques au sein desquelles elles prennent place (Spash, 2017). L’attention portée aux dynamiques de production, de consommation et d’allocation des ressources le positionnent comme une des branches des sciences économiques. Cet ancrage disciplinaire est toutefois complété par une intégration à un degré assez avancé des apports et des méthodologies de nombreuses autres disciplines tant des sciences naturelles que des sciences sociales. L’objet de cette thèse – les indicateurs – étant par nature interdisciplinaire, celle-ci s’est naturellement orientée vers ce courant de recherche. D’autres disciplines que les sciences économiques ont également été </w:t>
      </w:r>
      <w:r w:rsidRPr="00DE659D">
        <w:rPr>
          <w:noProof/>
          <w:color w:val="000000" w:themeColor="text1"/>
          <w:lang w:val="fr-FR" w:eastAsia="fr-BE"/>
        </w:rPr>
        <w:lastRenderedPageBreak/>
        <w:t xml:space="preserve">convoquées : en premier lieu les sciences de gestion pour les analyses au niveau de l’entreprise, ainsi que l’histoire économique, les sciences politiques et la sociologie. L’inscription dans le courant </w:t>
      </w:r>
      <w:r w:rsidRPr="00DE659D">
        <w:rPr>
          <w:i/>
          <w:noProof/>
          <w:color w:val="000000" w:themeColor="text1"/>
          <w:lang w:val="fr-FR" w:eastAsia="fr-BE"/>
        </w:rPr>
        <w:t>Social Ecological Economics</w:t>
      </w:r>
      <w:r w:rsidRPr="00DE659D">
        <w:rPr>
          <w:noProof/>
          <w:color w:val="000000" w:themeColor="text1"/>
          <w:lang w:val="fr-FR" w:eastAsia="fr-BE"/>
        </w:rPr>
        <w:t xml:space="preserve"> se marque également par une attention portée aux seuils écologiques critiques, aux dimensions sociales et politiques, ainsi que par une posture envisageant la recherche comme connectée aux enjeux contemporains et à leur résolution. </w:t>
      </w:r>
    </w:p>
    <w:p w14:paraId="1C2DC305"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Deux autres courants ont également largement façonné la plupart des analyses de cette thèse, sans pour autant que celle-ci s’inscrive en leur sein. Le premier est la philosophie analytique de tradition anglo-saxonne, en particulier celle pratiquée à la Chaire Hoover d’éthique économique et sociale au sein de laquelle j’ai effectué mes recherches. Cette approche philosophique met l’accent sur l’importance de clarifier le sens des concepts utilisés et le statut des propositions avancées, ce qui implique une vigilance de chaque instant quant aux définitions qui sont utilisées et à leurs implications. Si cette rigueur intellectuelle peut sembler évidente et à la base de la science, elle est pourtant absente de nombreux travaux scientifiques (voire de courants entiers), où des concepts complexes masquent les failles des raisonnements. En particulier, l’approche analytique m’a été cruciale pour clarifier des concepts tels que ‘potentiel transformateur’, ‘acteurs puissants’, ‘articulation micro macro’, ainsi que dans l’abandon progressif de concepts tels que ‘décroissance’ ou ‘post croissance’. </w:t>
      </w:r>
    </w:p>
    <w:p w14:paraId="229F482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L’autre courant ayant inspiré cette thèse est le marxisme (classique), courant interdisciplinaire également. Sa vision des conditions auxquelles s’opèrent des changements sociaux – comme le résultat de frictions entre forces productives et modes de production – a été essentielle pour l’analyse de l’usage et du non-usage des indicateurs. C’est de cette approche qu’est initialement provenue l’intuition selon laquelle le choix d’un indicateur dépend de l’usage qui va en être fait, usage qui lui-même découle des manières d’organiser la production. Considérer que les caractéristiques d’un indicateur sont déterminées par son usage auprès d’un usager peut sembler consensuel (et n’est d’ailleurs pas nécessairement marxiste). Toutefois, la plupart de la littérature du champ ‘au-delà du PIB’ </w:t>
      </w:r>
      <w:r w:rsidRPr="00DE659D">
        <w:rPr>
          <w:noProof/>
          <w:color w:val="000000" w:themeColor="text1"/>
          <w:lang w:val="fr-FR" w:eastAsia="fr-BE"/>
        </w:rPr>
        <w:lastRenderedPageBreak/>
        <w:t xml:space="preserve">considère que les indicateurs reflètent une conception </w:t>
      </w:r>
      <w:r w:rsidRPr="00DE659D">
        <w:rPr>
          <w:i/>
          <w:noProof/>
          <w:color w:val="000000" w:themeColor="text1"/>
          <w:lang w:val="fr-FR" w:eastAsia="fr-BE"/>
        </w:rPr>
        <w:t>a priori</w:t>
      </w:r>
      <w:r w:rsidRPr="00DE659D">
        <w:rPr>
          <w:noProof/>
          <w:color w:val="000000" w:themeColor="text1"/>
          <w:lang w:val="fr-FR" w:eastAsia="fr-BE"/>
        </w:rPr>
        <w:t xml:space="preserve"> de la prospérité, plutôt qu’un usage. Dans cette thèse, l’apport du marxisme s’incarne dans cette importance accordée aux utilisateurs des indicateurs. Elle s’observe aussi dans une attention portée aux rapports de pouvoir entre groupes sociaux. En résumé, cette dissertation se place donc au sein du courant </w:t>
      </w:r>
      <w:r w:rsidRPr="00DE659D">
        <w:rPr>
          <w:i/>
          <w:noProof/>
          <w:color w:val="000000" w:themeColor="text1"/>
          <w:lang w:val="fr-FR" w:eastAsia="fr-BE"/>
        </w:rPr>
        <w:t>Ecological Economics</w:t>
      </w:r>
      <w:r w:rsidRPr="00DE659D">
        <w:rPr>
          <w:noProof/>
          <w:color w:val="000000" w:themeColor="text1"/>
          <w:lang w:val="fr-FR" w:eastAsia="fr-BE"/>
        </w:rPr>
        <w:t>, avec une toile de fond inspirée de la philosophie analytique et du marxisme, et recourt largement aux apports des différentes sciences sociales.</w:t>
      </w:r>
    </w:p>
    <w:p w14:paraId="539EABAC" w14:textId="77777777" w:rsidR="00DE659D" w:rsidRPr="00DE659D" w:rsidRDefault="00DE659D" w:rsidP="00DE659D">
      <w:pPr>
        <w:rPr>
          <w:b/>
          <w:bCs/>
          <w:noProof/>
          <w:color w:val="000000" w:themeColor="text1"/>
          <w:lang w:val="fr-BE" w:eastAsia="fr-BE"/>
        </w:rPr>
      </w:pPr>
      <w:r w:rsidRPr="00DE659D">
        <w:rPr>
          <w:noProof/>
          <w:color w:val="000000" w:themeColor="text1"/>
          <w:lang w:val="hu-HU" w:eastAsia="fr-BE"/>
        </w:rPr>
        <w:br w:type="page"/>
      </w:r>
    </w:p>
    <w:p w14:paraId="092CBA3B" w14:textId="74FFB91C" w:rsidR="00DE659D" w:rsidRPr="00DE659D" w:rsidRDefault="00DE659D" w:rsidP="00DE659D">
      <w:pPr>
        <w:pStyle w:val="Titre2"/>
        <w:rPr>
          <w:noProof/>
          <w:lang w:val="fr-BE" w:eastAsia="fr-BE"/>
        </w:rPr>
      </w:pPr>
      <w:bookmarkStart w:id="9" w:name="_Toc51512258"/>
      <w:r w:rsidRPr="00DE659D">
        <w:rPr>
          <w:noProof/>
          <w:lang w:val="fr-BE" w:eastAsia="fr-BE"/>
        </w:rPr>
        <w:lastRenderedPageBreak/>
        <w:t>Trois enjeux du développement d’indicateurs de la transition</w:t>
      </w:r>
      <w:bookmarkEnd w:id="9"/>
    </w:p>
    <w:p w14:paraId="13F12D9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Idéalement, le développement d’indicateurs pour aiguiller ou évaluer des actions en faveur d’une transition écologique et sociale devrait être clair sur (1) l’objectif de la transition poursuivie (2) la stratégie de transition qui y est associée et (3) les destinataires de l’indicateur. Les trois sous-sections suivantes visent d’abord à expliciter ces enjeux, puis à positionner la thèse par rapport à chacun d’eux.</w:t>
      </w:r>
    </w:p>
    <w:p w14:paraId="266FEB7B" w14:textId="77FB02EB" w:rsidR="00DE659D" w:rsidRPr="00DE659D" w:rsidRDefault="00DE659D" w:rsidP="00DE659D">
      <w:pPr>
        <w:pStyle w:val="Titre3"/>
        <w:rPr>
          <w:noProof/>
          <w:lang w:val="hu-HU" w:eastAsia="fr-BE"/>
        </w:rPr>
      </w:pPr>
      <w:bookmarkStart w:id="10" w:name="_Toc51512259"/>
      <w:r w:rsidRPr="00DE659D">
        <w:rPr>
          <w:noProof/>
          <w:lang w:val="hu-HU" w:eastAsia="fr-BE"/>
        </w:rPr>
        <w:t>Quel objectif de transition ?</w:t>
      </w:r>
      <w:bookmarkEnd w:id="10"/>
    </w:p>
    <w:p w14:paraId="2EA9826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Les indicateurs sont la plupart du temps le reflet des conceptions théoriques et normatives de leurs concepteurs (Börgnas, 2016). Dans une perspective de transition, il convient dès lors de s’assurer de la cohérence entre les choix méthodologiques présidant au développement des indicateurs et la transition (Thiry, 2012). Une analyse </w:t>
      </w:r>
      <w:r w:rsidRPr="00DE659D">
        <w:rPr>
          <w:i/>
          <w:noProof/>
          <w:color w:val="000000" w:themeColor="text1"/>
          <w:lang w:val="fr-FR" w:eastAsia="fr-BE"/>
        </w:rPr>
        <w:t>ex-post</w:t>
      </w:r>
      <w:r w:rsidRPr="00DE659D">
        <w:rPr>
          <w:noProof/>
          <w:color w:val="000000" w:themeColor="text1"/>
          <w:lang w:val="fr-FR" w:eastAsia="fr-BE"/>
        </w:rPr>
        <w:t xml:space="preserve"> de cette cohérence est toutefois un exercice complexe. D’une part, ceux qui développent des indicateurs rendent rarement explicite la vision de société sous-jacente aux choix méthodologiques posés. D’autre part, la multiplicité des conceptions de la transition fait que des indicateurs sociaux et environnementaux peuvent indiquer des voies de transition contradictoires (Brand, 2016). </w:t>
      </w:r>
    </w:p>
    <w:p w14:paraId="37FDB15E" w14:textId="77777777" w:rsidR="00DE659D" w:rsidRPr="00DE659D" w:rsidRDefault="00DE659D" w:rsidP="00DE659D">
      <w:pPr>
        <w:rPr>
          <w:noProof/>
          <w:color w:val="000000" w:themeColor="text1"/>
          <w:lang w:val="fr-BE" w:eastAsia="fr-BE"/>
        </w:rPr>
      </w:pPr>
      <w:r w:rsidRPr="00DE659D">
        <w:rPr>
          <w:noProof/>
          <w:color w:val="000000" w:themeColor="text1"/>
          <w:lang w:val="fr-FR" w:eastAsia="fr-BE"/>
        </w:rPr>
        <w:t xml:space="preserve">Pour certains, le développement d’indicateurs sociaux ou environnementaux s’inscrit dans un projet de revivification du capitalisme en lui donnant davantage de consistance sociale. Dans cette catégorie, l’on trouve par exemple le projet porté par Michael Porter de la Harvard Business School, qui a initié l’indicateur Social Progress Index au niveau macro (Porter </w:t>
      </w:r>
      <w:r w:rsidRPr="00DE659D">
        <w:rPr>
          <w:i/>
          <w:noProof/>
          <w:color w:val="000000" w:themeColor="text1"/>
          <w:lang w:val="fr-FR" w:eastAsia="fr-BE"/>
        </w:rPr>
        <w:t>et al</w:t>
      </w:r>
      <w:r w:rsidRPr="00DE659D">
        <w:rPr>
          <w:noProof/>
          <w:color w:val="000000" w:themeColor="text1"/>
          <w:lang w:val="fr-FR" w:eastAsia="fr-BE"/>
        </w:rPr>
        <w:t>., 2016) et un nouveau modèle d’entreprenariat social au niveau micro (</w:t>
      </w:r>
      <w:r w:rsidRPr="00DE659D">
        <w:rPr>
          <w:noProof/>
          <w:color w:val="000000" w:themeColor="text1"/>
          <w:lang w:val="fr-BE" w:eastAsia="fr-BE"/>
        </w:rPr>
        <w:t xml:space="preserve">Porter et Kramer, 2011). Les indicateurs découlant d’un tel projet sont généralement caractérisés par des variables mesurant les libertés économiques et les droits individuels (Jany-Catrice, 2015). Par exemple, le Social Progress Index inclut des mesures de la protection de la propriété privée et de la liberté religieuse. L’indicateur Legatum Prosperity Index, qui inclut des mesures de protection des investisseurs, de ‘poids des régulations’, etc. en plus d’autres variables sociales et </w:t>
      </w:r>
      <w:r w:rsidRPr="00DE659D">
        <w:rPr>
          <w:noProof/>
          <w:color w:val="000000" w:themeColor="text1"/>
          <w:lang w:val="fr-BE" w:eastAsia="fr-BE"/>
        </w:rPr>
        <w:lastRenderedPageBreak/>
        <w:t xml:space="preserve">environnementales s’inscrit dans une philosophie similaire. La transition envisagée dans ce cas de figure est celle d’une transition où les libertés individuelles (notamment économiques) priment sur d’autres référentiels normatifs. </w:t>
      </w:r>
    </w:p>
    <w:p w14:paraId="1A8A4336" w14:textId="77777777" w:rsidR="00DE659D" w:rsidRPr="00DE659D" w:rsidRDefault="00DE659D" w:rsidP="00DE659D">
      <w:pPr>
        <w:rPr>
          <w:noProof/>
          <w:color w:val="000000" w:themeColor="text1"/>
          <w:lang w:val="fr-FR" w:eastAsia="fr-BE"/>
        </w:rPr>
      </w:pPr>
      <w:r w:rsidRPr="00DE659D">
        <w:rPr>
          <w:noProof/>
          <w:color w:val="000000" w:themeColor="text1"/>
          <w:lang w:val="fr-BE" w:eastAsia="fr-BE"/>
        </w:rPr>
        <w:t xml:space="preserve">A l’opposé, la New Economic Foundation, qui a initié le Happy Planet Index, se positionne en faveur d’une économie stationnaire et prône davantage d’intervention publique et coopérative dans l’économie (O’Neill </w:t>
      </w:r>
      <w:r w:rsidRPr="00DE659D">
        <w:rPr>
          <w:i/>
          <w:noProof/>
          <w:color w:val="000000" w:themeColor="text1"/>
          <w:lang w:val="fr-BE" w:eastAsia="fr-BE"/>
        </w:rPr>
        <w:t>et al</w:t>
      </w:r>
      <w:r w:rsidRPr="00DE659D">
        <w:rPr>
          <w:noProof/>
          <w:color w:val="000000" w:themeColor="text1"/>
          <w:lang w:val="fr-BE" w:eastAsia="fr-BE"/>
        </w:rPr>
        <w:t xml:space="preserve">., 2010). En France, les initiateurs de l’indicateur BIP-40 visent prioritairement la réduction des inégalités et de la pauvreté, ainsi qu’un changement de l’organisation socio-économique. De tels indicateurs vont davantage mettre l’accent sur les droits collectifs, la mesure des inégalités, ou des mesures d’empreinte écologique. Ils n’incluent pas de variable mesurant la protection des investisseurs ou de la propriété. Dans la vision de la transition sous-jacente à ces indicateurs, l’égalité sociale et le respect de l’environnement l’emportent généralement sur d’autres référentiels normatifs. </w:t>
      </w:r>
    </w:p>
    <w:p w14:paraId="45411CD9"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Au niveau de l’entreprise, les indicateurs étant très peu standardisés, les débats idéologiques ne concernent généralement pas la présence de certaines variables au sein des indicateurs. Ils portent plutôt sur le fait que certaines entreprises omettent de mesurer les indicateurs qui affichent une mauvaise performance (et qui sont différents pour chacune d’elles) (Banjeree, 2008). Par exemple, une étude de Boiral a montré que dans le secteur minier, 90 % des événements négatifs (accidents, conflits, pollution…) étaient omis dans les rapports (Boiral, 2013). Les débats sur l’objectif de transition à indiquer laissent davantage la place à des débats sur le caractère sincère des entreprises à but lucratif dans leur utilisation des indicateurs sociaux et environnementaux. L’exigence de clarté quant à l’objectif de transition à indiquer concerne donc essentiellement le niveau macro.</w:t>
      </w:r>
    </w:p>
    <w:p w14:paraId="6DFC8D7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Identifier l’objectif de transition sous-jacent d’un indicateur est complexe, dû au fait que la transition elle-même n’est pas un concept stabilisé et qu’il en existe plusieurs versions (Brand, 2016). Face à cette situation, certains proposent de dépolitiser autant que possible </w:t>
      </w:r>
      <w:r w:rsidRPr="00DE659D">
        <w:rPr>
          <w:noProof/>
          <w:color w:val="000000" w:themeColor="text1"/>
          <w:lang w:val="fr-FR" w:eastAsia="fr-BE"/>
        </w:rPr>
        <w:lastRenderedPageBreak/>
        <w:t>le champ des indicateurs alternatifs au PIB (et donc leur objectif) en confiant leur définition à des organismes neutres et indépendants (Whitby, 2014). D’autres – et c’est le parti assumé ici – proposent plutôt de clarifier les soubassements normatifs des indicateurs afin qu’ils soient utilisés en connaissance de cause. Dans cette optique, il convient de définir un ou plusieurs objectifs de la transition, et de déterminer quels indicateurs y concourent.</w:t>
      </w:r>
    </w:p>
    <w:p w14:paraId="0CCB1560"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Quel objectif de transition est sous-jacent à cette thèse et fait donc office de grille d’évaluation normative des indicateurs étudiés ? Il s’inspire de deux ouvrages contemporains sur le sujet : « Prosperity Without Growth » de Tim Jackson (Jackson, 2009/2016) et « Doughnut Economics » de Kate Raworth (Raworth, 2017). Les deux auteurs comptent parmi les auteurs de référence du courant ‘Ecological economics’. Leurs textes évoquent une série d’éléments normatifs traduisant l’objectif qui devrait être assigné à une transition. En particulier, ils mentionnent tous deux cinq éléments sur lesquelles doit se porter l’attention : les inégalités sociales, les émissions carbone, la biodiversité, les rejets de phosphore et de nitrogène et la satisfaction de ‘capabilités de base’ (telles qu’être en bonne santé, avoir du contrôle sur sa vie, être inséré dans des liens sociaux…) en référence aux travaux de Sen et Nussbaum. Ces différents éléments peuvent être interprétés comme correspondant à un objectif de transition mêlant une métrique ‘capabiliste’ (pour le volet capabilités) à un principe distributif ‘égalitariste’</w:t>
      </w:r>
      <w:r w:rsidRPr="00DE659D">
        <w:rPr>
          <w:noProof/>
          <w:color w:val="000000" w:themeColor="text1"/>
          <w:vertAlign w:val="superscript"/>
          <w:lang w:val="fr-FR" w:eastAsia="fr-BE"/>
        </w:rPr>
        <w:footnoteReference w:id="4"/>
      </w:r>
      <w:r w:rsidRPr="00DE659D">
        <w:rPr>
          <w:noProof/>
          <w:color w:val="000000" w:themeColor="text1"/>
          <w:lang w:val="fr-FR" w:eastAsia="fr-BE"/>
        </w:rPr>
        <w:t xml:space="preserve"> (pour le volet inégalités sociales), le tout en s’inscrivant dans le respect de limites planétaires (pour les aspects environnementaux) (Steffen </w:t>
      </w:r>
      <w:r w:rsidRPr="00DE659D">
        <w:rPr>
          <w:i/>
          <w:noProof/>
          <w:color w:val="000000" w:themeColor="text1"/>
          <w:lang w:val="fr-FR" w:eastAsia="fr-BE"/>
        </w:rPr>
        <w:t>et al</w:t>
      </w:r>
      <w:r w:rsidRPr="00DE659D">
        <w:rPr>
          <w:noProof/>
          <w:color w:val="000000" w:themeColor="text1"/>
          <w:lang w:val="fr-FR" w:eastAsia="fr-BE"/>
        </w:rPr>
        <w:t xml:space="preserve">., 2015). C’est cet objectif de transition qui est retenu dans cette thèse. Appliqué aux indicateurs, cela signifie qu’un indicateur de la transition devrait à minima inclure des mesures des inégalités sociales, des émissions carbone, de la biodiversité, des rejets de phosphore et de nitrogène et d’un nombre suffisant de capabilités. </w:t>
      </w:r>
    </w:p>
    <w:p w14:paraId="65FFB7F3" w14:textId="481BD766" w:rsidR="00DE659D" w:rsidRPr="00DE659D" w:rsidRDefault="00DE659D" w:rsidP="00DE659D">
      <w:pPr>
        <w:pStyle w:val="Titre3"/>
        <w:rPr>
          <w:noProof/>
          <w:lang w:val="hu-HU" w:eastAsia="fr-BE"/>
        </w:rPr>
      </w:pPr>
      <w:bookmarkStart w:id="11" w:name="_Toc51512260"/>
      <w:r w:rsidRPr="00DE659D">
        <w:rPr>
          <w:noProof/>
          <w:lang w:val="hu-HU" w:eastAsia="fr-BE"/>
        </w:rPr>
        <w:lastRenderedPageBreak/>
        <w:t>Quelle stratégie de transition ?</w:t>
      </w:r>
      <w:bookmarkEnd w:id="11"/>
    </w:p>
    <w:p w14:paraId="1E40C85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Le sociologue Alain Desrosières montre que le rôle de la statistique et des indicateurs a été différent en fonction des périodes de l’histoire, et en particulier en fonction de la politique économique qui y était poursuivie. Plus précisément, ces outils ont été intimement liés au type d’État et de ‘gouvernementalité’ en vigueur. Desrosières distingue cinq types d’États, chacun associé à une gouvernementalité distincte (Desrosières, 2014). Ainsi, l’</w:t>
      </w:r>
      <w:r w:rsidRPr="00DE659D">
        <w:rPr>
          <w:i/>
          <w:iCs/>
          <w:noProof/>
          <w:color w:val="000000" w:themeColor="text1"/>
          <w:lang w:val="fr-FR" w:eastAsia="fr-BE"/>
        </w:rPr>
        <w:t>État ingénieur</w:t>
      </w:r>
      <w:r w:rsidRPr="00DE659D">
        <w:rPr>
          <w:noProof/>
          <w:color w:val="000000" w:themeColor="text1"/>
          <w:lang w:val="fr-FR" w:eastAsia="fr-BE"/>
        </w:rPr>
        <w:t xml:space="preserve"> se caractérise par une intervention directe dans l’économie et une centralisation organisée des forces productives. Il est commun à plusieurs configurations historiques, allant du capitalisme mercantiliste, aux ‘grands projets’ de De Gaulle, en passant par les économies planifiées socialistes. Le rôle des indicateurs y est comparable à celui ‘d’une grande entreprise planifiant ses ateliers, ou à celles d’une armée gérant sa logistique’ (Desrosières, 2012). L’État ingénieur s’appuie sur des recensements démographiques, des flux de produits en quantité physique, des tableaux input-output ou d’autres formes de comptabilité, dont le but est d’assurer la base informationnelle nécessaire à la planification. </w:t>
      </w:r>
    </w:p>
    <w:p w14:paraId="365243AA"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A l’opposé, l’</w:t>
      </w:r>
      <w:r w:rsidRPr="00DE659D">
        <w:rPr>
          <w:i/>
          <w:iCs/>
          <w:noProof/>
          <w:color w:val="000000" w:themeColor="text1"/>
          <w:lang w:val="fr-FR" w:eastAsia="fr-BE"/>
        </w:rPr>
        <w:t>État libéral</w:t>
      </w:r>
      <w:r w:rsidRPr="00DE659D">
        <w:rPr>
          <w:noProof/>
          <w:color w:val="000000" w:themeColor="text1"/>
          <w:lang w:val="fr-FR" w:eastAsia="fr-BE"/>
        </w:rPr>
        <w:t xml:space="preserve"> classique qui naît à la fin du 18</w:t>
      </w:r>
      <w:r w:rsidRPr="00DE659D">
        <w:rPr>
          <w:noProof/>
          <w:color w:val="000000" w:themeColor="text1"/>
          <w:vertAlign w:val="superscript"/>
          <w:lang w:val="fr-FR" w:eastAsia="fr-BE"/>
        </w:rPr>
        <w:t>ème</w:t>
      </w:r>
      <w:r w:rsidRPr="00DE659D">
        <w:rPr>
          <w:noProof/>
          <w:color w:val="000000" w:themeColor="text1"/>
          <w:lang w:val="fr-FR" w:eastAsia="fr-BE"/>
        </w:rPr>
        <w:t xml:space="preserve"> siècle conçoit le rôle du gouvernement dans l’économie comme minimal. Dans cette perspective, la statistique et les indicateurs (s’ils existent) reçoivent une autre fonction : celle de fournir une information identique aux différents acteurs du marché (concernant les prix, la qualité et la quantité des produits). L’objectif est d’intégrer le maximum d’information dans les prix dans le but de rapprocher le marché réel du marché théorique. </w:t>
      </w:r>
    </w:p>
    <w:p w14:paraId="0CFAA1F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L’</w:t>
      </w:r>
      <w:r w:rsidRPr="00DE659D">
        <w:rPr>
          <w:i/>
          <w:iCs/>
          <w:noProof/>
          <w:color w:val="000000" w:themeColor="text1"/>
          <w:lang w:val="fr-FR" w:eastAsia="fr-BE"/>
        </w:rPr>
        <w:t>État keynésien</w:t>
      </w:r>
      <w:r w:rsidRPr="00DE659D">
        <w:rPr>
          <w:noProof/>
          <w:color w:val="000000" w:themeColor="text1"/>
          <w:lang w:val="fr-FR" w:eastAsia="fr-BE"/>
        </w:rPr>
        <w:t>, qui apparaît au 20</w:t>
      </w:r>
      <w:r w:rsidRPr="00DE659D">
        <w:rPr>
          <w:noProof/>
          <w:color w:val="000000" w:themeColor="text1"/>
          <w:vertAlign w:val="superscript"/>
          <w:lang w:val="fr-FR" w:eastAsia="fr-BE"/>
        </w:rPr>
        <w:t>ème</w:t>
      </w:r>
      <w:r w:rsidRPr="00DE659D">
        <w:rPr>
          <w:noProof/>
          <w:color w:val="000000" w:themeColor="text1"/>
          <w:lang w:val="fr-FR" w:eastAsia="fr-BE"/>
        </w:rPr>
        <w:t xml:space="preserve"> siècle, envisage également une intervention de l’État dans l’économie, mais sans nécessairement contester le caractère marchand de cette dernière. Il s’appuie sur la comptabilité nationale et ses agrégats tels que le PIB, la consommation, l’inflation, le chômage et l’investissement (Fourquet 1980, Vanoli 2005). Le rôle des indicateurs est alors de permettre le pilotage macroéconomique et de stabiliser les cycles économiques. Desrosières mentionne encore l’</w:t>
      </w:r>
      <w:r w:rsidRPr="00DE659D">
        <w:rPr>
          <w:i/>
          <w:iCs/>
          <w:noProof/>
          <w:color w:val="000000" w:themeColor="text1"/>
          <w:lang w:val="fr-FR" w:eastAsia="fr-BE"/>
        </w:rPr>
        <w:t>État providence</w:t>
      </w:r>
      <w:r w:rsidRPr="00DE659D">
        <w:rPr>
          <w:noProof/>
          <w:color w:val="000000" w:themeColor="text1"/>
          <w:lang w:val="fr-FR" w:eastAsia="fr-BE"/>
        </w:rPr>
        <w:t xml:space="preserve"> qui, pour protéger les </w:t>
      </w:r>
      <w:r w:rsidRPr="00DE659D">
        <w:rPr>
          <w:noProof/>
          <w:color w:val="000000" w:themeColor="text1"/>
          <w:lang w:val="fr-FR" w:eastAsia="fr-BE"/>
        </w:rPr>
        <w:lastRenderedPageBreak/>
        <w:t xml:space="preserve">travailleurs des vicissitudes du marché du travail, fait appel à de nombreuses statistiques centrées sur le travail salarié (revenu des ménages, emploi, panier de consommation…) et </w:t>
      </w:r>
      <w:r w:rsidRPr="00DE659D">
        <w:rPr>
          <w:i/>
          <w:iCs/>
          <w:noProof/>
          <w:color w:val="000000" w:themeColor="text1"/>
          <w:lang w:val="fr-FR" w:eastAsia="fr-BE"/>
        </w:rPr>
        <w:t>l’État néo-libéral</w:t>
      </w:r>
      <w:r w:rsidRPr="00DE659D">
        <w:rPr>
          <w:noProof/>
          <w:color w:val="000000" w:themeColor="text1"/>
          <w:lang w:val="fr-FR" w:eastAsia="fr-BE"/>
        </w:rPr>
        <w:t xml:space="preserve"> qui complète la vision libérale classique par une attention aux incitations microéconomiques induites par l’évaluation de la performance (</w:t>
      </w:r>
      <w:r w:rsidRPr="00DE659D">
        <w:rPr>
          <w:i/>
          <w:noProof/>
          <w:color w:val="000000" w:themeColor="text1"/>
          <w:lang w:val="fr-FR" w:eastAsia="fr-BE"/>
        </w:rPr>
        <w:t>benchmarkings</w:t>
      </w:r>
      <w:r w:rsidRPr="00DE659D">
        <w:rPr>
          <w:noProof/>
          <w:color w:val="000000" w:themeColor="text1"/>
          <w:lang w:val="fr-FR" w:eastAsia="fr-BE"/>
        </w:rPr>
        <w:t xml:space="preserve">, </w:t>
      </w:r>
      <w:r w:rsidRPr="00DE659D">
        <w:rPr>
          <w:i/>
          <w:noProof/>
          <w:color w:val="000000" w:themeColor="text1"/>
          <w:lang w:val="fr-FR" w:eastAsia="fr-BE"/>
        </w:rPr>
        <w:t>rankings</w:t>
      </w:r>
      <w:r w:rsidRPr="00DE659D">
        <w:rPr>
          <w:noProof/>
          <w:color w:val="000000" w:themeColor="text1"/>
          <w:lang w:val="fr-FR" w:eastAsia="fr-BE"/>
        </w:rPr>
        <w:t xml:space="preserve">, </w:t>
      </w:r>
      <w:r w:rsidRPr="00DE659D">
        <w:rPr>
          <w:i/>
          <w:noProof/>
          <w:color w:val="000000" w:themeColor="text1"/>
          <w:lang w:val="fr-FR" w:eastAsia="fr-BE"/>
        </w:rPr>
        <w:t>New Public Management</w:t>
      </w:r>
      <w:r w:rsidRPr="00DE659D">
        <w:rPr>
          <w:noProof/>
          <w:color w:val="000000" w:themeColor="text1"/>
          <w:lang w:val="fr-FR" w:eastAsia="fr-BE"/>
        </w:rPr>
        <w:t xml:space="preserve">…). Pour cet auteur, les formes de gouvernementalité qui se sont imposées aux différentes époques n’ont pas balayé celles qui les ont précédées. Elles s’y sont plutôt superposées en les complétant ou en les réorientant partiellement. </w:t>
      </w:r>
    </w:p>
    <w:p w14:paraId="0624F02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Une telle analyse de la fonction des indicateurs selon les formes de gouvernementalité en vigueur est importante pour penser des indicateurs de la transition. Elle montre que les indicateurs actuels n’existent pas de manière indépendante, mais comme rouages d’une gouvernementalité spécifique. Dès lors, si une transition doit avoir lieu, se pose la question du type de gouvernementalité qui la caractérisera (ou de manière plus restreinte de politique économique et sociale), et donc des fonctions qui devront être remplies par les indicateurs d’une transition. L’enjeu n’est pas seulement le contenu de l’indicateur, comme évoqué au point précédent, mais aussi l’usage qui peut en être fait au sein d’une gouvernementalité spécifique. </w:t>
      </w:r>
    </w:p>
    <w:p w14:paraId="392D1145" w14:textId="56451371" w:rsidR="00DE659D" w:rsidRDefault="00DE659D" w:rsidP="00DE659D">
      <w:pPr>
        <w:rPr>
          <w:noProof/>
          <w:color w:val="000000" w:themeColor="text1"/>
          <w:lang w:val="fr-FR" w:eastAsia="fr-BE"/>
        </w:rPr>
      </w:pPr>
      <w:r w:rsidRPr="00DE659D">
        <w:rPr>
          <w:noProof/>
          <w:color w:val="000000" w:themeColor="text1"/>
          <w:lang w:val="fr-FR" w:eastAsia="fr-BE"/>
        </w:rPr>
        <w:t>Dans le cas des indicateurs dans la transition, quel rôle peuvent-ils ou devraient-il avoir ? Devraient-ils être des outils de mise en concurrence sur base des performances sociales et environnementales</w:t>
      </w:r>
      <w:r w:rsidRPr="00DE659D">
        <w:rPr>
          <w:noProof/>
          <w:color w:val="000000" w:themeColor="text1"/>
          <w:vertAlign w:val="superscript"/>
          <w:lang w:val="fr-FR" w:eastAsia="fr-BE"/>
        </w:rPr>
        <w:footnoteReference w:id="5"/>
      </w:r>
      <w:r w:rsidRPr="00DE659D">
        <w:rPr>
          <w:noProof/>
          <w:color w:val="000000" w:themeColor="text1"/>
          <w:lang w:val="fr-FR" w:eastAsia="fr-BE"/>
        </w:rPr>
        <w:t xml:space="preserve"> ? Ou les aiguillons de nouvelles politiques de </w:t>
      </w:r>
      <w:r w:rsidRPr="00DE659D">
        <w:rPr>
          <w:noProof/>
          <w:color w:val="000000" w:themeColor="text1"/>
          <w:lang w:val="fr-FR" w:eastAsia="fr-BE"/>
        </w:rPr>
        <w:lastRenderedPageBreak/>
        <w:t xml:space="preserve">grands travaux ? Ou jouer un rôle de description des grandes tendances sociétales ? Comme ce fut le cas dans le passé, le rôle des indicateurs dépend de leur place au sein d’une gouvernementalité ou d’un type d’État spécifique. Mais dans le cas de la transition, il n’existe à l’heure actuelle pas un tel cadre qui puisse définir la fonction des indicateurs. Toutefois, on peut trouver, plus modestement, différentes propositions de stratégies de transition (politiques et économiques), qui sont actuellement proposées par divers acteurs. Sur base de celles-ci, il est possible de montrer quels seraient des rôles possibles d’indicateurs de la transition. Les exemples abordés ci-dessous s’attachent à cette tâche et détaillent différentes stratégies de transition, sur base de différents modes de coordination économique. Chacun fait ressortir différents types d’indicateurs. </w:t>
      </w:r>
    </w:p>
    <w:p w14:paraId="3307B6A2" w14:textId="77777777" w:rsidR="00DE659D" w:rsidRPr="00DE659D" w:rsidRDefault="00DE659D" w:rsidP="00DE659D">
      <w:pPr>
        <w:rPr>
          <w:noProof/>
          <w:color w:val="000000" w:themeColor="text1"/>
          <w:lang w:val="fr-FR" w:eastAsia="fr-BE"/>
        </w:rPr>
      </w:pPr>
    </w:p>
    <w:p w14:paraId="3DC23269" w14:textId="6F2348D5" w:rsidR="00DE659D" w:rsidRPr="00DE659D" w:rsidRDefault="00DE659D" w:rsidP="00DE659D">
      <w:pPr>
        <w:rPr>
          <w:i/>
          <w:noProof/>
          <w:color w:val="000000" w:themeColor="text1"/>
          <w:lang w:val="fr-FR" w:eastAsia="fr-BE"/>
        </w:rPr>
      </w:pPr>
      <w:r w:rsidRPr="00DE659D">
        <w:rPr>
          <w:i/>
          <w:noProof/>
          <w:color w:val="000000" w:themeColor="text1"/>
          <w:lang w:val="fr-FR" w:eastAsia="fr-BE"/>
        </w:rPr>
        <w:t>Un marché écologique et social</w:t>
      </w:r>
    </w:p>
    <w:p w14:paraId="5E14AF6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Certains auteurs envisagent prioritairement une stratégie de marché pour réaliser la transition (</w:t>
      </w:r>
      <w:r w:rsidRPr="00DE659D">
        <w:rPr>
          <w:i/>
          <w:noProof/>
          <w:color w:val="000000" w:themeColor="text1"/>
          <w:lang w:val="fr-FR" w:eastAsia="fr-BE"/>
        </w:rPr>
        <w:t xml:space="preserve">e.g. </w:t>
      </w:r>
      <w:r w:rsidRPr="00DE659D">
        <w:rPr>
          <w:noProof/>
          <w:color w:val="000000" w:themeColor="text1"/>
          <w:lang w:val="fr-FR" w:eastAsia="fr-BE"/>
        </w:rPr>
        <w:t xml:space="preserve">Kolk et Pinske, 2004). Dans l’idéal-type d’une transition par le marché, l’on considère que les offreurs de biens et services vont accroître le caractère durable de leur production sous un double effet. D’abord, via une hausse de la demande pour des produits durables ou éthiques (causée par une sensibilisation des consommateurs), rendant la production de produits durables de plus en plus rentable. Ensuite, sous l’effet de gains d’efficience associés aux économies d’énergie, de papier, d’eau… qui permettent à la fois de produire plus durable et de réaliser des économies. </w:t>
      </w:r>
    </w:p>
    <w:p w14:paraId="5A9AB4C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De nombreux travaux en sciences de gestion se situent dans cette perspective. C’est le cas, notamment, d’une grande partie du courant de la ‘Responsabilité Sociale de l’Entreprise’ (RSE). La RSE est une posture normative considérant qu’il est du devoir de l’entreprise d’être à l’écoute de ses parties-prenantes, et d’agir de manière plus </w:t>
      </w:r>
      <w:r w:rsidRPr="00DE659D">
        <w:rPr>
          <w:noProof/>
          <w:color w:val="000000" w:themeColor="text1"/>
          <w:lang w:val="fr-FR" w:eastAsia="fr-BE"/>
        </w:rPr>
        <w:lastRenderedPageBreak/>
        <w:t>durable. L’entreprise y est considérée comme le moteur premier de la transition. Notons que dans plusieurs de ses versions, la RSE invite les entreprises à s’engager dans une transition au-delà même de ce qui est directement rentable (Pasquero, 2005). Toutefois, à aucun moment elle ne préconise de s’éloigner des contraintes de rentabilité au point de mettre en danger la santé financière de l’entreprise. Cette approche demeure donc largement au sein des contraintes imposées par le marché, ce qui la positionne comme exemple paradigmatique des stratégies de marché écologique et social.</w:t>
      </w:r>
    </w:p>
    <w:p w14:paraId="7C16EBE5"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Dans une stratégie de marché, les acteurs principaux de la transition sont les consommateurs et les producteurs qui réalisent les échanges. Dès lors, les indicateurs sociaux ou environnementaux utilisés concernent essentiellement l’entreprise, avec une double fonction. Premièrement, ils visent à montrer au consommateur que les produits proposés intègrent les externalités sociales et environnementales, afin d’orienter les échanges vers ces produits</w:t>
      </w:r>
      <w:r w:rsidRPr="00DE659D">
        <w:rPr>
          <w:noProof/>
          <w:color w:val="000000" w:themeColor="text1"/>
          <w:vertAlign w:val="superscript"/>
          <w:lang w:val="fr-FR" w:eastAsia="fr-BE"/>
        </w:rPr>
        <w:footnoteReference w:id="6"/>
      </w:r>
      <w:r w:rsidRPr="00DE659D">
        <w:rPr>
          <w:noProof/>
          <w:color w:val="000000" w:themeColor="text1"/>
          <w:lang w:val="fr-FR" w:eastAsia="fr-BE"/>
        </w:rPr>
        <w:t xml:space="preserve">. Les indicateurs sociaux et environnementaux viennent donc en complément de l’indicateur du prix des biens et services. La forme de ces indicateurs est celle de labels, de certifications, de </w:t>
      </w:r>
      <w:r w:rsidRPr="00DE659D">
        <w:rPr>
          <w:i/>
          <w:noProof/>
          <w:color w:val="000000" w:themeColor="text1"/>
          <w:lang w:val="fr-FR" w:eastAsia="fr-BE"/>
        </w:rPr>
        <w:t>sustainability</w:t>
      </w:r>
      <w:r w:rsidRPr="00DE659D">
        <w:rPr>
          <w:noProof/>
          <w:color w:val="000000" w:themeColor="text1"/>
          <w:lang w:val="fr-FR" w:eastAsia="fr-BE"/>
        </w:rPr>
        <w:t xml:space="preserve"> </w:t>
      </w:r>
      <w:r w:rsidRPr="00DE659D">
        <w:rPr>
          <w:i/>
          <w:noProof/>
          <w:color w:val="000000" w:themeColor="text1"/>
          <w:lang w:val="fr-FR" w:eastAsia="fr-BE"/>
        </w:rPr>
        <w:t>rankings</w:t>
      </w:r>
      <w:r w:rsidRPr="00DE659D">
        <w:rPr>
          <w:noProof/>
          <w:color w:val="000000" w:themeColor="text1"/>
          <w:lang w:val="fr-FR" w:eastAsia="fr-BE"/>
        </w:rPr>
        <w:t xml:space="preserve">, ou plus généralement tout indicateur communiquant le caractère durable de la production. </w:t>
      </w:r>
    </w:p>
    <w:p w14:paraId="16649EB7"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La deuxième fonction des indicateurs développés par l’entreprise est de piloter en interne les gains d’efficience et plus largement les efforts réalisés en matière de durabilité. Les entreprises développent pour ce faire de nombreux indicateurs de pilotage concernant des thématiques sur lesquelles elles souhaitent agir (nombre d’accidents de travail, consommation d’eau, d’électricité, parité homme/femme…). Ce sont des indicateurs de planification propres à l’entreprise.</w:t>
      </w:r>
    </w:p>
    <w:p w14:paraId="2C91DEDA" w14:textId="6EB02A4B" w:rsidR="00DE659D" w:rsidRDefault="00DE659D" w:rsidP="00DE659D">
      <w:pPr>
        <w:rPr>
          <w:noProof/>
          <w:color w:val="000000" w:themeColor="text1"/>
          <w:lang w:val="fr-FR" w:eastAsia="fr-BE"/>
        </w:rPr>
      </w:pPr>
      <w:r w:rsidRPr="00DE659D">
        <w:rPr>
          <w:noProof/>
          <w:color w:val="000000" w:themeColor="text1"/>
          <w:lang w:val="fr-FR" w:eastAsia="fr-BE"/>
        </w:rPr>
        <w:lastRenderedPageBreak/>
        <w:t>Dans tous les cas, dans une stratégie de marché, ce sont les indicateurs du niveau de l’entreprise qui ont un rôle premier pour guider la transition, plutôt que des indicateurs macro.</w:t>
      </w:r>
    </w:p>
    <w:p w14:paraId="77536B37" w14:textId="77777777" w:rsidR="00DE659D" w:rsidRPr="00DE659D" w:rsidRDefault="00DE659D" w:rsidP="00DE659D">
      <w:pPr>
        <w:rPr>
          <w:noProof/>
          <w:color w:val="000000" w:themeColor="text1"/>
          <w:lang w:val="fr-FR" w:eastAsia="fr-BE"/>
        </w:rPr>
      </w:pPr>
    </w:p>
    <w:p w14:paraId="09A6B947" w14:textId="10357AAE" w:rsidR="00DE659D" w:rsidRPr="00DE659D" w:rsidRDefault="00DE659D" w:rsidP="00DE659D">
      <w:pPr>
        <w:rPr>
          <w:i/>
          <w:noProof/>
          <w:color w:val="000000" w:themeColor="text1"/>
          <w:lang w:val="fr-FR" w:eastAsia="fr-BE"/>
        </w:rPr>
      </w:pPr>
      <w:r w:rsidRPr="00DE659D">
        <w:rPr>
          <w:i/>
          <w:noProof/>
          <w:color w:val="000000" w:themeColor="text1"/>
          <w:lang w:val="fr-FR" w:eastAsia="fr-BE"/>
        </w:rPr>
        <w:t>Une planification écologique et sociale</w:t>
      </w:r>
    </w:p>
    <w:p w14:paraId="5C1E97F5"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Pour d’autres auteurs, le marché seul est incapable de garantir des normes de production qui soient satisfaisantes d’un point de vue écologique et social. Ils pensent donc qu’une intervention davantage coordonnée (par l’État) est nécessaire, sous la forme d’une planification écologique et sociale. Plusieurs approches de planification peuvent être distinguées, selon le type d’intervention jugée la plus adéquate.</w:t>
      </w:r>
    </w:p>
    <w:p w14:paraId="1CB8709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Une première approche vise à donner des récompenses aux entreprises et aux consommateurs qui se comportent de manière durable, et à les pénaliser dans le cas contraire (</w:t>
      </w:r>
      <w:r w:rsidRPr="00DE659D">
        <w:rPr>
          <w:i/>
          <w:noProof/>
          <w:color w:val="000000" w:themeColor="text1"/>
          <w:lang w:val="fr-FR" w:eastAsia="fr-BE"/>
        </w:rPr>
        <w:t>Incentive based regime</w:t>
      </w:r>
      <w:r w:rsidRPr="00DE659D">
        <w:rPr>
          <w:noProof/>
          <w:color w:val="000000" w:themeColor="text1"/>
          <w:lang w:val="fr-FR" w:eastAsia="fr-BE"/>
        </w:rPr>
        <w:t xml:space="preserve">, selon Baldwin </w:t>
      </w:r>
      <w:r w:rsidRPr="00DE659D">
        <w:rPr>
          <w:i/>
          <w:noProof/>
          <w:color w:val="000000" w:themeColor="text1"/>
          <w:lang w:val="fr-FR" w:eastAsia="fr-BE"/>
        </w:rPr>
        <w:t>et al.,</w:t>
      </w:r>
      <w:r w:rsidRPr="00DE659D">
        <w:rPr>
          <w:noProof/>
          <w:color w:val="000000" w:themeColor="text1"/>
          <w:lang w:val="fr-FR" w:eastAsia="fr-BE"/>
        </w:rPr>
        <w:t xml:space="preserve"> 2012). L’objectif est d’intégrer les externalités environnementales et sociales dans les prix, afin d’inciter les agents économiques à poser des choix durables. Ces politiques prennent fréquemment la forme de subsides verts, de taxes carbones, de marchés carbones… (</w:t>
      </w:r>
      <w:r w:rsidRPr="00DE659D">
        <w:rPr>
          <w:i/>
          <w:noProof/>
          <w:color w:val="000000" w:themeColor="text1"/>
          <w:lang w:val="fr-FR" w:eastAsia="fr-BE"/>
        </w:rPr>
        <w:t>e.g.</w:t>
      </w:r>
      <w:r w:rsidRPr="00DE659D">
        <w:rPr>
          <w:noProof/>
          <w:color w:val="000000" w:themeColor="text1"/>
          <w:lang w:val="fr-FR" w:eastAsia="fr-BE"/>
        </w:rPr>
        <w:t xml:space="preserve"> Stern, 2007). Elles visent à corriger les défaillances du marché, et les interventions étatiques ne sont pas encouragées au-delà de la correction de ces défaillances. De nombreux travaux d’économistes se situent dans cette perspective. </w:t>
      </w:r>
    </w:p>
    <w:p w14:paraId="6AC326F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La statistique développée dans une stratégie de correction du marché vise à établir et implémenter les modifications de prix qui peuvent garantir l’internalisation des externalités sociales et environnementales. La détermination du montant d’une taxe carbone, par exemple, passe par la mesure de l’effet propre du prix du carbone sur sa consommation via des techniques économétriques. Une telle politique s’appuie ensuite sur des indicateurs afin d’être opérationnalisée. Dans l’exemple évoqué, les émissions carbone de chaque entreprise ou de chaque produit doivent être mesurées au niveau micro afin de calculer le montant de la taxe à payer. Enfin, l’évaluation du résultat de la politique requiert également l’utilisation d’indicateurs (en l’occurrence l’agrégation de l’ensemble des mesures </w:t>
      </w:r>
      <w:r w:rsidRPr="00DE659D">
        <w:rPr>
          <w:noProof/>
          <w:color w:val="000000" w:themeColor="text1"/>
          <w:lang w:val="fr-FR" w:eastAsia="fr-BE"/>
        </w:rPr>
        <w:lastRenderedPageBreak/>
        <w:t>micro). Des indicateurs micro et leur agrégat au niveau macro sont donc les indicateurs pertinents d’une stratégie de transition de type incitative.</w:t>
      </w:r>
    </w:p>
    <w:p w14:paraId="5BBBC094"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Une autre stratégie de planification écologique et sociale (qui n’est pas forcément contradictoire avec la première) est plus interventionniste et consiste à édicter des normes contraignantes ou à ce que l’État organise directement certains pans de la transition (</w:t>
      </w:r>
      <w:r w:rsidRPr="00DE659D">
        <w:rPr>
          <w:i/>
          <w:noProof/>
          <w:color w:val="000000" w:themeColor="text1"/>
          <w:lang w:val="fr-FR" w:eastAsia="fr-BE"/>
        </w:rPr>
        <w:t>Command and control</w:t>
      </w:r>
      <w:r w:rsidRPr="00DE659D">
        <w:rPr>
          <w:noProof/>
          <w:color w:val="000000" w:themeColor="text1"/>
          <w:lang w:val="fr-FR" w:eastAsia="fr-BE"/>
        </w:rPr>
        <w:t xml:space="preserve"> et </w:t>
      </w:r>
      <w:r w:rsidRPr="00DE659D">
        <w:rPr>
          <w:i/>
          <w:noProof/>
          <w:color w:val="000000" w:themeColor="text1"/>
          <w:lang w:val="fr-FR" w:eastAsia="fr-BE"/>
        </w:rPr>
        <w:t>Direct intervention</w:t>
      </w:r>
      <w:r w:rsidRPr="00DE659D">
        <w:rPr>
          <w:noProof/>
          <w:color w:val="000000" w:themeColor="text1"/>
          <w:lang w:val="fr-FR" w:eastAsia="fr-BE"/>
        </w:rPr>
        <w:t xml:space="preserve">, selon Baldwin </w:t>
      </w:r>
      <w:r w:rsidRPr="00DE659D">
        <w:rPr>
          <w:i/>
          <w:noProof/>
          <w:color w:val="000000" w:themeColor="text1"/>
          <w:lang w:val="fr-FR" w:eastAsia="fr-BE"/>
        </w:rPr>
        <w:t>et al</w:t>
      </w:r>
      <w:r w:rsidRPr="00DE659D">
        <w:rPr>
          <w:noProof/>
          <w:color w:val="000000" w:themeColor="text1"/>
          <w:lang w:val="fr-FR" w:eastAsia="fr-BE"/>
        </w:rPr>
        <w:t>., 2012). Les propositions en ce sens incluent tant certains scénarios de neutralité carbone développés par des cabinets d’ingénieurs (</w:t>
      </w:r>
      <w:r w:rsidRPr="00DE659D">
        <w:rPr>
          <w:i/>
          <w:noProof/>
          <w:color w:val="000000" w:themeColor="text1"/>
          <w:lang w:val="fr-FR" w:eastAsia="fr-BE"/>
        </w:rPr>
        <w:t>e.g.</w:t>
      </w:r>
      <w:r w:rsidRPr="00DE659D">
        <w:rPr>
          <w:noProof/>
          <w:color w:val="000000" w:themeColor="text1"/>
          <w:lang w:val="fr-FR" w:eastAsia="fr-BE"/>
        </w:rPr>
        <w:t xml:space="preserve"> scénario Négawatt en France) que certaines propositions de </w:t>
      </w:r>
      <w:r w:rsidRPr="00DE659D">
        <w:rPr>
          <w:i/>
          <w:noProof/>
          <w:color w:val="000000" w:themeColor="text1"/>
          <w:lang w:val="fr-FR" w:eastAsia="fr-BE"/>
        </w:rPr>
        <w:t xml:space="preserve">Green New Deal </w:t>
      </w:r>
      <w:r w:rsidRPr="00DE659D">
        <w:rPr>
          <w:noProof/>
          <w:color w:val="000000" w:themeColor="text1"/>
          <w:lang w:val="fr-FR" w:eastAsia="fr-BE"/>
        </w:rPr>
        <w:t>ou d’éco-socialisme formulées par des économistes (</w:t>
      </w:r>
      <w:r w:rsidRPr="00DE659D">
        <w:rPr>
          <w:i/>
          <w:noProof/>
          <w:color w:val="000000" w:themeColor="text1"/>
          <w:lang w:val="fr-FR" w:eastAsia="fr-BE"/>
        </w:rPr>
        <w:t>e.g</w:t>
      </w:r>
      <w:r w:rsidRPr="00DE659D">
        <w:rPr>
          <w:noProof/>
          <w:color w:val="000000" w:themeColor="text1"/>
          <w:lang w:val="fr-FR" w:eastAsia="fr-BE"/>
        </w:rPr>
        <w:t>. Löwy, 2008 ; Després, 2019). Elles constituent des stratégies de planification souvent sectorielles dans des domaines tels que la rénovation du bâti (politique d’isolation obligatoire), le transport (transports publics), l’énergie (investissements publics dans le renouvelable), le crédit (banques de la transition), l’alimentation (plats végétariens dans les cantines), l’aménagement du territoire…</w:t>
      </w:r>
    </w:p>
    <w:p w14:paraId="4CD7D398"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Dans cette perspective, l’acteur central impulsant la transition est l’État et les indicateurs à développer pour piloter une telle transition se situent prioritairement au niveau macro. Ils fournissent l’information nécessaire à l’exercice de la planification : consommation énergétique du bâti par quartier (pour prioriser les politiques d’isolation), lieu des trajets domicile-travail (pour déployer l’offre de transports en commun), etc. Une telle stratégie nécessite aussi des indicateurs évaluant la bonne exécution de la planification (pourcentage du bâti isolé, part modale et taux d’occupation des transports publics, pourcentage de plats végétariens dans les cantines…). </w:t>
      </w:r>
    </w:p>
    <w:p w14:paraId="0EDD424B"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Parmi les indicateurs existants, ceux avec des variables suffisamment liées aux politiques publiques peuvent se prêter au pilotage et à l’évaluation de cette stratégie de transition. C’est par exemple le cas du Bonheur National Brut (BNB), du Social Progress Index (SPI), ou des Objectifs du Développement Durable (ODD). A l’inverse, des indicateurs fournissant un éclairage général sur l’état </w:t>
      </w:r>
      <w:r w:rsidRPr="00DE659D">
        <w:rPr>
          <w:noProof/>
          <w:color w:val="000000" w:themeColor="text1"/>
          <w:lang w:val="fr-FR" w:eastAsia="fr-BE"/>
        </w:rPr>
        <w:lastRenderedPageBreak/>
        <w:t xml:space="preserve">de la société, mais sans connexion avec les politiques publiques, ont peu de chances de pouvoir aiguiller une stratégie de planification. C’est par exemple le cas de l’indice de Développement Humain (IDH), du Happy Planet Index (HPI) de l’Indice de Bien-Être Économique (IBEE) et de nombreux autres indicateurs alternatifs au PIB, développés davantage pour ‘raconter une histoire à propos du progrès’ (Walker et Jackson, 2019, p.31) que pour piloter un changement. </w:t>
      </w:r>
    </w:p>
    <w:p w14:paraId="5944E314"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Notons enfin que dans une stratégie de planification </w:t>
      </w:r>
      <w:r w:rsidRPr="00DE659D">
        <w:rPr>
          <w:i/>
          <w:noProof/>
          <w:color w:val="000000" w:themeColor="text1"/>
          <w:lang w:val="fr-FR" w:eastAsia="fr-BE"/>
        </w:rPr>
        <w:t>Command and control</w:t>
      </w:r>
      <w:r w:rsidRPr="00DE659D">
        <w:rPr>
          <w:noProof/>
          <w:color w:val="000000" w:themeColor="text1"/>
          <w:lang w:val="fr-FR" w:eastAsia="fr-BE"/>
        </w:rPr>
        <w:t xml:space="preserve"> ou </w:t>
      </w:r>
      <w:r w:rsidRPr="00DE659D">
        <w:rPr>
          <w:i/>
          <w:noProof/>
          <w:color w:val="000000" w:themeColor="text1"/>
          <w:lang w:val="fr-FR" w:eastAsia="fr-BE"/>
        </w:rPr>
        <w:t>Direct intervention</w:t>
      </w:r>
      <w:r w:rsidRPr="00DE659D">
        <w:rPr>
          <w:noProof/>
          <w:color w:val="000000" w:themeColor="text1"/>
          <w:lang w:val="fr-FR" w:eastAsia="fr-BE"/>
        </w:rPr>
        <w:t>, les indicateurs au niveau de l’entreprise ne jouent qu’un rôle secondaire. Ils sont essentiellement utiles dans les domaines non affectés par la planification, ou dans une optique de contrôle de la conformité à celle-ci</w:t>
      </w:r>
      <w:r w:rsidRPr="00DE659D">
        <w:rPr>
          <w:noProof/>
          <w:color w:val="000000" w:themeColor="text1"/>
          <w:vertAlign w:val="superscript"/>
          <w:lang w:val="fr-FR" w:eastAsia="fr-BE"/>
        </w:rPr>
        <w:footnoteReference w:id="7"/>
      </w:r>
      <w:r w:rsidRPr="00DE659D">
        <w:rPr>
          <w:noProof/>
          <w:color w:val="000000" w:themeColor="text1"/>
          <w:lang w:val="fr-FR" w:eastAsia="fr-BE"/>
        </w:rPr>
        <w:t xml:space="preserve">. </w:t>
      </w:r>
    </w:p>
    <w:p w14:paraId="42C85A12" w14:textId="77777777" w:rsidR="00DE659D" w:rsidRPr="00DE659D" w:rsidRDefault="00DE659D" w:rsidP="00DE659D">
      <w:pPr>
        <w:rPr>
          <w:noProof/>
          <w:color w:val="000000" w:themeColor="text1"/>
          <w:lang w:val="fr-FR" w:eastAsia="fr-BE"/>
        </w:rPr>
      </w:pPr>
    </w:p>
    <w:p w14:paraId="3DF96488" w14:textId="49F643DC" w:rsidR="00DE659D" w:rsidRPr="00DE659D" w:rsidRDefault="00DE659D" w:rsidP="00DE659D">
      <w:pPr>
        <w:rPr>
          <w:i/>
          <w:noProof/>
          <w:color w:val="000000" w:themeColor="text1"/>
          <w:lang w:val="fr-FR" w:eastAsia="fr-BE"/>
        </w:rPr>
      </w:pPr>
      <w:r w:rsidRPr="00DE659D">
        <w:rPr>
          <w:i/>
          <w:noProof/>
          <w:color w:val="000000" w:themeColor="text1"/>
          <w:lang w:val="fr-FR" w:eastAsia="fr-BE"/>
        </w:rPr>
        <w:t xml:space="preserve">Une transition polycentrique </w:t>
      </w:r>
    </w:p>
    <w:p w14:paraId="23928F19"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De nombreuses stratégies de transition mêlent à différents degrés les stratégies idéal-typiques de marché et de planification présentées ci-dessus. Elles se structurent alors autour d’autres dichotomies ou d’autres concepts, tels que la ‘décroissance’ (Parrique, 2019), la ‘gouvernance des biens communs’ (Ostrom, 2009), ou l’économie sociale et solidaire (Akhabbar et Swaton, 2011). Une de ces stratégies a été étudiée plus en détail dans cette thèse et mérite d’être présentée : la stratégie de transition polycentrique (Araral et Hartley, 2013). </w:t>
      </w:r>
    </w:p>
    <w:p w14:paraId="488875D1"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L’approche polycentrique considère qu’encourager la mise en mouvement d’une multiplicité d’acteurs est la voie la plus adéquate pour réaliser la transition. Elle considère que tant l’État que les entreprises que la société civile sont des acteurs légitimes de la transition, et ce même si leurs motivations diffèrent (le profit, l’intérêt général, l’intérêt mutuel). Elle reconnaît l’indépendance formelle de ces acteurs, et tente de coordonner leurs actions à différents niveaux (local, régional, national, international), et dans </w:t>
      </w:r>
      <w:r w:rsidRPr="00DE659D">
        <w:rPr>
          <w:noProof/>
          <w:color w:val="000000" w:themeColor="text1"/>
          <w:lang w:val="fr-FR" w:eastAsia="fr-BE"/>
        </w:rPr>
        <w:lastRenderedPageBreak/>
        <w:t xml:space="preserve">différents secteurs. Une caractéristique de cette stratégie de transition est son intérêt pour le localisme (Bauwens et Mertens, 2017). Elle postule que les acteurs du niveau micro (entreprises sociales ou non, initiatives citoyennes) peuvent contribuer à la résolution d’enjeux globaux tels que la transition. </w:t>
      </w:r>
    </w:p>
    <w:p w14:paraId="361CB48F"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Le mode de coordination économique principal utilisé dans une stratégie polycentrique est celui du marché (avec l’espoir d’un accroissement de la part des entreprises d’économie sociale et solidaire) tout en reconnaissant une certaine place à la planification et à la démarchandisation d’un certain nombre d’activités (voir Perret, 2017). Ces activités démarchandisées – telles que des systèmes d’échanges locaux (SELs) ou d’économie collaborative – seraient alors organisées sur le mode de la réciprocité ou de l’entraide</w:t>
      </w:r>
      <w:r w:rsidRPr="00DE659D">
        <w:rPr>
          <w:noProof/>
          <w:color w:val="000000" w:themeColor="text1"/>
          <w:vertAlign w:val="superscript"/>
          <w:lang w:val="fr-FR" w:eastAsia="fr-BE"/>
        </w:rPr>
        <w:footnoteReference w:id="8"/>
      </w:r>
      <w:r w:rsidRPr="00DE659D">
        <w:rPr>
          <w:noProof/>
          <w:color w:val="000000" w:themeColor="text1"/>
          <w:lang w:val="fr-FR" w:eastAsia="fr-BE"/>
        </w:rPr>
        <w:t xml:space="preserve">. </w:t>
      </w:r>
    </w:p>
    <w:p w14:paraId="06479F6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Dans une perspective polycentrique, la question des indicateurs est particulièrement importante. Non seulement, ils jouent un rôle classique de pilotage et d’évaluation de l’action des gouvernements et des entreprises. Mais ils jouent aussi un rôle plus systémique, touchant à l’alignement de l’ensemble des actions de ces acteurs sur l’objectif commun (</w:t>
      </w:r>
      <w:r w:rsidRPr="00DE659D">
        <w:rPr>
          <w:noProof/>
          <w:color w:val="000000" w:themeColor="text1"/>
          <w:lang w:val="fr-BE" w:eastAsia="fr-BE"/>
        </w:rPr>
        <w:t xml:space="preserve">Kania et Kramer, 2011 ; </w:t>
      </w:r>
      <w:r w:rsidRPr="00DE659D">
        <w:rPr>
          <w:noProof/>
          <w:color w:val="000000" w:themeColor="text1"/>
          <w:lang w:val="hu-HU" w:eastAsia="fr-BE"/>
        </w:rPr>
        <w:t>Pattberg et Widerberg</w:t>
      </w:r>
      <w:r w:rsidRPr="00DE659D">
        <w:rPr>
          <w:noProof/>
          <w:color w:val="000000" w:themeColor="text1"/>
          <w:lang w:val="fr-BE" w:eastAsia="fr-BE"/>
        </w:rPr>
        <w:t>d, 2015)</w:t>
      </w:r>
      <w:r w:rsidRPr="00DE659D">
        <w:rPr>
          <w:noProof/>
          <w:color w:val="000000" w:themeColor="text1"/>
          <w:lang w:val="fr-FR" w:eastAsia="fr-BE"/>
        </w:rPr>
        <w:t xml:space="preserve">. A cet égard, l’hypothèse initiale de cette thèse est qu’un (ou plusieurs) indicateur commun entre les multiples acteurs de la transition (tels que ceux des ODD) permettrait de faciliter les actions de chacun (et leur coordination) vers l’objectif commun. Dans cette optique, des indicateurs d’une perspective polycentrique doivent dès lors répondre aux exigences de leurs acteurs respectifs (et donc de ce que les stratégies de marché et de planification requièrent), mais ils doivent aussi – si possible – être similaires entre ces acteurs, et améliorer leur coordination vers leur objectif commun. </w:t>
      </w:r>
    </w:p>
    <w:p w14:paraId="04BBEB66" w14:textId="77777777" w:rsidR="00DE659D" w:rsidRPr="00DE659D" w:rsidRDefault="00DE659D" w:rsidP="00DE659D">
      <w:pPr>
        <w:rPr>
          <w:noProof/>
          <w:color w:val="000000" w:themeColor="text1"/>
          <w:lang w:val="fr-BE" w:eastAsia="fr-BE"/>
        </w:rPr>
      </w:pPr>
      <w:r w:rsidRPr="00DE659D">
        <w:rPr>
          <w:noProof/>
          <w:color w:val="000000" w:themeColor="text1"/>
          <w:lang w:val="fr-FR" w:eastAsia="fr-BE"/>
        </w:rPr>
        <w:t>Cette thèse n’aborde pas spécifiquement la question des indicateurs du marché ou de la planification, même si celle-ci est importante dans une approche polycentrique. Elle se focalise plutôt sur la question de l’articulation des différents acteurs :</w:t>
      </w:r>
      <w:r w:rsidRPr="00DE659D">
        <w:rPr>
          <w:noProof/>
          <w:color w:val="000000" w:themeColor="text1"/>
          <w:lang w:val="fr-BE" w:eastAsia="fr-BE"/>
        </w:rPr>
        <w:t xml:space="preserve"> à quelles </w:t>
      </w:r>
      <w:r w:rsidRPr="00DE659D">
        <w:rPr>
          <w:noProof/>
          <w:color w:val="000000" w:themeColor="text1"/>
          <w:lang w:val="fr-BE" w:eastAsia="fr-BE"/>
        </w:rPr>
        <w:lastRenderedPageBreak/>
        <w:t>conditions une meilleure articulation des indicateurs peut améliorer la coordination entre acteurs, en particulier entre gouvernement et entreprises ? Cette question est l’objet principal de deux des trois articles de cette thèse. Notons que ces articles aboutissent à montrer les limites d’une approche polycentrique, en questionnant notamment la capacité des entreprises privées (et par extension du marché) à véritablement réaliser la transition. Ce résultat plaide dès lors en faveur d’une stratégie de planification écologique et sociale.</w:t>
      </w:r>
    </w:p>
    <w:p w14:paraId="38425084"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Enfin, si cette thèse aborde prioritairement les niveaux du gouvernement et de l’entreprise car ils sont les principaux acteurs économiques, ses enseignements peuvent être généralisés à toute tentative de mettre en cohérence deux ou plusieurs indicateurs. Cette généralisation est possible car les enjeux méthodologiques ou conceptuels qui facilitent ou compliquent une articulation sont souvent identiques, quels que soient les acteurs ou les échelles considérés. Étudier la question de la coordination des acteurs par les indicateurs permettra donc de répondre à une autre question qui est celle de la coordination entre échelles macro et micro, également importante dans une approche polycentrique : comment articuler les indicateurs </w:t>
      </w:r>
      <w:bookmarkStart w:id="12" w:name="_Hlk49792631"/>
      <w:r w:rsidRPr="00DE659D">
        <w:rPr>
          <w:noProof/>
          <w:color w:val="000000" w:themeColor="text1"/>
          <w:lang w:val="fr-BE" w:eastAsia="fr-BE"/>
        </w:rPr>
        <w:t>du niveau micro (le niveau des agents économiques) et ceux du niveau macro (celui des agrégats) </w:t>
      </w:r>
      <w:bookmarkEnd w:id="12"/>
      <w:r w:rsidRPr="00DE659D">
        <w:rPr>
          <w:noProof/>
          <w:color w:val="000000" w:themeColor="text1"/>
          <w:lang w:val="fr-BE" w:eastAsia="fr-BE"/>
        </w:rPr>
        <w:t xml:space="preserve">? Les entreprises privées seront souvent désignées par le terme ‘micro’, même si ce dernier terme inclut également administrations publiques et ménages ; et le gouvernement (national) sera fréquemment désigné par le terme ‘macro’, même si ce dernier terme inclut également les niveaux régional et mondial. Dans tous les cas, quel que soit le terme, une réponse identique est fournie aux questions de coordination tant entre acteurs qu’entre échelles. </w:t>
      </w:r>
    </w:p>
    <w:p w14:paraId="6317B516"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Cette section et la précédente ont montré l’importance du type de transition poursuivi, tant dans les finalités qui lui sont associées, que dans la stratégie pour l’atteindre. La section suivante vise à montrer l’importance d’une attention aux attentes des acteurs appelés à réaliser la transition.</w:t>
      </w:r>
    </w:p>
    <w:p w14:paraId="1F8B04BB"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L’important à retenir des paragraphes précédents est que selon le type de stratégie de transition envisagée, les indicateurs retenus pour </w:t>
      </w:r>
      <w:r w:rsidRPr="00DE659D">
        <w:rPr>
          <w:noProof/>
          <w:color w:val="000000" w:themeColor="text1"/>
          <w:lang w:val="fr-FR" w:eastAsia="fr-BE"/>
        </w:rPr>
        <w:lastRenderedPageBreak/>
        <w:t xml:space="preserve">piloter la transition seront très différents. En particulier, les indicateurs du niveau de l’entreprise peuvent y jouer un rôle parfois majeur, parfois marginal. Deux implications importantes découlent de ce constat. </w:t>
      </w:r>
    </w:p>
    <w:p w14:paraId="33413773"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Premièrement, certains indicateurs actuels ne correspondent à aucune des fonctions nécessaires à l’une ou l’autre des stratégies présentées. Des indicateurs comme l’IDH, le HPI, ou l’IBEE ne sont probablement des rouages ni d’une stratégie de planification, ni d’une stratégie de marché. Il semble donc compréhensible que de tels indicateurs soient (et seront probablement toujours) cantonnés à un usage symbolique ou très limité. Et que plus fondamentalement, il convient, pour les concepteurs d’indicateurs, d’arrimer ces derniers à une stratégie de transition s’ils veulent les voir utilisés. </w:t>
      </w:r>
    </w:p>
    <w:p w14:paraId="67F9157C"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Deuxièmement, cet exposé montre que le type de stratégie économique dans laquelle un indicateur peut s’inscrire le marque idéologiquement, au moins autant que son contenu propre. Il s’agit d’un élément qui n’avait pas été identifié en début de thèse mais qui est devenu de plus en plus clair au fil de celle-ci. Par exemple, un indicateur au niveau de l’entreprise, même marqué par un contenu social ou environnemental fort, s’inscrira– actuellement du moins – dans une stratégie de marché. Si l’on considère que cette stratégie est limitée voire problématique, la pertinence même de ce type d’indicateurs en vient à être questionnée, indépendamment de sa qualité intrinsèque. </w:t>
      </w:r>
    </w:p>
    <w:p w14:paraId="59BA26AA" w14:textId="2590C0AA" w:rsidR="00DE659D" w:rsidRPr="00DE659D" w:rsidRDefault="00DE659D" w:rsidP="00DE659D">
      <w:pPr>
        <w:pStyle w:val="Titre3"/>
        <w:rPr>
          <w:noProof/>
          <w:lang w:val="fr-BE" w:eastAsia="fr-BE"/>
        </w:rPr>
      </w:pPr>
      <w:bookmarkStart w:id="13" w:name="_Toc51512261"/>
      <w:r w:rsidRPr="00DE659D">
        <w:rPr>
          <w:noProof/>
          <w:lang w:val="fr-BE" w:eastAsia="fr-BE"/>
        </w:rPr>
        <w:t>Quels destinataires pour les indicateurs ?</w:t>
      </w:r>
      <w:bookmarkEnd w:id="13"/>
    </w:p>
    <w:p w14:paraId="556A21D2"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Si la fonction qu’occupe un indicateur au sein d’une stratégie de transition détermine une partie de ses caractéristiques (par exemple s’il est au niveau de l’entreprise ou du gouvernement), les besoins de ses utilisateurs potentiels les déterminent également. Il est donc important d’identifier ces utilisateurs (qui sont les destinataires des indicateurs) ainsi que leurs attentes en matière d’indicateurs. </w:t>
      </w:r>
    </w:p>
    <w:p w14:paraId="63A05BDD"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Au niveau de l’entreprise, le lien entre indicateurs sociaux et environnementaux d’une part et parties prenantes d’autre part est bien établi. La théorie des parties prenantes, qui postule que les organisations ont des responsabilités envers leurs différentes parties </w:t>
      </w:r>
      <w:r w:rsidRPr="00DE659D">
        <w:rPr>
          <w:noProof/>
          <w:color w:val="000000" w:themeColor="text1"/>
          <w:lang w:val="fr-FR" w:eastAsia="fr-BE"/>
        </w:rPr>
        <w:lastRenderedPageBreak/>
        <w:t xml:space="preserve">prenantes (tant internes qu’externes), est même l’assise théorique la plus fréquente de la RSE (Freeman, 2010). Le lien entre stratégie (et les indicateurs qui en découlent) et parties prenantes est donc un point d’attention essentiel ancré dans l’idée de RSE. Plus précisément, la littérature sur les mesures du caractère durable d’une entreprise suggère d’articuler ces mesures à la direction stratégique de l’entreprise et d’associer à leur définition les autres parties prenantes, pour que s’y reflètent leurs priorités (Searcy, 2014). L’importance accordée à l’implication des différentes partie-prenantes (tant en théorie qu’en pratique) fait que les indicateurs des entreprises reflètent relativement correctement les attentes de leurs utilisateurs (à tout le moins internes). </w:t>
      </w:r>
    </w:p>
    <w:p w14:paraId="19F120AD"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Cet alignement permet une utilisation effective des indicateurs, qui sont dès lors développés par la plupart des grandes entreprises et par de nombreuses entreprises de tailles moyenne. Ceux-ci ne constituent pas pour autant les critères principaux de décision, mais ce fait tient moins à leur déconnexion d’avec leurs utilisateurs qu’aux contraintes de rentabilité que le marché impose aux entreprises (capitalistes ou non). Le fait que les entreprises développent le plus souvent des indicateurs propres à leur fonctionnement a donné lieu à une grande diversité d’indicateurs, reflétant la diversité des contextes entrepreneuriaux. Même l’outil de </w:t>
      </w:r>
      <w:r w:rsidRPr="00DE659D">
        <w:rPr>
          <w:i/>
          <w:noProof/>
          <w:color w:val="000000" w:themeColor="text1"/>
          <w:lang w:val="fr-FR" w:eastAsia="fr-BE"/>
        </w:rPr>
        <w:t>reporting</w:t>
      </w:r>
      <w:r w:rsidRPr="00DE659D">
        <w:rPr>
          <w:noProof/>
          <w:color w:val="000000" w:themeColor="text1"/>
          <w:lang w:val="fr-FR" w:eastAsia="fr-BE"/>
        </w:rPr>
        <w:t xml:space="preserve"> le plus connu, la </w:t>
      </w:r>
      <w:r w:rsidRPr="00DE659D">
        <w:rPr>
          <w:i/>
          <w:noProof/>
          <w:color w:val="000000" w:themeColor="text1"/>
          <w:lang w:val="fr-FR" w:eastAsia="fr-BE"/>
        </w:rPr>
        <w:t>Global Reporting Initiative</w:t>
      </w:r>
      <w:r w:rsidRPr="00DE659D">
        <w:rPr>
          <w:noProof/>
          <w:color w:val="000000" w:themeColor="text1"/>
          <w:lang w:val="fr-FR" w:eastAsia="fr-BE"/>
        </w:rPr>
        <w:t xml:space="preserve">, ne constitue pas une liste fermée de variables mais un canevas à adapter à chaque entreprise. </w:t>
      </w:r>
    </w:p>
    <w:p w14:paraId="527F5C32"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Au niveau de l’entreprise, l’on observe donc à la fois des indicateurs bien connectés avec les besoins de leurs utilisateurs, qui sont largement utilisés, et qui sont pour la plupart spécifiques à chaque entreprise. Toutefois, l’on observe également une réticence à publier des mesures qui n’entrent pas dans l’intérêt de la direction (par exemple, des indicateurs d’inégalité salariale, comme ce sera montré dans le deuxième article de cette thèse). </w:t>
      </w:r>
    </w:p>
    <w:p w14:paraId="7B00D1B6"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Au niveau macro, la plupart des indicateurs sont développés indépendamment d’une stratégie économique et d’une utilisation spécifique par un acteur. Par ailleurs, la littérature relative au lien entre indicateurs sociaux et environnementaux d’une part et </w:t>
      </w:r>
      <w:r w:rsidRPr="00DE659D">
        <w:rPr>
          <w:noProof/>
          <w:color w:val="000000" w:themeColor="text1"/>
          <w:lang w:val="fr-FR" w:eastAsia="fr-BE"/>
        </w:rPr>
        <w:lastRenderedPageBreak/>
        <w:t xml:space="preserve">utilisateurs potentiels au niveau macro d’autre part semble méconnue de la plupart des autres travaux dans le champ des indicateurs macro. Quelles sont les conclusions de cette littérature ? L’élément cité avec le plus de récurrence pour s’assurer du succès d’un indicateur est identique à ce que recommande la littérature en sciences de gestion concernant le niveau de l’entreprise. Il s’agit d’associer les utilisateurs potentiels au développement de l’indicateur (Eckley, 2001 ; Clark </w:t>
      </w:r>
      <w:r w:rsidRPr="00DE659D">
        <w:rPr>
          <w:i/>
          <w:noProof/>
          <w:color w:val="000000" w:themeColor="text1"/>
          <w:lang w:val="fr-FR" w:eastAsia="fr-BE"/>
        </w:rPr>
        <w:t>et al</w:t>
      </w:r>
      <w:r w:rsidRPr="00DE659D">
        <w:rPr>
          <w:noProof/>
          <w:color w:val="000000" w:themeColor="text1"/>
          <w:lang w:val="fr-FR" w:eastAsia="fr-BE"/>
        </w:rPr>
        <w:t xml:space="preserve">., 2006 ; Bauler 2012 ; Hak </w:t>
      </w:r>
      <w:r w:rsidRPr="00DE659D">
        <w:rPr>
          <w:i/>
          <w:noProof/>
          <w:color w:val="000000" w:themeColor="text1"/>
          <w:lang w:val="fr-FR" w:eastAsia="fr-BE"/>
        </w:rPr>
        <w:t>et al</w:t>
      </w:r>
      <w:r w:rsidRPr="00DE659D">
        <w:rPr>
          <w:noProof/>
          <w:color w:val="000000" w:themeColor="text1"/>
          <w:lang w:val="fr-FR" w:eastAsia="fr-BE"/>
        </w:rPr>
        <w:t xml:space="preserve">., 2012 ; Dahl, 2012 ; Rinne </w:t>
      </w:r>
      <w:r w:rsidRPr="00DE659D">
        <w:rPr>
          <w:i/>
          <w:noProof/>
          <w:color w:val="000000" w:themeColor="text1"/>
          <w:lang w:val="fr-FR" w:eastAsia="fr-BE"/>
        </w:rPr>
        <w:t>et al</w:t>
      </w:r>
      <w:r w:rsidRPr="00DE659D">
        <w:rPr>
          <w:noProof/>
          <w:color w:val="000000" w:themeColor="text1"/>
          <w:lang w:val="fr-FR" w:eastAsia="fr-BE"/>
        </w:rPr>
        <w:t xml:space="preserve">., 2013; Whitby </w:t>
      </w:r>
      <w:r w:rsidRPr="00DE659D">
        <w:rPr>
          <w:i/>
          <w:noProof/>
          <w:color w:val="000000" w:themeColor="text1"/>
          <w:lang w:val="fr-FR" w:eastAsia="fr-BE"/>
        </w:rPr>
        <w:t>et al</w:t>
      </w:r>
      <w:r w:rsidRPr="00DE659D">
        <w:rPr>
          <w:noProof/>
          <w:color w:val="000000" w:themeColor="text1"/>
          <w:lang w:val="fr-FR" w:eastAsia="fr-BE"/>
        </w:rPr>
        <w:t>., 2014). Pour certains, cette exigence est d’ordre démocratique et assure une légitimité à l’indicateur plus importante que s’il était développé uniquement par des experts (Jany-Catrice et Marlier, 2013). Mais pour la plupart des auteurs, la co-construction avec les utilisateurs potentiels est simplement la condition d’une utilisation effective des indicateurs : cela permet de rendre l’indicateur crédible, pertinent et légitime au regard de ceux susceptibles de s’en servir (Parris and Kate, 2003).</w:t>
      </w:r>
    </w:p>
    <w:p w14:paraId="697A345E"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t xml:space="preserve">Arrimer un indicateur à ses utilisateurs potentiels nécessite au préalable de déterminer qui sont ses destinataires. La littérature concernant les indicateurs alternatifs ou complémentaires au PIB est lacunaire quant à ce point. Sauf exception (Thiry </w:t>
      </w:r>
      <w:r w:rsidRPr="00DE659D">
        <w:rPr>
          <w:i/>
          <w:noProof/>
          <w:color w:val="000000" w:themeColor="text1"/>
          <w:lang w:val="fr-FR" w:eastAsia="fr-BE"/>
        </w:rPr>
        <w:t>et al.,</w:t>
      </w:r>
      <w:r w:rsidRPr="00DE659D">
        <w:rPr>
          <w:noProof/>
          <w:color w:val="000000" w:themeColor="text1"/>
          <w:lang w:val="fr-FR" w:eastAsia="fr-BE"/>
        </w:rPr>
        <w:t xml:space="preserve"> 2013), il n’existe pas de revue systématique des utilisateurs potentiels et des attentes que ceux-ci peuvent formuler par rapport aux indicateurs. Cela est dû en partie au fait que ces indicateurs sont presque toujours utilisés simultanément par une large diversité d’acteurs : </w:t>
      </w:r>
      <w:r w:rsidRPr="00DE659D">
        <w:rPr>
          <w:i/>
          <w:noProof/>
          <w:color w:val="000000" w:themeColor="text1"/>
          <w:lang w:val="fr-FR" w:eastAsia="fr-BE"/>
        </w:rPr>
        <w:t>policy makers</w:t>
      </w:r>
      <w:r w:rsidRPr="00DE659D">
        <w:rPr>
          <w:noProof/>
          <w:color w:val="000000" w:themeColor="text1"/>
          <w:lang w:val="fr-FR" w:eastAsia="fr-BE"/>
        </w:rPr>
        <w:t xml:space="preserve">, scientifiques, médias, grand public… Mais cette situation est sans doute aussi due à l’absence de stratégie de transition explicite ou implicite (ou plus généralement de stratégie de changement social) désignant des acteurs prioritaires à cibler. Il en ressort que la plupart des indicateurs sont particulièrement adaptés aux attentes des scientifiques et/ou du grand public, dans un format plus adéquat pour ‘raconter une histoire à propos du progrès’ (Walker et Jackson, 2019, p.31) que pour piloter un changement. L’indicateur est dès lors construit pour adosser un rôle informatif ou éducatif, mais n’est pas adapté pour assurer un rôle de coordination économique ou politique susceptible de concurrencer le PIB. </w:t>
      </w:r>
    </w:p>
    <w:p w14:paraId="1037E0BA" w14:textId="77777777" w:rsidR="00DE659D" w:rsidRPr="00DE659D" w:rsidRDefault="00DE659D" w:rsidP="00DE659D">
      <w:pPr>
        <w:rPr>
          <w:noProof/>
          <w:color w:val="000000" w:themeColor="text1"/>
          <w:lang w:val="fr-FR" w:eastAsia="fr-BE"/>
        </w:rPr>
      </w:pPr>
      <w:r w:rsidRPr="00DE659D">
        <w:rPr>
          <w:noProof/>
          <w:color w:val="000000" w:themeColor="text1"/>
          <w:lang w:val="fr-FR" w:eastAsia="fr-BE"/>
        </w:rPr>
        <w:lastRenderedPageBreak/>
        <w:t xml:space="preserve">Quels acteurs consulter dans la construction d’un indicateur ? Pour ce qui est d’une stratégie de marché pure, il convient de cibler les consommateurs (pour la communication externe) et les niveaux de décision internes adéquats de l’entreprise (pour l’organisation de la production). On pourrait également cibler d’autres acteurs (ONG, riveraines…) dont l’objectif est d’influencer les acteurs du marché. Pour ce qui est des stratégies nécessitant une intervention de la part de l’État, la catégorie d’utilisateurs à privilégier est celle des </w:t>
      </w:r>
      <w:r w:rsidRPr="00DE659D">
        <w:rPr>
          <w:i/>
          <w:noProof/>
          <w:color w:val="000000" w:themeColor="text1"/>
          <w:lang w:val="fr-FR" w:eastAsia="fr-BE"/>
        </w:rPr>
        <w:t>policy makers</w:t>
      </w:r>
      <w:r w:rsidRPr="00DE659D">
        <w:rPr>
          <w:noProof/>
          <w:color w:val="000000" w:themeColor="text1"/>
          <w:lang w:val="fr-FR" w:eastAsia="fr-BE"/>
        </w:rPr>
        <w:t xml:space="preserve"> à l’origine des décisions à prendre dans le cadre d’une transition. Le personnel technique préparant les décisions est également une catégorie d’utilisateurs cruciale au sein de l’Etat. Arrimer des indicateurs de la transition à leurs utilisateurs au niveau macro revient donc à façonner les indicateurs en tenant compte des attentes des </w:t>
      </w:r>
      <w:r w:rsidRPr="00DE659D">
        <w:rPr>
          <w:i/>
          <w:noProof/>
          <w:color w:val="000000" w:themeColor="text1"/>
          <w:lang w:val="fr-FR" w:eastAsia="fr-BE"/>
        </w:rPr>
        <w:t>policy makers</w:t>
      </w:r>
      <w:r w:rsidRPr="00DE659D">
        <w:rPr>
          <w:noProof/>
          <w:color w:val="000000" w:themeColor="text1"/>
          <w:lang w:val="fr-FR" w:eastAsia="fr-BE"/>
        </w:rPr>
        <w:t xml:space="preserve"> et de leur entourage. Cette posture est celle endossée dans cette thèse.</w:t>
      </w:r>
    </w:p>
    <w:p w14:paraId="4AB50C99" w14:textId="77777777" w:rsidR="00DE659D" w:rsidRPr="00DE659D" w:rsidRDefault="00DE659D" w:rsidP="00DE659D">
      <w:pPr>
        <w:rPr>
          <w:noProof/>
          <w:color w:val="000000" w:themeColor="text1"/>
          <w:lang w:val="fr-BE" w:eastAsia="fr-BE"/>
        </w:rPr>
      </w:pPr>
      <w:r w:rsidRPr="00DE659D">
        <w:rPr>
          <w:noProof/>
          <w:color w:val="000000" w:themeColor="text1"/>
          <w:lang w:val="fr-FR" w:eastAsia="fr-BE"/>
        </w:rPr>
        <w:t>Le rapport BRAINPOoL (‘</w:t>
      </w:r>
      <w:r w:rsidRPr="00DE659D">
        <w:rPr>
          <w:noProof/>
          <w:color w:val="000000" w:themeColor="text1"/>
          <w:lang w:val="hu-HU" w:eastAsia="fr-BE"/>
        </w:rPr>
        <w:t xml:space="preserve">Bringing Alternative Indicators Into Policy’) financé par la Commission européenne </w:t>
      </w:r>
      <w:r w:rsidRPr="00DE659D">
        <w:rPr>
          <w:noProof/>
          <w:color w:val="000000" w:themeColor="text1"/>
          <w:lang w:val="fr-FR" w:eastAsia="fr-BE"/>
        </w:rPr>
        <w:t xml:space="preserve">condense l’essentiel des analyses et des propositions quant au type d’indicateurs utilisés par les </w:t>
      </w:r>
      <w:r w:rsidRPr="00DE659D">
        <w:rPr>
          <w:i/>
          <w:noProof/>
          <w:color w:val="000000" w:themeColor="text1"/>
          <w:lang w:val="fr-FR" w:eastAsia="fr-BE"/>
        </w:rPr>
        <w:t xml:space="preserve">policy makers </w:t>
      </w:r>
      <w:r w:rsidRPr="00DE659D">
        <w:rPr>
          <w:noProof/>
          <w:color w:val="000000" w:themeColor="text1"/>
          <w:lang w:val="fr-BE" w:eastAsia="fr-BE"/>
        </w:rPr>
        <w:t>(Whitby et al., 2014 ; Thiry et al., 2013), complété par diverses autres publications (</w:t>
      </w:r>
      <w:r w:rsidRPr="00DE659D">
        <w:rPr>
          <w:i/>
          <w:noProof/>
          <w:color w:val="000000" w:themeColor="text1"/>
          <w:lang w:val="fr-BE" w:eastAsia="fr-BE"/>
        </w:rPr>
        <w:t>e.g.</w:t>
      </w:r>
      <w:r w:rsidRPr="00DE659D">
        <w:rPr>
          <w:noProof/>
          <w:color w:val="000000" w:themeColor="text1"/>
          <w:lang w:val="fr-BE" w:eastAsia="fr-BE"/>
        </w:rPr>
        <w:t xml:space="preserve"> Thiry </w:t>
      </w:r>
      <w:r w:rsidRPr="00DE659D">
        <w:rPr>
          <w:i/>
          <w:noProof/>
          <w:color w:val="000000" w:themeColor="text1"/>
          <w:lang w:val="fr-BE" w:eastAsia="fr-BE"/>
        </w:rPr>
        <w:t>et al</w:t>
      </w:r>
      <w:r w:rsidRPr="00DE659D">
        <w:rPr>
          <w:noProof/>
          <w:color w:val="000000" w:themeColor="text1"/>
          <w:lang w:val="fr-BE" w:eastAsia="fr-BE"/>
        </w:rPr>
        <w:t>., 2014 ; Bleys et Whitby, 2015)</w:t>
      </w:r>
      <w:r w:rsidRPr="00DE659D">
        <w:rPr>
          <w:noProof/>
          <w:color w:val="000000" w:themeColor="text1"/>
          <w:lang w:val="fr-FR" w:eastAsia="fr-BE"/>
        </w:rPr>
        <w:t xml:space="preserve">. Parmi les propositions évoquées, on trouve le fait que les composantes de l’indicateur </w:t>
      </w:r>
      <w:r w:rsidRPr="00DE659D">
        <w:rPr>
          <w:noProof/>
          <w:color w:val="000000" w:themeColor="text1"/>
          <w:lang w:val="fr-BE" w:eastAsia="fr-BE"/>
        </w:rPr>
        <w:t xml:space="preserve">devraient être liées à des politiques potentielles ou aux objectifs d’un ministère </w:t>
      </w:r>
      <w:r w:rsidRPr="00DE659D">
        <w:rPr>
          <w:noProof/>
          <w:color w:val="000000" w:themeColor="text1"/>
          <w:lang w:val="hu-HU" w:eastAsia="fr-BE"/>
        </w:rPr>
        <w:t>(</w:t>
      </w:r>
      <w:r w:rsidRPr="00DE659D">
        <w:rPr>
          <w:noProof/>
          <w:color w:val="000000" w:themeColor="text1"/>
          <w:lang w:val="fr-FR" w:eastAsia="fr-BE"/>
        </w:rPr>
        <w:t>Hak et al, 2012). Cet élément est sans doute le plus important. Il implique en pratique un alignement partiel de l’indicateur sur les enjeux politiques (potentiellement) portés par le gouvernement. Ensuite, les éléments mesurés doivent être suffisamment réactif aux politiques publiques, car une variable évoluant trop lentement (</w:t>
      </w:r>
      <w:r w:rsidRPr="00DE659D">
        <w:rPr>
          <w:i/>
          <w:noProof/>
          <w:color w:val="000000" w:themeColor="text1"/>
          <w:lang w:val="fr-FR" w:eastAsia="fr-BE"/>
        </w:rPr>
        <w:t>e.g.</w:t>
      </w:r>
      <w:r w:rsidRPr="00DE659D">
        <w:rPr>
          <w:noProof/>
          <w:color w:val="000000" w:themeColor="text1"/>
          <w:lang w:val="fr-FR" w:eastAsia="fr-BE"/>
        </w:rPr>
        <w:t xml:space="preserve"> l’espérance de vie) ne permettra pas nécessairement de rendre compte des évolutions au cours d’une législature. La possibilité d’une comparaison avec d’autres pays et régions est également évoquée comme un facteur d’appropriabilité, de même que l’absence d’agrégation monétaire, cette dernière étant perçue dans certaines enquêtes comme un repoussoir par le personnel politique (</w:t>
      </w:r>
      <w:r w:rsidRPr="00DE659D">
        <w:rPr>
          <w:noProof/>
          <w:color w:val="000000" w:themeColor="text1"/>
          <w:lang w:val="fr-BE" w:eastAsia="fr-BE"/>
        </w:rPr>
        <w:t>Bleys et Whitby, 2015</w:t>
      </w:r>
      <w:r w:rsidRPr="00DE659D">
        <w:rPr>
          <w:noProof/>
          <w:color w:val="000000" w:themeColor="text1"/>
          <w:lang w:val="fr-FR" w:eastAsia="fr-BE"/>
        </w:rPr>
        <w:t xml:space="preserve">). Enfin, des indicateurs sont particulièrement attractifs pour des décideurs s’ils sont peu coûteux à produire et s’ils portent sur des éléments pour </w:t>
      </w:r>
      <w:r w:rsidRPr="00DE659D">
        <w:rPr>
          <w:noProof/>
          <w:color w:val="000000" w:themeColor="text1"/>
          <w:lang w:val="fr-FR" w:eastAsia="fr-BE"/>
        </w:rPr>
        <w:lastRenderedPageBreak/>
        <w:t xml:space="preserve">lesquels le gouvernement peut réaliser des économies, ou peut développer des politiques à bas coût </w:t>
      </w:r>
      <w:r w:rsidRPr="00DE659D">
        <w:rPr>
          <w:noProof/>
          <w:color w:val="000000" w:themeColor="text1"/>
          <w:lang w:val="fr-BE" w:eastAsia="fr-BE"/>
        </w:rPr>
        <w:t xml:space="preserve">(Whitby </w:t>
      </w:r>
      <w:r w:rsidRPr="00DE659D">
        <w:rPr>
          <w:i/>
          <w:noProof/>
          <w:color w:val="000000" w:themeColor="text1"/>
          <w:lang w:val="fr-BE" w:eastAsia="fr-BE"/>
        </w:rPr>
        <w:t>et al</w:t>
      </w:r>
      <w:r w:rsidRPr="00DE659D">
        <w:rPr>
          <w:noProof/>
          <w:color w:val="000000" w:themeColor="text1"/>
          <w:lang w:val="fr-BE" w:eastAsia="fr-BE"/>
        </w:rPr>
        <w:t xml:space="preserve">., 2014). </w:t>
      </w:r>
    </w:p>
    <w:p w14:paraId="1EB118EF"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Ces quelques exemples montrent des éléments qui devraient être à tout le moins réfléchis lors de la constitution d’indicateurs de la transition, mais qui sont pourtant absents de nombreux indicateurs. En pratique, c’est une co-construction avec les acteurs qui permet au mieux de mettre en cohérence les indicateurs avec leurs usagers potentiels. </w:t>
      </w:r>
    </w:p>
    <w:p w14:paraId="71222FFA" w14:textId="75388928"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L’objectif de cette section était de montrer l’importance d’envisager les besoins des acteurs auxquels s’adressent les indicateurs de la transition. Non seulement, cette interaction entre indicateurs et usagers potentiels est trop peu investiguée. Mais aussi, elle a plusieurs implications quant aux formes que doivent prendre des indicateurs de transition. A cet égard, citons la nécessité d’une diversité d’indicateur calibrés en fonction des besoins des utilisateurs. </w:t>
      </w:r>
      <w:r w:rsidRPr="00DE659D">
        <w:rPr>
          <w:i/>
          <w:iCs/>
          <w:noProof/>
          <w:color w:val="000000" w:themeColor="text1"/>
          <w:lang w:val="fr-BE" w:eastAsia="fr-BE"/>
        </w:rPr>
        <w:t>A contrario</w:t>
      </w:r>
      <w:r w:rsidRPr="00DE659D">
        <w:rPr>
          <w:noProof/>
          <w:color w:val="000000" w:themeColor="text1"/>
          <w:lang w:val="fr-BE" w:eastAsia="fr-BE"/>
        </w:rPr>
        <w:t>, des tentatives de standardisation peuvent réduire la pertinence des indicateurs pour leurs utilisateurs. Cette hypothèse est explicitement considérée dans cette thèse, en particulier, dans l’étude de l’articulation micro macro des indicateurs sociaux et environnementaux, lorsqu’une standardisation entre niveaux est envisagée. Une autre problématique relative à l’appropriabilité des indicateurs concerne les préférences spécifiques de certains types d’acteurs en matière de transition. A cet égard, un des articles de thèse compare les indicateurs produits par des acteurs jugés ‘puissants’ ou ‘non puissants’ afin d’en montrer les différences.</w:t>
      </w:r>
    </w:p>
    <w:p w14:paraId="47977052" w14:textId="79CE2A45" w:rsidR="00DE659D" w:rsidRPr="00DE659D" w:rsidRDefault="00DE659D" w:rsidP="00DE659D">
      <w:pPr>
        <w:pStyle w:val="Titre2"/>
        <w:rPr>
          <w:noProof/>
          <w:lang w:val="fr-BE" w:eastAsia="fr-BE"/>
        </w:rPr>
      </w:pPr>
      <w:bookmarkStart w:id="14" w:name="_Toc51512262"/>
      <w:r w:rsidRPr="00DE659D">
        <w:rPr>
          <w:noProof/>
          <w:lang w:val="fr-BE" w:eastAsia="fr-BE"/>
        </w:rPr>
        <w:t>Structure de la thèse</w:t>
      </w:r>
      <w:bookmarkEnd w:id="14"/>
      <w:r w:rsidRPr="00DE659D">
        <w:rPr>
          <w:noProof/>
          <w:lang w:val="fr-BE" w:eastAsia="fr-BE"/>
        </w:rPr>
        <w:t xml:space="preserve"> </w:t>
      </w:r>
    </w:p>
    <w:p w14:paraId="17BCE637"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Cette thèse est composée de trois articles, s’arrimant chacun à un ou plusieurs des enjeux explicités précédemment.</w:t>
      </w:r>
    </w:p>
    <w:p w14:paraId="44D87916" w14:textId="77777777" w:rsidR="00DE659D" w:rsidRPr="00DE659D" w:rsidRDefault="00DE659D" w:rsidP="00DE659D">
      <w:pPr>
        <w:rPr>
          <w:noProof/>
          <w:color w:val="000000" w:themeColor="text1"/>
          <w:lang w:val="fr-BE" w:eastAsia="fr-BE"/>
        </w:rPr>
      </w:pPr>
      <w:r w:rsidRPr="00DE659D">
        <w:rPr>
          <w:noProof/>
          <w:color w:val="000000" w:themeColor="text1"/>
          <w:lang w:val="en-US" w:eastAsia="fr-BE"/>
        </w:rPr>
        <w:t>Le premier article s’intitule : ‘</w:t>
      </w:r>
      <w:r w:rsidRPr="00DE659D">
        <w:rPr>
          <w:i/>
          <w:noProof/>
          <w:color w:val="000000" w:themeColor="text1"/>
          <w:lang w:val="en-US" w:eastAsia="fr-BE"/>
        </w:rPr>
        <w:t>How to articulate beyond GDP and businesses’ social and environmental indicators?</w:t>
      </w:r>
      <w:r w:rsidRPr="00DE659D">
        <w:rPr>
          <w:noProof/>
          <w:color w:val="000000" w:themeColor="text1"/>
          <w:lang w:val="en-US" w:eastAsia="fr-BE"/>
        </w:rPr>
        <w:t xml:space="preserve">’. </w:t>
      </w:r>
      <w:r w:rsidRPr="00DE659D">
        <w:rPr>
          <w:noProof/>
          <w:color w:val="000000" w:themeColor="text1"/>
          <w:lang w:val="fr-BE" w:eastAsia="fr-BE"/>
        </w:rPr>
        <w:t xml:space="preserve">Il s’inscrit dans l’hypothèse selon laquelle les entreprises sont amenées à jouer un rôle moteur dans la transition et s’interroge sur la manière d’articuler adéquatement leurs indicateurs avec ceux du niveau macro. Dans un premier temps, il montre comment les indicateurs existants – qu’ils </w:t>
      </w:r>
      <w:r w:rsidRPr="00DE659D">
        <w:rPr>
          <w:noProof/>
          <w:color w:val="000000" w:themeColor="text1"/>
          <w:lang w:val="fr-BE" w:eastAsia="fr-BE"/>
        </w:rPr>
        <w:lastRenderedPageBreak/>
        <w:t>soient des indicateurs économiques/financiers traditionnels ou des indicateurs alternatifs – sont articulés entre les niveaux macro et de l’entreprise. Sur base de ces résultats, il vise ensuite à proposer un cadre théorique pour articuler de manière adéquate des indicateurs alternatifs du niveau macro et ceux du niveau de l’entreprise. Cet article adopte donc une approche inductive, c’est à dire qu’il part d’une analyse empirique pour aboutir à des conclusions théoriques.</w:t>
      </w:r>
    </w:p>
    <w:p w14:paraId="3FAA282B"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En traitant de la question de l’articulation entre acteurs et entre échelles, cet article vise à fournir des outils pour une stratégie de transition polycentrique. Dès lors, il se situe pleinement au sein de l’enjeu (2) concernant les stratégies économiques pour une transition. Par ailleurs, il pose l’exigence selon laquelle une telle articulation doit maintenir la pertinence d’indicateurs pour leurs utilisateurs originels. Ce faisant, il s’intègre également dans l’enjeu (3) concernant le lien avec les utilisateurs. </w:t>
      </w:r>
    </w:p>
    <w:p w14:paraId="7DD3D807"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Le deuxième article ‘</w:t>
      </w:r>
      <w:r w:rsidRPr="00DE659D">
        <w:rPr>
          <w:i/>
          <w:noProof/>
          <w:color w:val="000000" w:themeColor="text1"/>
          <w:lang w:val="fr-BE" w:eastAsia="fr-BE"/>
        </w:rPr>
        <w:t>Improving government and business coordination by the use of consistent SDGs indicators</w:t>
      </w:r>
      <w:r w:rsidRPr="00DE659D">
        <w:rPr>
          <w:noProof/>
          <w:color w:val="000000" w:themeColor="text1"/>
          <w:lang w:val="fr-BE" w:eastAsia="fr-BE"/>
        </w:rPr>
        <w:t>’ s’inscrit également dans une perspective de transition polycentrique. Si le premier article visait à dégager une proposition théorique d’articulation optimale, ce deuxième article vise à voir si, dans la pratique, cette articulation optimale est réalisée, et surtout, quels sont les points problématiques/à améliorer. Il se focalise sur les indicateurs des Objectifs du Développement Durable (ODD) adoptés par l’ONU en 2015, et particulièrement sur les déclinaisons de ces indicateurs au niveau belge (par le Bureau Fédéral du Plan) et au niveau des entreprises des secteurs pharmaceutiques et du commerce de détail. Cet article étudie dans quelle mesure les indicateurs de durabilité de ces différents acteurs mesurent des enjeux différents, quelles sont les performances qu’ils révèlent, et dans quelle mesure ils sont accompagnés par des cibles coordonnées entre les niveaux.</w:t>
      </w:r>
    </w:p>
    <w:p w14:paraId="43137FA6"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En analysant les indicateurs, les performances et les cibles de différents acteurs prétendant concourir aux ODD, cet article contribue à la littérature sur une transition polycentrique et se situe donc au sein de l’enjeu (2) concernant les stratégies économiques pour une transition. Par ailleurs, son objet le rapproche de l’enjeu (1) </w:t>
      </w:r>
      <w:r w:rsidRPr="00DE659D">
        <w:rPr>
          <w:noProof/>
          <w:color w:val="000000" w:themeColor="text1"/>
          <w:lang w:val="fr-BE" w:eastAsia="fr-BE"/>
        </w:rPr>
        <w:lastRenderedPageBreak/>
        <w:t xml:space="preserve">concernant la direction d’une transition, car il analyse si les priorités en matière de développement durable sont identiques entre le niveau du gouvernement et celui des entreprises. </w:t>
      </w:r>
    </w:p>
    <w:p w14:paraId="5E14EDED"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Le troisième article ‘</w:t>
      </w:r>
      <w:r w:rsidRPr="00DE659D">
        <w:rPr>
          <w:i/>
          <w:noProof/>
          <w:color w:val="000000" w:themeColor="text1"/>
          <w:lang w:val="fr-BE" w:eastAsia="fr-BE"/>
        </w:rPr>
        <w:t>Do beyond GDP indicators initiated by powerful stakeholders have a transformative potential?</w:t>
      </w:r>
      <w:r w:rsidRPr="00DE659D">
        <w:rPr>
          <w:noProof/>
          <w:color w:val="000000" w:themeColor="text1"/>
          <w:lang w:val="fr-BE" w:eastAsia="fr-BE"/>
        </w:rPr>
        <w:t xml:space="preserve">’ examine dans quelle mesure il existe des différences entre les indicateurs alternatifs ou complémentaires, lorsqu’on compare leur </w:t>
      </w:r>
      <w:r w:rsidRPr="00DE659D">
        <w:rPr>
          <w:i/>
          <w:noProof/>
          <w:color w:val="000000" w:themeColor="text1"/>
          <w:lang w:val="fr-BE" w:eastAsia="fr-BE"/>
        </w:rPr>
        <w:t>ranking</w:t>
      </w:r>
      <w:r w:rsidRPr="00DE659D">
        <w:rPr>
          <w:noProof/>
          <w:color w:val="000000" w:themeColor="text1"/>
          <w:lang w:val="fr-BE" w:eastAsia="fr-BE"/>
        </w:rPr>
        <w:t xml:space="preserve"> à celui du PIB. Il examine ensuite quels sont les facteurs qui expliquent que certains indicateurs aboutissent à des </w:t>
      </w:r>
      <w:r w:rsidRPr="00DE659D">
        <w:rPr>
          <w:i/>
          <w:noProof/>
          <w:color w:val="000000" w:themeColor="text1"/>
          <w:lang w:val="fr-BE" w:eastAsia="fr-BE"/>
        </w:rPr>
        <w:t>rankings</w:t>
      </w:r>
      <w:r w:rsidRPr="00DE659D">
        <w:rPr>
          <w:noProof/>
          <w:color w:val="000000" w:themeColor="text1"/>
          <w:lang w:val="fr-BE" w:eastAsia="fr-BE"/>
        </w:rPr>
        <w:t xml:space="preserve"> quasi identiques à celui du au PIB, alors même que ces indicateurs souhaitent dépasser le PIB. Enfin, il analyse si les indicateurs qui ont le plus faible potentiel transformateur sont ceux développés par des acteurs considérés comme puissants. </w:t>
      </w:r>
    </w:p>
    <w:p w14:paraId="63F88924"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En montrant que certains indicateurs aboutissent à un </w:t>
      </w:r>
      <w:r w:rsidRPr="00DE659D">
        <w:rPr>
          <w:i/>
          <w:noProof/>
          <w:color w:val="000000" w:themeColor="text1"/>
          <w:lang w:val="fr-BE" w:eastAsia="fr-BE"/>
        </w:rPr>
        <w:t>ranking</w:t>
      </w:r>
      <w:r w:rsidRPr="00DE659D">
        <w:rPr>
          <w:noProof/>
          <w:color w:val="000000" w:themeColor="text1"/>
          <w:lang w:val="fr-BE" w:eastAsia="fr-BE"/>
        </w:rPr>
        <w:t xml:space="preserve"> quasi identique à celui du PIB, cet article désigne en fait quels indicateurs sont de piètres indicateurs d’une transition substantielle. Ce faisant, il se situe au sein de l’enjeu (1) sur la vision de la transition. Ensuite, en distinguant les indicateurs en fonction du type d’acteurs qui les portent et en montrant que ces derniers en influencent le contenu, cet article contribue également à l’enjeu (3) sur le lien entre les indicateurs et leurs utilisateurs. </w:t>
      </w:r>
    </w:p>
    <w:p w14:paraId="50B2276F"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Ces trois articles sont présentés ci-dessous en anglais, et suivis d’une conclusion générale en français.</w:t>
      </w:r>
    </w:p>
    <w:p w14:paraId="5D9FA2BE" w14:textId="77777777" w:rsidR="00DE659D" w:rsidRPr="00DE659D" w:rsidRDefault="00DE659D" w:rsidP="00DE659D">
      <w:pPr>
        <w:pStyle w:val="Titre2"/>
        <w:rPr>
          <w:noProof/>
          <w:lang w:val="fr-BE" w:eastAsia="fr-BE"/>
        </w:rPr>
      </w:pPr>
      <w:bookmarkStart w:id="15" w:name="_Toc51512263"/>
      <w:r w:rsidRPr="00DE659D">
        <w:rPr>
          <w:noProof/>
          <w:lang w:val="fr-BE" w:eastAsia="fr-BE"/>
        </w:rPr>
        <w:t>Références</w:t>
      </w:r>
      <w:bookmarkEnd w:id="15"/>
    </w:p>
    <w:p w14:paraId="50332F8F" w14:textId="77777777" w:rsidR="00DE659D" w:rsidRPr="00DE659D" w:rsidRDefault="00DE659D" w:rsidP="00DE659D">
      <w:pPr>
        <w:rPr>
          <w:noProof/>
          <w:color w:val="000000" w:themeColor="text1"/>
          <w:lang w:val="hu-HU" w:eastAsia="fr-BE"/>
        </w:rPr>
      </w:pPr>
      <w:bookmarkStart w:id="16" w:name="_Hlk23254661"/>
      <w:r w:rsidRPr="00DE659D">
        <w:rPr>
          <w:noProof/>
          <w:color w:val="000000" w:themeColor="text1"/>
          <w:lang w:val="hu-HU" w:eastAsia="fr-BE"/>
        </w:rPr>
        <w:t>Akhabbar, A., &amp; Swaton, S. (2011). </w:t>
      </w:r>
      <w:r w:rsidRPr="00DE659D">
        <w:rPr>
          <w:i/>
          <w:iCs/>
          <w:noProof/>
          <w:color w:val="000000" w:themeColor="text1"/>
          <w:lang w:val="hu-HU" w:eastAsia="fr-BE"/>
        </w:rPr>
        <w:t>Economie du Développement Durable et Economie Sociale et Solidaire: des relations complexes pour des enjeux majeurs</w:t>
      </w:r>
      <w:r w:rsidRPr="00DE659D">
        <w:rPr>
          <w:noProof/>
          <w:color w:val="000000" w:themeColor="text1"/>
          <w:lang w:val="hu-HU" w:eastAsia="fr-BE"/>
        </w:rPr>
        <w:t> (No. 34557). University Library of Munich, Germany.</w:t>
      </w:r>
    </w:p>
    <w:p w14:paraId="56B4674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Araral, E., &amp; Hartley, K. (2013, June). Polycentric governance for a new environmental regime: Theoretical frontiers in policy reform and public administration. In </w:t>
      </w:r>
      <w:r w:rsidRPr="00DE659D">
        <w:rPr>
          <w:i/>
          <w:iCs/>
          <w:noProof/>
          <w:color w:val="000000" w:themeColor="text1"/>
          <w:lang w:val="hu-HU" w:eastAsia="fr-BE"/>
        </w:rPr>
        <w:t>1st international conference on public policy. Grenoble, France</w:t>
      </w:r>
      <w:r w:rsidRPr="00DE659D">
        <w:rPr>
          <w:noProof/>
          <w:color w:val="000000" w:themeColor="text1"/>
          <w:lang w:val="hu-HU" w:eastAsia="fr-BE"/>
        </w:rPr>
        <w:t>.</w:t>
      </w:r>
    </w:p>
    <w:p w14:paraId="61EBD37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Banerjee, S. B. (2008). Corporate social responsibility: The good, the bad and the ugly. </w:t>
      </w:r>
      <w:r w:rsidRPr="00DE659D">
        <w:rPr>
          <w:i/>
          <w:iCs/>
          <w:noProof/>
          <w:color w:val="000000" w:themeColor="text1"/>
          <w:lang w:val="hu-HU" w:eastAsia="fr-BE"/>
        </w:rPr>
        <w:t>Critical sociology</w:t>
      </w:r>
      <w:r w:rsidRPr="00DE659D">
        <w:rPr>
          <w:noProof/>
          <w:color w:val="000000" w:themeColor="text1"/>
          <w:lang w:val="hu-HU" w:eastAsia="fr-BE"/>
        </w:rPr>
        <w:t>, </w:t>
      </w:r>
      <w:r w:rsidRPr="00DE659D">
        <w:rPr>
          <w:i/>
          <w:iCs/>
          <w:noProof/>
          <w:color w:val="000000" w:themeColor="text1"/>
          <w:lang w:val="hu-HU" w:eastAsia="fr-BE"/>
        </w:rPr>
        <w:t>34</w:t>
      </w:r>
      <w:r w:rsidRPr="00DE659D">
        <w:rPr>
          <w:noProof/>
          <w:color w:val="000000" w:themeColor="text1"/>
          <w:lang w:val="hu-HU" w:eastAsia="fr-BE"/>
        </w:rPr>
        <w:t>(1), 51-79.</w:t>
      </w:r>
    </w:p>
    <w:p w14:paraId="2F1C0B3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Barrington-Leigh, C., &amp; Escande, A. (2018). Measuring progress and well-being: A comparative review of indicators. </w:t>
      </w:r>
      <w:r w:rsidRPr="00DE659D">
        <w:rPr>
          <w:i/>
          <w:iCs/>
          <w:noProof/>
          <w:color w:val="000000" w:themeColor="text1"/>
          <w:lang w:val="hu-HU" w:eastAsia="fr-BE"/>
        </w:rPr>
        <w:t>Social Indicators Research</w:t>
      </w:r>
      <w:r w:rsidRPr="00DE659D">
        <w:rPr>
          <w:noProof/>
          <w:color w:val="000000" w:themeColor="text1"/>
          <w:lang w:val="hu-HU" w:eastAsia="fr-BE"/>
        </w:rPr>
        <w:t>, </w:t>
      </w:r>
      <w:r w:rsidRPr="00DE659D">
        <w:rPr>
          <w:i/>
          <w:iCs/>
          <w:noProof/>
          <w:color w:val="000000" w:themeColor="text1"/>
          <w:lang w:val="hu-HU" w:eastAsia="fr-BE"/>
        </w:rPr>
        <w:t>135</w:t>
      </w:r>
      <w:r w:rsidRPr="00DE659D">
        <w:rPr>
          <w:noProof/>
          <w:color w:val="000000" w:themeColor="text1"/>
          <w:lang w:val="hu-HU" w:eastAsia="fr-BE"/>
        </w:rPr>
        <w:t>(3), 893-925.</w:t>
      </w:r>
    </w:p>
    <w:p w14:paraId="61E7236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Bauler, T. (2012). An analytical framework to discuss the usability of (environmental) indicators for policy. </w:t>
      </w:r>
      <w:r w:rsidRPr="00DE659D">
        <w:rPr>
          <w:i/>
          <w:iCs/>
          <w:noProof/>
          <w:color w:val="000000" w:themeColor="text1"/>
          <w:lang w:val="en-US" w:eastAsia="fr-BE"/>
        </w:rPr>
        <w:t>Ecological indicators</w:t>
      </w:r>
      <w:r w:rsidRPr="00DE659D">
        <w:rPr>
          <w:noProof/>
          <w:color w:val="000000" w:themeColor="text1"/>
          <w:lang w:val="en-US" w:eastAsia="fr-BE"/>
        </w:rPr>
        <w:t>, </w:t>
      </w:r>
      <w:r w:rsidRPr="00DE659D">
        <w:rPr>
          <w:i/>
          <w:iCs/>
          <w:noProof/>
          <w:color w:val="000000" w:themeColor="text1"/>
          <w:lang w:val="en-US" w:eastAsia="fr-BE"/>
        </w:rPr>
        <w:t>17</w:t>
      </w:r>
      <w:r w:rsidRPr="00DE659D">
        <w:rPr>
          <w:noProof/>
          <w:color w:val="000000" w:themeColor="text1"/>
          <w:lang w:val="en-US" w:eastAsia="fr-BE"/>
        </w:rPr>
        <w:t>, 38-45.</w:t>
      </w:r>
    </w:p>
    <w:p w14:paraId="7B46323B"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Bauwens, T., &amp; Mertens, S. (2017). Social economy and polycentric governance of transitions. In </w:t>
      </w:r>
      <w:r w:rsidRPr="00DE659D">
        <w:rPr>
          <w:i/>
          <w:iCs/>
          <w:noProof/>
          <w:color w:val="000000" w:themeColor="text1"/>
          <w:lang w:val="hu-HU" w:eastAsia="fr-BE"/>
        </w:rPr>
        <w:t>Post-growth Economics and Society</w:t>
      </w:r>
      <w:r w:rsidRPr="00DE659D">
        <w:rPr>
          <w:noProof/>
          <w:color w:val="000000" w:themeColor="text1"/>
          <w:lang w:val="hu-HU" w:eastAsia="fr-BE"/>
        </w:rPr>
        <w:t> (pp. 45-62). Routledge.</w:t>
      </w:r>
    </w:p>
    <w:p w14:paraId="4F01FF6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Bleys, B., &amp; Whitby, A. (2015). Barriers and opportunities for alternative measures of economic welfare. </w:t>
      </w:r>
      <w:r w:rsidRPr="00DE659D">
        <w:rPr>
          <w:i/>
          <w:iCs/>
          <w:noProof/>
          <w:color w:val="000000" w:themeColor="text1"/>
          <w:lang w:val="hu-HU" w:eastAsia="fr-BE"/>
        </w:rPr>
        <w:t>Ecological Economics</w:t>
      </w:r>
      <w:r w:rsidRPr="00DE659D">
        <w:rPr>
          <w:noProof/>
          <w:color w:val="000000" w:themeColor="text1"/>
          <w:lang w:val="hu-HU" w:eastAsia="fr-BE"/>
        </w:rPr>
        <w:t>, </w:t>
      </w:r>
      <w:r w:rsidRPr="00DE659D">
        <w:rPr>
          <w:i/>
          <w:iCs/>
          <w:noProof/>
          <w:color w:val="000000" w:themeColor="text1"/>
          <w:lang w:val="hu-HU" w:eastAsia="fr-BE"/>
        </w:rPr>
        <w:t>117</w:t>
      </w:r>
      <w:r w:rsidRPr="00DE659D">
        <w:rPr>
          <w:noProof/>
          <w:color w:val="000000" w:themeColor="text1"/>
          <w:lang w:val="hu-HU" w:eastAsia="fr-BE"/>
        </w:rPr>
        <w:t>, 162-172.</w:t>
      </w:r>
    </w:p>
    <w:p w14:paraId="1AAF5FD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Boiral, O. (2013). Sustainability reports as simulacra? A counter-account of A and A+ GRI reports. </w:t>
      </w:r>
      <w:r w:rsidRPr="00DE659D">
        <w:rPr>
          <w:i/>
          <w:iCs/>
          <w:noProof/>
          <w:color w:val="000000" w:themeColor="text1"/>
          <w:lang w:val="hu-HU" w:eastAsia="fr-BE"/>
        </w:rPr>
        <w:t>Accounting, Auditing &amp; Accountability Journal</w:t>
      </w:r>
      <w:r w:rsidRPr="00DE659D">
        <w:rPr>
          <w:noProof/>
          <w:color w:val="000000" w:themeColor="text1"/>
          <w:lang w:val="hu-HU" w:eastAsia="fr-BE"/>
        </w:rPr>
        <w:t>, </w:t>
      </w:r>
      <w:r w:rsidRPr="00DE659D">
        <w:rPr>
          <w:i/>
          <w:iCs/>
          <w:noProof/>
          <w:color w:val="000000" w:themeColor="text1"/>
          <w:lang w:val="hu-HU" w:eastAsia="fr-BE"/>
        </w:rPr>
        <w:t>26</w:t>
      </w:r>
      <w:r w:rsidRPr="00DE659D">
        <w:rPr>
          <w:noProof/>
          <w:color w:val="000000" w:themeColor="text1"/>
          <w:lang w:val="hu-HU" w:eastAsia="fr-BE"/>
        </w:rPr>
        <w:t>(7), 1036-1071.</w:t>
      </w:r>
    </w:p>
    <w:p w14:paraId="54FCA401"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Borgnäs</w:t>
      </w:r>
      <w:r w:rsidRPr="00DE659D">
        <w:rPr>
          <w:noProof/>
          <w:color w:val="000000" w:themeColor="text1"/>
          <w:lang w:val="en-US" w:eastAsia="fr-BE"/>
        </w:rPr>
        <w:t>, K. Indicators as ‘circular argumentation constructs’? An input–output analysis of the variable structure of five environmental sustainability country rankings. </w:t>
      </w:r>
      <w:r w:rsidRPr="00DE659D">
        <w:rPr>
          <w:i/>
          <w:iCs/>
          <w:noProof/>
          <w:color w:val="000000" w:themeColor="text1"/>
          <w:lang w:val="en-US" w:eastAsia="fr-BE"/>
        </w:rPr>
        <w:t>Environment, Development and Sustainability</w:t>
      </w:r>
      <w:r w:rsidRPr="00DE659D">
        <w:rPr>
          <w:noProof/>
          <w:color w:val="000000" w:themeColor="text1"/>
          <w:lang w:val="en-US" w:eastAsia="fr-BE"/>
        </w:rPr>
        <w:t xml:space="preserve">, 1-22. </w:t>
      </w:r>
    </w:p>
    <w:p w14:paraId="7B2C9F97"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Brand, U. (2016). How to get out of the multiple crisis? Contours of a critical theory of social-ecological transformation. </w:t>
      </w:r>
      <w:r w:rsidRPr="00DE659D">
        <w:rPr>
          <w:i/>
          <w:iCs/>
          <w:noProof/>
          <w:color w:val="000000" w:themeColor="text1"/>
          <w:lang w:val="hu-HU" w:eastAsia="fr-BE"/>
        </w:rPr>
        <w:t>Environmental Values</w:t>
      </w:r>
      <w:r w:rsidRPr="00DE659D">
        <w:rPr>
          <w:noProof/>
          <w:color w:val="000000" w:themeColor="text1"/>
          <w:lang w:val="hu-HU" w:eastAsia="fr-BE"/>
        </w:rPr>
        <w:t>, </w:t>
      </w:r>
      <w:r w:rsidRPr="00DE659D">
        <w:rPr>
          <w:i/>
          <w:iCs/>
          <w:noProof/>
          <w:color w:val="000000" w:themeColor="text1"/>
          <w:lang w:val="hu-HU" w:eastAsia="fr-BE"/>
        </w:rPr>
        <w:t>25</w:t>
      </w:r>
      <w:r w:rsidRPr="00DE659D">
        <w:rPr>
          <w:noProof/>
          <w:color w:val="000000" w:themeColor="text1"/>
          <w:lang w:val="hu-HU" w:eastAsia="fr-BE"/>
        </w:rPr>
        <w:t>(5), 503-525.</w:t>
      </w:r>
    </w:p>
    <w:p w14:paraId="79F34CE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Brian, K. (2015). </w:t>
      </w:r>
      <w:r w:rsidRPr="00DE659D">
        <w:rPr>
          <w:i/>
          <w:iCs/>
          <w:noProof/>
          <w:color w:val="000000" w:themeColor="text1"/>
          <w:lang w:val="hu-HU" w:eastAsia="fr-BE"/>
        </w:rPr>
        <w:t>OECD Insights Income Inequality The Gap between Rich and Poor: The Gap between Rich and Poor</w:t>
      </w:r>
      <w:r w:rsidRPr="00DE659D">
        <w:rPr>
          <w:noProof/>
          <w:color w:val="000000" w:themeColor="text1"/>
          <w:lang w:val="hu-HU" w:eastAsia="fr-BE"/>
        </w:rPr>
        <w:t>. oecd Publishing.</w:t>
      </w:r>
    </w:p>
    <w:p w14:paraId="05DA2D3D" w14:textId="77777777" w:rsidR="00DE659D" w:rsidRPr="00DE659D" w:rsidRDefault="00DE659D" w:rsidP="00DE659D">
      <w:pPr>
        <w:rPr>
          <w:noProof/>
          <w:color w:val="000000" w:themeColor="text1"/>
          <w:lang w:val="hu-HU" w:eastAsia="fr-BE"/>
        </w:rPr>
      </w:pPr>
      <w:r w:rsidRPr="00DE659D">
        <w:rPr>
          <w:noProof/>
          <w:color w:val="000000" w:themeColor="text1"/>
          <w:lang w:val="fr-BE" w:eastAsia="fr-BE"/>
        </w:rPr>
        <w:t>Bruno, I., Didier, E., &amp; Prévieux, J. (Eds.). (2015). </w:t>
      </w:r>
      <w:r w:rsidRPr="00DE659D">
        <w:rPr>
          <w:i/>
          <w:iCs/>
          <w:noProof/>
          <w:color w:val="000000" w:themeColor="text1"/>
          <w:lang w:val="fr-BE" w:eastAsia="fr-BE"/>
        </w:rPr>
        <w:t>Statactivisme: Comment lutter avec des nombres</w:t>
      </w:r>
      <w:r w:rsidRPr="00DE659D">
        <w:rPr>
          <w:noProof/>
          <w:color w:val="000000" w:themeColor="text1"/>
          <w:lang w:val="fr-BE" w:eastAsia="fr-BE"/>
        </w:rPr>
        <w:t xml:space="preserve">. </w:t>
      </w:r>
      <w:r w:rsidRPr="00DE659D">
        <w:rPr>
          <w:noProof/>
          <w:color w:val="000000" w:themeColor="text1"/>
          <w:lang w:val="en-US" w:eastAsia="fr-BE"/>
        </w:rPr>
        <w:t>Zones.</w:t>
      </w:r>
    </w:p>
    <w:p w14:paraId="1E061F41"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Cassiers, I., &amp; Thiry, G. (2014). A high-stakes shift: Turning the tide from gdp to new prosperity indicators. </w:t>
      </w:r>
      <w:r w:rsidRPr="00DE659D">
        <w:rPr>
          <w:i/>
          <w:iCs/>
          <w:noProof/>
          <w:color w:val="000000" w:themeColor="text1"/>
          <w:lang w:val="hu-HU" w:eastAsia="fr-BE"/>
        </w:rPr>
        <w:t>Redefining prosperity. London: Routledge</w:t>
      </w:r>
      <w:r w:rsidRPr="00DE659D">
        <w:rPr>
          <w:noProof/>
          <w:color w:val="000000" w:themeColor="text1"/>
          <w:lang w:val="hu-HU" w:eastAsia="fr-BE"/>
        </w:rPr>
        <w:t>.</w:t>
      </w:r>
    </w:p>
    <w:p w14:paraId="6BE9CCE3" w14:textId="77777777" w:rsidR="00DE659D" w:rsidRPr="00DE659D" w:rsidRDefault="00DE659D" w:rsidP="00DE659D">
      <w:pPr>
        <w:rPr>
          <w:noProof/>
          <w:color w:val="000000" w:themeColor="text1"/>
          <w:lang w:eastAsia="fr-BE"/>
        </w:rPr>
      </w:pPr>
      <w:r w:rsidRPr="00DE659D">
        <w:rPr>
          <w:noProof/>
          <w:color w:val="000000" w:themeColor="text1"/>
          <w:lang w:eastAsia="fr-BE"/>
        </w:rPr>
        <w:t>Clark, W. C., Mitchell, R. B., &amp; Cash, D. W. (2006). Evaluating the inﬂuence of global environmental assessments. </w:t>
      </w:r>
      <w:r w:rsidRPr="00DE659D">
        <w:rPr>
          <w:i/>
          <w:iCs/>
          <w:noProof/>
          <w:color w:val="000000" w:themeColor="text1"/>
          <w:lang w:eastAsia="fr-BE"/>
        </w:rPr>
        <w:t>Global environmental assessments: information and inﬂuence. MIT, Cambridge</w:t>
      </w:r>
      <w:r w:rsidRPr="00DE659D">
        <w:rPr>
          <w:noProof/>
          <w:color w:val="000000" w:themeColor="text1"/>
          <w:lang w:eastAsia="fr-BE"/>
        </w:rPr>
        <w:t>, 1-28.</w:t>
      </w:r>
    </w:p>
    <w:p w14:paraId="03661D3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Dahl, A. L. (2012). Achievements and gaps in indicators for sustainability.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17</w:t>
      </w:r>
      <w:r w:rsidRPr="00DE659D">
        <w:rPr>
          <w:noProof/>
          <w:color w:val="000000" w:themeColor="text1"/>
          <w:lang w:val="hu-HU" w:eastAsia="fr-BE"/>
        </w:rPr>
        <w:t>, 14-19.</w:t>
      </w:r>
    </w:p>
    <w:p w14:paraId="7F7BD7D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Després, L. (2019). Une planification écologique et sociale: un impératif!. </w:t>
      </w:r>
      <w:r w:rsidRPr="00DE659D">
        <w:rPr>
          <w:i/>
          <w:iCs/>
          <w:noProof/>
          <w:color w:val="000000" w:themeColor="text1"/>
          <w:lang w:val="hu-HU" w:eastAsia="fr-BE"/>
        </w:rPr>
        <w:t>Actuel Marx</w:t>
      </w:r>
      <w:r w:rsidRPr="00DE659D">
        <w:rPr>
          <w:noProof/>
          <w:color w:val="000000" w:themeColor="text1"/>
          <w:lang w:val="hu-HU" w:eastAsia="fr-BE"/>
        </w:rPr>
        <w:t>, (1), 103-118.</w:t>
      </w:r>
    </w:p>
    <w:p w14:paraId="4D134B0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Desrosières, A. (2012). Est-il bon, est-il méchant? Le rôle du nombre dans le gouvernement de la cité néolibérale. </w:t>
      </w:r>
      <w:r w:rsidRPr="00DE659D">
        <w:rPr>
          <w:i/>
          <w:iCs/>
          <w:noProof/>
          <w:color w:val="000000" w:themeColor="text1"/>
          <w:lang w:val="hu-HU" w:eastAsia="fr-BE"/>
        </w:rPr>
        <w:t>Nouvelles perspectives en sciences sociales: Revue internationale de systémique complexe et d'études relationnelles</w:t>
      </w:r>
      <w:r w:rsidRPr="00DE659D">
        <w:rPr>
          <w:noProof/>
          <w:color w:val="000000" w:themeColor="text1"/>
          <w:lang w:val="hu-HU" w:eastAsia="fr-BE"/>
        </w:rPr>
        <w:t>, </w:t>
      </w:r>
      <w:r w:rsidRPr="00DE659D">
        <w:rPr>
          <w:i/>
          <w:iCs/>
          <w:noProof/>
          <w:color w:val="000000" w:themeColor="text1"/>
          <w:lang w:val="hu-HU" w:eastAsia="fr-BE"/>
        </w:rPr>
        <w:t>7</w:t>
      </w:r>
      <w:r w:rsidRPr="00DE659D">
        <w:rPr>
          <w:noProof/>
          <w:color w:val="000000" w:themeColor="text1"/>
          <w:lang w:val="hu-HU" w:eastAsia="fr-BE"/>
        </w:rPr>
        <w:t>(2), 261-295.</w:t>
      </w:r>
    </w:p>
    <w:p w14:paraId="7832778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Desrosières, A. (2014). </w:t>
      </w:r>
      <w:r w:rsidRPr="00DE659D">
        <w:rPr>
          <w:i/>
          <w:iCs/>
          <w:noProof/>
          <w:color w:val="000000" w:themeColor="text1"/>
          <w:lang w:val="hu-HU" w:eastAsia="fr-BE"/>
        </w:rPr>
        <w:t>Prouver et gouverner: une analyse politique des statistiques publiques</w:t>
      </w:r>
      <w:r w:rsidRPr="00DE659D">
        <w:rPr>
          <w:noProof/>
          <w:color w:val="000000" w:themeColor="text1"/>
          <w:lang w:val="hu-HU" w:eastAsia="fr-BE"/>
        </w:rPr>
        <w:t>. La découverte.</w:t>
      </w:r>
    </w:p>
    <w:p w14:paraId="431F6488"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Easterlin R.E. (1974). Does economic growth improve the human lot? Some empirical evidence, in David P.A et Reder M.W. (Eds.) (1974), </w:t>
      </w:r>
      <w:r w:rsidRPr="00DE659D">
        <w:rPr>
          <w:i/>
          <w:noProof/>
          <w:color w:val="000000" w:themeColor="text1"/>
          <w:lang w:eastAsia="fr-BE"/>
        </w:rPr>
        <w:t>Nations and Households in Economic Growth: essays in honor of Moses Abramovitz</w:t>
      </w:r>
      <w:r w:rsidRPr="00DE659D">
        <w:rPr>
          <w:noProof/>
          <w:color w:val="000000" w:themeColor="text1"/>
          <w:lang w:eastAsia="fr-BE"/>
        </w:rPr>
        <w:t>, Academic Press, p.89-125.</w:t>
      </w:r>
    </w:p>
    <w:p w14:paraId="2660992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Eckley, N., Clark, W., Farrell, A., Jaeger, J., &amp; Stanners, D. (2001). </w:t>
      </w:r>
      <w:r w:rsidRPr="00DE659D">
        <w:rPr>
          <w:i/>
          <w:iCs/>
          <w:noProof/>
          <w:color w:val="000000" w:themeColor="text1"/>
          <w:lang w:val="hu-HU" w:eastAsia="fr-BE"/>
        </w:rPr>
        <w:t>Designing effective assessments: the role of participation, science and governance, and focus</w:t>
      </w:r>
      <w:r w:rsidRPr="00DE659D">
        <w:rPr>
          <w:noProof/>
          <w:color w:val="000000" w:themeColor="text1"/>
          <w:lang w:val="hu-HU" w:eastAsia="fr-BE"/>
        </w:rPr>
        <w:t> (Vol. 26). Belfer Center for Science and International Affairs, John F. Kennedy School of Government, Harvard University.</w:t>
      </w:r>
    </w:p>
    <w:p w14:paraId="62DFA47C" w14:textId="77777777" w:rsidR="00DE659D" w:rsidRPr="00DE659D" w:rsidRDefault="00DE659D" w:rsidP="00DE659D">
      <w:pPr>
        <w:rPr>
          <w:noProof/>
          <w:color w:val="000000" w:themeColor="text1"/>
          <w:lang w:val="fr-BE" w:eastAsia="fr-BE"/>
        </w:rPr>
      </w:pPr>
      <w:r w:rsidRPr="00DE659D">
        <w:rPr>
          <w:noProof/>
          <w:color w:val="000000" w:themeColor="text1"/>
          <w:lang w:eastAsia="fr-BE"/>
        </w:rPr>
        <w:t>Fleurbaey, M., &amp; Blanchet, D. (2013). </w:t>
      </w:r>
      <w:r w:rsidRPr="00DE659D">
        <w:rPr>
          <w:i/>
          <w:iCs/>
          <w:noProof/>
          <w:color w:val="000000" w:themeColor="text1"/>
          <w:lang w:eastAsia="fr-BE"/>
        </w:rPr>
        <w:t>Beyond GDP: Measuring welfare and assessing sustainability</w:t>
      </w:r>
      <w:r w:rsidRPr="00DE659D">
        <w:rPr>
          <w:noProof/>
          <w:color w:val="000000" w:themeColor="text1"/>
          <w:lang w:eastAsia="fr-BE"/>
        </w:rPr>
        <w:t xml:space="preserve">. </w:t>
      </w:r>
      <w:r w:rsidRPr="00DE659D">
        <w:rPr>
          <w:noProof/>
          <w:color w:val="000000" w:themeColor="text1"/>
          <w:lang w:val="fr-BE" w:eastAsia="fr-BE"/>
        </w:rPr>
        <w:t>Oxford University Press.</w:t>
      </w:r>
    </w:p>
    <w:p w14:paraId="38B621E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Fourquet, F. (1980). </w:t>
      </w:r>
      <w:r w:rsidRPr="00DE659D">
        <w:rPr>
          <w:i/>
          <w:iCs/>
          <w:noProof/>
          <w:color w:val="000000" w:themeColor="text1"/>
          <w:lang w:val="hu-HU" w:eastAsia="fr-BE"/>
        </w:rPr>
        <w:t>Comptes de la Puissance</w:t>
      </w:r>
      <w:r w:rsidRPr="00DE659D">
        <w:rPr>
          <w:noProof/>
          <w:color w:val="000000" w:themeColor="text1"/>
          <w:lang w:val="hu-HU" w:eastAsia="fr-BE"/>
        </w:rPr>
        <w:t>. Recherches.</w:t>
      </w:r>
    </w:p>
    <w:p w14:paraId="3E3F9A9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Freeman, R. E. (2010). </w:t>
      </w:r>
      <w:r w:rsidRPr="00DE659D">
        <w:rPr>
          <w:i/>
          <w:iCs/>
          <w:noProof/>
          <w:color w:val="000000" w:themeColor="text1"/>
          <w:lang w:val="hu-HU" w:eastAsia="fr-BE"/>
        </w:rPr>
        <w:t>Strategic management: A stakeholder approach</w:t>
      </w:r>
      <w:r w:rsidRPr="00DE659D">
        <w:rPr>
          <w:noProof/>
          <w:color w:val="000000" w:themeColor="text1"/>
          <w:lang w:val="hu-HU" w:eastAsia="fr-BE"/>
        </w:rPr>
        <w:t>. Cambridge university press.</w:t>
      </w:r>
    </w:p>
    <w:p w14:paraId="291AA6D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Gadrey, J., &amp; Jany-Catrice, F. (2012). </w:t>
      </w:r>
      <w:r w:rsidRPr="00DE659D">
        <w:rPr>
          <w:i/>
          <w:iCs/>
          <w:noProof/>
          <w:color w:val="000000" w:themeColor="text1"/>
          <w:lang w:val="hu-HU" w:eastAsia="fr-BE"/>
        </w:rPr>
        <w:t>Les nouveaux indicateurs de richesse</w:t>
      </w:r>
      <w:r w:rsidRPr="00DE659D">
        <w:rPr>
          <w:noProof/>
          <w:color w:val="000000" w:themeColor="text1"/>
          <w:lang w:val="hu-HU" w:eastAsia="fr-BE"/>
        </w:rPr>
        <w:t>. La découverte.</w:t>
      </w:r>
    </w:p>
    <w:p w14:paraId="7E7F55F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Gallopin, G. C. (1996). Environmental and sustainability indicators and the concept of situational indicators. A systems approach. </w:t>
      </w:r>
      <w:r w:rsidRPr="00DE659D">
        <w:rPr>
          <w:i/>
          <w:iCs/>
          <w:noProof/>
          <w:color w:val="000000" w:themeColor="text1"/>
          <w:lang w:val="hu-HU" w:eastAsia="fr-BE"/>
        </w:rPr>
        <w:t>Environmental modeling &amp; assessment</w:t>
      </w:r>
      <w:r w:rsidRPr="00DE659D">
        <w:rPr>
          <w:noProof/>
          <w:color w:val="000000" w:themeColor="text1"/>
          <w:lang w:val="hu-HU" w:eastAsia="fr-BE"/>
        </w:rPr>
        <w:t>, </w:t>
      </w:r>
      <w:r w:rsidRPr="00DE659D">
        <w:rPr>
          <w:i/>
          <w:iCs/>
          <w:noProof/>
          <w:color w:val="000000" w:themeColor="text1"/>
          <w:lang w:val="hu-HU" w:eastAsia="fr-BE"/>
        </w:rPr>
        <w:t>1</w:t>
      </w:r>
      <w:r w:rsidRPr="00DE659D">
        <w:rPr>
          <w:noProof/>
          <w:color w:val="000000" w:themeColor="text1"/>
          <w:lang w:val="hu-HU" w:eastAsia="fr-BE"/>
        </w:rPr>
        <w:t>(3), 101-117.</w:t>
      </w:r>
    </w:p>
    <w:p w14:paraId="761249C9" w14:textId="77777777" w:rsidR="00DE659D" w:rsidRPr="00DE659D" w:rsidRDefault="00DE659D" w:rsidP="00DE659D">
      <w:pPr>
        <w:rPr>
          <w:noProof/>
          <w:color w:val="000000" w:themeColor="text1"/>
          <w:lang w:eastAsia="fr-BE"/>
        </w:rPr>
      </w:pPr>
      <w:r w:rsidRPr="00DE659D">
        <w:rPr>
          <w:noProof/>
          <w:color w:val="000000" w:themeColor="text1"/>
          <w:lang w:eastAsia="fr-BE"/>
        </w:rPr>
        <w:t>Hak T., Janoušková S., Abdallah S., Seaford C., Mahony S. (2012), « Review report on Beyond GDP indicators », BRAINPOoL deliverable 1.1.</w:t>
      </w:r>
    </w:p>
    <w:p w14:paraId="36A5888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Herzig, C., &amp; Schaltegger, S. (2006). Corporate sustainability reporting. An overview. In </w:t>
      </w:r>
      <w:r w:rsidRPr="00DE659D">
        <w:rPr>
          <w:i/>
          <w:iCs/>
          <w:noProof/>
          <w:color w:val="000000" w:themeColor="text1"/>
          <w:lang w:val="hu-HU" w:eastAsia="fr-BE"/>
        </w:rPr>
        <w:t>Sustainability accounting and reporting</w:t>
      </w:r>
      <w:r w:rsidRPr="00DE659D">
        <w:rPr>
          <w:noProof/>
          <w:color w:val="000000" w:themeColor="text1"/>
          <w:lang w:val="hu-HU" w:eastAsia="fr-BE"/>
        </w:rPr>
        <w:t> (pp. 301-324). Springer, Dordrecht.</w:t>
      </w:r>
    </w:p>
    <w:p w14:paraId="0772604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Hoekstra, R. (2019). Replacing GDP by 2030. </w:t>
      </w:r>
      <w:r w:rsidRPr="00DE659D">
        <w:rPr>
          <w:i/>
          <w:iCs/>
          <w:noProof/>
          <w:color w:val="000000" w:themeColor="text1"/>
          <w:lang w:val="en-US" w:eastAsia="fr-BE"/>
        </w:rPr>
        <w:t>Cambridge Books</w:t>
      </w:r>
      <w:r w:rsidRPr="00DE659D">
        <w:rPr>
          <w:noProof/>
          <w:color w:val="000000" w:themeColor="text1"/>
          <w:lang w:val="en-US" w:eastAsia="fr-BE"/>
        </w:rPr>
        <w:t>.</w:t>
      </w:r>
    </w:p>
    <w:p w14:paraId="49E566F4" w14:textId="77777777" w:rsidR="00DE659D" w:rsidRPr="00DE659D" w:rsidRDefault="00DE659D" w:rsidP="00DE659D">
      <w:pPr>
        <w:rPr>
          <w:noProof/>
          <w:color w:val="000000" w:themeColor="text1"/>
          <w:lang w:val="fr-BE" w:eastAsia="fr-BE"/>
        </w:rPr>
      </w:pPr>
      <w:r w:rsidRPr="00DE659D">
        <w:rPr>
          <w:noProof/>
          <w:color w:val="000000" w:themeColor="text1"/>
          <w:lang w:eastAsia="fr-BE"/>
        </w:rPr>
        <w:t>Jackson, T. (2016). </w:t>
      </w:r>
      <w:r w:rsidRPr="00DE659D">
        <w:rPr>
          <w:i/>
          <w:noProof/>
          <w:color w:val="000000" w:themeColor="text1"/>
          <w:lang w:eastAsia="fr-BE"/>
        </w:rPr>
        <w:t>Prosperity without Growth: Foundations for the Economy of Tomorrow.</w:t>
      </w:r>
      <w:r w:rsidRPr="00DE659D">
        <w:rPr>
          <w:noProof/>
          <w:color w:val="000000" w:themeColor="text1"/>
          <w:lang w:eastAsia="fr-BE"/>
        </w:rPr>
        <w:t xml:space="preserve"> </w:t>
      </w:r>
      <w:r w:rsidRPr="00DE659D">
        <w:rPr>
          <w:noProof/>
          <w:color w:val="000000" w:themeColor="text1"/>
          <w:lang w:val="fr-BE" w:eastAsia="fr-BE"/>
        </w:rPr>
        <w:t>Routledge.</w:t>
      </w:r>
    </w:p>
    <w:p w14:paraId="00AB779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Jany-Catrice, F. (2015). Le SPI : indice de progrès social ou indicateur de libertés individuelles ? in </w:t>
      </w:r>
      <w:r w:rsidRPr="00DE659D">
        <w:rPr>
          <w:i/>
          <w:noProof/>
          <w:color w:val="000000" w:themeColor="text1"/>
          <w:lang w:val="hu-HU" w:eastAsia="fr-BE"/>
        </w:rPr>
        <w:t>FAIR (2015). Une évaluation du nouvel indicateur de progrès social (Social Progress Index ou SPI)</w:t>
      </w:r>
      <w:r w:rsidRPr="00DE659D">
        <w:rPr>
          <w:noProof/>
          <w:color w:val="000000" w:themeColor="text1"/>
          <w:lang w:val="hu-HU" w:eastAsia="fr-BE"/>
        </w:rPr>
        <w:t> </w:t>
      </w:r>
    </w:p>
    <w:p w14:paraId="4D1759E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Jany-Catrice, F., &amp; Marlier, G. (2013). Évaluer la santé sociale des régions françaises: entre enjeux économiques, épistémologiques et politiques. </w:t>
      </w:r>
      <w:r w:rsidRPr="00DE659D">
        <w:rPr>
          <w:i/>
          <w:iCs/>
          <w:noProof/>
          <w:color w:val="000000" w:themeColor="text1"/>
          <w:lang w:val="hu-HU" w:eastAsia="fr-BE"/>
        </w:rPr>
        <w:t>Revue dEconomie Regionale Urbaine</w:t>
      </w:r>
      <w:r w:rsidRPr="00DE659D">
        <w:rPr>
          <w:noProof/>
          <w:color w:val="000000" w:themeColor="text1"/>
          <w:lang w:val="hu-HU" w:eastAsia="fr-BE"/>
        </w:rPr>
        <w:t>, (4), 647-677.</w:t>
      </w:r>
    </w:p>
    <w:p w14:paraId="13E0FDC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Kaplan, R. S., &amp; Atkinson, A. A. (2015). </w:t>
      </w:r>
      <w:r w:rsidRPr="00DE659D">
        <w:rPr>
          <w:i/>
          <w:iCs/>
          <w:noProof/>
          <w:color w:val="000000" w:themeColor="text1"/>
          <w:lang w:val="hu-HU" w:eastAsia="fr-BE"/>
        </w:rPr>
        <w:t>Advanced management accounting</w:t>
      </w:r>
      <w:r w:rsidRPr="00DE659D">
        <w:rPr>
          <w:noProof/>
          <w:color w:val="000000" w:themeColor="text1"/>
          <w:lang w:val="hu-HU" w:eastAsia="fr-BE"/>
        </w:rPr>
        <w:t>. PHI Learning.</w:t>
      </w:r>
    </w:p>
    <w:p w14:paraId="3973F70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Kemp, R., Loorbach, D., &amp; Rotmans, J. (2007). Transition management as a model for managing processes of co-evolution towards sustainable development. </w:t>
      </w:r>
      <w:r w:rsidRPr="00DE659D">
        <w:rPr>
          <w:i/>
          <w:iCs/>
          <w:noProof/>
          <w:color w:val="000000" w:themeColor="text1"/>
          <w:lang w:val="en-US" w:eastAsia="fr-BE"/>
        </w:rPr>
        <w:t>The International Journal of Sustainable Development &amp; World Ecology</w:t>
      </w:r>
      <w:r w:rsidRPr="00DE659D">
        <w:rPr>
          <w:noProof/>
          <w:color w:val="000000" w:themeColor="text1"/>
          <w:lang w:val="en-US" w:eastAsia="fr-BE"/>
        </w:rPr>
        <w:t>, </w:t>
      </w:r>
      <w:r w:rsidRPr="00DE659D">
        <w:rPr>
          <w:i/>
          <w:iCs/>
          <w:noProof/>
          <w:color w:val="000000" w:themeColor="text1"/>
          <w:lang w:val="en-US" w:eastAsia="fr-BE"/>
        </w:rPr>
        <w:t>14</w:t>
      </w:r>
      <w:r w:rsidRPr="00DE659D">
        <w:rPr>
          <w:noProof/>
          <w:color w:val="000000" w:themeColor="text1"/>
          <w:lang w:val="en-US" w:eastAsia="fr-BE"/>
        </w:rPr>
        <w:t>(1), 78-91.</w:t>
      </w:r>
    </w:p>
    <w:p w14:paraId="30D8DBE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Kolk, A., &amp; Pinkse, J. (2004). Market strategies for climate change. </w:t>
      </w:r>
      <w:r w:rsidRPr="00DE659D">
        <w:rPr>
          <w:i/>
          <w:iCs/>
          <w:noProof/>
          <w:color w:val="000000" w:themeColor="text1"/>
          <w:lang w:val="hu-HU" w:eastAsia="fr-BE"/>
        </w:rPr>
        <w:t>European management journal</w:t>
      </w:r>
      <w:r w:rsidRPr="00DE659D">
        <w:rPr>
          <w:noProof/>
          <w:color w:val="000000" w:themeColor="text1"/>
          <w:lang w:val="hu-HU" w:eastAsia="fr-BE"/>
        </w:rPr>
        <w:t>, </w:t>
      </w:r>
      <w:r w:rsidRPr="00DE659D">
        <w:rPr>
          <w:i/>
          <w:iCs/>
          <w:noProof/>
          <w:color w:val="000000" w:themeColor="text1"/>
          <w:lang w:val="hu-HU" w:eastAsia="fr-BE"/>
        </w:rPr>
        <w:t>22</w:t>
      </w:r>
      <w:r w:rsidRPr="00DE659D">
        <w:rPr>
          <w:noProof/>
          <w:color w:val="000000" w:themeColor="text1"/>
          <w:lang w:val="hu-HU" w:eastAsia="fr-BE"/>
        </w:rPr>
        <w:t>(3), 304-314.</w:t>
      </w:r>
    </w:p>
    <w:p w14:paraId="0A78F94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Layard R. (2005), </w:t>
      </w:r>
      <w:r w:rsidRPr="00DE659D">
        <w:rPr>
          <w:i/>
          <w:iCs/>
          <w:noProof/>
          <w:color w:val="000000" w:themeColor="text1"/>
          <w:lang w:eastAsia="fr-BE"/>
        </w:rPr>
        <w:t>Happiness: lessons from a new science</w:t>
      </w:r>
      <w:r w:rsidRPr="00DE659D">
        <w:rPr>
          <w:noProof/>
          <w:color w:val="000000" w:themeColor="text1"/>
          <w:lang w:eastAsia="fr-BE"/>
        </w:rPr>
        <w:t>, London: Penguin Group.</w:t>
      </w:r>
    </w:p>
    <w:p w14:paraId="5DFFA96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Löwy, M. (2008). Écosocialisme et planification démocratique. </w:t>
      </w:r>
      <w:r w:rsidRPr="00DE659D">
        <w:rPr>
          <w:i/>
          <w:iCs/>
          <w:noProof/>
          <w:color w:val="000000" w:themeColor="text1"/>
          <w:lang w:val="hu-HU" w:eastAsia="fr-BE"/>
        </w:rPr>
        <w:t>Ecologie politique</w:t>
      </w:r>
      <w:r w:rsidRPr="00DE659D">
        <w:rPr>
          <w:noProof/>
          <w:color w:val="000000" w:themeColor="text1"/>
          <w:lang w:val="hu-HU" w:eastAsia="fr-BE"/>
        </w:rPr>
        <w:t>, (3), 165-180.</w:t>
      </w:r>
    </w:p>
    <w:p w14:paraId="3413A0E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Malay, O. E. (2019). Do Beyond GDP indicators initiated by powerful stakeholders have a transformative potential?. </w:t>
      </w:r>
      <w:r w:rsidRPr="00DE659D">
        <w:rPr>
          <w:i/>
          <w:iCs/>
          <w:noProof/>
          <w:color w:val="000000" w:themeColor="text1"/>
          <w:lang w:val="hu-HU" w:eastAsia="fr-BE"/>
        </w:rPr>
        <w:t>Ecological Economics</w:t>
      </w:r>
      <w:r w:rsidRPr="00DE659D">
        <w:rPr>
          <w:noProof/>
          <w:color w:val="000000" w:themeColor="text1"/>
          <w:lang w:val="hu-HU" w:eastAsia="fr-BE"/>
        </w:rPr>
        <w:t>, </w:t>
      </w:r>
      <w:r w:rsidRPr="00DE659D">
        <w:rPr>
          <w:i/>
          <w:iCs/>
          <w:noProof/>
          <w:color w:val="000000" w:themeColor="text1"/>
          <w:lang w:val="hu-HU" w:eastAsia="fr-BE"/>
        </w:rPr>
        <w:t>162</w:t>
      </w:r>
      <w:r w:rsidRPr="00DE659D">
        <w:rPr>
          <w:noProof/>
          <w:color w:val="000000" w:themeColor="text1"/>
          <w:lang w:val="hu-HU" w:eastAsia="fr-BE"/>
        </w:rPr>
        <w:t>, 100-107.</w:t>
      </w:r>
    </w:p>
    <w:p w14:paraId="700F88E3" w14:textId="77777777" w:rsidR="00DE659D" w:rsidRPr="00DE659D" w:rsidRDefault="00DE659D" w:rsidP="00DE659D">
      <w:pPr>
        <w:rPr>
          <w:noProof/>
          <w:color w:val="000000" w:themeColor="text1"/>
          <w:lang w:eastAsia="fr-BE"/>
        </w:rPr>
      </w:pPr>
      <w:r w:rsidRPr="00DE659D">
        <w:rPr>
          <w:noProof/>
          <w:color w:val="000000" w:themeColor="text1"/>
          <w:lang w:val="hu-HU" w:eastAsia="fr-BE"/>
        </w:rPr>
        <w:t>Masood, E. (2016). </w:t>
      </w:r>
      <w:r w:rsidRPr="00DE659D">
        <w:rPr>
          <w:i/>
          <w:iCs/>
          <w:noProof/>
          <w:color w:val="000000" w:themeColor="text1"/>
          <w:lang w:val="hu-HU" w:eastAsia="fr-BE"/>
        </w:rPr>
        <w:t>The Great Invention: The Story of GDP and the Making and Unmaking of the Modern World</w:t>
      </w:r>
      <w:r w:rsidRPr="00DE659D">
        <w:rPr>
          <w:noProof/>
          <w:color w:val="000000" w:themeColor="text1"/>
          <w:lang w:val="hu-HU" w:eastAsia="fr-BE"/>
        </w:rPr>
        <w:t>. Pegasus Books.</w:t>
      </w:r>
      <w:r w:rsidRPr="00DE659D">
        <w:rPr>
          <w:noProof/>
          <w:color w:val="000000" w:themeColor="text1"/>
          <w:lang w:eastAsia="fr-BE"/>
        </w:rPr>
        <w:t xml:space="preserve"> </w:t>
      </w:r>
    </w:p>
    <w:p w14:paraId="1F0372A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Masson-Delmotte, V., Zhai, P., Pörtner, H. O., Roberts, D., Skea, J., Shukla, P. R., ... &amp; Connors, S. (2018). IPCC, 2018: Summary for </w:t>
      </w:r>
      <w:r w:rsidRPr="00DE659D">
        <w:rPr>
          <w:noProof/>
          <w:color w:val="000000" w:themeColor="text1"/>
          <w:lang w:val="hu-HU" w:eastAsia="fr-BE"/>
        </w:rPr>
        <w:lastRenderedPageBreak/>
        <w:t>policymakers. In </w:t>
      </w:r>
      <w:r w:rsidRPr="00DE659D">
        <w:rPr>
          <w:i/>
          <w:iCs/>
          <w:noProof/>
          <w:color w:val="000000" w:themeColor="text1"/>
          <w:lang w:val="hu-HU" w:eastAsia="fr-BE"/>
        </w:rPr>
        <w:t>Global Warming of 1.5°C. An IPCC Special Report on the impacts of global warming of 1.5°C</w:t>
      </w:r>
      <w:r w:rsidRPr="00DE659D">
        <w:rPr>
          <w:noProof/>
          <w:color w:val="000000" w:themeColor="text1"/>
          <w:lang w:val="hu-HU" w:eastAsia="fr-BE"/>
        </w:rPr>
        <w:t>.</w:t>
      </w:r>
    </w:p>
    <w:p w14:paraId="6252A38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Merkl</w:t>
      </w:r>
      <w:r w:rsidRPr="00DE659D">
        <w:rPr>
          <w:rFonts w:ascii="Times New Roman" w:hAnsi="Times New Roman" w:cs="Times New Roman"/>
          <w:noProof/>
          <w:color w:val="000000" w:themeColor="text1"/>
          <w:lang w:val="hu-HU" w:eastAsia="fr-BE"/>
        </w:rPr>
        <w:t>‐</w:t>
      </w:r>
      <w:r w:rsidRPr="00DE659D">
        <w:rPr>
          <w:noProof/>
          <w:color w:val="000000" w:themeColor="text1"/>
          <w:lang w:val="hu-HU" w:eastAsia="fr-BE"/>
        </w:rPr>
        <w:t>Davies, D. M., Brennan, N. M., &amp; McLeay, S. J. (2011). Impression management and retrospective sense</w:t>
      </w:r>
      <w:r w:rsidRPr="00DE659D">
        <w:rPr>
          <w:rFonts w:ascii="Times New Roman" w:hAnsi="Times New Roman" w:cs="Times New Roman"/>
          <w:noProof/>
          <w:color w:val="000000" w:themeColor="text1"/>
          <w:lang w:val="hu-HU" w:eastAsia="fr-BE"/>
        </w:rPr>
        <w:t>‐</w:t>
      </w:r>
      <w:r w:rsidRPr="00DE659D">
        <w:rPr>
          <w:noProof/>
          <w:color w:val="000000" w:themeColor="text1"/>
          <w:lang w:val="hu-HU" w:eastAsia="fr-BE"/>
        </w:rPr>
        <w:t>making in corporate narratives.</w:t>
      </w:r>
      <w:r w:rsidRPr="00DE659D">
        <w:rPr>
          <w:rFonts w:cs="Arial"/>
          <w:noProof/>
          <w:color w:val="000000" w:themeColor="text1"/>
          <w:lang w:val="hu-HU" w:eastAsia="fr-BE"/>
        </w:rPr>
        <w:t> </w:t>
      </w:r>
      <w:r w:rsidRPr="00DE659D">
        <w:rPr>
          <w:i/>
          <w:iCs/>
          <w:noProof/>
          <w:color w:val="000000" w:themeColor="text1"/>
          <w:lang w:val="hu-HU" w:eastAsia="fr-BE"/>
        </w:rPr>
        <w:t>Accounting, Auditing &amp; Accountability Journal</w:t>
      </w:r>
      <w:r w:rsidRPr="00DE659D">
        <w:rPr>
          <w:noProof/>
          <w:color w:val="000000" w:themeColor="text1"/>
          <w:lang w:val="hu-HU" w:eastAsia="fr-BE"/>
        </w:rPr>
        <w:t>.</w:t>
      </w:r>
    </w:p>
    <w:p w14:paraId="17581543" w14:textId="77777777" w:rsidR="00DE659D" w:rsidRPr="00DE659D" w:rsidRDefault="00DE659D" w:rsidP="00DE659D">
      <w:pPr>
        <w:rPr>
          <w:noProof/>
          <w:color w:val="000000" w:themeColor="text1"/>
          <w:lang w:eastAsia="fr-BE"/>
        </w:rPr>
      </w:pPr>
      <w:r w:rsidRPr="00DE659D">
        <w:rPr>
          <w:noProof/>
          <w:color w:val="000000" w:themeColor="text1"/>
          <w:lang w:val="hu-HU" w:eastAsia="fr-BE"/>
        </w:rPr>
        <w:t>O’Neill, D., Dietz, R., &amp; Jones, N. (2010). Enough is Enough. Ideas for a Sustainable Economy in a World of Finite Resources. The Report of the Steady State Economy Conference. </w:t>
      </w:r>
      <w:r w:rsidRPr="00DE659D">
        <w:rPr>
          <w:i/>
          <w:iCs/>
          <w:noProof/>
          <w:color w:val="000000" w:themeColor="text1"/>
          <w:lang w:val="hu-HU" w:eastAsia="fr-BE"/>
        </w:rPr>
        <w:t>Center for the Advancement of the Steady State Economy (Arlington, Virginia, USA) and Economic Justice for All (Leeds, UK)</w:t>
      </w:r>
      <w:r w:rsidRPr="00DE659D">
        <w:rPr>
          <w:noProof/>
          <w:color w:val="000000" w:themeColor="text1"/>
          <w:lang w:val="hu-HU" w:eastAsia="fr-BE"/>
        </w:rPr>
        <w:t>.</w:t>
      </w:r>
      <w:r w:rsidRPr="00DE659D">
        <w:rPr>
          <w:noProof/>
          <w:color w:val="000000" w:themeColor="text1"/>
          <w:lang w:eastAsia="fr-BE"/>
        </w:rPr>
        <w:t xml:space="preserve"> </w:t>
      </w:r>
    </w:p>
    <w:p w14:paraId="29346D0E"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Ostrom, E. (2009). A general framework for analyzing sustainability of social-ecological systems. </w:t>
      </w:r>
      <w:r w:rsidRPr="00DE659D">
        <w:rPr>
          <w:i/>
          <w:iCs/>
          <w:noProof/>
          <w:color w:val="000000" w:themeColor="text1"/>
          <w:lang w:val="hu-HU" w:eastAsia="fr-BE"/>
        </w:rPr>
        <w:t>Science</w:t>
      </w:r>
      <w:r w:rsidRPr="00DE659D">
        <w:rPr>
          <w:noProof/>
          <w:color w:val="000000" w:themeColor="text1"/>
          <w:lang w:val="hu-HU" w:eastAsia="fr-BE"/>
        </w:rPr>
        <w:t>, </w:t>
      </w:r>
      <w:r w:rsidRPr="00DE659D">
        <w:rPr>
          <w:i/>
          <w:iCs/>
          <w:noProof/>
          <w:color w:val="000000" w:themeColor="text1"/>
          <w:lang w:val="hu-HU" w:eastAsia="fr-BE"/>
        </w:rPr>
        <w:t>325</w:t>
      </w:r>
      <w:r w:rsidRPr="00DE659D">
        <w:rPr>
          <w:noProof/>
          <w:color w:val="000000" w:themeColor="text1"/>
          <w:lang w:val="hu-HU" w:eastAsia="fr-BE"/>
        </w:rPr>
        <w:t>(5939), 419-422</w:t>
      </w:r>
    </w:p>
    <w:p w14:paraId="5B48710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Parrique, T. (2019). The political economy of degrowth. </w:t>
      </w:r>
      <w:r w:rsidRPr="00DE659D">
        <w:rPr>
          <w:i/>
          <w:noProof/>
          <w:color w:val="000000" w:themeColor="text1"/>
          <w:lang w:val="hu-HU" w:eastAsia="fr-BE"/>
        </w:rPr>
        <w:t>Thèse de doctorat</w:t>
      </w:r>
      <w:r w:rsidRPr="00DE659D">
        <w:rPr>
          <w:noProof/>
          <w:color w:val="000000" w:themeColor="text1"/>
          <w:lang w:val="hu-HU" w:eastAsia="fr-BE"/>
        </w:rPr>
        <w:t xml:space="preserve"> Université Clermont-Auvergne. Stockholm University.</w:t>
      </w:r>
    </w:p>
    <w:p w14:paraId="0524E33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Parris, T. M., &amp; Kates, R. W. (2003). Characterizing and measuring sustainable development. </w:t>
      </w:r>
      <w:r w:rsidRPr="00DE659D">
        <w:rPr>
          <w:i/>
          <w:iCs/>
          <w:noProof/>
          <w:color w:val="000000" w:themeColor="text1"/>
          <w:lang w:val="hu-HU" w:eastAsia="fr-BE"/>
        </w:rPr>
        <w:t>Annual Review of environment and resources</w:t>
      </w:r>
      <w:r w:rsidRPr="00DE659D">
        <w:rPr>
          <w:noProof/>
          <w:color w:val="000000" w:themeColor="text1"/>
          <w:lang w:val="hu-HU" w:eastAsia="fr-BE"/>
        </w:rPr>
        <w:t>, </w:t>
      </w:r>
      <w:r w:rsidRPr="00DE659D">
        <w:rPr>
          <w:i/>
          <w:iCs/>
          <w:noProof/>
          <w:color w:val="000000" w:themeColor="text1"/>
          <w:lang w:val="hu-HU" w:eastAsia="fr-BE"/>
        </w:rPr>
        <w:t>28</w:t>
      </w:r>
      <w:r w:rsidRPr="00DE659D">
        <w:rPr>
          <w:noProof/>
          <w:color w:val="000000" w:themeColor="text1"/>
          <w:lang w:val="hu-HU" w:eastAsia="fr-BE"/>
        </w:rPr>
        <w:t>(1), 559-586.</w:t>
      </w:r>
    </w:p>
    <w:p w14:paraId="732CE43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Pasquero, J. (2005). La responsabilité sociale de l’entreprise comme objet des sciences de gestion: un regard historique. </w:t>
      </w:r>
      <w:r w:rsidRPr="00DE659D">
        <w:rPr>
          <w:i/>
          <w:iCs/>
          <w:noProof/>
          <w:color w:val="000000" w:themeColor="text1"/>
          <w:lang w:val="hu-HU" w:eastAsia="fr-BE"/>
        </w:rPr>
        <w:t>Responsabilité sociale et environnementale de l’entreprise</w:t>
      </w:r>
      <w:r w:rsidRPr="00DE659D">
        <w:rPr>
          <w:noProof/>
          <w:color w:val="000000" w:themeColor="text1"/>
          <w:lang w:val="hu-HU" w:eastAsia="fr-BE"/>
        </w:rPr>
        <w:t>, 80-111.</w:t>
      </w:r>
    </w:p>
    <w:p w14:paraId="1C3BA67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Pattberg, P., &amp; Widerberg, O. (2016). Transnational multistakeholder partnerships for sustainable development: Conditions for success. </w:t>
      </w:r>
      <w:r w:rsidRPr="00DE659D">
        <w:rPr>
          <w:i/>
          <w:iCs/>
          <w:noProof/>
          <w:color w:val="000000" w:themeColor="text1"/>
          <w:lang w:val="hu-HU" w:eastAsia="fr-BE"/>
        </w:rPr>
        <w:t>Ambio</w:t>
      </w:r>
      <w:r w:rsidRPr="00DE659D">
        <w:rPr>
          <w:noProof/>
          <w:color w:val="000000" w:themeColor="text1"/>
          <w:lang w:val="hu-HU" w:eastAsia="fr-BE"/>
        </w:rPr>
        <w:t>, </w:t>
      </w:r>
      <w:r w:rsidRPr="00DE659D">
        <w:rPr>
          <w:i/>
          <w:iCs/>
          <w:noProof/>
          <w:color w:val="000000" w:themeColor="text1"/>
          <w:lang w:val="hu-HU" w:eastAsia="fr-BE"/>
        </w:rPr>
        <w:t>45</w:t>
      </w:r>
      <w:r w:rsidRPr="00DE659D">
        <w:rPr>
          <w:noProof/>
          <w:color w:val="000000" w:themeColor="text1"/>
          <w:lang w:val="hu-HU" w:eastAsia="fr-BE"/>
        </w:rPr>
        <w:t>(1), 42-51.</w:t>
      </w:r>
    </w:p>
    <w:p w14:paraId="376CE0CB"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Perret, B. Les nouvelles voies de la démarchandisation. In </w:t>
      </w:r>
      <w:r w:rsidRPr="00DE659D">
        <w:rPr>
          <w:noProof/>
          <w:color w:val="000000" w:themeColor="text1"/>
          <w:lang w:val="hu-HU" w:eastAsia="fr-BE"/>
        </w:rPr>
        <w:t>Cassiers, I., Maréchal, K., &amp; Dominique, M. E. D. A. (2018). </w:t>
      </w:r>
      <w:r w:rsidRPr="00DE659D">
        <w:rPr>
          <w:i/>
          <w:iCs/>
          <w:noProof/>
          <w:color w:val="000000" w:themeColor="text1"/>
          <w:lang w:val="hu-HU" w:eastAsia="fr-BE"/>
        </w:rPr>
        <w:t>Vers une société post-croissance: intégrer les défis écologiques, économiques et sociaux</w:t>
      </w:r>
      <w:r w:rsidRPr="00DE659D">
        <w:rPr>
          <w:noProof/>
          <w:color w:val="000000" w:themeColor="text1"/>
          <w:lang w:val="hu-HU" w:eastAsia="fr-BE"/>
        </w:rPr>
        <w:t>. Editions de l'Aube.</w:t>
      </w:r>
    </w:p>
    <w:p w14:paraId="66F897DF" w14:textId="77777777" w:rsidR="00DE659D" w:rsidRPr="00DE659D" w:rsidRDefault="00DE659D" w:rsidP="00DE659D">
      <w:pPr>
        <w:rPr>
          <w:noProof/>
          <w:color w:val="000000" w:themeColor="text1"/>
          <w:lang w:eastAsia="fr-BE"/>
        </w:rPr>
      </w:pPr>
      <w:r w:rsidRPr="00DE659D">
        <w:rPr>
          <w:noProof/>
          <w:color w:val="000000" w:themeColor="text1"/>
          <w:lang w:eastAsia="fr-BE"/>
        </w:rPr>
        <w:t>Piketty, T. (2014). </w:t>
      </w:r>
      <w:r w:rsidRPr="00DE659D">
        <w:rPr>
          <w:i/>
          <w:iCs/>
          <w:noProof/>
          <w:color w:val="000000" w:themeColor="text1"/>
          <w:lang w:eastAsia="fr-BE"/>
        </w:rPr>
        <w:t>Capital in the Twenty-First Century</w:t>
      </w:r>
      <w:r w:rsidRPr="00DE659D">
        <w:rPr>
          <w:noProof/>
          <w:color w:val="000000" w:themeColor="text1"/>
          <w:lang w:eastAsia="fr-BE"/>
        </w:rPr>
        <w:t>, Belknap: Cambridge, MA.</w:t>
      </w:r>
    </w:p>
    <w:p w14:paraId="69E734D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Porter, M. E., &amp; Kramer, M. R. (2011). Creating shared value: How to reinvent capitalism—and unleash a wave of innovation and growth. </w:t>
      </w:r>
      <w:r w:rsidRPr="00DE659D">
        <w:rPr>
          <w:i/>
          <w:noProof/>
          <w:color w:val="000000" w:themeColor="text1"/>
          <w:lang w:val="hu-HU" w:eastAsia="fr-BE"/>
        </w:rPr>
        <w:t>Harvard Business Review</w:t>
      </w:r>
      <w:r w:rsidRPr="00DE659D">
        <w:rPr>
          <w:noProof/>
          <w:color w:val="000000" w:themeColor="text1"/>
          <w:lang w:val="hu-HU" w:eastAsia="fr-BE"/>
        </w:rPr>
        <w:t xml:space="preserve"> January–February.</w:t>
      </w:r>
    </w:p>
    <w:p w14:paraId="65E29BA7"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Porter, M. E., Stern, S., &amp; Loria, R. A. (2016). Social progress index 2016. </w:t>
      </w:r>
      <w:r w:rsidRPr="00DE659D">
        <w:rPr>
          <w:i/>
          <w:iCs/>
          <w:noProof/>
          <w:color w:val="000000" w:themeColor="text1"/>
          <w:lang w:eastAsia="fr-BE"/>
        </w:rPr>
        <w:t>Washington, DC: Social Progress Imperative</w:t>
      </w:r>
      <w:r w:rsidRPr="00DE659D">
        <w:rPr>
          <w:noProof/>
          <w:color w:val="000000" w:themeColor="text1"/>
          <w:lang w:eastAsia="fr-BE"/>
        </w:rPr>
        <w:t>.</w:t>
      </w:r>
    </w:p>
    <w:p w14:paraId="417A526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Raworth, K. (2017). </w:t>
      </w:r>
      <w:r w:rsidRPr="00DE659D">
        <w:rPr>
          <w:i/>
          <w:iCs/>
          <w:noProof/>
          <w:color w:val="000000" w:themeColor="text1"/>
          <w:lang w:val="hu-HU" w:eastAsia="fr-BE"/>
        </w:rPr>
        <w:t>Doughnut economics: seven ways to think like a 21st-century economist</w:t>
      </w:r>
      <w:r w:rsidRPr="00DE659D">
        <w:rPr>
          <w:noProof/>
          <w:color w:val="000000" w:themeColor="text1"/>
          <w:lang w:val="hu-HU" w:eastAsia="fr-BE"/>
        </w:rPr>
        <w:t>. Chelsea Green Publishing.</w:t>
      </w:r>
    </w:p>
    <w:p w14:paraId="0CB8E3A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Rinne, J., Lyytimäki, J., &amp; Kautto, P. (2013). From sustainability to well-being: Lessons learned from the use of sustainable development indicators at national and EU level.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35</w:t>
      </w:r>
      <w:r w:rsidRPr="00DE659D">
        <w:rPr>
          <w:noProof/>
          <w:color w:val="000000" w:themeColor="text1"/>
          <w:lang w:val="hu-HU" w:eastAsia="fr-BE"/>
        </w:rPr>
        <w:t>, 35-42.</w:t>
      </w:r>
    </w:p>
    <w:p w14:paraId="2C0194FF" w14:textId="77777777" w:rsidR="00DE659D" w:rsidRPr="00DE659D" w:rsidRDefault="00DE659D" w:rsidP="00DE659D">
      <w:pPr>
        <w:rPr>
          <w:noProof/>
          <w:color w:val="000000" w:themeColor="text1"/>
          <w:lang w:eastAsia="fr-BE"/>
        </w:rPr>
      </w:pPr>
      <w:r w:rsidRPr="00DE659D">
        <w:rPr>
          <w:noProof/>
          <w:color w:val="000000" w:themeColor="text1"/>
          <w:lang w:val="fr-BE" w:eastAsia="fr-BE"/>
        </w:rPr>
        <w:t>Salais, R. (2014). La donnée n’est pas un donné-Pour une analyse critique de l’évaluation chiffrée de la performance. </w:t>
      </w:r>
      <w:r w:rsidRPr="00DE659D">
        <w:rPr>
          <w:i/>
          <w:iCs/>
          <w:noProof/>
          <w:color w:val="000000" w:themeColor="text1"/>
          <w:lang w:eastAsia="fr-BE"/>
        </w:rPr>
        <w:t>Cahiers Droit, Sciences &amp; Technologies</w:t>
      </w:r>
      <w:r w:rsidRPr="00DE659D">
        <w:rPr>
          <w:noProof/>
          <w:color w:val="000000" w:themeColor="text1"/>
          <w:lang w:eastAsia="fr-BE"/>
        </w:rPr>
        <w:t>, (4), 15-36.</w:t>
      </w:r>
    </w:p>
    <w:p w14:paraId="53BDB7A1"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Seaford, C. (2013). The multiple uses of subjective well-being indicators. </w:t>
      </w:r>
      <w:r w:rsidRPr="00DE659D">
        <w:rPr>
          <w:i/>
          <w:iCs/>
          <w:noProof/>
          <w:color w:val="000000" w:themeColor="text1"/>
          <w:lang w:val="hu-HU" w:eastAsia="fr-BE"/>
        </w:rPr>
        <w:t>Social indicators research</w:t>
      </w:r>
      <w:r w:rsidRPr="00DE659D">
        <w:rPr>
          <w:noProof/>
          <w:color w:val="000000" w:themeColor="text1"/>
          <w:lang w:val="hu-HU" w:eastAsia="fr-BE"/>
        </w:rPr>
        <w:t>, </w:t>
      </w:r>
      <w:r w:rsidRPr="00DE659D">
        <w:rPr>
          <w:i/>
          <w:iCs/>
          <w:noProof/>
          <w:color w:val="000000" w:themeColor="text1"/>
          <w:lang w:val="hu-HU" w:eastAsia="fr-BE"/>
        </w:rPr>
        <w:t>114</w:t>
      </w:r>
      <w:r w:rsidRPr="00DE659D">
        <w:rPr>
          <w:noProof/>
          <w:color w:val="000000" w:themeColor="text1"/>
          <w:lang w:val="hu-HU" w:eastAsia="fr-BE"/>
        </w:rPr>
        <w:t>(1), 29-43.</w:t>
      </w:r>
    </w:p>
    <w:p w14:paraId="303A6FC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Searcy, C. (2016). Measuring enterprise sustainability. </w:t>
      </w:r>
      <w:r w:rsidRPr="00DE659D">
        <w:rPr>
          <w:i/>
          <w:iCs/>
          <w:noProof/>
          <w:color w:val="000000" w:themeColor="text1"/>
          <w:lang w:val="hu-HU" w:eastAsia="fr-BE"/>
        </w:rPr>
        <w:t>Business Strategy and the Environment</w:t>
      </w:r>
      <w:r w:rsidRPr="00DE659D">
        <w:rPr>
          <w:noProof/>
          <w:color w:val="000000" w:themeColor="text1"/>
          <w:lang w:val="hu-HU" w:eastAsia="fr-BE"/>
        </w:rPr>
        <w:t>, </w:t>
      </w:r>
      <w:r w:rsidRPr="00DE659D">
        <w:rPr>
          <w:i/>
          <w:iCs/>
          <w:noProof/>
          <w:color w:val="000000" w:themeColor="text1"/>
          <w:lang w:val="hu-HU" w:eastAsia="fr-BE"/>
        </w:rPr>
        <w:t>25</w:t>
      </w:r>
      <w:r w:rsidRPr="00DE659D">
        <w:rPr>
          <w:noProof/>
          <w:color w:val="000000" w:themeColor="text1"/>
          <w:lang w:val="hu-HU" w:eastAsia="fr-BE"/>
        </w:rPr>
        <w:t>(2), 120-133.</w:t>
      </w:r>
    </w:p>
    <w:p w14:paraId="4CDF32C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Sébastien, L., &amp; Bauler, T. (2013). Use and influence of composite indicators for sustainable development at the EU-level.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35</w:t>
      </w:r>
      <w:r w:rsidRPr="00DE659D">
        <w:rPr>
          <w:noProof/>
          <w:color w:val="000000" w:themeColor="text1"/>
          <w:lang w:val="hu-HU" w:eastAsia="fr-BE"/>
        </w:rPr>
        <w:t>, 3-12.</w:t>
      </w:r>
    </w:p>
    <w:p w14:paraId="29AB13EB" w14:textId="77777777" w:rsidR="00DE659D" w:rsidRPr="00DE659D" w:rsidRDefault="00DE659D" w:rsidP="00DE659D">
      <w:pPr>
        <w:rPr>
          <w:noProof/>
          <w:color w:val="000000" w:themeColor="text1"/>
          <w:lang w:eastAsia="fr-BE"/>
        </w:rPr>
      </w:pPr>
      <w:r w:rsidRPr="00DE659D">
        <w:rPr>
          <w:noProof/>
          <w:color w:val="000000" w:themeColor="text1"/>
          <w:lang w:eastAsia="fr-BE"/>
        </w:rPr>
        <w:t>Singh, R. K., Murty, H. R., Gupta, S. K., &amp; Dikshit, A. K. (2009). An overview of sustainability assessment methodologies. </w:t>
      </w:r>
      <w:r w:rsidRPr="00DE659D">
        <w:rPr>
          <w:i/>
          <w:iCs/>
          <w:noProof/>
          <w:color w:val="000000" w:themeColor="text1"/>
          <w:lang w:eastAsia="fr-BE"/>
        </w:rPr>
        <w:t>Ecological indicators</w:t>
      </w:r>
      <w:r w:rsidRPr="00DE659D">
        <w:rPr>
          <w:noProof/>
          <w:color w:val="000000" w:themeColor="text1"/>
          <w:lang w:eastAsia="fr-BE"/>
        </w:rPr>
        <w:t>, </w:t>
      </w:r>
      <w:r w:rsidRPr="00DE659D">
        <w:rPr>
          <w:i/>
          <w:iCs/>
          <w:noProof/>
          <w:color w:val="000000" w:themeColor="text1"/>
          <w:lang w:eastAsia="fr-BE"/>
        </w:rPr>
        <w:t>9</w:t>
      </w:r>
      <w:r w:rsidRPr="00DE659D">
        <w:rPr>
          <w:noProof/>
          <w:color w:val="000000" w:themeColor="text1"/>
          <w:lang w:eastAsia="fr-BE"/>
        </w:rPr>
        <w:t>(2), 189-212.</w:t>
      </w:r>
    </w:p>
    <w:p w14:paraId="2327F73D"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Spash, C. L. (Ed.). (2017). </w:t>
      </w:r>
      <w:r w:rsidRPr="00DE659D">
        <w:rPr>
          <w:i/>
          <w:iCs/>
          <w:noProof/>
          <w:color w:val="000000" w:themeColor="text1"/>
          <w:lang w:val="hu-HU" w:eastAsia="fr-BE"/>
        </w:rPr>
        <w:t>Routledge handbook of ecological economics: nature and society</w:t>
      </w:r>
      <w:r w:rsidRPr="00DE659D">
        <w:rPr>
          <w:noProof/>
          <w:color w:val="000000" w:themeColor="text1"/>
          <w:lang w:val="hu-HU" w:eastAsia="fr-BE"/>
        </w:rPr>
        <w:t xml:space="preserve">. </w:t>
      </w:r>
      <w:r w:rsidRPr="00DE659D">
        <w:rPr>
          <w:noProof/>
          <w:color w:val="000000" w:themeColor="text1"/>
          <w:lang w:val="en-US" w:eastAsia="fr-BE"/>
        </w:rPr>
        <w:t>Taylor &amp; Francis.</w:t>
      </w:r>
    </w:p>
    <w:p w14:paraId="4F44A2F8" w14:textId="77777777" w:rsidR="00DE659D" w:rsidRPr="00DE659D" w:rsidRDefault="00DE659D" w:rsidP="00DE659D">
      <w:pPr>
        <w:rPr>
          <w:noProof/>
          <w:color w:val="000000" w:themeColor="text1"/>
          <w:lang w:eastAsia="fr-BE"/>
        </w:rPr>
      </w:pPr>
      <w:r w:rsidRPr="00DE659D">
        <w:rPr>
          <w:noProof/>
          <w:color w:val="000000" w:themeColor="text1"/>
          <w:lang w:eastAsia="fr-BE"/>
        </w:rPr>
        <w:t>Steffen, W., Richardson, K., Rockström, J., Cornell, S. E., Fetzer, I., Bennett, E. M., ... &amp; Folke, C. (2015). Planetary boundaries: Guiding human development on a changing planet. </w:t>
      </w:r>
      <w:r w:rsidRPr="00DE659D">
        <w:rPr>
          <w:i/>
          <w:iCs/>
          <w:noProof/>
          <w:color w:val="000000" w:themeColor="text1"/>
          <w:lang w:eastAsia="fr-BE"/>
        </w:rPr>
        <w:t>Science</w:t>
      </w:r>
      <w:r w:rsidRPr="00DE659D">
        <w:rPr>
          <w:noProof/>
          <w:color w:val="000000" w:themeColor="text1"/>
          <w:lang w:eastAsia="fr-BE"/>
        </w:rPr>
        <w:t>, </w:t>
      </w:r>
      <w:r w:rsidRPr="00DE659D">
        <w:rPr>
          <w:i/>
          <w:iCs/>
          <w:noProof/>
          <w:color w:val="000000" w:themeColor="text1"/>
          <w:lang w:eastAsia="fr-BE"/>
        </w:rPr>
        <w:t>347</w:t>
      </w:r>
      <w:r w:rsidRPr="00DE659D">
        <w:rPr>
          <w:noProof/>
          <w:color w:val="000000" w:themeColor="text1"/>
          <w:lang w:eastAsia="fr-BE"/>
        </w:rPr>
        <w:t>.</w:t>
      </w:r>
    </w:p>
    <w:p w14:paraId="172CECB2" w14:textId="77777777" w:rsidR="00DE659D" w:rsidRPr="00DE659D" w:rsidRDefault="00DE659D" w:rsidP="00DE659D">
      <w:pPr>
        <w:rPr>
          <w:noProof/>
          <w:color w:val="000000" w:themeColor="text1"/>
          <w:lang w:val="fr-BE" w:eastAsia="fr-BE"/>
        </w:rPr>
      </w:pPr>
      <w:r w:rsidRPr="00DE659D">
        <w:rPr>
          <w:noProof/>
          <w:color w:val="000000" w:themeColor="text1"/>
          <w:lang w:val="hu-HU" w:eastAsia="fr-BE"/>
        </w:rPr>
        <w:t>Stern, N. H. (2007). </w:t>
      </w:r>
      <w:r w:rsidRPr="00DE659D">
        <w:rPr>
          <w:i/>
          <w:iCs/>
          <w:noProof/>
          <w:color w:val="000000" w:themeColor="text1"/>
          <w:lang w:val="hu-HU" w:eastAsia="fr-BE"/>
        </w:rPr>
        <w:t>The economics of climate change: the Stern review</w:t>
      </w:r>
      <w:r w:rsidRPr="00DE659D">
        <w:rPr>
          <w:noProof/>
          <w:color w:val="000000" w:themeColor="text1"/>
          <w:lang w:val="hu-HU" w:eastAsia="fr-BE"/>
        </w:rPr>
        <w:t xml:space="preserve">. </w:t>
      </w:r>
      <w:r w:rsidRPr="00DE659D">
        <w:rPr>
          <w:noProof/>
          <w:color w:val="000000" w:themeColor="text1"/>
          <w:lang w:val="fr-BE" w:eastAsia="fr-BE"/>
        </w:rPr>
        <w:t>Cambridge University press.</w:t>
      </w:r>
    </w:p>
    <w:p w14:paraId="31813205"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Thiry, G. (2012). </w:t>
      </w:r>
      <w:r w:rsidRPr="00DE659D">
        <w:rPr>
          <w:i/>
          <w:iCs/>
          <w:noProof/>
          <w:color w:val="000000" w:themeColor="text1"/>
          <w:lang w:val="fr-BE" w:eastAsia="fr-BE"/>
        </w:rPr>
        <w:t>Au-delà du PIB: un tournant historique. Enjeux méthodologiques, théoriques et épistémologiques de la quantification</w:t>
      </w:r>
      <w:r w:rsidRPr="00DE659D">
        <w:rPr>
          <w:noProof/>
          <w:color w:val="000000" w:themeColor="text1"/>
          <w:lang w:val="fr-BE" w:eastAsia="fr-BE"/>
        </w:rPr>
        <w:t> (No. info: hdl: 2078.1/111496). Université catholique de Louvain.</w:t>
      </w:r>
    </w:p>
    <w:p w14:paraId="4468BCF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Thiry, G., Bauler, T., Sebastien, L., Paris, S., &amp; Lacroix, V. (2013). Characterizing demand for ‘Beyond GDP’. </w:t>
      </w:r>
      <w:r w:rsidRPr="00DE659D">
        <w:rPr>
          <w:i/>
          <w:iCs/>
          <w:noProof/>
          <w:color w:val="000000" w:themeColor="text1"/>
          <w:lang w:val="hu-HU" w:eastAsia="fr-BE"/>
        </w:rPr>
        <w:t>Final version of BRAINPOoL deliverable</w:t>
      </w:r>
      <w:r w:rsidRPr="00DE659D">
        <w:rPr>
          <w:noProof/>
          <w:color w:val="000000" w:themeColor="text1"/>
          <w:lang w:val="hu-HU" w:eastAsia="fr-BE"/>
        </w:rPr>
        <w:t>, </w:t>
      </w:r>
      <w:r w:rsidRPr="00DE659D">
        <w:rPr>
          <w:i/>
          <w:iCs/>
          <w:noProof/>
          <w:color w:val="000000" w:themeColor="text1"/>
          <w:lang w:val="hu-HU" w:eastAsia="fr-BE"/>
        </w:rPr>
        <w:t>2</w:t>
      </w:r>
      <w:r w:rsidRPr="00DE659D">
        <w:rPr>
          <w:noProof/>
          <w:color w:val="000000" w:themeColor="text1"/>
          <w:lang w:val="hu-HU" w:eastAsia="fr-BE"/>
        </w:rPr>
        <w:t xml:space="preserve">, 216. </w:t>
      </w:r>
    </w:p>
    <w:p w14:paraId="0127013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Thiry, G., Sébastien, L., &amp; Bauler, T. (2014). Ce que révèle le discours des acteurs officiels sur un «au-delà du PIB». </w:t>
      </w:r>
    </w:p>
    <w:p w14:paraId="5066638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United Nations (2015). "Transforming our world: The 2030 agenda for sustainable development." </w:t>
      </w:r>
      <w:r w:rsidRPr="00DE659D">
        <w:rPr>
          <w:i/>
          <w:iCs/>
          <w:noProof/>
          <w:color w:val="000000" w:themeColor="text1"/>
          <w:lang w:val="hu-HU" w:eastAsia="fr-BE"/>
        </w:rPr>
        <w:t>General Assembley 70 session</w:t>
      </w:r>
      <w:r w:rsidRPr="00DE659D">
        <w:rPr>
          <w:noProof/>
          <w:color w:val="000000" w:themeColor="text1"/>
          <w:lang w:val="hu-HU" w:eastAsia="fr-BE"/>
        </w:rPr>
        <w:t>.</w:t>
      </w:r>
    </w:p>
    <w:p w14:paraId="03046BD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Vanoli, A. (2005). </w:t>
      </w:r>
      <w:r w:rsidRPr="00DE659D">
        <w:rPr>
          <w:i/>
          <w:iCs/>
          <w:noProof/>
          <w:color w:val="000000" w:themeColor="text1"/>
          <w:lang w:val="hu-HU" w:eastAsia="fr-BE"/>
        </w:rPr>
        <w:t>A history of national accounting</w:t>
      </w:r>
      <w:r w:rsidRPr="00DE659D">
        <w:rPr>
          <w:noProof/>
          <w:color w:val="000000" w:themeColor="text1"/>
          <w:lang w:val="hu-HU" w:eastAsia="fr-BE"/>
        </w:rPr>
        <w:t>. IOS press.</w:t>
      </w:r>
    </w:p>
    <w:p w14:paraId="5BA9CE7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Walker, C., &amp; Jackson, T. (2019). Measuring prosperity: navigating the options.</w:t>
      </w:r>
    </w:p>
    <w:p w14:paraId="1C63011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Whitby, A. (2014). The BRAINPOol Project: Summary, Recommendations and Next Steps London. </w:t>
      </w:r>
      <w:r w:rsidRPr="00DE659D">
        <w:rPr>
          <w:i/>
          <w:iCs/>
          <w:noProof/>
          <w:color w:val="000000" w:themeColor="text1"/>
          <w:lang w:val="hu-HU" w:eastAsia="fr-BE"/>
        </w:rPr>
        <w:t>Bringing Alternative Indicators Into Policy Project</w:t>
      </w:r>
      <w:r w:rsidRPr="00DE659D">
        <w:rPr>
          <w:noProof/>
          <w:color w:val="000000" w:themeColor="text1"/>
          <w:lang w:val="hu-HU" w:eastAsia="fr-BE"/>
        </w:rPr>
        <w:t>.</w:t>
      </w:r>
      <w:bookmarkEnd w:id="16"/>
    </w:p>
    <w:p w14:paraId="1D2D362F" w14:textId="77777777" w:rsidR="00DE659D" w:rsidRPr="00DE659D" w:rsidRDefault="00DE659D" w:rsidP="00DE659D">
      <w:pPr>
        <w:rPr>
          <w:noProof/>
          <w:color w:val="000000" w:themeColor="text1"/>
          <w:lang w:val="hu-HU" w:eastAsia="fr-BE"/>
        </w:rPr>
      </w:pPr>
    </w:p>
    <w:p w14:paraId="6A845B59" w14:textId="77777777" w:rsidR="00DE659D" w:rsidRPr="00DE659D" w:rsidRDefault="00DE659D" w:rsidP="00DE659D">
      <w:pPr>
        <w:rPr>
          <w:noProof/>
          <w:color w:val="000000" w:themeColor="text1"/>
          <w:lang w:val="hu-HU" w:eastAsia="fr-BE"/>
        </w:rPr>
      </w:pPr>
    </w:p>
    <w:p w14:paraId="72B160F6" w14:textId="77777777" w:rsidR="00DE659D" w:rsidRPr="00DE659D" w:rsidRDefault="00DE659D" w:rsidP="00DE659D">
      <w:pPr>
        <w:rPr>
          <w:b/>
          <w:noProof/>
          <w:color w:val="000000" w:themeColor="text1"/>
          <w:lang w:val="hu-HU" w:eastAsia="fr-BE"/>
        </w:rPr>
      </w:pPr>
      <w:r w:rsidRPr="00DE659D">
        <w:rPr>
          <w:noProof/>
          <w:color w:val="000000" w:themeColor="text1"/>
          <w:lang w:val="hu-HU" w:eastAsia="fr-BE"/>
        </w:rPr>
        <w:br w:type="page"/>
      </w:r>
    </w:p>
    <w:p w14:paraId="19E1B255" w14:textId="0EEA5679" w:rsidR="00DE659D" w:rsidRDefault="00DE659D" w:rsidP="00DE659D">
      <w:pPr>
        <w:pStyle w:val="Titre1"/>
        <w:rPr>
          <w:noProof/>
          <w:lang w:eastAsia="fr-BE"/>
        </w:rPr>
      </w:pPr>
      <w:bookmarkStart w:id="17" w:name="_Toc51512264"/>
      <w:r w:rsidRPr="00DE659D">
        <w:rPr>
          <w:noProof/>
          <w:lang w:val="hu-HU" w:eastAsia="fr-BE"/>
        </w:rPr>
        <w:lastRenderedPageBreak/>
        <w:t xml:space="preserve">Paper 1: </w:t>
      </w:r>
      <w:r w:rsidRPr="00DE659D">
        <w:rPr>
          <w:noProof/>
          <w:lang w:eastAsia="fr-BE"/>
        </w:rPr>
        <w:t>How to articulate beyond GDP and businesses’ social and environmental indicators?</w:t>
      </w:r>
      <w:bookmarkEnd w:id="17"/>
      <w:r w:rsidRPr="00DE659D">
        <w:rPr>
          <w:noProof/>
          <w:lang w:eastAsia="fr-BE"/>
        </w:rPr>
        <w:t xml:space="preserve"> </w:t>
      </w:r>
    </w:p>
    <w:p w14:paraId="4F04105C" w14:textId="77777777" w:rsidR="00DE659D" w:rsidRPr="00DE659D" w:rsidRDefault="00DE659D" w:rsidP="00DE659D">
      <w:pPr>
        <w:rPr>
          <w:lang w:val="en-US" w:eastAsia="fr-BE"/>
        </w:rPr>
      </w:pPr>
    </w:p>
    <w:p w14:paraId="02832F30" w14:textId="77777777" w:rsidR="00DE659D" w:rsidRPr="00DE659D" w:rsidRDefault="00DE659D" w:rsidP="00DE659D">
      <w:pPr>
        <w:rPr>
          <w:noProof/>
          <w:color w:val="000000" w:themeColor="text1"/>
          <w:lang w:eastAsia="fr-BE"/>
        </w:rPr>
      </w:pPr>
      <w:r w:rsidRPr="00DE659D">
        <w:rPr>
          <w:b/>
          <w:bCs/>
          <w:noProof/>
          <w:color w:val="000000" w:themeColor="text1"/>
          <w:lang w:eastAsia="fr-BE"/>
        </w:rPr>
        <w:t>Abstract.</w:t>
      </w:r>
      <w:r w:rsidRPr="00DE659D">
        <w:rPr>
          <w:noProof/>
          <w:color w:val="000000" w:themeColor="text1"/>
          <w:lang w:eastAsia="fr-BE"/>
        </w:rPr>
        <w:t xml:space="preserve"> In the past decades, new indicators have been developed to provide alternatives to Gross Domestic Product (GDP) at the macro level, and to financial indicators at the business level (businesses’ social and environmental indicators). However, these new indicators are poorly articulated between the business and the macro level. This paper aims to discuss the different possibilities of articulation that exist and outline a framework for a better micro-macro articulation. Firstly, we draw from the example of GDP and traditional business indicators by analysing the way they are articulated. Secondly, we review how sets of alternative indicators aim to articulate the macro and micro level by analysing indicators constructed around Gross National Happiness (GNH) and Sustainable Development Goals (SDGs). This research shows that two specific types of articulation exist between indicators at different levels, one referred to as the ‘accounting’ type and the other called the ‘conceptual’ type. Their strengths and limits</w:t>
      </w:r>
      <w:r w:rsidRPr="00DE659D" w:rsidDel="00296138">
        <w:rPr>
          <w:noProof/>
          <w:color w:val="000000" w:themeColor="text1"/>
          <w:lang w:eastAsia="fr-BE"/>
        </w:rPr>
        <w:t xml:space="preserve"> </w:t>
      </w:r>
      <w:r w:rsidRPr="00DE659D">
        <w:rPr>
          <w:noProof/>
          <w:color w:val="000000" w:themeColor="text1"/>
          <w:lang w:eastAsia="fr-BE"/>
        </w:rPr>
        <w:t>will be discussed, as well as how they can be combined. Finally, recommendations will be provided on how to best articulate beyond GDP and business level indicators.</w:t>
      </w:r>
    </w:p>
    <w:p w14:paraId="63EACC82" w14:textId="77777777" w:rsidR="00DE659D" w:rsidRDefault="00DE659D">
      <w:pPr>
        <w:spacing w:line="259" w:lineRule="auto"/>
        <w:ind w:firstLine="0"/>
        <w:jc w:val="left"/>
        <w:rPr>
          <w:b/>
          <w:bCs/>
          <w:noProof/>
          <w:color w:val="000000" w:themeColor="text1"/>
          <w:lang w:val="en-US" w:eastAsia="fr-BE"/>
        </w:rPr>
      </w:pPr>
      <w:r>
        <w:rPr>
          <w:b/>
          <w:bCs/>
          <w:noProof/>
          <w:color w:val="000000" w:themeColor="text1"/>
          <w:lang w:val="en-US" w:eastAsia="fr-BE"/>
        </w:rPr>
        <w:br w:type="page"/>
      </w:r>
    </w:p>
    <w:p w14:paraId="7DB602C6" w14:textId="725F0FE3" w:rsidR="00DE659D" w:rsidRPr="00DE659D" w:rsidRDefault="00DE659D" w:rsidP="00524E26">
      <w:pPr>
        <w:pStyle w:val="Titre2"/>
        <w:numPr>
          <w:ilvl w:val="0"/>
          <w:numId w:val="4"/>
        </w:numPr>
        <w:rPr>
          <w:noProof/>
          <w:lang w:val="en-US" w:eastAsia="fr-BE"/>
        </w:rPr>
      </w:pPr>
      <w:bookmarkStart w:id="18" w:name="_Toc51512265"/>
      <w:r w:rsidRPr="00DE659D">
        <w:rPr>
          <w:noProof/>
          <w:lang w:val="en-US" w:eastAsia="fr-BE"/>
        </w:rPr>
        <w:lastRenderedPageBreak/>
        <w:t>Introduction</w:t>
      </w:r>
      <w:bookmarkEnd w:id="18"/>
    </w:p>
    <w:p w14:paraId="4A956AEE" w14:textId="77777777" w:rsidR="00DE659D" w:rsidRPr="00DE659D" w:rsidRDefault="00DE659D" w:rsidP="00DE659D">
      <w:pPr>
        <w:rPr>
          <w:noProof/>
          <w:color w:val="000000" w:themeColor="text1"/>
          <w:lang w:eastAsia="fr-BE"/>
        </w:rPr>
      </w:pPr>
      <w:r w:rsidRPr="00DE659D">
        <w:rPr>
          <w:noProof/>
          <w:color w:val="000000" w:themeColor="text1"/>
          <w:lang w:eastAsia="fr-BE"/>
        </w:rPr>
        <w:t>As current ecological and social challenges become increasingly pressing, so does the demand for a paradigm shift in socio-economic policies. Because of this, many initiatives have been proposed at varying levels to orient society towards an ecological and social transformation (Brand, 2016). Among them, it has been argued that a change of performance indicators should occur, both at the national (Stiglitz et al., 2009, OECD, the European Commission…) and the corporate level (UN Global Compact, WBCSD; European Parliament’s Directive 2014/95/EU, the CSR movement…). New indicators have accordingly been developed for policy makers and businesses, measuring environmental and social issues such as pollution, health and inequality. The advocates for these new indicators acknowledge that the pursuit of traditional objectives only, such as economic growth or financial return, cannot give a proper response to the critical challenges of climate change and rising inequality (Kramer and Porter, 2011; Cassiers &amp; Thiry, 2014). The new indicators are thus meant to monitor and evaluate the progress of ecological and social objectives, both at the macro level (Beyond Gross National Product, or beyond GDP indicators) and the business level (businesses’ social and environmental indicators).</w:t>
      </w:r>
    </w:p>
    <w:p w14:paraId="613406B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Although they share similar goals, these new indexes are poorly articulated with each other, both in theory and in practice. Very few sets of indexes that encompass both the macro and the business level have been reported. Only three set of indicators seemingly exist that articulate them. These are constructed around Human Development Index (Ul Haq, 1995; Spangenberg &amp; Bonniot, 1998), the Sustainable Development Goals (UN, 2015; SDG Compass, 2015) and Gross National Happiness (Ura et al, 2015; Wangdi et </w:t>
      </w:r>
      <w:r w:rsidRPr="00DE659D">
        <w:rPr>
          <w:i/>
          <w:noProof/>
          <w:color w:val="000000" w:themeColor="text1"/>
          <w:lang w:eastAsia="fr-BE"/>
        </w:rPr>
        <w:t>al</w:t>
      </w:r>
      <w:r w:rsidRPr="00DE659D">
        <w:rPr>
          <w:noProof/>
          <w:color w:val="000000" w:themeColor="text1"/>
          <w:lang w:eastAsia="fr-BE"/>
        </w:rPr>
        <w:t xml:space="preserve">., 2018). The topic of the articulation of macro and business level indicators (and more generalised macro and micro level indicators) has also been neglected in the literature. It is only recently that it has become somewhat discussed, in parallel with the rise of sustainability concerns. On the one hand, the field of research ‘Sustainability in context’ (Whiteman et al., 2013; McElroy and Baue, 2013; Searcy, 2014; Beare et al., 2014) states that sustainability performance assessments must be carried </w:t>
      </w:r>
      <w:r w:rsidRPr="00DE659D">
        <w:rPr>
          <w:noProof/>
          <w:color w:val="000000" w:themeColor="text1"/>
          <w:lang w:eastAsia="fr-BE"/>
        </w:rPr>
        <w:lastRenderedPageBreak/>
        <w:t xml:space="preserve">out relative to social and ecological norms, standards or thresholds, and never in the absence of them, as it is often the case. In particular, they argue for the use of science-based targets for businesses, some of them being defined with respect to macro level indicators. On the other hand, the rise of Sustainable Development Goals (UN, 2015) at the macro level lead to the development of new business reporting and accounting tools to measure businesses’ contributions to SDGs. This permitted links between SDGs and the accounting discipline (Bebbington, 2018). However, it appears that no discussion specifically encompassing indicators at both levels has taken place in scientific literature. </w:t>
      </w:r>
    </w:p>
    <w:p w14:paraId="23F3C8D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There are several reasons to believe that a better articulation of business and macro level indicators could foster a paradigm shift. The first reason is that </w:t>
      </w:r>
      <w:bookmarkStart w:id="19" w:name="_Hlk47367843"/>
      <w:r w:rsidRPr="00DE659D">
        <w:rPr>
          <w:noProof/>
          <w:color w:val="000000" w:themeColor="text1"/>
          <w:lang w:eastAsia="fr-BE"/>
        </w:rPr>
        <w:t>indicators drive norms, values and worldviews (Desrosières, 2008). An indicator present at various levels can then increase the reach of its values and worldviews, to influence a wider range of stakeholders.</w:t>
      </w:r>
      <w:bookmarkEnd w:id="19"/>
      <w:r w:rsidRPr="00DE659D">
        <w:rPr>
          <w:noProof/>
          <w:color w:val="000000" w:themeColor="text1"/>
          <w:lang w:eastAsia="fr-BE"/>
        </w:rPr>
        <w:t xml:space="preserve"> Secondly, similar or common indicators can improve collective action between micro and macro actors by combining their agendas (Kania and Kramer, 2011; </w:t>
      </w:r>
      <w:r w:rsidRPr="00DE659D">
        <w:rPr>
          <w:noProof/>
          <w:color w:val="000000" w:themeColor="text1"/>
          <w:lang w:val="hu-HU" w:eastAsia="fr-BE"/>
        </w:rPr>
        <w:t>Pattberg and Widerberg, 2016</w:t>
      </w:r>
      <w:r w:rsidRPr="00DE659D">
        <w:rPr>
          <w:noProof/>
          <w:color w:val="000000" w:themeColor="text1"/>
          <w:lang w:eastAsia="fr-BE"/>
        </w:rPr>
        <w:t>). This could especially be the case in a scenario in which citizen or business-based initiatives have a key contribution to a socio-ecological transformation, but lack coordination (Geels and Schot, 2007; Mertens and Bauwens, 2017; Littlewood and Holt, 2018; Van Zantem and Van Tudler, 2018). Consistency in action can be further reinforced by the use of similar targets at the macro and the business level. This would help coordinate the objectives of micro and macro actors. Thirdly, there is a growing concern among shareholders, investors and other external stakeholders to analyse businesses’ social and environmental performance. If the framework used at the business level is similar to a well-known macro level framework (</w:t>
      </w:r>
      <w:r w:rsidRPr="00DE659D">
        <w:rPr>
          <w:i/>
          <w:noProof/>
          <w:color w:val="000000" w:themeColor="text1"/>
          <w:lang w:eastAsia="fr-BE"/>
        </w:rPr>
        <w:t>e.g</w:t>
      </w:r>
      <w:r w:rsidRPr="00DE659D">
        <w:rPr>
          <w:noProof/>
          <w:color w:val="000000" w:themeColor="text1"/>
          <w:lang w:eastAsia="fr-BE"/>
        </w:rPr>
        <w:t>. Sustainable Development Goals), it will increase the clarity of social and environmental reporting. Finally, having standardised business data on social or environmental issues could help the gathering of macro level data, which sometimes currently lacks in the establishment of macro level indicators (Seaford, 2013).</w:t>
      </w:r>
    </w:p>
    <w:p w14:paraId="5A6DD3AC"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To summarise, a coherence between business and macro level indicators would help coordinate ideas, actions, evaluation and data gathering towards a socio-ecological transformation. This will probably not be the main driving force, but one piece of a new broader puzzle which will include many other policy changes (Alperovitz et al., 2012).</w:t>
      </w:r>
    </w:p>
    <w:p w14:paraId="425E6452" w14:textId="77777777" w:rsidR="00DE659D" w:rsidRPr="00DE659D" w:rsidRDefault="00DE659D" w:rsidP="00DE659D">
      <w:pPr>
        <w:rPr>
          <w:noProof/>
          <w:color w:val="000000" w:themeColor="text1"/>
          <w:lang w:eastAsia="fr-BE"/>
        </w:rPr>
      </w:pPr>
      <w:r w:rsidRPr="00DE659D">
        <w:rPr>
          <w:noProof/>
          <w:color w:val="000000" w:themeColor="text1"/>
          <w:lang w:eastAsia="fr-BE"/>
        </w:rPr>
        <w:t>Even if a better articulation of beyond GDP and businesses’ social and environmental indicators could foster a transformation, it is not clear that it would be feasible. At first glance, it appears complicated due to the variety of elements they cover and the absence of a single numeraire. Moreover, the wide diversity of indicators both at the macro and at the business level makes a ‘one size fits all’ framework improbable. The question of this paper is thus ‘How can beyond GDP and businesses’ social and environmental indicators be best articulated?’, with the underlying objective of speeding up a socio-ecological transformation.</w:t>
      </w:r>
    </w:p>
    <w:p w14:paraId="3A3B7AC7" w14:textId="77777777" w:rsidR="00DE659D" w:rsidRPr="00DE659D" w:rsidRDefault="00DE659D" w:rsidP="00DE659D">
      <w:pPr>
        <w:rPr>
          <w:noProof/>
          <w:color w:val="000000" w:themeColor="text1"/>
          <w:lang w:eastAsia="fr-BE"/>
        </w:rPr>
      </w:pPr>
      <w:bookmarkStart w:id="20" w:name="_Hlk47364986"/>
      <w:r w:rsidRPr="00DE659D">
        <w:rPr>
          <w:noProof/>
          <w:color w:val="000000" w:themeColor="text1"/>
          <w:lang w:eastAsia="fr-BE"/>
        </w:rPr>
        <w:t>Let’s note that this paper primary focuses on the (national) government and (for profit) business levels, as they correspond to main economic actors of the macro and micro levels. However, the analysis actually focuses on the links that may exist between any two indicators, regardless of the level of scrutiny. The insights that will be drawn can then be fully generalised to other levels of analysis such as the meso level, the regional level or the global level, or to other micro level actors such as cooperatives and non-profit organizations, or to various frameworks (such as ‘Economy For The Common Good’ or ‘Positive Economy’</w:t>
      </w:r>
      <w:r w:rsidRPr="00DE659D">
        <w:rPr>
          <w:noProof/>
          <w:color w:val="000000" w:themeColor="text1"/>
          <w:vertAlign w:val="superscript"/>
          <w:lang w:eastAsia="fr-BE"/>
        </w:rPr>
        <w:footnoteReference w:id="9"/>
      </w:r>
      <w:r w:rsidRPr="00DE659D">
        <w:rPr>
          <w:noProof/>
          <w:color w:val="000000" w:themeColor="text1"/>
          <w:lang w:eastAsia="fr-BE"/>
        </w:rPr>
        <w:t>).</w:t>
      </w:r>
      <w:bookmarkEnd w:id="20"/>
      <w:r w:rsidRPr="00DE659D">
        <w:rPr>
          <w:noProof/>
          <w:color w:val="000000" w:themeColor="text1"/>
          <w:lang w:eastAsia="fr-BE"/>
        </w:rPr>
        <w:t xml:space="preserve"> </w:t>
      </w:r>
    </w:p>
    <w:p w14:paraId="16E1E7BB"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article is divided into six sections including the introduction. Section Two presents the two fields of research of beyond GDP and businesses’ social and environmental indicators, for those who are not familiar with them. Section Three presents how GDP is articulated with traditional business level indicators in order to draw insights for alternative indicators. The next section presents how sets </w:t>
      </w:r>
      <w:r w:rsidRPr="00DE659D">
        <w:rPr>
          <w:noProof/>
          <w:color w:val="000000" w:themeColor="text1"/>
          <w:lang w:eastAsia="fr-BE"/>
        </w:rPr>
        <w:lastRenderedPageBreak/>
        <w:t xml:space="preserve">of alternative indicators such as GNH and SDGs articulate the macro and micro levels. In the fifth section, two specific types of articulation are highlighted that can exist between indicators at different levels, one referred to as the ‘accounting’ type and the other as the ‘conceptual’ type. Finally, recommendations are provided on how to better articulate beyond GDP and businesses’ social and environmental indicators. </w:t>
      </w:r>
    </w:p>
    <w:p w14:paraId="7383B6B0" w14:textId="467CD75E" w:rsidR="00DE659D" w:rsidRPr="00DE659D" w:rsidRDefault="00DE659D" w:rsidP="00DE659D">
      <w:pPr>
        <w:pStyle w:val="Titre2"/>
        <w:rPr>
          <w:noProof/>
          <w:lang w:val="en-US" w:eastAsia="fr-BE"/>
        </w:rPr>
      </w:pPr>
      <w:bookmarkStart w:id="21" w:name="_Toc51512266"/>
      <w:r w:rsidRPr="00DE659D">
        <w:rPr>
          <w:noProof/>
          <w:lang w:val="en-US" w:eastAsia="fr-BE"/>
        </w:rPr>
        <w:t>Beyond GDP and businesses’ social and environmental indicators</w:t>
      </w:r>
      <w:bookmarkEnd w:id="21"/>
    </w:p>
    <w:p w14:paraId="1F048243"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As there are few links between the literatures on macro and micro level alternative indicators, this section intends to introduce these sources to readers who are unfamiliar with one or both of them. </w:t>
      </w:r>
    </w:p>
    <w:p w14:paraId="0B0615CA" w14:textId="002138DE" w:rsidR="00DE659D" w:rsidRPr="00DE659D" w:rsidRDefault="00DE659D" w:rsidP="00CE7357">
      <w:pPr>
        <w:pStyle w:val="Titre3"/>
        <w:rPr>
          <w:noProof/>
          <w:lang w:eastAsia="fr-BE"/>
        </w:rPr>
      </w:pPr>
      <w:bookmarkStart w:id="22" w:name="_Toc51512267"/>
      <w:r w:rsidRPr="00DE659D">
        <w:rPr>
          <w:noProof/>
          <w:lang w:eastAsia="fr-BE"/>
        </w:rPr>
        <w:t>Beyond GDP indicators</w:t>
      </w:r>
      <w:bookmarkEnd w:id="22"/>
    </w:p>
    <w:p w14:paraId="037EAAD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common feature of beyond GDP indicators is to take social and/or environmental problems into account, in addition to or instead of economic growth or traditional economic indicators. Whatever variety of terms are used to specify the objective these indicators refer to (well-being, quality of life, social progress, human development, happiness, sustainable development, see Pissourios, 2013), these indicators are considered as having a similar intent, which is a desirable society </w:t>
      </w:r>
      <w:bookmarkStart w:id="23" w:name="_Hlk47359991"/>
      <w:r w:rsidRPr="00DE659D">
        <w:rPr>
          <w:noProof/>
          <w:color w:val="000000" w:themeColor="text1"/>
          <w:lang w:eastAsia="fr-BE"/>
        </w:rPr>
        <w:t>(according to their authors’ view)</w:t>
      </w:r>
      <w:bookmarkEnd w:id="23"/>
      <w:r w:rsidRPr="00DE659D">
        <w:rPr>
          <w:noProof/>
          <w:color w:val="000000" w:themeColor="text1"/>
          <w:lang w:eastAsia="fr-BE"/>
        </w:rPr>
        <w:t>, measured through a variety of topics.</w:t>
      </w:r>
      <w:r w:rsidRPr="00DE659D">
        <w:rPr>
          <w:noProof/>
          <w:color w:val="000000" w:themeColor="text1"/>
          <w:lang w:val="hu-HU" w:eastAsia="fr-BE"/>
        </w:rPr>
        <w:t xml:space="preserve"> </w:t>
      </w:r>
      <w:r w:rsidRPr="00DE659D">
        <w:rPr>
          <w:noProof/>
          <w:color w:val="000000" w:themeColor="text1"/>
          <w:lang w:eastAsia="fr-BE"/>
        </w:rPr>
        <w:t xml:space="preserve">Typically, beyond GDP indicators include variables such as health, education, housing conditions, environment, inequality, civic engagement, and safety. Some of them are synthetic indicators, which means the aggregation of various variables in a single number. Others are dashboards, meaning that they are composed of variables kept separate or at least non-aggregated. Synthetic indicators are praised for their ability to be easily communicated to a large audience, while dashboards offer a more detailed picture of reality. Synthetic beyond GDP indicators can also be monetary or non-monetary. A monetary indicator means that social and environmental performances are translated into monetary terms through various accounting methods. This is the case for a significant minority of beyond GDP indicators, such as the Index of Sustainable Economic Welfare (Cobb and Daly, 1989), </w:t>
      </w:r>
      <w:r w:rsidRPr="00DE659D">
        <w:rPr>
          <w:noProof/>
          <w:color w:val="000000" w:themeColor="text1"/>
          <w:lang w:eastAsia="fr-BE"/>
        </w:rPr>
        <w:lastRenderedPageBreak/>
        <w:t xml:space="preserve">World Bank’s Adjusted Net Savings (Bolt </w:t>
      </w:r>
      <w:r w:rsidRPr="00DE659D">
        <w:rPr>
          <w:i/>
          <w:noProof/>
          <w:color w:val="000000" w:themeColor="text1"/>
          <w:lang w:eastAsia="fr-BE"/>
        </w:rPr>
        <w:t>et al.</w:t>
      </w:r>
      <w:r w:rsidRPr="00DE659D">
        <w:rPr>
          <w:noProof/>
          <w:color w:val="000000" w:themeColor="text1"/>
          <w:lang w:eastAsia="fr-BE"/>
        </w:rPr>
        <w:t>, 2002) or UNEP’s Inclusive Wealth Index (Managi and Kumar, 2018). However, monetisation is a subject of debate, due to questionable theoretical or technical assumptions (Thiry, 2014; Roman and Thiry, 2016). One main critique is that single monetary numeraire might overshadow a degradation of social or environmental capital when it is balanced with an increase of financial capital (which is called a ‘weak’ vision of sustainability) (Dietz &amp; Neumayer, 2003). Note that the field of beyond GDP indicators is subject to a lot of other methodological debates: Should stocks or flows be measured? Which aggregation method should be used? Which variables should be included? With what weighting? Etc. Answers to these questions are often driven by theoretical framework or political values of indicators’ initiators (Börgnas, 2016). In this respect, the degree of radicality of beyond GDP indicators is heterogenous. Some indicators convey a representation of a desirable society which is very different from GDP’s (</w:t>
      </w:r>
      <w:r w:rsidRPr="00DE659D">
        <w:rPr>
          <w:i/>
          <w:noProof/>
          <w:color w:val="000000" w:themeColor="text1"/>
          <w:lang w:eastAsia="fr-BE"/>
        </w:rPr>
        <w:t>e.g</w:t>
      </w:r>
      <w:r w:rsidRPr="00DE659D">
        <w:rPr>
          <w:noProof/>
          <w:color w:val="000000" w:themeColor="text1"/>
          <w:lang w:eastAsia="fr-BE"/>
        </w:rPr>
        <w:t>. Happy Planet Index, Sustainable Society Index…), while other indicators remain closer to traditional thinking (</w:t>
      </w:r>
      <w:r w:rsidRPr="00DE659D">
        <w:rPr>
          <w:i/>
          <w:noProof/>
          <w:color w:val="000000" w:themeColor="text1"/>
          <w:lang w:eastAsia="fr-BE"/>
        </w:rPr>
        <w:t>e.g.</w:t>
      </w:r>
      <w:r w:rsidRPr="00DE659D">
        <w:rPr>
          <w:noProof/>
          <w:color w:val="000000" w:themeColor="text1"/>
          <w:lang w:eastAsia="fr-BE"/>
        </w:rPr>
        <w:t xml:space="preserve"> Human Development Index, Social Progress Index…) (Malay, 2019).</w:t>
      </w:r>
    </w:p>
    <w:p w14:paraId="2D6DE13D" w14:textId="77777777" w:rsidR="00DE659D" w:rsidRPr="00DE659D" w:rsidRDefault="00DE659D" w:rsidP="00DE659D">
      <w:pPr>
        <w:rPr>
          <w:noProof/>
          <w:color w:val="000000" w:themeColor="text1"/>
          <w:lang w:eastAsia="fr-BE"/>
        </w:rPr>
      </w:pPr>
      <w:r w:rsidRPr="00DE659D">
        <w:rPr>
          <w:noProof/>
          <w:color w:val="000000" w:themeColor="text1"/>
          <w:lang w:eastAsia="fr-BE"/>
        </w:rPr>
        <w:t>In this paper, the analysis is focused on non-monetary indicators, for the sake of concision and in acknowledgement of the relevance of the critiques on monetary indicators. According to research by Morse (2014), among non-monetary indicators, those that have received the most widespread attention are the Ecological Footprint and the Human Development Index.</w:t>
      </w:r>
    </w:p>
    <w:p w14:paraId="6B66ABC9" w14:textId="3773BB64" w:rsidR="00DE659D" w:rsidRPr="00DE659D" w:rsidRDefault="00DE659D" w:rsidP="00CE7357">
      <w:pPr>
        <w:pStyle w:val="Titre3"/>
        <w:rPr>
          <w:noProof/>
          <w:lang w:eastAsia="fr-BE"/>
        </w:rPr>
      </w:pPr>
      <w:bookmarkStart w:id="24" w:name="_Toc51512268"/>
      <w:r w:rsidRPr="00DE659D">
        <w:rPr>
          <w:noProof/>
          <w:lang w:eastAsia="fr-BE"/>
        </w:rPr>
        <w:t>Businesses’ social and environmental indicators</w:t>
      </w:r>
      <w:bookmarkEnd w:id="24"/>
    </w:p>
    <w:p w14:paraId="5CD93AEC"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Businesses’ social and environmental indicators cover business level indicators that take social and/or environmental issues into account. These indicators are used in numerous approaches aiming to assess and communicate the social and environmental performance of businesses (Gilbert </w:t>
      </w:r>
      <w:r w:rsidRPr="00DE659D">
        <w:rPr>
          <w:i/>
          <w:noProof/>
          <w:color w:val="000000" w:themeColor="text1"/>
          <w:lang w:eastAsia="fr-BE"/>
        </w:rPr>
        <w:t>et al.</w:t>
      </w:r>
      <w:r w:rsidRPr="00DE659D">
        <w:rPr>
          <w:noProof/>
          <w:color w:val="000000" w:themeColor="text1"/>
          <w:lang w:eastAsia="fr-BE"/>
        </w:rPr>
        <w:t xml:space="preserve">, 2011). Among those approaches, we find Corporate Social Responsibility (CSR), corporate sustainability, environmental performance, social performance, global performance, social impact, social utility, social return, social benefit, blended value, shared value... </w:t>
      </w:r>
      <w:bookmarkStart w:id="25" w:name="_Hlk47449514"/>
      <w:r w:rsidRPr="00DE659D">
        <w:rPr>
          <w:noProof/>
          <w:color w:val="000000" w:themeColor="text1"/>
          <w:lang w:eastAsia="fr-BE"/>
        </w:rPr>
        <w:t xml:space="preserve">Almost every </w:t>
      </w:r>
      <w:r w:rsidRPr="00DE659D">
        <w:rPr>
          <w:noProof/>
          <w:color w:val="000000" w:themeColor="text1"/>
          <w:lang w:eastAsia="fr-BE"/>
        </w:rPr>
        <w:lastRenderedPageBreak/>
        <w:t xml:space="preserve">company or business group uses a different concept to name its broader contribution to society, but the core of their approach is not necessarily different. </w:t>
      </w:r>
      <w:bookmarkEnd w:id="25"/>
      <w:r w:rsidRPr="00DE659D">
        <w:rPr>
          <w:noProof/>
          <w:color w:val="000000" w:themeColor="text1"/>
          <w:lang w:eastAsia="fr-BE"/>
        </w:rPr>
        <w:t>All of them use indicators, which are then labelled as “CSR indicators”, “corporate sustainability indicators” and so forth. Depending on the approach, these indicators are included in various forms: reports of good practise, monitoring tools, certification processes, best in class rankings, impact assessments, etc. Even if some of them are well-known (Global Reporting Initiative (GRI), ISO 26000, B-Corp…), many businesses create their own tools or adapt existing ones, in order to better capture the specifics of businesses and sectors. This variety results in a divergent set of businesses’ social and environmental indicators, with more diversity than at the macro level. However, all of these business indicators have a similar intent, which is to measure progress towards other objectives apart from solely financial or economic performance. Among the numerous different businesses’ social and environmental indicators, the GRI, first developed by a US non-profit organisation in 1997, has become recognised as the de facto global standard for disclosing non-financial information by scholars, practitioners and institutions (Accountability and WBCSD, 2004; Milne, 2005; Etzion and Ferraro, 2010). It includes a wide range of economic, social and environmental variables that can be reported by businesses (Global Reporting Initiative, 2016).</w:t>
      </w:r>
    </w:p>
    <w:p w14:paraId="14B66826" w14:textId="77777777" w:rsidR="00DE659D" w:rsidRPr="00DE659D" w:rsidRDefault="00DE659D" w:rsidP="00DE659D">
      <w:pPr>
        <w:rPr>
          <w:noProof/>
          <w:color w:val="000000" w:themeColor="text1"/>
          <w:lang w:eastAsia="fr-BE"/>
        </w:rPr>
      </w:pPr>
      <w:r w:rsidRPr="00DE659D">
        <w:rPr>
          <w:noProof/>
          <w:color w:val="000000" w:themeColor="text1"/>
          <w:lang w:eastAsia="fr-BE"/>
        </w:rPr>
        <w:t>Businesses’ social and environmental indicators originated in the 1970s and 80s (Innes, 1989; Hertzig and Schaltegger, 2006; Richard, 2012). During the last decade, they multiplied among traditional businesses as well as among non-profit and social economy organisations. Today, typical social and environmental indicators of businesses include variables such as health and safety problems, training hours, gender inequality, the wage gap, energy savings, greenhouse gases emissions, good governance, job creation, and specific variables depending on the sector (see SASB standards for examples</w:t>
      </w:r>
      <w:r w:rsidRPr="00DE659D">
        <w:rPr>
          <w:noProof/>
          <w:color w:val="000000" w:themeColor="text1"/>
          <w:vertAlign w:val="superscript"/>
          <w:lang w:eastAsia="fr-BE"/>
        </w:rPr>
        <w:footnoteReference w:id="10"/>
      </w:r>
      <w:r w:rsidRPr="00DE659D">
        <w:rPr>
          <w:noProof/>
          <w:color w:val="000000" w:themeColor="text1"/>
          <w:lang w:eastAsia="fr-BE"/>
        </w:rPr>
        <w:t xml:space="preserve">). Most of these are dashboards. Only a minority, such as the Social Return on Investment (SROI), B-Corp Certification, or </w:t>
      </w:r>
      <w:r w:rsidRPr="00DE659D">
        <w:rPr>
          <w:noProof/>
          <w:color w:val="000000" w:themeColor="text1"/>
          <w:lang w:eastAsia="fr-BE"/>
        </w:rPr>
        <w:lastRenderedPageBreak/>
        <w:t xml:space="preserve">Gross National Happiness (GNH) Certification use a form of aggregation towards one final number or score, and even fewer use monetisation methods. They can have a primarily internal focus, which is, being targeted to best help managers and workers change their practises (‘accounting for decision making’, according to Zimmerman and </w:t>
      </w:r>
      <w:r w:rsidRPr="00DE659D">
        <w:rPr>
          <w:noProof/>
          <w:color w:val="000000" w:themeColor="text1"/>
          <w:lang w:val="hu-HU" w:eastAsia="fr-BE"/>
        </w:rPr>
        <w:t>Yahya-Zadeh</w:t>
      </w:r>
      <w:r w:rsidRPr="00DE659D">
        <w:rPr>
          <w:noProof/>
          <w:color w:val="000000" w:themeColor="text1"/>
          <w:lang w:eastAsia="fr-BE"/>
        </w:rPr>
        <w:t xml:space="preserve">, 2011). They can also have an external focus, so that the business can report its activities to various stakeholders such as shareholders, customers, NGOs… (‘accounting for control’). This external focus is the most widespread as more and more businesses seek for public approval and new customers through the communication of sustainable practises. </w:t>
      </w:r>
    </w:p>
    <w:p w14:paraId="34C6294F" w14:textId="77777777" w:rsidR="00DE659D" w:rsidRPr="00DE659D" w:rsidRDefault="00DE659D" w:rsidP="00DE659D">
      <w:pPr>
        <w:rPr>
          <w:noProof/>
          <w:color w:val="000000" w:themeColor="text1"/>
          <w:lang w:val="hu-HU" w:eastAsia="fr-BE"/>
        </w:rPr>
      </w:pPr>
      <w:r w:rsidRPr="00DE659D">
        <w:rPr>
          <w:noProof/>
          <w:color w:val="000000" w:themeColor="text1"/>
          <w:lang w:eastAsia="fr-BE"/>
        </w:rPr>
        <w:t>The field of businesses’ social and environmental indicators is also up for debate</w:t>
      </w:r>
      <w:r w:rsidRPr="00DE659D">
        <w:rPr>
          <w:noProof/>
          <w:color w:val="000000" w:themeColor="text1"/>
          <w:lang w:val="hu-HU" w:eastAsia="fr-BE"/>
        </w:rPr>
        <w:t xml:space="preserve">: What is the scope of a business? How can causality and responsability be assessed? Should </w:t>
      </w:r>
      <w:r w:rsidRPr="00DE659D">
        <w:rPr>
          <w:noProof/>
          <w:color w:val="000000" w:themeColor="text1"/>
          <w:lang w:eastAsia="fr-BE"/>
        </w:rPr>
        <w:t xml:space="preserve">inputs, processes, outputs, outcomes, or impacts be measured? </w:t>
      </w:r>
      <w:r w:rsidRPr="00DE659D">
        <w:rPr>
          <w:noProof/>
          <w:color w:val="000000" w:themeColor="text1"/>
          <w:lang w:val="hu-HU" w:eastAsia="fr-BE"/>
        </w:rPr>
        <w:t>How can we balance social and environmental issues and profit imperative? In this regard,</w:t>
      </w:r>
      <w:r w:rsidRPr="00DE659D">
        <w:rPr>
          <w:noProof/>
          <w:color w:val="000000" w:themeColor="text1"/>
          <w:lang w:eastAsia="fr-BE"/>
        </w:rPr>
        <w:t xml:space="preserve"> a major concern is about for-profit businesses’ possibilities to really adopt social and environmental behaviours, and not just use social and environmental indicators for window dressing (Laufer, 2003; Banjeree, 2008; Boiral, 2013). </w:t>
      </w:r>
    </w:p>
    <w:p w14:paraId="312B9BAF" w14:textId="77777777" w:rsidR="00DE659D" w:rsidRPr="00DE659D" w:rsidRDefault="00DE659D" w:rsidP="00DE659D">
      <w:pPr>
        <w:rPr>
          <w:noProof/>
          <w:color w:val="000000" w:themeColor="text1"/>
          <w:lang w:eastAsia="fr-BE"/>
        </w:rPr>
      </w:pPr>
      <w:r w:rsidRPr="00DE659D">
        <w:rPr>
          <w:noProof/>
          <w:color w:val="000000" w:themeColor="text1"/>
          <w:lang w:eastAsia="fr-BE"/>
        </w:rPr>
        <w:t>Beyond GDP and businesses’ social and environmental indicators thus share a common objective at different levels, even if they often differ in terms of shape and content. In this paper, the term ‘alternative indicators’ will be used when describing these two sources simultaneously. Before analysing their potential for articulation, it is worth examining the way such articulation is performed among traditional economic indicators.</w:t>
      </w:r>
    </w:p>
    <w:p w14:paraId="71005632" w14:textId="621DDC16" w:rsidR="00DE659D" w:rsidRPr="00DE659D" w:rsidRDefault="00DE659D" w:rsidP="00DE659D">
      <w:pPr>
        <w:pStyle w:val="Titre2"/>
        <w:rPr>
          <w:noProof/>
          <w:lang w:val="en-US" w:eastAsia="fr-BE"/>
        </w:rPr>
      </w:pPr>
      <w:bookmarkStart w:id="26" w:name="_Toc51512269"/>
      <w:r w:rsidRPr="00DE659D">
        <w:rPr>
          <w:noProof/>
          <w:lang w:val="en-US" w:eastAsia="fr-BE"/>
        </w:rPr>
        <w:t>The articulation between GDP and business level measures, today and in the past</w:t>
      </w:r>
      <w:bookmarkEnd w:id="26"/>
      <w:r w:rsidRPr="00DE659D">
        <w:rPr>
          <w:noProof/>
          <w:lang w:val="en-US" w:eastAsia="fr-BE"/>
        </w:rPr>
        <w:t xml:space="preserve"> </w:t>
      </w:r>
    </w:p>
    <w:p w14:paraId="34F7C343" w14:textId="77777777" w:rsidR="00DE659D" w:rsidRPr="00DE659D" w:rsidRDefault="00DE659D" w:rsidP="00DE659D">
      <w:pPr>
        <w:rPr>
          <w:noProof/>
          <w:color w:val="000000" w:themeColor="text1"/>
          <w:lang w:eastAsia="fr-BE"/>
        </w:rPr>
      </w:pPr>
      <w:r w:rsidRPr="00DE659D">
        <w:rPr>
          <w:noProof/>
          <w:color w:val="000000" w:themeColor="text1"/>
          <w:lang w:eastAsia="fr-BE"/>
        </w:rPr>
        <w:t>GDP and financial indicators successfully became leading indicators during the 20</w:t>
      </w:r>
      <w:r w:rsidRPr="00DE659D">
        <w:rPr>
          <w:noProof/>
          <w:color w:val="000000" w:themeColor="text1"/>
          <w:vertAlign w:val="superscript"/>
          <w:lang w:eastAsia="fr-BE"/>
        </w:rPr>
        <w:t>th</w:t>
      </w:r>
      <w:r w:rsidRPr="00DE659D">
        <w:rPr>
          <w:noProof/>
          <w:color w:val="000000" w:themeColor="text1"/>
          <w:lang w:eastAsia="fr-BE"/>
        </w:rPr>
        <w:t xml:space="preserve"> century. Analysing the context of their emergence and the way they were articulated allows for better understanding of the possible future of beyond GDP and businesses’ social and environmental indicators. In this section, a historical perspective is utilised to address the micro-macro articulation of </w:t>
      </w:r>
      <w:r w:rsidRPr="00DE659D">
        <w:rPr>
          <w:noProof/>
          <w:color w:val="000000" w:themeColor="text1"/>
          <w:lang w:eastAsia="fr-BE"/>
        </w:rPr>
        <w:lastRenderedPageBreak/>
        <w:t xml:space="preserve">traditional indicators in Western countries in two steps: firstly, we will show that the main articulation between GDP and business indicators consisted in the historical </w:t>
      </w:r>
      <w:bookmarkStart w:id="27" w:name="_Hlk47366664"/>
      <w:r w:rsidRPr="00DE659D">
        <w:rPr>
          <w:noProof/>
          <w:color w:val="000000" w:themeColor="text1"/>
          <w:lang w:eastAsia="fr-BE"/>
        </w:rPr>
        <w:t xml:space="preserve">simultaneity </w:t>
      </w:r>
      <w:bookmarkEnd w:id="27"/>
      <w:r w:rsidRPr="00DE659D">
        <w:rPr>
          <w:noProof/>
          <w:color w:val="000000" w:themeColor="text1"/>
          <w:lang w:eastAsia="fr-BE"/>
        </w:rPr>
        <w:t>of the pursuit of increase of market value both at the government and the business level. More than just a concurrence, it is the articulation of the goals of businesses and governments that converged. Next, we will demonstrate how the construction of GDP is based on business data, in particular value added, while highlighting the similarities and differences between national and business accounting frameworks.</w:t>
      </w:r>
    </w:p>
    <w:p w14:paraId="200AA800" w14:textId="41EABE14" w:rsidR="00DE659D" w:rsidRPr="00DE659D" w:rsidRDefault="00DE659D" w:rsidP="00CE7357">
      <w:pPr>
        <w:pStyle w:val="Titre3"/>
        <w:rPr>
          <w:noProof/>
          <w:lang w:eastAsia="fr-BE"/>
        </w:rPr>
      </w:pPr>
      <w:bookmarkStart w:id="28" w:name="_Toc51512270"/>
      <w:r w:rsidRPr="00DE659D">
        <w:rPr>
          <w:noProof/>
          <w:lang w:eastAsia="fr-BE"/>
        </w:rPr>
        <w:t>The simultaneous emergence of GDP and business financial indicators</w:t>
      </w:r>
      <w:bookmarkEnd w:id="28"/>
    </w:p>
    <w:p w14:paraId="53DBC67D" w14:textId="77777777" w:rsidR="00DE659D" w:rsidRPr="00DE659D" w:rsidRDefault="00DE659D" w:rsidP="00DE659D">
      <w:pPr>
        <w:rPr>
          <w:noProof/>
          <w:color w:val="000000" w:themeColor="text1"/>
          <w:lang w:val="hu-HU" w:eastAsia="fr-BE"/>
        </w:rPr>
      </w:pPr>
      <w:r w:rsidRPr="00DE659D">
        <w:rPr>
          <w:noProof/>
          <w:color w:val="000000" w:themeColor="text1"/>
          <w:lang w:eastAsia="fr-BE"/>
        </w:rPr>
        <w:t>During</w:t>
      </w:r>
      <w:r w:rsidRPr="00DE659D">
        <w:rPr>
          <w:noProof/>
          <w:color w:val="000000" w:themeColor="text1"/>
          <w:lang w:val="hu-HU" w:eastAsia="fr-BE"/>
        </w:rPr>
        <w:t xml:space="preserve"> the 19</w:t>
      </w:r>
      <w:r w:rsidRPr="00DE659D">
        <w:rPr>
          <w:noProof/>
          <w:color w:val="000000" w:themeColor="text1"/>
          <w:vertAlign w:val="superscript"/>
          <w:lang w:val="hu-HU" w:eastAsia="fr-BE"/>
        </w:rPr>
        <w:t>th</w:t>
      </w:r>
      <w:r w:rsidRPr="00DE659D">
        <w:rPr>
          <w:noProof/>
          <w:color w:val="000000" w:themeColor="text1"/>
          <w:lang w:val="hu-HU" w:eastAsia="fr-BE"/>
        </w:rPr>
        <w:t xml:space="preserve"> century, the role of the government was the fulfilment of regalian functions: police, army and justice. The statistics developed at this time were adapted for this purpose. Major statistical changes often take place during crisis (Desrosières, 2014). In the first half of the 20</w:t>
      </w:r>
      <w:r w:rsidRPr="00DE659D">
        <w:rPr>
          <w:noProof/>
          <w:color w:val="000000" w:themeColor="text1"/>
          <w:vertAlign w:val="superscript"/>
          <w:lang w:val="hu-HU" w:eastAsia="fr-BE"/>
        </w:rPr>
        <w:t>th</w:t>
      </w:r>
      <w:r w:rsidRPr="00DE659D">
        <w:rPr>
          <w:noProof/>
          <w:color w:val="000000" w:themeColor="text1"/>
          <w:lang w:val="hu-HU" w:eastAsia="fr-BE"/>
        </w:rPr>
        <w:t xml:space="preserve"> century, the crisis of 1929 and the Great Depression triggered the development of new macroeconomic tools. In order to solve economic problems, more and more economists and policy makers suggested that the government adopt an interventionist stance in the economic sphere (Schmelzer, 2016). Such a new stance needed data in order to reflect the dynamics of production, investment, and consumption, and act upon it. </w:t>
      </w:r>
    </w:p>
    <w:p w14:paraId="315A95F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Governments therefore developed large projects to gather such data. This gave rise to the first official measurements of national income and GDP, among which is the famous work of Simon Kuznet in the United States (Kuznet, 1934). These accounts later received support from blooming Keynesian economists, </w:t>
      </w:r>
      <w:r w:rsidRPr="00DE659D">
        <w:rPr>
          <w:noProof/>
          <w:color w:val="000000" w:themeColor="text1"/>
          <w:lang w:val="en-US" w:eastAsia="fr-BE"/>
        </w:rPr>
        <w:t>who</w:t>
      </w:r>
      <w:r w:rsidRPr="00DE659D">
        <w:rPr>
          <w:noProof/>
          <w:color w:val="000000" w:themeColor="text1"/>
          <w:lang w:val="hu-HU" w:eastAsia="fr-BE"/>
        </w:rPr>
        <w:t xml:space="preserve"> needed information to design and put into operation their models of economic interventionism. National accounts (including the most publicised GDP) were thus designed in order to help governments and economists implement new policies of economic planning.</w:t>
      </w:r>
    </w:p>
    <w:p w14:paraId="7B389F9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National accounts first took place alongside (and independent of) existing business accounts. Business accounting has a millennia-old history, but its modern form came about in the 19</w:t>
      </w:r>
      <w:r w:rsidRPr="00DE659D">
        <w:rPr>
          <w:noProof/>
          <w:color w:val="000000" w:themeColor="text1"/>
          <w:vertAlign w:val="superscript"/>
          <w:lang w:val="hu-HU" w:eastAsia="fr-BE"/>
        </w:rPr>
        <w:t>th</w:t>
      </w:r>
      <w:r w:rsidRPr="00DE659D">
        <w:rPr>
          <w:noProof/>
          <w:color w:val="000000" w:themeColor="text1"/>
          <w:lang w:val="hu-HU" w:eastAsia="fr-BE"/>
        </w:rPr>
        <w:t xml:space="preserve"> century. There was an increased use of accounting for management purposes, rather </w:t>
      </w:r>
      <w:r w:rsidRPr="00DE659D">
        <w:rPr>
          <w:noProof/>
          <w:color w:val="000000" w:themeColor="text1"/>
          <w:lang w:val="hu-HU" w:eastAsia="fr-BE"/>
        </w:rPr>
        <w:lastRenderedPageBreak/>
        <w:t>than just as a record. Ratios such as profit ratios became popular. They have been very diverse across countries, time periods, and even across companies. Some first attempts at national harmonisation occurred in the 19th century (mainly for tax purposes) and attempts of international harmonization took place essentially after the Second World War (Camfferman and Zeff, 2007). Despite the variety of accounting practises, the common objective of western business accounting after the 19</w:t>
      </w:r>
      <w:r w:rsidRPr="00DE659D">
        <w:rPr>
          <w:noProof/>
          <w:color w:val="000000" w:themeColor="text1"/>
          <w:vertAlign w:val="superscript"/>
          <w:lang w:val="hu-HU" w:eastAsia="fr-BE"/>
        </w:rPr>
        <w:t>th</w:t>
      </w:r>
      <w:r w:rsidRPr="00DE659D">
        <w:rPr>
          <w:noProof/>
          <w:color w:val="000000" w:themeColor="text1"/>
          <w:lang w:val="hu-HU" w:eastAsia="fr-BE"/>
        </w:rPr>
        <w:t xml:space="preserve"> century was that its main indicators were meant to aid business activity, motivated by a profit objective and expressed in terms of market value. </w:t>
      </w:r>
    </w:p>
    <w:p w14:paraId="464F42C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The first half of the 20th century was marked by a rising willingness of governments to measure private economic activity (for economic interventionism), in parallel with pre-existing measurement practices of businesses’ economic activity (to generate and attract profit). From then on, both governments and businesses developed accounts and indicators to measure and stimulate market value (GDP did not include production of public administration at this time). More than just monitoring tools, these indicators and accounts became references. This gave them a quasi-institutional function of behaviour shapers (North, 1991), which further reinforced the objective of market value creation they meant to indicate. </w:t>
      </w:r>
    </w:p>
    <w:p w14:paraId="69C21E9D" w14:textId="4BF16495" w:rsidR="00DE659D" w:rsidRPr="00DE659D" w:rsidRDefault="00DE659D" w:rsidP="00CE7357">
      <w:pPr>
        <w:pStyle w:val="Titre3"/>
        <w:rPr>
          <w:noProof/>
          <w:lang w:eastAsia="fr-BE"/>
        </w:rPr>
      </w:pPr>
      <w:bookmarkStart w:id="29" w:name="_Toc51512271"/>
      <w:r w:rsidRPr="00DE659D">
        <w:rPr>
          <w:noProof/>
          <w:lang w:eastAsia="fr-BE"/>
        </w:rPr>
        <w:t>The systemic consistency of GDP and business financial indicators</w:t>
      </w:r>
      <w:bookmarkEnd w:id="29"/>
      <w:r w:rsidRPr="00DE659D">
        <w:rPr>
          <w:noProof/>
          <w:lang w:eastAsia="fr-BE"/>
        </w:rPr>
        <w:t xml:space="preserve"> </w:t>
      </w:r>
    </w:p>
    <w:p w14:paraId="571D6811"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The stance of this paper is that the alignment of objectives of government and business and the development of new indicators in the first half of the 20</w:t>
      </w:r>
      <w:r w:rsidRPr="00DE659D">
        <w:rPr>
          <w:noProof/>
          <w:color w:val="000000" w:themeColor="text1"/>
          <w:vertAlign w:val="superscript"/>
          <w:lang w:val="hu-HU" w:eastAsia="fr-BE"/>
        </w:rPr>
        <w:t>th</w:t>
      </w:r>
      <w:r w:rsidRPr="00DE659D">
        <w:rPr>
          <w:noProof/>
          <w:color w:val="000000" w:themeColor="text1"/>
          <w:lang w:val="hu-HU" w:eastAsia="fr-BE"/>
        </w:rPr>
        <w:t xml:space="preserve"> century was not an accident. It was caused by two major changes, which were the basis of the success of GDP and business financial indicators. </w:t>
      </w:r>
    </w:p>
    <w:p w14:paraId="1E2E37C2" w14:textId="77777777" w:rsidR="00DE659D" w:rsidRPr="00DE659D" w:rsidRDefault="00DE659D" w:rsidP="00DE659D">
      <w:pPr>
        <w:rPr>
          <w:noProof/>
          <w:color w:val="000000" w:themeColor="text1"/>
          <w:lang w:eastAsia="fr-BE"/>
        </w:rPr>
      </w:pPr>
      <w:r w:rsidRPr="00DE659D">
        <w:rPr>
          <w:noProof/>
          <w:color w:val="000000" w:themeColor="text1"/>
          <w:lang w:eastAsia="fr-BE"/>
        </w:rPr>
        <w:t>The first one is the emergence of Fordism. Fordism is a model of organisation and development of businesses that emerged in the beginning of the 20</w:t>
      </w:r>
      <w:r w:rsidRPr="00DE659D">
        <w:rPr>
          <w:noProof/>
          <w:color w:val="000000" w:themeColor="text1"/>
          <w:vertAlign w:val="superscript"/>
          <w:lang w:eastAsia="fr-BE"/>
        </w:rPr>
        <w:t>th</w:t>
      </w:r>
      <w:r w:rsidRPr="00DE659D">
        <w:rPr>
          <w:noProof/>
          <w:color w:val="000000" w:themeColor="text1"/>
          <w:lang w:eastAsia="fr-BE"/>
        </w:rPr>
        <w:t xml:space="preserve"> century. It is characterised by massive economies of scale and scope due to the technologies of the second industrial revolution. This new capacity led to mass production and mass consumption, greater division of labour, and the constitution </w:t>
      </w:r>
      <w:r w:rsidRPr="00DE659D">
        <w:rPr>
          <w:noProof/>
          <w:color w:val="000000" w:themeColor="text1"/>
          <w:lang w:eastAsia="fr-BE"/>
        </w:rPr>
        <w:lastRenderedPageBreak/>
        <w:t>of oligopolies and multinational corporations (Chandler, 1992). These transformations in production were a basis for the development of new indicators. The increase in the size of businesses that emerged from Fordism gave rise to the need for better control and evaluation of managers, as growing distance between general direction and production units led to decentralisation of decisions and to nearly independent business units. The discipline of management control emerged at this time, as well as new financial indicators. Of them, the most well-known is the Return On Investment (ROI) in 1920s at General Motors (see Brown, 1977; Chandler, 1990). The role of financial indicators was to control and coordinate activity in the new business structure. They spread widely across industries in the United States and around the rest of the world. As a result, Fordism fostered new developments in business accounting and indicators.</w:t>
      </w:r>
    </w:p>
    <w:p w14:paraId="6E1DD04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GDP also finds one of its origins in Fordism. As productivity grew drastically in Fordist industries, this translated into high rates of economic growth, the highest in human history (Gordon, 2017). The growth that came out of increased productivity was a subject of study by economists, creating a demand for analytical and monitoring tools such as national accounting. Growth was also the fuel for Keynesian macroeconomic policies and the investment cycle, which further developed and improved national accounts. Fordist growth has been a facilitating factor of the relevance of Keynesianism and the utility of national accounts (which in turn helped to monitor and sustain it). </w:t>
      </w:r>
    </w:p>
    <w:p w14:paraId="08CD67C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second factor that solidified the pursuit of market value and its measurement were the institutionalised compromises that took place just after the Second World War. Institutionalised compromises were agreements between unions and capitalists in most western countries (Boyer and Julliard, 2002). Unions agreed to Fordist management and to limit class struggle within a capitalist economy. In exchange, capitalists agreed to wage increases, taxes, government intervention, union rights and the emergence of the welfare state. At the business level, the legitimacy of the profit seeking model had been preserved, even if it implied stronger labour regulations. At the macro level, the role of the government expanded drastically to improve workers’ </w:t>
      </w:r>
      <w:r w:rsidRPr="00DE659D">
        <w:rPr>
          <w:noProof/>
          <w:color w:val="000000" w:themeColor="text1"/>
          <w:lang w:eastAsia="fr-BE"/>
        </w:rPr>
        <w:lastRenderedPageBreak/>
        <w:t>quality of life. In this context, economic growth became a shared goal by workers and capitalists. Growth could at the same time increase public revenue, aggregate demand (which benefitted both sides) and mitigate class conflicts (Cassiers and Thiry, 2014). The political model that emerged from institutionalised compromises was social democracy. The reconstruction of Western Europe was hence accompanied by an institutionalisation of the goal of economic growth.</w:t>
      </w:r>
    </w:p>
    <w:p w14:paraId="4B13FC1D" w14:textId="77777777" w:rsidR="00DE659D" w:rsidRPr="00DE659D" w:rsidRDefault="00DE659D" w:rsidP="00DE659D">
      <w:pPr>
        <w:rPr>
          <w:noProof/>
          <w:color w:val="000000" w:themeColor="text1"/>
          <w:lang w:eastAsia="fr-BE"/>
        </w:rPr>
      </w:pPr>
      <w:r w:rsidRPr="00DE659D">
        <w:rPr>
          <w:noProof/>
          <w:color w:val="000000" w:themeColor="text1"/>
          <w:lang w:eastAsia="fr-BE"/>
        </w:rPr>
        <w:t>In terms of indicators, GDP remained the main numerical representation at the macro level, although it has been subject to alteration. From the 1950s onwards, the United States pushed for harmonisation of national accounting in order to distribute Marshall Plan aid, and to determine national contributions to international organisations such as OECE (Schmeltzer, 2016). Moreover, the production of public administration was progressively included in GDP’s calculation during the next decades. At the business level, while the majority of businesses preserved a profit seeking objective, financial indicators were confirmed as central indicators. Institutional compromises and the collaboration between market and public intervention maintained the indicators in use, but modified their substance at the macro level.</w:t>
      </w:r>
    </w:p>
    <w:p w14:paraId="58BBB9C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In summary, GDP and a new wave of financial indicators such as ROI have been developed around the same time, partly for the same reason (the management of Fordism and institutional compromises), and partly for additional reasons (the emergence of an interventionist government). In both cases, the measure of market value was a central objective. At the macro level, it was used in order to stabilise the economic cycle and provide revenue to mitigate class conflict, while at the business level in order to increase productivity and profit. As both businesses and governments were committed to an objective of increased production, GDP and new financial indicators became dominant tools. They had the same target, which was a capitalist/mixed economy (monitored at the business level by financial indicators) with large government intervention (monitored by GDP). This was made possible by the productivity gains from Fordism, also managed with the help of these indicators. Regardless </w:t>
      </w:r>
      <w:r w:rsidRPr="00DE659D">
        <w:rPr>
          <w:noProof/>
          <w:color w:val="000000" w:themeColor="text1"/>
          <w:lang w:val="hu-HU" w:eastAsia="fr-BE"/>
        </w:rPr>
        <w:lastRenderedPageBreak/>
        <w:t xml:space="preserve">of these indicators’ intrinsic characteristics, their success seems to be mainly due to the historical consistency of the objectives they aim to measure. </w:t>
      </w:r>
    </w:p>
    <w:p w14:paraId="34D3E27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In current post-Fordist times, the shared objective of increasing market value still remains, but the role of GDP and financial indicators has been reduced. At the micro level, as Fordist organisation still exists in many industries, traditional financial indicators are still relevant tools for management and evaluation. However, they started being challenged through changes in competition and management practices during the 1980s. Financial indicators have progressively been criticised as being backwards and too general and providing short-term or incorrect incentives. Meanwhile, changes in the nature and intensity of competition (which implied, for instance, strategies of product differenciation instead of mass production) have stressed the need to evaluate non-monetary drivers of success (Ittner and Larcker, 1998). Intangible assets such as market share, customer satisfaction, retention… have therefore been integrated into management control practises. The Balanced Scorecard of Kaplan and Norton (1992) has been a representative indicator of this shift. More recently, social and environmental indicators also became key performance indicators. At the macro level, productivity gains and economic growth have reduced since the 1970s and post-Fordism, and new challenges such as unemployment and competitiveness became critical (Gordon, 2017). Keynesian economics, which made great use of national accounting, have also declined since that time and GDP has been increasingly criticised for its improper account of various economic, social and environmental issues (Gadrey and Jany-Catrice, 2012). GDP is still a central economic indicator, but other measures such as employment rate or competitiveness indicators are also dominant. </w:t>
      </w:r>
    </w:p>
    <w:p w14:paraId="3FA2AAEB" w14:textId="2A7EAF9F" w:rsidR="00DE659D" w:rsidRPr="00DE659D" w:rsidRDefault="00DE659D" w:rsidP="00CE7357">
      <w:pPr>
        <w:pStyle w:val="Titre3"/>
        <w:rPr>
          <w:noProof/>
          <w:lang w:eastAsia="fr-BE"/>
        </w:rPr>
      </w:pPr>
      <w:bookmarkStart w:id="30" w:name="_Toc51512272"/>
      <w:r w:rsidRPr="00DE659D">
        <w:rPr>
          <w:noProof/>
          <w:lang w:eastAsia="fr-BE"/>
        </w:rPr>
        <w:t>Existing links between national and business accounts</w:t>
      </w:r>
      <w:bookmarkEnd w:id="30"/>
    </w:p>
    <w:p w14:paraId="5E83D71B"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In addition to the historical link between GDP and business level indicators, a second element of consistency in traditional accounting consists in the construction of GDP based on business data. GDP, which is the annual economic production of a country evaluated at </w:t>
      </w:r>
      <w:r w:rsidRPr="00DE659D">
        <w:rPr>
          <w:noProof/>
          <w:color w:val="000000" w:themeColor="text1"/>
          <w:lang w:val="hu-HU" w:eastAsia="fr-BE"/>
        </w:rPr>
        <w:lastRenderedPageBreak/>
        <w:t xml:space="preserve">its market value, can be calculated in three ways: the added value of different production units, the total income of economic agents, or the sum of their final expenditures. The calculation of GDP at the production level offers the clearest view of its link with the business level. GDP is calculated as the sum of value added produced in the economy, mainly by business, the remaining being produced by public administrations and, to a lesser extent, by households. Their production is defined in the SNA 2008 as their value added, which is, in the case of business, the difference between their total revenue and intermediate consumption (European Commission et al., 2009). GDP is </w:t>
      </w:r>
      <w:r w:rsidRPr="00DE659D">
        <w:rPr>
          <w:noProof/>
          <w:color w:val="000000" w:themeColor="text1"/>
          <w:lang w:val="en-US" w:eastAsia="fr-BE"/>
        </w:rPr>
        <w:t>thus</w:t>
      </w:r>
      <w:r w:rsidRPr="00DE659D">
        <w:rPr>
          <w:noProof/>
          <w:color w:val="000000" w:themeColor="text1"/>
          <w:lang w:val="hu-HU" w:eastAsia="fr-BE"/>
        </w:rPr>
        <w:t xml:space="preserve"> linked to the value added from numerous micro level agents, among which businesses count for a large part. This accounting link between GDP and business value added highlights the coherence of the pursuit of economic growth by both governments and businesses (i.e. value added growth), even if the concept of value added is not really used in business’ daily management. This consistency is also present in the similarity of national and business account structure and framing. Both use the traditional double-entry bookkeeping principle (Nassimbene, 1954), a common accounting unit (money), and identical basic concepts of economic production, consumption and depreciation. National accounting mirrors the structure of the profit and loss account as well as the balance sheet (note that GDP is a flow and therefore mimics only profit and loss account). </w:t>
      </w:r>
    </w:p>
    <w:p w14:paraId="02E00991" w14:textId="77777777" w:rsidR="00DE659D" w:rsidRPr="00DE659D" w:rsidRDefault="00DE659D" w:rsidP="00DE659D">
      <w:pPr>
        <w:rPr>
          <w:noProof/>
          <w:color w:val="000000" w:themeColor="text1"/>
          <w:lang w:eastAsia="fr-BE"/>
        </w:rPr>
      </w:pPr>
      <w:r w:rsidRPr="00DE659D">
        <w:rPr>
          <w:noProof/>
          <w:color w:val="000000" w:themeColor="text1"/>
          <w:lang w:eastAsia="fr-BE"/>
        </w:rPr>
        <w:t>It should be stressed that this theoretical alignment of macro and micro accounting frameworks has only moderately affected the way GDP is effectively calculated. To show this, we need to understand the practical issues of GDP’s formation. National accountants have two main ways of obtaining data on business production, investment, sales, turnover, purchase of goods and services or acquisition of capital goods…</w:t>
      </w:r>
    </w:p>
    <w:p w14:paraId="67DBC29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Firstly, data is gathered through business surveys. A representative sample of businesses is surveyed to attain information on their activity. This survey method has the advantage of including a large range of information. Moreover, they are framed in national accounting categories, which facilitates GDP calculation. Secondly, </w:t>
      </w:r>
      <w:r w:rsidRPr="00DE659D">
        <w:rPr>
          <w:noProof/>
          <w:color w:val="000000" w:themeColor="text1"/>
          <w:lang w:eastAsia="fr-BE"/>
        </w:rPr>
        <w:lastRenderedPageBreak/>
        <w:t>national accountants make great use of tax returns, or of any other administrative data businesses have to report (</w:t>
      </w:r>
      <w:r w:rsidRPr="00DE659D">
        <w:rPr>
          <w:i/>
          <w:noProof/>
          <w:color w:val="000000" w:themeColor="text1"/>
          <w:lang w:eastAsia="fr-BE"/>
        </w:rPr>
        <w:t>e.g.</w:t>
      </w:r>
      <w:r w:rsidRPr="00DE659D">
        <w:rPr>
          <w:noProof/>
          <w:color w:val="000000" w:themeColor="text1"/>
          <w:lang w:eastAsia="fr-BE"/>
        </w:rPr>
        <w:t xml:space="preserve"> social security contribution). Administrative sources do not provide all the information needed for GDP calculation but provide data with a reasonable quality, broad coverage, rapid availability, and frequent updates. This business data is compiled and adjusted in order to produce numbers for output, intermediate consumption, compensation of employees, taxes and subsidies on production, etc. In the majority of countries, GDP is largely built on these two data sources (surveys and administrative data). </w:t>
      </w:r>
    </w:p>
    <w:p w14:paraId="74C4D633" w14:textId="77777777" w:rsidR="00DE659D" w:rsidRPr="00DE659D" w:rsidRDefault="00DE659D" w:rsidP="00DE659D">
      <w:pPr>
        <w:rPr>
          <w:noProof/>
          <w:color w:val="000000" w:themeColor="text1"/>
          <w:lang w:eastAsia="fr-BE"/>
        </w:rPr>
      </w:pPr>
      <w:r w:rsidRPr="00DE659D">
        <w:rPr>
          <w:noProof/>
          <w:color w:val="000000" w:themeColor="text1"/>
          <w:lang w:eastAsia="fr-BE"/>
        </w:rPr>
        <w:t>One issue in terms of micro-macro articulation is that the concepts used in national accounting and in business accounting are similar but not identical. As accounting has been designed to fit each user’s need, there is a slight difference in accounting conventions at the macro and the business level (Meyer, 1969). One main difference concerns the concept of value: business accounting is mainly based on the evaluation method of ‘historical cost accounting’ (Richard, 2012). It means that a good or an asset will be valued based on the expenditures actually incurred to develop it, even if it was produced long ago</w:t>
      </w:r>
      <w:r w:rsidRPr="00DE659D">
        <w:rPr>
          <w:noProof/>
          <w:color w:val="000000" w:themeColor="text1"/>
          <w:vertAlign w:val="superscript"/>
          <w:lang w:eastAsia="fr-BE"/>
        </w:rPr>
        <w:footnoteReference w:id="11"/>
      </w:r>
      <w:r w:rsidRPr="00DE659D">
        <w:rPr>
          <w:noProof/>
          <w:color w:val="000000" w:themeColor="text1"/>
          <w:lang w:eastAsia="fr-BE"/>
        </w:rPr>
        <w:t>. On the contrary, at the macroeconomic level (SNA 2008), the value of goods and assets is determined by their market value (‘fair value accounting’). Moreover, depreciation calculated for tax purpose at the business level may be arbitrary and not coincide with the macro level measure of consumption of fixed capital. Differences in terms of accounting conventions mean that if we add up all micro level variables, we would not reach the exact macro-level ones.</w:t>
      </w:r>
    </w:p>
    <w:p w14:paraId="3E5A4DFA"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second problem is that due to the multiple types of businesses (financial, non-financial, subject or not to value added tax, large vs small business…) and the practical difficulties of gathering data, business data can be incomplete and estimations or additional surveys must be performed. It is not as simple as one ‘business value added’ variable extracted from a unique source and calculated to </w:t>
      </w:r>
      <w:r w:rsidRPr="00DE659D">
        <w:rPr>
          <w:noProof/>
          <w:color w:val="000000" w:themeColor="text1"/>
          <w:lang w:eastAsia="fr-BE"/>
        </w:rPr>
        <w:lastRenderedPageBreak/>
        <w:t xml:space="preserve">obtain GDP. In terms of indicators, it means that the link between business level indicators and macro level indicators is not straightforward. It only occurs through the whole system of national accounting and is facilitated through intermediary steps to adjust accounting conventions. This does not constitute a problem </w:t>
      </w:r>
      <w:r w:rsidRPr="00DE659D">
        <w:rPr>
          <w:i/>
          <w:noProof/>
          <w:color w:val="000000" w:themeColor="text1"/>
          <w:lang w:eastAsia="fr-BE"/>
        </w:rPr>
        <w:t>per se</w:t>
      </w:r>
      <w:r w:rsidRPr="00DE659D">
        <w:rPr>
          <w:noProof/>
          <w:color w:val="000000" w:themeColor="text1"/>
          <w:lang w:eastAsia="fr-BE"/>
        </w:rPr>
        <w:t>, but undermines the idea of a direct articulation.</w:t>
      </w:r>
    </w:p>
    <w:p w14:paraId="296E3595" w14:textId="77777777" w:rsidR="00DE659D" w:rsidRPr="00DE659D" w:rsidRDefault="00DE659D" w:rsidP="00DE659D">
      <w:pPr>
        <w:rPr>
          <w:noProof/>
          <w:color w:val="000000" w:themeColor="text1"/>
          <w:lang w:eastAsia="fr-BE"/>
        </w:rPr>
      </w:pPr>
      <w:r w:rsidRPr="00DE659D">
        <w:rPr>
          <w:noProof/>
          <w:color w:val="000000" w:themeColor="text1"/>
          <w:lang w:eastAsia="fr-BE"/>
        </w:rPr>
        <w:t>Finally, it should be stressed that the articulation of national and business accounting has rarely been an important topic for accountants or economists. Before the Second World War, linking of business data was a blind spot and its first discussions originated in 1945 (Vanoli, 2005, Comim, 2001 in Walker, 2008). At the beginning, GDP was mainly calculated based on income. The use of business data came years later, in order to increase the reliability of estimates by diversifying data sources. Even in the late 20</w:t>
      </w:r>
      <w:r w:rsidRPr="00DE659D">
        <w:rPr>
          <w:noProof/>
          <w:color w:val="000000" w:themeColor="text1"/>
          <w:vertAlign w:val="superscript"/>
          <w:lang w:eastAsia="fr-BE"/>
        </w:rPr>
        <w:t>th</w:t>
      </w:r>
      <w:r w:rsidRPr="00DE659D">
        <w:rPr>
          <w:noProof/>
          <w:color w:val="000000" w:themeColor="text1"/>
          <w:lang w:eastAsia="fr-BE"/>
        </w:rPr>
        <w:t xml:space="preserve"> century, the absence of business accountants during the establishment of the 1993 SNA / 1994 ESA was a symptom of the lack of collaboration between the two levels (Jones, 2000 in Walker 2008). </w:t>
      </w:r>
    </w:p>
    <w:p w14:paraId="040A4CBB"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Note that, in some countries, the articulation of accounting frameworks is greater, even if the weaknesses mentioned above remain. This is typically the case of French national accounting and the countries it inspired: Belgium, Spain, Peru, Dominican Republic… Since 1967 in France, business accounts have been directly used to build macro level aggregates, on top of surveys and administrative data (Lande, 2000; UNSD, 2000; Vanoli, 2005). In this framework, categories of businesses have to report yearly standardised excerpts from their accounts, combined with their income statement. These are then aggregated at the sector level to build sector accounts. The adjustment from business accounting conventions to national accounting conventions are realised at the sector level. After these adjustments, sectoral data is aggregated to produce national accounts. This way of gathering data provides the strongest link between macro and micro level accounting. On the contrary, it is slow and can be complicated to implement for reasons of confidentially, availability, or delay of data centralisation (UNSD, 2000). </w:t>
      </w:r>
    </w:p>
    <w:p w14:paraId="1A2E4CDF"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In summary, the articulation of GDP and financial indicators is strong in theory, but limited in practise. GDP and financial indicators measure similar elements (value generation), express this measure in a similar way (monetisation, accounting structure), and within a coherent system (managing Fordism, post-Fordism and institutionalised compromises). This permits a systemic coherence: when businesses have good financial performance, it is positively and fully reported in GDP. But the practical articulation of both levels of traditional accounting is not as strong as anticipated: GDP is rarely based directly on business accounts, the aggregation of micro level data can be complex, and it uses accounting concepts similar but not identical to business level ones. This being said, the use of business data in the construction of GDP provides frequent data of reasonably good quality. The two main interests of the articulation of GDP and business indicators are thus systemic coherence, as well as data gathering.</w:t>
      </w:r>
    </w:p>
    <w:p w14:paraId="7D47BD8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Which insights from this analysis of the micro-macro articulation of traditional indicators and accounting can inspire the development of beyond GDP and businesses’ social and environmental indicators? Firstly, it is important to recall that traditional accounting (macro and micro) always struggled with standardisation, as do alternative indicators today. National accounts used to be very different across countries for decades. Harmonisation still gives substantial margins for flexibility and adaptation to local contexts. At the business level, accounting still differs across countries but also across businesses, even if some harmonisation processes have been driven by practise, political will and globalisation (Camfferman and Zeff, 2007). Today, if some standardised data exists, it is because the law imposes it (mostly for tax purpose) or because surveys are financed. This means that advocates of alternative indicators should not be too concerned with standardisation. Differences between accounting frameworks are normal and in most cases necessary. Harmonisation or standardisation will eventually appear in use of indicators if there is a political or a user’s need. </w:t>
      </w:r>
    </w:p>
    <w:p w14:paraId="443FF9C8"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second insight from GDP’s story is that traditional indicators became dominant despite all of their methodological flaws and the </w:t>
      </w:r>
      <w:r w:rsidRPr="00DE659D">
        <w:rPr>
          <w:noProof/>
          <w:color w:val="000000" w:themeColor="text1"/>
          <w:lang w:eastAsia="fr-BE"/>
        </w:rPr>
        <w:lastRenderedPageBreak/>
        <w:t xml:space="preserve">absence of standardisation. The main factor in their success was the success of the goal they helped monitor (the generation of market value), which became central at a point in history. It is thus not the intrinsic technical quality of GDP (which was imperfect) which was deciding, but its context of emergence. In this regard, alternative indicators often point towards a clear goal (a happier and more sustainable society), which is considered crucial by many. This goal has not yet proven to be consistent with the interests of dominant actors at the business or the national level, which could explain the lack of institutionalisation (Whitby et al., 2014). </w:t>
      </w:r>
    </w:p>
    <w:p w14:paraId="655E379C" w14:textId="77777777" w:rsidR="00DE659D" w:rsidRPr="00DE659D" w:rsidRDefault="00DE659D" w:rsidP="00DE659D">
      <w:pPr>
        <w:rPr>
          <w:noProof/>
          <w:color w:val="000000" w:themeColor="text1"/>
          <w:lang w:eastAsia="fr-BE"/>
        </w:rPr>
      </w:pPr>
      <w:r w:rsidRPr="00DE659D">
        <w:rPr>
          <w:noProof/>
          <w:color w:val="000000" w:themeColor="text1"/>
          <w:lang w:eastAsia="fr-BE"/>
        </w:rPr>
        <w:t>Thirdly, this means that the role of accountants and scholars working on indicators is limited in explaining their success. They can hardly generate phenomena such as Fordism or institutional compromises, which originate from other sources. In the history of the articulation of national and business accounting, what could be influenced by such actors was the adoption of similar concepts and accounting principles and the formation of GDP from business data. Scholars working on a better articulation of alternative indicators at both levels should then work on such elements, that is, the concepts used at the business and the macro level, as well as the articulation of data collection. Changing businesses’ priorities and the articulation of business and government action will ultimately be defined by social and political actors, such as trade unions, employers’ federations, activists or political parties.</w:t>
      </w:r>
    </w:p>
    <w:p w14:paraId="6A884039" w14:textId="0F5A3F10" w:rsidR="00DE659D" w:rsidRPr="00DE659D" w:rsidRDefault="00DE659D" w:rsidP="00DE659D">
      <w:pPr>
        <w:pStyle w:val="Titre2"/>
        <w:rPr>
          <w:noProof/>
          <w:lang w:val="en-US" w:eastAsia="fr-BE"/>
        </w:rPr>
      </w:pPr>
      <w:bookmarkStart w:id="31" w:name="_Toc51512273"/>
      <w:r w:rsidRPr="00DE659D">
        <w:rPr>
          <w:noProof/>
          <w:lang w:val="en-US" w:eastAsia="fr-BE"/>
        </w:rPr>
        <w:t>What is the articulation between Beyond GDP and businesses’ social and environmental indicators?</w:t>
      </w:r>
      <w:bookmarkEnd w:id="31"/>
    </w:p>
    <w:p w14:paraId="0814C1C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Beyond GDP and businesses’ social and environmental indicators share the same context of emergence. The trespassing of planet boundaries (Steffen et al., 2015), the rise of inequalities in OECD countries (Piketty, 2014; Brian, 2015) and other burning issues caused a growing interest in social and environmental change. Both governments and businesses developed such measures, driven by intrinsic motivation or by external pressure. Despite this similar context of emergence, most beyond GDP and businesses’ social and environmental indicators have been created without any link between </w:t>
      </w:r>
      <w:r w:rsidRPr="00DE659D">
        <w:rPr>
          <w:noProof/>
          <w:color w:val="000000" w:themeColor="text1"/>
          <w:lang w:eastAsia="fr-BE"/>
        </w:rPr>
        <w:lastRenderedPageBreak/>
        <w:t>them. If traditional indicators improved their consistency and their data gathering through articulation, it is worth observing the potential for alternative indicators to do so as well.</w:t>
      </w:r>
    </w:p>
    <w:p w14:paraId="1F5A6E19"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Recent developments provided examples of attempts to articulate beyond GDP and businesses’ social and environmental indicators. Bearing in mind insight from the history of traditional indicators, we analyse two of these attempts in this section, carried out around Gross National Happiness (GNH) and Sustainable Development Goals (SDGs). The objective of this analysis is to highlight the specific type of articulation that can exist between alternative indicators at both levels. </w:t>
      </w:r>
    </w:p>
    <w:p w14:paraId="6B3E6C27" w14:textId="77777777" w:rsidR="00DE659D" w:rsidRPr="00DE659D" w:rsidRDefault="00DE659D" w:rsidP="00DE659D">
      <w:pPr>
        <w:rPr>
          <w:noProof/>
          <w:color w:val="000000" w:themeColor="text1"/>
          <w:lang w:eastAsia="fr-BE"/>
        </w:rPr>
      </w:pPr>
      <w:r w:rsidRPr="00DE659D">
        <w:rPr>
          <w:noProof/>
          <w:color w:val="000000" w:themeColor="text1"/>
          <w:lang w:eastAsia="fr-BE"/>
        </w:rPr>
        <w:t>The first attempt to articulate beyond GDP and businesses’ social and environmental indicators appears to have been realised by the Wuppertal Institute in 1998 (Spangenberg and Bonniot, 1998). They proposed a Corporate Human Development Index (CHDI), inspired by UN’s Human Development Index (Ul Haq, 1995). This indicator is mentioned for historical purposes only, as no evidence was found of its use by businesses. As it follows the same logic as the two others, it will not be discussed.</w:t>
      </w:r>
    </w:p>
    <w:p w14:paraId="54C8016A" w14:textId="1E659630" w:rsidR="00DE659D" w:rsidRPr="00DE659D" w:rsidRDefault="00DE659D" w:rsidP="00CE7357">
      <w:pPr>
        <w:pStyle w:val="Titre3"/>
        <w:rPr>
          <w:noProof/>
          <w:lang w:eastAsia="fr-BE"/>
        </w:rPr>
      </w:pPr>
      <w:bookmarkStart w:id="32" w:name="_Toc51512274"/>
      <w:r w:rsidRPr="00DE659D">
        <w:rPr>
          <w:noProof/>
          <w:lang w:eastAsia="fr-BE"/>
        </w:rPr>
        <w:t>Gross National Happiness</w:t>
      </w:r>
      <w:bookmarkEnd w:id="32"/>
      <w:r w:rsidRPr="00DE659D">
        <w:rPr>
          <w:noProof/>
          <w:lang w:eastAsia="fr-BE"/>
        </w:rPr>
        <w:t xml:space="preserve"> </w:t>
      </w:r>
    </w:p>
    <w:p w14:paraId="17EB130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second attempt of macro-micro articulation of indicators was executed by the Center for Bhutan Studies (CBS). The country of Bhutan has a long history of implementing public policy with regard to the search for happiness. During the 2000s, the government decided to develop an index to help monitor this goal. In 2010, CBS released the Gross National Happiness Index (GNH), with the goal of measuring the progress of the country towards the societal foundations of happiness (Ura </w:t>
      </w:r>
      <w:r w:rsidRPr="00DE659D">
        <w:rPr>
          <w:i/>
          <w:noProof/>
          <w:color w:val="000000" w:themeColor="text1"/>
          <w:lang w:eastAsia="fr-BE"/>
        </w:rPr>
        <w:t>et al.</w:t>
      </w:r>
      <w:r w:rsidRPr="00DE659D">
        <w:rPr>
          <w:noProof/>
          <w:color w:val="000000" w:themeColor="text1"/>
          <w:lang w:eastAsia="fr-BE"/>
        </w:rPr>
        <w:t xml:space="preserve">, 2012). The GNH index measures performance in nine domains considered to be core aspects of happiness: psychological well-being, health, time use, education, cultural diversity and resilience, good governance, community vitality, ecological diversity and resilience, and living standards. These domains are subdivided in 33 indicators, based on 124 variables. The domains and indicators are aggregated into one single figure using a modified version of the Alkire-Foster method (Alkire and Foster, </w:t>
      </w:r>
      <w:r w:rsidRPr="00DE659D">
        <w:rPr>
          <w:noProof/>
          <w:color w:val="000000" w:themeColor="text1"/>
          <w:lang w:eastAsia="fr-BE"/>
        </w:rPr>
        <w:lastRenderedPageBreak/>
        <w:t xml:space="preserve">2011). The index therefore allows observation of the evolution of each domain in the global GNH index as well as the thirty-three indicators. </w:t>
      </w:r>
    </w:p>
    <w:p w14:paraId="3046C7D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interest in Bhutan’s GNH is to include a GNH indicator for businesses. In 2017, CBS developed a ‘GNH of Business’ which is a reporting tool meant to be the micro level counterpart of the GNH index (Zangmo </w:t>
      </w:r>
      <w:r w:rsidRPr="00DE659D">
        <w:rPr>
          <w:i/>
          <w:noProof/>
          <w:color w:val="000000" w:themeColor="text1"/>
          <w:lang w:eastAsia="fr-BE"/>
        </w:rPr>
        <w:t>et al</w:t>
      </w:r>
      <w:r w:rsidRPr="00DE659D">
        <w:rPr>
          <w:noProof/>
          <w:color w:val="000000" w:themeColor="text1"/>
          <w:lang w:eastAsia="fr-BE"/>
        </w:rPr>
        <w:t xml:space="preserve">., 2017; Wangdi et </w:t>
      </w:r>
      <w:r w:rsidRPr="00DE659D">
        <w:rPr>
          <w:i/>
          <w:noProof/>
          <w:color w:val="000000" w:themeColor="text1"/>
          <w:lang w:eastAsia="fr-BE"/>
        </w:rPr>
        <w:t>al</w:t>
      </w:r>
      <w:r w:rsidRPr="00DE659D">
        <w:rPr>
          <w:noProof/>
          <w:color w:val="000000" w:themeColor="text1"/>
          <w:lang w:eastAsia="fr-BE"/>
        </w:rPr>
        <w:t>., 2018). This tool can be used voluntarily by businesses in order to integrate GNH values into their operations. A good score leads to obtaining a certification, which could be accompanied in the future by government-provided benefits, such as tax cuts or access to public procurements. The main element of concern is that the micro level indicator is based on the same nine domains as the macro level GNH index, as it is shown in Figure 1.</w:t>
      </w:r>
    </w:p>
    <w:p w14:paraId="266E69F0" w14:textId="77777777" w:rsidR="00DE659D" w:rsidRPr="00DE659D" w:rsidRDefault="00DE659D" w:rsidP="00DE659D">
      <w:pPr>
        <w:rPr>
          <w:noProof/>
          <w:color w:val="000000" w:themeColor="text1"/>
          <w:lang w:eastAsia="fr-BE"/>
        </w:rPr>
      </w:pPr>
    </w:p>
    <w:p w14:paraId="74E2F14E" w14:textId="77777777" w:rsidR="00DE659D" w:rsidRPr="00DE659D" w:rsidRDefault="00DE659D" w:rsidP="00DE659D">
      <w:pPr>
        <w:rPr>
          <w:noProof/>
          <w:color w:val="000000" w:themeColor="text1"/>
          <w:lang w:eastAsia="fr-BE"/>
        </w:rPr>
      </w:pPr>
      <w:r w:rsidRPr="00DE659D">
        <w:rPr>
          <w:noProof/>
          <w:color w:val="000000" w:themeColor="text1"/>
          <w:lang w:eastAsia="fr-BE"/>
        </w:rPr>
        <w:t>Figure 1. Common domains of the GNH index and GNH of Business.</w:t>
      </w:r>
    </w:p>
    <w:p w14:paraId="4150245D" w14:textId="77777777" w:rsidR="00DE659D" w:rsidRPr="00DE659D" w:rsidRDefault="00DE659D" w:rsidP="008F46DD">
      <w:pPr>
        <w:jc w:val="center"/>
        <w:rPr>
          <w:noProof/>
          <w:color w:val="000000" w:themeColor="text1"/>
          <w:lang w:eastAsia="fr-BE"/>
        </w:rPr>
      </w:pPr>
      <w:r w:rsidRPr="00DE659D">
        <w:rPr>
          <w:noProof/>
          <w:color w:val="000000" w:themeColor="text1"/>
          <w:lang w:val="fr-BE" w:eastAsia="fr-BE"/>
        </w:rPr>
        <w:drawing>
          <wp:inline distT="0" distB="0" distL="0" distR="0" wp14:anchorId="42F96196" wp14:editId="74218FFB">
            <wp:extent cx="3182874" cy="31242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495" t="1781" r="-202" b="2053"/>
                    <a:stretch/>
                  </pic:blipFill>
                  <pic:spPr bwMode="auto">
                    <a:xfrm>
                      <a:off x="0" y="0"/>
                      <a:ext cx="3200364" cy="3141368"/>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ve="http://schemas.openxmlformats.org/markup-compatibility/2006" xmlns:arto="http://schemas.microsoft.com/office/word/2006/arto"/>
                      </a:ext>
                    </a:extLst>
                  </pic:spPr>
                </pic:pic>
              </a:graphicData>
            </a:graphic>
          </wp:inline>
        </w:drawing>
      </w:r>
    </w:p>
    <w:p w14:paraId="3A8FD455" w14:textId="77777777" w:rsidR="00DE659D" w:rsidRPr="008F46DD" w:rsidRDefault="00DE659D" w:rsidP="008F46DD">
      <w:pPr>
        <w:jc w:val="center"/>
        <w:rPr>
          <w:noProof/>
          <w:color w:val="000000" w:themeColor="text1"/>
          <w:sz w:val="24"/>
          <w:lang w:eastAsia="fr-BE"/>
        </w:rPr>
      </w:pPr>
      <w:r w:rsidRPr="008F46DD">
        <w:rPr>
          <w:noProof/>
          <w:color w:val="000000" w:themeColor="text1"/>
          <w:sz w:val="24"/>
          <w:lang w:eastAsia="fr-BE"/>
        </w:rPr>
        <w:t xml:space="preserve">Source: Zangmo </w:t>
      </w:r>
      <w:r w:rsidRPr="008F46DD">
        <w:rPr>
          <w:i/>
          <w:noProof/>
          <w:color w:val="000000" w:themeColor="text1"/>
          <w:sz w:val="24"/>
          <w:lang w:eastAsia="fr-BE"/>
        </w:rPr>
        <w:t>et al.</w:t>
      </w:r>
      <w:r w:rsidRPr="008F46DD">
        <w:rPr>
          <w:noProof/>
          <w:color w:val="000000" w:themeColor="text1"/>
          <w:sz w:val="24"/>
          <w:lang w:eastAsia="fr-BE"/>
        </w:rPr>
        <w:t xml:space="preserve"> (2017)</w:t>
      </w:r>
    </w:p>
    <w:p w14:paraId="3AD1A4D5" w14:textId="77777777" w:rsidR="00DE659D" w:rsidRPr="00DE659D" w:rsidRDefault="00DE659D" w:rsidP="00DE659D">
      <w:pPr>
        <w:rPr>
          <w:noProof/>
          <w:color w:val="000000" w:themeColor="text1"/>
          <w:lang w:eastAsia="fr-BE"/>
        </w:rPr>
      </w:pPr>
    </w:p>
    <w:p w14:paraId="17AD650F"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 xml:space="preserve">The aggregation method based on a modified Alkire-Foster method is also identical to the one used at the macro level. The main difference is that the nine domains are subdivided into 49 indicators (instead of 33), based on 216 variables (instead of 124), considered more relevant at the corporate level by CBS. The value of the single final number of both indicators also has a different meaning. On the macro level, it is used to observe the percentage of the population which can be considered happy (according to various degrees of happiness). At the business level, it is used to determine whether or not the business can be certified as really contributing to GNH. </w:t>
      </w:r>
    </w:p>
    <w:p w14:paraId="720AB694" w14:textId="5C78E8DE" w:rsidR="00DE659D" w:rsidRPr="00DE659D" w:rsidRDefault="00DE659D" w:rsidP="00DE659D">
      <w:pPr>
        <w:rPr>
          <w:noProof/>
          <w:color w:val="000000" w:themeColor="text1"/>
          <w:lang w:eastAsia="fr-BE"/>
        </w:rPr>
      </w:pPr>
      <w:r w:rsidRPr="00DE659D">
        <w:rPr>
          <w:noProof/>
          <w:color w:val="000000" w:themeColor="text1"/>
          <w:lang w:eastAsia="fr-BE"/>
        </w:rPr>
        <w:t xml:space="preserve">Having a closer look at the domains reveals that even if domains are similar, the precise measures they encompass are not necessarily related. Table </w:t>
      </w:r>
      <w:r w:rsidR="008F46DD">
        <w:rPr>
          <w:noProof/>
          <w:color w:val="000000" w:themeColor="text1"/>
          <w:lang w:eastAsia="fr-BE"/>
        </w:rPr>
        <w:t>1</w:t>
      </w:r>
      <w:r w:rsidRPr="00DE659D">
        <w:rPr>
          <w:noProof/>
          <w:color w:val="000000" w:themeColor="text1"/>
          <w:lang w:eastAsia="fr-BE"/>
        </w:rPr>
        <w:t xml:space="preserve"> shows this for the domains Ecological Diversity And Resilience and Living Standards. Note that the previous comment can be generalised to all nine domains.</w:t>
      </w:r>
    </w:p>
    <w:p w14:paraId="6C8539CE" w14:textId="77777777" w:rsidR="00DE659D" w:rsidRPr="00DE659D" w:rsidRDefault="00DE659D" w:rsidP="00DE659D">
      <w:pPr>
        <w:rPr>
          <w:noProof/>
          <w:color w:val="000000" w:themeColor="text1"/>
          <w:lang w:val="hu-HU" w:eastAsia="fr-BE"/>
        </w:rPr>
      </w:pPr>
    </w:p>
    <w:p w14:paraId="4E077997" w14:textId="4ABE2D3E" w:rsidR="00DE659D" w:rsidRPr="00DE659D" w:rsidRDefault="00DE659D" w:rsidP="00DE659D">
      <w:pPr>
        <w:rPr>
          <w:noProof/>
          <w:color w:val="000000" w:themeColor="text1"/>
          <w:lang w:val="en-US" w:eastAsia="fr-BE"/>
        </w:rPr>
      </w:pPr>
      <w:r w:rsidRPr="00DE659D">
        <w:rPr>
          <w:noProof/>
          <w:color w:val="000000" w:themeColor="text1"/>
          <w:lang w:val="hu-HU" w:eastAsia="fr-BE"/>
        </w:rPr>
        <w:t xml:space="preserve"> </w:t>
      </w:r>
      <w:r w:rsidRPr="00DE659D">
        <w:rPr>
          <w:noProof/>
          <w:color w:val="000000" w:themeColor="text1"/>
          <w:lang w:val="en-US" w:eastAsia="fr-BE"/>
        </w:rPr>
        <w:t xml:space="preserve">Table </w:t>
      </w:r>
      <w:r w:rsidR="008F46DD">
        <w:rPr>
          <w:noProof/>
          <w:color w:val="000000" w:themeColor="text1"/>
          <w:lang w:val="en-US" w:eastAsia="fr-BE"/>
        </w:rPr>
        <w:t>1</w:t>
      </w:r>
      <w:r w:rsidRPr="00DE659D">
        <w:rPr>
          <w:noProof/>
          <w:color w:val="000000" w:themeColor="text1"/>
          <w:lang w:val="en-US" w:eastAsia="fr-BE"/>
        </w:rPr>
        <w:t>. Two domains of GNH Index and GNH of business</w:t>
      </w:r>
    </w:p>
    <w:tbl>
      <w:tblPr>
        <w:tblStyle w:val="TableauGrille1Clair-Accentuation31"/>
        <w:tblW w:w="7938" w:type="dxa"/>
        <w:tblInd w:w="-572" w:type="dxa"/>
        <w:tblLayout w:type="fixed"/>
        <w:tblLook w:val="04A0" w:firstRow="1" w:lastRow="0" w:firstColumn="1" w:lastColumn="0" w:noHBand="0" w:noVBand="1"/>
      </w:tblPr>
      <w:tblGrid>
        <w:gridCol w:w="846"/>
        <w:gridCol w:w="3558"/>
        <w:gridCol w:w="3534"/>
      </w:tblGrid>
      <w:tr w:rsidR="00DE659D" w:rsidRPr="008F46DD" w14:paraId="3A23D803" w14:textId="77777777" w:rsidTr="00DE659D">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846" w:type="dxa"/>
            <w:textDirection w:val="btLr"/>
          </w:tcPr>
          <w:p w14:paraId="0FD0631C" w14:textId="77777777" w:rsidR="00DE659D" w:rsidRPr="008F46DD" w:rsidRDefault="00DE659D" w:rsidP="00DE659D">
            <w:pPr>
              <w:spacing w:after="160"/>
              <w:rPr>
                <w:noProof/>
                <w:color w:val="000000" w:themeColor="text1"/>
                <w:sz w:val="24"/>
                <w:lang w:val="en-US" w:eastAsia="fr-BE"/>
              </w:rPr>
            </w:pPr>
          </w:p>
        </w:tc>
        <w:tc>
          <w:tcPr>
            <w:tcW w:w="3558" w:type="dxa"/>
          </w:tcPr>
          <w:p w14:paraId="4876E710" w14:textId="77777777" w:rsidR="00DE659D" w:rsidRPr="008F46DD" w:rsidRDefault="00DE659D" w:rsidP="00DE659D">
            <w:pPr>
              <w:spacing w:after="16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GNH Index indicators</w:t>
            </w:r>
          </w:p>
        </w:tc>
        <w:tc>
          <w:tcPr>
            <w:tcW w:w="3534" w:type="dxa"/>
          </w:tcPr>
          <w:p w14:paraId="148B2C01" w14:textId="77777777" w:rsidR="00DE659D" w:rsidRPr="008F46DD" w:rsidRDefault="00DE659D" w:rsidP="00DE659D">
            <w:pPr>
              <w:spacing w:after="16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GNH of business indicators</w:t>
            </w:r>
          </w:p>
        </w:tc>
      </w:tr>
      <w:tr w:rsidR="00DE659D" w:rsidRPr="008F46DD" w14:paraId="1137C9EE"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0C22C708" w14:textId="77777777" w:rsidR="00DE659D" w:rsidRPr="008F46DD" w:rsidRDefault="00DE659D" w:rsidP="00DE659D">
            <w:pPr>
              <w:spacing w:after="160"/>
              <w:rPr>
                <w:noProof/>
                <w:color w:val="000000" w:themeColor="text1"/>
                <w:sz w:val="24"/>
                <w:lang w:val="en-US" w:eastAsia="fr-BE"/>
              </w:rPr>
            </w:pPr>
            <w:r w:rsidRPr="008F46DD">
              <w:rPr>
                <w:noProof/>
                <w:color w:val="000000" w:themeColor="text1"/>
                <w:sz w:val="24"/>
                <w:lang w:val="en-US" w:eastAsia="fr-BE"/>
              </w:rPr>
              <w:t>Ecological diversity</w:t>
            </w:r>
          </w:p>
        </w:tc>
        <w:tc>
          <w:tcPr>
            <w:tcW w:w="3558" w:type="dxa"/>
            <w:tcBorders>
              <w:top w:val="single" w:sz="12" w:space="0" w:color="C9C9C9" w:themeColor="accent3" w:themeTint="99"/>
            </w:tcBorders>
          </w:tcPr>
          <w:p w14:paraId="2D3A2C83"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Perceived ecological issues</w:t>
            </w:r>
          </w:p>
        </w:tc>
        <w:tc>
          <w:tcPr>
            <w:tcW w:w="3534" w:type="dxa"/>
            <w:tcBorders>
              <w:top w:val="single" w:sz="12" w:space="0" w:color="C9C9C9" w:themeColor="accent3" w:themeTint="99"/>
            </w:tcBorders>
          </w:tcPr>
          <w:p w14:paraId="2BCA76AE"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Emission assessment</w:t>
            </w:r>
          </w:p>
        </w:tc>
      </w:tr>
      <w:tr w:rsidR="00DE659D" w:rsidRPr="008F46DD" w14:paraId="5E46B0C6"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244A6556" w14:textId="77777777" w:rsidR="00DE659D" w:rsidRPr="008F46DD" w:rsidRDefault="00DE659D" w:rsidP="00DE659D">
            <w:pPr>
              <w:spacing w:after="160"/>
              <w:rPr>
                <w:noProof/>
                <w:color w:val="000000" w:themeColor="text1"/>
                <w:sz w:val="24"/>
                <w:lang w:val="en-US" w:eastAsia="fr-BE"/>
              </w:rPr>
            </w:pPr>
          </w:p>
        </w:tc>
        <w:tc>
          <w:tcPr>
            <w:tcW w:w="3558" w:type="dxa"/>
          </w:tcPr>
          <w:p w14:paraId="551E5EB8"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Feeling of responsibility towards the environment</w:t>
            </w:r>
          </w:p>
        </w:tc>
        <w:tc>
          <w:tcPr>
            <w:tcW w:w="3534" w:type="dxa"/>
          </w:tcPr>
          <w:p w14:paraId="0924A7D1"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Solid waste assessment</w:t>
            </w:r>
          </w:p>
        </w:tc>
      </w:tr>
      <w:tr w:rsidR="00DE659D" w:rsidRPr="008F46DD" w14:paraId="1287F8A3"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58F89071" w14:textId="77777777" w:rsidR="00DE659D" w:rsidRPr="008F46DD" w:rsidRDefault="00DE659D" w:rsidP="00DE659D">
            <w:pPr>
              <w:spacing w:after="160"/>
              <w:rPr>
                <w:noProof/>
                <w:color w:val="000000" w:themeColor="text1"/>
                <w:sz w:val="24"/>
                <w:lang w:val="en-US" w:eastAsia="fr-BE"/>
              </w:rPr>
            </w:pPr>
          </w:p>
        </w:tc>
        <w:tc>
          <w:tcPr>
            <w:tcW w:w="3558" w:type="dxa"/>
          </w:tcPr>
          <w:p w14:paraId="52CA2A33"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Wildlife damage</w:t>
            </w:r>
          </w:p>
        </w:tc>
        <w:tc>
          <w:tcPr>
            <w:tcW w:w="3534" w:type="dxa"/>
          </w:tcPr>
          <w:p w14:paraId="30C1B6A0"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Environmental volunteerism</w:t>
            </w:r>
          </w:p>
        </w:tc>
      </w:tr>
      <w:tr w:rsidR="00DE659D" w:rsidRPr="008F46DD" w14:paraId="23F61A45"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055A36E5" w14:textId="77777777" w:rsidR="00DE659D" w:rsidRPr="008F46DD" w:rsidRDefault="00DE659D" w:rsidP="00DE659D">
            <w:pPr>
              <w:spacing w:after="160"/>
              <w:rPr>
                <w:noProof/>
                <w:color w:val="000000" w:themeColor="text1"/>
                <w:sz w:val="24"/>
                <w:lang w:val="en-US" w:eastAsia="fr-BE"/>
              </w:rPr>
            </w:pPr>
          </w:p>
        </w:tc>
        <w:tc>
          <w:tcPr>
            <w:tcW w:w="3558" w:type="dxa"/>
          </w:tcPr>
          <w:p w14:paraId="70F8B313"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Urbanisation issues</w:t>
            </w:r>
          </w:p>
        </w:tc>
        <w:tc>
          <w:tcPr>
            <w:tcW w:w="3534" w:type="dxa"/>
          </w:tcPr>
          <w:p w14:paraId="0FFACF7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Environmental donation</w:t>
            </w:r>
          </w:p>
        </w:tc>
      </w:tr>
      <w:tr w:rsidR="00DE659D" w:rsidRPr="008F46DD" w14:paraId="507E1424"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Borders>
              <w:bottom w:val="single" w:sz="12" w:space="0" w:color="C9C9C9" w:themeColor="accent3" w:themeTint="99"/>
            </w:tcBorders>
            <w:textDirection w:val="btLr"/>
          </w:tcPr>
          <w:p w14:paraId="335A7D38" w14:textId="77777777" w:rsidR="00DE659D" w:rsidRPr="008F46DD" w:rsidRDefault="00DE659D" w:rsidP="00DE659D">
            <w:pPr>
              <w:spacing w:after="160"/>
              <w:rPr>
                <w:noProof/>
                <w:color w:val="000000" w:themeColor="text1"/>
                <w:sz w:val="24"/>
                <w:lang w:val="en-US" w:eastAsia="fr-BE"/>
              </w:rPr>
            </w:pPr>
          </w:p>
        </w:tc>
        <w:tc>
          <w:tcPr>
            <w:tcW w:w="3558" w:type="dxa"/>
            <w:tcBorders>
              <w:bottom w:val="single" w:sz="12" w:space="0" w:color="C9C9C9" w:themeColor="accent3" w:themeTint="99"/>
            </w:tcBorders>
          </w:tcPr>
          <w:p w14:paraId="31829101"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3534" w:type="dxa"/>
            <w:tcBorders>
              <w:bottom w:val="single" w:sz="12" w:space="0" w:color="C9C9C9" w:themeColor="accent3" w:themeTint="99"/>
            </w:tcBorders>
          </w:tcPr>
          <w:p w14:paraId="7901AE06"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Eco-products and services</w:t>
            </w:r>
          </w:p>
        </w:tc>
      </w:tr>
      <w:tr w:rsidR="00DE659D" w:rsidRPr="008F46DD" w14:paraId="2C24AE52"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0FD77B94" w14:textId="77777777" w:rsidR="00DE659D" w:rsidRPr="008F46DD" w:rsidRDefault="00DE659D" w:rsidP="00DE659D">
            <w:pPr>
              <w:spacing w:after="160"/>
              <w:rPr>
                <w:noProof/>
                <w:color w:val="000000" w:themeColor="text1"/>
                <w:sz w:val="24"/>
                <w:lang w:val="en-US" w:eastAsia="fr-BE"/>
              </w:rPr>
            </w:pPr>
            <w:r w:rsidRPr="008F46DD">
              <w:rPr>
                <w:noProof/>
                <w:color w:val="000000" w:themeColor="text1"/>
                <w:sz w:val="24"/>
                <w:lang w:val="en-US" w:eastAsia="fr-BE"/>
              </w:rPr>
              <w:t>Living standards</w:t>
            </w:r>
          </w:p>
        </w:tc>
        <w:tc>
          <w:tcPr>
            <w:tcW w:w="3558" w:type="dxa"/>
            <w:tcBorders>
              <w:top w:val="single" w:sz="12" w:space="0" w:color="C9C9C9" w:themeColor="accent3" w:themeTint="99"/>
            </w:tcBorders>
          </w:tcPr>
          <w:p w14:paraId="58AC8FB7"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Household income</w:t>
            </w:r>
          </w:p>
        </w:tc>
        <w:tc>
          <w:tcPr>
            <w:tcW w:w="3534" w:type="dxa"/>
            <w:tcBorders>
              <w:top w:val="single" w:sz="12" w:space="0" w:color="C9C9C9" w:themeColor="accent3" w:themeTint="99"/>
            </w:tcBorders>
          </w:tcPr>
          <w:p w14:paraId="6F124D1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Pay and allowances</w:t>
            </w:r>
          </w:p>
        </w:tc>
      </w:tr>
      <w:tr w:rsidR="00DE659D" w:rsidRPr="008F46DD" w14:paraId="0B1CDDA1"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16404B8B" w14:textId="77777777" w:rsidR="00DE659D" w:rsidRPr="008F46DD" w:rsidRDefault="00DE659D" w:rsidP="00DE659D">
            <w:pPr>
              <w:spacing w:after="160"/>
              <w:rPr>
                <w:noProof/>
                <w:color w:val="000000" w:themeColor="text1"/>
                <w:sz w:val="24"/>
                <w:lang w:val="en-US" w:eastAsia="fr-BE"/>
              </w:rPr>
            </w:pPr>
          </w:p>
        </w:tc>
        <w:tc>
          <w:tcPr>
            <w:tcW w:w="3558" w:type="dxa"/>
          </w:tcPr>
          <w:p w14:paraId="3B9EDF7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Assets</w:t>
            </w:r>
          </w:p>
        </w:tc>
        <w:tc>
          <w:tcPr>
            <w:tcW w:w="3534" w:type="dxa"/>
          </w:tcPr>
          <w:p w14:paraId="58F005D7"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Workers’ satisfaction with pay</w:t>
            </w:r>
          </w:p>
        </w:tc>
      </w:tr>
      <w:tr w:rsidR="00DE659D" w:rsidRPr="008F46DD" w14:paraId="02E2F8D1"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6D6F18C4" w14:textId="77777777" w:rsidR="00DE659D" w:rsidRPr="008F46DD" w:rsidRDefault="00DE659D" w:rsidP="00DE659D">
            <w:pPr>
              <w:spacing w:after="160"/>
              <w:rPr>
                <w:noProof/>
                <w:color w:val="000000" w:themeColor="text1"/>
                <w:sz w:val="24"/>
                <w:lang w:val="en-US" w:eastAsia="fr-BE"/>
              </w:rPr>
            </w:pPr>
          </w:p>
        </w:tc>
        <w:tc>
          <w:tcPr>
            <w:tcW w:w="3558" w:type="dxa"/>
          </w:tcPr>
          <w:p w14:paraId="5A1608A5"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Housing quality</w:t>
            </w:r>
          </w:p>
        </w:tc>
        <w:tc>
          <w:tcPr>
            <w:tcW w:w="3534" w:type="dxa"/>
          </w:tcPr>
          <w:p w14:paraId="1A567C15"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Retirement benefits</w:t>
            </w:r>
          </w:p>
        </w:tc>
      </w:tr>
      <w:tr w:rsidR="00DE659D" w:rsidRPr="008F46DD" w14:paraId="514EF115"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58700C77" w14:textId="77777777" w:rsidR="00DE659D" w:rsidRPr="008F46DD" w:rsidRDefault="00DE659D" w:rsidP="00DE659D">
            <w:pPr>
              <w:spacing w:after="160"/>
              <w:rPr>
                <w:noProof/>
                <w:color w:val="000000" w:themeColor="text1"/>
                <w:sz w:val="24"/>
                <w:lang w:val="en-US" w:eastAsia="fr-BE"/>
              </w:rPr>
            </w:pPr>
          </w:p>
        </w:tc>
        <w:tc>
          <w:tcPr>
            <w:tcW w:w="3558" w:type="dxa"/>
          </w:tcPr>
          <w:p w14:paraId="5D9B2751"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3534" w:type="dxa"/>
          </w:tcPr>
          <w:p w14:paraId="24404976"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Paid leave</w:t>
            </w:r>
          </w:p>
        </w:tc>
      </w:tr>
      <w:tr w:rsidR="00DE659D" w:rsidRPr="008F46DD" w14:paraId="7580F382"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5C839BD4" w14:textId="77777777" w:rsidR="00DE659D" w:rsidRPr="008F46DD" w:rsidRDefault="00DE659D" w:rsidP="00DE659D">
            <w:pPr>
              <w:spacing w:after="160"/>
              <w:rPr>
                <w:noProof/>
                <w:color w:val="000000" w:themeColor="text1"/>
                <w:sz w:val="24"/>
                <w:lang w:val="en-US" w:eastAsia="fr-BE"/>
              </w:rPr>
            </w:pPr>
          </w:p>
        </w:tc>
        <w:tc>
          <w:tcPr>
            <w:tcW w:w="3558" w:type="dxa"/>
          </w:tcPr>
          <w:p w14:paraId="3FFDEEC1"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3534" w:type="dxa"/>
          </w:tcPr>
          <w:p w14:paraId="0BBD3AAF"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Fringe benefits</w:t>
            </w:r>
          </w:p>
        </w:tc>
      </w:tr>
    </w:tbl>
    <w:p w14:paraId="6F0ABB4F" w14:textId="77777777" w:rsidR="00DE659D" w:rsidRPr="008F46DD" w:rsidRDefault="00DE659D" w:rsidP="00DE659D">
      <w:pPr>
        <w:rPr>
          <w:noProof/>
          <w:color w:val="000000" w:themeColor="text1"/>
          <w:sz w:val="24"/>
          <w:lang w:val="hu-HU" w:eastAsia="fr-BE"/>
        </w:rPr>
      </w:pPr>
      <w:r w:rsidRPr="008F46DD">
        <w:rPr>
          <w:noProof/>
          <w:color w:val="000000" w:themeColor="text1"/>
          <w:sz w:val="24"/>
          <w:lang w:val="hu-HU" w:eastAsia="fr-BE"/>
        </w:rPr>
        <w:t xml:space="preserve">Sources: Ura </w:t>
      </w:r>
      <w:r w:rsidRPr="008F46DD">
        <w:rPr>
          <w:i/>
          <w:noProof/>
          <w:color w:val="000000" w:themeColor="text1"/>
          <w:sz w:val="24"/>
          <w:lang w:val="hu-HU" w:eastAsia="fr-BE"/>
        </w:rPr>
        <w:t>et al.</w:t>
      </w:r>
      <w:r w:rsidRPr="008F46DD">
        <w:rPr>
          <w:noProof/>
          <w:color w:val="000000" w:themeColor="text1"/>
          <w:sz w:val="24"/>
          <w:lang w:val="hu-HU" w:eastAsia="fr-BE"/>
        </w:rPr>
        <w:t xml:space="preserve"> (2012), Zangmo </w:t>
      </w:r>
      <w:r w:rsidRPr="008F46DD">
        <w:rPr>
          <w:i/>
          <w:noProof/>
          <w:color w:val="000000" w:themeColor="text1"/>
          <w:sz w:val="24"/>
          <w:lang w:val="hu-HU" w:eastAsia="fr-BE"/>
        </w:rPr>
        <w:t>et al.</w:t>
      </w:r>
      <w:r w:rsidRPr="008F46DD">
        <w:rPr>
          <w:noProof/>
          <w:color w:val="000000" w:themeColor="text1"/>
          <w:sz w:val="24"/>
          <w:lang w:val="hu-HU" w:eastAsia="fr-BE"/>
        </w:rPr>
        <w:t xml:space="preserve"> (2017)</w:t>
      </w:r>
    </w:p>
    <w:p w14:paraId="09C0B3EC" w14:textId="77777777" w:rsidR="00DE659D" w:rsidRPr="00DE659D" w:rsidRDefault="00DE659D" w:rsidP="00DE659D">
      <w:pPr>
        <w:rPr>
          <w:noProof/>
          <w:color w:val="000000" w:themeColor="text1"/>
          <w:lang w:eastAsia="fr-BE"/>
        </w:rPr>
      </w:pPr>
    </w:p>
    <w:p w14:paraId="40C31FB4"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Similarities can be found between several issues present in macro and business indicators. Designing eco-products would probably reduce the magnitude of Perceived Ecological Issues. Higher pay or retirement benefits would probably increase Household Incomes. In these cases, better performances at the business level would impact macro level measures. However, for certain cases, there is no link at all between the variables at both levels. Hence, worker satisfaction does not have a direct impact on Household Income, Assets Or Housing Quality. Also, urbanisation issues such as traffic jams are not impacted by variables present in the business indicator. </w:t>
      </w:r>
    </w:p>
    <w:p w14:paraId="18A4145C" w14:textId="67DF69BC" w:rsidR="00DE659D" w:rsidRPr="00DE659D" w:rsidRDefault="00DE659D" w:rsidP="00DE659D">
      <w:pPr>
        <w:rPr>
          <w:noProof/>
          <w:color w:val="000000" w:themeColor="text1"/>
          <w:lang w:eastAsia="fr-BE"/>
        </w:rPr>
      </w:pPr>
      <w:r w:rsidRPr="00DE659D">
        <w:rPr>
          <w:noProof/>
          <w:color w:val="000000" w:themeColor="text1"/>
          <w:lang w:eastAsia="fr-BE"/>
        </w:rPr>
        <w:t xml:space="preserve">When there is a correspondence between the two levels, it is not always possible to obtain the macro level value as an aggregate of micro level variables present in the business indicator. For the GNH domains present in Table </w:t>
      </w:r>
      <w:r w:rsidR="008F46DD">
        <w:rPr>
          <w:noProof/>
          <w:color w:val="000000" w:themeColor="text1"/>
          <w:lang w:eastAsia="fr-BE"/>
        </w:rPr>
        <w:t>1</w:t>
      </w:r>
      <w:r w:rsidRPr="00DE659D">
        <w:rPr>
          <w:noProof/>
          <w:color w:val="000000" w:themeColor="text1"/>
          <w:lang w:eastAsia="fr-BE"/>
        </w:rPr>
        <w:t xml:space="preserve">, only the macro level Household Income could be approximated by adding up Salary, Retirement Benefits, Paid Leave and Fringe Benefits. For all other variables, the causal link between the micro and macro value cannot be guaranteed. </w:t>
      </w:r>
    </w:p>
    <w:p w14:paraId="69ADCA5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the practical construction of GNH, note that data used to build the macro level GNH index is not based on business measures such as business surveys or tax returns as in the case of traditional accounting. It is obtained by directly surveying individuals. This is also the case for the Household Income measure or Assets. </w:t>
      </w:r>
    </w:p>
    <w:p w14:paraId="4B3838E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summary, a thematic connection exists between variables of the two indicators. This, however, does not ensure that better business performance will be positively carried over at the macro level (except for Pay And Allowances). The possibility for this depends on the complex interactions between the variables at each level. The general goal and domains’ headlines are thus similar, but the consistency of the variables is not guaranteed. </w:t>
      </w:r>
    </w:p>
    <w:p w14:paraId="46ECEDA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This does not constitute a problem </w:t>
      </w:r>
      <w:r w:rsidRPr="00DE659D">
        <w:rPr>
          <w:i/>
          <w:noProof/>
          <w:color w:val="000000" w:themeColor="text1"/>
          <w:lang w:eastAsia="fr-BE"/>
        </w:rPr>
        <w:t>per se</w:t>
      </w:r>
      <w:r w:rsidRPr="00DE659D">
        <w:rPr>
          <w:noProof/>
          <w:color w:val="000000" w:themeColor="text1"/>
          <w:lang w:eastAsia="fr-BE"/>
        </w:rPr>
        <w:t xml:space="preserve">, but it reveals a looser articulation than in traditional accounting. The articulation of the two GNH indicators is only achieved through a common objective and framework (GNH), common domains, a common aggregation method, and the same emitting organisation. This different way to </w:t>
      </w:r>
      <w:r w:rsidRPr="00DE659D">
        <w:rPr>
          <w:noProof/>
          <w:color w:val="000000" w:themeColor="text1"/>
          <w:lang w:eastAsia="fr-BE"/>
        </w:rPr>
        <w:lastRenderedPageBreak/>
        <w:t>articulate the two levels than in GDP’s case will be discussed further in Section 5.</w:t>
      </w:r>
    </w:p>
    <w:p w14:paraId="0A6729A5" w14:textId="52EEDEC1" w:rsidR="00DE659D" w:rsidRPr="00DE659D" w:rsidRDefault="00DE659D" w:rsidP="00CE7357">
      <w:pPr>
        <w:pStyle w:val="Titre3"/>
        <w:rPr>
          <w:noProof/>
          <w:lang w:eastAsia="fr-BE"/>
        </w:rPr>
      </w:pPr>
      <w:bookmarkStart w:id="33" w:name="_Toc51512275"/>
      <w:r w:rsidRPr="00DE659D">
        <w:rPr>
          <w:noProof/>
          <w:lang w:eastAsia="fr-BE"/>
        </w:rPr>
        <w:t>Sustainable Development Goals</w:t>
      </w:r>
      <w:bookmarkEnd w:id="33"/>
    </w:p>
    <w:p w14:paraId="32B554F7" w14:textId="77777777" w:rsidR="00DE659D" w:rsidRPr="00DE659D" w:rsidRDefault="00DE659D" w:rsidP="00DE659D">
      <w:pPr>
        <w:rPr>
          <w:noProof/>
          <w:color w:val="000000" w:themeColor="text1"/>
          <w:lang w:eastAsia="fr-BE"/>
        </w:rPr>
      </w:pPr>
      <w:r w:rsidRPr="00DE659D">
        <w:rPr>
          <w:noProof/>
          <w:color w:val="000000" w:themeColor="text1"/>
          <w:lang w:eastAsia="fr-BE"/>
        </w:rPr>
        <w:t>A third set of macro and business indicators created around the 17 Sustainable Development Goals, was launched by the United Nations in 2015 (UN, 2015). The UN’s objective was to ‘end poverty and hunger […] protect the planet […] [and] ensure that all human beings can enjoy prosperous and fulfilling lives’ (UN, 2015, p. 3). As these goals are accompanied by targets, they constitute a dashboard at the international level. Yet the UN has not been charged to operationalise the SDGs, this task belonging to governments, civil society, and the private sector. Indicators have thus also been developed at these levels.</w:t>
      </w:r>
    </w:p>
    <w:p w14:paraId="71896025"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order to implement the SDGs nationally, approximatively 35% of countries developed national SDGs dashboards (Sachs </w:t>
      </w:r>
      <w:r w:rsidRPr="00DE659D">
        <w:rPr>
          <w:i/>
          <w:noProof/>
          <w:color w:val="000000" w:themeColor="text1"/>
          <w:lang w:eastAsia="fr-BE"/>
        </w:rPr>
        <w:t>et al</w:t>
      </w:r>
      <w:r w:rsidRPr="00DE659D">
        <w:rPr>
          <w:noProof/>
          <w:color w:val="000000" w:themeColor="text1"/>
          <w:lang w:eastAsia="fr-BE"/>
        </w:rPr>
        <w:t xml:space="preserve">., 2018). The Bertelsmann Foundation and the Sustainable Development Solutions Network have produced a synthetic SDGs index, accompanied by dashboards, every year since 2016 (Sachs </w:t>
      </w:r>
      <w:r w:rsidRPr="00DE659D">
        <w:rPr>
          <w:i/>
          <w:noProof/>
          <w:color w:val="000000" w:themeColor="text1"/>
          <w:lang w:eastAsia="fr-BE"/>
        </w:rPr>
        <w:t>et al.,</w:t>
      </w:r>
      <w:r w:rsidRPr="00DE659D">
        <w:rPr>
          <w:noProof/>
          <w:color w:val="000000" w:themeColor="text1"/>
          <w:lang w:eastAsia="fr-BE"/>
        </w:rPr>
        <w:t xml:space="preserve"> 2018)</w:t>
      </w:r>
      <w:r w:rsidRPr="00DE659D">
        <w:rPr>
          <w:noProof/>
          <w:color w:val="000000" w:themeColor="text1"/>
          <w:vertAlign w:val="superscript"/>
          <w:lang w:eastAsia="fr-BE"/>
        </w:rPr>
        <w:footnoteReference w:id="12"/>
      </w:r>
      <w:r w:rsidRPr="00DE659D">
        <w:rPr>
          <w:noProof/>
          <w:color w:val="000000" w:themeColor="text1"/>
          <w:lang w:eastAsia="fr-BE"/>
        </w:rPr>
        <w:t xml:space="preserve">. Finally, various business initiatives are aimed at providing indicators to monitor businesses’ procedures with respect to the SDGs. The most important of them has been the development of a ‘SDG compass’ for business in 2015, by GRI, Global Compact, and the World Business Council for Sustainability (SDG Compass., 2015). It has been updated and completed since that time (GRI and UNGC, 2017), and numerous businesses now refer to SDGs (Littlewood and Holt, 2018). </w:t>
      </w:r>
    </w:p>
    <w:p w14:paraId="3E3A522B" w14:textId="77777777" w:rsidR="00DE659D" w:rsidRPr="00DE659D" w:rsidRDefault="00DE659D" w:rsidP="00DE659D">
      <w:pPr>
        <w:rPr>
          <w:noProof/>
          <w:color w:val="000000" w:themeColor="text1"/>
          <w:lang w:val="hu-HU" w:eastAsia="fr-BE"/>
        </w:rPr>
      </w:pPr>
      <w:r w:rsidRPr="00DE659D">
        <w:rPr>
          <w:noProof/>
          <w:color w:val="000000" w:themeColor="text1"/>
          <w:lang w:eastAsia="fr-BE"/>
        </w:rPr>
        <w:t xml:space="preserve">In this paper, Sachs </w:t>
      </w:r>
      <w:r w:rsidRPr="00DE659D">
        <w:rPr>
          <w:i/>
          <w:noProof/>
          <w:color w:val="000000" w:themeColor="text1"/>
          <w:lang w:eastAsia="fr-BE"/>
        </w:rPr>
        <w:t>et al.</w:t>
      </w:r>
      <w:r w:rsidRPr="00DE659D">
        <w:rPr>
          <w:noProof/>
          <w:color w:val="000000" w:themeColor="text1"/>
          <w:lang w:eastAsia="fr-BE"/>
        </w:rPr>
        <w:t xml:space="preserve"> (2018)’s SDGs index is shown as a paradigmatic example of macro level SDGs measures, as it evaluates most UN countries with a single methodology. How are the SDGs index and the business SDGs Compass articulated? </w:t>
      </w:r>
    </w:p>
    <w:p w14:paraId="5E6F16A8" w14:textId="4A44CB19" w:rsidR="00DE659D" w:rsidRPr="00DE659D" w:rsidRDefault="00DE659D" w:rsidP="00DE659D">
      <w:pPr>
        <w:rPr>
          <w:noProof/>
          <w:color w:val="000000" w:themeColor="text1"/>
          <w:lang w:eastAsia="fr-BE"/>
        </w:rPr>
      </w:pPr>
      <w:r w:rsidRPr="00DE659D">
        <w:rPr>
          <w:noProof/>
          <w:color w:val="000000" w:themeColor="text1"/>
          <w:lang w:eastAsia="fr-BE"/>
        </w:rPr>
        <w:t xml:space="preserve">The SDGs index is a beyond GDP indicator which aims to measure each UN country’s performance in contributing to SDGs. </w:t>
      </w:r>
      <w:r w:rsidRPr="00DE659D">
        <w:rPr>
          <w:noProof/>
          <w:color w:val="000000" w:themeColor="text1"/>
          <w:lang w:eastAsia="fr-BE"/>
        </w:rPr>
        <w:lastRenderedPageBreak/>
        <w:t xml:space="preserve">Its domains are the 17 SDGs, covering social, economic and environmental issues (see Figure </w:t>
      </w:r>
      <w:r w:rsidR="008F46DD">
        <w:rPr>
          <w:noProof/>
          <w:color w:val="000000" w:themeColor="text1"/>
          <w:lang w:eastAsia="fr-BE"/>
        </w:rPr>
        <w:t>2</w:t>
      </w:r>
      <w:r w:rsidRPr="00DE659D">
        <w:rPr>
          <w:noProof/>
          <w:color w:val="000000" w:themeColor="text1"/>
          <w:lang w:eastAsia="fr-BE"/>
        </w:rPr>
        <w:t>), which are subdivided into 88 variables. The variables are aggregated into domains using an arithmetic mean, and the domains are aggregated into one single figure also using an arithmetic mean. This index is mainly used to rank countries according to their performance in achieving the SDGs. Note that the index has been accompanied by other tools, such as the country’s dashboards, of which the role is to show whether or not a country’s performance is on the right trend.</w:t>
      </w:r>
    </w:p>
    <w:p w14:paraId="1FEFC9EB" w14:textId="77777777" w:rsidR="006D2122" w:rsidRDefault="006D2122" w:rsidP="00DE659D">
      <w:pPr>
        <w:rPr>
          <w:noProof/>
          <w:color w:val="000000" w:themeColor="text1"/>
          <w:lang w:eastAsia="fr-BE"/>
        </w:rPr>
      </w:pPr>
    </w:p>
    <w:p w14:paraId="66C51F78" w14:textId="0FDCAD44" w:rsidR="00DE659D" w:rsidRPr="00DE659D" w:rsidRDefault="00DE659D" w:rsidP="00DE659D">
      <w:pPr>
        <w:rPr>
          <w:noProof/>
          <w:color w:val="000000" w:themeColor="text1"/>
          <w:lang w:eastAsia="fr-BE"/>
        </w:rPr>
      </w:pPr>
      <w:r w:rsidRPr="00DE659D">
        <w:rPr>
          <w:noProof/>
          <w:color w:val="000000" w:themeColor="text1"/>
          <w:lang w:eastAsia="fr-BE"/>
        </w:rPr>
        <w:t xml:space="preserve">Figure </w:t>
      </w:r>
      <w:r w:rsidR="008F46DD">
        <w:rPr>
          <w:noProof/>
          <w:color w:val="000000" w:themeColor="text1"/>
          <w:lang w:eastAsia="fr-BE"/>
        </w:rPr>
        <w:t>2</w:t>
      </w:r>
      <w:r w:rsidRPr="00DE659D">
        <w:rPr>
          <w:noProof/>
          <w:color w:val="000000" w:themeColor="text1"/>
          <w:lang w:eastAsia="fr-BE"/>
        </w:rPr>
        <w:t>. Common domains of the SDGs index and SDGs compass</w:t>
      </w:r>
    </w:p>
    <w:p w14:paraId="335522C6" w14:textId="77777777" w:rsidR="00DE659D" w:rsidRPr="00DE659D" w:rsidRDefault="00DE659D" w:rsidP="006D2122">
      <w:pPr>
        <w:jc w:val="left"/>
        <w:rPr>
          <w:noProof/>
          <w:color w:val="000000" w:themeColor="text1"/>
          <w:lang w:eastAsia="fr-BE"/>
        </w:rPr>
      </w:pPr>
      <w:r w:rsidRPr="00DE659D">
        <w:rPr>
          <w:noProof/>
          <w:color w:val="000000" w:themeColor="text1"/>
          <w:lang w:val="fr-BE" w:eastAsia="fr-BE"/>
        </w:rPr>
        <w:drawing>
          <wp:inline distT="0" distB="0" distL="0" distR="0" wp14:anchorId="469D7DE1" wp14:editId="1506DD05">
            <wp:extent cx="4467225" cy="2792178"/>
            <wp:effectExtent l="0" t="0" r="0" b="8255"/>
            <wp:docPr id="93186" name="Picture 2" descr="RÃ©sultat de recherche d'images pour &quot;sdg&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86" name="Picture 2" descr="RÃ©sultat de recherche d'images pour &quot;sdg&quo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99293" cy="2812222"/>
                    </a:xfrm>
                    <a:prstGeom prst="rect">
                      <a:avLst/>
                    </a:prstGeom>
                    <a:noFill/>
                  </pic:spPr>
                </pic:pic>
              </a:graphicData>
            </a:graphic>
          </wp:inline>
        </w:drawing>
      </w:r>
    </w:p>
    <w:p w14:paraId="4E74C3F0" w14:textId="4D220966" w:rsidR="00DE659D" w:rsidRPr="00DE659D" w:rsidRDefault="00DE659D" w:rsidP="00DE659D">
      <w:pPr>
        <w:rPr>
          <w:noProof/>
          <w:color w:val="000000" w:themeColor="text1"/>
          <w:lang w:eastAsia="fr-BE"/>
        </w:rPr>
      </w:pPr>
      <w:r w:rsidRPr="00DE659D">
        <w:rPr>
          <w:noProof/>
          <w:color w:val="000000" w:themeColor="text1"/>
          <w:lang w:eastAsia="fr-BE"/>
        </w:rPr>
        <w:tab/>
        <w:t xml:space="preserve"> </w:t>
      </w:r>
    </w:p>
    <w:p w14:paraId="708DA9B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SDGs compass is a reporting tool for businesses that aims to measure their contribution towards the 17 Sustainable Development Goals (SDGs). For each goal, it provides a large set of relevant indicators at the business level. For instance, to reach the first SDGs goal (end poverty in all its forms everywhere), more than 60 business level indicators have been proposed. Among them are indicators such as wage level, indirect economic impacts, women clients as a percent of total clients, or initiatives taken to enhance financial literacy. These are regrouped under the 17 goals. The SDGs compass </w:t>
      </w:r>
      <w:r w:rsidRPr="00DE659D">
        <w:rPr>
          <w:noProof/>
          <w:color w:val="000000" w:themeColor="text1"/>
          <w:lang w:eastAsia="fr-BE"/>
        </w:rPr>
        <w:lastRenderedPageBreak/>
        <w:t>does not seek any aggregation, be it at the goal level or in a final unique number, which allows it to be characterised as a dashboard. The SDGs compass differs from SGDs index (and from GNH certification) by its large list of proposed indicators and its flexibility (open list and non-mandatory character). This flexibility allows the choice of the most relevant indicators according to the business’s strategy. It can also lead to cherry picking and a focus on the best performances. This is important, because if micro-macro consistency relies on the sharing of a similar objective, the fact that SDGs compass can be appropriated by businesses with a potentially very different focus decreases the probability of reaching an overall consistency.</w:t>
      </w:r>
    </w:p>
    <w:p w14:paraId="05B6033F" w14:textId="77059AC1" w:rsidR="00DE659D" w:rsidRPr="00DE659D" w:rsidRDefault="00DE659D" w:rsidP="00DE659D">
      <w:pPr>
        <w:rPr>
          <w:noProof/>
          <w:color w:val="000000" w:themeColor="text1"/>
          <w:lang w:eastAsia="fr-BE"/>
        </w:rPr>
      </w:pPr>
      <w:r w:rsidRPr="00DE659D">
        <w:rPr>
          <w:noProof/>
          <w:color w:val="000000" w:themeColor="text1"/>
          <w:lang w:eastAsia="fr-BE"/>
        </w:rPr>
        <w:t xml:space="preserve">As in the case of GNH, the similarity between the macro and the micro indicator takes place at the level of the general objective (happiness/sustainable development) and the structuring around identical domains (nine domains/ seventeen goals). However, the aggregation method only applies to the macro level, and the emitting organisations differ, even if they all belong to the UN network. A closer look at some variables also highlights the differences between the macro and the micro level (see Table </w:t>
      </w:r>
      <w:r w:rsidR="008F46DD">
        <w:rPr>
          <w:noProof/>
          <w:color w:val="000000" w:themeColor="text1"/>
          <w:lang w:eastAsia="fr-BE"/>
        </w:rPr>
        <w:t>2</w:t>
      </w:r>
      <w:r w:rsidRPr="00DE659D">
        <w:rPr>
          <w:noProof/>
          <w:color w:val="000000" w:themeColor="text1"/>
          <w:lang w:eastAsia="fr-BE"/>
        </w:rPr>
        <w:t xml:space="preserve">). </w:t>
      </w:r>
    </w:p>
    <w:p w14:paraId="4016E74D" w14:textId="77777777" w:rsidR="008F46DD" w:rsidRPr="00DE659D" w:rsidRDefault="008F46DD" w:rsidP="008F46DD">
      <w:pPr>
        <w:rPr>
          <w:noProof/>
          <w:color w:val="000000" w:themeColor="text1"/>
          <w:lang w:val="en-US" w:eastAsia="fr-BE"/>
        </w:rPr>
      </w:pPr>
      <w:r w:rsidRPr="00DE659D">
        <w:rPr>
          <w:noProof/>
          <w:color w:val="000000" w:themeColor="text1"/>
          <w:lang w:val="en-US" w:eastAsia="fr-BE"/>
        </w:rPr>
        <w:t>In some cases, there is a real attempt at articulation, such as in the CO2 emissions line, which is common to both indicators. But as in the GNH example, there is not always a similarity between macro and micro variables in corresponding domains. Hence, most variables present in the SDGs compass (more than 1500 in total) are not measured at the macro level. The presence of process variables can be observed at the business level (formulated as questions), which provide qualitative information. Such variables are often very relevant measures for the business level, but they do not correspond very much at the macro level.</w:t>
      </w:r>
    </w:p>
    <w:p w14:paraId="32A728EE" w14:textId="77777777" w:rsidR="00DE659D" w:rsidRPr="008F46DD" w:rsidRDefault="00DE659D" w:rsidP="00DE659D">
      <w:pPr>
        <w:rPr>
          <w:noProof/>
          <w:color w:val="000000" w:themeColor="text1"/>
          <w:lang w:val="en-US" w:eastAsia="fr-BE"/>
        </w:rPr>
      </w:pPr>
    </w:p>
    <w:p w14:paraId="31D8DFA9" w14:textId="77777777" w:rsidR="008F46DD" w:rsidRDefault="008F46DD">
      <w:pPr>
        <w:spacing w:line="259" w:lineRule="auto"/>
        <w:ind w:firstLine="0"/>
        <w:jc w:val="left"/>
        <w:rPr>
          <w:noProof/>
          <w:color w:val="000000" w:themeColor="text1"/>
          <w:lang w:val="en-US" w:eastAsia="fr-BE"/>
        </w:rPr>
      </w:pPr>
      <w:r>
        <w:rPr>
          <w:noProof/>
          <w:color w:val="000000" w:themeColor="text1"/>
          <w:lang w:val="en-US" w:eastAsia="fr-BE"/>
        </w:rPr>
        <w:br w:type="page"/>
      </w:r>
    </w:p>
    <w:p w14:paraId="51DA1045" w14:textId="503F9235" w:rsidR="00DE659D" w:rsidRPr="00DE659D" w:rsidRDefault="00DE659D" w:rsidP="008F46DD">
      <w:pPr>
        <w:keepLines/>
        <w:rPr>
          <w:noProof/>
          <w:color w:val="000000" w:themeColor="text1"/>
          <w:lang w:val="en-US" w:eastAsia="fr-BE"/>
        </w:rPr>
      </w:pPr>
      <w:r w:rsidRPr="00DE659D">
        <w:rPr>
          <w:noProof/>
          <w:color w:val="000000" w:themeColor="text1"/>
          <w:lang w:val="en-US" w:eastAsia="fr-BE"/>
        </w:rPr>
        <w:lastRenderedPageBreak/>
        <w:t xml:space="preserve">Table </w:t>
      </w:r>
      <w:r w:rsidR="008F46DD">
        <w:rPr>
          <w:noProof/>
          <w:color w:val="000000" w:themeColor="text1"/>
          <w:lang w:val="en-US" w:eastAsia="fr-BE"/>
        </w:rPr>
        <w:t>2</w:t>
      </w:r>
      <w:r w:rsidRPr="00DE659D">
        <w:rPr>
          <w:noProof/>
          <w:color w:val="000000" w:themeColor="text1"/>
          <w:lang w:val="en-US" w:eastAsia="fr-BE"/>
        </w:rPr>
        <w:t>. Two domains of the SDGs Index and the SDGs compass</w:t>
      </w:r>
    </w:p>
    <w:tbl>
      <w:tblPr>
        <w:tblStyle w:val="TableauGrille1Clair-Accentuation31"/>
        <w:tblW w:w="7938" w:type="dxa"/>
        <w:tblInd w:w="-572" w:type="dxa"/>
        <w:tblLayout w:type="fixed"/>
        <w:tblLook w:val="04A0" w:firstRow="1" w:lastRow="0" w:firstColumn="1" w:lastColumn="0" w:noHBand="0" w:noVBand="1"/>
      </w:tblPr>
      <w:tblGrid>
        <w:gridCol w:w="846"/>
        <w:gridCol w:w="3558"/>
        <w:gridCol w:w="3534"/>
      </w:tblGrid>
      <w:tr w:rsidR="00DE659D" w:rsidRPr="008F46DD" w14:paraId="75B7EB1D" w14:textId="77777777" w:rsidTr="00DE659D">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846" w:type="dxa"/>
            <w:textDirection w:val="btLr"/>
          </w:tcPr>
          <w:p w14:paraId="35AF10CB" w14:textId="77777777" w:rsidR="00DE659D" w:rsidRPr="008F46DD" w:rsidRDefault="00DE659D" w:rsidP="008F46DD">
            <w:pPr>
              <w:keepLines/>
              <w:spacing w:after="160"/>
              <w:rPr>
                <w:noProof/>
                <w:color w:val="000000" w:themeColor="text1"/>
                <w:sz w:val="24"/>
                <w:lang w:val="en-US" w:eastAsia="fr-BE"/>
              </w:rPr>
            </w:pPr>
          </w:p>
        </w:tc>
        <w:tc>
          <w:tcPr>
            <w:tcW w:w="3558" w:type="dxa"/>
          </w:tcPr>
          <w:p w14:paraId="1823FA8A" w14:textId="77777777" w:rsidR="00DE659D" w:rsidRPr="008F46DD" w:rsidRDefault="00DE659D" w:rsidP="006D2122">
            <w:pPr>
              <w:keepLines/>
              <w:spacing w:after="160"/>
              <w:ind w:firstLine="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SDGs Index</w:t>
            </w:r>
          </w:p>
        </w:tc>
        <w:tc>
          <w:tcPr>
            <w:tcW w:w="3534" w:type="dxa"/>
          </w:tcPr>
          <w:p w14:paraId="374F3BDA" w14:textId="77777777" w:rsidR="00DE659D" w:rsidRPr="008F46DD" w:rsidRDefault="00DE659D" w:rsidP="006D2122">
            <w:pPr>
              <w:keepLines/>
              <w:spacing w:after="160"/>
              <w:ind w:firstLine="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SDGs Compass</w:t>
            </w:r>
          </w:p>
        </w:tc>
      </w:tr>
      <w:tr w:rsidR="00DE659D" w:rsidRPr="008F46DD" w14:paraId="75D47606"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2BC3BE55" w14:textId="77777777" w:rsidR="00DE659D" w:rsidRPr="008F46DD" w:rsidRDefault="00DE659D" w:rsidP="008F46DD">
            <w:pPr>
              <w:keepLines/>
              <w:spacing w:after="160"/>
              <w:jc w:val="center"/>
              <w:rPr>
                <w:noProof/>
                <w:color w:val="000000" w:themeColor="text1"/>
                <w:sz w:val="24"/>
                <w:lang w:val="en-US" w:eastAsia="fr-BE"/>
              </w:rPr>
            </w:pPr>
            <w:r w:rsidRPr="008F46DD">
              <w:rPr>
                <w:noProof/>
                <w:color w:val="000000" w:themeColor="text1"/>
                <w:sz w:val="24"/>
                <w:lang w:val="en-US" w:eastAsia="fr-BE"/>
              </w:rPr>
              <w:t>Goal 1: end poverty</w:t>
            </w:r>
          </w:p>
        </w:tc>
        <w:tc>
          <w:tcPr>
            <w:tcW w:w="3558" w:type="dxa"/>
            <w:tcBorders>
              <w:top w:val="single" w:sz="12" w:space="0" w:color="C9C9C9" w:themeColor="accent3" w:themeTint="99"/>
            </w:tcBorders>
          </w:tcPr>
          <w:p w14:paraId="0F699408"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Poverty headcount ratio at $1.90/day</w:t>
            </w:r>
          </w:p>
        </w:tc>
        <w:tc>
          <w:tcPr>
            <w:tcW w:w="3534" w:type="dxa"/>
            <w:tcBorders>
              <w:top w:val="single" w:sz="12" w:space="0" w:color="C9C9C9" w:themeColor="accent3" w:themeTint="99"/>
            </w:tcBorders>
          </w:tcPr>
          <w:p w14:paraId="60609F84"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 xml:space="preserve">Presence in poor areas </w:t>
            </w:r>
          </w:p>
        </w:tc>
      </w:tr>
      <w:tr w:rsidR="00DE659D" w:rsidRPr="008F46DD" w14:paraId="42ACA42B"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72C0B3AC" w14:textId="77777777" w:rsidR="00DE659D" w:rsidRPr="008F46DD" w:rsidRDefault="00DE659D" w:rsidP="008F46DD">
            <w:pPr>
              <w:keepLines/>
              <w:spacing w:after="160"/>
              <w:jc w:val="center"/>
              <w:rPr>
                <w:noProof/>
                <w:color w:val="000000" w:themeColor="text1"/>
                <w:sz w:val="24"/>
                <w:lang w:val="en-US" w:eastAsia="fr-BE"/>
              </w:rPr>
            </w:pPr>
          </w:p>
        </w:tc>
        <w:tc>
          <w:tcPr>
            <w:tcW w:w="3558" w:type="dxa"/>
          </w:tcPr>
          <w:p w14:paraId="65B9B21C"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Projected poverty headcount ratio at $1.90/day in 2030</w:t>
            </w:r>
          </w:p>
        </w:tc>
        <w:tc>
          <w:tcPr>
            <w:tcW w:w="3534" w:type="dxa"/>
          </w:tcPr>
          <w:p w14:paraId="1FF2DA47"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Client retention rate, by gender</w:t>
            </w:r>
          </w:p>
        </w:tc>
      </w:tr>
      <w:tr w:rsidR="00DE659D" w:rsidRPr="008F46DD" w14:paraId="09192894"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7422DF4F" w14:textId="77777777" w:rsidR="00DE659D" w:rsidRPr="008F46DD" w:rsidRDefault="00DE659D" w:rsidP="008F46DD">
            <w:pPr>
              <w:keepLines/>
              <w:spacing w:after="160"/>
              <w:jc w:val="center"/>
              <w:rPr>
                <w:noProof/>
                <w:color w:val="000000" w:themeColor="text1"/>
                <w:sz w:val="24"/>
                <w:lang w:val="en-US" w:eastAsia="fr-BE"/>
              </w:rPr>
            </w:pPr>
          </w:p>
        </w:tc>
        <w:tc>
          <w:tcPr>
            <w:tcW w:w="3558" w:type="dxa"/>
          </w:tcPr>
          <w:p w14:paraId="78DDC3CB"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Poverty rate after taxes and transfers</w:t>
            </w:r>
          </w:p>
        </w:tc>
        <w:tc>
          <w:tcPr>
            <w:tcW w:w="3534" w:type="dxa"/>
          </w:tcPr>
          <w:p w14:paraId="6EAD4ABD"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en-US" w:eastAsia="fr-BE"/>
              </w:rPr>
              <w:t>“</w:t>
            </w:r>
            <w:r w:rsidRPr="008F46DD">
              <w:rPr>
                <w:noProof/>
                <w:color w:val="000000" w:themeColor="text1"/>
                <w:sz w:val="24"/>
                <w:lang w:val="hu-HU" w:eastAsia="fr-BE"/>
              </w:rPr>
              <w:t>Do major employers along the value chain [...] negotiate wage and benefits standards through collective agreement?”</w:t>
            </w:r>
          </w:p>
        </w:tc>
      </w:tr>
      <w:tr w:rsidR="00DE659D" w:rsidRPr="008F46DD" w14:paraId="388FB9D0"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2536693E" w14:textId="77777777" w:rsidR="00DE659D" w:rsidRPr="008F46DD" w:rsidRDefault="00DE659D" w:rsidP="008F46DD">
            <w:pPr>
              <w:keepLines/>
              <w:spacing w:after="160"/>
              <w:jc w:val="center"/>
              <w:rPr>
                <w:noProof/>
                <w:color w:val="000000" w:themeColor="text1"/>
                <w:sz w:val="24"/>
                <w:lang w:val="en-US" w:eastAsia="fr-BE"/>
              </w:rPr>
            </w:pPr>
          </w:p>
        </w:tc>
        <w:tc>
          <w:tcPr>
            <w:tcW w:w="3558" w:type="dxa"/>
          </w:tcPr>
          <w:p w14:paraId="33704132"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3534" w:type="dxa"/>
          </w:tcPr>
          <w:p w14:paraId="7481F48D"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en-US" w:eastAsia="fr-BE"/>
              </w:rPr>
              <w:t>“</w:t>
            </w:r>
            <w:r w:rsidRPr="008F46DD">
              <w:rPr>
                <w:noProof/>
                <w:color w:val="000000" w:themeColor="text1"/>
                <w:sz w:val="24"/>
                <w:lang w:val="hu-HU" w:eastAsia="fr-BE"/>
              </w:rPr>
              <w:t>Does the Company [...] ensure[s] that small-scale suppliers, smallholders and/or distributors are paid a fair price?”</w:t>
            </w:r>
          </w:p>
        </w:tc>
      </w:tr>
      <w:tr w:rsidR="00DE659D" w:rsidRPr="008F46DD" w14:paraId="3EE6B13C"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Borders>
              <w:bottom w:val="single" w:sz="12" w:space="0" w:color="C9C9C9" w:themeColor="accent3" w:themeTint="99"/>
            </w:tcBorders>
            <w:textDirection w:val="btLr"/>
          </w:tcPr>
          <w:p w14:paraId="7CD82C50" w14:textId="77777777" w:rsidR="00DE659D" w:rsidRPr="008F46DD" w:rsidRDefault="00DE659D" w:rsidP="008F46DD">
            <w:pPr>
              <w:keepLines/>
              <w:spacing w:after="160"/>
              <w:jc w:val="center"/>
              <w:rPr>
                <w:noProof/>
                <w:color w:val="000000" w:themeColor="text1"/>
                <w:sz w:val="24"/>
                <w:lang w:val="en-US" w:eastAsia="fr-BE"/>
              </w:rPr>
            </w:pPr>
          </w:p>
        </w:tc>
        <w:tc>
          <w:tcPr>
            <w:tcW w:w="3558" w:type="dxa"/>
            <w:tcBorders>
              <w:bottom w:val="single" w:sz="12" w:space="0" w:color="C9C9C9" w:themeColor="accent3" w:themeTint="99"/>
            </w:tcBorders>
          </w:tcPr>
          <w:p w14:paraId="0C28EB68"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3534" w:type="dxa"/>
            <w:tcBorders>
              <w:bottom w:val="single" w:sz="12" w:space="0" w:color="C9C9C9" w:themeColor="accent3" w:themeTint="99"/>
            </w:tcBorders>
          </w:tcPr>
          <w:p w14:paraId="18DBAF74"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w:t>
            </w:r>
          </w:p>
        </w:tc>
      </w:tr>
      <w:tr w:rsidR="00DE659D" w:rsidRPr="008F46DD" w14:paraId="3C110564"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332A1833" w14:textId="77777777" w:rsidR="00DE659D" w:rsidRPr="008F46DD" w:rsidRDefault="00DE659D" w:rsidP="008F46DD">
            <w:pPr>
              <w:keepLines/>
              <w:spacing w:after="160"/>
              <w:jc w:val="center"/>
              <w:rPr>
                <w:noProof/>
                <w:color w:val="000000" w:themeColor="text1"/>
                <w:sz w:val="24"/>
                <w:lang w:val="en-US" w:eastAsia="fr-BE"/>
              </w:rPr>
            </w:pPr>
            <w:r w:rsidRPr="008F46DD">
              <w:rPr>
                <w:noProof/>
                <w:color w:val="000000" w:themeColor="text1"/>
                <w:sz w:val="24"/>
                <w:lang w:val="hu-HU" w:eastAsia="fr-BE"/>
              </w:rPr>
              <w:t>Goal 13: combat climate change</w:t>
            </w:r>
          </w:p>
          <w:p w14:paraId="70EF285A" w14:textId="77777777" w:rsidR="00DE659D" w:rsidRPr="008F46DD" w:rsidRDefault="00DE659D" w:rsidP="008F46DD">
            <w:pPr>
              <w:keepLines/>
              <w:spacing w:after="160"/>
              <w:jc w:val="center"/>
              <w:rPr>
                <w:noProof/>
                <w:color w:val="000000" w:themeColor="text1"/>
                <w:sz w:val="24"/>
                <w:lang w:val="en-US" w:eastAsia="fr-BE"/>
              </w:rPr>
            </w:pPr>
          </w:p>
        </w:tc>
        <w:tc>
          <w:tcPr>
            <w:tcW w:w="3558" w:type="dxa"/>
            <w:tcBorders>
              <w:top w:val="single" w:sz="12" w:space="0" w:color="C9C9C9" w:themeColor="accent3" w:themeTint="99"/>
            </w:tcBorders>
          </w:tcPr>
          <w:p w14:paraId="21EBFE02"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CO2 emissions</w:t>
            </w:r>
          </w:p>
        </w:tc>
        <w:tc>
          <w:tcPr>
            <w:tcW w:w="3534" w:type="dxa"/>
            <w:tcBorders>
              <w:top w:val="single" w:sz="12" w:space="0" w:color="C9C9C9" w:themeColor="accent3" w:themeTint="99"/>
            </w:tcBorders>
          </w:tcPr>
          <w:p w14:paraId="757C4932"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CO2 emissions (scope 1, 2 or 3)</w:t>
            </w:r>
          </w:p>
        </w:tc>
      </w:tr>
      <w:tr w:rsidR="00DE659D" w:rsidRPr="008F46DD" w14:paraId="26E7F78D"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Pr>
          <w:p w14:paraId="74089B7A" w14:textId="77777777" w:rsidR="00DE659D" w:rsidRPr="008F46DD" w:rsidRDefault="00DE659D" w:rsidP="008F46DD">
            <w:pPr>
              <w:keepLines/>
              <w:spacing w:after="160"/>
              <w:rPr>
                <w:noProof/>
                <w:color w:val="000000" w:themeColor="text1"/>
                <w:sz w:val="24"/>
                <w:lang w:val="en-US" w:eastAsia="fr-BE"/>
              </w:rPr>
            </w:pPr>
          </w:p>
        </w:tc>
        <w:tc>
          <w:tcPr>
            <w:tcW w:w="3558" w:type="dxa"/>
          </w:tcPr>
          <w:p w14:paraId="09418279"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Imported CO2 emissions</w:t>
            </w:r>
          </w:p>
        </w:tc>
        <w:tc>
          <w:tcPr>
            <w:tcW w:w="3534" w:type="dxa"/>
          </w:tcPr>
          <w:p w14:paraId="313705D8"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Building energy efficiency</w:t>
            </w:r>
          </w:p>
        </w:tc>
      </w:tr>
      <w:tr w:rsidR="00DE659D" w:rsidRPr="008F46DD" w14:paraId="55FB4EBE"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Pr>
          <w:p w14:paraId="2C10AC06" w14:textId="77777777" w:rsidR="00DE659D" w:rsidRPr="008F46DD" w:rsidRDefault="00DE659D" w:rsidP="008F46DD">
            <w:pPr>
              <w:keepLines/>
              <w:spacing w:after="160"/>
              <w:rPr>
                <w:noProof/>
                <w:color w:val="000000" w:themeColor="text1"/>
                <w:sz w:val="24"/>
                <w:lang w:val="en-US" w:eastAsia="fr-BE"/>
              </w:rPr>
            </w:pPr>
          </w:p>
        </w:tc>
        <w:tc>
          <w:tcPr>
            <w:tcW w:w="3558" w:type="dxa"/>
          </w:tcPr>
          <w:p w14:paraId="16A426D1"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 xml:space="preserve">Climate change vulnerability </w:t>
            </w:r>
          </w:p>
        </w:tc>
        <w:tc>
          <w:tcPr>
            <w:tcW w:w="3534" w:type="dxa"/>
          </w:tcPr>
          <w:p w14:paraId="3271E217"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Electricity consumption</w:t>
            </w:r>
          </w:p>
        </w:tc>
      </w:tr>
      <w:tr w:rsidR="00DE659D" w:rsidRPr="008F46DD" w14:paraId="6D498905"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Pr>
          <w:p w14:paraId="2508A651" w14:textId="77777777" w:rsidR="00DE659D" w:rsidRPr="008F46DD" w:rsidRDefault="00DE659D" w:rsidP="008F46DD">
            <w:pPr>
              <w:keepLines/>
              <w:spacing w:after="160"/>
              <w:rPr>
                <w:noProof/>
                <w:color w:val="000000" w:themeColor="text1"/>
                <w:sz w:val="24"/>
                <w:lang w:val="en-US" w:eastAsia="fr-BE"/>
              </w:rPr>
            </w:pPr>
          </w:p>
        </w:tc>
        <w:tc>
          <w:tcPr>
            <w:tcW w:w="3558" w:type="dxa"/>
          </w:tcPr>
          <w:p w14:paraId="57E13C5A"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CO2 emissions embodied in fossil fuel exports</w:t>
            </w:r>
          </w:p>
        </w:tc>
        <w:tc>
          <w:tcPr>
            <w:tcW w:w="3534" w:type="dxa"/>
          </w:tcPr>
          <w:p w14:paraId="76D53B1C"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“Does the Company engage in initiatives that promote resilient practices?”</w:t>
            </w:r>
          </w:p>
        </w:tc>
      </w:tr>
      <w:tr w:rsidR="00DE659D" w:rsidRPr="008F46DD" w14:paraId="600C4D72"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Pr>
          <w:p w14:paraId="391A7BBA" w14:textId="77777777" w:rsidR="00DE659D" w:rsidRPr="008F46DD" w:rsidRDefault="00DE659D" w:rsidP="008F46DD">
            <w:pPr>
              <w:keepLines/>
              <w:spacing w:after="160"/>
              <w:rPr>
                <w:noProof/>
                <w:color w:val="000000" w:themeColor="text1"/>
                <w:sz w:val="24"/>
                <w:lang w:val="en-US" w:eastAsia="fr-BE"/>
              </w:rPr>
            </w:pPr>
          </w:p>
        </w:tc>
        <w:tc>
          <w:tcPr>
            <w:tcW w:w="3558" w:type="dxa"/>
          </w:tcPr>
          <w:p w14:paraId="48097299"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Effective carbon rate from energy</w:t>
            </w:r>
          </w:p>
        </w:tc>
        <w:tc>
          <w:tcPr>
            <w:tcW w:w="3534" w:type="dxa"/>
          </w:tcPr>
          <w:p w14:paraId="2D7E443B" w14:textId="77777777" w:rsidR="00DE659D" w:rsidRPr="008F46DD" w:rsidRDefault="00DE659D" w:rsidP="006D2122">
            <w:pPr>
              <w:keepLines/>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w:t>
            </w:r>
          </w:p>
        </w:tc>
      </w:tr>
    </w:tbl>
    <w:p w14:paraId="5303E93A" w14:textId="77777777" w:rsidR="00DE659D" w:rsidRPr="008F46DD" w:rsidRDefault="00DE659D" w:rsidP="008F46DD">
      <w:pPr>
        <w:keepLines/>
        <w:rPr>
          <w:noProof/>
          <w:color w:val="000000" w:themeColor="text1"/>
          <w:sz w:val="24"/>
          <w:lang w:val="hu-HU" w:eastAsia="fr-BE"/>
        </w:rPr>
      </w:pPr>
      <w:r w:rsidRPr="008F46DD">
        <w:rPr>
          <w:noProof/>
          <w:color w:val="000000" w:themeColor="text1"/>
          <w:sz w:val="24"/>
          <w:lang w:val="hu-HU" w:eastAsia="fr-BE"/>
        </w:rPr>
        <w:t>Sources: Sachs (2018), SDGs Compass (2015)</w:t>
      </w:r>
    </w:p>
    <w:p w14:paraId="5817359A" w14:textId="77777777" w:rsidR="00DE659D" w:rsidRPr="00DE659D" w:rsidRDefault="00DE659D" w:rsidP="00DE659D">
      <w:pPr>
        <w:rPr>
          <w:noProof/>
          <w:color w:val="000000" w:themeColor="text1"/>
          <w:lang w:val="en-US" w:eastAsia="fr-BE"/>
        </w:rPr>
      </w:pPr>
    </w:p>
    <w:p w14:paraId="27269F82" w14:textId="77777777" w:rsidR="00DE659D" w:rsidRPr="00DE659D" w:rsidRDefault="00DE659D" w:rsidP="00DE659D">
      <w:pPr>
        <w:rPr>
          <w:noProof/>
          <w:color w:val="000000" w:themeColor="text1"/>
          <w:lang w:eastAsia="fr-BE"/>
        </w:rPr>
      </w:pPr>
      <w:r w:rsidRPr="00DE659D">
        <w:rPr>
          <w:noProof/>
          <w:color w:val="000000" w:themeColor="text1"/>
          <w:lang w:val="en-US" w:eastAsia="fr-BE"/>
        </w:rPr>
        <w:t xml:space="preserve">In summary, </w:t>
      </w:r>
      <w:r w:rsidRPr="00DE659D">
        <w:rPr>
          <w:noProof/>
          <w:color w:val="000000" w:themeColor="text1"/>
          <w:lang w:eastAsia="fr-BE"/>
        </w:rPr>
        <w:t xml:space="preserve">despite the differences between GNH’s and SDGs’ approaches, some overlap is present. On the one hand, these indicators exist after an objective has been set, which is an essential step from the point of view of collective action. They draw their framework from this objective, as well as their domains and their name. This brings about the adjustment of priorities towards a similar outcome, both at the macro and the business level. On the </w:t>
      </w:r>
      <w:r w:rsidRPr="00DE659D">
        <w:rPr>
          <w:noProof/>
          <w:color w:val="000000" w:themeColor="text1"/>
          <w:lang w:eastAsia="fr-BE"/>
        </w:rPr>
        <w:lastRenderedPageBreak/>
        <w:t xml:space="preserve">other hand, even if the domains are similar, there is no guarantee that a better performance at the business level will be translated into a better performance at the macro level, due to the use of different variables. This is the main difference from traditional indicators. </w:t>
      </w:r>
    </w:p>
    <w:p w14:paraId="0FC20290" w14:textId="5BD69DFE" w:rsidR="00DE659D" w:rsidRPr="00DE659D" w:rsidRDefault="00DE659D" w:rsidP="00DE659D">
      <w:pPr>
        <w:pStyle w:val="Titre2"/>
        <w:rPr>
          <w:noProof/>
          <w:lang w:val="en-US" w:eastAsia="fr-BE"/>
        </w:rPr>
      </w:pPr>
      <w:bookmarkStart w:id="34" w:name="_Toc51512276"/>
      <w:r w:rsidRPr="00DE659D">
        <w:rPr>
          <w:noProof/>
          <w:lang w:val="en-US" w:eastAsia="fr-BE"/>
        </w:rPr>
        <w:t>Theorising the articulation of a macro and a business indicator</w:t>
      </w:r>
      <w:bookmarkEnd w:id="34"/>
    </w:p>
    <w:p w14:paraId="20E91AF7"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analysis of GDP and traditional business level measures show their specific macro-micro articulation. On the one hand, GDP is the sum of micro level value added. </w:t>
      </w:r>
      <w:bookmarkStart w:id="35" w:name="_Hlk27388514"/>
      <w:r w:rsidRPr="00DE659D">
        <w:rPr>
          <w:noProof/>
          <w:color w:val="000000" w:themeColor="text1"/>
          <w:lang w:eastAsia="fr-BE"/>
        </w:rPr>
        <w:t xml:space="preserve">On the other hand, the way national accounting is built is similar to the way business accounting is </w:t>
      </w:r>
      <w:bookmarkEnd w:id="35"/>
      <w:r w:rsidRPr="00DE659D">
        <w:rPr>
          <w:noProof/>
          <w:color w:val="000000" w:themeColor="text1"/>
          <w:lang w:eastAsia="fr-BE"/>
        </w:rPr>
        <w:t>organised (except for in public administration). In the case of alternative indicators, most macro level measures are not the exact sum of micro level ones. An articulation of macro and micro indicators exists through the existence of common domains and objectives.</w:t>
      </w:r>
    </w:p>
    <w:p w14:paraId="29BC489A" w14:textId="794C00BB" w:rsidR="00DE659D" w:rsidRPr="00DE659D" w:rsidRDefault="00DE659D" w:rsidP="00CE7357">
      <w:pPr>
        <w:pStyle w:val="Titre3"/>
        <w:rPr>
          <w:noProof/>
          <w:lang w:eastAsia="fr-BE"/>
        </w:rPr>
      </w:pPr>
      <w:bookmarkStart w:id="36" w:name="_Toc51512277"/>
      <w:r w:rsidRPr="00DE659D">
        <w:rPr>
          <w:noProof/>
          <w:lang w:eastAsia="fr-BE"/>
        </w:rPr>
        <w:t>Two types of articulation between a macro and a business indicator</w:t>
      </w:r>
      <w:bookmarkEnd w:id="36"/>
    </w:p>
    <w:p w14:paraId="373A11BD" w14:textId="77777777" w:rsidR="00DE659D" w:rsidRPr="00DE659D" w:rsidRDefault="00DE659D" w:rsidP="00DE659D">
      <w:pPr>
        <w:rPr>
          <w:noProof/>
          <w:color w:val="000000" w:themeColor="text1"/>
          <w:lang w:eastAsia="fr-BE"/>
        </w:rPr>
      </w:pPr>
      <w:r w:rsidRPr="00DE659D">
        <w:rPr>
          <w:noProof/>
          <w:color w:val="000000" w:themeColor="text1"/>
          <w:lang w:eastAsia="fr-BE"/>
        </w:rPr>
        <w:t>This research suggests the existence of two distinct manners by which micro and macro level indicators are articulated, one mostly present in traditional indicators, the other in alternative ones. The first is the most demanding and we will call it an ‘accounting articulation’. A micro and a macro level indicator will be considered articulated on an aggregative point of view if they measure the same element at different levels. This implies that the macro level measure is the sum of the micro level one</w:t>
      </w:r>
      <w:r w:rsidRPr="00DE659D">
        <w:rPr>
          <w:noProof/>
          <w:color w:val="000000" w:themeColor="text1"/>
          <w:vertAlign w:val="superscript"/>
          <w:lang w:eastAsia="fr-BE"/>
        </w:rPr>
        <w:footnoteReference w:id="13"/>
      </w:r>
      <w:r w:rsidRPr="00DE659D">
        <w:rPr>
          <w:noProof/>
          <w:color w:val="000000" w:themeColor="text1"/>
          <w:lang w:eastAsia="fr-BE"/>
        </w:rPr>
        <w:t>. GDP and business value added are articulated this way, as GDP is the sum of micro level value added. This is also the case for several variables present in beyond GDP indicators such as carbon emissions, solid waste emissions, water use, employment, etc. These variables can be accounted for both at the macro and the micro level.</w:t>
      </w:r>
    </w:p>
    <w:p w14:paraId="49C758AD"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second type of micro-macro articulation is what we call a ‘conceptual articulation’. The elements to which measures refer may </w:t>
      </w:r>
      <w:r w:rsidRPr="00DE659D">
        <w:rPr>
          <w:noProof/>
          <w:color w:val="000000" w:themeColor="text1"/>
          <w:lang w:eastAsia="fr-BE"/>
        </w:rPr>
        <w:lastRenderedPageBreak/>
        <w:t xml:space="preserve">be different, but they are expressed in a similar way. This is the case with the use of common concepts and symbols, theoretical backgrounds, structure of indicator, domains, aggregation methods, emitting organisations... This type of articulation is the one existing in the set of indicators created around GNH and SDGs. The structuration around a common set of domains seems to be the core of such articulation. For instance, the domain ‘health’ can be measured at both levels, with a ‘sick leave’ variable at the business level and with a ‘life expectancy’ variable at the macro level. Hak named these categories ‘headline indicators’, (Hak et al., 2016) but we prefer the term domains </w:t>
      </w:r>
      <w:bookmarkStart w:id="37" w:name="_Hlk47362460"/>
      <w:r w:rsidRPr="00DE659D">
        <w:rPr>
          <w:noProof/>
          <w:color w:val="000000" w:themeColor="text1"/>
          <w:lang w:eastAsia="fr-BE"/>
        </w:rPr>
        <w:t>as it is more frequent among practitioners</w:t>
      </w:r>
      <w:bookmarkEnd w:id="37"/>
      <w:r w:rsidRPr="00DE659D">
        <w:rPr>
          <w:noProof/>
          <w:color w:val="000000" w:themeColor="text1"/>
          <w:lang w:eastAsia="fr-BE"/>
        </w:rPr>
        <w:t>. This type of articulation is the one which will most probably characterise the future of the field of beyond GDP and business social and environmental indicators. Traditional accounting is also characterised by this type of articulation, while the concepts and the structure of national accounting mimic those of business accounting.</w:t>
      </w:r>
    </w:p>
    <w:p w14:paraId="7FA1B697"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summary, indicators can be articulated at the level of the element measured (accounting articulation) or the domain which is related (‘field’ or ‘domain’, ‘sphere’ articulation). In practise, sets of indicators that are articulated from an accounting point of view often share the same concepts, symbols, and goal, whereas the reverse is not true. </w:t>
      </w:r>
    </w:p>
    <w:p w14:paraId="79E6C593"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While GDP and traditional accounting have both an accounting and a conceptual articulation, current alternative indicators mainly have a conceptual one. But can this statement be generalised to all possible future beyond GDP and CSR indicators? In other words, are there any theoretical limits to an accounting articulation of alternative indicators? </w:t>
      </w:r>
    </w:p>
    <w:p w14:paraId="25368906" w14:textId="1741DB9B" w:rsidR="00DE659D" w:rsidRPr="00DE659D" w:rsidRDefault="00DE659D" w:rsidP="00CE7357">
      <w:pPr>
        <w:pStyle w:val="Titre3"/>
        <w:rPr>
          <w:noProof/>
          <w:lang w:eastAsia="fr-BE"/>
        </w:rPr>
      </w:pPr>
      <w:bookmarkStart w:id="38" w:name="_Toc51512278"/>
      <w:r w:rsidRPr="00DE659D">
        <w:rPr>
          <w:noProof/>
          <w:lang w:eastAsia="fr-BE"/>
        </w:rPr>
        <w:t>Are there theoretical limits to the articulation of alternative indicators?</w:t>
      </w:r>
      <w:bookmarkEnd w:id="38"/>
    </w:p>
    <w:p w14:paraId="38335EF5" w14:textId="77777777" w:rsidR="00DE659D" w:rsidRPr="00DE659D" w:rsidRDefault="00DE659D" w:rsidP="00DE659D">
      <w:pPr>
        <w:rPr>
          <w:noProof/>
          <w:color w:val="000000" w:themeColor="text1"/>
          <w:lang w:eastAsia="fr-BE"/>
        </w:rPr>
      </w:pPr>
      <w:r w:rsidRPr="00DE659D">
        <w:rPr>
          <w:noProof/>
          <w:color w:val="000000" w:themeColor="text1"/>
          <w:lang w:eastAsia="fr-BE"/>
        </w:rPr>
        <w:t>The core characteristic of alternative indicators is to introduce a variety of social and environmental variables. Does this variety hamper articulation at the macro and the micro level?</w:t>
      </w:r>
    </w:p>
    <w:p w14:paraId="25CEA430"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Conceptual articulation requires the use of a common framework at both levels. In theory, developing such a framework is always possible. In particular, the use of a common name, common domains and the construction around a like objective does not face any theoretical limit. Therefore, any indicator developed with macro-micro articulation as an objective could reach such conceptual articulation, no matter the type of social and environmental variables it includes.</w:t>
      </w:r>
    </w:p>
    <w:p w14:paraId="037D8E59" w14:textId="77777777" w:rsidR="00DE659D" w:rsidRPr="00DE659D" w:rsidRDefault="00DE659D" w:rsidP="00DE659D">
      <w:pPr>
        <w:rPr>
          <w:noProof/>
          <w:color w:val="000000" w:themeColor="text1"/>
          <w:lang w:eastAsia="fr-BE"/>
        </w:rPr>
      </w:pPr>
      <w:r w:rsidRPr="00DE659D">
        <w:rPr>
          <w:noProof/>
          <w:color w:val="000000" w:themeColor="text1"/>
          <w:lang w:eastAsia="fr-BE"/>
        </w:rPr>
        <w:t>On the contrary, reaching an accounting articulation for all social and environmental variables faces more difficulty. It would require measuring the same elements at both levels and for each variable (</w:t>
      </w:r>
      <w:r w:rsidRPr="00DE659D">
        <w:rPr>
          <w:i/>
          <w:noProof/>
          <w:color w:val="000000" w:themeColor="text1"/>
          <w:lang w:eastAsia="fr-BE"/>
        </w:rPr>
        <w:t>e.g.</w:t>
      </w:r>
      <w:r w:rsidRPr="00DE659D">
        <w:rPr>
          <w:noProof/>
          <w:color w:val="000000" w:themeColor="text1"/>
          <w:lang w:eastAsia="fr-BE"/>
        </w:rPr>
        <w:t xml:space="preserve"> the number of employed workers), and our claim is that such task would be irrelevant and impracticable. </w:t>
      </w:r>
    </w:p>
    <w:p w14:paraId="02CA95B2"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Firstly, it would be unfeasible because several variables measured at the macro level cannot be translated at the business level. Most macro level variables can only be translated at the micro level as properties of business stakeholders, such as employees or suppliers, but cannot be attached to the business itself. For instance, a wage policy is a policy of the business, and CO2 emissions are productions of the business. On the contrary, life expectancy, life satisfaction, poverty or obesity – which are frequent macro level variables – are characteristics of some stakeholders of this business (even if they are influenced by a business’s practise). Measuring life expectancy, life satisfaction, poverty or obesity at the business level can be tempting but would have little meaning or interest. This is more relevant at the individual level. This difference of entity subject to the measure imposes some adjustments in the element measured, if one intends to produce meaningful results. Conversely, this contradicts the definition of an accounting articulation. </w:t>
      </w:r>
    </w:p>
    <w:p w14:paraId="30DD8B55"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Secondly, reaching an accounting articulation for all social and environmental variables would be irrelevant because it would hamper the diversity of measurement practises. It is generally admitted that indicators have to be designed to be useful to their users and their strategy (Innes and Booher, 2000; Jesinghaus, 2012; Rinne et al., 2013; Searcy, 2016; UNSD, 2015). Hence, there is an interest in </w:t>
      </w:r>
      <w:r w:rsidRPr="00DE659D">
        <w:rPr>
          <w:noProof/>
          <w:color w:val="000000" w:themeColor="text1"/>
          <w:lang w:eastAsia="fr-BE"/>
        </w:rPr>
        <w:lastRenderedPageBreak/>
        <w:t xml:space="preserve">having measures closely related to users’ needs, and thus to favour diversity – between the macro and the business level, and between different businesses. In this respect, beyond GDP indicators typically encompass output variables, which are </w:t>
      </w:r>
      <w:r w:rsidRPr="00DE659D">
        <w:rPr>
          <w:noProof/>
          <w:color w:val="000000" w:themeColor="text1"/>
          <w:lang w:val="hu-HU" w:eastAsia="fr-BE"/>
        </w:rPr>
        <w:t xml:space="preserve">results that can be measured or assessed directly (Clark </w:t>
      </w:r>
      <w:r w:rsidRPr="00DE659D">
        <w:rPr>
          <w:i/>
          <w:noProof/>
          <w:color w:val="000000" w:themeColor="text1"/>
          <w:lang w:val="hu-HU" w:eastAsia="fr-BE"/>
        </w:rPr>
        <w:t>et al</w:t>
      </w:r>
      <w:r w:rsidRPr="00DE659D">
        <w:rPr>
          <w:noProof/>
          <w:color w:val="000000" w:themeColor="text1"/>
          <w:lang w:val="hu-HU" w:eastAsia="fr-BE"/>
        </w:rPr>
        <w:t>., 2004)</w:t>
      </w:r>
      <w:r w:rsidRPr="00DE659D">
        <w:rPr>
          <w:noProof/>
          <w:color w:val="000000" w:themeColor="text1"/>
          <w:lang w:eastAsia="fr-BE"/>
        </w:rPr>
        <w:t xml:space="preserve">. Some examples of this are the average number of years of education, CO2 emissions, number of protected areas, crime rate, income inequality… Beyond GDP indicators also make great use of outcome measures, which are </w:t>
      </w:r>
      <w:r w:rsidRPr="00DE659D">
        <w:rPr>
          <w:noProof/>
          <w:color w:val="000000" w:themeColor="text1"/>
          <w:lang w:val="hu-HU" w:eastAsia="fr-BE"/>
        </w:rPr>
        <w:t>the ultimate priorities that the world faces today</w:t>
      </w:r>
      <w:r w:rsidRPr="00DE659D">
        <w:rPr>
          <w:noProof/>
          <w:color w:val="000000" w:themeColor="text1"/>
          <w:lang w:eastAsia="fr-BE"/>
        </w:rPr>
        <w:t xml:space="preserve"> (e.g. life expectancy, biodiversity, child poverty…). The business level frequently uses other types of measurements, namely process and impact. Process variables aim to assess if a certain protocol is followed (</w:t>
      </w:r>
      <w:r w:rsidRPr="00DE659D">
        <w:rPr>
          <w:i/>
          <w:noProof/>
          <w:color w:val="000000" w:themeColor="text1"/>
          <w:lang w:eastAsia="fr-BE"/>
        </w:rPr>
        <w:t>e.g.</w:t>
      </w:r>
      <w:r w:rsidRPr="00DE659D">
        <w:rPr>
          <w:noProof/>
          <w:color w:val="000000" w:themeColor="text1"/>
          <w:lang w:eastAsia="fr-BE"/>
        </w:rPr>
        <w:t xml:space="preserve"> ‘Is there a plan to improve health at work?’), where impact assessments aim to determine ‘</w:t>
      </w:r>
      <w:r w:rsidRPr="00DE659D">
        <w:rPr>
          <w:i/>
          <w:noProof/>
          <w:color w:val="000000" w:themeColor="text1"/>
          <w:lang w:eastAsia="fr-BE"/>
        </w:rPr>
        <w:t>the portion of the total outcome that happened as a result of the activity of the venture, above and beyond what would have happened anyway</w:t>
      </w:r>
      <w:r w:rsidRPr="00DE659D">
        <w:rPr>
          <w:noProof/>
          <w:color w:val="000000" w:themeColor="text1"/>
          <w:lang w:eastAsia="fr-BE"/>
        </w:rPr>
        <w:t xml:space="preserve">’ </w:t>
      </w:r>
      <w:r w:rsidRPr="00DE659D">
        <w:rPr>
          <w:noProof/>
          <w:color w:val="000000" w:themeColor="text1"/>
          <w:lang w:val="hu-HU" w:eastAsia="fr-BE"/>
        </w:rPr>
        <w:t xml:space="preserve">(Clark </w:t>
      </w:r>
      <w:r w:rsidRPr="00DE659D">
        <w:rPr>
          <w:i/>
          <w:noProof/>
          <w:color w:val="000000" w:themeColor="text1"/>
          <w:lang w:val="hu-HU" w:eastAsia="fr-BE"/>
        </w:rPr>
        <w:t>et al</w:t>
      </w:r>
      <w:r w:rsidRPr="00DE659D">
        <w:rPr>
          <w:noProof/>
          <w:color w:val="000000" w:themeColor="text1"/>
          <w:lang w:val="hu-HU" w:eastAsia="fr-BE"/>
        </w:rPr>
        <w:t>., 2004, p.7)</w:t>
      </w:r>
      <w:r w:rsidRPr="00DE659D">
        <w:rPr>
          <w:noProof/>
          <w:color w:val="000000" w:themeColor="text1"/>
          <w:lang w:eastAsia="fr-BE"/>
        </w:rPr>
        <w:t xml:space="preserve">. Process variables are largely present in GNH of business and in the SDG Compass. This is because they supply qualitative information desired by managers or external stakeholders. On the contrary, beyond GDP indicators rarely include process variables. At the business level, if impact assessments are not found in GNH and SDG Compass – because the causal impact is not their focus – they are the reason for several other initiatives such as the Social Return On Investment (SROI). Due to this diversity, standardising a closed list of variables among businesses to articulate them with the macro level would drastically reduce the relevance of alternative indicators. Moreover, as process variables cannot be aggregated at the macro level (it is not possible to get a sum of qualitative data), it would lead to indicators encompassing only output and outcome variables. Even in traditional accounting, similar issues occur. There is no translation of all business level indicators (ROI, EVA…) at the macro level and vice versa. </w:t>
      </w:r>
    </w:p>
    <w:p w14:paraId="3E37022A" w14:textId="77777777" w:rsidR="00DE659D" w:rsidRPr="00DE659D" w:rsidRDefault="00DE659D" w:rsidP="00DE659D">
      <w:pPr>
        <w:rPr>
          <w:noProof/>
          <w:color w:val="000000" w:themeColor="text1"/>
          <w:lang w:eastAsia="fr-BE"/>
        </w:rPr>
      </w:pPr>
      <w:r w:rsidRPr="00DE659D">
        <w:rPr>
          <w:noProof/>
          <w:color w:val="000000" w:themeColor="text1"/>
          <w:lang w:eastAsia="fr-BE"/>
        </w:rPr>
        <w:t>Thirdly</w:t>
      </w:r>
      <w:r w:rsidRPr="00DE659D">
        <w:rPr>
          <w:noProof/>
          <w:color w:val="000000" w:themeColor="text1"/>
          <w:lang w:val="hu-HU" w:eastAsia="fr-BE"/>
        </w:rPr>
        <w:t>, an accounting articulation for all variables would raise the issue of identifying causality (Emerson, 2003, Rossi et al., 2018). If one wants to</w:t>
      </w:r>
      <w:r w:rsidRPr="00DE659D">
        <w:rPr>
          <w:noProof/>
          <w:color w:val="000000" w:themeColor="text1"/>
          <w:lang w:eastAsia="fr-BE"/>
        </w:rPr>
        <w:t xml:space="preserve"> analyse the impact of a soda company on life expectancy, how can it be assessed? The establishment of causality would require the measurement of the impact of soda consumption </w:t>
      </w:r>
      <w:r w:rsidRPr="00DE659D">
        <w:rPr>
          <w:noProof/>
          <w:color w:val="000000" w:themeColor="text1"/>
          <w:lang w:eastAsia="fr-BE"/>
        </w:rPr>
        <w:lastRenderedPageBreak/>
        <w:t xml:space="preserve">on (for instance) obesity, as well as the impact of obesity on life expectancy. Such impact assessment should also consider eventual context effects, plus the part of responsibility held by the consumer in his or her choices. It should also include the fact that these choices are influenced by the advertising methods of the soda company. Assessing such impact is not an easy task. To facilitate it, accounting conventions could attribute values to some parts of these causality channels, an already frequent practice of traditional accounting (Vanoli, 2005). A proper impact assessment would nonetheless still be necessary. In this respect, econometrics and other assessment methods can help the establishment of causal links. Unfortunately, they are costly and to some extent, inaccurate when the issue is complex. </w:t>
      </w:r>
    </w:p>
    <w:p w14:paraId="5F5ADE45"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Even if both approaches use indicators, assessing an impact is not the same thing as developing social and environmental accounts. In traditional accounting, the choice has been made to measure only the value created at both levels. One variable from the business level is transposed as it is at the macro level, without further consideration for impact. Hence, business externalities which impact GDP are not considered in GDP’s calculation, only direct value added is. </w:t>
      </w:r>
    </w:p>
    <w:p w14:paraId="3C0DF52D" w14:textId="77777777" w:rsidR="00DE659D" w:rsidRPr="00DE659D" w:rsidRDefault="00DE659D" w:rsidP="00DE659D">
      <w:pPr>
        <w:rPr>
          <w:noProof/>
          <w:color w:val="000000" w:themeColor="text1"/>
          <w:lang w:eastAsia="fr-BE"/>
        </w:rPr>
      </w:pPr>
      <w:r w:rsidRPr="00DE659D">
        <w:rPr>
          <w:noProof/>
          <w:color w:val="000000" w:themeColor="text1"/>
          <w:lang w:eastAsia="fr-BE"/>
        </w:rPr>
        <w:t>One way to avoid this causality issue among alternative indicators would be to get rid of the search for impact and rather consider accounting aggregation only for pairs of variables which are identical at both levels. Additional interactions needing the establishment of causal links would not be taken in to account. In practise, accounting articulation would consider only variables such as the number of employees, revenue, carbon emissions…, which are present as such at both levels. The impact of a soda company on life expectancy would not be assessed. Included variables would be mainly output variables, even if this solution also works for several outcome variables (</w:t>
      </w:r>
      <w:r w:rsidRPr="00DE659D">
        <w:rPr>
          <w:i/>
          <w:noProof/>
          <w:color w:val="000000" w:themeColor="text1"/>
          <w:lang w:eastAsia="fr-BE"/>
        </w:rPr>
        <w:t>e.g.</w:t>
      </w:r>
      <w:r w:rsidRPr="00DE659D">
        <w:rPr>
          <w:noProof/>
          <w:color w:val="000000" w:themeColor="text1"/>
          <w:lang w:eastAsia="fr-BE"/>
        </w:rPr>
        <w:t xml:space="preserve"> subjective satisfaction at work). This does not mean that impact assessment should not be carried out, but at least not in order to build macro level accounts. In this respect, </w:t>
      </w:r>
      <w:bookmarkStart w:id="39" w:name="_Hlk47448718"/>
      <w:r w:rsidRPr="00DE659D">
        <w:rPr>
          <w:noProof/>
          <w:color w:val="000000" w:themeColor="text1"/>
          <w:lang w:eastAsia="fr-BE"/>
        </w:rPr>
        <w:t xml:space="preserve">public policy evaluations could provide an opportunity to carry out impact assessments that would be micro-founded and allow the performance of an individual enterprise to be monitored. In such </w:t>
      </w:r>
      <w:r w:rsidRPr="00DE659D">
        <w:rPr>
          <w:noProof/>
          <w:color w:val="000000" w:themeColor="text1"/>
          <w:lang w:eastAsia="fr-BE"/>
        </w:rPr>
        <w:lastRenderedPageBreak/>
        <w:t>cases, the search for causality is fully compatible with a macro-micro articulation. But this is at the level of one-off impact assessments and on a limited number of variables, rather than at the level of beyond GDP indicators.</w:t>
      </w:r>
      <w:bookmarkEnd w:id="39"/>
    </w:p>
    <w:p w14:paraId="7E839FB4" w14:textId="77777777" w:rsidR="00DE659D" w:rsidRPr="00DE659D" w:rsidRDefault="00DE659D" w:rsidP="00DE659D">
      <w:pPr>
        <w:rPr>
          <w:noProof/>
          <w:color w:val="000000" w:themeColor="text1"/>
          <w:lang w:eastAsia="fr-BE"/>
        </w:rPr>
      </w:pPr>
      <w:r w:rsidRPr="00DE659D">
        <w:rPr>
          <w:noProof/>
          <w:color w:val="000000" w:themeColor="text1"/>
          <w:lang w:eastAsia="fr-BE"/>
        </w:rPr>
        <w:t>Due to these three reasons, it is not possible to articulate all variables of current alternative indicators from an accounting point of view. This constitutes a limit to an ambitious micro-macro articulation of indicators, and some weaknesses compared to traditional accounting.</w:t>
      </w:r>
    </w:p>
    <w:p w14:paraId="1A92ACDC" w14:textId="2C2D6AA5" w:rsidR="00DE659D" w:rsidRPr="00DE659D" w:rsidRDefault="00DE659D" w:rsidP="00CE7357">
      <w:pPr>
        <w:pStyle w:val="Titre3"/>
        <w:rPr>
          <w:noProof/>
          <w:lang w:eastAsia="fr-BE"/>
        </w:rPr>
      </w:pPr>
      <w:bookmarkStart w:id="40" w:name="_Toc51512279"/>
      <w:r w:rsidRPr="00DE659D">
        <w:rPr>
          <w:noProof/>
          <w:lang w:eastAsia="fr-BE"/>
        </w:rPr>
        <w:t>Which variables to articulate on an accounting point of view?</w:t>
      </w:r>
      <w:bookmarkEnd w:id="40"/>
    </w:p>
    <w:p w14:paraId="07FE4021" w14:textId="77777777" w:rsidR="00DE659D" w:rsidRPr="00DE659D" w:rsidRDefault="00DE659D" w:rsidP="00DE659D">
      <w:pPr>
        <w:rPr>
          <w:noProof/>
          <w:color w:val="000000" w:themeColor="text1"/>
          <w:lang w:eastAsia="fr-BE"/>
        </w:rPr>
      </w:pPr>
      <w:r w:rsidRPr="00DE659D">
        <w:rPr>
          <w:noProof/>
          <w:color w:val="000000" w:themeColor="text1"/>
          <w:lang w:eastAsia="fr-BE"/>
        </w:rPr>
        <w:t>It has been shown that a full accounting articulation is impossible for all social and environmental variables. Although, is such articulation necessary in order to fulfil our initial goal – helping the coordination of ideas, actions, and evaluation towards a socio-ecological transformation? On the one hand, reducing the scope of possible accounting articulations also reduces the practical interest of articulated indicators. On the other hand, history shows that the consistency between GDP and business financial indicators is not only an accounting aggregation. It is also due to a strong conceptual articulation. In the design of alternative indicators, it is still possible to articulate some variables from an accounting point of view, even if not all of them.</w:t>
      </w:r>
    </w:p>
    <w:p w14:paraId="3FEEDB0D"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way to articulate macro and business levels indicators would thus consist in a mix: indicators including many variables, with only some of them articulated through accounting articulation. Which would these variables be? In other words, what would be the specific conditions under which an accounting articulation is possible? </w:t>
      </w:r>
    </w:p>
    <w:p w14:paraId="495649E1"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Firstly, the information measured should be a characteristic of both the business and the macro level. This means articulating variables such as carbon emissions or work satisfaction, while discarding variables like life expectancy, life satisfaction or obesity at the business level. This condition is by far the most demanding. </w:t>
      </w:r>
    </w:p>
    <w:p w14:paraId="0E5D1382"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Secondly, the variables should not be process or impact assessment variables. As shown, these types of variables are very </w:t>
      </w:r>
      <w:r w:rsidRPr="00DE659D">
        <w:rPr>
          <w:noProof/>
          <w:color w:val="000000" w:themeColor="text1"/>
          <w:lang w:eastAsia="fr-BE"/>
        </w:rPr>
        <w:lastRenderedPageBreak/>
        <w:t xml:space="preserve">difficult or almost impossible to aggregate properly. Output or outcome variables should then be the subject of accounting articulation. </w:t>
      </w:r>
    </w:p>
    <w:p w14:paraId="23C222BE" w14:textId="25AD8E52" w:rsidR="00DE659D" w:rsidRPr="00DE659D" w:rsidRDefault="00DE659D" w:rsidP="00DE659D">
      <w:pPr>
        <w:rPr>
          <w:noProof/>
          <w:color w:val="000000" w:themeColor="text1"/>
          <w:lang w:eastAsia="fr-BE"/>
        </w:rPr>
      </w:pPr>
      <w:r w:rsidRPr="00DE659D">
        <w:rPr>
          <w:noProof/>
          <w:color w:val="000000" w:themeColor="text1"/>
          <w:lang w:eastAsia="fr-BE"/>
        </w:rPr>
        <w:t xml:space="preserve">If we apply these conditions to the variables present in indicators such as GNH and SDG, we can exclude most variables present in these indicators, as shown in Table </w:t>
      </w:r>
      <w:r w:rsidR="008F46DD">
        <w:rPr>
          <w:noProof/>
          <w:color w:val="000000" w:themeColor="text1"/>
          <w:lang w:eastAsia="fr-BE"/>
        </w:rPr>
        <w:t>3</w:t>
      </w:r>
      <w:r w:rsidRPr="00DE659D">
        <w:rPr>
          <w:noProof/>
          <w:color w:val="000000" w:themeColor="text1"/>
          <w:lang w:eastAsia="fr-BE"/>
        </w:rPr>
        <w:t>. For the sake of concision, only a subset of the variables present in these indicators are shown.</w:t>
      </w:r>
    </w:p>
    <w:p w14:paraId="57092D5E" w14:textId="77777777" w:rsidR="008F46DD" w:rsidRPr="00DE659D" w:rsidRDefault="008F46DD" w:rsidP="008F46DD">
      <w:pPr>
        <w:rPr>
          <w:noProof/>
          <w:color w:val="000000" w:themeColor="text1"/>
          <w:lang w:eastAsia="fr-BE"/>
        </w:rPr>
      </w:pPr>
      <w:r w:rsidRPr="00DE659D">
        <w:rPr>
          <w:noProof/>
          <w:color w:val="000000" w:themeColor="text1"/>
          <w:lang w:eastAsia="fr-BE"/>
        </w:rPr>
        <w:t xml:space="preserve">This table shows that most variables present in the two selected indicators are unfit for a systematic accounting articulation. It also shows which variables could be included in indicators aiming to have an accounting articulation. Among social variables, most of those which fit are in fact traditional socio-economic variables. Among environmental variables, emissions and consumption are the most feasible for accounting articulation. </w:t>
      </w:r>
    </w:p>
    <w:p w14:paraId="69BB958F" w14:textId="77777777" w:rsidR="00DE659D" w:rsidRPr="00DE659D" w:rsidRDefault="00DE659D" w:rsidP="00DE659D">
      <w:pPr>
        <w:rPr>
          <w:noProof/>
          <w:color w:val="000000" w:themeColor="text1"/>
          <w:lang w:eastAsia="fr-BE"/>
        </w:rPr>
      </w:pPr>
    </w:p>
    <w:p w14:paraId="5C65742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br w:type="page"/>
      </w:r>
    </w:p>
    <w:p w14:paraId="3B26CB66" w14:textId="29F91DF4"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 xml:space="preserve">Table </w:t>
      </w:r>
      <w:r w:rsidR="008F46DD">
        <w:rPr>
          <w:noProof/>
          <w:color w:val="000000" w:themeColor="text1"/>
          <w:lang w:val="en-US" w:eastAsia="fr-BE"/>
        </w:rPr>
        <w:t>3</w:t>
      </w:r>
      <w:r w:rsidRPr="00DE659D">
        <w:rPr>
          <w:noProof/>
          <w:color w:val="000000" w:themeColor="text1"/>
          <w:lang w:val="en-US" w:eastAsia="fr-BE"/>
        </w:rPr>
        <w:t>. Can these variables from GNH and SDGs be subject to accounting articulation?</w:t>
      </w:r>
    </w:p>
    <w:tbl>
      <w:tblPr>
        <w:tblStyle w:val="TableauGrille1Clair-Accentuation31"/>
        <w:tblW w:w="7938" w:type="dxa"/>
        <w:tblInd w:w="-572" w:type="dxa"/>
        <w:tblLayout w:type="fixed"/>
        <w:tblLook w:val="04A0" w:firstRow="1" w:lastRow="0" w:firstColumn="1" w:lastColumn="0" w:noHBand="0" w:noVBand="1"/>
      </w:tblPr>
      <w:tblGrid>
        <w:gridCol w:w="846"/>
        <w:gridCol w:w="3558"/>
        <w:gridCol w:w="3534"/>
      </w:tblGrid>
      <w:tr w:rsidR="00DE659D" w:rsidRPr="00DE659D" w14:paraId="603609CA" w14:textId="77777777" w:rsidTr="00DE659D">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846" w:type="dxa"/>
            <w:textDirection w:val="btLr"/>
          </w:tcPr>
          <w:p w14:paraId="5A55D4DB" w14:textId="77777777" w:rsidR="00DE659D" w:rsidRPr="008F46DD" w:rsidRDefault="00DE659D" w:rsidP="00DE659D">
            <w:pPr>
              <w:spacing w:after="160"/>
              <w:rPr>
                <w:noProof/>
                <w:color w:val="000000" w:themeColor="text1"/>
                <w:sz w:val="24"/>
                <w:lang w:val="en-US" w:eastAsia="fr-BE"/>
              </w:rPr>
            </w:pPr>
          </w:p>
        </w:tc>
        <w:tc>
          <w:tcPr>
            <w:tcW w:w="3558" w:type="dxa"/>
          </w:tcPr>
          <w:p w14:paraId="29D3B65E" w14:textId="77777777" w:rsidR="00DE659D" w:rsidRPr="008F46DD" w:rsidRDefault="00DE659D" w:rsidP="00DE659D">
            <w:pPr>
              <w:spacing w:after="16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Social</w:t>
            </w:r>
          </w:p>
        </w:tc>
        <w:tc>
          <w:tcPr>
            <w:tcW w:w="3534" w:type="dxa"/>
          </w:tcPr>
          <w:p w14:paraId="3A0801B3" w14:textId="77777777" w:rsidR="00DE659D" w:rsidRPr="008F46DD" w:rsidRDefault="00DE659D" w:rsidP="00DE659D">
            <w:pPr>
              <w:spacing w:after="16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Environmental</w:t>
            </w:r>
          </w:p>
        </w:tc>
      </w:tr>
      <w:tr w:rsidR="00DE659D" w:rsidRPr="00DE659D" w14:paraId="5E89D792"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14227B74" w14:textId="77777777" w:rsidR="00DE659D" w:rsidRPr="008F46DD" w:rsidRDefault="00DE659D" w:rsidP="008F46DD">
            <w:pPr>
              <w:spacing w:after="160"/>
              <w:jc w:val="center"/>
              <w:rPr>
                <w:noProof/>
                <w:color w:val="000000" w:themeColor="text1"/>
                <w:sz w:val="24"/>
                <w:lang w:val="en-US" w:eastAsia="fr-BE"/>
              </w:rPr>
            </w:pPr>
            <w:r w:rsidRPr="008F46DD">
              <w:rPr>
                <w:noProof/>
                <w:color w:val="000000" w:themeColor="text1"/>
                <w:sz w:val="24"/>
                <w:lang w:val="en-US" w:eastAsia="fr-BE"/>
              </w:rPr>
              <w:t>Yes</w:t>
            </w:r>
          </w:p>
        </w:tc>
        <w:tc>
          <w:tcPr>
            <w:tcW w:w="3558" w:type="dxa"/>
            <w:tcBorders>
              <w:top w:val="single" w:sz="12" w:space="0" w:color="C9C9C9" w:themeColor="accent3" w:themeTint="99"/>
            </w:tcBorders>
          </w:tcPr>
          <w:p w14:paraId="09E6C84B"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Wage gap</w:t>
            </w:r>
          </w:p>
        </w:tc>
        <w:tc>
          <w:tcPr>
            <w:tcW w:w="3534" w:type="dxa"/>
            <w:tcBorders>
              <w:top w:val="single" w:sz="12" w:space="0" w:color="C9C9C9" w:themeColor="accent3" w:themeTint="99"/>
            </w:tcBorders>
          </w:tcPr>
          <w:p w14:paraId="759E8CBB"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CO2 emissions</w:t>
            </w:r>
          </w:p>
        </w:tc>
      </w:tr>
      <w:tr w:rsidR="00DE659D" w:rsidRPr="00DE659D" w14:paraId="46C403A6"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691FDCC5" w14:textId="77777777" w:rsidR="00DE659D" w:rsidRPr="008F46DD" w:rsidRDefault="00DE659D" w:rsidP="008F46DD">
            <w:pPr>
              <w:spacing w:after="160"/>
              <w:jc w:val="center"/>
              <w:rPr>
                <w:noProof/>
                <w:color w:val="000000" w:themeColor="text1"/>
                <w:sz w:val="24"/>
                <w:lang w:val="en-US" w:eastAsia="fr-BE"/>
              </w:rPr>
            </w:pPr>
          </w:p>
        </w:tc>
        <w:tc>
          <w:tcPr>
            <w:tcW w:w="3558" w:type="dxa"/>
          </w:tcPr>
          <w:p w14:paraId="06655E84"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Wage gap by gender</w:t>
            </w:r>
          </w:p>
        </w:tc>
        <w:tc>
          <w:tcPr>
            <w:tcW w:w="3534" w:type="dxa"/>
          </w:tcPr>
          <w:p w14:paraId="79E7A57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Imported CO2 emissions</w:t>
            </w:r>
          </w:p>
        </w:tc>
      </w:tr>
      <w:tr w:rsidR="00DE659D" w:rsidRPr="00DE659D" w14:paraId="3FAF4CCA"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68CCD856" w14:textId="77777777" w:rsidR="00DE659D" w:rsidRPr="008F46DD" w:rsidRDefault="00DE659D" w:rsidP="008F46DD">
            <w:pPr>
              <w:spacing w:after="160"/>
              <w:jc w:val="center"/>
              <w:rPr>
                <w:noProof/>
                <w:color w:val="000000" w:themeColor="text1"/>
                <w:sz w:val="24"/>
                <w:lang w:val="en-US" w:eastAsia="fr-BE"/>
              </w:rPr>
            </w:pPr>
          </w:p>
        </w:tc>
        <w:tc>
          <w:tcPr>
            <w:tcW w:w="3558" w:type="dxa"/>
          </w:tcPr>
          <w:p w14:paraId="15943DB3"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Ratio of female to male labour force participation rate</w:t>
            </w:r>
          </w:p>
        </w:tc>
        <w:tc>
          <w:tcPr>
            <w:tcW w:w="3534" w:type="dxa"/>
          </w:tcPr>
          <w:p w14:paraId="730FC96D"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SO2 production</w:t>
            </w:r>
          </w:p>
        </w:tc>
      </w:tr>
      <w:tr w:rsidR="00DE659D" w:rsidRPr="00DE659D" w14:paraId="4CA89922"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4321B454" w14:textId="77777777" w:rsidR="00DE659D" w:rsidRPr="008F46DD" w:rsidRDefault="00DE659D" w:rsidP="008F46DD">
            <w:pPr>
              <w:spacing w:after="160"/>
              <w:jc w:val="center"/>
              <w:rPr>
                <w:noProof/>
                <w:color w:val="000000" w:themeColor="text1"/>
                <w:sz w:val="24"/>
                <w:lang w:val="en-US" w:eastAsia="fr-BE"/>
              </w:rPr>
            </w:pPr>
          </w:p>
        </w:tc>
        <w:tc>
          <w:tcPr>
            <w:tcW w:w="3558" w:type="dxa"/>
          </w:tcPr>
          <w:p w14:paraId="7F0FD746"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Working hours</w:t>
            </w:r>
          </w:p>
        </w:tc>
        <w:tc>
          <w:tcPr>
            <w:tcW w:w="3534" w:type="dxa"/>
          </w:tcPr>
          <w:p w14:paraId="1DC293B0"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Nitrogen production</w:t>
            </w:r>
          </w:p>
        </w:tc>
      </w:tr>
      <w:tr w:rsidR="00DE659D" w:rsidRPr="00DE659D" w14:paraId="0EFCB279"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cBorders>
              <w:bottom w:val="single" w:sz="12" w:space="0" w:color="C9C9C9" w:themeColor="accent3" w:themeTint="99"/>
            </w:tcBorders>
            <w:textDirection w:val="btLr"/>
          </w:tcPr>
          <w:p w14:paraId="7B079127" w14:textId="77777777" w:rsidR="00DE659D" w:rsidRPr="008F46DD" w:rsidRDefault="00DE659D" w:rsidP="008F46DD">
            <w:pPr>
              <w:spacing w:after="160"/>
              <w:jc w:val="center"/>
              <w:rPr>
                <w:noProof/>
                <w:color w:val="000000" w:themeColor="text1"/>
                <w:sz w:val="24"/>
                <w:lang w:val="en-US" w:eastAsia="fr-BE"/>
              </w:rPr>
            </w:pPr>
          </w:p>
        </w:tc>
        <w:tc>
          <w:tcPr>
            <w:tcW w:w="3558" w:type="dxa"/>
            <w:tcBorders>
              <w:bottom w:val="single" w:sz="12" w:space="0" w:color="C9C9C9" w:themeColor="accent3" w:themeTint="99"/>
            </w:tcBorders>
          </w:tcPr>
          <w:p w14:paraId="6C588345"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Job satisfaction</w:t>
            </w:r>
          </w:p>
        </w:tc>
        <w:tc>
          <w:tcPr>
            <w:tcW w:w="3534" w:type="dxa"/>
            <w:tcBorders>
              <w:bottom w:val="single" w:sz="12" w:space="0" w:color="C9C9C9" w:themeColor="accent3" w:themeTint="99"/>
            </w:tcBorders>
          </w:tcPr>
          <w:p w14:paraId="1AB0E2E2"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Freshwater withdrawal</w:t>
            </w:r>
          </w:p>
        </w:tc>
      </w:tr>
      <w:tr w:rsidR="00DE659D" w:rsidRPr="00DE659D" w14:paraId="03F2547A"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12" w:space="0" w:color="C9C9C9" w:themeColor="accent3" w:themeTint="99"/>
            </w:tcBorders>
            <w:textDirection w:val="btLr"/>
          </w:tcPr>
          <w:p w14:paraId="0F57928B" w14:textId="77777777" w:rsidR="00DE659D" w:rsidRPr="008F46DD" w:rsidRDefault="00DE659D" w:rsidP="008F46DD">
            <w:pPr>
              <w:spacing w:after="160"/>
              <w:jc w:val="center"/>
              <w:rPr>
                <w:noProof/>
                <w:color w:val="000000" w:themeColor="text1"/>
                <w:sz w:val="24"/>
                <w:lang w:val="en-US" w:eastAsia="fr-BE"/>
              </w:rPr>
            </w:pPr>
            <w:r w:rsidRPr="008F46DD">
              <w:rPr>
                <w:noProof/>
                <w:color w:val="000000" w:themeColor="text1"/>
                <w:sz w:val="24"/>
                <w:lang w:val="en-US" w:eastAsia="fr-BE"/>
              </w:rPr>
              <w:t>No</w:t>
            </w:r>
          </w:p>
        </w:tc>
        <w:tc>
          <w:tcPr>
            <w:tcW w:w="3558" w:type="dxa"/>
            <w:tcBorders>
              <w:top w:val="single" w:sz="12" w:space="0" w:color="C9C9C9" w:themeColor="accent3" w:themeTint="99"/>
            </w:tcBorders>
          </w:tcPr>
          <w:p w14:paraId="2D9D9605"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Life expectancy</w:t>
            </w:r>
          </w:p>
        </w:tc>
        <w:tc>
          <w:tcPr>
            <w:tcW w:w="3534" w:type="dxa"/>
            <w:tcBorders>
              <w:top w:val="single" w:sz="12" w:space="0" w:color="C9C9C9" w:themeColor="accent3" w:themeTint="99"/>
            </w:tcBorders>
          </w:tcPr>
          <w:p w14:paraId="11910826"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en-US" w:eastAsia="fr-BE"/>
              </w:rPr>
              <w:t>Feeling of responsibility towards the environment</w:t>
            </w:r>
          </w:p>
        </w:tc>
      </w:tr>
      <w:tr w:rsidR="00DE659D" w:rsidRPr="00DE659D" w14:paraId="5F8E38E7"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029F886B" w14:textId="77777777" w:rsidR="00DE659D" w:rsidRPr="008F46DD" w:rsidRDefault="00DE659D" w:rsidP="00DE659D">
            <w:pPr>
              <w:spacing w:after="160"/>
              <w:rPr>
                <w:noProof/>
                <w:color w:val="000000" w:themeColor="text1"/>
                <w:sz w:val="24"/>
                <w:lang w:val="en-US" w:eastAsia="fr-BE"/>
              </w:rPr>
            </w:pPr>
          </w:p>
        </w:tc>
        <w:tc>
          <w:tcPr>
            <w:tcW w:w="3558" w:type="dxa"/>
          </w:tcPr>
          <w:p w14:paraId="3D4117E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Adult literacy and enrollment</w:t>
            </w:r>
          </w:p>
        </w:tc>
        <w:tc>
          <w:tcPr>
            <w:tcW w:w="3534" w:type="dxa"/>
          </w:tcPr>
          <w:p w14:paraId="053F117A"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Wildlife damage perception</w:t>
            </w:r>
          </w:p>
        </w:tc>
      </w:tr>
      <w:tr w:rsidR="00DE659D" w:rsidRPr="00DE659D" w14:paraId="06629195"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6E29EFF9" w14:textId="77777777" w:rsidR="00DE659D" w:rsidRPr="008F46DD" w:rsidRDefault="00DE659D" w:rsidP="00DE659D">
            <w:pPr>
              <w:spacing w:after="160"/>
              <w:rPr>
                <w:noProof/>
                <w:color w:val="000000" w:themeColor="text1"/>
                <w:sz w:val="24"/>
                <w:lang w:val="en-US" w:eastAsia="fr-BE"/>
              </w:rPr>
            </w:pPr>
          </w:p>
        </w:tc>
        <w:tc>
          <w:tcPr>
            <w:tcW w:w="3558" w:type="dxa"/>
          </w:tcPr>
          <w:p w14:paraId="59E81F89"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hu-HU" w:eastAsia="fr-BE"/>
              </w:rPr>
              <w:t xml:space="preserve">Poverty headcount ratio </w:t>
            </w:r>
          </w:p>
        </w:tc>
        <w:tc>
          <w:tcPr>
            <w:tcW w:w="3534" w:type="dxa"/>
          </w:tcPr>
          <w:p w14:paraId="390EC32E"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en-US" w:eastAsia="fr-BE"/>
              </w:rPr>
              <w:t>Perceived ecological issues</w:t>
            </w:r>
          </w:p>
        </w:tc>
      </w:tr>
      <w:tr w:rsidR="00DE659D" w:rsidRPr="00DE659D" w14:paraId="51CF8B41"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0E77BAC1" w14:textId="77777777" w:rsidR="00DE659D" w:rsidRPr="008F46DD" w:rsidRDefault="00DE659D" w:rsidP="00DE659D">
            <w:pPr>
              <w:spacing w:after="160"/>
              <w:rPr>
                <w:noProof/>
                <w:color w:val="000000" w:themeColor="text1"/>
                <w:sz w:val="24"/>
                <w:lang w:val="en-US" w:eastAsia="fr-BE"/>
              </w:rPr>
            </w:pPr>
          </w:p>
        </w:tc>
        <w:tc>
          <w:tcPr>
            <w:tcW w:w="3558" w:type="dxa"/>
          </w:tcPr>
          <w:p w14:paraId="22442561"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 internet users</w:t>
            </w:r>
          </w:p>
        </w:tc>
        <w:tc>
          <w:tcPr>
            <w:tcW w:w="3534" w:type="dxa"/>
          </w:tcPr>
          <w:p w14:paraId="2B5AB49C"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Urbanisation issues</w:t>
            </w:r>
          </w:p>
        </w:tc>
      </w:tr>
      <w:tr w:rsidR="00DE659D" w:rsidRPr="00DE659D" w14:paraId="260336E4"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221E1A80" w14:textId="77777777" w:rsidR="00DE659D" w:rsidRPr="008F46DD" w:rsidRDefault="00DE659D" w:rsidP="00DE659D">
            <w:pPr>
              <w:spacing w:after="160"/>
              <w:rPr>
                <w:noProof/>
                <w:color w:val="000000" w:themeColor="text1"/>
                <w:sz w:val="24"/>
                <w:lang w:val="en-US" w:eastAsia="fr-BE"/>
              </w:rPr>
            </w:pPr>
          </w:p>
        </w:tc>
        <w:tc>
          <w:tcPr>
            <w:tcW w:w="3558" w:type="dxa"/>
          </w:tcPr>
          <w:p w14:paraId="77EB6AD3"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University rankings</w:t>
            </w:r>
          </w:p>
        </w:tc>
        <w:tc>
          <w:tcPr>
            <w:tcW w:w="3534" w:type="dxa"/>
          </w:tcPr>
          <w:p w14:paraId="1D6E280D"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r w:rsidRPr="008F46DD">
              <w:rPr>
                <w:noProof/>
                <w:color w:val="000000" w:themeColor="text1"/>
                <w:sz w:val="24"/>
                <w:lang w:val="hu-HU" w:eastAsia="fr-BE"/>
              </w:rPr>
              <w:t>Climate change vulnerability</w:t>
            </w:r>
          </w:p>
        </w:tc>
      </w:tr>
      <w:tr w:rsidR="00DE659D" w:rsidRPr="00DE659D" w14:paraId="19452224"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645D9D32" w14:textId="77777777" w:rsidR="00DE659D" w:rsidRPr="008F46DD" w:rsidRDefault="00DE659D" w:rsidP="00DE659D">
            <w:pPr>
              <w:spacing w:after="160"/>
              <w:rPr>
                <w:noProof/>
                <w:color w:val="000000" w:themeColor="text1"/>
                <w:sz w:val="24"/>
                <w:lang w:val="en-US" w:eastAsia="fr-BE"/>
              </w:rPr>
            </w:pPr>
          </w:p>
        </w:tc>
        <w:tc>
          <w:tcPr>
            <w:tcW w:w="3558" w:type="dxa"/>
          </w:tcPr>
          <w:p w14:paraId="7664753B"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Housing quality</w:t>
            </w:r>
          </w:p>
        </w:tc>
        <w:tc>
          <w:tcPr>
            <w:tcW w:w="3534" w:type="dxa"/>
          </w:tcPr>
          <w:p w14:paraId="06F2521F"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p>
        </w:tc>
      </w:tr>
      <w:tr w:rsidR="00DE659D" w:rsidRPr="00DE659D" w14:paraId="4BD8FB0C"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0C3B7F5F" w14:textId="77777777" w:rsidR="00DE659D" w:rsidRPr="008F46DD" w:rsidRDefault="00DE659D" w:rsidP="00DE659D">
            <w:pPr>
              <w:spacing w:after="160"/>
              <w:rPr>
                <w:noProof/>
                <w:color w:val="000000" w:themeColor="text1"/>
                <w:sz w:val="24"/>
                <w:lang w:val="en-US" w:eastAsia="fr-BE"/>
              </w:rPr>
            </w:pPr>
          </w:p>
        </w:tc>
        <w:tc>
          <w:tcPr>
            <w:tcW w:w="3558" w:type="dxa"/>
          </w:tcPr>
          <w:p w14:paraId="61920D24"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Life satisfaction</w:t>
            </w:r>
          </w:p>
        </w:tc>
        <w:tc>
          <w:tcPr>
            <w:tcW w:w="3534" w:type="dxa"/>
          </w:tcPr>
          <w:p w14:paraId="3B0F0FAC"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p>
        </w:tc>
      </w:tr>
      <w:tr w:rsidR="00DE659D" w:rsidRPr="00DE659D" w14:paraId="5BA2E6E7"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5E23D2B9" w14:textId="77777777" w:rsidR="00DE659D" w:rsidRPr="008F46DD" w:rsidRDefault="00DE659D" w:rsidP="00DE659D">
            <w:pPr>
              <w:spacing w:after="160"/>
              <w:rPr>
                <w:noProof/>
                <w:color w:val="000000" w:themeColor="text1"/>
                <w:sz w:val="24"/>
                <w:lang w:val="en-US" w:eastAsia="fr-BE"/>
              </w:rPr>
            </w:pPr>
          </w:p>
        </w:tc>
        <w:tc>
          <w:tcPr>
            <w:tcW w:w="3558" w:type="dxa"/>
          </w:tcPr>
          <w:p w14:paraId="1F57FB78"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Positive emotions</w:t>
            </w:r>
          </w:p>
        </w:tc>
        <w:tc>
          <w:tcPr>
            <w:tcW w:w="3534" w:type="dxa"/>
          </w:tcPr>
          <w:p w14:paraId="0D56F287"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p>
        </w:tc>
      </w:tr>
      <w:tr w:rsidR="00DE659D" w:rsidRPr="00DE659D" w14:paraId="39261D21"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13811F29" w14:textId="77777777" w:rsidR="00DE659D" w:rsidRPr="008F46DD" w:rsidRDefault="00DE659D" w:rsidP="00DE659D">
            <w:pPr>
              <w:spacing w:after="160"/>
              <w:rPr>
                <w:noProof/>
                <w:color w:val="000000" w:themeColor="text1"/>
                <w:sz w:val="24"/>
                <w:lang w:val="en-US" w:eastAsia="fr-BE"/>
              </w:rPr>
            </w:pPr>
          </w:p>
        </w:tc>
        <w:tc>
          <w:tcPr>
            <w:tcW w:w="3558" w:type="dxa"/>
          </w:tcPr>
          <w:p w14:paraId="5B95294E"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Good (public) governance</w:t>
            </w:r>
          </w:p>
        </w:tc>
        <w:tc>
          <w:tcPr>
            <w:tcW w:w="3534" w:type="dxa"/>
          </w:tcPr>
          <w:p w14:paraId="045E8522"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p>
        </w:tc>
      </w:tr>
      <w:tr w:rsidR="00DE659D" w:rsidRPr="00DE659D" w14:paraId="1D0E8141" w14:textId="77777777" w:rsidTr="00DE659D">
        <w:trPr>
          <w:trHeight w:val="284"/>
        </w:trPr>
        <w:tc>
          <w:tcPr>
            <w:cnfStyle w:val="001000000000" w:firstRow="0" w:lastRow="0" w:firstColumn="1" w:lastColumn="0" w:oddVBand="0" w:evenVBand="0" w:oddHBand="0" w:evenHBand="0" w:firstRowFirstColumn="0" w:firstRowLastColumn="0" w:lastRowFirstColumn="0" w:lastRowLastColumn="0"/>
            <w:tcW w:w="846" w:type="dxa"/>
            <w:vMerge/>
            <w:textDirection w:val="btLr"/>
          </w:tcPr>
          <w:p w14:paraId="0638422D" w14:textId="77777777" w:rsidR="00DE659D" w:rsidRPr="008F46DD" w:rsidRDefault="00DE659D" w:rsidP="00DE659D">
            <w:pPr>
              <w:spacing w:after="160"/>
              <w:rPr>
                <w:noProof/>
                <w:color w:val="000000" w:themeColor="text1"/>
                <w:sz w:val="24"/>
                <w:lang w:val="en-US" w:eastAsia="fr-BE"/>
              </w:rPr>
            </w:pPr>
          </w:p>
        </w:tc>
        <w:tc>
          <w:tcPr>
            <w:tcW w:w="3558" w:type="dxa"/>
          </w:tcPr>
          <w:p w14:paraId="374F5AE4"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F46DD">
              <w:rPr>
                <w:noProof/>
                <w:color w:val="000000" w:themeColor="text1"/>
                <w:sz w:val="24"/>
                <w:lang w:val="en-US" w:eastAsia="fr-BE"/>
              </w:rPr>
              <w:t>…</w:t>
            </w:r>
          </w:p>
        </w:tc>
        <w:tc>
          <w:tcPr>
            <w:tcW w:w="3534" w:type="dxa"/>
          </w:tcPr>
          <w:p w14:paraId="7A5EAC8C" w14:textId="77777777" w:rsidR="00DE659D" w:rsidRPr="008F46DD"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hu-HU" w:eastAsia="fr-BE"/>
              </w:rPr>
            </w:pPr>
          </w:p>
        </w:tc>
      </w:tr>
    </w:tbl>
    <w:p w14:paraId="508160F8" w14:textId="77777777" w:rsidR="00DE659D" w:rsidRPr="00DE659D" w:rsidRDefault="00DE659D" w:rsidP="00DE659D">
      <w:pPr>
        <w:rPr>
          <w:noProof/>
          <w:color w:val="000000" w:themeColor="text1"/>
          <w:lang w:eastAsia="fr-BE"/>
        </w:rPr>
      </w:pPr>
    </w:p>
    <w:p w14:paraId="457B1461" w14:textId="4EB68212" w:rsidR="00DE659D" w:rsidRPr="00DE659D" w:rsidRDefault="00DE659D" w:rsidP="00DE659D">
      <w:pPr>
        <w:rPr>
          <w:noProof/>
          <w:color w:val="000000" w:themeColor="text1"/>
          <w:lang w:val="en-US" w:eastAsia="fr-BE"/>
        </w:rPr>
      </w:pPr>
      <w:r w:rsidRPr="00DE659D">
        <w:rPr>
          <w:noProof/>
          <w:color w:val="000000" w:themeColor="text1"/>
          <w:lang w:val="en-US" w:eastAsia="fr-BE"/>
        </w:rPr>
        <w:t>A third criterion that could be added would be the relevance for users: for which of these variables is it relevant to reach an accounting articulation? If gathering the information for such articulation has a cost, it should be done when the information will effectively be useful for business and government.</w:t>
      </w:r>
      <w:r w:rsidRPr="00DE659D">
        <w:rPr>
          <w:noProof/>
          <w:color w:val="000000" w:themeColor="text1"/>
          <w:lang w:eastAsia="fr-BE"/>
        </w:rPr>
        <w:t xml:space="preserve"> For which variables in Table </w:t>
      </w:r>
      <w:r w:rsidR="008F46DD">
        <w:rPr>
          <w:noProof/>
          <w:color w:val="000000" w:themeColor="text1"/>
          <w:lang w:eastAsia="fr-BE"/>
        </w:rPr>
        <w:t>3</w:t>
      </w:r>
      <w:r w:rsidRPr="00DE659D">
        <w:rPr>
          <w:noProof/>
          <w:color w:val="000000" w:themeColor="text1"/>
          <w:lang w:eastAsia="fr-BE"/>
        </w:rPr>
        <w:t xml:space="preserve"> would this be the case? It seems that with the climate momentum started in 2018 in several countries, variables of climate change such as carbon emissions are of particular interest </w:t>
      </w:r>
      <w:r w:rsidRPr="00DE659D">
        <w:rPr>
          <w:noProof/>
          <w:color w:val="000000" w:themeColor="text1"/>
          <w:lang w:eastAsia="fr-BE"/>
        </w:rPr>
        <w:lastRenderedPageBreak/>
        <w:t xml:space="preserve">both at the macro and the business level. Users at both levels can find an interest in an accounting articulation for carbon emissions. It would allow businesses to develop more precise science-based targets by using macro level requirements on carbon emissions (while the measurement would be the same at both levels). And it would also permit better comparisons of businesses as in the case of best in class rankings. In addition, it would allow governments to have access to better data on carbon emissions, directly derived from businesses (and not from estimations). This improved data would be mainly useful for governments as they are key elements of a carbon emissions reduction strategy. In this respect, a strategy of quotas on carbon emissions by sector could be a start. This would require precise data on the carbon emissions in each sector, which could be provided by businesses. In this case, the compulsory measure of carbon emissions by businesses would be useful for both businesses (to improve science-based targets and benchmarking) and for governments (to monitor a quota policy). </w:t>
      </w:r>
    </w:p>
    <w:p w14:paraId="1DC9AD26" w14:textId="77777777" w:rsidR="00DE659D" w:rsidRPr="00DE659D" w:rsidRDefault="00DE659D" w:rsidP="00DE659D">
      <w:pPr>
        <w:rPr>
          <w:noProof/>
          <w:color w:val="000000" w:themeColor="text1"/>
          <w:lang w:val="en-US" w:eastAsia="fr-BE"/>
        </w:rPr>
      </w:pPr>
      <w:r w:rsidRPr="00DE659D">
        <w:rPr>
          <w:noProof/>
          <w:color w:val="000000" w:themeColor="text1"/>
          <w:lang w:eastAsia="fr-BE"/>
        </w:rPr>
        <w:t>If the political momentum on climate change is prolonged to other environmental issues, other variables could be relevant for an accounting articulation. A detailed list of accounting references focusing on environmental issues has been proposed by Schaltegger (2018). This list, which includes freshwater use, chemical pollution, nitrogen accounting… can be a base of issues on which it is possible to develop an accounting articulation between the macro and the business level.</w:t>
      </w:r>
    </w:p>
    <w:p w14:paraId="5D045176" w14:textId="787673DC" w:rsidR="00DE659D" w:rsidRPr="00DE659D" w:rsidRDefault="00DE659D" w:rsidP="00DE659D">
      <w:pPr>
        <w:pStyle w:val="Titre2"/>
        <w:rPr>
          <w:noProof/>
          <w:lang w:val="en-US" w:eastAsia="fr-BE"/>
        </w:rPr>
      </w:pPr>
      <w:bookmarkStart w:id="41" w:name="_Toc51512280"/>
      <w:r w:rsidRPr="00DE659D">
        <w:rPr>
          <w:noProof/>
          <w:lang w:val="en-US" w:eastAsia="fr-BE"/>
        </w:rPr>
        <w:t>Conclusion</w:t>
      </w:r>
      <w:bookmarkEnd w:id="41"/>
    </w:p>
    <w:p w14:paraId="09B600B9"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research presented in this paper has shown that the micro-macro consistency of traditional accounting has mainly been derived from the interweaving of the global issues it aimed to monitor, be it Fordism, growth or institutional compromises. The use of similar concepts both at the macro and the business level ensures a conceptual articulation, while the measure of similar elements at the two levels establish an accounting articulation. However, the overall articulation of GDP and business financial indicators has nonetheless been limited. One the one hand, different accounting conventions </w:t>
      </w:r>
      <w:r w:rsidRPr="00DE659D">
        <w:rPr>
          <w:noProof/>
          <w:color w:val="000000" w:themeColor="text1"/>
          <w:lang w:eastAsia="fr-BE"/>
        </w:rPr>
        <w:lastRenderedPageBreak/>
        <w:t xml:space="preserve">have been formed at both levels. On the other, main indicators for daily monitoring of businesses have never had any link with the macro level. </w:t>
      </w:r>
    </w:p>
    <w:p w14:paraId="26467F6B"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From the results of this analysis, it seems probable that a better articulation of beyond GDP and businesses’ social and environmental indicators would be subject to the same process. That is, being articulated around a common goal, and being characterised at various degrees by conceptual and accounting articulation. Sustainable development and its current avatar – SDGs – constitute an increasingly shared goal. As both macro level actors and businesses can act upon this, it gives room for articulation of actions and of indicators. This paper claims that a better articulation of beyond GDP and businesses’ social and environmental indicators could, as in the case of traditional accounting, consider a mix of methods, some variables being common to both levels on an accounting basis, with others being specific to only one level. For the former group, a list of possible variables has been presented in the previous section. While for the latter group, the choice of variables should be made in accordance with the user’s or developer’s wishes. In this case, the important issue is to frame the indicator in such a way that the same domains, symbols and name are used at both levels. </w:t>
      </w:r>
    </w:p>
    <w:p w14:paraId="7992E6E9" w14:textId="77777777" w:rsidR="00DE659D" w:rsidRPr="00DE659D" w:rsidRDefault="00DE659D" w:rsidP="00DE659D">
      <w:pPr>
        <w:rPr>
          <w:noProof/>
          <w:color w:val="000000" w:themeColor="text1"/>
          <w:lang w:val="en-US" w:eastAsia="fr-BE"/>
        </w:rPr>
      </w:pPr>
      <w:r w:rsidRPr="00DE659D">
        <w:rPr>
          <w:noProof/>
          <w:color w:val="000000" w:themeColor="text1"/>
          <w:lang w:eastAsia="fr-BE"/>
        </w:rPr>
        <w:t xml:space="preserve">The fact that a full accounting-based articulation is considered impossible and irrelevant should not be overly seen as a weakening of the potential of a micro-macro articulation. In particular, it should not overshadow the practical interest of a conceptual articulation. Recalling the reasons why a business-macro articulation might be positive, several of them </w:t>
      </w:r>
      <w:r w:rsidRPr="00DE659D">
        <w:rPr>
          <w:noProof/>
          <w:color w:val="000000" w:themeColor="text1"/>
          <w:lang w:val="en-US" w:eastAsia="fr-BE"/>
        </w:rPr>
        <w:t xml:space="preserve">can be reached with a conceptual articulation only. It might already provide improvements in the coherence of ideas, actions, and evaluation between various levels. This is good news, because reaching an accounting articulation is more complicated and more costly than a conceptual one. An accounting articulation should be limited to the fields for which its benefits – the possibility to produce better macro level data and to use the same targets at both levels – exceed its costs. This might be the case for carbon emissions today, or for the wage gap, if fighting </w:t>
      </w:r>
      <w:r w:rsidRPr="00DE659D">
        <w:rPr>
          <w:noProof/>
          <w:color w:val="000000" w:themeColor="text1"/>
          <w:lang w:val="en-US" w:eastAsia="fr-BE"/>
        </w:rPr>
        <w:lastRenderedPageBreak/>
        <w:t>inequalities become a priority at the business level. The two types of articulation are thus complementary.</w:t>
      </w:r>
    </w:p>
    <w:p w14:paraId="13B17DF2" w14:textId="77777777" w:rsidR="00DE659D" w:rsidRPr="00DE659D" w:rsidRDefault="00DE659D" w:rsidP="00DE659D">
      <w:pPr>
        <w:rPr>
          <w:noProof/>
          <w:color w:val="000000" w:themeColor="text1"/>
          <w:lang w:eastAsia="fr-BE"/>
        </w:rPr>
      </w:pPr>
      <w:r w:rsidRPr="00DE659D">
        <w:rPr>
          <w:noProof/>
          <w:color w:val="000000" w:themeColor="text1"/>
          <w:lang w:eastAsia="fr-BE"/>
        </w:rPr>
        <w:t>As a conclusion to this paper, the recommendations that have been made throughout are summarised. These could be useful in the evaluation of current non-monetary indicators or in the creation of new ones. In sum, a better articulation of beyond GDP and businesses’ social and environmental indicators could take this form:</w:t>
      </w:r>
    </w:p>
    <w:p w14:paraId="1B3965CA" w14:textId="77777777" w:rsidR="00DE659D" w:rsidRPr="00DE659D" w:rsidRDefault="00DE659D" w:rsidP="00DE659D">
      <w:pPr>
        <w:rPr>
          <w:noProof/>
          <w:color w:val="000000" w:themeColor="text1"/>
          <w:lang w:eastAsia="fr-BE"/>
        </w:rPr>
      </w:pPr>
    </w:p>
    <w:p w14:paraId="0402A4B1"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Constructing indicators around a goal (such as GNH, SDGs…) which has the potential to gather macro and micro stakeholders.</w:t>
      </w:r>
    </w:p>
    <w:p w14:paraId="7474D784"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Designing indicators around domains which are common to the macro and the business level.</w:t>
      </w:r>
    </w:p>
    <w:p w14:paraId="417CCC27"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Using the same concepts, symbols, aggregation methods… at the macro and the business level.</w:t>
      </w:r>
    </w:p>
    <w:p w14:paraId="6BB0CEE7"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Not seeking a standardisation of variables across levels or across businesses, but using the most relevant variables for users.</w:t>
      </w:r>
    </w:p>
    <w:p w14:paraId="78FE72D8"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Using accounting articulation only for a subset of variables of the indicator, such as carbon emissions or the wage gap.</w:t>
      </w:r>
    </w:p>
    <w:p w14:paraId="5488BD48" w14:textId="77777777" w:rsidR="00DE659D" w:rsidRPr="00DE659D" w:rsidRDefault="00DE659D" w:rsidP="00524E26">
      <w:pPr>
        <w:numPr>
          <w:ilvl w:val="0"/>
          <w:numId w:val="3"/>
        </w:numPr>
        <w:rPr>
          <w:noProof/>
          <w:color w:val="000000" w:themeColor="text1"/>
          <w:lang w:eastAsia="fr-BE"/>
        </w:rPr>
      </w:pPr>
      <w:r w:rsidRPr="00DE659D">
        <w:rPr>
          <w:noProof/>
          <w:color w:val="000000" w:themeColor="text1"/>
          <w:lang w:eastAsia="fr-BE"/>
        </w:rPr>
        <w:t>Using consistent targets at both levels to reflect common ambitions.</w:t>
      </w:r>
    </w:p>
    <w:p w14:paraId="1CD253E4" w14:textId="77777777" w:rsidR="00DE659D" w:rsidRPr="00DE659D" w:rsidRDefault="00DE659D" w:rsidP="00DE659D">
      <w:pPr>
        <w:rPr>
          <w:noProof/>
          <w:color w:val="000000" w:themeColor="text1"/>
          <w:lang w:eastAsia="fr-BE"/>
        </w:rPr>
      </w:pPr>
    </w:p>
    <w:p w14:paraId="4BE91869" w14:textId="77777777" w:rsidR="00DE659D" w:rsidRPr="00DE659D" w:rsidRDefault="00DE659D" w:rsidP="00DE659D">
      <w:pPr>
        <w:rPr>
          <w:noProof/>
          <w:color w:val="000000" w:themeColor="text1"/>
          <w:lang w:eastAsia="fr-BE"/>
        </w:rPr>
      </w:pPr>
      <w:r w:rsidRPr="00DE659D">
        <w:rPr>
          <w:noProof/>
          <w:color w:val="000000" w:themeColor="text1"/>
          <w:lang w:eastAsia="fr-BE"/>
        </w:rPr>
        <w:t>This would permit minimising costs of a better articulation of indicators, while maximising its benefits for businesses and government.</w:t>
      </w:r>
    </w:p>
    <w:p w14:paraId="23B79A04" w14:textId="77777777" w:rsidR="008F46DD" w:rsidRDefault="008F46DD">
      <w:pPr>
        <w:spacing w:line="259" w:lineRule="auto"/>
        <w:ind w:firstLine="0"/>
        <w:jc w:val="left"/>
        <w:rPr>
          <w:noProof/>
          <w:sz w:val="32"/>
          <w:lang w:val="en-US" w:eastAsia="fr-BE"/>
        </w:rPr>
      </w:pPr>
      <w:r>
        <w:rPr>
          <w:noProof/>
          <w:lang w:val="en-US" w:eastAsia="fr-BE"/>
        </w:rPr>
        <w:br w:type="page"/>
      </w:r>
    </w:p>
    <w:p w14:paraId="485A5208" w14:textId="161E4E89" w:rsidR="00DE659D" w:rsidRPr="00DE659D" w:rsidRDefault="00DE659D" w:rsidP="00DE659D">
      <w:pPr>
        <w:pStyle w:val="Titre2"/>
        <w:numPr>
          <w:ilvl w:val="0"/>
          <w:numId w:val="0"/>
        </w:numPr>
        <w:ind w:left="360"/>
        <w:rPr>
          <w:noProof/>
          <w:lang w:val="en-US" w:eastAsia="fr-BE"/>
        </w:rPr>
      </w:pPr>
      <w:bookmarkStart w:id="42" w:name="_Toc51512281"/>
      <w:r w:rsidRPr="00DE659D">
        <w:rPr>
          <w:noProof/>
          <w:lang w:val="en-US" w:eastAsia="fr-BE"/>
        </w:rPr>
        <w:lastRenderedPageBreak/>
        <w:t>References</w:t>
      </w:r>
      <w:bookmarkEnd w:id="42"/>
    </w:p>
    <w:p w14:paraId="4C09C73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Accountability, W. B. C. S. D., &amp; Reporting Working Group. (2004). Strategic challenges for business: in the use of corporate responsibility codes, standards, and frameworks. </w:t>
      </w:r>
      <w:r w:rsidRPr="00DE659D">
        <w:rPr>
          <w:i/>
          <w:iCs/>
          <w:noProof/>
          <w:color w:val="000000" w:themeColor="text1"/>
          <w:lang w:val="hu-HU" w:eastAsia="fr-BE"/>
        </w:rPr>
        <w:t>Recuperado el</w:t>
      </w:r>
      <w:r w:rsidRPr="00DE659D">
        <w:rPr>
          <w:noProof/>
          <w:color w:val="000000" w:themeColor="text1"/>
          <w:lang w:val="hu-HU" w:eastAsia="fr-BE"/>
        </w:rPr>
        <w:t>, </w:t>
      </w:r>
      <w:r w:rsidRPr="00DE659D">
        <w:rPr>
          <w:i/>
          <w:iCs/>
          <w:noProof/>
          <w:color w:val="000000" w:themeColor="text1"/>
          <w:lang w:val="hu-HU" w:eastAsia="fr-BE"/>
        </w:rPr>
        <w:t>15</w:t>
      </w:r>
      <w:r w:rsidRPr="00DE659D">
        <w:rPr>
          <w:noProof/>
          <w:color w:val="000000" w:themeColor="text1"/>
          <w:lang w:val="hu-HU" w:eastAsia="fr-BE"/>
        </w:rPr>
        <w:t>.</w:t>
      </w:r>
    </w:p>
    <w:p w14:paraId="2E2D29D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Alkire, S., &amp; Foster, J. (2011). Counting and multidimensional poverty measurement. </w:t>
      </w:r>
      <w:r w:rsidRPr="00DE659D">
        <w:rPr>
          <w:i/>
          <w:iCs/>
          <w:noProof/>
          <w:color w:val="000000" w:themeColor="text1"/>
          <w:lang w:val="hu-HU" w:eastAsia="fr-BE"/>
        </w:rPr>
        <w:t>Journal of public economics</w:t>
      </w:r>
      <w:r w:rsidRPr="00DE659D">
        <w:rPr>
          <w:noProof/>
          <w:color w:val="000000" w:themeColor="text1"/>
          <w:lang w:val="hu-HU" w:eastAsia="fr-BE"/>
        </w:rPr>
        <w:t>, </w:t>
      </w:r>
      <w:r w:rsidRPr="00DE659D">
        <w:rPr>
          <w:i/>
          <w:iCs/>
          <w:noProof/>
          <w:color w:val="000000" w:themeColor="text1"/>
          <w:lang w:val="hu-HU" w:eastAsia="fr-BE"/>
        </w:rPr>
        <w:t>95</w:t>
      </w:r>
      <w:r w:rsidRPr="00DE659D">
        <w:rPr>
          <w:noProof/>
          <w:color w:val="000000" w:themeColor="text1"/>
          <w:lang w:val="hu-HU" w:eastAsia="fr-BE"/>
        </w:rPr>
        <w:t>(7-8), 476-487.</w:t>
      </w:r>
    </w:p>
    <w:p w14:paraId="15AA8C7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Banerjee, S. B. (2008). Corporate social responsibility: The good, the bad and the ugly. </w:t>
      </w:r>
      <w:r w:rsidRPr="00DE659D">
        <w:rPr>
          <w:i/>
          <w:iCs/>
          <w:noProof/>
          <w:color w:val="000000" w:themeColor="text1"/>
          <w:lang w:val="hu-HU" w:eastAsia="fr-BE"/>
        </w:rPr>
        <w:t>Critical sociology</w:t>
      </w:r>
      <w:r w:rsidRPr="00DE659D">
        <w:rPr>
          <w:noProof/>
          <w:color w:val="000000" w:themeColor="text1"/>
          <w:lang w:val="hu-HU" w:eastAsia="fr-BE"/>
        </w:rPr>
        <w:t>, </w:t>
      </w:r>
      <w:r w:rsidRPr="00DE659D">
        <w:rPr>
          <w:i/>
          <w:iCs/>
          <w:noProof/>
          <w:color w:val="000000" w:themeColor="text1"/>
          <w:lang w:val="hu-HU" w:eastAsia="fr-BE"/>
        </w:rPr>
        <w:t>34</w:t>
      </w:r>
      <w:r w:rsidRPr="00DE659D">
        <w:rPr>
          <w:noProof/>
          <w:color w:val="000000" w:themeColor="text1"/>
          <w:lang w:val="hu-HU" w:eastAsia="fr-BE"/>
        </w:rPr>
        <w:t>(1), 51-79.</w:t>
      </w:r>
    </w:p>
    <w:p w14:paraId="4ADBCB5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Bauwens, T., &amp; Mertens, S. (2017). Social economy and polycentric governance of transitions. In </w:t>
      </w:r>
      <w:r w:rsidRPr="00DE659D">
        <w:rPr>
          <w:i/>
          <w:iCs/>
          <w:noProof/>
          <w:color w:val="000000" w:themeColor="text1"/>
          <w:lang w:val="hu-HU" w:eastAsia="fr-BE"/>
        </w:rPr>
        <w:t>Post-growth Economics and Society</w:t>
      </w:r>
      <w:r w:rsidRPr="00DE659D">
        <w:rPr>
          <w:noProof/>
          <w:color w:val="000000" w:themeColor="text1"/>
          <w:lang w:val="hu-HU" w:eastAsia="fr-BE"/>
        </w:rPr>
        <w:t> (pp. 45-62). Routledge.</w:t>
      </w:r>
    </w:p>
    <w:p w14:paraId="6D15543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Beare, D., Buslovich, R., &amp; Searcy, C. (2014). Linkages between corporate sustainability reporting and public policy. </w:t>
      </w:r>
      <w:r w:rsidRPr="00DE659D">
        <w:rPr>
          <w:i/>
          <w:iCs/>
          <w:noProof/>
          <w:color w:val="000000" w:themeColor="text1"/>
          <w:lang w:val="hu-HU" w:eastAsia="fr-BE"/>
        </w:rPr>
        <w:t>Corporate Social Responsibility and Environmental Management</w:t>
      </w:r>
      <w:r w:rsidRPr="00DE659D">
        <w:rPr>
          <w:noProof/>
          <w:color w:val="000000" w:themeColor="text1"/>
          <w:lang w:val="hu-HU" w:eastAsia="fr-BE"/>
        </w:rPr>
        <w:t>, </w:t>
      </w:r>
      <w:r w:rsidRPr="00DE659D">
        <w:rPr>
          <w:i/>
          <w:iCs/>
          <w:noProof/>
          <w:color w:val="000000" w:themeColor="text1"/>
          <w:lang w:val="hu-HU" w:eastAsia="fr-BE"/>
        </w:rPr>
        <w:t>21</w:t>
      </w:r>
      <w:r w:rsidRPr="00DE659D">
        <w:rPr>
          <w:noProof/>
          <w:color w:val="000000" w:themeColor="text1"/>
          <w:lang w:val="hu-HU" w:eastAsia="fr-BE"/>
        </w:rPr>
        <w:t>(6), 336-350.</w:t>
      </w:r>
    </w:p>
    <w:p w14:paraId="664DEE3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Bebbington, J., &amp; Unerman, J. (2018). Achieving the United Nations Sustainable Development Goals: an enabling role for accounting research. </w:t>
      </w:r>
      <w:r w:rsidRPr="00DE659D">
        <w:rPr>
          <w:i/>
          <w:iCs/>
          <w:noProof/>
          <w:color w:val="000000" w:themeColor="text1"/>
          <w:lang w:val="hu-HU" w:eastAsia="fr-BE"/>
        </w:rPr>
        <w:t>Accounting, Auditing &amp; Accountability Journal</w:t>
      </w:r>
      <w:r w:rsidRPr="00DE659D">
        <w:rPr>
          <w:noProof/>
          <w:color w:val="000000" w:themeColor="text1"/>
          <w:lang w:val="hu-HU" w:eastAsia="fr-BE"/>
        </w:rPr>
        <w:t>, </w:t>
      </w:r>
      <w:r w:rsidRPr="00DE659D">
        <w:rPr>
          <w:i/>
          <w:iCs/>
          <w:noProof/>
          <w:color w:val="000000" w:themeColor="text1"/>
          <w:lang w:val="hu-HU" w:eastAsia="fr-BE"/>
        </w:rPr>
        <w:t>31</w:t>
      </w:r>
      <w:r w:rsidRPr="00DE659D">
        <w:rPr>
          <w:noProof/>
          <w:color w:val="000000" w:themeColor="text1"/>
          <w:lang w:val="hu-HU" w:eastAsia="fr-BE"/>
        </w:rPr>
        <w:t>(1), 2-24.</w:t>
      </w:r>
    </w:p>
    <w:p w14:paraId="56B7D10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Boiral, O. (2013). Sustainability reports as simulacra? A counter-account of A and A+ GRI reports. </w:t>
      </w:r>
      <w:r w:rsidRPr="00DE659D">
        <w:rPr>
          <w:i/>
          <w:iCs/>
          <w:noProof/>
          <w:color w:val="000000" w:themeColor="text1"/>
          <w:lang w:val="hu-HU" w:eastAsia="fr-BE"/>
        </w:rPr>
        <w:t>Accounting, Auditing &amp; Accountability Journal</w:t>
      </w:r>
      <w:r w:rsidRPr="00DE659D">
        <w:rPr>
          <w:noProof/>
          <w:color w:val="000000" w:themeColor="text1"/>
          <w:lang w:val="hu-HU" w:eastAsia="fr-BE"/>
        </w:rPr>
        <w:t>, </w:t>
      </w:r>
      <w:r w:rsidRPr="00DE659D">
        <w:rPr>
          <w:i/>
          <w:iCs/>
          <w:noProof/>
          <w:color w:val="000000" w:themeColor="text1"/>
          <w:lang w:val="hu-HU" w:eastAsia="fr-BE"/>
        </w:rPr>
        <w:t>26</w:t>
      </w:r>
      <w:r w:rsidRPr="00DE659D">
        <w:rPr>
          <w:noProof/>
          <w:color w:val="000000" w:themeColor="text1"/>
          <w:lang w:val="hu-HU" w:eastAsia="fr-BE"/>
        </w:rPr>
        <w:t>(7), 1036-1071.</w:t>
      </w:r>
    </w:p>
    <w:p w14:paraId="64D9C8D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Bolt, K., Matete, M., &amp; Clemens, M. (2002). Manual for calculating adjusted net savings. </w:t>
      </w:r>
      <w:r w:rsidRPr="00DE659D">
        <w:rPr>
          <w:i/>
          <w:iCs/>
          <w:noProof/>
          <w:color w:val="000000" w:themeColor="text1"/>
          <w:lang w:val="hu-HU" w:eastAsia="fr-BE"/>
        </w:rPr>
        <w:t>Environment Department, World Bank</w:t>
      </w:r>
      <w:r w:rsidRPr="00DE659D">
        <w:rPr>
          <w:noProof/>
          <w:color w:val="000000" w:themeColor="text1"/>
          <w:lang w:val="hu-HU" w:eastAsia="fr-BE"/>
        </w:rPr>
        <w:t>, 1-23.</w:t>
      </w:r>
    </w:p>
    <w:p w14:paraId="11FB944A"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Borgnäs</w:t>
      </w:r>
      <w:r w:rsidRPr="00DE659D">
        <w:rPr>
          <w:noProof/>
          <w:color w:val="000000" w:themeColor="text1"/>
          <w:lang w:val="en-US" w:eastAsia="fr-BE"/>
        </w:rPr>
        <w:t>, K. Indicators as ‘circular argumentation constructs’? An input–output analysis of the variable structure of five environmental sustainability country rankings. </w:t>
      </w:r>
      <w:r w:rsidRPr="00DE659D">
        <w:rPr>
          <w:i/>
          <w:iCs/>
          <w:noProof/>
          <w:color w:val="000000" w:themeColor="text1"/>
          <w:lang w:val="en-US" w:eastAsia="fr-BE"/>
        </w:rPr>
        <w:t>Environment, Development and Sustainability</w:t>
      </w:r>
      <w:r w:rsidRPr="00DE659D">
        <w:rPr>
          <w:noProof/>
          <w:color w:val="000000" w:themeColor="text1"/>
          <w:lang w:val="en-US" w:eastAsia="fr-BE"/>
        </w:rPr>
        <w:t xml:space="preserve">, 1-22. </w:t>
      </w:r>
    </w:p>
    <w:p w14:paraId="7B7491B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Boyer, R., &amp; Juillard, M. (2002). The United States: goodbye, Fordism. </w:t>
      </w:r>
      <w:r w:rsidRPr="00DE659D">
        <w:rPr>
          <w:i/>
          <w:iCs/>
          <w:noProof/>
          <w:color w:val="000000" w:themeColor="text1"/>
          <w:lang w:val="hu-HU" w:eastAsia="fr-BE"/>
        </w:rPr>
        <w:t>Régulation Theory. The State of the Art</w:t>
      </w:r>
      <w:r w:rsidRPr="00DE659D">
        <w:rPr>
          <w:noProof/>
          <w:color w:val="000000" w:themeColor="text1"/>
          <w:lang w:val="hu-HU" w:eastAsia="fr-BE"/>
        </w:rPr>
        <w:t>, 238-56.</w:t>
      </w:r>
    </w:p>
    <w:p w14:paraId="42078B46"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Brand, U. (2016). How to get out of the multiple crisis? Contours of a critical theory of social-ecological transformation. </w:t>
      </w:r>
      <w:r w:rsidRPr="00DE659D">
        <w:rPr>
          <w:i/>
          <w:iCs/>
          <w:noProof/>
          <w:color w:val="000000" w:themeColor="text1"/>
          <w:lang w:val="hu-HU" w:eastAsia="fr-BE"/>
        </w:rPr>
        <w:t>Environmental Values</w:t>
      </w:r>
      <w:r w:rsidRPr="00DE659D">
        <w:rPr>
          <w:noProof/>
          <w:color w:val="000000" w:themeColor="text1"/>
          <w:lang w:val="hu-HU" w:eastAsia="fr-BE"/>
        </w:rPr>
        <w:t>, </w:t>
      </w:r>
      <w:r w:rsidRPr="00DE659D">
        <w:rPr>
          <w:i/>
          <w:iCs/>
          <w:noProof/>
          <w:color w:val="000000" w:themeColor="text1"/>
          <w:lang w:val="hu-HU" w:eastAsia="fr-BE"/>
        </w:rPr>
        <w:t>25</w:t>
      </w:r>
      <w:r w:rsidRPr="00DE659D">
        <w:rPr>
          <w:noProof/>
          <w:color w:val="000000" w:themeColor="text1"/>
          <w:lang w:val="hu-HU" w:eastAsia="fr-BE"/>
        </w:rPr>
        <w:t>(5), 503-525.</w:t>
      </w:r>
    </w:p>
    <w:p w14:paraId="3676DC4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Brian, K. (2015). </w:t>
      </w:r>
      <w:r w:rsidRPr="00DE659D">
        <w:rPr>
          <w:i/>
          <w:iCs/>
          <w:noProof/>
          <w:color w:val="000000" w:themeColor="text1"/>
          <w:lang w:val="hu-HU" w:eastAsia="fr-BE"/>
        </w:rPr>
        <w:t>OECD Insights Income Inequality The Gap between Rich and Poor: The Gap between Rich and Poor</w:t>
      </w:r>
      <w:r w:rsidRPr="00DE659D">
        <w:rPr>
          <w:noProof/>
          <w:color w:val="000000" w:themeColor="text1"/>
          <w:lang w:val="hu-HU" w:eastAsia="fr-BE"/>
        </w:rPr>
        <w:t>. oecd Publishing.</w:t>
      </w:r>
    </w:p>
    <w:p w14:paraId="08ECDC6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Brown, D. (1977). Some reminiscences of an industrialist. Easton.</w:t>
      </w:r>
    </w:p>
    <w:p w14:paraId="01CFD14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Camfferman, K., &amp; Zeff, S. A. (2007). </w:t>
      </w:r>
      <w:r w:rsidRPr="00DE659D">
        <w:rPr>
          <w:i/>
          <w:iCs/>
          <w:noProof/>
          <w:color w:val="000000" w:themeColor="text1"/>
          <w:lang w:val="hu-HU" w:eastAsia="fr-BE"/>
        </w:rPr>
        <w:t>Financial reporting and global capital markets: A history of the International Accounting Standards Committee, 1973-2000</w:t>
      </w:r>
      <w:r w:rsidRPr="00DE659D">
        <w:rPr>
          <w:noProof/>
          <w:color w:val="000000" w:themeColor="text1"/>
          <w:lang w:val="hu-HU" w:eastAsia="fr-BE"/>
        </w:rPr>
        <w:t>. Oxford University Press on Demand.</w:t>
      </w:r>
    </w:p>
    <w:p w14:paraId="1C9D632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Cassiers, I., &amp; Thiry, G. (2014). A high-stakes shift: Turning the tide from gdp to new prosperity indicators. </w:t>
      </w:r>
      <w:r w:rsidRPr="00DE659D">
        <w:rPr>
          <w:i/>
          <w:iCs/>
          <w:noProof/>
          <w:color w:val="000000" w:themeColor="text1"/>
          <w:lang w:val="hu-HU" w:eastAsia="fr-BE"/>
        </w:rPr>
        <w:t>Redefining prosperity. London: Routledge</w:t>
      </w:r>
      <w:r w:rsidRPr="00DE659D">
        <w:rPr>
          <w:noProof/>
          <w:color w:val="000000" w:themeColor="text1"/>
          <w:lang w:val="hu-HU" w:eastAsia="fr-BE"/>
        </w:rPr>
        <w:t>.</w:t>
      </w:r>
    </w:p>
    <w:p w14:paraId="5CF24D8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Chandler, A. D. (1990). </w:t>
      </w:r>
      <w:r w:rsidRPr="00DE659D">
        <w:rPr>
          <w:i/>
          <w:iCs/>
          <w:noProof/>
          <w:color w:val="000000" w:themeColor="text1"/>
          <w:lang w:val="hu-HU" w:eastAsia="fr-BE"/>
        </w:rPr>
        <w:t>Strategy and structure: Chapters in the history of the industrial enterprise</w:t>
      </w:r>
      <w:r w:rsidRPr="00DE659D">
        <w:rPr>
          <w:noProof/>
          <w:color w:val="000000" w:themeColor="text1"/>
          <w:lang w:val="hu-HU" w:eastAsia="fr-BE"/>
        </w:rPr>
        <w:t> (Vol. 120). MIT press.</w:t>
      </w:r>
    </w:p>
    <w:p w14:paraId="5695FE6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Chandler, A. D. (1992). Organizational capabilities and the economic history of the industrial enterprise. </w:t>
      </w:r>
      <w:r w:rsidRPr="00DE659D">
        <w:rPr>
          <w:i/>
          <w:iCs/>
          <w:noProof/>
          <w:color w:val="000000" w:themeColor="text1"/>
          <w:lang w:val="hu-HU" w:eastAsia="fr-BE"/>
        </w:rPr>
        <w:t>Journal of economic perspectives</w:t>
      </w:r>
      <w:r w:rsidRPr="00DE659D">
        <w:rPr>
          <w:noProof/>
          <w:color w:val="000000" w:themeColor="text1"/>
          <w:lang w:val="hu-HU" w:eastAsia="fr-BE"/>
        </w:rPr>
        <w:t>, </w:t>
      </w:r>
      <w:r w:rsidRPr="00DE659D">
        <w:rPr>
          <w:i/>
          <w:iCs/>
          <w:noProof/>
          <w:color w:val="000000" w:themeColor="text1"/>
          <w:lang w:val="hu-HU" w:eastAsia="fr-BE"/>
        </w:rPr>
        <w:t>6</w:t>
      </w:r>
      <w:r w:rsidRPr="00DE659D">
        <w:rPr>
          <w:noProof/>
          <w:color w:val="000000" w:themeColor="text1"/>
          <w:lang w:val="hu-HU" w:eastAsia="fr-BE"/>
        </w:rPr>
        <w:t>(3), 79-100.</w:t>
      </w:r>
    </w:p>
    <w:p w14:paraId="534D89A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Clark, C., &amp; Rosenzweig, W. (2004). double bottom line project report. </w:t>
      </w:r>
      <w:r w:rsidRPr="00DE659D">
        <w:rPr>
          <w:i/>
          <w:iCs/>
          <w:noProof/>
          <w:color w:val="000000" w:themeColor="text1"/>
          <w:lang w:val="hu-HU" w:eastAsia="fr-BE"/>
        </w:rPr>
        <w:t>University of California, Berkeley</w:t>
      </w:r>
      <w:r w:rsidRPr="00DE659D">
        <w:rPr>
          <w:noProof/>
          <w:color w:val="000000" w:themeColor="text1"/>
          <w:lang w:val="hu-HU" w:eastAsia="fr-BE"/>
        </w:rPr>
        <w:t>.</w:t>
      </w:r>
    </w:p>
    <w:p w14:paraId="60A6125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Cobb, C. W., &amp; Daly, H. (1989). The index for sustainable economic welfare. </w:t>
      </w:r>
      <w:r w:rsidRPr="00DE659D">
        <w:rPr>
          <w:i/>
          <w:iCs/>
          <w:noProof/>
          <w:color w:val="000000" w:themeColor="text1"/>
          <w:lang w:val="hu-HU" w:eastAsia="fr-BE"/>
        </w:rPr>
        <w:t>Daly, HE, Cobb, JB (Eds)</w:t>
      </w:r>
      <w:r w:rsidRPr="00DE659D">
        <w:rPr>
          <w:noProof/>
          <w:color w:val="000000" w:themeColor="text1"/>
          <w:lang w:val="hu-HU" w:eastAsia="fr-BE"/>
        </w:rPr>
        <w:t>.</w:t>
      </w:r>
    </w:p>
    <w:p w14:paraId="5E1ABBE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Costanza, R., Alperovitz, G., Daly, H., Farley, J., Franco, C., Jackson, T., ... &amp; Victor, P. (2017). Building a sustainable and desirable economy-in-society-in-nature. In </w:t>
      </w:r>
      <w:r w:rsidRPr="00DE659D">
        <w:rPr>
          <w:i/>
          <w:iCs/>
          <w:noProof/>
          <w:color w:val="000000" w:themeColor="text1"/>
          <w:lang w:val="hu-HU" w:eastAsia="fr-BE"/>
        </w:rPr>
        <w:t>Green Economy Reader</w:t>
      </w:r>
      <w:r w:rsidRPr="00DE659D">
        <w:rPr>
          <w:noProof/>
          <w:color w:val="000000" w:themeColor="text1"/>
          <w:lang w:val="hu-HU" w:eastAsia="fr-BE"/>
        </w:rPr>
        <w:t> (pp. 367-454). Springer, Cham.</w:t>
      </w:r>
    </w:p>
    <w:p w14:paraId="42A718A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Desrosières, A. (2014). </w:t>
      </w:r>
      <w:r w:rsidRPr="00DE659D">
        <w:rPr>
          <w:i/>
          <w:iCs/>
          <w:noProof/>
          <w:color w:val="000000" w:themeColor="text1"/>
          <w:lang w:val="hu-HU" w:eastAsia="fr-BE"/>
        </w:rPr>
        <w:t>Prouver et gouverner: une analyse politique des statistiques publiques</w:t>
      </w:r>
      <w:r w:rsidRPr="00DE659D">
        <w:rPr>
          <w:noProof/>
          <w:color w:val="000000" w:themeColor="text1"/>
          <w:lang w:val="hu-HU" w:eastAsia="fr-BE"/>
        </w:rPr>
        <w:t>. La découverte.</w:t>
      </w:r>
    </w:p>
    <w:p w14:paraId="1F6AB8E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Dietz, S., &amp; Neumayer, E. (2007). Weak and strong sustainability in the SEEA: Concepts and measurement. </w:t>
      </w:r>
      <w:r w:rsidRPr="00DE659D">
        <w:rPr>
          <w:i/>
          <w:iCs/>
          <w:noProof/>
          <w:color w:val="000000" w:themeColor="text1"/>
          <w:lang w:val="hu-HU" w:eastAsia="fr-BE"/>
        </w:rPr>
        <w:t>Ecological economics</w:t>
      </w:r>
      <w:r w:rsidRPr="00DE659D">
        <w:rPr>
          <w:noProof/>
          <w:color w:val="000000" w:themeColor="text1"/>
          <w:lang w:val="hu-HU" w:eastAsia="fr-BE"/>
        </w:rPr>
        <w:t>, </w:t>
      </w:r>
      <w:r w:rsidRPr="00DE659D">
        <w:rPr>
          <w:i/>
          <w:iCs/>
          <w:noProof/>
          <w:color w:val="000000" w:themeColor="text1"/>
          <w:lang w:val="hu-HU" w:eastAsia="fr-BE"/>
        </w:rPr>
        <w:t>61</w:t>
      </w:r>
      <w:r w:rsidRPr="00DE659D">
        <w:rPr>
          <w:noProof/>
          <w:color w:val="000000" w:themeColor="text1"/>
          <w:lang w:val="hu-HU" w:eastAsia="fr-BE"/>
        </w:rPr>
        <w:t>(4), 617-626.</w:t>
      </w:r>
    </w:p>
    <w:p w14:paraId="5C44731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Emerson, J. (2003). The blended value proposition: Integrating social and financial returns. </w:t>
      </w:r>
      <w:r w:rsidRPr="00DE659D">
        <w:rPr>
          <w:i/>
          <w:iCs/>
          <w:noProof/>
          <w:color w:val="000000" w:themeColor="text1"/>
          <w:lang w:val="hu-HU" w:eastAsia="fr-BE"/>
        </w:rPr>
        <w:t>California management review</w:t>
      </w:r>
      <w:r w:rsidRPr="00DE659D">
        <w:rPr>
          <w:noProof/>
          <w:color w:val="000000" w:themeColor="text1"/>
          <w:lang w:val="hu-HU" w:eastAsia="fr-BE"/>
        </w:rPr>
        <w:t>, </w:t>
      </w:r>
      <w:r w:rsidRPr="00DE659D">
        <w:rPr>
          <w:i/>
          <w:iCs/>
          <w:noProof/>
          <w:color w:val="000000" w:themeColor="text1"/>
          <w:lang w:val="hu-HU" w:eastAsia="fr-BE"/>
        </w:rPr>
        <w:t>45</w:t>
      </w:r>
      <w:r w:rsidRPr="00DE659D">
        <w:rPr>
          <w:noProof/>
          <w:color w:val="000000" w:themeColor="text1"/>
          <w:lang w:val="hu-HU" w:eastAsia="fr-BE"/>
        </w:rPr>
        <w:t>(4), 35-51.</w:t>
      </w:r>
    </w:p>
    <w:p w14:paraId="49015A1B"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Etzion, D., &amp; Ferraro, F. (2010). The role of analogy in the institutionalization of sustainability reporting. </w:t>
      </w:r>
      <w:r w:rsidRPr="00DE659D">
        <w:rPr>
          <w:i/>
          <w:iCs/>
          <w:noProof/>
          <w:color w:val="000000" w:themeColor="text1"/>
          <w:lang w:val="hu-HU" w:eastAsia="fr-BE"/>
        </w:rPr>
        <w:t>Organization Science</w:t>
      </w:r>
      <w:r w:rsidRPr="00DE659D">
        <w:rPr>
          <w:noProof/>
          <w:color w:val="000000" w:themeColor="text1"/>
          <w:lang w:val="hu-HU" w:eastAsia="fr-BE"/>
        </w:rPr>
        <w:t>, </w:t>
      </w:r>
      <w:r w:rsidRPr="00DE659D">
        <w:rPr>
          <w:i/>
          <w:iCs/>
          <w:noProof/>
          <w:color w:val="000000" w:themeColor="text1"/>
          <w:lang w:val="hu-HU" w:eastAsia="fr-BE"/>
        </w:rPr>
        <w:t>21</w:t>
      </w:r>
      <w:r w:rsidRPr="00DE659D">
        <w:rPr>
          <w:noProof/>
          <w:color w:val="000000" w:themeColor="text1"/>
          <w:lang w:val="hu-HU" w:eastAsia="fr-BE"/>
        </w:rPr>
        <w:t>(5), 1092-1107.</w:t>
      </w:r>
    </w:p>
    <w:p w14:paraId="53EAA29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European Commission, International Monetary Fund, Organisation for Economic Co</w:t>
      </w:r>
      <w:r w:rsidRPr="00DE659D">
        <w:rPr>
          <w:rFonts w:ascii="Times New Roman" w:hAnsi="Times New Roman" w:cs="Times New Roman"/>
          <w:noProof/>
          <w:color w:val="000000" w:themeColor="text1"/>
          <w:lang w:val="hu-HU" w:eastAsia="fr-BE"/>
        </w:rPr>
        <w:t>‐</w:t>
      </w:r>
      <w:r w:rsidRPr="00DE659D">
        <w:rPr>
          <w:noProof/>
          <w:color w:val="000000" w:themeColor="text1"/>
          <w:lang w:val="hu-HU" w:eastAsia="fr-BE"/>
        </w:rPr>
        <w:t>operation and Development, United Nations, and World Bank. (2009). System of national accounts 2008.</w:t>
      </w:r>
    </w:p>
    <w:p w14:paraId="6B6C3A1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Gadrey, J., &amp; Jany-Catrice, F. (2012). </w:t>
      </w:r>
      <w:r w:rsidRPr="00DE659D">
        <w:rPr>
          <w:i/>
          <w:iCs/>
          <w:noProof/>
          <w:color w:val="000000" w:themeColor="text1"/>
          <w:lang w:val="hu-HU" w:eastAsia="fr-BE"/>
        </w:rPr>
        <w:t>Les nouveaux indicateurs de richesse</w:t>
      </w:r>
      <w:r w:rsidRPr="00DE659D">
        <w:rPr>
          <w:noProof/>
          <w:color w:val="000000" w:themeColor="text1"/>
          <w:lang w:val="hu-HU" w:eastAsia="fr-BE"/>
        </w:rPr>
        <w:t>. La découverte.</w:t>
      </w:r>
    </w:p>
    <w:p w14:paraId="31FD903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Geels, F. W., &amp; Schot, J. (2007). Typology of sociotechnical transition pathways. </w:t>
      </w:r>
      <w:r w:rsidRPr="00DE659D">
        <w:rPr>
          <w:i/>
          <w:iCs/>
          <w:noProof/>
          <w:color w:val="000000" w:themeColor="text1"/>
          <w:lang w:val="hu-HU" w:eastAsia="fr-BE"/>
        </w:rPr>
        <w:t>Research policy</w:t>
      </w:r>
      <w:r w:rsidRPr="00DE659D">
        <w:rPr>
          <w:noProof/>
          <w:color w:val="000000" w:themeColor="text1"/>
          <w:lang w:val="hu-HU" w:eastAsia="fr-BE"/>
        </w:rPr>
        <w:t>, </w:t>
      </w:r>
      <w:r w:rsidRPr="00DE659D">
        <w:rPr>
          <w:i/>
          <w:iCs/>
          <w:noProof/>
          <w:color w:val="000000" w:themeColor="text1"/>
          <w:lang w:val="hu-HU" w:eastAsia="fr-BE"/>
        </w:rPr>
        <w:t>36</w:t>
      </w:r>
      <w:r w:rsidRPr="00DE659D">
        <w:rPr>
          <w:noProof/>
          <w:color w:val="000000" w:themeColor="text1"/>
          <w:lang w:val="hu-HU" w:eastAsia="fr-BE"/>
        </w:rPr>
        <w:t>(3), 399-417.</w:t>
      </w:r>
    </w:p>
    <w:p w14:paraId="67939F8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Gilbert, D. U., Rasche, A., &amp; Waddock, S. (2011). Accountability in a global economy: The emergence of international accountability standards. </w:t>
      </w:r>
      <w:r w:rsidRPr="00DE659D">
        <w:rPr>
          <w:i/>
          <w:iCs/>
          <w:noProof/>
          <w:color w:val="000000" w:themeColor="text1"/>
          <w:lang w:val="hu-HU" w:eastAsia="fr-BE"/>
        </w:rPr>
        <w:t>Business Ethics Quarterly</w:t>
      </w:r>
      <w:r w:rsidRPr="00DE659D">
        <w:rPr>
          <w:noProof/>
          <w:color w:val="000000" w:themeColor="text1"/>
          <w:lang w:val="hu-HU" w:eastAsia="fr-BE"/>
        </w:rPr>
        <w:t>, </w:t>
      </w:r>
      <w:r w:rsidRPr="00DE659D">
        <w:rPr>
          <w:i/>
          <w:iCs/>
          <w:noProof/>
          <w:color w:val="000000" w:themeColor="text1"/>
          <w:lang w:val="hu-HU" w:eastAsia="fr-BE"/>
        </w:rPr>
        <w:t>21</w:t>
      </w:r>
      <w:r w:rsidRPr="00DE659D">
        <w:rPr>
          <w:noProof/>
          <w:color w:val="000000" w:themeColor="text1"/>
          <w:lang w:val="hu-HU" w:eastAsia="fr-BE"/>
        </w:rPr>
        <w:t>(1), 23-44.</w:t>
      </w:r>
    </w:p>
    <w:p w14:paraId="255B9AF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Global Reporting Initiative. (2016). Consolidated set of GRI sustainability reporting standards. </w:t>
      </w:r>
      <w:r w:rsidRPr="00DE659D">
        <w:rPr>
          <w:i/>
          <w:iCs/>
          <w:noProof/>
          <w:color w:val="000000" w:themeColor="text1"/>
          <w:lang w:val="hu-HU" w:eastAsia="fr-BE"/>
        </w:rPr>
        <w:t>Amsterdam, The Netherlands</w:t>
      </w:r>
      <w:r w:rsidRPr="00DE659D">
        <w:rPr>
          <w:noProof/>
          <w:color w:val="000000" w:themeColor="text1"/>
          <w:lang w:val="hu-HU" w:eastAsia="fr-BE"/>
        </w:rPr>
        <w:t>.</w:t>
      </w:r>
    </w:p>
    <w:p w14:paraId="4654D3E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GRI &amp; UNGC. (2017). Business Reporting on the SDGs: An Analysis of the Goals and Targets. </w:t>
      </w:r>
      <w:r w:rsidRPr="00DE659D">
        <w:rPr>
          <w:i/>
          <w:iCs/>
          <w:noProof/>
          <w:color w:val="000000" w:themeColor="text1"/>
          <w:lang w:val="hu-HU" w:eastAsia="fr-BE"/>
        </w:rPr>
        <w:t>GRI: Amsterdam, The Netherlands</w:t>
      </w:r>
      <w:r w:rsidRPr="00DE659D">
        <w:rPr>
          <w:noProof/>
          <w:color w:val="000000" w:themeColor="text1"/>
          <w:lang w:val="hu-HU" w:eastAsia="fr-BE"/>
        </w:rPr>
        <w:t>.</w:t>
      </w:r>
    </w:p>
    <w:p w14:paraId="3F529E3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Gordon, R. J. (2017). </w:t>
      </w:r>
      <w:r w:rsidRPr="00DE659D">
        <w:rPr>
          <w:i/>
          <w:iCs/>
          <w:noProof/>
          <w:color w:val="000000" w:themeColor="text1"/>
          <w:lang w:val="hu-HU" w:eastAsia="fr-BE"/>
        </w:rPr>
        <w:t>The rise and fall of American growth: The US standard of living since the civil war</w:t>
      </w:r>
      <w:r w:rsidRPr="00DE659D">
        <w:rPr>
          <w:noProof/>
          <w:color w:val="000000" w:themeColor="text1"/>
          <w:lang w:val="hu-HU" w:eastAsia="fr-BE"/>
        </w:rPr>
        <w:t> (Vol. 70). Princeton University Press.</w:t>
      </w:r>
    </w:p>
    <w:p w14:paraId="5F8C4E2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Haas, P. M. (1992). Introduction: epistemic communities and international policy coordination. </w:t>
      </w:r>
      <w:r w:rsidRPr="00DE659D">
        <w:rPr>
          <w:i/>
          <w:iCs/>
          <w:noProof/>
          <w:color w:val="000000" w:themeColor="text1"/>
          <w:lang w:val="hu-HU" w:eastAsia="fr-BE"/>
        </w:rPr>
        <w:t>International organization</w:t>
      </w:r>
      <w:r w:rsidRPr="00DE659D">
        <w:rPr>
          <w:noProof/>
          <w:color w:val="000000" w:themeColor="text1"/>
          <w:lang w:val="hu-HU" w:eastAsia="fr-BE"/>
        </w:rPr>
        <w:t>, </w:t>
      </w:r>
      <w:r w:rsidRPr="00DE659D">
        <w:rPr>
          <w:i/>
          <w:iCs/>
          <w:noProof/>
          <w:color w:val="000000" w:themeColor="text1"/>
          <w:lang w:val="hu-HU" w:eastAsia="fr-BE"/>
        </w:rPr>
        <w:t>46</w:t>
      </w:r>
      <w:r w:rsidRPr="00DE659D">
        <w:rPr>
          <w:noProof/>
          <w:color w:val="000000" w:themeColor="text1"/>
          <w:lang w:val="hu-HU" w:eastAsia="fr-BE"/>
        </w:rPr>
        <w:t>(1), 1-35.</w:t>
      </w:r>
    </w:p>
    <w:p w14:paraId="249F853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Hák, T., Janoušková, S., &amp; Moldan, B. (2016). Sustainable Development Goals: A need for relevant indicators.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60</w:t>
      </w:r>
      <w:r w:rsidRPr="00DE659D">
        <w:rPr>
          <w:noProof/>
          <w:color w:val="000000" w:themeColor="text1"/>
          <w:lang w:val="hu-HU" w:eastAsia="fr-BE"/>
        </w:rPr>
        <w:t>, 565-573.</w:t>
      </w:r>
    </w:p>
    <w:p w14:paraId="16C64E4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Herzig, C., &amp; Schaltegger, S. (2006). Corporate sustainability reporting. An overview. In </w:t>
      </w:r>
      <w:r w:rsidRPr="00DE659D">
        <w:rPr>
          <w:i/>
          <w:iCs/>
          <w:noProof/>
          <w:color w:val="000000" w:themeColor="text1"/>
          <w:lang w:val="hu-HU" w:eastAsia="fr-BE"/>
        </w:rPr>
        <w:t>Sustainability accounting and reporting</w:t>
      </w:r>
      <w:r w:rsidRPr="00DE659D">
        <w:rPr>
          <w:noProof/>
          <w:color w:val="000000" w:themeColor="text1"/>
          <w:lang w:val="hu-HU" w:eastAsia="fr-BE"/>
        </w:rPr>
        <w:t> (pp. 301-324). Springer, Dordrecht.</w:t>
      </w:r>
    </w:p>
    <w:p w14:paraId="50B67FBE"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Innes, J. E. (1989). Disappointments and legacies of social indicators. </w:t>
      </w:r>
      <w:r w:rsidRPr="00DE659D">
        <w:rPr>
          <w:i/>
          <w:iCs/>
          <w:noProof/>
          <w:color w:val="000000" w:themeColor="text1"/>
          <w:lang w:val="hu-HU" w:eastAsia="fr-BE"/>
        </w:rPr>
        <w:t>Journal of Public Policy</w:t>
      </w:r>
      <w:r w:rsidRPr="00DE659D">
        <w:rPr>
          <w:noProof/>
          <w:color w:val="000000" w:themeColor="text1"/>
          <w:lang w:val="hu-HU" w:eastAsia="fr-BE"/>
        </w:rPr>
        <w:t>, </w:t>
      </w:r>
      <w:r w:rsidRPr="00DE659D">
        <w:rPr>
          <w:i/>
          <w:iCs/>
          <w:noProof/>
          <w:color w:val="000000" w:themeColor="text1"/>
          <w:lang w:val="hu-HU" w:eastAsia="fr-BE"/>
        </w:rPr>
        <w:t>9</w:t>
      </w:r>
      <w:r w:rsidRPr="00DE659D">
        <w:rPr>
          <w:noProof/>
          <w:color w:val="000000" w:themeColor="text1"/>
          <w:lang w:val="hu-HU" w:eastAsia="fr-BE"/>
        </w:rPr>
        <w:t>(4), 429-432.</w:t>
      </w:r>
    </w:p>
    <w:p w14:paraId="044F767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E. Innes, J., &amp; Booher, D. E. (2000). Indicators for sustainable communities: a strategy building on complexity theory and distributed intelligence. </w:t>
      </w:r>
      <w:r w:rsidRPr="00DE659D">
        <w:rPr>
          <w:i/>
          <w:iCs/>
          <w:noProof/>
          <w:color w:val="000000" w:themeColor="text1"/>
          <w:lang w:val="hu-HU" w:eastAsia="fr-BE"/>
        </w:rPr>
        <w:t>Planning theory &amp; practice</w:t>
      </w:r>
      <w:r w:rsidRPr="00DE659D">
        <w:rPr>
          <w:noProof/>
          <w:color w:val="000000" w:themeColor="text1"/>
          <w:lang w:val="hu-HU" w:eastAsia="fr-BE"/>
        </w:rPr>
        <w:t>, </w:t>
      </w:r>
      <w:r w:rsidRPr="00DE659D">
        <w:rPr>
          <w:i/>
          <w:iCs/>
          <w:noProof/>
          <w:color w:val="000000" w:themeColor="text1"/>
          <w:lang w:val="hu-HU" w:eastAsia="fr-BE"/>
        </w:rPr>
        <w:t>1</w:t>
      </w:r>
      <w:r w:rsidRPr="00DE659D">
        <w:rPr>
          <w:noProof/>
          <w:color w:val="000000" w:themeColor="text1"/>
          <w:lang w:val="hu-HU" w:eastAsia="fr-BE"/>
        </w:rPr>
        <w:t>(2), 173-186.</w:t>
      </w:r>
    </w:p>
    <w:p w14:paraId="77806FEB"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Ittner, C. D., &amp; Larcker, D. F. (1998). Innovations in performance measurement: Trends and research implications. </w:t>
      </w:r>
      <w:r w:rsidRPr="00DE659D">
        <w:rPr>
          <w:i/>
          <w:iCs/>
          <w:noProof/>
          <w:color w:val="000000" w:themeColor="text1"/>
          <w:lang w:val="hu-HU" w:eastAsia="fr-BE"/>
        </w:rPr>
        <w:t>Journal of management accounting research</w:t>
      </w:r>
      <w:r w:rsidRPr="00DE659D">
        <w:rPr>
          <w:noProof/>
          <w:color w:val="000000" w:themeColor="text1"/>
          <w:lang w:val="hu-HU" w:eastAsia="fr-BE"/>
        </w:rPr>
        <w:t>, </w:t>
      </w:r>
      <w:r w:rsidRPr="00DE659D">
        <w:rPr>
          <w:i/>
          <w:iCs/>
          <w:noProof/>
          <w:color w:val="000000" w:themeColor="text1"/>
          <w:lang w:val="hu-HU" w:eastAsia="fr-BE"/>
        </w:rPr>
        <w:t>10</w:t>
      </w:r>
      <w:r w:rsidRPr="00DE659D">
        <w:rPr>
          <w:noProof/>
          <w:color w:val="000000" w:themeColor="text1"/>
          <w:lang w:val="hu-HU" w:eastAsia="fr-BE"/>
        </w:rPr>
        <w:t>, 205.</w:t>
      </w:r>
    </w:p>
    <w:p w14:paraId="15528F8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Jesinghaus, J. (2012). Measuring European environmental policy performance.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17</w:t>
      </w:r>
      <w:r w:rsidRPr="00DE659D">
        <w:rPr>
          <w:noProof/>
          <w:color w:val="000000" w:themeColor="text1"/>
          <w:lang w:val="hu-HU" w:eastAsia="fr-BE"/>
        </w:rPr>
        <w:t>, 29-37.</w:t>
      </w:r>
    </w:p>
    <w:p w14:paraId="1B58B29E"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Kania, J., &amp; Kramer, M. (2011). </w:t>
      </w:r>
      <w:r w:rsidRPr="00DE659D">
        <w:rPr>
          <w:iCs/>
          <w:noProof/>
          <w:color w:val="000000" w:themeColor="text1"/>
          <w:lang w:val="hu-HU" w:eastAsia="fr-BE"/>
        </w:rPr>
        <w:t xml:space="preserve">Collective impact. </w:t>
      </w:r>
      <w:r w:rsidRPr="00DE659D">
        <w:rPr>
          <w:i/>
          <w:iCs/>
          <w:noProof/>
          <w:color w:val="000000" w:themeColor="text1"/>
          <w:lang w:val="hu-HU" w:eastAsia="fr-BE"/>
        </w:rPr>
        <w:t>Stanford Social Innovation Review</w:t>
      </w:r>
      <w:r w:rsidRPr="00DE659D">
        <w:rPr>
          <w:iCs/>
          <w:noProof/>
          <w:color w:val="000000" w:themeColor="text1"/>
          <w:lang w:val="hu-HU" w:eastAsia="fr-BE"/>
        </w:rPr>
        <w:t>, 9,</w:t>
      </w:r>
      <w:r w:rsidRPr="00DE659D">
        <w:rPr>
          <w:noProof/>
          <w:color w:val="000000" w:themeColor="text1"/>
          <w:lang w:val="hu-HU" w:eastAsia="fr-BE"/>
        </w:rPr>
        <w:t xml:space="preserve"> 36-41.</w:t>
      </w:r>
    </w:p>
    <w:p w14:paraId="34C90DF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Kaplan, R. S., &amp; Norton, D. P. (1992). The balanced scorecard: measures that drive performance. </w:t>
      </w:r>
      <w:r w:rsidRPr="00DE659D">
        <w:rPr>
          <w:i/>
          <w:iCs/>
          <w:noProof/>
          <w:color w:val="000000" w:themeColor="text1"/>
          <w:lang w:val="hu-HU" w:eastAsia="fr-BE"/>
        </w:rPr>
        <w:t>Harvard Bussiness Review</w:t>
      </w:r>
      <w:r w:rsidRPr="00DE659D">
        <w:rPr>
          <w:noProof/>
          <w:color w:val="000000" w:themeColor="text1"/>
          <w:lang w:val="hu-HU" w:eastAsia="fr-BE"/>
        </w:rPr>
        <w:t>, 71-79.</w:t>
      </w:r>
    </w:p>
    <w:p w14:paraId="2028DFB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Kramer, M. R., &amp; Porter, M. (2011). Creating shared value. </w:t>
      </w:r>
      <w:r w:rsidRPr="00DE659D">
        <w:rPr>
          <w:i/>
          <w:iCs/>
          <w:noProof/>
          <w:color w:val="000000" w:themeColor="text1"/>
          <w:lang w:val="hu-HU" w:eastAsia="fr-BE"/>
        </w:rPr>
        <w:t>Harvard business review</w:t>
      </w:r>
      <w:r w:rsidRPr="00DE659D">
        <w:rPr>
          <w:noProof/>
          <w:color w:val="000000" w:themeColor="text1"/>
          <w:lang w:val="hu-HU" w:eastAsia="fr-BE"/>
        </w:rPr>
        <w:t>, </w:t>
      </w:r>
      <w:r w:rsidRPr="00DE659D">
        <w:rPr>
          <w:i/>
          <w:iCs/>
          <w:noProof/>
          <w:color w:val="000000" w:themeColor="text1"/>
          <w:lang w:val="hu-HU" w:eastAsia="fr-BE"/>
        </w:rPr>
        <w:t>89</w:t>
      </w:r>
      <w:r w:rsidRPr="00DE659D">
        <w:rPr>
          <w:noProof/>
          <w:color w:val="000000" w:themeColor="text1"/>
          <w:lang w:val="hu-HU" w:eastAsia="fr-BE"/>
        </w:rPr>
        <w:t>(1/2), 62-77.</w:t>
      </w:r>
    </w:p>
    <w:p w14:paraId="5B1C6C4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Kuznets, S. (1934). National Income, 1929-1932. In </w:t>
      </w:r>
      <w:r w:rsidRPr="00DE659D">
        <w:rPr>
          <w:i/>
          <w:iCs/>
          <w:noProof/>
          <w:color w:val="000000" w:themeColor="text1"/>
          <w:lang w:val="hu-HU" w:eastAsia="fr-BE"/>
        </w:rPr>
        <w:t>National Income, 1929-1932</w:t>
      </w:r>
      <w:r w:rsidRPr="00DE659D">
        <w:rPr>
          <w:noProof/>
          <w:color w:val="000000" w:themeColor="text1"/>
          <w:lang w:val="hu-HU" w:eastAsia="fr-BE"/>
        </w:rPr>
        <w:t> (pp. 1-12). NBER.</w:t>
      </w:r>
    </w:p>
    <w:p w14:paraId="6C724A4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Lande, E. (2000). Macro</w:t>
      </w:r>
      <w:r w:rsidRPr="00DE659D">
        <w:rPr>
          <w:rFonts w:ascii="Times New Roman" w:hAnsi="Times New Roman" w:cs="Times New Roman"/>
          <w:noProof/>
          <w:color w:val="000000" w:themeColor="text1"/>
          <w:lang w:val="hu-HU" w:eastAsia="fr-BE"/>
        </w:rPr>
        <w:t>‐</w:t>
      </w:r>
      <w:r w:rsidRPr="00DE659D">
        <w:rPr>
          <w:noProof/>
          <w:color w:val="000000" w:themeColor="text1"/>
          <w:lang w:val="hu-HU" w:eastAsia="fr-BE"/>
        </w:rPr>
        <w:t>accounting and Micro</w:t>
      </w:r>
      <w:r w:rsidRPr="00DE659D">
        <w:rPr>
          <w:rFonts w:ascii="Times New Roman" w:hAnsi="Times New Roman" w:cs="Times New Roman"/>
          <w:noProof/>
          <w:color w:val="000000" w:themeColor="text1"/>
          <w:lang w:val="hu-HU" w:eastAsia="fr-BE"/>
        </w:rPr>
        <w:t>‐</w:t>
      </w:r>
      <w:r w:rsidRPr="00DE659D">
        <w:rPr>
          <w:noProof/>
          <w:color w:val="000000" w:themeColor="text1"/>
          <w:lang w:val="hu-HU" w:eastAsia="fr-BE"/>
        </w:rPr>
        <w:t>accounting Relationships in France.</w:t>
      </w:r>
      <w:r w:rsidRPr="00DE659D">
        <w:rPr>
          <w:rFonts w:cs="Arial"/>
          <w:noProof/>
          <w:color w:val="000000" w:themeColor="text1"/>
          <w:lang w:val="hu-HU" w:eastAsia="fr-BE"/>
        </w:rPr>
        <w:t> </w:t>
      </w:r>
      <w:r w:rsidRPr="00DE659D">
        <w:rPr>
          <w:i/>
          <w:iCs/>
          <w:noProof/>
          <w:color w:val="000000" w:themeColor="text1"/>
          <w:lang w:val="hu-HU" w:eastAsia="fr-BE"/>
        </w:rPr>
        <w:t>Financial accountability &amp; management</w:t>
      </w:r>
      <w:r w:rsidRPr="00DE659D">
        <w:rPr>
          <w:noProof/>
          <w:color w:val="000000" w:themeColor="text1"/>
          <w:lang w:val="hu-HU" w:eastAsia="fr-BE"/>
        </w:rPr>
        <w:t>, </w:t>
      </w:r>
      <w:r w:rsidRPr="00DE659D">
        <w:rPr>
          <w:i/>
          <w:iCs/>
          <w:noProof/>
          <w:color w:val="000000" w:themeColor="text1"/>
          <w:lang w:val="hu-HU" w:eastAsia="fr-BE"/>
        </w:rPr>
        <w:t>16</w:t>
      </w:r>
      <w:r w:rsidRPr="00DE659D">
        <w:rPr>
          <w:noProof/>
          <w:color w:val="000000" w:themeColor="text1"/>
          <w:lang w:val="hu-HU" w:eastAsia="fr-BE"/>
        </w:rPr>
        <w:t>(2), 151-165.</w:t>
      </w:r>
    </w:p>
    <w:p w14:paraId="7798CDB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Laufer, W. S. (2003). Social accountability and corporate greenwashing. </w:t>
      </w:r>
      <w:r w:rsidRPr="00DE659D">
        <w:rPr>
          <w:i/>
          <w:iCs/>
          <w:noProof/>
          <w:color w:val="000000" w:themeColor="text1"/>
          <w:lang w:val="hu-HU" w:eastAsia="fr-BE"/>
        </w:rPr>
        <w:t>Journal of business ethics</w:t>
      </w:r>
      <w:r w:rsidRPr="00DE659D">
        <w:rPr>
          <w:noProof/>
          <w:color w:val="000000" w:themeColor="text1"/>
          <w:lang w:val="hu-HU" w:eastAsia="fr-BE"/>
        </w:rPr>
        <w:t>, </w:t>
      </w:r>
      <w:r w:rsidRPr="00DE659D">
        <w:rPr>
          <w:i/>
          <w:iCs/>
          <w:noProof/>
          <w:color w:val="000000" w:themeColor="text1"/>
          <w:lang w:val="hu-HU" w:eastAsia="fr-BE"/>
        </w:rPr>
        <w:t>43</w:t>
      </w:r>
      <w:r w:rsidRPr="00DE659D">
        <w:rPr>
          <w:noProof/>
          <w:color w:val="000000" w:themeColor="text1"/>
          <w:lang w:val="hu-HU" w:eastAsia="fr-BE"/>
        </w:rPr>
        <w:t>(3), 253-261.</w:t>
      </w:r>
    </w:p>
    <w:p w14:paraId="3C183D8B"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Littlewood, D., &amp; Holt, D. (2018). How social enterprises can contribute to the Sustainable Development Goals (SDGs)–A conceptual framework. In </w:t>
      </w:r>
      <w:r w:rsidRPr="00DE659D">
        <w:rPr>
          <w:i/>
          <w:iCs/>
          <w:noProof/>
          <w:color w:val="000000" w:themeColor="text1"/>
          <w:lang w:val="hu-HU" w:eastAsia="fr-BE"/>
        </w:rPr>
        <w:t>Entrepreneurship and the Sustainable Development Goals</w:t>
      </w:r>
      <w:r w:rsidRPr="00DE659D">
        <w:rPr>
          <w:noProof/>
          <w:color w:val="000000" w:themeColor="text1"/>
          <w:lang w:val="hu-HU" w:eastAsia="fr-BE"/>
        </w:rPr>
        <w:t> (pp. 33-46). Emerald Publishing Limited.</w:t>
      </w:r>
    </w:p>
    <w:p w14:paraId="08FDDE8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Malay, O. E. (2019). Do Beyond GDP indicators initiated by powerful stakeholders have a transformative potential?. </w:t>
      </w:r>
      <w:r w:rsidRPr="00DE659D">
        <w:rPr>
          <w:i/>
          <w:iCs/>
          <w:noProof/>
          <w:color w:val="000000" w:themeColor="text1"/>
          <w:lang w:val="hu-HU" w:eastAsia="fr-BE"/>
        </w:rPr>
        <w:t>Ecological Economics</w:t>
      </w:r>
      <w:r w:rsidRPr="00DE659D">
        <w:rPr>
          <w:noProof/>
          <w:color w:val="000000" w:themeColor="text1"/>
          <w:lang w:val="hu-HU" w:eastAsia="fr-BE"/>
        </w:rPr>
        <w:t>, </w:t>
      </w:r>
      <w:r w:rsidRPr="00DE659D">
        <w:rPr>
          <w:i/>
          <w:iCs/>
          <w:noProof/>
          <w:color w:val="000000" w:themeColor="text1"/>
          <w:lang w:val="hu-HU" w:eastAsia="fr-BE"/>
        </w:rPr>
        <w:t>162</w:t>
      </w:r>
      <w:r w:rsidRPr="00DE659D">
        <w:rPr>
          <w:noProof/>
          <w:color w:val="000000" w:themeColor="text1"/>
          <w:lang w:val="hu-HU" w:eastAsia="fr-BE"/>
        </w:rPr>
        <w:t>, 100-107.</w:t>
      </w:r>
    </w:p>
    <w:p w14:paraId="0E4EC381"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Managi, S., &amp; Kumar, P. (Eds.). (2018). </w:t>
      </w:r>
      <w:r w:rsidRPr="00DE659D">
        <w:rPr>
          <w:i/>
          <w:iCs/>
          <w:noProof/>
          <w:color w:val="000000" w:themeColor="text1"/>
          <w:lang w:val="hu-HU" w:eastAsia="fr-BE"/>
        </w:rPr>
        <w:t>Inclusive wealth report 2018: measuring progress towards sustainability</w:t>
      </w:r>
      <w:r w:rsidRPr="00DE659D">
        <w:rPr>
          <w:noProof/>
          <w:color w:val="000000" w:themeColor="text1"/>
          <w:lang w:val="hu-HU" w:eastAsia="fr-BE"/>
        </w:rPr>
        <w:t>. Routledge.</w:t>
      </w:r>
    </w:p>
    <w:p w14:paraId="7EAED2E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Milne, M. J. (2005). From soothing palliatives and towards ecological literacy: A critique of the Triple Bottom Line.</w:t>
      </w:r>
    </w:p>
    <w:p w14:paraId="13DDB3C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Meyer, J. (1969). </w:t>
      </w:r>
      <w:r w:rsidRPr="00DE659D">
        <w:rPr>
          <w:i/>
          <w:iCs/>
          <w:noProof/>
          <w:color w:val="000000" w:themeColor="text1"/>
          <w:lang w:val="hu-HU" w:eastAsia="fr-BE"/>
        </w:rPr>
        <w:t>Comptabilite d'entreprise et comptabilite nationale: 2e ed. pref. de robert goetz-girey</w:t>
      </w:r>
      <w:r w:rsidRPr="00DE659D">
        <w:rPr>
          <w:noProof/>
          <w:color w:val="000000" w:themeColor="text1"/>
          <w:lang w:val="hu-HU" w:eastAsia="fr-BE"/>
        </w:rPr>
        <w:t>. Dunod.</w:t>
      </w:r>
    </w:p>
    <w:p w14:paraId="3B457955"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Morse, S. (2016). Measuring the success of sustainable development indices in terms of reporting by the global press. </w:t>
      </w:r>
      <w:r w:rsidRPr="00DE659D">
        <w:rPr>
          <w:i/>
          <w:iCs/>
          <w:noProof/>
          <w:color w:val="000000" w:themeColor="text1"/>
          <w:lang w:val="hu-HU" w:eastAsia="fr-BE"/>
        </w:rPr>
        <w:t>Social Indicators Research</w:t>
      </w:r>
      <w:r w:rsidRPr="00DE659D">
        <w:rPr>
          <w:noProof/>
          <w:color w:val="000000" w:themeColor="text1"/>
          <w:lang w:val="hu-HU" w:eastAsia="fr-BE"/>
        </w:rPr>
        <w:t>, </w:t>
      </w:r>
      <w:r w:rsidRPr="00DE659D">
        <w:rPr>
          <w:i/>
          <w:iCs/>
          <w:noProof/>
          <w:color w:val="000000" w:themeColor="text1"/>
          <w:lang w:val="hu-HU" w:eastAsia="fr-BE"/>
        </w:rPr>
        <w:t>125</w:t>
      </w:r>
      <w:r w:rsidRPr="00DE659D">
        <w:rPr>
          <w:noProof/>
          <w:color w:val="000000" w:themeColor="text1"/>
          <w:lang w:val="hu-HU" w:eastAsia="fr-BE"/>
        </w:rPr>
        <w:t>(2), 359-375.</w:t>
      </w:r>
    </w:p>
    <w:p w14:paraId="734C8EA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McElroy, M. W., &amp; Baue, B. (2013). Research needs and opportunities in Context-Based Sustainability. </w:t>
      </w:r>
      <w:r w:rsidRPr="00DE659D">
        <w:rPr>
          <w:i/>
          <w:iCs/>
          <w:noProof/>
          <w:color w:val="000000" w:themeColor="text1"/>
          <w:lang w:val="hu-HU" w:eastAsia="fr-BE"/>
        </w:rPr>
        <w:t>Financial Reporting</w:t>
      </w:r>
      <w:r w:rsidRPr="00DE659D">
        <w:rPr>
          <w:noProof/>
          <w:color w:val="000000" w:themeColor="text1"/>
          <w:lang w:val="hu-HU" w:eastAsia="fr-BE"/>
        </w:rPr>
        <w:t>.</w:t>
      </w:r>
    </w:p>
    <w:p w14:paraId="5B08FE7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Nassimbene, R. (1954). The use of double-entry accounting in national income accounts. </w:t>
      </w:r>
      <w:r w:rsidRPr="00DE659D">
        <w:rPr>
          <w:i/>
          <w:iCs/>
          <w:noProof/>
          <w:color w:val="000000" w:themeColor="text1"/>
          <w:lang w:val="hu-HU" w:eastAsia="fr-BE"/>
        </w:rPr>
        <w:t>The Accounting Review</w:t>
      </w:r>
      <w:r w:rsidRPr="00DE659D">
        <w:rPr>
          <w:noProof/>
          <w:color w:val="000000" w:themeColor="text1"/>
          <w:lang w:val="hu-HU" w:eastAsia="fr-BE"/>
        </w:rPr>
        <w:t>, </w:t>
      </w:r>
      <w:r w:rsidRPr="00DE659D">
        <w:rPr>
          <w:i/>
          <w:iCs/>
          <w:noProof/>
          <w:color w:val="000000" w:themeColor="text1"/>
          <w:lang w:val="hu-HU" w:eastAsia="fr-BE"/>
        </w:rPr>
        <w:t>29</w:t>
      </w:r>
      <w:r w:rsidRPr="00DE659D">
        <w:rPr>
          <w:noProof/>
          <w:color w:val="000000" w:themeColor="text1"/>
          <w:lang w:val="hu-HU" w:eastAsia="fr-BE"/>
        </w:rPr>
        <w:t>(1), 74-83.</w:t>
      </w:r>
    </w:p>
    <w:p w14:paraId="03173A2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North, D. C. (1991). Institutions. </w:t>
      </w:r>
      <w:r w:rsidRPr="00DE659D">
        <w:rPr>
          <w:i/>
          <w:iCs/>
          <w:noProof/>
          <w:color w:val="000000" w:themeColor="text1"/>
          <w:lang w:val="hu-HU" w:eastAsia="fr-BE"/>
        </w:rPr>
        <w:t>Journal of economic perspectives</w:t>
      </w:r>
      <w:r w:rsidRPr="00DE659D">
        <w:rPr>
          <w:noProof/>
          <w:color w:val="000000" w:themeColor="text1"/>
          <w:lang w:val="hu-HU" w:eastAsia="fr-BE"/>
        </w:rPr>
        <w:t>, </w:t>
      </w:r>
      <w:r w:rsidRPr="00DE659D">
        <w:rPr>
          <w:i/>
          <w:iCs/>
          <w:noProof/>
          <w:color w:val="000000" w:themeColor="text1"/>
          <w:lang w:val="hu-HU" w:eastAsia="fr-BE"/>
        </w:rPr>
        <w:t>5</w:t>
      </w:r>
      <w:r w:rsidRPr="00DE659D">
        <w:rPr>
          <w:noProof/>
          <w:color w:val="000000" w:themeColor="text1"/>
          <w:lang w:val="hu-HU" w:eastAsia="fr-BE"/>
        </w:rPr>
        <w:t>(1), 97-112.</w:t>
      </w:r>
    </w:p>
    <w:p w14:paraId="2D1ECDF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Pattberg, P., &amp; Widerberg, O. (2016). Transnational multistakeholder partnerships for sustainable development: Conditions for success. </w:t>
      </w:r>
      <w:r w:rsidRPr="00DE659D">
        <w:rPr>
          <w:i/>
          <w:iCs/>
          <w:noProof/>
          <w:color w:val="000000" w:themeColor="text1"/>
          <w:lang w:val="hu-HU" w:eastAsia="fr-BE"/>
        </w:rPr>
        <w:t>Ambio</w:t>
      </w:r>
      <w:r w:rsidRPr="00DE659D">
        <w:rPr>
          <w:noProof/>
          <w:color w:val="000000" w:themeColor="text1"/>
          <w:lang w:val="hu-HU" w:eastAsia="fr-BE"/>
        </w:rPr>
        <w:t>, </w:t>
      </w:r>
      <w:r w:rsidRPr="00DE659D">
        <w:rPr>
          <w:i/>
          <w:iCs/>
          <w:noProof/>
          <w:color w:val="000000" w:themeColor="text1"/>
          <w:lang w:val="hu-HU" w:eastAsia="fr-BE"/>
        </w:rPr>
        <w:t>45</w:t>
      </w:r>
      <w:r w:rsidRPr="00DE659D">
        <w:rPr>
          <w:noProof/>
          <w:color w:val="000000" w:themeColor="text1"/>
          <w:lang w:val="hu-HU" w:eastAsia="fr-BE"/>
        </w:rPr>
        <w:t>(1), 42-51.</w:t>
      </w:r>
    </w:p>
    <w:p w14:paraId="11D0A134" w14:textId="77777777" w:rsidR="00DE659D" w:rsidRPr="00DE659D" w:rsidRDefault="00DE659D" w:rsidP="00DE659D">
      <w:pPr>
        <w:rPr>
          <w:noProof/>
          <w:color w:val="000000" w:themeColor="text1"/>
          <w:lang w:eastAsia="fr-BE"/>
        </w:rPr>
      </w:pPr>
      <w:r w:rsidRPr="00DE659D">
        <w:rPr>
          <w:noProof/>
          <w:color w:val="000000" w:themeColor="text1"/>
          <w:lang w:eastAsia="fr-BE"/>
        </w:rPr>
        <w:t>Piketty, T. (2014). </w:t>
      </w:r>
      <w:r w:rsidRPr="00DE659D">
        <w:rPr>
          <w:i/>
          <w:iCs/>
          <w:noProof/>
          <w:color w:val="000000" w:themeColor="text1"/>
          <w:lang w:eastAsia="fr-BE"/>
        </w:rPr>
        <w:t>Capital in the Twenty-First Century</w:t>
      </w:r>
      <w:r w:rsidRPr="00DE659D">
        <w:rPr>
          <w:noProof/>
          <w:color w:val="000000" w:themeColor="text1"/>
          <w:lang w:eastAsia="fr-BE"/>
        </w:rPr>
        <w:t>, Belknap: Cambridge, MA.</w:t>
      </w:r>
    </w:p>
    <w:p w14:paraId="0BC506E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Pissourios, I. A. (2013). An interdisciplinary study on indicators: A comparative review of quality-of-life, macroeconomic, environmental, welfare and sustainability indicators.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34</w:t>
      </w:r>
      <w:r w:rsidRPr="00DE659D">
        <w:rPr>
          <w:noProof/>
          <w:color w:val="000000" w:themeColor="text1"/>
          <w:lang w:val="hu-HU" w:eastAsia="fr-BE"/>
        </w:rPr>
        <w:t>, 420-427.</w:t>
      </w:r>
    </w:p>
    <w:p w14:paraId="20A6C2E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Richard, J. (2012). </w:t>
      </w:r>
      <w:r w:rsidRPr="00DE659D">
        <w:rPr>
          <w:i/>
          <w:iCs/>
          <w:noProof/>
          <w:color w:val="000000" w:themeColor="text1"/>
          <w:lang w:val="hu-HU" w:eastAsia="fr-BE"/>
        </w:rPr>
        <w:t>Comptabilité et développement durable</w:t>
      </w:r>
      <w:r w:rsidRPr="00DE659D">
        <w:rPr>
          <w:noProof/>
          <w:color w:val="000000" w:themeColor="text1"/>
          <w:lang w:val="hu-HU" w:eastAsia="fr-BE"/>
        </w:rPr>
        <w:t> (No. hal-01651227).</w:t>
      </w:r>
    </w:p>
    <w:p w14:paraId="389002D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Rinne, J., Lyytimäki, J., &amp; Kautto, P. (2013). From sustainability to well-being: Lessons learned from the use of sustainable development indicators at national and EU level. </w:t>
      </w:r>
      <w:r w:rsidRPr="00DE659D">
        <w:rPr>
          <w:i/>
          <w:iCs/>
          <w:noProof/>
          <w:color w:val="000000" w:themeColor="text1"/>
          <w:lang w:val="hu-HU" w:eastAsia="fr-BE"/>
        </w:rPr>
        <w:t>Ecological indicators</w:t>
      </w:r>
      <w:r w:rsidRPr="00DE659D">
        <w:rPr>
          <w:noProof/>
          <w:color w:val="000000" w:themeColor="text1"/>
          <w:lang w:val="hu-HU" w:eastAsia="fr-BE"/>
        </w:rPr>
        <w:t>, </w:t>
      </w:r>
      <w:r w:rsidRPr="00DE659D">
        <w:rPr>
          <w:i/>
          <w:iCs/>
          <w:noProof/>
          <w:color w:val="000000" w:themeColor="text1"/>
          <w:lang w:val="hu-HU" w:eastAsia="fr-BE"/>
        </w:rPr>
        <w:t>35</w:t>
      </w:r>
      <w:r w:rsidRPr="00DE659D">
        <w:rPr>
          <w:noProof/>
          <w:color w:val="000000" w:themeColor="text1"/>
          <w:lang w:val="hu-HU" w:eastAsia="fr-BE"/>
        </w:rPr>
        <w:t>, 35-42.</w:t>
      </w:r>
    </w:p>
    <w:p w14:paraId="07C9D3A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Roman, P., &amp; Thiry, G. (2016). The inclusive wealth index. A critical appraisal. </w:t>
      </w:r>
      <w:r w:rsidRPr="00DE659D">
        <w:rPr>
          <w:i/>
          <w:iCs/>
          <w:noProof/>
          <w:color w:val="000000" w:themeColor="text1"/>
          <w:lang w:val="hu-HU" w:eastAsia="fr-BE"/>
        </w:rPr>
        <w:t>Ecological Economics</w:t>
      </w:r>
      <w:r w:rsidRPr="00DE659D">
        <w:rPr>
          <w:noProof/>
          <w:color w:val="000000" w:themeColor="text1"/>
          <w:lang w:val="hu-HU" w:eastAsia="fr-BE"/>
        </w:rPr>
        <w:t>, </w:t>
      </w:r>
      <w:r w:rsidRPr="00DE659D">
        <w:rPr>
          <w:i/>
          <w:iCs/>
          <w:noProof/>
          <w:color w:val="000000" w:themeColor="text1"/>
          <w:lang w:val="hu-HU" w:eastAsia="fr-BE"/>
        </w:rPr>
        <w:t>124</w:t>
      </w:r>
      <w:r w:rsidRPr="00DE659D">
        <w:rPr>
          <w:noProof/>
          <w:color w:val="000000" w:themeColor="text1"/>
          <w:lang w:val="hu-HU" w:eastAsia="fr-BE"/>
        </w:rPr>
        <w:t>, 185-192.</w:t>
      </w:r>
    </w:p>
    <w:p w14:paraId="64C9E74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Rossi, P. H., Lipsey, M. W., &amp; Henry, G. T. (2018). </w:t>
      </w:r>
      <w:r w:rsidRPr="00DE659D">
        <w:rPr>
          <w:i/>
          <w:iCs/>
          <w:noProof/>
          <w:color w:val="000000" w:themeColor="text1"/>
          <w:lang w:val="hu-HU" w:eastAsia="fr-BE"/>
        </w:rPr>
        <w:t>Evaluation: A systematic approach</w:t>
      </w:r>
      <w:r w:rsidRPr="00DE659D">
        <w:rPr>
          <w:noProof/>
          <w:color w:val="000000" w:themeColor="text1"/>
          <w:lang w:val="hu-HU" w:eastAsia="fr-BE"/>
        </w:rPr>
        <w:t>. Sage publications.</w:t>
      </w:r>
    </w:p>
    <w:p w14:paraId="30B9F29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Sachs, J., Schmidt-Traub, G., Kroll, C., Lafortune, G., &amp; Fuller, G. (2018). SDG Index and Dashboards Report 2018. Global Responsibilities. </w:t>
      </w:r>
      <w:r w:rsidRPr="00DE659D">
        <w:rPr>
          <w:i/>
          <w:iCs/>
          <w:noProof/>
          <w:color w:val="000000" w:themeColor="text1"/>
          <w:lang w:val="hu-HU" w:eastAsia="fr-BE"/>
        </w:rPr>
        <w:t>International Spillovers in Achieving the Goals</w:t>
      </w:r>
      <w:r w:rsidRPr="00DE659D">
        <w:rPr>
          <w:noProof/>
          <w:color w:val="000000" w:themeColor="text1"/>
          <w:lang w:val="hu-HU" w:eastAsia="fr-BE"/>
        </w:rPr>
        <w:t>.</w:t>
      </w:r>
    </w:p>
    <w:p w14:paraId="689D8C36"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Schaltegger, S. (2018). Linking environmental management accounting: A reflection on (missing) links to sustainability and planetary boundaries. </w:t>
      </w:r>
      <w:r w:rsidRPr="00DE659D">
        <w:rPr>
          <w:i/>
          <w:iCs/>
          <w:noProof/>
          <w:color w:val="000000" w:themeColor="text1"/>
          <w:lang w:val="hu-HU" w:eastAsia="fr-BE"/>
        </w:rPr>
        <w:t>Social and Environmental Accountability Journal</w:t>
      </w:r>
      <w:r w:rsidRPr="00DE659D">
        <w:rPr>
          <w:noProof/>
          <w:color w:val="000000" w:themeColor="text1"/>
          <w:lang w:val="hu-HU" w:eastAsia="fr-BE"/>
        </w:rPr>
        <w:t>, </w:t>
      </w:r>
      <w:r w:rsidRPr="00DE659D">
        <w:rPr>
          <w:i/>
          <w:iCs/>
          <w:noProof/>
          <w:color w:val="000000" w:themeColor="text1"/>
          <w:lang w:val="hu-HU" w:eastAsia="fr-BE"/>
        </w:rPr>
        <w:t>38</w:t>
      </w:r>
      <w:r w:rsidRPr="00DE659D">
        <w:rPr>
          <w:noProof/>
          <w:color w:val="000000" w:themeColor="text1"/>
          <w:lang w:val="hu-HU" w:eastAsia="fr-BE"/>
        </w:rPr>
        <w:t>(1), 19-29.</w:t>
      </w:r>
    </w:p>
    <w:p w14:paraId="7F18D44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Schmelzer, M. (2016). </w:t>
      </w:r>
      <w:r w:rsidRPr="00DE659D">
        <w:rPr>
          <w:i/>
          <w:iCs/>
          <w:noProof/>
          <w:color w:val="000000" w:themeColor="text1"/>
          <w:lang w:val="hu-HU" w:eastAsia="fr-BE"/>
        </w:rPr>
        <w:t>The hegemony of growth: the OECD and the making of the economic growth paradigm</w:t>
      </w:r>
      <w:r w:rsidRPr="00DE659D">
        <w:rPr>
          <w:noProof/>
          <w:color w:val="000000" w:themeColor="text1"/>
          <w:lang w:val="hu-HU" w:eastAsia="fr-BE"/>
        </w:rPr>
        <w:t>. Cambridge University Press.</w:t>
      </w:r>
    </w:p>
    <w:p w14:paraId="7694676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SDG Compass. (2015). The guide for business action on the SDGs. </w:t>
      </w:r>
      <w:r w:rsidRPr="00DE659D">
        <w:rPr>
          <w:i/>
          <w:iCs/>
          <w:noProof/>
          <w:color w:val="000000" w:themeColor="text1"/>
          <w:lang w:val="hu-HU" w:eastAsia="fr-BE"/>
        </w:rPr>
        <w:t>World Business Council for Sustainable Development (WBCSD): Geneva, Switzerland</w:t>
      </w:r>
      <w:r w:rsidRPr="00DE659D">
        <w:rPr>
          <w:noProof/>
          <w:color w:val="000000" w:themeColor="text1"/>
          <w:lang w:val="hu-HU" w:eastAsia="fr-BE"/>
        </w:rPr>
        <w:t>.</w:t>
      </w:r>
    </w:p>
    <w:p w14:paraId="364FE2D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Seaford, C. (2013). The multiple uses of subjective well-being indicators. </w:t>
      </w:r>
      <w:r w:rsidRPr="00DE659D">
        <w:rPr>
          <w:i/>
          <w:iCs/>
          <w:noProof/>
          <w:color w:val="000000" w:themeColor="text1"/>
          <w:lang w:val="en-US" w:eastAsia="fr-BE"/>
        </w:rPr>
        <w:t>Social indicators research</w:t>
      </w:r>
      <w:r w:rsidRPr="00DE659D">
        <w:rPr>
          <w:noProof/>
          <w:color w:val="000000" w:themeColor="text1"/>
          <w:lang w:val="en-US" w:eastAsia="fr-BE"/>
        </w:rPr>
        <w:t>, </w:t>
      </w:r>
      <w:r w:rsidRPr="00DE659D">
        <w:rPr>
          <w:i/>
          <w:iCs/>
          <w:noProof/>
          <w:color w:val="000000" w:themeColor="text1"/>
          <w:lang w:val="en-US" w:eastAsia="fr-BE"/>
        </w:rPr>
        <w:t>114</w:t>
      </w:r>
      <w:r w:rsidRPr="00DE659D">
        <w:rPr>
          <w:noProof/>
          <w:color w:val="000000" w:themeColor="text1"/>
          <w:lang w:val="en-US" w:eastAsia="fr-BE"/>
        </w:rPr>
        <w:t>(1), 29-43.</w:t>
      </w:r>
    </w:p>
    <w:p w14:paraId="31BF094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Searcy, C. (2016). Measuring enterprise sustainability. </w:t>
      </w:r>
      <w:r w:rsidRPr="00DE659D">
        <w:rPr>
          <w:i/>
          <w:iCs/>
          <w:noProof/>
          <w:color w:val="000000" w:themeColor="text1"/>
          <w:lang w:val="hu-HU" w:eastAsia="fr-BE"/>
        </w:rPr>
        <w:t>Business Strategy and the Environment</w:t>
      </w:r>
      <w:r w:rsidRPr="00DE659D">
        <w:rPr>
          <w:noProof/>
          <w:color w:val="000000" w:themeColor="text1"/>
          <w:lang w:val="hu-HU" w:eastAsia="fr-BE"/>
        </w:rPr>
        <w:t>, </w:t>
      </w:r>
      <w:r w:rsidRPr="00DE659D">
        <w:rPr>
          <w:i/>
          <w:iCs/>
          <w:noProof/>
          <w:color w:val="000000" w:themeColor="text1"/>
          <w:lang w:val="hu-HU" w:eastAsia="fr-BE"/>
        </w:rPr>
        <w:t>25</w:t>
      </w:r>
      <w:r w:rsidRPr="00DE659D">
        <w:rPr>
          <w:noProof/>
          <w:color w:val="000000" w:themeColor="text1"/>
          <w:lang w:val="hu-HU" w:eastAsia="fr-BE"/>
        </w:rPr>
        <w:t>(2), 120-133.</w:t>
      </w:r>
    </w:p>
    <w:p w14:paraId="08D3F690"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Searcy, C., &amp; Buslovich, R. (2014). Corporate perspectives on the development and use of sustainability reports. </w:t>
      </w:r>
      <w:r w:rsidRPr="00DE659D">
        <w:rPr>
          <w:i/>
          <w:iCs/>
          <w:noProof/>
          <w:color w:val="000000" w:themeColor="text1"/>
          <w:lang w:val="hu-HU" w:eastAsia="fr-BE"/>
        </w:rPr>
        <w:t>Journal of business ethics</w:t>
      </w:r>
      <w:r w:rsidRPr="00DE659D">
        <w:rPr>
          <w:noProof/>
          <w:color w:val="000000" w:themeColor="text1"/>
          <w:lang w:val="hu-HU" w:eastAsia="fr-BE"/>
        </w:rPr>
        <w:t>, </w:t>
      </w:r>
      <w:r w:rsidRPr="00DE659D">
        <w:rPr>
          <w:i/>
          <w:iCs/>
          <w:noProof/>
          <w:color w:val="000000" w:themeColor="text1"/>
          <w:lang w:val="hu-HU" w:eastAsia="fr-BE"/>
        </w:rPr>
        <w:t>121</w:t>
      </w:r>
      <w:r w:rsidRPr="00DE659D">
        <w:rPr>
          <w:noProof/>
          <w:color w:val="000000" w:themeColor="text1"/>
          <w:lang w:val="hu-HU" w:eastAsia="fr-BE"/>
        </w:rPr>
        <w:t>(2), 149-169.</w:t>
      </w:r>
    </w:p>
    <w:p w14:paraId="46A698E7"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Spangenberg, J. H., &amp; Bonniot, O. (1998). </w:t>
      </w:r>
      <w:r w:rsidRPr="00DE659D">
        <w:rPr>
          <w:i/>
          <w:iCs/>
          <w:noProof/>
          <w:color w:val="000000" w:themeColor="text1"/>
          <w:lang w:val="hu-HU" w:eastAsia="fr-BE"/>
        </w:rPr>
        <w:t>Sustainability indicators: a compass on the road towards sustainability</w:t>
      </w:r>
      <w:r w:rsidRPr="00DE659D">
        <w:rPr>
          <w:noProof/>
          <w:color w:val="000000" w:themeColor="text1"/>
          <w:lang w:val="hu-HU" w:eastAsia="fr-BE"/>
        </w:rPr>
        <w:t> (No. 81). Wuppertal Papers.</w:t>
      </w:r>
    </w:p>
    <w:p w14:paraId="00449E4E" w14:textId="77777777" w:rsidR="00DE659D" w:rsidRPr="00DE659D" w:rsidRDefault="00DE659D" w:rsidP="00DE659D">
      <w:pPr>
        <w:rPr>
          <w:noProof/>
          <w:color w:val="000000" w:themeColor="text1"/>
          <w:lang w:eastAsia="fr-BE"/>
        </w:rPr>
      </w:pPr>
      <w:r w:rsidRPr="00DE659D">
        <w:rPr>
          <w:noProof/>
          <w:color w:val="000000" w:themeColor="text1"/>
          <w:lang w:eastAsia="fr-BE"/>
        </w:rPr>
        <w:t>Steffen, W., Richardson, K., Rockström, J., Cornell, S. E., Fetzer, I., Bennett, E. M., ... &amp; Folke, C. (2015). Planetary boundaries: Guiding human development on a changing planet. </w:t>
      </w:r>
      <w:r w:rsidRPr="00DE659D">
        <w:rPr>
          <w:i/>
          <w:iCs/>
          <w:noProof/>
          <w:color w:val="000000" w:themeColor="text1"/>
          <w:lang w:eastAsia="fr-BE"/>
        </w:rPr>
        <w:t>Science</w:t>
      </w:r>
      <w:r w:rsidRPr="00DE659D">
        <w:rPr>
          <w:noProof/>
          <w:color w:val="000000" w:themeColor="text1"/>
          <w:lang w:eastAsia="fr-BE"/>
        </w:rPr>
        <w:t>, </w:t>
      </w:r>
      <w:r w:rsidRPr="00DE659D">
        <w:rPr>
          <w:i/>
          <w:iCs/>
          <w:noProof/>
          <w:color w:val="000000" w:themeColor="text1"/>
          <w:lang w:eastAsia="fr-BE"/>
        </w:rPr>
        <w:t>347</w:t>
      </w:r>
      <w:r w:rsidRPr="00DE659D">
        <w:rPr>
          <w:noProof/>
          <w:color w:val="000000" w:themeColor="text1"/>
          <w:lang w:eastAsia="fr-BE"/>
        </w:rPr>
        <w:t>.</w:t>
      </w:r>
    </w:p>
    <w:p w14:paraId="6379B54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Stiglitz, J., Sen, A. K., &amp; Fitoussi, J. P. (2009). The measurement of economic performance and social progress revisited: reflections and overview.</w:t>
      </w:r>
    </w:p>
    <w:p w14:paraId="4F2C65A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Thiry, G. (2015). Beyond GDP: Conceptual grounds of quantification. The case of the Index of Economic Well-Being (IEWB). </w:t>
      </w:r>
      <w:r w:rsidRPr="00DE659D">
        <w:rPr>
          <w:i/>
          <w:iCs/>
          <w:noProof/>
          <w:color w:val="000000" w:themeColor="text1"/>
          <w:lang w:val="hu-HU" w:eastAsia="fr-BE"/>
        </w:rPr>
        <w:t>Social Indicators Research</w:t>
      </w:r>
      <w:r w:rsidRPr="00DE659D">
        <w:rPr>
          <w:noProof/>
          <w:color w:val="000000" w:themeColor="text1"/>
          <w:lang w:val="hu-HU" w:eastAsia="fr-BE"/>
        </w:rPr>
        <w:t>, </w:t>
      </w:r>
      <w:r w:rsidRPr="00DE659D">
        <w:rPr>
          <w:i/>
          <w:iCs/>
          <w:noProof/>
          <w:color w:val="000000" w:themeColor="text1"/>
          <w:lang w:val="hu-HU" w:eastAsia="fr-BE"/>
        </w:rPr>
        <w:t>121</w:t>
      </w:r>
      <w:r w:rsidRPr="00DE659D">
        <w:rPr>
          <w:noProof/>
          <w:color w:val="000000" w:themeColor="text1"/>
          <w:lang w:val="hu-HU" w:eastAsia="fr-BE"/>
        </w:rPr>
        <w:t>(2), 313-343.</w:t>
      </w:r>
    </w:p>
    <w:p w14:paraId="75454987" w14:textId="77777777" w:rsidR="00DE659D" w:rsidRPr="00DE659D" w:rsidRDefault="00DE659D" w:rsidP="00DE659D">
      <w:pPr>
        <w:rPr>
          <w:noProof/>
          <w:color w:val="000000" w:themeColor="text1"/>
          <w:lang w:val="en-US" w:eastAsia="fr-BE"/>
        </w:rPr>
      </w:pPr>
      <w:r w:rsidRPr="00DE659D">
        <w:rPr>
          <w:noProof/>
          <w:color w:val="000000" w:themeColor="text1"/>
          <w:lang w:val="hu-HU" w:eastAsia="fr-BE"/>
        </w:rPr>
        <w:t>Ul Haq, M. (1995). </w:t>
      </w:r>
      <w:r w:rsidRPr="00DE659D">
        <w:rPr>
          <w:i/>
          <w:iCs/>
          <w:noProof/>
          <w:color w:val="000000" w:themeColor="text1"/>
          <w:lang w:val="hu-HU" w:eastAsia="fr-BE"/>
        </w:rPr>
        <w:t>Reflections on human development</w:t>
      </w:r>
      <w:r w:rsidRPr="00DE659D">
        <w:rPr>
          <w:noProof/>
          <w:color w:val="000000" w:themeColor="text1"/>
          <w:lang w:val="hu-HU" w:eastAsia="fr-BE"/>
        </w:rPr>
        <w:t>. oxford university Press.</w:t>
      </w:r>
    </w:p>
    <w:p w14:paraId="7E22BC4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lastRenderedPageBreak/>
        <w:t>United Nations. "Transforming our world: The 2030 agenda for sustainable development." </w:t>
      </w:r>
      <w:r w:rsidRPr="00DE659D">
        <w:rPr>
          <w:i/>
          <w:iCs/>
          <w:noProof/>
          <w:color w:val="000000" w:themeColor="text1"/>
          <w:lang w:val="hu-HU" w:eastAsia="fr-BE"/>
        </w:rPr>
        <w:t>General Assembley 70 session</w:t>
      </w:r>
      <w:r w:rsidRPr="00DE659D">
        <w:rPr>
          <w:noProof/>
          <w:color w:val="000000" w:themeColor="text1"/>
          <w:lang w:val="hu-HU" w:eastAsia="fr-BE"/>
        </w:rPr>
        <w:t> (2015).</w:t>
      </w:r>
    </w:p>
    <w:p w14:paraId="159DA991"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UNSD. (2000). </w:t>
      </w:r>
      <w:r w:rsidRPr="00DE659D">
        <w:rPr>
          <w:i/>
          <w:iCs/>
          <w:noProof/>
          <w:color w:val="000000" w:themeColor="text1"/>
          <w:lang w:val="hu-HU" w:eastAsia="fr-BE"/>
        </w:rPr>
        <w:t>Links between business accounting and national accounting</w:t>
      </w:r>
      <w:r w:rsidRPr="00DE659D">
        <w:rPr>
          <w:noProof/>
          <w:color w:val="000000" w:themeColor="text1"/>
          <w:lang w:val="hu-HU" w:eastAsia="fr-BE"/>
        </w:rPr>
        <w:t> (No. 76). United Nations Publications.</w:t>
      </w:r>
    </w:p>
    <w:p w14:paraId="5C7ED4F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UNSD. (2015). Discussion paper on Principles of Using Quantification to Operationalize the SDGs and Criteria for Indicator Selection. ESA/STAT/441/2/58A/14</w:t>
      </w:r>
    </w:p>
    <w:p w14:paraId="08BC4DB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UN Statistical Division, New York (2015)Ura, K., Alkire, S., &amp; Zangmo, T. (2012). Bhutan: Gross national happiness and the GNH index.</w:t>
      </w:r>
    </w:p>
    <w:p w14:paraId="3AFF0EDF"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Van Zanten, J. A., &amp; Van Tulder, R. (2018). Multinational enterprises and the Sustainable Development Goals: An institutional approach to corporate engagement. </w:t>
      </w:r>
      <w:r w:rsidRPr="00DE659D">
        <w:rPr>
          <w:i/>
          <w:iCs/>
          <w:noProof/>
          <w:color w:val="000000" w:themeColor="text1"/>
          <w:lang w:val="hu-HU" w:eastAsia="fr-BE"/>
        </w:rPr>
        <w:t>Journal of International Business Policy</w:t>
      </w:r>
      <w:r w:rsidRPr="00DE659D">
        <w:rPr>
          <w:noProof/>
          <w:color w:val="000000" w:themeColor="text1"/>
          <w:lang w:val="hu-HU" w:eastAsia="fr-BE"/>
        </w:rPr>
        <w:t>, </w:t>
      </w:r>
      <w:r w:rsidRPr="00DE659D">
        <w:rPr>
          <w:i/>
          <w:iCs/>
          <w:noProof/>
          <w:color w:val="000000" w:themeColor="text1"/>
          <w:lang w:val="hu-HU" w:eastAsia="fr-BE"/>
        </w:rPr>
        <w:t>1</w:t>
      </w:r>
      <w:r w:rsidRPr="00DE659D">
        <w:rPr>
          <w:noProof/>
          <w:color w:val="000000" w:themeColor="text1"/>
          <w:lang w:val="hu-HU" w:eastAsia="fr-BE"/>
        </w:rPr>
        <w:t>(3-4), 208-233.</w:t>
      </w:r>
    </w:p>
    <w:p w14:paraId="65EA583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Vanoli, A. (2005). </w:t>
      </w:r>
      <w:r w:rsidRPr="00DE659D">
        <w:rPr>
          <w:i/>
          <w:iCs/>
          <w:noProof/>
          <w:color w:val="000000" w:themeColor="text1"/>
          <w:lang w:val="hu-HU" w:eastAsia="fr-BE"/>
        </w:rPr>
        <w:t>A history of national accounting</w:t>
      </w:r>
      <w:r w:rsidRPr="00DE659D">
        <w:rPr>
          <w:noProof/>
          <w:color w:val="000000" w:themeColor="text1"/>
          <w:lang w:val="hu-HU" w:eastAsia="fr-BE"/>
        </w:rPr>
        <w:t>. IOS press.</w:t>
      </w:r>
    </w:p>
    <w:p w14:paraId="6A47936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Walker, S. P., &amp; Edwards, J. R. (2009). </w:t>
      </w:r>
      <w:r w:rsidRPr="00DE659D">
        <w:rPr>
          <w:i/>
          <w:iCs/>
          <w:noProof/>
          <w:color w:val="000000" w:themeColor="text1"/>
          <w:lang w:val="hu-HU" w:eastAsia="fr-BE"/>
        </w:rPr>
        <w:t>The Routledge companion to accounting history</w:t>
      </w:r>
      <w:r w:rsidRPr="00DE659D">
        <w:rPr>
          <w:noProof/>
          <w:color w:val="000000" w:themeColor="text1"/>
          <w:lang w:val="hu-HU" w:eastAsia="fr-BE"/>
        </w:rPr>
        <w:t>. Routledge.</w:t>
      </w:r>
    </w:p>
    <w:p w14:paraId="56EE59D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Whitby, A. (2014). The BRAINPOol Project: Summary, Recommendations and Next Steps London. </w:t>
      </w:r>
      <w:r w:rsidRPr="00DE659D">
        <w:rPr>
          <w:i/>
          <w:iCs/>
          <w:noProof/>
          <w:color w:val="000000" w:themeColor="text1"/>
          <w:lang w:val="hu-HU" w:eastAsia="fr-BE"/>
        </w:rPr>
        <w:t>Bringing Alternative Indicators Into Policy Project</w:t>
      </w:r>
      <w:r w:rsidRPr="00DE659D">
        <w:rPr>
          <w:noProof/>
          <w:color w:val="000000" w:themeColor="text1"/>
          <w:lang w:val="hu-HU" w:eastAsia="fr-BE"/>
        </w:rPr>
        <w:t>.</w:t>
      </w:r>
    </w:p>
    <w:p w14:paraId="10FA5AC4"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Whiteman, G., Walker, B., &amp; Perego, P. (2013). Planetary boundaries: Ecological foundations for corporate sustainability. </w:t>
      </w:r>
      <w:r w:rsidRPr="00DE659D">
        <w:rPr>
          <w:i/>
          <w:iCs/>
          <w:noProof/>
          <w:color w:val="000000" w:themeColor="text1"/>
          <w:lang w:val="hu-HU" w:eastAsia="fr-BE"/>
        </w:rPr>
        <w:t>Journal of Management Studies</w:t>
      </w:r>
      <w:r w:rsidRPr="00DE659D">
        <w:rPr>
          <w:noProof/>
          <w:color w:val="000000" w:themeColor="text1"/>
          <w:lang w:val="hu-HU" w:eastAsia="fr-BE"/>
        </w:rPr>
        <w:t>, </w:t>
      </w:r>
      <w:r w:rsidRPr="00DE659D">
        <w:rPr>
          <w:i/>
          <w:iCs/>
          <w:noProof/>
          <w:color w:val="000000" w:themeColor="text1"/>
          <w:lang w:val="hu-HU" w:eastAsia="fr-BE"/>
        </w:rPr>
        <w:t>50</w:t>
      </w:r>
      <w:r w:rsidRPr="00DE659D">
        <w:rPr>
          <w:noProof/>
          <w:color w:val="000000" w:themeColor="text1"/>
          <w:lang w:val="hu-HU" w:eastAsia="fr-BE"/>
        </w:rPr>
        <w:t>(2), 307-336.</w:t>
      </w:r>
    </w:p>
    <w:p w14:paraId="6F78BEC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Zangmo, T., Wangdi, K., &amp; Phuntsho, J. (2018). </w:t>
      </w:r>
      <w:r w:rsidRPr="00DE659D">
        <w:rPr>
          <w:i/>
          <w:iCs/>
          <w:noProof/>
          <w:color w:val="000000" w:themeColor="text1"/>
          <w:lang w:val="hu-HU" w:eastAsia="fr-BE"/>
        </w:rPr>
        <w:t>GNH Certification</w:t>
      </w:r>
      <w:r w:rsidRPr="00DE659D">
        <w:rPr>
          <w:noProof/>
          <w:color w:val="000000" w:themeColor="text1"/>
          <w:lang w:val="hu-HU" w:eastAsia="fr-BE"/>
        </w:rPr>
        <w:t>. Centre for Bhutan Studies &amp; GNH.</w:t>
      </w:r>
    </w:p>
    <w:p w14:paraId="063B031A"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Zangmo, T., Wangdi, K., &amp; Phuntsho, J. (2017). </w:t>
      </w:r>
      <w:r w:rsidRPr="00DE659D">
        <w:rPr>
          <w:i/>
          <w:iCs/>
          <w:noProof/>
          <w:color w:val="000000" w:themeColor="text1"/>
          <w:lang w:val="hu-HU" w:eastAsia="fr-BE"/>
        </w:rPr>
        <w:t>Proposed GNH of business</w:t>
      </w:r>
      <w:r w:rsidRPr="00DE659D">
        <w:rPr>
          <w:noProof/>
          <w:color w:val="000000" w:themeColor="text1"/>
          <w:lang w:val="hu-HU" w:eastAsia="fr-BE"/>
        </w:rPr>
        <w:t>. Centre for Bhutan Studies &amp; GNH.</w:t>
      </w:r>
    </w:p>
    <w:p w14:paraId="20F2C235"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Zimmerman, J. L., &amp; </w:t>
      </w:r>
      <w:bookmarkStart w:id="43" w:name="_Hlk22651756"/>
      <w:r w:rsidRPr="00DE659D">
        <w:rPr>
          <w:noProof/>
          <w:color w:val="000000" w:themeColor="text1"/>
          <w:lang w:val="hu-HU" w:eastAsia="fr-BE"/>
        </w:rPr>
        <w:t>Yahya-Zadeh</w:t>
      </w:r>
      <w:bookmarkEnd w:id="43"/>
      <w:r w:rsidRPr="00DE659D">
        <w:rPr>
          <w:noProof/>
          <w:color w:val="000000" w:themeColor="text1"/>
          <w:lang w:val="hu-HU" w:eastAsia="fr-BE"/>
        </w:rPr>
        <w:t>, M. (2011). Accounting for decision making and control. </w:t>
      </w:r>
      <w:r w:rsidRPr="00DE659D">
        <w:rPr>
          <w:i/>
          <w:iCs/>
          <w:noProof/>
          <w:color w:val="000000" w:themeColor="text1"/>
          <w:lang w:val="hu-HU" w:eastAsia="fr-BE"/>
        </w:rPr>
        <w:t>Issues in Accounting Education</w:t>
      </w:r>
      <w:r w:rsidRPr="00DE659D">
        <w:rPr>
          <w:noProof/>
          <w:color w:val="000000" w:themeColor="text1"/>
          <w:lang w:val="hu-HU" w:eastAsia="fr-BE"/>
        </w:rPr>
        <w:t>, </w:t>
      </w:r>
      <w:r w:rsidRPr="00DE659D">
        <w:rPr>
          <w:i/>
          <w:iCs/>
          <w:noProof/>
          <w:color w:val="000000" w:themeColor="text1"/>
          <w:lang w:val="hu-HU" w:eastAsia="fr-BE"/>
        </w:rPr>
        <w:t>26</w:t>
      </w:r>
      <w:r w:rsidRPr="00DE659D">
        <w:rPr>
          <w:noProof/>
          <w:color w:val="000000" w:themeColor="text1"/>
          <w:lang w:val="hu-HU" w:eastAsia="fr-BE"/>
        </w:rPr>
        <w:t>(1), 258-259.</w:t>
      </w:r>
    </w:p>
    <w:p w14:paraId="1C1122DA" w14:textId="77777777" w:rsidR="00DE659D" w:rsidRPr="00DE659D" w:rsidRDefault="00DE659D" w:rsidP="00DE659D">
      <w:pPr>
        <w:rPr>
          <w:noProof/>
          <w:color w:val="000000" w:themeColor="text1"/>
          <w:lang w:eastAsia="fr-BE"/>
        </w:rPr>
      </w:pPr>
    </w:p>
    <w:p w14:paraId="657F59DE" w14:textId="77777777" w:rsidR="006D2122" w:rsidRDefault="00DE659D">
      <w:pPr>
        <w:spacing w:line="259" w:lineRule="auto"/>
        <w:ind w:firstLine="0"/>
        <w:jc w:val="left"/>
        <w:rPr>
          <w:bCs/>
          <w:noProof/>
          <w:color w:val="000000" w:themeColor="text1"/>
          <w:lang w:eastAsia="fr-BE"/>
        </w:rPr>
      </w:pPr>
      <w:r w:rsidRPr="00DE659D">
        <w:rPr>
          <w:bCs/>
          <w:noProof/>
          <w:color w:val="000000" w:themeColor="text1"/>
          <w:lang w:eastAsia="fr-BE"/>
        </w:rPr>
        <w:br w:type="page"/>
      </w:r>
      <w:r w:rsidR="006D2122">
        <w:rPr>
          <w:bCs/>
          <w:noProof/>
          <w:color w:val="000000" w:themeColor="text1"/>
          <w:lang w:eastAsia="fr-BE"/>
        </w:rPr>
        <w:lastRenderedPageBreak/>
        <w:br w:type="page"/>
      </w:r>
    </w:p>
    <w:p w14:paraId="5A911A26" w14:textId="77777777" w:rsidR="006D2122" w:rsidRDefault="00DE659D" w:rsidP="003A7843">
      <w:pPr>
        <w:pStyle w:val="Titre1"/>
        <w:rPr>
          <w:noProof/>
          <w:lang w:eastAsia="fr-BE"/>
        </w:rPr>
      </w:pPr>
      <w:bookmarkStart w:id="44" w:name="_Toc51512282"/>
      <w:r w:rsidRPr="00DE659D">
        <w:rPr>
          <w:noProof/>
          <w:lang w:eastAsia="fr-BE"/>
        </w:rPr>
        <w:lastRenderedPageBreak/>
        <w:t>Paper 2: Improving government and business coordination through the use of consistent SDGs indicators.</w:t>
      </w:r>
      <w:bookmarkEnd w:id="44"/>
      <w:r w:rsidRPr="00DE659D">
        <w:rPr>
          <w:noProof/>
          <w:lang w:eastAsia="fr-BE"/>
        </w:rPr>
        <w:t xml:space="preserve"> </w:t>
      </w:r>
    </w:p>
    <w:p w14:paraId="489B7CAF" w14:textId="34FC9FF4" w:rsidR="00DE659D" w:rsidRPr="006D2122" w:rsidRDefault="00DE659D" w:rsidP="006D2122">
      <w:pPr>
        <w:ind w:firstLine="0"/>
        <w:rPr>
          <w:noProof/>
          <w:sz w:val="36"/>
          <w:lang w:eastAsia="fr-BE"/>
        </w:rPr>
      </w:pPr>
      <w:r w:rsidRPr="006D2122">
        <w:rPr>
          <w:noProof/>
          <w:sz w:val="36"/>
          <w:lang w:eastAsia="fr-BE"/>
        </w:rPr>
        <w:t>A comparative analysis of national (Belgian) and business (pharma and retail) sustainability indicators.</w:t>
      </w:r>
    </w:p>
    <w:p w14:paraId="34671C10" w14:textId="7261928E" w:rsidR="008638F9" w:rsidRDefault="00DE659D" w:rsidP="003A7843">
      <w:pPr>
        <w:ind w:firstLine="0"/>
        <w:rPr>
          <w:noProof/>
          <w:color w:val="000000" w:themeColor="text1"/>
          <w:lang w:val="en-US" w:eastAsia="fr-BE"/>
        </w:rPr>
      </w:pPr>
      <w:r w:rsidRPr="00DE659D">
        <w:rPr>
          <w:b/>
          <w:bCs/>
          <w:noProof/>
          <w:color w:val="000000" w:themeColor="text1"/>
          <w:lang w:val="en-US" w:eastAsia="fr-BE"/>
        </w:rPr>
        <w:t>Abstract.</w:t>
      </w:r>
      <w:r w:rsidRPr="00DE659D">
        <w:rPr>
          <w:noProof/>
          <w:color w:val="000000" w:themeColor="text1"/>
          <w:lang w:val="en-US" w:eastAsia="fr-BE"/>
        </w:rPr>
        <w:t xml:space="preserve"> Sustainable Development Goals (SDGs) adopted by the United Nations in 2015 are a widely recognized framework to guide sustainable development policies and actions. This papers aims to analyze the potential of SDGs to improve government and business coordination by aligning their reporting practices. To do so, we assess the consistency between the sustainability indicators at the national level (Belgian) and of businesses (pharmaceutical and retail sectors). We aim to answer the following questions: Do they measure the same SDGs issues? Do they develop similar quantitative targets on similar issues? And, for both sets of indicators and targets, how can data from one level be used by the other in order to better coordinate their respective actions? Firstly, we show that indicators are developed for each SDG at the national level but fall behind at the business level on several issues, especially regarding goals 9, 10 and 11. Secondly, it appears that there is a general disconnect between both levels' quantitative targets. Thirdly, we show that business measures are poorly focused on issues and goals which are critical at the national level, </w:t>
      </w:r>
      <w:r w:rsidRPr="00DE659D">
        <w:rPr>
          <w:i/>
          <w:noProof/>
          <w:color w:val="000000" w:themeColor="text1"/>
          <w:lang w:val="en-US" w:eastAsia="fr-BE"/>
        </w:rPr>
        <w:t>i.e.</w:t>
      </w:r>
      <w:r w:rsidRPr="00DE659D">
        <w:rPr>
          <w:noProof/>
          <w:color w:val="000000" w:themeColor="text1"/>
          <w:lang w:val="en-US" w:eastAsia="fr-BE"/>
        </w:rPr>
        <w:t xml:space="preserve"> facing unfavorable evolutions. Finally, a focus on GHG emissions shows that Belgian GHG targets at the national level are not compatible with reaching the climate objective of 1.5°, while some business targets (scope 1 &amp; 2) seem consistent with this goal, despite measurement uncertainties. These results show room for improvement of indicators in order to ease the </w:t>
      </w:r>
      <w:r w:rsidRPr="00DE659D">
        <w:rPr>
          <w:noProof/>
          <w:color w:val="000000" w:themeColor="text1"/>
          <w:lang w:val="en-US" w:eastAsia="fr-BE"/>
        </w:rPr>
        <w:lastRenderedPageBreak/>
        <w:t>coordination of actors and also for public intervention to align businesses on the achievement of SDGs.</w:t>
      </w:r>
    </w:p>
    <w:p w14:paraId="55969718" w14:textId="7E42835B" w:rsidR="008638F9" w:rsidRDefault="008638F9">
      <w:pPr>
        <w:spacing w:line="259" w:lineRule="auto"/>
        <w:ind w:firstLine="0"/>
        <w:jc w:val="left"/>
        <w:rPr>
          <w:noProof/>
          <w:color w:val="000000" w:themeColor="text1"/>
          <w:lang w:val="en-US" w:eastAsia="fr-BE"/>
        </w:rPr>
      </w:pPr>
    </w:p>
    <w:p w14:paraId="1719E7AA" w14:textId="640BC957" w:rsidR="00DE659D" w:rsidRPr="00DE659D" w:rsidRDefault="00DE659D" w:rsidP="00524E26">
      <w:pPr>
        <w:pStyle w:val="Titre2"/>
        <w:numPr>
          <w:ilvl w:val="0"/>
          <w:numId w:val="5"/>
        </w:numPr>
        <w:rPr>
          <w:noProof/>
          <w:lang w:val="en-US" w:eastAsia="fr-BE"/>
        </w:rPr>
      </w:pPr>
      <w:bookmarkStart w:id="45" w:name="_Toc51512283"/>
      <w:r w:rsidRPr="00DE659D">
        <w:rPr>
          <w:noProof/>
          <w:lang w:val="en-US" w:eastAsia="fr-BE"/>
        </w:rPr>
        <w:t>Introduction</w:t>
      </w:r>
      <w:bookmarkEnd w:id="45"/>
    </w:p>
    <w:p w14:paraId="57D91BF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In 2015, member states of the United Nations (UN) committed to the 2030 Agenda, the post-2015 framework for sustainable development (UN, 2015a). The most famous element of this agenda consisted in the 17 Sustainable Development Goals (SDGs), which provide direction and targets on crucial issues for humanity and the planet. These goals were defined after consulting with stakeholders (Kharas &amp; Zhang, 2014) and are accompanied by 169 targets and 232 indicators (UNSD, 2017). SDGs are likely to be the main development agenda up to 2030 (Kolk, Kourula, &amp; Pisani, 2017) and the main embodiment of sustainable development.</w:t>
      </w:r>
    </w:p>
    <w:p w14:paraId="3F13410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Contrary to preceding development agendas, such as the Millennium Development Goals, SDGs are not only about governmental action. Businesses, civil society organizations and knowledge institutes have been included in their development, and are expected to promote and help reach the goals. The state-centered perspective has thus been replaced by a multi-stakeholder approach, with a new emphasis on private action. To be effective, multi-stakeholder approaches require mechanisms to guarantee the coordination of all participants at various levels to achieve a common goal. </w:t>
      </w:r>
    </w:p>
    <w:p w14:paraId="60B18E8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 first way to ensure such coordination consists in setting precise goals to limit ambiguities in their interpretation (Pattberg and Widerbergd, 2015; Cole, 2015). In the case of sustainable development, the establishment of 17 objectives (the SDGs), accompanied by specific targets is meant to fulfill this function. </w:t>
      </w:r>
    </w:p>
    <w:p w14:paraId="16B53EE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Another way to improve coordination – which is the focus of this paper – is to develop a shared system of indicators (Kania and Kramer, 2011). The traditional function of indicators is to enable either external evaluation or internal steering of government or corporate actions. In this respect, indicators measuring a </w:t>
      </w:r>
      <w:r w:rsidRPr="00DE659D">
        <w:rPr>
          <w:noProof/>
          <w:color w:val="000000" w:themeColor="text1"/>
          <w:lang w:val="en-US" w:eastAsia="fr-BE"/>
        </w:rPr>
        <w:lastRenderedPageBreak/>
        <w:t>contribution to SDGs (‘SDGs indicators’) have been developed since 2015 for each type of actor, based on pre-existing sustainability indicators. For instance, the UN developed 232 UN SDGs indicators at the macro level (UNSD, 2017) and business actors developed the SDG Compass at the business level (SDG Compass, 2015). But from a multi-stakeholder perspective, indicators have an additional role in facilitating coordination between these stakeholders.</w:t>
      </w:r>
    </w:p>
    <w:p w14:paraId="423B4C22" w14:textId="77777777" w:rsidR="00DE659D" w:rsidRPr="00DE659D" w:rsidRDefault="00DE659D" w:rsidP="00DE659D">
      <w:pPr>
        <w:rPr>
          <w:noProof/>
          <w:color w:val="000000" w:themeColor="text1"/>
          <w:lang w:val="en-US" w:eastAsia="fr-BE"/>
        </w:rPr>
      </w:pPr>
      <w:bookmarkStart w:id="46" w:name="_Hlk47716169"/>
      <w:r w:rsidRPr="00DE659D">
        <w:rPr>
          <w:noProof/>
          <w:color w:val="000000" w:themeColor="text1"/>
          <w:lang w:val="en-US" w:eastAsia="fr-BE"/>
        </w:rPr>
        <w:t>For this reason indicators should not be thought of separately, which is often the case, but in such a way as to make them consistent with one another and with a certain degree of similarity. In the previous paper we argued that for a set of indicators to be the most consistent possible it must satisfy six conditions, of which the two main ones will be studied here</w:t>
      </w:r>
      <w:r w:rsidRPr="00DE659D">
        <w:rPr>
          <w:noProof/>
          <w:color w:val="000000" w:themeColor="text1"/>
          <w:vertAlign w:val="superscript"/>
          <w:lang w:val="en-US" w:eastAsia="fr-BE"/>
        </w:rPr>
        <w:footnoteReference w:id="14"/>
      </w:r>
      <w:r w:rsidRPr="00DE659D">
        <w:rPr>
          <w:noProof/>
          <w:color w:val="000000" w:themeColor="text1"/>
          <w:lang w:val="en-US" w:eastAsia="fr-BE"/>
        </w:rPr>
        <w:t>.</w:t>
      </w:r>
    </w:p>
    <w:p w14:paraId="77E485D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First, these indicators need to be structured according to identical domains for all actors under consideration (</w:t>
      </w:r>
      <w:r w:rsidRPr="00DE659D">
        <w:rPr>
          <w:i/>
          <w:noProof/>
          <w:color w:val="000000" w:themeColor="text1"/>
          <w:lang w:val="en-US" w:eastAsia="fr-BE"/>
        </w:rPr>
        <w:t>e.g.</w:t>
      </w:r>
      <w:r w:rsidRPr="00DE659D">
        <w:rPr>
          <w:noProof/>
          <w:color w:val="000000" w:themeColor="text1"/>
          <w:lang w:val="en-US" w:eastAsia="fr-BE"/>
        </w:rPr>
        <w:t xml:space="preserve"> government and businesses). These domains or headlines are, for example: health, environment, work, safety, </w:t>
      </w:r>
      <w:r w:rsidRPr="00DE659D">
        <w:rPr>
          <w:i/>
          <w:noProof/>
          <w:color w:val="000000" w:themeColor="text1"/>
          <w:lang w:val="en-US" w:eastAsia="fr-BE"/>
        </w:rPr>
        <w:t>etc</w:t>
      </w:r>
      <w:r w:rsidRPr="00DE659D">
        <w:rPr>
          <w:noProof/>
          <w:color w:val="000000" w:themeColor="text1"/>
          <w:lang w:val="en-US" w:eastAsia="fr-BE"/>
        </w:rPr>
        <w:t>. In the case of the SDGs, this type of articulation between indicators would result in measures concerning each of the 17 goals, which serve as domains, for each stakeholder. Indicators articulated in this way (which is the main feature of what I walled 'conceptual articulation') allow a qualitative assessment of the priorities and performances of each actor in each domain. It helps improve coordination between actors by creating a clear common normative framework, and by allowing actors to position themselves in relation to the performance of others.</w:t>
      </w:r>
    </w:p>
    <w:p w14:paraId="14F0ADD5"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Second, a consistent set of indicators should include, in addition to common domains, some variables that are measured identically for each actor. An example of this is calculating greenhouse gas emissions identically at the national level and at the level of each company. Such an articulation of indicators (called accounting articulation) is not possible for all variables because some are specific to a single actor (</w:t>
      </w:r>
      <w:r w:rsidRPr="00DE659D">
        <w:rPr>
          <w:i/>
          <w:noProof/>
          <w:color w:val="000000" w:themeColor="text1"/>
          <w:lang w:val="en-US" w:eastAsia="fr-BE"/>
        </w:rPr>
        <w:t>e.g.</w:t>
      </w:r>
      <w:r w:rsidRPr="00DE659D">
        <w:rPr>
          <w:noProof/>
          <w:color w:val="000000" w:themeColor="text1"/>
          <w:lang w:val="en-US" w:eastAsia="fr-BE"/>
        </w:rPr>
        <w:t xml:space="preserve"> variables such as mortality or poverty rates </w:t>
      </w:r>
      <w:r w:rsidRPr="00DE659D">
        <w:rPr>
          <w:noProof/>
          <w:color w:val="000000" w:themeColor="text1"/>
          <w:lang w:val="en-US" w:eastAsia="fr-BE"/>
        </w:rPr>
        <w:lastRenderedPageBreak/>
        <w:t>cannot be calculated at the business level). This does, however, allow a precise comparison among actor performances. This might improve coordination with actors by allowing the definition of targets that are consistent for different actors.</w:t>
      </w:r>
    </w:p>
    <w:p w14:paraId="7049748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summary, indicators that are adequately articulated among actors are tools for improving coordination with actors in a multi-stakeholder perspective such as that provided by the SDGs. </w:t>
      </w:r>
      <w:bookmarkEnd w:id="46"/>
    </w:p>
    <w:p w14:paraId="4D0963E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This research aims to study to which degree current sustainability indicators are articulated. It focuses on two stakeholders which have the longest tradition of sustainability reporting: governments and businesses. They correspond to key actors at two levels: the macro (national) and the micro level, respectively. The research question of this paper is the following: ‘Do micro- and macro- level SDGs indicators meet the conditions to improve coordination between the government and the business sector?’ To provide an answer to this question and further recommendations, four interconnected sub-questions are analyzed. </w:t>
      </w:r>
    </w:p>
    <w:p w14:paraId="7C4B23C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RQ1: Do business and national sustainability indicators measure similar SDGs issues? </w:t>
      </w:r>
    </w:p>
    <w:p w14:paraId="69A8A1B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RQ2: Are business and macro level priorities consistent with the performance of one another?</w:t>
      </w:r>
    </w:p>
    <w:p w14:paraId="0550153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RQ3: Which sustainability indicators are accompanied by targets at both the business and national levels?</w:t>
      </w:r>
    </w:p>
    <w:p w14:paraId="6C499F0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RQ4: Are greenhouse gas emissions (GHG) targets consistent between the business and national levels?</w:t>
      </w:r>
    </w:p>
    <w:p w14:paraId="5F66285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These questions correspond to the conditions mentioned in this introduction (RQ1 and RQ3) and the current state of coordination (RQ2 and RQ4):</w:t>
      </w:r>
    </w:p>
    <w:p w14:paraId="6D27050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This research aims to contribute to the literature on SDGs, both at the macro and the business level, and especially to the fields of ‘Beyond Gross Domestic Product (GDP)’ indicators and ‘Corporate Sustainability Reporting’ (CSR). The general question it aims to answer is related to the macro-level literature in ecological </w:t>
      </w:r>
      <w:r w:rsidRPr="00DE659D">
        <w:rPr>
          <w:noProof/>
          <w:color w:val="000000" w:themeColor="text1"/>
          <w:lang w:val="en-US" w:eastAsia="fr-BE"/>
        </w:rPr>
        <w:lastRenderedPageBreak/>
        <w:t>economics, while its reporting analysis methodology is inspired by the CSR literature. The main methodological contributions included in this paper consist in a joint analysis of two levels, a quantitative account of SDGs indicators, an examination of reported performance, and an analysis of the targets accompanying the indicators.</w:t>
      </w:r>
    </w:p>
    <w:p w14:paraId="0CF97CF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national level, Belgium is taken as a case study. At the business level, pharmaceutical and retail sectors are the area of study. These two sectors have been chosen because of their significance in Belgium in terms of economic value creation, as well as for their potential impact on SDGs. Businesses from the retail sector have huge market power to influence suppliers and customers towards sustainability, while the pharmaceutical sector’s core business is intrinsically linked to SDG 3 </w:t>
      </w:r>
      <w:r w:rsidRPr="00DE659D">
        <w:rPr>
          <w:i/>
          <w:noProof/>
          <w:color w:val="000000" w:themeColor="text1"/>
          <w:lang w:val="en-US" w:eastAsia="fr-BE"/>
        </w:rPr>
        <w:t>Health and well-being</w:t>
      </w:r>
      <w:r w:rsidRPr="00DE659D">
        <w:rPr>
          <w:noProof/>
          <w:color w:val="000000" w:themeColor="text1"/>
          <w:lang w:val="en-US" w:eastAsia="fr-BE"/>
        </w:rPr>
        <w:t>.</w:t>
      </w:r>
    </w:p>
    <w:p w14:paraId="1D298736" w14:textId="49FF070B" w:rsidR="00DE659D" w:rsidRPr="00DE659D" w:rsidRDefault="00DE659D" w:rsidP="00DE659D">
      <w:pPr>
        <w:rPr>
          <w:noProof/>
          <w:color w:val="000000" w:themeColor="text1"/>
          <w:lang w:val="en-US" w:eastAsia="fr-BE"/>
        </w:rPr>
      </w:pPr>
      <w:r w:rsidRPr="00DE659D">
        <w:rPr>
          <w:noProof/>
          <w:color w:val="000000" w:themeColor="text1"/>
          <w:lang w:val="en-US" w:eastAsia="fr-BE"/>
        </w:rPr>
        <w:t>This paper is made up of five sections, including the introduction. Section 2 offers an overview of the literature on SDGs reporting. Section 3 shows how data has been selected and treated in order to allow comparisons among businesses and between levels. Section 4 analyzes to which degree national and business indicators measure similar SDGs issues, and whether national and business priorities are consistent with the performance of one another. Section 5 analyzes which sustainability indicators are accompanied by targets at both levels, and whether the targets set are consistent between these levels. Finally, the conclusion summarizes the main results of the paper.</w:t>
      </w:r>
    </w:p>
    <w:p w14:paraId="5D34EBBF" w14:textId="0AE69E92" w:rsidR="00DE659D" w:rsidRPr="00DE659D" w:rsidRDefault="00DE659D" w:rsidP="00DE659D">
      <w:pPr>
        <w:pStyle w:val="Titre2"/>
        <w:rPr>
          <w:noProof/>
          <w:lang w:val="en-US" w:eastAsia="fr-BE"/>
        </w:rPr>
      </w:pPr>
      <w:bookmarkStart w:id="47" w:name="_Toc51512284"/>
      <w:r w:rsidRPr="00DE659D">
        <w:rPr>
          <w:noProof/>
          <w:lang w:val="en-US" w:eastAsia="fr-BE"/>
        </w:rPr>
        <w:t>Literature review</w:t>
      </w:r>
      <w:bookmarkEnd w:id="47"/>
    </w:p>
    <w:p w14:paraId="5244E304" w14:textId="00F17222" w:rsidR="00DE659D" w:rsidRPr="00DE659D" w:rsidRDefault="00DE659D" w:rsidP="00CE7357">
      <w:pPr>
        <w:pStyle w:val="Titre3"/>
        <w:rPr>
          <w:noProof/>
          <w:lang w:val="en-US" w:eastAsia="fr-BE"/>
        </w:rPr>
      </w:pPr>
      <w:bookmarkStart w:id="48" w:name="_Toc51512285"/>
      <w:r w:rsidRPr="00DE659D">
        <w:rPr>
          <w:noProof/>
          <w:lang w:val="en-US" w:eastAsia="fr-BE"/>
        </w:rPr>
        <w:t>Critique of SDGs</w:t>
      </w:r>
      <w:bookmarkEnd w:id="48"/>
    </w:p>
    <w:p w14:paraId="37C5E81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If the centrality of SDGs is not contested among sustainable development initiatives, note that its content has been subject to debate. At least six types of critiques have been addressed to SDGs in the literature. They have been considered both (1) too ambitious (Copenhagen Consensus, 2016), and not ambitious enough. One stream of critiques is about (2) the vagueness of its operationalization possibilities and (3) its non-binding character (Pogge and Sengupta, 2015). Another is about (4) the ideology conveyed by the 2030 </w:t>
      </w:r>
      <w:r w:rsidRPr="00DE659D">
        <w:rPr>
          <w:noProof/>
          <w:color w:val="000000" w:themeColor="text1"/>
          <w:lang w:val="en-US" w:eastAsia="fr-BE"/>
        </w:rPr>
        <w:lastRenderedPageBreak/>
        <w:t xml:space="preserve">Agenda and its goals. They have been criticized because they place free trade, economic growth and its trickle-down effects as central mechanisms to create jobs and fight poverty (Gupta and Vegelin, 2016; Aldeman, 2017; Frey, 2017). (5) Several critiques have also been addressed in specific choice of indicator (Pogge and Sengupta, 2015; Battersby, 2016…). Finally, (6), the one-size-fits-all character of SDGs – applying to poor as well as rich countries – has also been both praised (because the development agenda is no longer primarily an issue for developing countries) and criticized (because the needs in rich and developing countries can be very different). </w:t>
      </w:r>
    </w:p>
    <w:p w14:paraId="3E66B4A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Despite their flaws, SDGs are an improvement over MDGs. They tackle (a) the most urgent ecological issues, such as the crossing of planet boundaries linked to climate change, biodiversity and nitrogen (Steffens et al., 2015). (b) They also include inter- and intra-national inequality issues, which are currently important concerns. Moreover, SDGs acknowledge (although in a far too limited manner) (c) the interconnections between the goals and between social, economic and environmental issues through the presence of similar targets among different goals (Le Blanc, 2015). SDGs are thus both criticized and praised. However, despite their flaws, they have mainly been embraced by the accounting profession considering that ‘inaction is not an option’ (Bebbington and Unerman, 2018, p.7). It is worth noticing that some current well-known beyond GDP indicators would face even more criticism if they had been chosen as UN goals or indicators, as they do not even account for absolute carbon emissions or social inequality (Human Development Index, Social Progress Index…). </w:t>
      </w:r>
    </w:p>
    <w:p w14:paraId="052DE1EF" w14:textId="2641B9C9" w:rsidR="00DE659D" w:rsidRPr="00DE659D" w:rsidRDefault="00DE659D" w:rsidP="00CE7357">
      <w:pPr>
        <w:pStyle w:val="Titre3"/>
        <w:rPr>
          <w:noProof/>
          <w:lang w:val="en-US" w:eastAsia="fr-BE"/>
        </w:rPr>
      </w:pPr>
      <w:bookmarkStart w:id="49" w:name="_Toc51512286"/>
      <w:r w:rsidRPr="00DE659D">
        <w:rPr>
          <w:noProof/>
          <w:lang w:val="en-US" w:eastAsia="fr-BE"/>
        </w:rPr>
        <w:t>SDGs at the macro level</w:t>
      </w:r>
      <w:bookmarkEnd w:id="49"/>
    </w:p>
    <w:p w14:paraId="4C41512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The empirical literature on SDGs focuses on issues which differ between the macro and the business level. At the macro level, it mostly relates to the assessment of SDGs trends and of SDGs implementation processes. The outcome of SDGs indicators has been widely studied (</w:t>
      </w:r>
      <w:r w:rsidRPr="00DE659D">
        <w:rPr>
          <w:i/>
          <w:noProof/>
          <w:color w:val="000000" w:themeColor="text1"/>
          <w:lang w:val="en-US" w:eastAsia="fr-BE"/>
        </w:rPr>
        <w:t>i.e.</w:t>
      </w:r>
      <w:r w:rsidRPr="00DE659D">
        <w:rPr>
          <w:noProof/>
          <w:color w:val="000000" w:themeColor="text1"/>
          <w:lang w:val="en-US" w:eastAsia="fr-BE"/>
        </w:rPr>
        <w:t xml:space="preserve"> what has been mentioned about the achievement of SDGs), but little attention has been given to the choice of SDGs indicators developed at the national level. This is </w:t>
      </w:r>
      <w:r w:rsidRPr="00DE659D">
        <w:rPr>
          <w:noProof/>
          <w:color w:val="000000" w:themeColor="text1"/>
          <w:lang w:val="en-US" w:eastAsia="fr-BE"/>
        </w:rPr>
        <w:lastRenderedPageBreak/>
        <w:t>probably due to the existence of precise guidelines to design targets and indicators provided by the UN (UNSD, 2017). On the contrary, at the business level there is a focus on the type of SDGs indicators with the aim to determine which issues are measured by businesses from different sectors. The achievements revealed by business SDGs indicators received little attention, most likely because the low degree of measurement standardization makes the establishment of aggregated trends difficult. This literature review, and in general this paper, is marked by this difference in terms of approach between the two levels.</w:t>
      </w:r>
    </w:p>
    <w:p w14:paraId="00D45D3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macro level, various documents have been published to evaluate the achievement of SDGs. The UN General Secretary releases statements on the world’s progress towards SDGs, while national governments are invited to send voluntary reports on their actions. Various tools such as a ‘SDG tracker’ or a ‘SDG index’ have been created to evaluate each country. Global assessments show contrasted results regarding the achievements of the 17 goals. While worldwide poverty reduced from 16% to 8.6% between 2010 and 2018, the number of people living in hunger rose from 784 million in 2015 to 821 million in 2017 (UN, 2019). Under-five mortality dropped from 9.8 million in 2000 to 5.4 million in 2017, but 1 out of 4 urban residents still live in slum-like conditions (UN, 2019). On an environmental point of view, 17% of SDGs indicators linked to environment show progress towards sustainability over the last 15 years (UNEP, 2019). These improvements relate to an increase in terrestrial, mountain and marine protected areas, to efforts to combat invasive species and to significant progress towards renewable energy. If these trends continue, it is likely that the targets will be met by 2030. Conversly, 17% of the environment-related SDGs indicators show a flat or a negative evolution (UNEP, 2019). This is especially the case for indicators measuring the state of the environment: indicators related to forests, sustainable fisheries, endangered species, domestic material consumption and material footprint. The rest of the official list of SDGs indicators (68%) lacks sufficient data to assess any progress, which is problematic. </w:t>
      </w:r>
    </w:p>
    <w:p w14:paraId="6E095C2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Regional and national assessments have also been carried out (</w:t>
      </w:r>
      <w:r w:rsidRPr="00DE659D">
        <w:rPr>
          <w:i/>
          <w:noProof/>
          <w:color w:val="000000" w:themeColor="text1"/>
          <w:lang w:val="en-US" w:eastAsia="fr-BE"/>
        </w:rPr>
        <w:t>e.g.</w:t>
      </w:r>
      <w:r w:rsidRPr="00DE659D">
        <w:rPr>
          <w:noProof/>
          <w:color w:val="000000" w:themeColor="text1"/>
          <w:lang w:val="en-US" w:eastAsia="fr-BE"/>
        </w:rPr>
        <w:t xml:space="preserve"> Allen et </w:t>
      </w:r>
      <w:r w:rsidRPr="00DE659D">
        <w:rPr>
          <w:i/>
          <w:noProof/>
          <w:color w:val="000000" w:themeColor="text1"/>
          <w:lang w:val="en-US" w:eastAsia="fr-BE"/>
        </w:rPr>
        <w:t>al.,</w:t>
      </w:r>
      <w:r w:rsidRPr="00DE659D">
        <w:rPr>
          <w:noProof/>
          <w:color w:val="000000" w:themeColor="text1"/>
          <w:lang w:val="en-US" w:eastAsia="fr-BE"/>
        </w:rPr>
        <w:t xml:space="preserve"> 2017; Allen </w:t>
      </w:r>
      <w:r w:rsidRPr="00DE659D">
        <w:rPr>
          <w:i/>
          <w:noProof/>
          <w:color w:val="000000" w:themeColor="text1"/>
          <w:lang w:val="en-US" w:eastAsia="fr-BE"/>
        </w:rPr>
        <w:t>et al.,</w:t>
      </w:r>
      <w:r w:rsidRPr="00DE659D">
        <w:rPr>
          <w:noProof/>
          <w:color w:val="000000" w:themeColor="text1"/>
          <w:lang w:val="en-US" w:eastAsia="fr-BE"/>
        </w:rPr>
        <w:t xml:space="preserve"> 2020; de Sanfeliù </w:t>
      </w:r>
      <w:r w:rsidRPr="00DE659D">
        <w:rPr>
          <w:i/>
          <w:noProof/>
          <w:color w:val="000000" w:themeColor="text1"/>
          <w:lang w:val="en-US" w:eastAsia="fr-BE"/>
        </w:rPr>
        <w:t>et al.,</w:t>
      </w:r>
      <w:r w:rsidRPr="00DE659D">
        <w:rPr>
          <w:noProof/>
          <w:color w:val="000000" w:themeColor="text1"/>
          <w:lang w:val="en-US" w:eastAsia="fr-BE"/>
        </w:rPr>
        <w:t xml:space="preserve"> 2020). Regarding Europe, it has been shown that although EU countries are global leaders in SDGs (according to the global 2019 SDG Index, all ten countries closest to achieving the SDGs are in Europe), none are on track to achieve the goals by 2030 (Sachs </w:t>
      </w:r>
      <w:r w:rsidRPr="00DE659D">
        <w:rPr>
          <w:i/>
          <w:noProof/>
          <w:color w:val="000000" w:themeColor="text1"/>
          <w:lang w:val="en-US" w:eastAsia="fr-BE"/>
        </w:rPr>
        <w:t>et al.</w:t>
      </w:r>
      <w:r w:rsidRPr="00DE659D">
        <w:rPr>
          <w:noProof/>
          <w:color w:val="000000" w:themeColor="text1"/>
          <w:lang w:val="en-US" w:eastAsia="fr-BE"/>
        </w:rPr>
        <w:t xml:space="preserve">, 2019; SDSN and IEEP, 2019). Issues with the lowest performances in the EU relate to climate change, biodiversity, circular economy, and inequality between countries and regions. </w:t>
      </w:r>
    </w:p>
    <w:p w14:paraId="7821151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national level, SDGs reporting by official institutions is scattered. Sachs </w:t>
      </w:r>
      <w:r w:rsidRPr="00DE659D">
        <w:rPr>
          <w:i/>
          <w:noProof/>
          <w:color w:val="000000" w:themeColor="text1"/>
          <w:lang w:val="en-US" w:eastAsia="fr-BE"/>
        </w:rPr>
        <w:t>et al.</w:t>
      </w:r>
      <w:r w:rsidRPr="00DE659D">
        <w:rPr>
          <w:noProof/>
          <w:color w:val="000000" w:themeColor="text1"/>
          <w:lang w:val="en-US" w:eastAsia="fr-BE"/>
        </w:rPr>
        <w:t xml:space="preserve"> showed that national statistical institutes or equivalent institutions identified official key national indicators to monitor the implementation of the SDGs in 28 out of 43 countries, including all G20 and highly-populated ones (Sachs </w:t>
      </w:r>
      <w:r w:rsidRPr="00DE659D">
        <w:rPr>
          <w:i/>
          <w:noProof/>
          <w:color w:val="000000" w:themeColor="text1"/>
          <w:lang w:val="en-US" w:eastAsia="fr-BE"/>
        </w:rPr>
        <w:t>et al.,</w:t>
      </w:r>
      <w:r w:rsidRPr="00DE659D">
        <w:rPr>
          <w:noProof/>
          <w:color w:val="000000" w:themeColor="text1"/>
          <w:lang w:val="en-US" w:eastAsia="fr-BE"/>
        </w:rPr>
        <w:t xml:space="preserve"> 2018). On average, 141 indicators are included in such monitoring schemes. The authors also showed that the translation of SDGs into policy often falls short. For instance, in 18 out of 43 countries, there is no single mention of SDGs in the latest national budget document. This example is related to a general lack of implementation of the goals at the national level, especially regarding the establishment of clear priorities, and the setting of targets (Allen </w:t>
      </w:r>
      <w:r w:rsidRPr="00DE659D">
        <w:rPr>
          <w:i/>
          <w:noProof/>
          <w:color w:val="000000" w:themeColor="text1"/>
          <w:lang w:val="en-US" w:eastAsia="fr-BE"/>
        </w:rPr>
        <w:t>et al</w:t>
      </w:r>
      <w:r w:rsidRPr="00DE659D">
        <w:rPr>
          <w:noProof/>
          <w:color w:val="000000" w:themeColor="text1"/>
          <w:lang w:val="en-US" w:eastAsia="fr-BE"/>
        </w:rPr>
        <w:t>., 2018). Contrasted performance, lack of data and implementation gaps are three main SDGs challenges at the macro level.</w:t>
      </w:r>
    </w:p>
    <w:p w14:paraId="2832FF54" w14:textId="5B3E7CC9" w:rsidR="00DE659D" w:rsidRPr="00DE659D" w:rsidRDefault="00DE659D" w:rsidP="00CE7357">
      <w:pPr>
        <w:pStyle w:val="Titre3"/>
        <w:rPr>
          <w:noProof/>
          <w:lang w:val="en-US" w:eastAsia="fr-BE"/>
        </w:rPr>
      </w:pPr>
      <w:bookmarkStart w:id="50" w:name="_Toc51512287"/>
      <w:r w:rsidRPr="00DE659D">
        <w:rPr>
          <w:noProof/>
          <w:lang w:val="en-US" w:eastAsia="fr-BE"/>
        </w:rPr>
        <w:t>SDGs at the business level</w:t>
      </w:r>
      <w:bookmarkEnd w:id="50"/>
    </w:p>
    <w:p w14:paraId="477A099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business level, a ground breaking literature attempts to capture the way businesses report on SDGs for monitoring or evaluation purposes. This task has been carried out on a cross-sectoral basis (Ike </w:t>
      </w:r>
      <w:r w:rsidRPr="00DE659D">
        <w:rPr>
          <w:i/>
          <w:noProof/>
          <w:color w:val="000000" w:themeColor="text1"/>
          <w:lang w:val="en-US" w:eastAsia="fr-BE"/>
        </w:rPr>
        <w:t>et al</w:t>
      </w:r>
      <w:r w:rsidRPr="00DE659D">
        <w:rPr>
          <w:noProof/>
          <w:color w:val="000000" w:themeColor="text1"/>
          <w:lang w:val="en-US" w:eastAsia="fr-BE"/>
        </w:rPr>
        <w:t>., 2019; Wynn and Jones, 2019; Gungadeen and Paull, 2020) as well as for specific sectors (</w:t>
      </w:r>
      <w:r w:rsidRPr="00DE659D">
        <w:rPr>
          <w:i/>
          <w:noProof/>
          <w:color w:val="000000" w:themeColor="text1"/>
          <w:lang w:val="en-US" w:eastAsia="fr-BE"/>
        </w:rPr>
        <w:t>e.g</w:t>
      </w:r>
      <w:r w:rsidRPr="00DE659D">
        <w:rPr>
          <w:noProof/>
          <w:color w:val="000000" w:themeColor="text1"/>
          <w:lang w:val="en-US" w:eastAsia="fr-BE"/>
        </w:rPr>
        <w:t xml:space="preserve">. Jones and Comfort, 2019), mainly on a qualitative level. In Belgium, the SDG Barometer (Moratis </w:t>
      </w:r>
      <w:r w:rsidRPr="00DE659D">
        <w:rPr>
          <w:i/>
          <w:noProof/>
          <w:color w:val="000000" w:themeColor="text1"/>
          <w:lang w:val="en-US" w:eastAsia="fr-BE"/>
        </w:rPr>
        <w:t>et al</w:t>
      </w:r>
      <w:r w:rsidRPr="00DE659D">
        <w:rPr>
          <w:noProof/>
          <w:color w:val="000000" w:themeColor="text1"/>
          <w:lang w:val="en-US" w:eastAsia="fr-BE"/>
        </w:rPr>
        <w:t xml:space="preserve">., 2018) provides information on various aspects of SDGs achievements by businesses. It concludes that the 20 largest Belgian businesses in terms of stock market value most often prioritized SDG 8 (Decent work and economic growth) and SDG 13 (Climate action), followed by SDG 12 (Responsible consumption </w:t>
      </w:r>
      <w:r w:rsidRPr="00DE659D">
        <w:rPr>
          <w:noProof/>
          <w:color w:val="000000" w:themeColor="text1"/>
          <w:lang w:val="en-US" w:eastAsia="fr-BE"/>
        </w:rPr>
        <w:lastRenderedPageBreak/>
        <w:t>and production). The least reported goal was SDG 2 (Zero hunger). Unfortunately, no detailed analysis of SDGs reporting is present at the sub-objective level.</w:t>
      </w:r>
    </w:p>
    <w:p w14:paraId="2FCFAC8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As SDGs reporting is only one specific form of a more general non-financial reporting, it is worth mentioning the main results of non-financial reporting literature in the two sectors under consideration.</w:t>
      </w:r>
    </w:p>
    <w:p w14:paraId="4D1B2889" w14:textId="77777777" w:rsidR="00DE659D" w:rsidRPr="00DE659D" w:rsidRDefault="00DE659D" w:rsidP="00DE659D">
      <w:pPr>
        <w:rPr>
          <w:noProof/>
          <w:color w:val="000000" w:themeColor="text1"/>
          <w:lang w:val="en-US" w:eastAsia="fr-BE"/>
        </w:rPr>
      </w:pPr>
    </w:p>
    <w:p w14:paraId="5BFA5B05" w14:textId="57BE01B1" w:rsidR="00DE659D" w:rsidRPr="00DE659D" w:rsidRDefault="00DE659D" w:rsidP="00DE659D">
      <w:pPr>
        <w:rPr>
          <w:i/>
          <w:noProof/>
          <w:color w:val="000000" w:themeColor="text1"/>
          <w:lang w:val="en-US" w:eastAsia="fr-BE"/>
        </w:rPr>
      </w:pPr>
      <w:r w:rsidRPr="00DE659D">
        <w:rPr>
          <w:i/>
          <w:noProof/>
          <w:color w:val="000000" w:themeColor="text1"/>
          <w:lang w:val="en-US" w:eastAsia="fr-BE"/>
        </w:rPr>
        <w:t>The pharmaceutical sector</w:t>
      </w:r>
    </w:p>
    <w:p w14:paraId="2E82BA6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The pharmaceutical industry is a sector with a strong tradition of CSR reporting (Cogan </w:t>
      </w:r>
      <w:r w:rsidRPr="00DE659D">
        <w:rPr>
          <w:i/>
          <w:noProof/>
          <w:color w:val="000000" w:themeColor="text1"/>
          <w:lang w:val="en-US" w:eastAsia="fr-BE"/>
        </w:rPr>
        <w:t>et al</w:t>
      </w:r>
      <w:r w:rsidRPr="00DE659D">
        <w:rPr>
          <w:noProof/>
          <w:color w:val="000000" w:themeColor="text1"/>
          <w:lang w:val="en-US" w:eastAsia="fr-BE"/>
        </w:rPr>
        <w:t xml:space="preserve">., 2008). On the one hand, as its production is linked to an essential element of life (health), society’s expectations of responsible behaviors are high. On the other hand, it is a sensitive sector due to several corruption/lobbying scandals in the last two decades (Schneider </w:t>
      </w:r>
      <w:r w:rsidRPr="00DE659D">
        <w:rPr>
          <w:i/>
          <w:noProof/>
          <w:color w:val="000000" w:themeColor="text1"/>
          <w:lang w:val="en-US" w:eastAsia="fr-BE"/>
        </w:rPr>
        <w:t>et a</w:t>
      </w:r>
      <w:r w:rsidRPr="00DE659D">
        <w:rPr>
          <w:noProof/>
          <w:color w:val="000000" w:themeColor="text1"/>
          <w:lang w:val="en-US" w:eastAsia="fr-BE"/>
        </w:rPr>
        <w:t>l. 2010). Such sensibility increased scrutiny by various stakeholders and fostered sustainability reporting. To date and on average, pharmaceutical industries report on 30% more issues than industries from other sectors (Demir and Min, 2019). What are the crucial social and ecological issues that one might expect in pharmaceutical company reports?</w:t>
      </w:r>
    </w:p>
    <w:p w14:paraId="6836480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SASB standards (Sustainability Accounting Standards Board</w:t>
      </w:r>
      <w:r w:rsidRPr="00DE659D">
        <w:rPr>
          <w:noProof/>
          <w:color w:val="000000" w:themeColor="text1"/>
          <w:vertAlign w:val="superscript"/>
          <w:lang w:val="en-US" w:eastAsia="fr-BE"/>
        </w:rPr>
        <w:footnoteReference w:id="15"/>
      </w:r>
      <w:r w:rsidRPr="00DE659D">
        <w:rPr>
          <w:noProof/>
          <w:color w:val="000000" w:themeColor="text1"/>
          <w:lang w:val="en-US" w:eastAsia="fr-BE"/>
        </w:rPr>
        <w:t xml:space="preserve">), a reference in terms of sustainability reporting, provide a list of 11 sustainability issues of particular interest to this industry: (1) access to medicines; (2) drug safety and side effects; (3) safety of clinical trial participants; (4) affordability and fair pricing; (5) ethical marketing; (6) employee recruitment, development and retention; (7) employee health and safety; (8) counterfeit drugs; (9) energy, water and waste efficiency; (10) corruption and bribery; and (11) manufacturing and supply chain quality management. One could add traces and residuals which are being found on land and in waterways, contaminating ecosystems and affecting biodiversity (Gimenes and Payaud, 2017; </w:t>
      </w:r>
      <w:r w:rsidRPr="00DE659D">
        <w:rPr>
          <w:noProof/>
          <w:color w:val="000000" w:themeColor="text1"/>
          <w:lang w:val="en-US" w:eastAsia="fr-BE"/>
        </w:rPr>
        <w:lastRenderedPageBreak/>
        <w:t>Klatte et al., 2017). These are issues that should attract particular attention in a sustainability or SDGs report in this sector.</w:t>
      </w:r>
    </w:p>
    <w:p w14:paraId="057708D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If non-financial reporting is a common practice in the pharmaceutical sector, until recently the literature did not provide a comprehensive picture of its practice. Existing analysis was either precise but outdated (Blum-Kusterer and Hussain, 2001; Veleva et al., 2003; Kolk and Pinske, 2004), or limited to the observation of broad CSR categories in sustainability reports, such as the 10 GRI categories (Cogan et al., 2008; Salton and Jones, 2015; Gimenes and Payaud, 2017). </w:t>
      </w:r>
    </w:p>
    <w:p w14:paraId="429C06F0"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 recent study (Demir and Min, 2019) closed this gap and analyzed sustainability report content of the world’s 15 largest pharmaceutical companies. One interest of their research is that it scrutinizes the reports of companies with respect to the SASB framework. It indicates that large pharmaceutical companies report intensively on (6) employee recruitment, development and retention; (7) employee health and safety; and on (9) energy, water and waste efficiency. The least reported issues are (2) drug safety and side effects; (3), safety of clinical trial participants; and (4) affordability and fair pricing. This means that companies in the pharmaceutical sector report mainly on subjects that are not specific to the production of medicines, but common to the activity of any company. The authors' interpretation is that pharmaceutical companies ’</w:t>
      </w:r>
      <w:r w:rsidRPr="00DE659D">
        <w:rPr>
          <w:i/>
          <w:noProof/>
          <w:color w:val="000000" w:themeColor="text1"/>
          <w:lang w:val="en-US" w:eastAsia="fr-BE"/>
        </w:rPr>
        <w:t>highlight their achievements in areas where they feel more confident, while leaving out others that can have potential negative consequences on the company</w:t>
      </w:r>
      <w:r w:rsidRPr="00DE659D">
        <w:rPr>
          <w:noProof/>
          <w:color w:val="000000" w:themeColor="text1"/>
          <w:lang w:val="en-US" w:eastAsia="fr-BE"/>
        </w:rPr>
        <w:t>’ (Demir and Min, 2019, p.27). This means that when analyzing Belgian companies (which are often internationally integrated), one should suspect an enhancement of positive performances and an obscuring of bad ones.</w:t>
      </w:r>
    </w:p>
    <w:p w14:paraId="76C2FA4E" w14:textId="77777777" w:rsidR="00DE659D" w:rsidRPr="00DE659D" w:rsidRDefault="00DE659D" w:rsidP="00DE659D">
      <w:pPr>
        <w:rPr>
          <w:noProof/>
          <w:color w:val="000000" w:themeColor="text1"/>
          <w:lang w:val="en-US" w:eastAsia="fr-BE"/>
        </w:rPr>
      </w:pPr>
    </w:p>
    <w:p w14:paraId="511BE555" w14:textId="07460D7B" w:rsidR="00DE659D" w:rsidRPr="00DE659D" w:rsidRDefault="00DE659D" w:rsidP="00DE659D">
      <w:pPr>
        <w:rPr>
          <w:noProof/>
          <w:color w:val="000000" w:themeColor="text1"/>
          <w:lang w:val="en-US" w:eastAsia="fr-BE"/>
        </w:rPr>
      </w:pPr>
      <w:r w:rsidRPr="00DE659D">
        <w:rPr>
          <w:i/>
          <w:noProof/>
          <w:color w:val="000000" w:themeColor="text1"/>
          <w:lang w:val="en-US" w:eastAsia="fr-BE"/>
        </w:rPr>
        <w:t>The retail sector</w:t>
      </w:r>
    </w:p>
    <w:p w14:paraId="3639D1D6" w14:textId="6EB02B3A" w:rsidR="00DE659D" w:rsidRPr="00DE659D" w:rsidRDefault="00DE659D" w:rsidP="00DE659D">
      <w:pPr>
        <w:rPr>
          <w:noProof/>
          <w:color w:val="000000" w:themeColor="text1"/>
          <w:lang w:val="en-US" w:eastAsia="fr-BE"/>
        </w:rPr>
      </w:pPr>
      <w:r w:rsidRPr="00DE659D">
        <w:rPr>
          <w:noProof/>
          <w:color w:val="000000" w:themeColor="text1"/>
          <w:lang w:val="en-US" w:eastAsia="fr-BE"/>
        </w:rPr>
        <w:t>Compared to the pharmaceutical industry, the retail industry is considered to report less on sustainability issues. On the one hand, it discloses less information than in other sectors, and with a greater diversity of indicators, which can complicate comparison and analysis (</w:t>
      </w:r>
      <w:r w:rsidRPr="008638F9">
        <w:rPr>
          <w:noProof/>
          <w:color w:val="000000" w:themeColor="text1"/>
          <w:lang w:val="en-US" w:eastAsia="fr-BE"/>
        </w:rPr>
        <w:t xml:space="preserve">Roca and Searcy, 2012; </w:t>
      </w:r>
      <w:hyperlink r:id="rId17" w:anchor="ref044" w:history="1">
        <w:r w:rsidRPr="008638F9">
          <w:rPr>
            <w:noProof/>
            <w:color w:val="000000" w:themeColor="text1"/>
            <w:lang w:val="en-US" w:eastAsia="fr-BE"/>
          </w:rPr>
          <w:t>Saber and Weber, 2019</w:t>
        </w:r>
      </w:hyperlink>
      <w:r w:rsidRPr="008638F9">
        <w:rPr>
          <w:noProof/>
          <w:color w:val="000000" w:themeColor="text1"/>
          <w:lang w:val="en-US" w:eastAsia="fr-BE"/>
        </w:rPr>
        <w:t>)</w:t>
      </w:r>
      <w:r w:rsidRPr="00DE659D">
        <w:rPr>
          <w:noProof/>
          <w:color w:val="000000" w:themeColor="text1"/>
          <w:lang w:val="en-US" w:eastAsia="fr-BE"/>
        </w:rPr>
        <w:t xml:space="preserve">. On the </w:t>
      </w:r>
      <w:r w:rsidRPr="00DE659D">
        <w:rPr>
          <w:noProof/>
          <w:color w:val="000000" w:themeColor="text1"/>
          <w:lang w:val="en-US" w:eastAsia="fr-BE"/>
        </w:rPr>
        <w:lastRenderedPageBreak/>
        <w:t>other hand, it rarely provides external assurance on the sustainability reporting process, which can undermine its credibility and integrity (Hillier and Jones, 2018).</w:t>
      </w:r>
    </w:p>
    <w:p w14:paraId="6333BE0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There is, however, a large potential for sustainable practices in the retail sector. Its share in the world’s GDP is estimated at 31% (Business Wire, 2016). This means that it is the last step in the supply chain of a large proportion of total production. This position provides retailers powerful leverage to influence suppliers and consumers. In one way, they can influence the sustainability of the products they sell by selecting producers according to certain criteria, asking for social and environmental certifications, making inhouse eco-products, etc. (Styles et al., 2012). They are also directly engaged with consumers and they can promote sustainable consumption through ads promoting sustainable products, in-store consumer education, or incentives for eco-friendly consumption (Jones et al., 2009; Signori et al, 2019). Moreover, as in other industries, retailers can improve the sustainability of their own operations. What are the crucial social and ecological issues found in retail company reports?</w:t>
      </w:r>
    </w:p>
    <w:p w14:paraId="530F0B95"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SASB standards (2018) also provide a list of relevant topics for this industry: (1) Energy management; (2) data security; (3) Wage and turnover; (4) Workforce diversity; (5) Products from sustainable sources; and (6) packaging. This list should certainly be widened to include food waste (Cicatiello et al., 2016), transportation (</w:t>
      </w:r>
      <w:bookmarkStart w:id="51" w:name="_Hlk34663540"/>
      <w:r w:rsidRPr="00DE659D">
        <w:rPr>
          <w:noProof/>
          <w:color w:val="000000" w:themeColor="text1"/>
          <w:lang w:val="en-US" w:eastAsia="fr-BE"/>
        </w:rPr>
        <w:t>Ramanathan et al., 2014</w:t>
      </w:r>
      <w:bookmarkEnd w:id="51"/>
      <w:r w:rsidRPr="00DE659D">
        <w:rPr>
          <w:noProof/>
          <w:color w:val="000000" w:themeColor="text1"/>
          <w:lang w:val="en-US" w:eastAsia="fr-BE"/>
        </w:rPr>
        <w:t xml:space="preserve">) and sustainable consumption promotion (Signori et al, 2019), three critical issues in the sector. In addition, the presence of data security should be questioned as it is not regularly mentioned as a sustainability issue in the retail CSR literature. </w:t>
      </w:r>
    </w:p>
    <w:p w14:paraId="033C2D9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Are these issues present in retail companies' current sustainability reports? A survey launched by Naidoo and Gasparados (2018) highlights that the most frequently reported issue is overall energy conservation. After that, the most frequently reported issues are waste reduction (food waste and reducing/recycling packaging materials) and GHG emissions reduction. In contrast, biodiversity loss is a neglected issue. The interpretation of this finding by the two authors is that retail companies aim to reduce operational expenses </w:t>
      </w:r>
      <w:r w:rsidRPr="00DE659D">
        <w:rPr>
          <w:noProof/>
          <w:color w:val="000000" w:themeColor="text1"/>
          <w:lang w:val="en-US" w:eastAsia="fr-BE"/>
        </w:rPr>
        <w:lastRenderedPageBreak/>
        <w:t>through cost-saving methods. As energy is the second highest operating cost and as waste disposal costs continue increasing, improving these issues reap economic benefits. The main motivation of sustainability reporting in the retail sector would be these economic benefits.</w:t>
      </w:r>
    </w:p>
    <w:p w14:paraId="36ACF6B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terms of effective sustainable practices, it must be noted that a heterogeneity exists among retailers. Specialist retailers and smaller cooperative retailers tend to be more advanced, while large retailers and price-led retailers tend to be behind (Styles and al, 2012). </w:t>
      </w:r>
    </w:p>
    <w:p w14:paraId="248242B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For the retail sector, no quantification of SDGs indicators has been carried out. Research by Jones and Comfort (2019) and Wynn and Jones (2019) provide qualitative examples of SDGs reporting practices in the retail sector, but without precise account at the business or the aggregated level.</w:t>
      </w:r>
    </w:p>
    <w:p w14:paraId="34467512" w14:textId="3E26963D" w:rsidR="00DE659D" w:rsidRPr="00DE659D" w:rsidRDefault="00DE659D" w:rsidP="00DE659D">
      <w:pPr>
        <w:pStyle w:val="Titre2"/>
        <w:rPr>
          <w:noProof/>
          <w:lang w:val="en-US" w:eastAsia="fr-BE"/>
        </w:rPr>
      </w:pPr>
      <w:bookmarkStart w:id="52" w:name="_Toc51512288"/>
      <w:r w:rsidRPr="00DE659D">
        <w:rPr>
          <w:noProof/>
          <w:lang w:val="en-US" w:eastAsia="fr-BE"/>
        </w:rPr>
        <w:t>Methodology</w:t>
      </w:r>
      <w:bookmarkEnd w:id="52"/>
    </w:p>
    <w:p w14:paraId="0E06006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To answer our research questions, we analyze sustainability indicators and targets at the national level (Belgian), as well at the business level (retail and pharma sectors). This section details how data is selected and treated.</w:t>
      </w:r>
    </w:p>
    <w:p w14:paraId="174ACA49" w14:textId="603389BD" w:rsidR="00DE659D" w:rsidRPr="00DE659D" w:rsidRDefault="00DE659D" w:rsidP="00CE7357">
      <w:pPr>
        <w:pStyle w:val="Titre3"/>
        <w:rPr>
          <w:noProof/>
          <w:lang w:val="en-US" w:eastAsia="fr-BE"/>
        </w:rPr>
      </w:pPr>
      <w:bookmarkStart w:id="53" w:name="_Toc51512289"/>
      <w:r w:rsidRPr="00DE659D">
        <w:rPr>
          <w:noProof/>
          <w:lang w:val="en-US" w:eastAsia="fr-BE"/>
        </w:rPr>
        <w:t>Data selection</w:t>
      </w:r>
      <w:bookmarkEnd w:id="53"/>
    </w:p>
    <w:p w14:paraId="2B3F1BF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Belgian federal sustainability indicators are developed by the Federal Planning Bureau (FPB), a public institution in charge of developing economic information and analysis. It has been jointly-published annually since 2016 with the Institute of National Accounts, a set of indicators complementary to Gross Domestic Product (GDP). Since 2019, and building on these indicators, the FPB published a list of 84 indicators to monitor sustainable development in Belgium. The content of this list has not been chosen by the FPB alone. It is the result of a concertation between the FPB and other main public data producers (including those at the regional level) regrouped in the Interfederal Statistical Institute (ISI). SDGs indicators were thus chosen at the ISI in 2016, among the 232 UN indicators of SDG monitoring. These 84 indicators are the basis for yearly sustainability reports developed by the FPB, as well as for </w:t>
      </w:r>
      <w:r w:rsidRPr="00DE659D">
        <w:rPr>
          <w:noProof/>
          <w:color w:val="000000" w:themeColor="text1"/>
          <w:lang w:val="en-US" w:eastAsia="fr-BE"/>
        </w:rPr>
        <w:lastRenderedPageBreak/>
        <w:t>various publications. A subset of these indicators (51) is used by the FPB to formally assess Belgian performance in terms of sustainable development, through a comparison among directions and targets inspired by SDGs agenda and other laws and agreements. Belgian sustainable development monitoring is thus based on these indicators and their targets, all publicly available</w:t>
      </w:r>
      <w:r w:rsidRPr="00DE659D">
        <w:rPr>
          <w:noProof/>
          <w:color w:val="000000" w:themeColor="text1"/>
          <w:vertAlign w:val="superscript"/>
          <w:lang w:val="en-US" w:eastAsia="fr-BE"/>
        </w:rPr>
        <w:footnoteReference w:id="16"/>
      </w:r>
      <w:r w:rsidRPr="00DE659D">
        <w:rPr>
          <w:noProof/>
          <w:color w:val="000000" w:themeColor="text1"/>
          <w:lang w:val="en-US" w:eastAsia="fr-BE"/>
        </w:rPr>
        <w:t xml:space="preserve"> and analyzed in various reports. The list of indicators is likely to be extended in the future when new data becomes available. In this paper, indicators for 2019 have been considered.</w:t>
      </w:r>
    </w:p>
    <w:p w14:paraId="2F20136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Business level indicators are evaluated by the analysis of business sustainability reports. When needed, complementary information is found in their annual report or on their website. Businesses under scrutiny </w:t>
      </w:r>
      <w:r w:rsidRPr="00DE659D">
        <w:rPr>
          <w:noProof/>
          <w:color w:val="000000" w:themeColor="text1"/>
          <w:lang w:eastAsia="fr-BE"/>
        </w:rPr>
        <w:t>have been selected</w:t>
      </w:r>
      <w:r w:rsidRPr="00DE659D">
        <w:rPr>
          <w:noProof/>
          <w:color w:val="000000" w:themeColor="text1"/>
          <w:lang w:val="en-US" w:eastAsia="fr-BE"/>
        </w:rPr>
        <w:t xml:space="preserve"> according to three criteria: (1) they operate in the retail or the pharmaceutical sectors. As stated in the introduction, both are important Belgian industries and have a large potential for action in favor of SDGs (2) They are members of The Shift, the main Belgian business consortium for sustainable development. Our sample is thus not representative of all Belgian businesses, but of (some of) the most advanced in terms of sustainable development commitment. (3) They disclose quantitative data about their sustainability performance. In practice, this criterion excludes small or medium-sized businesses which rarely develop sustainability indicators. According to these criteria, 11 businesses have been selected, as it is shown in Table 1. They include most of the major players in both sectors in Belgium. In this study, indicators present in 2018 reports have been</w:t>
      </w:r>
      <w:r w:rsidRPr="00DE659D">
        <w:rPr>
          <w:noProof/>
          <w:color w:val="000000" w:themeColor="text1"/>
          <w:lang w:eastAsia="fr-BE"/>
        </w:rPr>
        <w:t xml:space="preserve"> considered.</w:t>
      </w:r>
    </w:p>
    <w:p w14:paraId="61FFCCD9" w14:textId="77777777" w:rsidR="003A7843" w:rsidRDefault="003A7843">
      <w:pPr>
        <w:spacing w:line="259" w:lineRule="auto"/>
        <w:ind w:firstLine="0"/>
        <w:jc w:val="left"/>
        <w:rPr>
          <w:noProof/>
          <w:color w:val="000000" w:themeColor="text1"/>
          <w:lang w:val="en-US" w:eastAsia="fr-BE"/>
        </w:rPr>
      </w:pPr>
      <w:r>
        <w:rPr>
          <w:noProof/>
          <w:color w:val="000000" w:themeColor="text1"/>
          <w:lang w:val="en-US" w:eastAsia="fr-BE"/>
        </w:rPr>
        <w:br w:type="page"/>
      </w:r>
    </w:p>
    <w:p w14:paraId="169C5CFE" w14:textId="58B63AEF"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Table 1: Businesses under study</w:t>
      </w:r>
    </w:p>
    <w:tbl>
      <w:tblPr>
        <w:tblStyle w:val="TableauGrille1Clair-Accentuation31"/>
        <w:tblW w:w="0" w:type="auto"/>
        <w:tblLook w:val="04A0" w:firstRow="1" w:lastRow="0" w:firstColumn="1" w:lastColumn="0" w:noHBand="0" w:noVBand="1"/>
      </w:tblPr>
      <w:tblGrid>
        <w:gridCol w:w="3724"/>
        <w:gridCol w:w="3176"/>
      </w:tblGrid>
      <w:tr w:rsidR="00DE659D" w:rsidRPr="008638F9" w14:paraId="385B254C" w14:textId="77777777" w:rsidTr="008638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24" w:type="dxa"/>
          </w:tcPr>
          <w:p w14:paraId="07A84C13" w14:textId="77777777" w:rsidR="00DE659D" w:rsidRPr="008638F9" w:rsidRDefault="00DE659D" w:rsidP="00DE659D">
            <w:pPr>
              <w:spacing w:after="160"/>
              <w:rPr>
                <w:noProof/>
                <w:color w:val="000000" w:themeColor="text1"/>
                <w:sz w:val="24"/>
                <w:lang w:val="en-US" w:eastAsia="fr-BE"/>
              </w:rPr>
            </w:pPr>
            <w:r w:rsidRPr="008638F9">
              <w:rPr>
                <w:noProof/>
                <w:color w:val="000000" w:themeColor="text1"/>
                <w:sz w:val="24"/>
                <w:lang w:val="en-US" w:eastAsia="fr-BE"/>
              </w:rPr>
              <w:t>Pharmaceuticals</w:t>
            </w:r>
          </w:p>
        </w:tc>
        <w:tc>
          <w:tcPr>
            <w:tcW w:w="3176" w:type="dxa"/>
          </w:tcPr>
          <w:p w14:paraId="5E7B3989" w14:textId="77777777" w:rsidR="00DE659D" w:rsidRPr="008638F9" w:rsidRDefault="00DE659D" w:rsidP="00DE659D">
            <w:pPr>
              <w:spacing w:after="160"/>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Retail</w:t>
            </w:r>
          </w:p>
        </w:tc>
      </w:tr>
      <w:tr w:rsidR="00DE659D" w:rsidRPr="008638F9" w14:paraId="129FF464"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1BB29700" w14:textId="77777777" w:rsidR="00DE659D" w:rsidRPr="008638F9" w:rsidRDefault="00DE659D" w:rsidP="00DE659D">
            <w:pPr>
              <w:spacing w:after="160"/>
              <w:rPr>
                <w:b w:val="0"/>
                <w:noProof/>
                <w:color w:val="000000" w:themeColor="text1"/>
                <w:sz w:val="24"/>
                <w:lang w:val="en-US" w:eastAsia="fr-BE"/>
              </w:rPr>
            </w:pPr>
            <w:r w:rsidRPr="008638F9">
              <w:rPr>
                <w:b w:val="0"/>
                <w:noProof/>
                <w:color w:val="000000" w:themeColor="text1"/>
                <w:sz w:val="24"/>
                <w:lang w:val="en-US" w:eastAsia="fr-BE"/>
              </w:rPr>
              <w:t>GSK</w:t>
            </w:r>
          </w:p>
        </w:tc>
        <w:tc>
          <w:tcPr>
            <w:tcW w:w="3176" w:type="dxa"/>
          </w:tcPr>
          <w:p w14:paraId="2D578BEE"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Ahold Delhaize</w:t>
            </w:r>
          </w:p>
        </w:tc>
      </w:tr>
      <w:tr w:rsidR="00DE659D" w:rsidRPr="008638F9" w14:paraId="7A061BC0"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1D6F6C62" w14:textId="77777777" w:rsidR="00DE659D" w:rsidRPr="008638F9" w:rsidRDefault="00DE659D" w:rsidP="00DE659D">
            <w:pPr>
              <w:spacing w:after="160"/>
              <w:rPr>
                <w:b w:val="0"/>
                <w:noProof/>
                <w:color w:val="000000" w:themeColor="text1"/>
                <w:sz w:val="24"/>
                <w:lang w:val="en-US" w:eastAsia="fr-BE"/>
              </w:rPr>
            </w:pPr>
            <w:r w:rsidRPr="008638F9">
              <w:rPr>
                <w:b w:val="0"/>
                <w:noProof/>
                <w:color w:val="000000" w:themeColor="text1"/>
                <w:sz w:val="24"/>
                <w:lang w:val="en-US" w:eastAsia="fr-BE"/>
              </w:rPr>
              <w:t xml:space="preserve">IBA </w:t>
            </w:r>
          </w:p>
        </w:tc>
        <w:tc>
          <w:tcPr>
            <w:tcW w:w="3176" w:type="dxa"/>
          </w:tcPr>
          <w:p w14:paraId="569DAD16"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Aldi North</w:t>
            </w:r>
          </w:p>
        </w:tc>
      </w:tr>
      <w:tr w:rsidR="00DE659D" w:rsidRPr="008638F9" w14:paraId="66018C07"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57639121" w14:textId="77777777" w:rsidR="00DE659D" w:rsidRPr="008638F9" w:rsidRDefault="00DE659D" w:rsidP="00DE659D">
            <w:pPr>
              <w:spacing w:after="160"/>
              <w:rPr>
                <w:b w:val="0"/>
                <w:noProof/>
                <w:color w:val="000000" w:themeColor="text1"/>
                <w:sz w:val="24"/>
                <w:lang w:val="en-US" w:eastAsia="fr-BE"/>
              </w:rPr>
            </w:pPr>
            <w:r w:rsidRPr="008638F9">
              <w:rPr>
                <w:b w:val="0"/>
                <w:noProof/>
                <w:color w:val="000000" w:themeColor="text1"/>
                <w:sz w:val="24"/>
                <w:lang w:val="en-US" w:eastAsia="fr-BE"/>
              </w:rPr>
              <w:t>Johnson &amp; Johnson (Janssens)</w:t>
            </w:r>
          </w:p>
        </w:tc>
        <w:tc>
          <w:tcPr>
            <w:tcW w:w="3176" w:type="dxa"/>
          </w:tcPr>
          <w:p w14:paraId="21C38CE9"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Carrefour</w:t>
            </w:r>
          </w:p>
        </w:tc>
      </w:tr>
      <w:tr w:rsidR="00DE659D" w:rsidRPr="008638F9" w14:paraId="2B68B6AB"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6465CA06" w14:textId="77777777" w:rsidR="00DE659D" w:rsidRPr="008638F9" w:rsidRDefault="00DE659D" w:rsidP="00DE659D">
            <w:pPr>
              <w:spacing w:after="160"/>
              <w:rPr>
                <w:b w:val="0"/>
                <w:noProof/>
                <w:color w:val="000000" w:themeColor="text1"/>
                <w:sz w:val="24"/>
                <w:lang w:val="en-US" w:eastAsia="fr-BE"/>
              </w:rPr>
            </w:pPr>
            <w:r w:rsidRPr="008638F9">
              <w:rPr>
                <w:b w:val="0"/>
                <w:noProof/>
                <w:color w:val="000000" w:themeColor="text1"/>
                <w:sz w:val="24"/>
                <w:lang w:val="en-US" w:eastAsia="fr-BE"/>
              </w:rPr>
              <w:t>Pfizer</w:t>
            </w:r>
          </w:p>
        </w:tc>
        <w:tc>
          <w:tcPr>
            <w:tcW w:w="3176" w:type="dxa"/>
          </w:tcPr>
          <w:p w14:paraId="30042E15"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 xml:space="preserve">Colruyt </w:t>
            </w:r>
          </w:p>
        </w:tc>
      </w:tr>
      <w:tr w:rsidR="00DE659D" w:rsidRPr="008638F9" w14:paraId="63AB8A43"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6B348C32" w14:textId="77777777" w:rsidR="00DE659D" w:rsidRPr="008638F9" w:rsidRDefault="00DE659D" w:rsidP="00DE659D">
            <w:pPr>
              <w:spacing w:after="160"/>
              <w:rPr>
                <w:b w:val="0"/>
                <w:noProof/>
                <w:color w:val="000000" w:themeColor="text1"/>
                <w:sz w:val="24"/>
                <w:lang w:val="en-US" w:eastAsia="fr-BE"/>
              </w:rPr>
            </w:pPr>
            <w:r w:rsidRPr="008638F9">
              <w:rPr>
                <w:b w:val="0"/>
                <w:noProof/>
                <w:color w:val="000000" w:themeColor="text1"/>
                <w:sz w:val="24"/>
                <w:lang w:val="en-US" w:eastAsia="fr-BE"/>
              </w:rPr>
              <w:t>UCB</w:t>
            </w:r>
          </w:p>
        </w:tc>
        <w:tc>
          <w:tcPr>
            <w:tcW w:w="3176" w:type="dxa"/>
          </w:tcPr>
          <w:p w14:paraId="59F33E58"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Ingka (Ikea)</w:t>
            </w:r>
          </w:p>
        </w:tc>
      </w:tr>
      <w:tr w:rsidR="00DE659D" w:rsidRPr="008638F9" w14:paraId="186E93A4" w14:textId="77777777" w:rsidTr="008638F9">
        <w:tc>
          <w:tcPr>
            <w:cnfStyle w:val="001000000000" w:firstRow="0" w:lastRow="0" w:firstColumn="1" w:lastColumn="0" w:oddVBand="0" w:evenVBand="0" w:oddHBand="0" w:evenHBand="0" w:firstRowFirstColumn="0" w:firstRowLastColumn="0" w:lastRowFirstColumn="0" w:lastRowLastColumn="0"/>
            <w:tcW w:w="3724" w:type="dxa"/>
          </w:tcPr>
          <w:p w14:paraId="46E41371" w14:textId="77777777" w:rsidR="00DE659D" w:rsidRPr="008638F9" w:rsidRDefault="00DE659D" w:rsidP="00DE659D">
            <w:pPr>
              <w:spacing w:after="160"/>
              <w:rPr>
                <w:noProof/>
                <w:color w:val="000000" w:themeColor="text1"/>
                <w:sz w:val="24"/>
                <w:lang w:val="en-US" w:eastAsia="fr-BE"/>
              </w:rPr>
            </w:pPr>
          </w:p>
        </w:tc>
        <w:tc>
          <w:tcPr>
            <w:tcW w:w="3176" w:type="dxa"/>
          </w:tcPr>
          <w:p w14:paraId="36CAAD7E" w14:textId="77777777" w:rsidR="00DE659D" w:rsidRPr="008638F9" w:rsidRDefault="00DE659D" w:rsidP="00DE659D">
            <w:pPr>
              <w:spacing w:after="16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Lidl Belgium-Luxemburg</w:t>
            </w:r>
          </w:p>
        </w:tc>
      </w:tr>
    </w:tbl>
    <w:p w14:paraId="6522BE63" w14:textId="77777777" w:rsidR="00DE659D" w:rsidRPr="00DE659D" w:rsidRDefault="00DE659D" w:rsidP="00DE659D">
      <w:pPr>
        <w:rPr>
          <w:noProof/>
          <w:color w:val="000000" w:themeColor="text1"/>
          <w:lang w:val="en-US" w:eastAsia="fr-BE"/>
        </w:rPr>
      </w:pPr>
    </w:p>
    <w:p w14:paraId="00EEC49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One complication that emerges from our sample is that, due to dynamics of concentration and merging in both sectors, all businesses included are now multinational corporations (even the originally Belgian ones). Their annual or sustainability report therefore covers not only Belgian activities, but activities all around the world. Only two reports originate from businesses which have a clear Belgian dominance (IBA and Lidl Belgium-Luxemburg). All other reports cover worldwide activities. This exhibits a structural limitation: while Belgian indicators are the focus at the national level, the indicators produced by businesses do not only show Belgian businesses’ priorities or performances, but also global ones (mainly Western European countries and the US). This issue fortunately has a limited impact on our research. On the one hand, if differences in reporting practices across Western countries do exist, they are limited (Demir and Min, 2019). On the other hand, the indicators used in a global company are those used in its national branches. They thus provide a fair account of this business sustainability reporting in the countries it operates (</w:t>
      </w:r>
      <w:r w:rsidRPr="00DE659D">
        <w:rPr>
          <w:i/>
          <w:noProof/>
          <w:color w:val="000000" w:themeColor="text1"/>
          <w:lang w:val="en-US" w:eastAsia="fr-BE"/>
        </w:rPr>
        <w:t>i.e.</w:t>
      </w:r>
      <w:r w:rsidRPr="00DE659D">
        <w:rPr>
          <w:noProof/>
          <w:color w:val="000000" w:themeColor="text1"/>
          <w:lang w:val="en-US" w:eastAsia="fr-BE"/>
        </w:rPr>
        <w:t xml:space="preserve"> Belgium).</w:t>
      </w:r>
    </w:p>
    <w:p w14:paraId="62F7B807" w14:textId="61FD4DF0" w:rsidR="00DE659D" w:rsidRPr="00DE659D" w:rsidRDefault="00DE659D" w:rsidP="00CE7357">
      <w:pPr>
        <w:pStyle w:val="Titre3"/>
        <w:rPr>
          <w:noProof/>
          <w:lang w:val="en-US" w:eastAsia="fr-BE"/>
        </w:rPr>
      </w:pPr>
      <w:bookmarkStart w:id="54" w:name="_Toc51512290"/>
      <w:r w:rsidRPr="00DE659D">
        <w:rPr>
          <w:noProof/>
          <w:lang w:val="en-US" w:eastAsia="fr-BE"/>
        </w:rPr>
        <w:t>Data treatment and standardization</w:t>
      </w:r>
      <w:bookmarkEnd w:id="54"/>
    </w:p>
    <w:p w14:paraId="545BDE1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At the national level, as the number of indicators is moderate (minimum 3, maximum 11 per goal) and there is only one country under consideration, we directly used the 84 FPB’s SDGs indicators as data. The full list of macro level SDGs indicators can be found in table 6 of the Appendix.</w:t>
      </w:r>
    </w:p>
    <w:p w14:paraId="63637C0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However, at the business level, the degree of standardization of reporting practices is low. This heterogeneity is a classic issue in sustainability reporting, making comparisons difficult and sometimes meaningless (Boiral and Henri, 2015). For instance, some businesses measure carbon emissions of delivery of goods, while others only include those of internal operations. Some measure the proportion of women in management positions, while others measure this proportion only among board members. The communication of measures can also vary: some businesses measure the share of certified products in total sales, while others use ten sourcing indicators, one per product. Measurement heterogeneity makes the use of raw business indicators unfit for comparative analysis or aggregation. Using them first requires capturing the key themes they refer to, not their peculiarities. How can this be done?</w:t>
      </w:r>
    </w:p>
    <w:p w14:paraId="7A9A25C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 modified version of a list of SDGs themes relevant for businesses developed by Van Zantem and Van Tulder (2018) is used. The two authors condensed the UN framework of targets and indicators (UNSD, 2017) to make it relevant at the business level by excluding targets that are primarily aimed at governmental action and by merging similar issues to capture their main essence. Using this list of SDGs themes allows us to aggregate indicators present in business reports in 58 themes, which leads to a standardized dataset. If one theme is covered by at least one indicator in business reports, the business is considered to report on the issue under consideration (value = 1). In the other case, reporting is considered absent on this issue (value = 0). Sustainability indicators present in business reports are thus first standardized (and grouped) in 58 synthetic binary business SDGs indicators, corresponding to each sustainability issue. These synthetic indicators are then used to show which goals are the most reported (and can be observed independently). The corresponding loss of information due to the use of binary values is limited, while the 58 indicators cover most possible business sustainability indicators. Note that the 58 SDGs indicators are vastly similar to the 169 SDGs targets developed by the UN. </w:t>
      </w:r>
    </w:p>
    <w:p w14:paraId="06A8528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Minor modifications were made to Van Zantem and Van Tulder’s list to make it better fit to our objective (showing measurement </w:t>
      </w:r>
      <w:r w:rsidRPr="00DE659D">
        <w:rPr>
          <w:noProof/>
          <w:color w:val="000000" w:themeColor="text1"/>
          <w:lang w:val="en-US" w:eastAsia="fr-BE"/>
        </w:rPr>
        <w:lastRenderedPageBreak/>
        <w:t>priorities), while theirs was to survey businesses. Modifications made are the following: (1) the merger of issues which were impossible to distinguish precisely among indicators present in reports (</w:t>
      </w:r>
      <w:r w:rsidRPr="00DE659D">
        <w:rPr>
          <w:i/>
          <w:noProof/>
          <w:color w:val="000000" w:themeColor="text1"/>
          <w:lang w:val="en-US" w:eastAsia="fr-BE"/>
        </w:rPr>
        <w:t>e.g.</w:t>
      </w:r>
      <w:r w:rsidRPr="00DE659D">
        <w:rPr>
          <w:noProof/>
          <w:color w:val="000000" w:themeColor="text1"/>
          <w:lang w:val="en-US" w:eastAsia="fr-BE"/>
        </w:rPr>
        <w:t xml:space="preserve"> ‘labour rights practice in the supply chain’, ‘collective bargaining in the supply chain’, ‘elimination of forced labour and child labour’, etc. have been merged into a more general ‘social standards in the supply chain’ indicator) (2) we added highly relevant issues for businesses and SDGs, which were absent from Van Zantem and Van Tulder’s work for unknown reason: ‘clean mobility and transportation’, ‘wage policy and working conditions’ and ‘tax transparency’. These modifications lead to a list composed of 58 themes (rather than 59), each of them part of one or more SDG. It covers material issues highlighted by the literature review as relevant for the two sectors under consideration. Table 5 in Appendix offers a complete view of the 58 synthetic SDGs indicators.</w:t>
      </w:r>
    </w:p>
    <w:p w14:paraId="0273F6D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The analysis of business reports thus consists in observing whether businesses disclose at least one indicator on these issues, and link it with one or more SDG. As reporting practices are the prime focus of this paper, only quantitative indicators giving information on the general business performance are taken into account. Qualitative aspects and single initiatives are left out. Hence, the disclosure of the rate of energy savings is the kind of measure which is taken into account, while the simple mention of a project to save energy is not. </w:t>
      </w:r>
    </w:p>
    <w:p w14:paraId="35D0729D" w14:textId="65F09E64" w:rsidR="00DE659D" w:rsidRPr="00DE659D" w:rsidRDefault="00DE659D" w:rsidP="00DE659D">
      <w:pPr>
        <w:pStyle w:val="Titre2"/>
        <w:rPr>
          <w:noProof/>
          <w:lang w:val="en-US" w:eastAsia="fr-BE"/>
        </w:rPr>
      </w:pPr>
      <w:bookmarkStart w:id="55" w:name="_Toc51512291"/>
      <w:r w:rsidRPr="00DE659D">
        <w:rPr>
          <w:noProof/>
          <w:lang w:val="en-US" w:eastAsia="fr-BE"/>
        </w:rPr>
        <w:t>Analyzing the consistency of national and businesses’ sustainability indicators</w:t>
      </w:r>
      <w:bookmarkEnd w:id="55"/>
      <w:r w:rsidRPr="00DE659D">
        <w:rPr>
          <w:noProof/>
          <w:lang w:val="en-US" w:eastAsia="fr-BE"/>
        </w:rPr>
        <w:t xml:space="preserve"> </w:t>
      </w:r>
    </w:p>
    <w:p w14:paraId="18C9BDD7" w14:textId="143A9565" w:rsidR="00DE659D" w:rsidRDefault="00DE659D" w:rsidP="00DE659D">
      <w:pPr>
        <w:rPr>
          <w:noProof/>
          <w:color w:val="000000" w:themeColor="text1"/>
          <w:lang w:val="en-US" w:eastAsia="fr-BE"/>
        </w:rPr>
      </w:pPr>
      <w:r w:rsidRPr="00DE659D">
        <w:rPr>
          <w:noProof/>
          <w:color w:val="000000" w:themeColor="text1"/>
          <w:lang w:val="en-US" w:eastAsia="fr-BE"/>
        </w:rPr>
        <w:t xml:space="preserve">In this section, the similarity of reported SDGs themes at the macro and business levels is evaluated. A convergence of reported SDGs themes would suggest a similar awareness regarding the goals, and would facilitate the coordination of ideas and actions. In the case of coordination of actions, it would allow us to observe performances at the other level and make decisions based on this information. If businesses aiming to contribute to SDGs observe a national weakness in a certain goal, they might want to focus their actions on this goal in order to tackle unsolved issues. The </w:t>
      </w:r>
      <w:r w:rsidRPr="00DE659D">
        <w:rPr>
          <w:noProof/>
          <w:color w:val="000000" w:themeColor="text1"/>
          <w:lang w:val="en-US" w:eastAsia="fr-BE"/>
        </w:rPr>
        <w:lastRenderedPageBreak/>
        <w:t>observation of company performance in a given sector would provide the government with additional information to develop adequate regulations. This kind of coordination does not require all variables of SDGs indicators to be the same at each level. It just requires that each goal be covered by indicators which capture the essence of the challenge at stake, referred to as a ‘conceptual articulation’ in the first paper of this thesis.</w:t>
      </w:r>
    </w:p>
    <w:p w14:paraId="2681FCDD" w14:textId="77777777" w:rsidR="006B5D8C" w:rsidRPr="00DE659D" w:rsidRDefault="006B5D8C" w:rsidP="00DE659D">
      <w:pPr>
        <w:rPr>
          <w:noProof/>
          <w:color w:val="000000" w:themeColor="text1"/>
          <w:lang w:val="en-US" w:eastAsia="fr-BE"/>
        </w:rPr>
      </w:pPr>
    </w:p>
    <w:p w14:paraId="0E84B28E" w14:textId="017C1A76" w:rsidR="00DE659D" w:rsidRPr="00DE659D" w:rsidRDefault="00DE659D" w:rsidP="00CE7357">
      <w:pPr>
        <w:pStyle w:val="Titre3"/>
        <w:rPr>
          <w:noProof/>
          <w:lang w:val="en-US" w:eastAsia="fr-BE"/>
        </w:rPr>
      </w:pPr>
      <w:bookmarkStart w:id="56" w:name="_Toc51512292"/>
      <w:r w:rsidRPr="00DE659D">
        <w:rPr>
          <w:noProof/>
          <w:lang w:val="en-US" w:eastAsia="fr-BE"/>
        </w:rPr>
        <w:t>RQ1: Do business and national level sustainability indicators measure similar SDGs issues?</w:t>
      </w:r>
      <w:bookmarkEnd w:id="56"/>
      <w:r w:rsidRPr="00DE659D">
        <w:rPr>
          <w:noProof/>
          <w:lang w:val="en-US" w:eastAsia="fr-BE"/>
        </w:rPr>
        <w:t xml:space="preserve"> </w:t>
      </w:r>
    </w:p>
    <w:p w14:paraId="13C2B61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Table 2 provides a picture of national and business indicators. It shows the number of sustainability issues covered per goal, as well as the percentage of unfavorable evolution [UE] per goal. This section 4.1 analyzes the number of reported issues, while section 4.2 focuses on performance. Data has been gathered and treated as presented in the methodological section. Recall that counting methods differ between the national and the business level. The interest of the table is thus to show the contrast in priorities at each level, rather than to compare both levels’ numbers on a single goal. Business level data is presented with the mean (# indicators per business). Detailed indicators and data by sector are available in Appendix (table 5 and 6) for those interested in a more precise picture of SDGs reporting.</w:t>
      </w:r>
    </w:p>
    <w:p w14:paraId="5988C0F5" w14:textId="77777777" w:rsidR="008638F9" w:rsidRPr="00DE659D" w:rsidRDefault="008638F9" w:rsidP="008638F9">
      <w:pPr>
        <w:rPr>
          <w:noProof/>
          <w:color w:val="000000" w:themeColor="text1"/>
          <w:lang w:val="en-US" w:eastAsia="fr-BE"/>
        </w:rPr>
      </w:pPr>
      <w:r w:rsidRPr="00DE659D">
        <w:rPr>
          <w:noProof/>
          <w:color w:val="000000" w:themeColor="text1"/>
          <w:lang w:val="en-US" w:eastAsia="fr-BE"/>
        </w:rPr>
        <w:t xml:space="preserve">At the national level, all SDGs are covered by indicators. Top reported goals are SDG 3 </w:t>
      </w:r>
      <w:r w:rsidRPr="00DE659D">
        <w:rPr>
          <w:i/>
          <w:noProof/>
          <w:color w:val="000000" w:themeColor="text1"/>
          <w:lang w:val="en-US" w:eastAsia="fr-BE"/>
        </w:rPr>
        <w:t>Good health and well-being</w:t>
      </w:r>
      <w:r w:rsidRPr="00DE659D">
        <w:rPr>
          <w:noProof/>
          <w:color w:val="000000" w:themeColor="text1"/>
          <w:lang w:val="en-US" w:eastAsia="fr-BE"/>
        </w:rPr>
        <w:t xml:space="preserve">, SDG 9 </w:t>
      </w:r>
      <w:r w:rsidRPr="00DE659D">
        <w:rPr>
          <w:i/>
          <w:noProof/>
          <w:color w:val="000000" w:themeColor="text1"/>
          <w:lang w:val="en-US" w:eastAsia="fr-BE"/>
        </w:rPr>
        <w:t>Industry, innovation and infrastructure</w:t>
      </w:r>
      <w:r w:rsidRPr="00DE659D">
        <w:rPr>
          <w:noProof/>
          <w:color w:val="000000" w:themeColor="text1"/>
          <w:lang w:val="en-US" w:eastAsia="fr-BE"/>
        </w:rPr>
        <w:t xml:space="preserve">, and SDG 16 </w:t>
      </w:r>
      <w:r w:rsidRPr="00DE659D">
        <w:rPr>
          <w:i/>
          <w:noProof/>
          <w:color w:val="000000" w:themeColor="text1"/>
          <w:lang w:val="en-US" w:eastAsia="fr-BE"/>
        </w:rPr>
        <w:t>Peace, justice and strong institutions</w:t>
      </w:r>
      <w:r w:rsidRPr="00DE659D">
        <w:rPr>
          <w:noProof/>
          <w:color w:val="000000" w:themeColor="text1"/>
          <w:lang w:val="en-US" w:eastAsia="fr-BE"/>
        </w:rPr>
        <w:t>. The priority given to health is consistent with an FPB study which highlights the role of health variables in the well-being of Belgians, accounting for around 40% of subjective variation in wellbeing (</w:t>
      </w:r>
      <w:bookmarkStart w:id="57" w:name="_Hlk34664276"/>
      <w:r w:rsidRPr="00DE659D">
        <w:rPr>
          <w:noProof/>
          <w:color w:val="000000" w:themeColor="text1"/>
          <w:lang w:val="en-US" w:eastAsia="fr-BE"/>
        </w:rPr>
        <w:t>Joskin, 2018</w:t>
      </w:r>
      <w:bookmarkEnd w:id="57"/>
      <w:r w:rsidRPr="00DE659D">
        <w:rPr>
          <w:noProof/>
          <w:color w:val="000000" w:themeColor="text1"/>
          <w:lang w:val="en-US" w:eastAsia="fr-BE"/>
        </w:rPr>
        <w:t xml:space="preserve">). </w:t>
      </w:r>
    </w:p>
    <w:p w14:paraId="25310886" w14:textId="77777777" w:rsidR="008638F9" w:rsidRDefault="008638F9" w:rsidP="00DE659D">
      <w:pPr>
        <w:rPr>
          <w:noProof/>
          <w:color w:val="000000" w:themeColor="text1"/>
          <w:lang w:val="en-US" w:eastAsia="fr-BE"/>
        </w:rPr>
      </w:pPr>
    </w:p>
    <w:p w14:paraId="4B0FA19D" w14:textId="77777777" w:rsidR="008638F9" w:rsidRDefault="008638F9">
      <w:pPr>
        <w:spacing w:line="259" w:lineRule="auto"/>
        <w:ind w:firstLine="0"/>
        <w:jc w:val="left"/>
        <w:rPr>
          <w:noProof/>
          <w:color w:val="000000" w:themeColor="text1"/>
          <w:lang w:val="en-US" w:eastAsia="fr-BE"/>
        </w:rPr>
      </w:pPr>
      <w:r>
        <w:rPr>
          <w:noProof/>
          <w:color w:val="000000" w:themeColor="text1"/>
          <w:lang w:val="en-US" w:eastAsia="fr-BE"/>
        </w:rPr>
        <w:br w:type="page"/>
      </w:r>
    </w:p>
    <w:p w14:paraId="1D457986" w14:textId="29B976CF"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Table 2: Number of SDGs issues covered by indicators and related performance (percentage of unfavorable evolution [UE]), by goal</w:t>
      </w:r>
    </w:p>
    <w:tbl>
      <w:tblPr>
        <w:tblStyle w:val="TableauGrille1Clair-Accentuation31"/>
        <w:tblW w:w="0" w:type="auto"/>
        <w:tblLayout w:type="fixed"/>
        <w:tblLook w:val="04A0" w:firstRow="1" w:lastRow="0" w:firstColumn="1" w:lastColumn="0" w:noHBand="0" w:noVBand="1"/>
      </w:tblPr>
      <w:tblGrid>
        <w:gridCol w:w="3402"/>
        <w:gridCol w:w="993"/>
        <w:gridCol w:w="992"/>
        <w:gridCol w:w="992"/>
        <w:gridCol w:w="991"/>
      </w:tblGrid>
      <w:tr w:rsidR="00DE659D" w:rsidRPr="008638F9" w14:paraId="1A44EBA9" w14:textId="77777777" w:rsidTr="006B5D8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402" w:type="dxa"/>
            <w:noWrap/>
          </w:tcPr>
          <w:p w14:paraId="64A8A0DF" w14:textId="77777777" w:rsidR="00DE659D" w:rsidRPr="006B5D8C" w:rsidRDefault="00DE659D" w:rsidP="00DE659D">
            <w:pPr>
              <w:rPr>
                <w:noProof/>
                <w:color w:val="000000" w:themeColor="text1"/>
                <w:sz w:val="24"/>
                <w:lang w:val="en-US" w:eastAsia="fr-BE"/>
              </w:rPr>
            </w:pPr>
            <w:r w:rsidRPr="006B5D8C">
              <w:rPr>
                <w:noProof/>
                <w:color w:val="000000" w:themeColor="text1"/>
                <w:sz w:val="24"/>
                <w:lang w:val="en-US" w:eastAsia="fr-BE"/>
              </w:rPr>
              <w:t>SDG</w:t>
            </w:r>
          </w:p>
        </w:tc>
        <w:tc>
          <w:tcPr>
            <w:tcW w:w="1985" w:type="dxa"/>
            <w:gridSpan w:val="2"/>
            <w:noWrap/>
          </w:tcPr>
          <w:p w14:paraId="34307590" w14:textId="77777777" w:rsidR="00DE659D" w:rsidRPr="006B5D8C" w:rsidRDefault="00DE659D" w:rsidP="00DE659D">
            <w:pP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6B5D8C">
              <w:rPr>
                <w:noProof/>
                <w:color w:val="000000" w:themeColor="text1"/>
                <w:sz w:val="24"/>
                <w:lang w:val="en-US" w:eastAsia="fr-BE"/>
              </w:rPr>
              <w:t>National</w:t>
            </w:r>
          </w:p>
        </w:tc>
        <w:tc>
          <w:tcPr>
            <w:tcW w:w="1983" w:type="dxa"/>
            <w:gridSpan w:val="2"/>
          </w:tcPr>
          <w:p w14:paraId="421AD407" w14:textId="77777777" w:rsidR="00DE659D" w:rsidRPr="006B5D8C" w:rsidRDefault="00DE659D" w:rsidP="00DE659D">
            <w:pP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6B5D8C">
              <w:rPr>
                <w:noProof/>
                <w:color w:val="000000" w:themeColor="text1"/>
                <w:sz w:val="24"/>
                <w:lang w:val="en-US" w:eastAsia="fr-BE"/>
              </w:rPr>
              <w:t>Business</w:t>
            </w:r>
          </w:p>
        </w:tc>
      </w:tr>
      <w:tr w:rsidR="008638F9" w:rsidRPr="008638F9" w14:paraId="5B101C4A" w14:textId="77777777" w:rsidTr="006B5D8C">
        <w:trPr>
          <w:trHeight w:val="288"/>
        </w:trPr>
        <w:tc>
          <w:tcPr>
            <w:cnfStyle w:val="001000000000" w:firstRow="0" w:lastRow="0" w:firstColumn="1" w:lastColumn="0" w:oddVBand="0" w:evenVBand="0" w:oddHBand="0" w:evenHBand="0" w:firstRowFirstColumn="0" w:firstRowLastColumn="0" w:lastRowFirstColumn="0" w:lastRowLastColumn="0"/>
            <w:tcW w:w="3402" w:type="dxa"/>
            <w:noWrap/>
            <w:hideMark/>
          </w:tcPr>
          <w:p w14:paraId="61116113" w14:textId="77777777" w:rsidR="00DE659D" w:rsidRPr="008638F9" w:rsidRDefault="00DE659D" w:rsidP="00DE659D">
            <w:pPr>
              <w:rPr>
                <w:b w:val="0"/>
                <w:noProof/>
                <w:color w:val="000000" w:themeColor="text1"/>
                <w:sz w:val="24"/>
                <w:lang w:val="en-US" w:eastAsia="fr-BE"/>
              </w:rPr>
            </w:pPr>
          </w:p>
        </w:tc>
        <w:tc>
          <w:tcPr>
            <w:tcW w:w="993" w:type="dxa"/>
            <w:noWrap/>
          </w:tcPr>
          <w:p w14:paraId="72C5F5F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18"/>
                <w:lang w:val="en-US" w:eastAsia="fr-BE"/>
              </w:rPr>
            </w:pPr>
            <w:r w:rsidRPr="008638F9">
              <w:rPr>
                <w:b/>
                <w:noProof/>
                <w:color w:val="000000" w:themeColor="text1"/>
                <w:sz w:val="18"/>
                <w:lang w:val="en-US" w:eastAsia="fr-BE"/>
              </w:rPr>
              <w:t xml:space="preserve"># </w:t>
            </w:r>
          </w:p>
          <w:p w14:paraId="2F79B2F6" w14:textId="77777777" w:rsidR="00DE659D" w:rsidRPr="008638F9" w:rsidRDefault="00DE659D" w:rsidP="008638F9">
            <w:pPr>
              <w:ind w:firstLine="0"/>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18"/>
                <w:lang w:val="en-US" w:eastAsia="fr-BE"/>
              </w:rPr>
              <w:t>Indicators</w:t>
            </w:r>
          </w:p>
        </w:tc>
        <w:tc>
          <w:tcPr>
            <w:tcW w:w="992" w:type="dxa"/>
            <w:noWrap/>
          </w:tcPr>
          <w:p w14:paraId="6AD3640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24"/>
                <w:lang w:val="en-US" w:eastAsia="fr-BE"/>
              </w:rPr>
              <w:t xml:space="preserve">% </w:t>
            </w:r>
          </w:p>
          <w:p w14:paraId="4AB23B0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24"/>
                <w:lang w:val="en-US" w:eastAsia="fr-BE"/>
              </w:rPr>
              <w:t>UE</w:t>
            </w:r>
          </w:p>
        </w:tc>
        <w:tc>
          <w:tcPr>
            <w:tcW w:w="992" w:type="dxa"/>
          </w:tcPr>
          <w:p w14:paraId="328EB85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18"/>
                <w:lang w:val="en-US" w:eastAsia="fr-BE"/>
              </w:rPr>
            </w:pPr>
            <w:r w:rsidRPr="008638F9">
              <w:rPr>
                <w:b/>
                <w:noProof/>
                <w:color w:val="000000" w:themeColor="text1"/>
                <w:sz w:val="18"/>
                <w:lang w:val="en-US" w:eastAsia="fr-BE"/>
              </w:rPr>
              <w:t xml:space="preserve"># </w:t>
            </w:r>
          </w:p>
          <w:p w14:paraId="28427158" w14:textId="77777777" w:rsidR="00DE659D" w:rsidRPr="008638F9" w:rsidRDefault="00DE659D" w:rsidP="008638F9">
            <w:pPr>
              <w:ind w:firstLine="0"/>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18"/>
                <w:lang w:val="en-US" w:eastAsia="fr-BE"/>
              </w:rPr>
              <w:t>Indicators</w:t>
            </w:r>
          </w:p>
        </w:tc>
        <w:tc>
          <w:tcPr>
            <w:tcW w:w="991" w:type="dxa"/>
          </w:tcPr>
          <w:p w14:paraId="1802F5FE"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24"/>
                <w:lang w:val="en-US" w:eastAsia="fr-BE"/>
              </w:rPr>
              <w:t xml:space="preserve">% </w:t>
            </w:r>
          </w:p>
          <w:p w14:paraId="44A3CD8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r w:rsidRPr="008638F9">
              <w:rPr>
                <w:b/>
                <w:noProof/>
                <w:color w:val="000000" w:themeColor="text1"/>
                <w:sz w:val="24"/>
                <w:lang w:val="en-US" w:eastAsia="fr-BE"/>
              </w:rPr>
              <w:t>UE</w:t>
            </w:r>
          </w:p>
        </w:tc>
      </w:tr>
      <w:tr w:rsidR="008638F9" w:rsidRPr="008638F9" w14:paraId="73409928"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141A2CD6"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    No Poverty</w:t>
            </w:r>
          </w:p>
        </w:tc>
        <w:tc>
          <w:tcPr>
            <w:tcW w:w="993" w:type="dxa"/>
            <w:noWrap/>
            <w:hideMark/>
          </w:tcPr>
          <w:p w14:paraId="4B36BB1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6</w:t>
            </w:r>
          </w:p>
        </w:tc>
        <w:tc>
          <w:tcPr>
            <w:tcW w:w="992" w:type="dxa"/>
            <w:noWrap/>
            <w:hideMark/>
          </w:tcPr>
          <w:p w14:paraId="0DB39DA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17 %</w:t>
            </w:r>
          </w:p>
        </w:tc>
        <w:tc>
          <w:tcPr>
            <w:tcW w:w="992" w:type="dxa"/>
          </w:tcPr>
          <w:p w14:paraId="3EB2AECF"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67E91111"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6251102C"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10408786"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2    Zero Hunger</w:t>
            </w:r>
          </w:p>
        </w:tc>
        <w:tc>
          <w:tcPr>
            <w:tcW w:w="993" w:type="dxa"/>
            <w:noWrap/>
            <w:hideMark/>
          </w:tcPr>
          <w:p w14:paraId="169BDA0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7408EB4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25 %</w:t>
            </w:r>
          </w:p>
        </w:tc>
        <w:tc>
          <w:tcPr>
            <w:tcW w:w="992" w:type="dxa"/>
          </w:tcPr>
          <w:p w14:paraId="1537ED3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w:t>
            </w:r>
          </w:p>
        </w:tc>
        <w:tc>
          <w:tcPr>
            <w:tcW w:w="991" w:type="dxa"/>
          </w:tcPr>
          <w:p w14:paraId="1D946E1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653F87CE"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5AE64651"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3    Good Health and Well-being</w:t>
            </w:r>
          </w:p>
        </w:tc>
        <w:tc>
          <w:tcPr>
            <w:tcW w:w="993" w:type="dxa"/>
            <w:noWrap/>
            <w:hideMark/>
          </w:tcPr>
          <w:p w14:paraId="4F24859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11</w:t>
            </w:r>
          </w:p>
        </w:tc>
        <w:tc>
          <w:tcPr>
            <w:tcW w:w="992" w:type="dxa"/>
            <w:noWrap/>
            <w:hideMark/>
          </w:tcPr>
          <w:p w14:paraId="4724D3F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18 %</w:t>
            </w:r>
          </w:p>
        </w:tc>
        <w:tc>
          <w:tcPr>
            <w:tcW w:w="992" w:type="dxa"/>
          </w:tcPr>
          <w:p w14:paraId="6AE528E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745E6B1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14 %</w:t>
            </w:r>
          </w:p>
        </w:tc>
      </w:tr>
      <w:tr w:rsidR="008638F9" w:rsidRPr="008638F9" w14:paraId="33A6E1F2"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5149CF10"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4    Quality Education</w:t>
            </w:r>
          </w:p>
        </w:tc>
        <w:tc>
          <w:tcPr>
            <w:tcW w:w="993" w:type="dxa"/>
            <w:noWrap/>
            <w:hideMark/>
          </w:tcPr>
          <w:p w14:paraId="179981D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7717C81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6663D4CC"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w:t>
            </w:r>
          </w:p>
        </w:tc>
        <w:tc>
          <w:tcPr>
            <w:tcW w:w="991" w:type="dxa"/>
          </w:tcPr>
          <w:p w14:paraId="1EE78A07"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3C476A94"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2436CB9F"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5    Gender Equality</w:t>
            </w:r>
          </w:p>
        </w:tc>
        <w:tc>
          <w:tcPr>
            <w:tcW w:w="993" w:type="dxa"/>
            <w:noWrap/>
            <w:hideMark/>
          </w:tcPr>
          <w:p w14:paraId="652E49E8"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c>
          <w:tcPr>
            <w:tcW w:w="992" w:type="dxa"/>
            <w:noWrap/>
            <w:hideMark/>
          </w:tcPr>
          <w:p w14:paraId="3BD63D7F"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2502006A"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58D69CBA"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19560A29"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1AD095E5"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6    Clean Water and Sanitation</w:t>
            </w:r>
          </w:p>
        </w:tc>
        <w:tc>
          <w:tcPr>
            <w:tcW w:w="993" w:type="dxa"/>
            <w:noWrap/>
            <w:hideMark/>
          </w:tcPr>
          <w:p w14:paraId="4F133BC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c>
          <w:tcPr>
            <w:tcW w:w="992" w:type="dxa"/>
            <w:noWrap/>
            <w:hideMark/>
          </w:tcPr>
          <w:p w14:paraId="2FE8DCA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136564E2"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w:t>
            </w:r>
          </w:p>
        </w:tc>
        <w:tc>
          <w:tcPr>
            <w:tcW w:w="991" w:type="dxa"/>
          </w:tcPr>
          <w:p w14:paraId="33DBFBC2"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45 %</w:t>
            </w:r>
          </w:p>
        </w:tc>
      </w:tr>
      <w:tr w:rsidR="008638F9" w:rsidRPr="008638F9" w14:paraId="3EF85F87"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14D081B7"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7    Affordable and Clean Energy</w:t>
            </w:r>
          </w:p>
        </w:tc>
        <w:tc>
          <w:tcPr>
            <w:tcW w:w="993" w:type="dxa"/>
            <w:noWrap/>
            <w:hideMark/>
          </w:tcPr>
          <w:p w14:paraId="1E0D138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w:t>
            </w:r>
          </w:p>
        </w:tc>
        <w:tc>
          <w:tcPr>
            <w:tcW w:w="992" w:type="dxa"/>
            <w:noWrap/>
            <w:hideMark/>
          </w:tcPr>
          <w:p w14:paraId="76B24DBF"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315D8B5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6CB6E191"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16D720D6"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59758E97"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8    Decent Work and Economic Growth</w:t>
            </w:r>
          </w:p>
        </w:tc>
        <w:tc>
          <w:tcPr>
            <w:tcW w:w="993" w:type="dxa"/>
            <w:noWrap/>
            <w:hideMark/>
          </w:tcPr>
          <w:p w14:paraId="0DEC1AD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6</w:t>
            </w:r>
          </w:p>
        </w:tc>
        <w:tc>
          <w:tcPr>
            <w:tcW w:w="992" w:type="dxa"/>
            <w:noWrap/>
            <w:hideMark/>
          </w:tcPr>
          <w:p w14:paraId="35CD5CE1"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33 %</w:t>
            </w:r>
          </w:p>
        </w:tc>
        <w:tc>
          <w:tcPr>
            <w:tcW w:w="992" w:type="dxa"/>
          </w:tcPr>
          <w:p w14:paraId="2270E9E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7</w:t>
            </w:r>
          </w:p>
        </w:tc>
        <w:tc>
          <w:tcPr>
            <w:tcW w:w="991" w:type="dxa"/>
          </w:tcPr>
          <w:p w14:paraId="60C8EA7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13 %</w:t>
            </w:r>
          </w:p>
        </w:tc>
      </w:tr>
      <w:tr w:rsidR="008638F9" w:rsidRPr="008638F9" w14:paraId="7A1309AC"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56136A2A"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 xml:space="preserve">9    </w:t>
            </w:r>
            <w:bookmarkStart w:id="58" w:name="_Hlk34316187"/>
            <w:r w:rsidRPr="006B5D8C">
              <w:rPr>
                <w:b w:val="0"/>
                <w:noProof/>
                <w:color w:val="000000" w:themeColor="text1"/>
                <w:sz w:val="24"/>
                <w:lang w:val="en-US" w:eastAsia="fr-BE"/>
              </w:rPr>
              <w:t>Industry, Innovation and Infrastructure</w:t>
            </w:r>
            <w:bookmarkEnd w:id="58"/>
          </w:p>
        </w:tc>
        <w:tc>
          <w:tcPr>
            <w:tcW w:w="993" w:type="dxa"/>
            <w:noWrap/>
            <w:hideMark/>
          </w:tcPr>
          <w:p w14:paraId="41DC9E7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7</w:t>
            </w:r>
          </w:p>
        </w:tc>
        <w:tc>
          <w:tcPr>
            <w:tcW w:w="992" w:type="dxa"/>
            <w:noWrap/>
            <w:hideMark/>
          </w:tcPr>
          <w:p w14:paraId="47B8AAA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43 %</w:t>
            </w:r>
          </w:p>
        </w:tc>
        <w:tc>
          <w:tcPr>
            <w:tcW w:w="992" w:type="dxa"/>
          </w:tcPr>
          <w:p w14:paraId="1276A31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c>
          <w:tcPr>
            <w:tcW w:w="991" w:type="dxa"/>
          </w:tcPr>
          <w:p w14:paraId="6C5AFFC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w:t>
            </w:r>
          </w:p>
        </w:tc>
      </w:tr>
      <w:tr w:rsidR="008638F9" w:rsidRPr="008638F9" w14:paraId="53286AC1"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4766F4E9"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10  Reduced Inequality</w:t>
            </w:r>
          </w:p>
        </w:tc>
        <w:tc>
          <w:tcPr>
            <w:tcW w:w="993" w:type="dxa"/>
            <w:noWrap/>
            <w:hideMark/>
          </w:tcPr>
          <w:p w14:paraId="53CE580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2E12CB2C"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50 %</w:t>
            </w:r>
          </w:p>
        </w:tc>
        <w:tc>
          <w:tcPr>
            <w:tcW w:w="992" w:type="dxa"/>
          </w:tcPr>
          <w:p w14:paraId="2209224A"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c>
          <w:tcPr>
            <w:tcW w:w="991" w:type="dxa"/>
          </w:tcPr>
          <w:p w14:paraId="5375396A"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w:t>
            </w:r>
          </w:p>
        </w:tc>
      </w:tr>
      <w:tr w:rsidR="008638F9" w:rsidRPr="008638F9" w14:paraId="26F95C59"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50944062"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11  Sustainable Cities and Communities</w:t>
            </w:r>
          </w:p>
        </w:tc>
        <w:tc>
          <w:tcPr>
            <w:tcW w:w="993" w:type="dxa"/>
            <w:noWrap/>
            <w:hideMark/>
          </w:tcPr>
          <w:p w14:paraId="6276DA5F"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04A4688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32499EE3"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c>
          <w:tcPr>
            <w:tcW w:w="991" w:type="dxa"/>
          </w:tcPr>
          <w:p w14:paraId="4D6140A2"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w:t>
            </w:r>
          </w:p>
        </w:tc>
      </w:tr>
      <w:tr w:rsidR="008638F9" w:rsidRPr="008638F9" w14:paraId="7DFEC092"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47587F79"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12  Responsible Consumption and Production</w:t>
            </w:r>
          </w:p>
        </w:tc>
        <w:tc>
          <w:tcPr>
            <w:tcW w:w="993" w:type="dxa"/>
            <w:noWrap/>
            <w:hideMark/>
          </w:tcPr>
          <w:p w14:paraId="291F2731"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2B2F3B4C"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4E02AAC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1" w:type="dxa"/>
          </w:tcPr>
          <w:p w14:paraId="575F4C4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11 %</w:t>
            </w:r>
          </w:p>
        </w:tc>
      </w:tr>
      <w:tr w:rsidR="008638F9" w:rsidRPr="008638F9" w14:paraId="157B2FF0"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312E8D63"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13  Climate Action</w:t>
            </w:r>
          </w:p>
        </w:tc>
        <w:tc>
          <w:tcPr>
            <w:tcW w:w="993" w:type="dxa"/>
            <w:noWrap/>
            <w:hideMark/>
          </w:tcPr>
          <w:p w14:paraId="61F2DB9D"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w:t>
            </w:r>
          </w:p>
        </w:tc>
        <w:tc>
          <w:tcPr>
            <w:tcW w:w="992" w:type="dxa"/>
            <w:noWrap/>
            <w:hideMark/>
          </w:tcPr>
          <w:p w14:paraId="3CE00F45"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20 %</w:t>
            </w:r>
          </w:p>
        </w:tc>
        <w:tc>
          <w:tcPr>
            <w:tcW w:w="992" w:type="dxa"/>
          </w:tcPr>
          <w:p w14:paraId="7AB69FD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c>
          <w:tcPr>
            <w:tcW w:w="991" w:type="dxa"/>
          </w:tcPr>
          <w:p w14:paraId="4B1F93F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15 %</w:t>
            </w:r>
          </w:p>
        </w:tc>
      </w:tr>
      <w:tr w:rsidR="008638F9" w:rsidRPr="008638F9" w14:paraId="25432040"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31EAC42F"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14  Life Below Water</w:t>
            </w:r>
          </w:p>
        </w:tc>
        <w:tc>
          <w:tcPr>
            <w:tcW w:w="993" w:type="dxa"/>
            <w:noWrap/>
            <w:hideMark/>
          </w:tcPr>
          <w:p w14:paraId="1675092E"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c>
          <w:tcPr>
            <w:tcW w:w="992" w:type="dxa"/>
            <w:noWrap/>
            <w:hideMark/>
          </w:tcPr>
          <w:p w14:paraId="22EDF5D7"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c>
          <w:tcPr>
            <w:tcW w:w="992" w:type="dxa"/>
          </w:tcPr>
          <w:p w14:paraId="1DFD019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0E31BD98"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7EAE714D"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1B38FB4A"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15  Life on Land</w:t>
            </w:r>
          </w:p>
        </w:tc>
        <w:tc>
          <w:tcPr>
            <w:tcW w:w="993" w:type="dxa"/>
            <w:noWrap/>
            <w:hideMark/>
          </w:tcPr>
          <w:p w14:paraId="740CF6A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305F94C0"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50 %</w:t>
            </w:r>
          </w:p>
        </w:tc>
        <w:tc>
          <w:tcPr>
            <w:tcW w:w="992" w:type="dxa"/>
          </w:tcPr>
          <w:p w14:paraId="5DDA5E31"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1D5C72D7"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5 %</w:t>
            </w:r>
          </w:p>
        </w:tc>
      </w:tr>
      <w:tr w:rsidR="008638F9" w:rsidRPr="008638F9" w14:paraId="46C92CF2"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053D96F4"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16  Peace, Justice and Strong Institutions</w:t>
            </w:r>
          </w:p>
        </w:tc>
        <w:tc>
          <w:tcPr>
            <w:tcW w:w="993" w:type="dxa"/>
            <w:noWrap/>
            <w:hideMark/>
          </w:tcPr>
          <w:p w14:paraId="26D4CB6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7</w:t>
            </w:r>
          </w:p>
        </w:tc>
        <w:tc>
          <w:tcPr>
            <w:tcW w:w="992" w:type="dxa"/>
            <w:noWrap/>
            <w:hideMark/>
          </w:tcPr>
          <w:p w14:paraId="4C8C3A8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14 %</w:t>
            </w:r>
          </w:p>
        </w:tc>
        <w:tc>
          <w:tcPr>
            <w:tcW w:w="992" w:type="dxa"/>
          </w:tcPr>
          <w:p w14:paraId="3AAE66DF"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1" w:type="dxa"/>
          </w:tcPr>
          <w:p w14:paraId="4FAD4F5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2 %</w:t>
            </w:r>
          </w:p>
        </w:tc>
      </w:tr>
      <w:tr w:rsidR="008638F9" w:rsidRPr="008638F9" w14:paraId="6ED87FE6"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hideMark/>
          </w:tcPr>
          <w:p w14:paraId="2ECE1B2E"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17  Partnerships to Achieve the Goal</w:t>
            </w:r>
          </w:p>
        </w:tc>
        <w:tc>
          <w:tcPr>
            <w:tcW w:w="993" w:type="dxa"/>
            <w:noWrap/>
            <w:hideMark/>
          </w:tcPr>
          <w:p w14:paraId="33F5705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c>
          <w:tcPr>
            <w:tcW w:w="992" w:type="dxa"/>
            <w:noWrap/>
            <w:hideMark/>
          </w:tcPr>
          <w:p w14:paraId="69E31E54"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25 %</w:t>
            </w:r>
          </w:p>
        </w:tc>
        <w:tc>
          <w:tcPr>
            <w:tcW w:w="992" w:type="dxa"/>
          </w:tcPr>
          <w:p w14:paraId="490F783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c>
          <w:tcPr>
            <w:tcW w:w="991" w:type="dxa"/>
          </w:tcPr>
          <w:p w14:paraId="7183F846"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0 %</w:t>
            </w:r>
          </w:p>
        </w:tc>
      </w:tr>
      <w:tr w:rsidR="008638F9" w:rsidRPr="008638F9" w14:paraId="6DADAEFB" w14:textId="77777777" w:rsidTr="006B5D8C">
        <w:trPr>
          <w:trHeight w:val="170"/>
        </w:trPr>
        <w:tc>
          <w:tcPr>
            <w:cnfStyle w:val="001000000000" w:firstRow="0" w:lastRow="0" w:firstColumn="1" w:lastColumn="0" w:oddVBand="0" w:evenVBand="0" w:oddHBand="0" w:evenHBand="0" w:firstRowFirstColumn="0" w:firstRowLastColumn="0" w:lastRowFirstColumn="0" w:lastRowLastColumn="0"/>
            <w:tcW w:w="3402" w:type="dxa"/>
            <w:noWrap/>
          </w:tcPr>
          <w:p w14:paraId="02AF9F1B" w14:textId="77777777" w:rsidR="00DE659D" w:rsidRPr="006B5D8C" w:rsidRDefault="00DE659D" w:rsidP="006B5D8C">
            <w:pPr>
              <w:ind w:firstLine="34"/>
              <w:rPr>
                <w:b w:val="0"/>
                <w:noProof/>
                <w:color w:val="000000" w:themeColor="text1"/>
                <w:sz w:val="24"/>
                <w:lang w:val="en-US" w:eastAsia="fr-BE"/>
              </w:rPr>
            </w:pPr>
            <w:r w:rsidRPr="006B5D8C">
              <w:rPr>
                <w:b w:val="0"/>
                <w:noProof/>
                <w:color w:val="000000" w:themeColor="text1"/>
                <w:sz w:val="24"/>
                <w:lang w:val="en-US" w:eastAsia="fr-BE"/>
              </w:rPr>
              <w:t>Total</w:t>
            </w:r>
          </w:p>
        </w:tc>
        <w:tc>
          <w:tcPr>
            <w:tcW w:w="993" w:type="dxa"/>
            <w:noWrap/>
          </w:tcPr>
          <w:p w14:paraId="26778EB9"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84</w:t>
            </w:r>
          </w:p>
        </w:tc>
        <w:tc>
          <w:tcPr>
            <w:tcW w:w="992" w:type="dxa"/>
            <w:noWrap/>
          </w:tcPr>
          <w:p w14:paraId="53AB26BA"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18 %</w:t>
            </w:r>
          </w:p>
        </w:tc>
        <w:tc>
          <w:tcPr>
            <w:tcW w:w="992" w:type="dxa"/>
          </w:tcPr>
          <w:p w14:paraId="67F97E0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36</w:t>
            </w:r>
          </w:p>
        </w:tc>
        <w:tc>
          <w:tcPr>
            <w:tcW w:w="991" w:type="dxa"/>
          </w:tcPr>
          <w:p w14:paraId="696548FB" w14:textId="77777777" w:rsidR="00DE659D" w:rsidRPr="008638F9" w:rsidRDefault="00DE659D" w:rsidP="00DE659D">
            <w:pP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7 %</w:t>
            </w:r>
          </w:p>
        </w:tc>
      </w:tr>
    </w:tbl>
    <w:p w14:paraId="778AF7BD" w14:textId="77777777" w:rsidR="008638F9" w:rsidRDefault="008638F9" w:rsidP="00DE659D">
      <w:pPr>
        <w:rPr>
          <w:noProof/>
          <w:color w:val="000000" w:themeColor="text1"/>
          <w:lang w:val="en-US" w:eastAsia="fr-BE"/>
        </w:rPr>
      </w:pPr>
    </w:p>
    <w:p w14:paraId="6BE82815"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business level most SDGs are covered, with an emphasis on SDG 8 </w:t>
      </w:r>
      <w:r w:rsidRPr="00DE659D">
        <w:rPr>
          <w:i/>
          <w:noProof/>
          <w:color w:val="000000" w:themeColor="text1"/>
          <w:lang w:val="en-US" w:eastAsia="fr-BE"/>
        </w:rPr>
        <w:t>Decent Work and Economic Growth</w:t>
      </w:r>
      <w:r w:rsidRPr="00DE659D">
        <w:rPr>
          <w:noProof/>
          <w:color w:val="000000" w:themeColor="text1"/>
          <w:lang w:val="en-US" w:eastAsia="fr-BE"/>
        </w:rPr>
        <w:t xml:space="preserve">. Three neglected issues can be identified: SDG 9 </w:t>
      </w:r>
      <w:r w:rsidRPr="00DE659D">
        <w:rPr>
          <w:i/>
          <w:noProof/>
          <w:color w:val="000000" w:themeColor="text1"/>
          <w:lang w:val="en-US" w:eastAsia="fr-BE"/>
        </w:rPr>
        <w:t>Industry, Innovation and Infrastructure</w:t>
      </w:r>
      <w:r w:rsidRPr="00DE659D">
        <w:rPr>
          <w:noProof/>
          <w:color w:val="000000" w:themeColor="text1"/>
          <w:lang w:val="en-US" w:eastAsia="fr-BE"/>
        </w:rPr>
        <w:t xml:space="preserve">, SDG 10 </w:t>
      </w:r>
      <w:r w:rsidRPr="00DE659D">
        <w:rPr>
          <w:i/>
          <w:noProof/>
          <w:color w:val="000000" w:themeColor="text1"/>
          <w:lang w:val="en-US" w:eastAsia="fr-BE"/>
        </w:rPr>
        <w:t>Reduced Inequality</w:t>
      </w:r>
      <w:r w:rsidRPr="00DE659D">
        <w:rPr>
          <w:noProof/>
          <w:color w:val="000000" w:themeColor="text1"/>
          <w:lang w:val="en-US" w:eastAsia="fr-BE"/>
        </w:rPr>
        <w:t xml:space="preserve"> and 11 </w:t>
      </w:r>
      <w:r w:rsidRPr="00DE659D">
        <w:rPr>
          <w:i/>
          <w:noProof/>
          <w:color w:val="000000" w:themeColor="text1"/>
          <w:lang w:val="en-US" w:eastAsia="fr-BE"/>
        </w:rPr>
        <w:t>Sustainable Cities and Communities</w:t>
      </w:r>
      <w:r w:rsidRPr="00DE659D">
        <w:rPr>
          <w:noProof/>
          <w:color w:val="000000" w:themeColor="text1"/>
          <w:lang w:val="en-US" w:eastAsia="fr-BE"/>
        </w:rPr>
        <w:t xml:space="preserve">. Indicators on these goals would have been expected as concepts such as industry, innovation, infrastructure or inequality seem directly related to business. If SDG 9 </w:t>
      </w:r>
      <w:r w:rsidRPr="00DE659D">
        <w:rPr>
          <w:i/>
          <w:noProof/>
          <w:color w:val="000000" w:themeColor="text1"/>
          <w:lang w:val="en-US" w:eastAsia="fr-BE"/>
        </w:rPr>
        <w:t>Industry, Innovation and Infrastructure</w:t>
      </w:r>
      <w:r w:rsidRPr="00DE659D">
        <w:rPr>
          <w:noProof/>
          <w:color w:val="000000" w:themeColor="text1"/>
          <w:lang w:val="en-US" w:eastAsia="fr-BE"/>
        </w:rPr>
        <w:t xml:space="preserve"> is absent from quantitative reporting, note that it is present in a more qualitative form among reports. For instance, some green </w:t>
      </w:r>
      <w:r w:rsidRPr="00DE659D">
        <w:rPr>
          <w:noProof/>
          <w:color w:val="000000" w:themeColor="text1"/>
          <w:lang w:val="en-US" w:eastAsia="fr-BE"/>
        </w:rPr>
        <w:lastRenderedPageBreak/>
        <w:t xml:space="preserve">investments or cleaner industrial techniques are described, however, systematic indicators about the sustainability of investment or industrial strategy are not disclosed (except in the case of investments in renewable energy). This is consistent with findings by studies in other sectors, which show little or a moderate degree of reporting on SDG 9 (Moratis </w:t>
      </w:r>
      <w:r w:rsidRPr="00DE659D">
        <w:rPr>
          <w:i/>
          <w:noProof/>
          <w:color w:val="000000" w:themeColor="text1"/>
          <w:lang w:val="en-US" w:eastAsia="fr-BE"/>
        </w:rPr>
        <w:t>et al</w:t>
      </w:r>
      <w:r w:rsidRPr="00DE659D">
        <w:rPr>
          <w:noProof/>
          <w:color w:val="000000" w:themeColor="text1"/>
          <w:lang w:val="en-US" w:eastAsia="fr-BE"/>
        </w:rPr>
        <w:t xml:space="preserve">., 2018). SDG 10 </w:t>
      </w:r>
      <w:r w:rsidRPr="00DE659D">
        <w:rPr>
          <w:i/>
          <w:noProof/>
          <w:color w:val="000000" w:themeColor="text1"/>
          <w:lang w:val="en-US" w:eastAsia="fr-BE"/>
        </w:rPr>
        <w:t>Reduced Inequality</w:t>
      </w:r>
      <w:r w:rsidRPr="00DE659D">
        <w:rPr>
          <w:noProof/>
          <w:color w:val="000000" w:themeColor="text1"/>
          <w:lang w:val="en-US" w:eastAsia="fr-BE"/>
        </w:rPr>
        <w:t xml:space="preserve"> is completely absent from business reporting. This absence is significant, as the rise of inequality in recent years is explained by factors which partly originate from business decisions, such as changing pay norms or the reduced role of trade unions (Atkinson, 2015). Businesses also have the power to act on social inequalities as they can change their value distribution strategy (‘who will benefit from the surplus?’) to reach a more equal distribution (Bapuji </w:t>
      </w:r>
      <w:r w:rsidRPr="00DE659D">
        <w:rPr>
          <w:i/>
          <w:noProof/>
          <w:color w:val="000000" w:themeColor="text1"/>
          <w:lang w:val="en-US" w:eastAsia="fr-BE"/>
        </w:rPr>
        <w:t>et al</w:t>
      </w:r>
      <w:r w:rsidRPr="00DE659D">
        <w:rPr>
          <w:noProof/>
          <w:color w:val="000000" w:themeColor="text1"/>
          <w:lang w:val="en-US" w:eastAsia="fr-BE"/>
        </w:rPr>
        <w:t xml:space="preserve">., 2018). In a SDGs perspective, businesses should certainly improve the disclosure of data on such issues, by accounting for the wage gap, wage/dividend ratio, </w:t>
      </w:r>
      <w:r w:rsidRPr="00DE659D">
        <w:rPr>
          <w:i/>
          <w:noProof/>
          <w:color w:val="000000" w:themeColor="text1"/>
          <w:lang w:val="en-US" w:eastAsia="fr-BE"/>
        </w:rPr>
        <w:t>etc</w:t>
      </w:r>
      <w:r w:rsidRPr="00DE659D">
        <w:rPr>
          <w:noProof/>
          <w:color w:val="000000" w:themeColor="text1"/>
          <w:lang w:val="en-US" w:eastAsia="fr-BE"/>
        </w:rPr>
        <w:t xml:space="preserve">. SDG 11 </w:t>
      </w:r>
      <w:r w:rsidRPr="00DE659D">
        <w:rPr>
          <w:i/>
          <w:noProof/>
          <w:color w:val="000000" w:themeColor="text1"/>
          <w:lang w:val="en-US" w:eastAsia="fr-BE"/>
        </w:rPr>
        <w:t>Sustainable Cities and Communities</w:t>
      </w:r>
      <w:r w:rsidRPr="00DE659D">
        <w:rPr>
          <w:noProof/>
          <w:color w:val="000000" w:themeColor="text1"/>
          <w:lang w:val="en-US" w:eastAsia="fr-BE"/>
        </w:rPr>
        <w:t xml:space="preserve"> is also absent from quantitative reporting. It is present in reports through the highlight of local projects, but not through systematic indicators. This is understandable, as issues covered by this goal are not well-suited for aggregation at the company level, especially when it operates in various cities and communities.</w:t>
      </w:r>
    </w:p>
    <w:p w14:paraId="445690D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Businesses’ top reported goals are SDG 8 </w:t>
      </w:r>
      <w:r w:rsidRPr="00DE659D">
        <w:rPr>
          <w:i/>
          <w:noProof/>
          <w:color w:val="000000" w:themeColor="text1"/>
          <w:lang w:val="en-US" w:eastAsia="fr-BE"/>
        </w:rPr>
        <w:t>Decent Work and Economic Growth</w:t>
      </w:r>
      <w:r w:rsidRPr="00DE659D">
        <w:rPr>
          <w:noProof/>
          <w:color w:val="000000" w:themeColor="text1"/>
          <w:lang w:val="en-US" w:eastAsia="fr-BE"/>
        </w:rPr>
        <w:t xml:space="preserve">, SDG 12 </w:t>
      </w:r>
      <w:r w:rsidRPr="00DE659D">
        <w:rPr>
          <w:i/>
          <w:noProof/>
          <w:color w:val="000000" w:themeColor="text1"/>
          <w:lang w:val="en-US" w:eastAsia="fr-BE"/>
        </w:rPr>
        <w:t>Responsible Consumption and Production</w:t>
      </w:r>
      <w:r w:rsidRPr="00DE659D">
        <w:rPr>
          <w:noProof/>
          <w:color w:val="000000" w:themeColor="text1"/>
          <w:lang w:val="en-US" w:eastAsia="fr-BE"/>
        </w:rPr>
        <w:t xml:space="preserve"> and SDG 16 </w:t>
      </w:r>
      <w:r w:rsidRPr="00DE659D">
        <w:rPr>
          <w:i/>
          <w:noProof/>
          <w:color w:val="000000" w:themeColor="text1"/>
          <w:lang w:val="en-US" w:eastAsia="fr-BE"/>
        </w:rPr>
        <w:t>Peace, Justice and Strong Institutions</w:t>
      </w:r>
      <w:r w:rsidRPr="00DE659D">
        <w:rPr>
          <w:noProof/>
          <w:color w:val="000000" w:themeColor="text1"/>
          <w:lang w:val="en-US" w:eastAsia="fr-BE"/>
        </w:rPr>
        <w:t>. These are goals linked to traditional CSR priorities of businesses. They mainly reflect efficiency gains and labor issues (SDG 8), eco-efficiency (SDG 12) and transparency and diversity issues (SDG 16). Part of what these issues have in common is their association with cost-saving strategies (number of accidents, sick days, eco-efficiency…), while others are about other aspects of sustainability (decent work, clean mobility, environmental sourcing, diversity…).</w:t>
      </w:r>
    </w:p>
    <w:p w14:paraId="47FF281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If national indicators do cover every SDG, it is not the case at the business level. This means that for now there is only a partial alignment of reporting practices at both levels. The national level discloses enough relevant information so that businesses can eventually plan their actions in accordance with national </w:t>
      </w:r>
      <w:r w:rsidRPr="00DE659D">
        <w:rPr>
          <w:noProof/>
          <w:color w:val="000000" w:themeColor="text1"/>
          <w:lang w:val="en-US" w:eastAsia="fr-BE"/>
        </w:rPr>
        <w:lastRenderedPageBreak/>
        <w:t xml:space="preserve">performance. However, the reverse is not the case: national authorities do not have information (at least via business reports) on business contribution to SDGs on several crucial issues, which is particularly striking in the case of SDGs 9 and 10. SDGs could therefore improve the situation by fostering indicator disclosure on missing issues. </w:t>
      </w:r>
    </w:p>
    <w:p w14:paraId="22B2366D" w14:textId="23DCC523" w:rsidR="00DE659D" w:rsidRPr="00DE659D" w:rsidRDefault="00DE659D" w:rsidP="00CE7357">
      <w:pPr>
        <w:pStyle w:val="Titre3"/>
        <w:rPr>
          <w:noProof/>
          <w:lang w:val="en-US" w:eastAsia="fr-BE"/>
        </w:rPr>
      </w:pPr>
      <w:bookmarkStart w:id="59" w:name="_Toc51512293"/>
      <w:r w:rsidRPr="00DE659D">
        <w:rPr>
          <w:noProof/>
          <w:lang w:val="en-US" w:eastAsia="fr-BE"/>
        </w:rPr>
        <w:t>RQ2: Are business and macro level priorities consistent with the performance of one another?</w:t>
      </w:r>
      <w:bookmarkEnd w:id="59"/>
    </w:p>
    <w:p w14:paraId="29DECA4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Having a clear account of measured issues allows us to analyze the performances of actors at a given level on these issues. These performances can then reveal what is missing at each level. Finally, this information can be used by actors from other levels to take actions to tackle unsolved issues. Of course, for-profit companies may have no use for this information. But it is assumed that at least some businesses are genuinely committed to SDGs and are in search of tools to help them do so, for instance to address national weaknesses. Analyzing performance has been done in this section. Using existing data presented in Table 2, what can be said about the current consistency between the performances at each level and the priorities of other levels’ stakeholders?</w:t>
      </w:r>
    </w:p>
    <w:p w14:paraId="630358C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Analyzing performance should be done with caution considering that disclosed information is compromised by communication strategies, as it has already been noted in the literature review. This is a well-known fact, especially at the business level, which has literature dedicated to this topic. Businesses tend to develop strategies to influence user perception by releasing reports on certain issues, by choosing the most favorable indicators (</w:t>
      </w:r>
      <w:r w:rsidRPr="00DE659D">
        <w:rPr>
          <w:i/>
          <w:noProof/>
          <w:color w:val="000000" w:themeColor="text1"/>
          <w:lang w:val="en-US" w:eastAsia="fr-BE"/>
        </w:rPr>
        <w:t>e.g.</w:t>
      </w:r>
      <w:r w:rsidRPr="00DE659D">
        <w:rPr>
          <w:noProof/>
          <w:color w:val="000000" w:themeColor="text1"/>
          <w:lang w:val="en-US" w:eastAsia="fr-BE"/>
        </w:rPr>
        <w:t xml:space="preserve"> pollution per sales rather than absolute pollution levels), by attributing bad performance to others (</w:t>
      </w:r>
      <w:r w:rsidRPr="00DE659D">
        <w:rPr>
          <w:i/>
          <w:noProof/>
          <w:color w:val="000000" w:themeColor="text1"/>
          <w:lang w:val="en-US" w:eastAsia="fr-BE"/>
        </w:rPr>
        <w:t>e.g</w:t>
      </w:r>
      <w:r w:rsidRPr="00DE659D">
        <w:rPr>
          <w:noProof/>
          <w:color w:val="000000" w:themeColor="text1"/>
          <w:lang w:val="en-US" w:eastAsia="fr-BE"/>
        </w:rPr>
        <w:t xml:space="preserve">. suppliers), or by increasing its reading difficulty (Merkl-Davies and Brennan, 2007). At the macro level, reporting is realized by a partially independent body (the FPB) which can hardly be considered accommodating. But at the business level, checks to assure the exhaustiveness, the honesty of a report and the quality of data are limited. A famous example of obfuscation is provided by Boiral in a study in which he shows that 90 percent of negative events </w:t>
      </w:r>
      <w:r w:rsidRPr="00DE659D">
        <w:rPr>
          <w:noProof/>
          <w:color w:val="000000" w:themeColor="text1"/>
          <w:lang w:val="en-US" w:eastAsia="fr-BE"/>
        </w:rPr>
        <w:lastRenderedPageBreak/>
        <w:t>are not clearly reported in the mining sector’s GRI reports. (Boiral, 2013).</w:t>
      </w:r>
    </w:p>
    <w:p w14:paraId="12722A6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Table 2 shows the percentage of unfavorable evolutions per goal. These occur in 18% of cases of SDGs indicators at the macro level and in 7% at the business level. Only the percentage of unfavorable evolutions is reported, as separating the account of favorable and undetermined evolutions faces major issues at the business level</w:t>
      </w:r>
      <w:r w:rsidRPr="00DE659D">
        <w:rPr>
          <w:noProof/>
          <w:color w:val="000000" w:themeColor="text1"/>
          <w:vertAlign w:val="superscript"/>
          <w:lang w:val="en-US" w:eastAsia="fr-BE"/>
        </w:rPr>
        <w:footnoteReference w:id="17"/>
      </w:r>
      <w:r w:rsidRPr="00DE659D">
        <w:rPr>
          <w:noProof/>
          <w:color w:val="000000" w:themeColor="text1"/>
          <w:lang w:val="en-US" w:eastAsia="fr-BE"/>
        </w:rPr>
        <w:t>. An unfavorable evolution is defined as a strict evolution in the opposite direction of SDGs in the years preceding the last measure</w:t>
      </w:r>
      <w:r w:rsidRPr="00DE659D">
        <w:rPr>
          <w:noProof/>
          <w:color w:val="000000" w:themeColor="text1"/>
          <w:vertAlign w:val="superscript"/>
          <w:lang w:val="en-US" w:eastAsia="fr-BE"/>
        </w:rPr>
        <w:footnoteReference w:id="18"/>
      </w:r>
      <w:r w:rsidRPr="00DE659D">
        <w:rPr>
          <w:noProof/>
          <w:color w:val="000000" w:themeColor="text1"/>
          <w:lang w:val="en-US" w:eastAsia="fr-BE"/>
        </w:rPr>
        <w:t xml:space="preserve">. </w:t>
      </w:r>
    </w:p>
    <w:p w14:paraId="40D1964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national level, the top three critical goals are SDG 9 </w:t>
      </w:r>
      <w:r w:rsidRPr="00DE659D">
        <w:rPr>
          <w:i/>
          <w:noProof/>
          <w:color w:val="000000" w:themeColor="text1"/>
          <w:lang w:val="en-US" w:eastAsia="fr-BE"/>
        </w:rPr>
        <w:t>Industry, Innovation and Infrastructure</w:t>
      </w:r>
      <w:r w:rsidRPr="00DE659D">
        <w:rPr>
          <w:noProof/>
          <w:color w:val="000000" w:themeColor="text1"/>
          <w:lang w:val="en-US" w:eastAsia="fr-BE"/>
        </w:rPr>
        <w:t xml:space="preserve">, SDG 10 </w:t>
      </w:r>
      <w:r w:rsidRPr="00DE659D">
        <w:rPr>
          <w:i/>
          <w:noProof/>
          <w:color w:val="000000" w:themeColor="text1"/>
          <w:lang w:val="en-US" w:eastAsia="fr-BE"/>
        </w:rPr>
        <w:t>Reduced Inequality</w:t>
      </w:r>
      <w:r w:rsidRPr="00DE659D">
        <w:rPr>
          <w:noProof/>
          <w:color w:val="000000" w:themeColor="text1"/>
          <w:lang w:val="en-US" w:eastAsia="fr-BE"/>
        </w:rPr>
        <w:t xml:space="preserve"> and SDG 15 </w:t>
      </w:r>
      <w:r w:rsidRPr="00DE659D">
        <w:rPr>
          <w:i/>
          <w:noProof/>
          <w:color w:val="000000" w:themeColor="text1"/>
          <w:lang w:val="en-US" w:eastAsia="fr-BE"/>
        </w:rPr>
        <w:t>Life on Land</w:t>
      </w:r>
      <w:r w:rsidRPr="00DE659D">
        <w:rPr>
          <w:noProof/>
          <w:color w:val="000000" w:themeColor="text1"/>
          <w:lang w:val="en-US" w:eastAsia="fr-BE"/>
        </w:rPr>
        <w:t xml:space="preserve">. They are characterized by respectively 50%, 43% and 50% of indicators showing an unfavorable evolution. A detail of the unfavorable evolution per indicator is provided in Table 6 in Appendix. It shows that the negative performances relate to increases in terms of road transport, risk of poverty-led inequality, and biodiversity loss. Take into account that when they exist, the same indicators calculated at the EU28 level show trends similar to Belgian ones (FPB, 2020). SDGs actions by businesses aiming to tackle national weaknesses should thus make sure to act on these issues. Is this the case? </w:t>
      </w:r>
    </w:p>
    <w:p w14:paraId="437EC1A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The increase in road transport is an issue present at the business level under the form of various indicators of mobility and transportation. In our sample of businesses, 60% of reports show at least one indicator linked to mobility and transportation. Among these indicators, 29% are characterized by an unfavorable evolution (see table 5 in Appendix). SDG 10 </w:t>
      </w:r>
      <w:r w:rsidRPr="00DE659D">
        <w:rPr>
          <w:i/>
          <w:noProof/>
          <w:color w:val="000000" w:themeColor="text1"/>
          <w:lang w:val="en-US" w:eastAsia="fr-BE"/>
        </w:rPr>
        <w:t>Reduced Inequality</w:t>
      </w:r>
      <w:r w:rsidRPr="00DE659D">
        <w:rPr>
          <w:noProof/>
          <w:color w:val="000000" w:themeColor="text1"/>
          <w:lang w:val="en-US" w:eastAsia="fr-BE"/>
        </w:rPr>
        <w:t xml:space="preserve"> is a neglected issue for which no business indicators exist. It is therefore impossible to assess its evolution. In regards to biodiversity, some indicators on the share of products respecting ecosystems and biodiversity on land </w:t>
      </w:r>
      <w:r w:rsidRPr="00DE659D">
        <w:rPr>
          <w:noProof/>
          <w:color w:val="000000" w:themeColor="text1"/>
          <w:lang w:val="en-US" w:eastAsia="fr-BE"/>
        </w:rPr>
        <w:lastRenderedPageBreak/>
        <w:t xml:space="preserve">exist in most retail companies (5 out of 6), but is completely absent from pharmaceutical ones (0 out of 5) (see table 5 in Appendix). However, note that in the retail sector, indicators are about specific goods such as cocoa and coffee but not about main products such as fruits, vegetables, starchy foods or meat. </w:t>
      </w:r>
    </w:p>
    <w:p w14:paraId="70D76B9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summary, business priorities in terms of sustainability do not appear to focus on national weaknesses in terms of SDGs if the absence of reporting can be taken as a proxy for the absence of priority. This potentially explains why these national weaknesses do not improve or get worse, and it offers room for improved SDGs reporting and actions. </w:t>
      </w:r>
    </w:p>
    <w:p w14:paraId="134891B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business level, unfavorable evolutions are mainly located in SDG 6 </w:t>
      </w:r>
      <w:r w:rsidRPr="00DE659D">
        <w:rPr>
          <w:i/>
          <w:noProof/>
          <w:color w:val="000000" w:themeColor="text1"/>
          <w:lang w:val="en-US" w:eastAsia="fr-BE"/>
        </w:rPr>
        <w:t>Clean Water and Sanitation</w:t>
      </w:r>
      <w:r w:rsidRPr="00DE659D">
        <w:rPr>
          <w:noProof/>
          <w:color w:val="000000" w:themeColor="text1"/>
          <w:lang w:val="en-US" w:eastAsia="fr-BE"/>
        </w:rPr>
        <w:t xml:space="preserve"> and to a lesser extent in SDG 3 </w:t>
      </w:r>
      <w:r w:rsidRPr="00DE659D">
        <w:rPr>
          <w:i/>
          <w:noProof/>
          <w:color w:val="000000" w:themeColor="text1"/>
          <w:lang w:val="en-US" w:eastAsia="fr-BE"/>
        </w:rPr>
        <w:t>Good Health and Well-being</w:t>
      </w:r>
      <w:r w:rsidRPr="00DE659D">
        <w:rPr>
          <w:noProof/>
          <w:color w:val="000000" w:themeColor="text1"/>
          <w:lang w:val="en-US" w:eastAsia="fr-BE"/>
        </w:rPr>
        <w:t xml:space="preserve">, SDG 8 </w:t>
      </w:r>
      <w:r w:rsidRPr="00DE659D">
        <w:rPr>
          <w:i/>
          <w:noProof/>
          <w:color w:val="000000" w:themeColor="text1"/>
          <w:lang w:val="en-US" w:eastAsia="fr-BE"/>
        </w:rPr>
        <w:t>Decent Work and Economic Growth</w:t>
      </w:r>
      <w:r w:rsidRPr="00DE659D">
        <w:rPr>
          <w:noProof/>
          <w:color w:val="000000" w:themeColor="text1"/>
          <w:lang w:val="en-US" w:eastAsia="fr-BE"/>
        </w:rPr>
        <w:t xml:space="preserve"> and SDG 13</w:t>
      </w:r>
      <w:r w:rsidRPr="00DE659D">
        <w:rPr>
          <w:i/>
          <w:noProof/>
          <w:color w:val="000000" w:themeColor="text1"/>
          <w:lang w:val="en-US" w:eastAsia="fr-BE"/>
        </w:rPr>
        <w:t xml:space="preserve"> Climate Action</w:t>
      </w:r>
      <w:r w:rsidRPr="00DE659D">
        <w:rPr>
          <w:noProof/>
          <w:color w:val="000000" w:themeColor="text1"/>
          <w:lang w:val="en-US" w:eastAsia="fr-BE"/>
        </w:rPr>
        <w:t>. They are characterized by respectively 45%, 14%, 13% and 15% of indicators showing an unfavorable evolution</w:t>
      </w:r>
      <w:r w:rsidRPr="00DE659D">
        <w:rPr>
          <w:noProof/>
          <w:color w:val="000000" w:themeColor="text1"/>
          <w:vertAlign w:val="superscript"/>
          <w:lang w:val="en-US" w:eastAsia="fr-BE"/>
        </w:rPr>
        <w:footnoteReference w:id="19"/>
      </w:r>
      <w:r w:rsidRPr="00DE659D">
        <w:rPr>
          <w:noProof/>
          <w:color w:val="000000" w:themeColor="text1"/>
          <w:lang w:val="en-US" w:eastAsia="fr-BE"/>
        </w:rPr>
        <w:t xml:space="preserve">. They are mainly concentrated in four indicators: Water use (unfavorable evolution in 71% of cases), Greenhouse gas emissions (27%), Occupational health and safety (30%), Clean mobility and transportation (29%), Sustainable waste management (20%). Unfavorable evolutions in health and safety correspond to an increase of accidents or sick leave per employee, while the increases in terms of water use, carbon emissions, transport and waste generation can in all these cases be attributed to an increase in business production superior to eventual efficiency gains. This highlights the presence of rebound effects which negate efficiency gains in these cases (Jones </w:t>
      </w:r>
      <w:r w:rsidRPr="00DE659D">
        <w:rPr>
          <w:i/>
          <w:noProof/>
          <w:color w:val="000000" w:themeColor="text1"/>
          <w:lang w:val="en-US" w:eastAsia="fr-BE"/>
        </w:rPr>
        <w:t>et al</w:t>
      </w:r>
      <w:r w:rsidRPr="00DE659D">
        <w:rPr>
          <w:noProof/>
          <w:color w:val="000000" w:themeColor="text1"/>
          <w:lang w:val="en-US" w:eastAsia="fr-BE"/>
        </w:rPr>
        <w:t>., 2009). Keep in mind that unfavorable evolutions may occur in more than 7% of cases at the business level, but are not present in our account due to obfuscation strategies described above.</w:t>
      </w:r>
    </w:p>
    <w:p w14:paraId="620A38E5"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Despite the lack of business data on several goals and issues, an analysis of performances already shows which goals should require special attention from businesses committed to SDGs. It also highlights critical issues at the national level that may not be addressed voluntarily by companies, and for which regulation or planning would be necessary if some seek improvements.</w:t>
      </w:r>
    </w:p>
    <w:p w14:paraId="3D35A439" w14:textId="277A644D" w:rsidR="00DE659D" w:rsidRPr="00DE659D" w:rsidRDefault="00DE659D" w:rsidP="00DE659D">
      <w:pPr>
        <w:pStyle w:val="Titre2"/>
        <w:rPr>
          <w:noProof/>
          <w:lang w:val="en-US" w:eastAsia="fr-BE"/>
        </w:rPr>
      </w:pPr>
      <w:bookmarkStart w:id="60" w:name="_Toc51512294"/>
      <w:r w:rsidRPr="00DE659D">
        <w:rPr>
          <w:noProof/>
          <w:lang w:val="en-US" w:eastAsia="fr-BE"/>
        </w:rPr>
        <w:t>Analyzing the consistency of national and businesses’ sustainability targets</w:t>
      </w:r>
      <w:bookmarkEnd w:id="60"/>
      <w:r w:rsidRPr="00DE659D">
        <w:rPr>
          <w:noProof/>
          <w:lang w:val="en-US" w:eastAsia="fr-BE"/>
        </w:rPr>
        <w:t xml:space="preserve"> </w:t>
      </w:r>
    </w:p>
    <w:p w14:paraId="4DEA024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The next step to improve coordination between government and businesses is through the alignment of targets among these stakeholders, or more precisely between the two levels (macro and micro) at which these stakeholders operate. If one of the roles of SDGs is to guide various actors in the same direction, it is important that their degree of ambition, and thus their targets, is aligned. This is particularly important to ensure that the actions of businesses and governments moving in the direction of SDGs are moving fast enough. This section reviews the conditions for such alignment of targets, and analyzes how it is done when sufficient data is available (GHG emissions).</w:t>
      </w:r>
    </w:p>
    <w:p w14:paraId="256693B9" w14:textId="5F15A7E3" w:rsidR="00DE659D" w:rsidRPr="00DE659D" w:rsidRDefault="00DE659D" w:rsidP="00CE7357">
      <w:pPr>
        <w:pStyle w:val="Titre3"/>
        <w:rPr>
          <w:noProof/>
          <w:lang w:val="en-US" w:eastAsia="fr-BE"/>
        </w:rPr>
      </w:pPr>
      <w:bookmarkStart w:id="61" w:name="_Toc51512295"/>
      <w:r w:rsidRPr="00DE659D">
        <w:rPr>
          <w:noProof/>
          <w:lang w:val="en-US" w:eastAsia="fr-BE"/>
        </w:rPr>
        <w:t>RQ3: Which sustainability indicators are accompanied by targets at both the national and business levels?</w:t>
      </w:r>
      <w:bookmarkEnd w:id="61"/>
    </w:p>
    <w:p w14:paraId="6B3DD49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order to allow consistent targets across levels, the same indicators connected with targets must first be measured at these levels. It is only when the measured element is identical at both levels (and with a similar methodology) that the disaggregation of the macro-level targets and micro-level targets can be done rigorously. This refers to an ‘accounting articulation’ as described in the first paper of this thesis. Hence, the number of accidents at work is an element which can be measured in the exact same way both at the national and the business level. On the contrary, an indicator such as life expectancy relates only to the macro level, and measuring life expectancy (and developing targets on it) at the business level would have little meaning. </w:t>
      </w:r>
    </w:p>
    <w:p w14:paraId="3E1130B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From the FPB’s list of 84 national SDGs indicators, one-third (28) can theoretically also be measured at the business level. This proportion could be higher. One may think that, for example, the macro indicators would incorporate a set of indicators from the business level (to steer it), but this is not the case. This partly reflects the current weak coordination between these levels. These 28 indicators are shown in Table 6 in Appendix. Consistent targets across levels are thus possible for this subset of 28 indicators (half of them being environmental indicators). In practice, FPB calculates targets for 11 of them, and businesses for 10 of them. Which ones are they?</w:t>
      </w:r>
    </w:p>
    <w:p w14:paraId="3485EB1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Table 3 shows indicators (1) which are identical at the business and the macro level and (2) which are accompanied by targets at at least one of these levels. National targets are all inspired or directly derived from the SDGs, while business targets are set independently. The business target column shows the number of businesses which set a target for a given indicator, out of the 11 businesses under study.</w:t>
      </w:r>
    </w:p>
    <w:p w14:paraId="64863B0D" w14:textId="77777777" w:rsidR="006B5D8C" w:rsidRPr="00DE659D" w:rsidRDefault="006B5D8C" w:rsidP="006B5D8C">
      <w:pPr>
        <w:rPr>
          <w:noProof/>
          <w:color w:val="000000" w:themeColor="text1"/>
          <w:lang w:val="en-US" w:eastAsia="fr-BE"/>
        </w:rPr>
      </w:pPr>
      <w:r w:rsidRPr="00DE659D">
        <w:rPr>
          <w:noProof/>
          <w:color w:val="000000" w:themeColor="text1"/>
          <w:lang w:val="en-US" w:eastAsia="fr-BE"/>
        </w:rPr>
        <w:t>First, Table 3 shows that the use of targets is far from systematic, especially at the business level. A low use of targets is not necessarily a problem because some actions do not need targets to be implemented. However, targets are important if one aims to address the SDGs agenda, which imposes a certain number of achievements for 2030. For example, this is the case in the objectives to eradicate gender discrimination, to double energy efficiency or to substantially increase water-use efficiency by 2030. These objectives require substantial efforts, the pace of which can only be assessed by targets. Unfortunately, these targets are missing in many cases. This reflects a lack of consideration for the speed of implementation of SDGs.</w:t>
      </w:r>
    </w:p>
    <w:p w14:paraId="0DFADEE2" w14:textId="77777777" w:rsidR="00D440C7" w:rsidRDefault="00D440C7">
      <w:pPr>
        <w:spacing w:line="259" w:lineRule="auto"/>
        <w:ind w:firstLine="0"/>
        <w:jc w:val="left"/>
        <w:rPr>
          <w:noProof/>
          <w:color w:val="000000" w:themeColor="text1"/>
          <w:lang w:val="en-US" w:eastAsia="fr-BE"/>
        </w:rPr>
      </w:pPr>
      <w:r>
        <w:rPr>
          <w:noProof/>
          <w:color w:val="000000" w:themeColor="text1"/>
          <w:lang w:val="en-US" w:eastAsia="fr-BE"/>
        </w:rPr>
        <w:br w:type="page"/>
      </w:r>
    </w:p>
    <w:p w14:paraId="6F7075C7" w14:textId="42F00BA0"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Table 3: Indicators accompanied by targets at the national and the business level</w:t>
      </w:r>
      <w:r w:rsidRPr="00DE659D">
        <w:rPr>
          <w:noProof/>
          <w:color w:val="000000" w:themeColor="text1"/>
          <w:vertAlign w:val="superscript"/>
          <w:lang w:val="en-US" w:eastAsia="fr-BE"/>
        </w:rPr>
        <w:footnoteReference w:id="20"/>
      </w:r>
    </w:p>
    <w:tbl>
      <w:tblPr>
        <w:tblStyle w:val="TableauGrille1Clair-Accentuation31"/>
        <w:tblW w:w="5000" w:type="pct"/>
        <w:tblLook w:val="04A0" w:firstRow="1" w:lastRow="0" w:firstColumn="1" w:lastColumn="0" w:noHBand="0" w:noVBand="1"/>
      </w:tblPr>
      <w:tblGrid>
        <w:gridCol w:w="985"/>
        <w:gridCol w:w="2822"/>
        <w:gridCol w:w="1395"/>
        <w:gridCol w:w="2158"/>
      </w:tblGrid>
      <w:tr w:rsidR="00DE659D" w:rsidRPr="008638F9" w14:paraId="44ADE167" w14:textId="77777777" w:rsidTr="008638F9">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37" w:type="pct"/>
          </w:tcPr>
          <w:p w14:paraId="4863354D"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SDG</w:t>
            </w:r>
          </w:p>
        </w:tc>
        <w:tc>
          <w:tcPr>
            <w:tcW w:w="2725" w:type="pct"/>
            <w:noWrap/>
            <w:hideMark/>
          </w:tcPr>
          <w:p w14:paraId="210094EE" w14:textId="77777777" w:rsidR="00DE659D" w:rsidRPr="008638F9" w:rsidRDefault="00DE659D" w:rsidP="00DE659D">
            <w:pP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Indicator</w:t>
            </w:r>
          </w:p>
        </w:tc>
        <w:tc>
          <w:tcPr>
            <w:tcW w:w="670" w:type="pct"/>
            <w:noWrap/>
            <w:hideMark/>
          </w:tcPr>
          <w:p w14:paraId="2E5E2CA7" w14:textId="17E12736" w:rsidR="00DE659D" w:rsidRPr="008638F9" w:rsidRDefault="00DE659D" w:rsidP="006B5D8C">
            <w:pPr>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National</w:t>
            </w:r>
          </w:p>
          <w:p w14:paraId="6DE3D35D" w14:textId="77777777" w:rsidR="00DE659D" w:rsidRPr="008638F9" w:rsidRDefault="00DE659D" w:rsidP="006B5D8C">
            <w:pPr>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target?</w:t>
            </w:r>
          </w:p>
        </w:tc>
        <w:tc>
          <w:tcPr>
            <w:tcW w:w="1168" w:type="pct"/>
            <w:noWrap/>
            <w:hideMark/>
          </w:tcPr>
          <w:p w14:paraId="583088AD" w14:textId="77777777" w:rsidR="00DE659D" w:rsidRPr="008638F9" w:rsidRDefault="00DE659D" w:rsidP="006B5D8C">
            <w:pPr>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Business target?</w:t>
            </w:r>
          </w:p>
          <w:p w14:paraId="58F83248" w14:textId="77777777" w:rsidR="00DE659D" w:rsidRPr="008638F9" w:rsidRDefault="00DE659D" w:rsidP="006B5D8C">
            <w:pPr>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(out of 11)</w:t>
            </w:r>
          </w:p>
        </w:tc>
      </w:tr>
      <w:tr w:rsidR="00DE659D" w:rsidRPr="008638F9" w14:paraId="17529EDA"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5DACFFD0"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5</w:t>
            </w:r>
          </w:p>
        </w:tc>
        <w:tc>
          <w:tcPr>
            <w:tcW w:w="2725" w:type="pct"/>
            <w:hideMark/>
          </w:tcPr>
          <w:p w14:paraId="50DEAEC5" w14:textId="084EAA50"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Gender pay gap</w:t>
            </w:r>
          </w:p>
        </w:tc>
        <w:tc>
          <w:tcPr>
            <w:tcW w:w="670" w:type="pct"/>
            <w:noWrap/>
            <w:hideMark/>
          </w:tcPr>
          <w:p w14:paraId="09E39E1A"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7C34F973"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r>
      <w:tr w:rsidR="00DE659D" w:rsidRPr="008638F9" w14:paraId="4A71B963"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57A4BE3A"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6</w:t>
            </w:r>
          </w:p>
        </w:tc>
        <w:tc>
          <w:tcPr>
            <w:tcW w:w="2725" w:type="pct"/>
          </w:tcPr>
          <w:p w14:paraId="66229747" w14:textId="0D9E5CE0"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Water consumption</w:t>
            </w:r>
          </w:p>
        </w:tc>
        <w:tc>
          <w:tcPr>
            <w:tcW w:w="670" w:type="pct"/>
            <w:noWrap/>
          </w:tcPr>
          <w:p w14:paraId="58126153"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tcPr>
          <w:p w14:paraId="542C8185"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r>
      <w:tr w:rsidR="00DE659D" w:rsidRPr="008638F9" w14:paraId="02EB8B85"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07E1DE4A"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7</w:t>
            </w:r>
          </w:p>
        </w:tc>
        <w:tc>
          <w:tcPr>
            <w:tcW w:w="2725" w:type="pct"/>
            <w:hideMark/>
          </w:tcPr>
          <w:p w14:paraId="7F196FC1" w14:textId="19C09C93"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Primary energy consumption</w:t>
            </w:r>
          </w:p>
        </w:tc>
        <w:tc>
          <w:tcPr>
            <w:tcW w:w="670" w:type="pct"/>
            <w:noWrap/>
            <w:hideMark/>
          </w:tcPr>
          <w:p w14:paraId="0DE14C22"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No</w:t>
            </w:r>
          </w:p>
        </w:tc>
        <w:tc>
          <w:tcPr>
            <w:tcW w:w="1168" w:type="pct"/>
            <w:noWrap/>
            <w:hideMark/>
          </w:tcPr>
          <w:p w14:paraId="17326223"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r>
      <w:tr w:rsidR="00DE659D" w:rsidRPr="008638F9" w14:paraId="79875CA4"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215426A4"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7</w:t>
            </w:r>
          </w:p>
        </w:tc>
        <w:tc>
          <w:tcPr>
            <w:tcW w:w="2725" w:type="pct"/>
            <w:hideMark/>
          </w:tcPr>
          <w:p w14:paraId="345B1355" w14:textId="70697967"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Share of renewable energy</w:t>
            </w:r>
          </w:p>
        </w:tc>
        <w:tc>
          <w:tcPr>
            <w:tcW w:w="670" w:type="pct"/>
            <w:noWrap/>
          </w:tcPr>
          <w:p w14:paraId="250185BD"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46745FAD"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3</w:t>
            </w:r>
          </w:p>
        </w:tc>
      </w:tr>
      <w:tr w:rsidR="00DE659D" w:rsidRPr="008638F9" w14:paraId="0FB4DC7A"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58F9F5E4"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7</w:t>
            </w:r>
          </w:p>
        </w:tc>
        <w:tc>
          <w:tcPr>
            <w:tcW w:w="2725" w:type="pct"/>
            <w:hideMark/>
          </w:tcPr>
          <w:p w14:paraId="085AFE7A" w14:textId="1579B51D"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Energy productivity</w:t>
            </w:r>
          </w:p>
        </w:tc>
        <w:tc>
          <w:tcPr>
            <w:tcW w:w="670" w:type="pct"/>
            <w:noWrap/>
          </w:tcPr>
          <w:p w14:paraId="25E14F36"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4FA889A2"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r>
      <w:tr w:rsidR="00DE659D" w:rsidRPr="008638F9" w14:paraId="06AE7061"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287AF8E2"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8</w:t>
            </w:r>
          </w:p>
        </w:tc>
        <w:tc>
          <w:tcPr>
            <w:tcW w:w="2725" w:type="pct"/>
            <w:hideMark/>
          </w:tcPr>
          <w:p w14:paraId="10AAB14C" w14:textId="3D307B7E"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Number of accidents at work</w:t>
            </w:r>
          </w:p>
        </w:tc>
        <w:tc>
          <w:tcPr>
            <w:tcW w:w="670" w:type="pct"/>
            <w:noWrap/>
          </w:tcPr>
          <w:p w14:paraId="7F60771D"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32C690D1"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r>
      <w:tr w:rsidR="00DE659D" w:rsidRPr="008638F9" w14:paraId="048F2993"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6D19F388"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9</w:t>
            </w:r>
          </w:p>
        </w:tc>
        <w:tc>
          <w:tcPr>
            <w:tcW w:w="2725" w:type="pct"/>
            <w:hideMark/>
          </w:tcPr>
          <w:p w14:paraId="17A08E63" w14:textId="438F7A43"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Share of passenger transport by car</w:t>
            </w:r>
          </w:p>
        </w:tc>
        <w:tc>
          <w:tcPr>
            <w:tcW w:w="670" w:type="pct"/>
            <w:noWrap/>
          </w:tcPr>
          <w:p w14:paraId="058327B0"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13963580"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r>
      <w:tr w:rsidR="00DE659D" w:rsidRPr="008638F9" w14:paraId="5A174675"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033A971E"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9</w:t>
            </w:r>
          </w:p>
        </w:tc>
        <w:tc>
          <w:tcPr>
            <w:tcW w:w="2725" w:type="pct"/>
            <w:hideMark/>
          </w:tcPr>
          <w:p w14:paraId="79C3FB8A" w14:textId="581A8731"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Share of road freight transport</w:t>
            </w:r>
          </w:p>
        </w:tc>
        <w:tc>
          <w:tcPr>
            <w:tcW w:w="670" w:type="pct"/>
            <w:noWrap/>
          </w:tcPr>
          <w:p w14:paraId="6E95CC54"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03CC925A"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2</w:t>
            </w:r>
          </w:p>
        </w:tc>
      </w:tr>
      <w:tr w:rsidR="00DE659D" w:rsidRPr="008638F9" w14:paraId="6AFFFC65"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49F6E672"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9</w:t>
            </w:r>
          </w:p>
        </w:tc>
        <w:tc>
          <w:tcPr>
            <w:tcW w:w="2725" w:type="pct"/>
            <w:hideMark/>
          </w:tcPr>
          <w:p w14:paraId="1FF38B7E" w14:textId="6C6E2F2E"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Investment in research and development</w:t>
            </w:r>
          </w:p>
        </w:tc>
        <w:tc>
          <w:tcPr>
            <w:tcW w:w="670" w:type="pct"/>
            <w:noWrap/>
          </w:tcPr>
          <w:p w14:paraId="5D3B1FB6"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403C7923"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r>
      <w:tr w:rsidR="00DE659D" w:rsidRPr="008638F9" w14:paraId="68F9A9FB"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79828FDF"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12</w:t>
            </w:r>
          </w:p>
        </w:tc>
        <w:tc>
          <w:tcPr>
            <w:tcW w:w="2725" w:type="pct"/>
            <w:hideMark/>
          </w:tcPr>
          <w:p w14:paraId="20D64E7B" w14:textId="6D448E1F"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Hazardous waste emission</w:t>
            </w:r>
          </w:p>
        </w:tc>
        <w:tc>
          <w:tcPr>
            <w:tcW w:w="670" w:type="pct"/>
            <w:noWrap/>
            <w:hideMark/>
          </w:tcPr>
          <w:p w14:paraId="588D90E2"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No</w:t>
            </w:r>
          </w:p>
        </w:tc>
        <w:tc>
          <w:tcPr>
            <w:tcW w:w="1168" w:type="pct"/>
            <w:noWrap/>
            <w:hideMark/>
          </w:tcPr>
          <w:p w14:paraId="49FC23E3"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w:t>
            </w:r>
          </w:p>
        </w:tc>
      </w:tr>
      <w:tr w:rsidR="00DE659D" w:rsidRPr="008638F9" w14:paraId="2D549865"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4CFAFF50"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13</w:t>
            </w:r>
          </w:p>
        </w:tc>
        <w:tc>
          <w:tcPr>
            <w:tcW w:w="2725" w:type="pct"/>
            <w:hideMark/>
          </w:tcPr>
          <w:p w14:paraId="542186F0" w14:textId="64EC2139"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Greenhouse gas emissions non-ETS</w:t>
            </w:r>
          </w:p>
        </w:tc>
        <w:tc>
          <w:tcPr>
            <w:tcW w:w="670" w:type="pct"/>
            <w:noWrap/>
          </w:tcPr>
          <w:p w14:paraId="25428E17"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0551C739"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10</w:t>
            </w:r>
          </w:p>
        </w:tc>
      </w:tr>
      <w:tr w:rsidR="00DE659D" w:rsidRPr="008638F9" w14:paraId="7F668785"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2167277F"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14</w:t>
            </w:r>
          </w:p>
        </w:tc>
        <w:tc>
          <w:tcPr>
            <w:tcW w:w="2725" w:type="pct"/>
            <w:hideMark/>
          </w:tcPr>
          <w:p w14:paraId="0D62ED96" w14:textId="551F48DE"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Oil pollution</w:t>
            </w:r>
          </w:p>
        </w:tc>
        <w:tc>
          <w:tcPr>
            <w:tcW w:w="670" w:type="pct"/>
            <w:noWrap/>
          </w:tcPr>
          <w:p w14:paraId="27413AAE"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0C74FEFA"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0</w:t>
            </w:r>
          </w:p>
        </w:tc>
      </w:tr>
      <w:tr w:rsidR="00DE659D" w:rsidRPr="008638F9" w14:paraId="5526C06F"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1B69FD31"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14</w:t>
            </w:r>
          </w:p>
        </w:tc>
        <w:tc>
          <w:tcPr>
            <w:tcW w:w="2725" w:type="pct"/>
            <w:hideMark/>
          </w:tcPr>
          <w:p w14:paraId="4C230EA7" w14:textId="7AA428B7"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Share of sustainable fishes</w:t>
            </w:r>
          </w:p>
        </w:tc>
        <w:tc>
          <w:tcPr>
            <w:tcW w:w="670" w:type="pct"/>
            <w:noWrap/>
          </w:tcPr>
          <w:p w14:paraId="77F5EBF0"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30695D22"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5</w:t>
            </w:r>
          </w:p>
        </w:tc>
      </w:tr>
      <w:tr w:rsidR="00DE659D" w:rsidRPr="008638F9" w14:paraId="1BF388D2" w14:textId="77777777" w:rsidTr="008638F9">
        <w:trPr>
          <w:trHeight w:val="288"/>
        </w:trPr>
        <w:tc>
          <w:tcPr>
            <w:cnfStyle w:val="001000000000" w:firstRow="0" w:lastRow="0" w:firstColumn="1" w:lastColumn="0" w:oddVBand="0" w:evenVBand="0" w:oddHBand="0" w:evenHBand="0" w:firstRowFirstColumn="0" w:firstRowLastColumn="0" w:lastRowFirstColumn="0" w:lastRowLastColumn="0"/>
            <w:tcW w:w="437" w:type="pct"/>
          </w:tcPr>
          <w:p w14:paraId="4AB14F6B" w14:textId="77777777" w:rsidR="00DE659D" w:rsidRPr="008638F9" w:rsidRDefault="00DE659D" w:rsidP="00DE659D">
            <w:pPr>
              <w:rPr>
                <w:noProof/>
                <w:color w:val="000000" w:themeColor="text1"/>
                <w:sz w:val="24"/>
                <w:lang w:val="en-US" w:eastAsia="fr-BE"/>
              </w:rPr>
            </w:pPr>
            <w:r w:rsidRPr="008638F9">
              <w:rPr>
                <w:noProof/>
                <w:color w:val="000000" w:themeColor="text1"/>
                <w:sz w:val="24"/>
                <w:lang w:val="en-US" w:eastAsia="fr-BE"/>
              </w:rPr>
              <w:t>15</w:t>
            </w:r>
          </w:p>
        </w:tc>
        <w:tc>
          <w:tcPr>
            <w:tcW w:w="2725" w:type="pct"/>
            <w:hideMark/>
          </w:tcPr>
          <w:p w14:paraId="0F40A7B2" w14:textId="4BC2C0E9" w:rsidR="00DE659D" w:rsidRPr="008638F9" w:rsidRDefault="00DE659D" w:rsidP="008638F9">
            <w:pPr>
              <w:ind w:firstLine="30"/>
              <w:jc w:val="left"/>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Share of forests with FSC label</w:t>
            </w:r>
          </w:p>
        </w:tc>
        <w:tc>
          <w:tcPr>
            <w:tcW w:w="670" w:type="pct"/>
            <w:noWrap/>
          </w:tcPr>
          <w:p w14:paraId="3E6E19C0"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Yes</w:t>
            </w:r>
          </w:p>
        </w:tc>
        <w:tc>
          <w:tcPr>
            <w:tcW w:w="1168" w:type="pct"/>
            <w:noWrap/>
            <w:hideMark/>
          </w:tcPr>
          <w:p w14:paraId="20DEBC89" w14:textId="77777777" w:rsidR="00DE659D" w:rsidRPr="008638F9" w:rsidRDefault="00DE659D" w:rsidP="006B5D8C">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8638F9">
              <w:rPr>
                <w:noProof/>
                <w:color w:val="000000" w:themeColor="text1"/>
                <w:sz w:val="24"/>
                <w:lang w:val="en-US" w:eastAsia="fr-BE"/>
              </w:rPr>
              <w:t>4</w:t>
            </w:r>
          </w:p>
        </w:tc>
      </w:tr>
    </w:tbl>
    <w:p w14:paraId="68D4AAD7" w14:textId="77777777" w:rsidR="00DE659D" w:rsidRPr="00DE659D" w:rsidRDefault="00DE659D" w:rsidP="00DE659D">
      <w:pPr>
        <w:rPr>
          <w:noProof/>
          <w:color w:val="000000" w:themeColor="text1"/>
          <w:lang w:val="en-US" w:eastAsia="fr-BE"/>
        </w:rPr>
      </w:pPr>
      <w:r w:rsidRPr="00DE659D">
        <w:rPr>
          <w:noProof/>
          <w:color w:val="000000" w:themeColor="text1"/>
          <w:vertAlign w:val="superscript"/>
          <w:lang w:val="en-US" w:eastAsia="fr-BE"/>
        </w:rPr>
        <w:t xml:space="preserve">       </w:t>
      </w:r>
    </w:p>
    <w:p w14:paraId="55C7AC1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Note that a low use of targets is also observable when all indicators are taken into account, not only those shown in Table 3 (see Appendix for this data). However, when all indicators are considered, businesses tend to develop more targets. </w:t>
      </w:r>
    </w:p>
    <w:p w14:paraId="6821BCE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 xml:space="preserve">Second, take into account that targets do not cover the same indicators at both levels. Only greenhouse gas emissions targets are extensively reported at both the national and the business level. This is probably due to the rise of climate issues, to the fact that lower carbon emissions can be achieved through cost-saving measures, as well as to the existence of the movement </w:t>
      </w:r>
      <w:r w:rsidRPr="00DE659D">
        <w:rPr>
          <w:i/>
          <w:noProof/>
          <w:color w:val="000000" w:themeColor="text1"/>
          <w:lang w:val="en-US" w:eastAsia="fr-BE"/>
        </w:rPr>
        <w:t>Science-based targets</w:t>
      </w:r>
      <w:r w:rsidRPr="00DE659D">
        <w:rPr>
          <w:noProof/>
          <w:color w:val="000000" w:themeColor="text1"/>
          <w:lang w:val="en-US" w:eastAsia="fr-BE"/>
        </w:rPr>
        <w:t xml:space="preserve"> which fostered the development of carbon targets among businesses (half of the businesses under study received support from the </w:t>
      </w:r>
      <w:r w:rsidRPr="00DE659D">
        <w:rPr>
          <w:i/>
          <w:noProof/>
          <w:color w:val="000000" w:themeColor="text1"/>
          <w:lang w:val="en-US" w:eastAsia="fr-BE"/>
        </w:rPr>
        <w:t>Science-based target initiative</w:t>
      </w:r>
      <w:r w:rsidRPr="00DE659D">
        <w:rPr>
          <w:noProof/>
          <w:color w:val="000000" w:themeColor="text1"/>
          <w:lang w:val="en-US" w:eastAsia="fr-BE"/>
        </w:rPr>
        <w:t xml:space="preserve">). The share of sustainable </w:t>
      </w:r>
      <w:r w:rsidRPr="00DE659D">
        <w:rPr>
          <w:noProof/>
          <w:color w:val="000000" w:themeColor="text1"/>
          <w:lang w:val="hu-HU" w:eastAsia="fr-BE"/>
        </w:rPr>
        <w:t>fishes</w:t>
      </w:r>
      <w:r w:rsidRPr="00DE659D">
        <w:rPr>
          <w:noProof/>
          <w:color w:val="000000" w:themeColor="text1"/>
          <w:lang w:val="en-US" w:eastAsia="fr-BE"/>
        </w:rPr>
        <w:t xml:space="preserve"> and forests can also be considered well-covered by targets at both levels if we limit ourselves to companies in the retail sector, for which such variables are relevant. In this case, it turns out that five and four (out of six) retail sector companies respectively report their percentage of </w:t>
      </w:r>
      <w:r w:rsidRPr="00DE659D">
        <w:rPr>
          <w:noProof/>
          <w:color w:val="000000" w:themeColor="text1"/>
          <w:lang w:val="hu-HU" w:eastAsia="fr-BE"/>
        </w:rPr>
        <w:t>sustainable fish and forests</w:t>
      </w:r>
      <w:r w:rsidRPr="00DE659D">
        <w:rPr>
          <w:noProof/>
          <w:color w:val="000000" w:themeColor="text1"/>
          <w:vertAlign w:val="superscript"/>
          <w:lang w:val="en-US" w:eastAsia="fr-BE"/>
        </w:rPr>
        <w:footnoteReference w:id="21"/>
      </w:r>
      <w:r w:rsidRPr="00DE659D">
        <w:rPr>
          <w:noProof/>
          <w:color w:val="000000" w:themeColor="text1"/>
          <w:lang w:val="en-US" w:eastAsia="fr-BE"/>
        </w:rPr>
        <w:t>. With the exception of these three indicators, the targets of the government and corporate levels do not coincide, which also reflects the absence of coordination between these levels.</w:t>
      </w:r>
    </w:p>
    <w:p w14:paraId="7157EB5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sum, the analysis of the targets shows that they are not very systematic and at the same time are poorly aligned among the different stakeholders. As the targets at the national level are for the most part directly derived from the SDGs, this means that it is company targets that are disconnected from the SDGs agenda. This situation suggests actions undertaken in a dispersed manner without effectively being part of the overall dynamic. </w:t>
      </w:r>
    </w:p>
    <w:p w14:paraId="54ED30A4" w14:textId="2E58B283" w:rsidR="00DE659D" w:rsidRPr="00DE659D" w:rsidRDefault="00DE659D" w:rsidP="00CE7357">
      <w:pPr>
        <w:pStyle w:val="Titre3"/>
        <w:rPr>
          <w:noProof/>
          <w:lang w:val="en-US" w:eastAsia="fr-BE"/>
        </w:rPr>
      </w:pPr>
      <w:bookmarkStart w:id="62" w:name="_Toc51512296"/>
      <w:r w:rsidRPr="00DE659D">
        <w:rPr>
          <w:noProof/>
          <w:lang w:val="en-US" w:eastAsia="fr-BE"/>
        </w:rPr>
        <w:t>RQ4: Are greenhouse gas emissions (GHG) targets consistent between the business and national levels?</w:t>
      </w:r>
      <w:bookmarkEnd w:id="62"/>
      <w:r w:rsidRPr="00DE659D">
        <w:rPr>
          <w:noProof/>
          <w:lang w:val="en-US" w:eastAsia="fr-BE"/>
        </w:rPr>
        <w:t xml:space="preserve"> </w:t>
      </w:r>
    </w:p>
    <w:p w14:paraId="2A6FE61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When identical sustainability indicators are accompanied by targets at different levels, it allows us to analyze the consistency among these targets. This analysis makes it possible to compare the efforts of each actor, and possibly to reinforce them. In the reports under consideration, the only indicator which enjoyed nearly-full coverage at both levels is the GHG emissions indicator, as shown in Table 3. Moreover, the methodology used to compute this at the </w:t>
      </w:r>
      <w:r w:rsidRPr="00DE659D">
        <w:rPr>
          <w:noProof/>
          <w:color w:val="000000" w:themeColor="text1"/>
          <w:lang w:val="en-US" w:eastAsia="fr-BE"/>
        </w:rPr>
        <w:lastRenderedPageBreak/>
        <w:t xml:space="preserve">business level makes it relevant for comparison. Hence, the rest of this section is focused on GHG emissions, but is intended to illustrate the more general issue of the consistency of targets. </w:t>
      </w:r>
    </w:p>
    <w:p w14:paraId="21DB948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Note that comparing targets from different levels is not straightforward because it is difficult to disaggregate the responsibility of a macro level performance into multiple micro-level actors. It is likely that micro-level actors should have different targets depending on their previous efforts, the sector in which they operate, or the cost of further efforts. Secondly, comparing different targets is difficult for practical reasons: the low level of standardization makes micro-micro or micro-macro comparison approximative. These limitations </w:t>
      </w:r>
      <w:r w:rsidRPr="00DE659D">
        <w:rPr>
          <w:noProof/>
          <w:color w:val="000000" w:themeColor="text1"/>
          <w:lang w:eastAsia="fr-BE"/>
        </w:rPr>
        <w:t>have been</w:t>
      </w:r>
      <w:r w:rsidRPr="00DE659D">
        <w:rPr>
          <w:noProof/>
          <w:color w:val="000000" w:themeColor="text1"/>
          <w:lang w:val="en-US" w:eastAsia="fr-BE"/>
        </w:rPr>
        <w:t xml:space="preserve"> partially circumvented in the analysis below. In order to clarify how, the way in which the targets are defined at the different levels is presented.</w:t>
      </w:r>
    </w:p>
    <w:p w14:paraId="7FDE603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In the Agenda 2030, GHG emissions targets are not defined, considering that ‘the United Nations Framework Convention on Climate Change is the primary international, intergovernmental forum for negotiating the global response to climate change’ (UN, 2015a, p.14). SDGs thus rely on the 2015 Paris Agreement regarding GHG emissions. Compared to previous agreements, the Paris Agreement strengthened climate objectives to limit global average temperature increase to ‘well below 2°C above pre-industrial levels and pursuing efforts to limit the temperature increase to 1.5°C above pre-industrial levels’ (UN, 2015b, p3). The IPCC has been invited to operationalize this target in terms of GHG emissions reductions. With respect to this, the IPCC report (AR6) states that GHG emissions in pathways limiting global warming to 1.5°C with no or limited overshoot are projected to be about 81–93% (interquartile range) lower in 2050 relative to 2010 (Masson-Delmotte </w:t>
      </w:r>
      <w:r w:rsidRPr="00DE659D">
        <w:rPr>
          <w:i/>
          <w:noProof/>
          <w:color w:val="000000" w:themeColor="text1"/>
          <w:lang w:val="en-US" w:eastAsia="fr-BE"/>
        </w:rPr>
        <w:t>et al</w:t>
      </w:r>
      <w:r w:rsidRPr="00DE659D">
        <w:rPr>
          <w:noProof/>
          <w:color w:val="000000" w:themeColor="text1"/>
          <w:lang w:val="en-US" w:eastAsia="fr-BE"/>
        </w:rPr>
        <w:t>., 2018). This will be considered, in an indirect point of view, the SDGs target for GHG emissions. Past annual world performances are based on GHG emissions from 2011 to 2016 (CAIT, 2019).</w:t>
      </w:r>
    </w:p>
    <w:p w14:paraId="111D7E3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Belgian targets for GHG emissions are set by the Belgian FPB for non-European Trading System (non-ETS) sectors. No specific target is set for ETS sectors while they are regulated by European </w:t>
      </w:r>
      <w:r w:rsidRPr="00DE659D">
        <w:rPr>
          <w:noProof/>
          <w:color w:val="000000" w:themeColor="text1"/>
          <w:lang w:val="en-US" w:eastAsia="fr-BE"/>
        </w:rPr>
        <w:lastRenderedPageBreak/>
        <w:t>legislation on ETS. As both retail and pharmaceutical sectors are non-ETS sectors, the use of non-ETS GHG emissions targets at the national level is relevant for this comparison. A long-term as well as a short-term target for GHG emissions is set by legislation. The long-term target requires a reduction of between 80% to 95% of GHG emissions in 2050 compared to 1990 levels, in accordance with the long-term federal strategic vision for sustainable development</w:t>
      </w:r>
      <w:r w:rsidRPr="00DE659D">
        <w:rPr>
          <w:noProof/>
          <w:color w:val="000000" w:themeColor="text1"/>
          <w:vertAlign w:val="superscript"/>
          <w:lang w:val="en-US" w:eastAsia="fr-BE"/>
        </w:rPr>
        <w:footnoteReference w:id="22"/>
      </w:r>
      <w:r w:rsidRPr="00DE659D">
        <w:rPr>
          <w:noProof/>
          <w:color w:val="000000" w:themeColor="text1"/>
          <w:lang w:val="en-US" w:eastAsia="fr-BE"/>
        </w:rPr>
        <w:t>. The short-term target requires a reduction of 35% in 2030 compared to 2005 levels, in accordance with European legislation</w:t>
      </w:r>
      <w:r w:rsidRPr="00DE659D">
        <w:rPr>
          <w:noProof/>
          <w:color w:val="000000" w:themeColor="text1"/>
          <w:vertAlign w:val="superscript"/>
          <w:lang w:val="en-US" w:eastAsia="fr-BE"/>
        </w:rPr>
        <w:footnoteReference w:id="23"/>
      </w:r>
      <w:r w:rsidRPr="00DE659D">
        <w:rPr>
          <w:noProof/>
          <w:color w:val="000000" w:themeColor="text1"/>
          <w:lang w:val="en-US" w:eastAsia="fr-BE"/>
        </w:rPr>
        <w:t xml:space="preserve">. </w:t>
      </w:r>
    </w:p>
    <w:p w14:paraId="337FB6D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At the business level, targets are defined voluntarily, which implies that they depend on the company's strategy and may or may not be defined in relation to macro objectives. One main methodological complexity of sustainability measurement at the business level comes from the existence of different scopes. Three scopes are traditionally distinguished. Scope 1 (direct GHG emissions) covers emissions from sources that are owned or controlled by the business. They include emissions from on-site fuel consumption, owned trucking and cars, refrigerant leakages, etc. Scope 2 (indirect GHG emissions) covers emissions from the generation of purchased electricity, heat or steam. They are produced by third-party installations but are attributed to the business under consideration. Scope 3 (other indirect emissions) includes emissions from suppliers, franchise stores (in the retail sector), subcontractors, employee commuting, business travels, recycling of products, etc. In both sectors under study, scope 3 accounts for the majority of total emissions (</w:t>
      </w:r>
      <w:r w:rsidRPr="00DE659D">
        <w:rPr>
          <w:i/>
          <w:noProof/>
          <w:color w:val="000000" w:themeColor="text1"/>
          <w:lang w:val="en-US" w:eastAsia="fr-BE"/>
        </w:rPr>
        <w:t>e.g.</w:t>
      </w:r>
      <w:r w:rsidRPr="00DE659D">
        <w:rPr>
          <w:noProof/>
          <w:color w:val="000000" w:themeColor="text1"/>
          <w:lang w:val="en-US" w:eastAsia="fr-BE"/>
        </w:rPr>
        <w:t xml:space="preserve"> 93% by Lidl in 2018, 92% by GSK in 2017). In GSK’s case, half of the carbon footprint comes from the value chain. The problem is that data is rarely fully available or reliable for scope 3 emissions, even if improvements are progressively made. Targets and past performances in terms of carbon emissions are thus based on scope 1 and 2. </w:t>
      </w:r>
      <w:bookmarkStart w:id="63" w:name="_Hlk47715625"/>
      <w:bookmarkStart w:id="64" w:name="_Hlk50807469"/>
      <w:r w:rsidRPr="00DE659D">
        <w:rPr>
          <w:noProof/>
          <w:color w:val="000000" w:themeColor="text1"/>
          <w:lang w:val="en-US" w:eastAsia="fr-BE"/>
        </w:rPr>
        <w:t xml:space="preserve">This difference in terms of scope, as well as the possibility of double counting (if all businesses would measure scope 3), reflect the fact that methodological issues arise when SDGs are </w:t>
      </w:r>
      <w:r w:rsidRPr="00DE659D">
        <w:rPr>
          <w:noProof/>
          <w:color w:val="000000" w:themeColor="text1"/>
          <w:lang w:val="en-US" w:eastAsia="fr-BE"/>
        </w:rPr>
        <w:lastRenderedPageBreak/>
        <w:t xml:space="preserve">implemented. These issues can strongly influence the results and be highly political, and should be analyzed with caution. </w:t>
      </w:r>
      <w:bookmarkEnd w:id="63"/>
    </w:p>
    <w:bookmarkEnd w:id="64"/>
    <w:p w14:paraId="4596D63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Table 4 shows GHG emissions targets at the international level, national level and business level, accompanied by past annual performances. </w:t>
      </w:r>
    </w:p>
    <w:p w14:paraId="46A4A99D" w14:textId="77777777" w:rsidR="00DE659D" w:rsidRPr="00DE659D" w:rsidRDefault="00DE659D" w:rsidP="00DE659D">
      <w:pPr>
        <w:rPr>
          <w:noProof/>
          <w:color w:val="000000" w:themeColor="text1"/>
          <w:lang w:val="en-US" w:eastAsia="fr-BE"/>
        </w:rPr>
      </w:pPr>
    </w:p>
    <w:p w14:paraId="360BB74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Table 4: GHG targets and past performances among international, national and business (scope 1 and 2) indicators</w:t>
      </w:r>
    </w:p>
    <w:tbl>
      <w:tblPr>
        <w:tblStyle w:val="TableauGrille1Clair-Accentuation31"/>
        <w:tblW w:w="5000" w:type="pct"/>
        <w:tblLayout w:type="fixed"/>
        <w:tblLook w:val="04A0" w:firstRow="1" w:lastRow="0" w:firstColumn="1" w:lastColumn="0" w:noHBand="0" w:noVBand="1"/>
      </w:tblPr>
      <w:tblGrid>
        <w:gridCol w:w="1695"/>
        <w:gridCol w:w="1175"/>
        <w:gridCol w:w="1521"/>
        <w:gridCol w:w="1416"/>
        <w:gridCol w:w="1553"/>
      </w:tblGrid>
      <w:tr w:rsidR="00DE659D" w:rsidRPr="005237B1" w14:paraId="0530074D" w14:textId="77777777" w:rsidTr="005237B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152" w:type="pct"/>
            <w:shd w:val="clear" w:color="auto" w:fill="F2F2F2" w:themeFill="background1" w:themeFillShade="F2"/>
            <w:noWrap/>
          </w:tcPr>
          <w:p w14:paraId="7A826D43" w14:textId="77777777" w:rsidR="00DE659D" w:rsidRPr="005237B1" w:rsidRDefault="00DE659D" w:rsidP="00DE659D">
            <w:pPr>
              <w:rPr>
                <w:noProof/>
                <w:color w:val="000000" w:themeColor="text1"/>
                <w:sz w:val="24"/>
                <w:lang w:val="en-US" w:eastAsia="fr-BE"/>
              </w:rPr>
            </w:pPr>
            <w:r w:rsidRPr="005237B1">
              <w:rPr>
                <w:noProof/>
                <w:color w:val="000000" w:themeColor="text1"/>
                <w:sz w:val="24"/>
                <w:lang w:val="en-US" w:eastAsia="fr-BE"/>
              </w:rPr>
              <w:t>UN-IPCC</w:t>
            </w:r>
          </w:p>
        </w:tc>
        <w:tc>
          <w:tcPr>
            <w:tcW w:w="798" w:type="pct"/>
            <w:shd w:val="clear" w:color="auto" w:fill="F2F2F2" w:themeFill="background1" w:themeFillShade="F2"/>
            <w:noWrap/>
          </w:tcPr>
          <w:p w14:paraId="78A6A111" w14:textId="77777777" w:rsidR="00DE659D" w:rsidRPr="005237B1" w:rsidRDefault="00DE659D" w:rsidP="005237B1">
            <w:pPr>
              <w:ind w:firstLine="0"/>
              <w:jc w:val="center"/>
              <w:cnfStyle w:val="100000000000" w:firstRow="1" w:lastRow="0" w:firstColumn="0" w:lastColumn="0" w:oddVBand="0" w:evenVBand="0" w:oddHBand="0" w:evenHBand="0" w:firstRowFirstColumn="0" w:firstRowLastColumn="0" w:lastRowFirstColumn="0" w:lastRowLastColumn="0"/>
              <w:rPr>
                <w:b w:val="0"/>
                <w:noProof/>
                <w:color w:val="000000" w:themeColor="text1"/>
                <w:sz w:val="24"/>
                <w:lang w:val="en-US" w:eastAsia="fr-BE"/>
              </w:rPr>
            </w:pPr>
            <w:r w:rsidRPr="005237B1">
              <w:rPr>
                <w:noProof/>
                <w:color w:val="000000" w:themeColor="text1"/>
                <w:sz w:val="24"/>
                <w:lang w:val="en-US" w:eastAsia="fr-BE"/>
              </w:rPr>
              <w:t>Target</w:t>
            </w:r>
          </w:p>
        </w:tc>
        <w:tc>
          <w:tcPr>
            <w:tcW w:w="1033" w:type="pct"/>
            <w:shd w:val="clear" w:color="auto" w:fill="F2F2F2" w:themeFill="background1" w:themeFillShade="F2"/>
            <w:noWrap/>
          </w:tcPr>
          <w:p w14:paraId="2B7E0196" w14:textId="77777777" w:rsidR="00DE659D" w:rsidRPr="005237B1" w:rsidRDefault="00DE659D" w:rsidP="005237B1">
            <w:pPr>
              <w:ind w:firstLine="0"/>
              <w:jc w:val="center"/>
              <w:cnfStyle w:val="100000000000" w:firstRow="1" w:lastRow="0" w:firstColumn="0" w:lastColumn="0" w:oddVBand="0" w:evenVBand="0" w:oddHBand="0" w:evenHBand="0" w:firstRowFirstColumn="0" w:firstRowLastColumn="0" w:lastRowFirstColumn="0" w:lastRowLastColumn="0"/>
              <w:rPr>
                <w:b w:val="0"/>
                <w:noProof/>
                <w:color w:val="000000" w:themeColor="text1"/>
                <w:sz w:val="24"/>
                <w:lang w:val="en-US" w:eastAsia="fr-BE"/>
              </w:rPr>
            </w:pPr>
            <w:r w:rsidRPr="005237B1">
              <w:rPr>
                <w:noProof/>
                <w:color w:val="000000" w:themeColor="text1"/>
                <w:sz w:val="24"/>
                <w:lang w:val="en-US" w:eastAsia="fr-BE"/>
              </w:rPr>
              <w:t>Time frame</w:t>
            </w:r>
          </w:p>
        </w:tc>
        <w:tc>
          <w:tcPr>
            <w:tcW w:w="962" w:type="pct"/>
            <w:shd w:val="clear" w:color="auto" w:fill="F2F2F2" w:themeFill="background1" w:themeFillShade="F2"/>
            <w:noWrap/>
          </w:tcPr>
          <w:p w14:paraId="1C0FAD70" w14:textId="77777777" w:rsidR="00DE659D" w:rsidRPr="005237B1" w:rsidRDefault="00DE659D" w:rsidP="005237B1">
            <w:pPr>
              <w:ind w:firstLine="0"/>
              <w:jc w:val="center"/>
              <w:cnfStyle w:val="100000000000" w:firstRow="1" w:lastRow="0" w:firstColumn="0" w:lastColumn="0" w:oddVBand="0" w:evenVBand="0" w:oddHBand="0" w:evenHBand="0" w:firstRowFirstColumn="0" w:firstRowLastColumn="0" w:lastRowFirstColumn="0" w:lastRowLastColumn="0"/>
              <w:rPr>
                <w:b w:val="0"/>
                <w:noProof/>
                <w:color w:val="000000" w:themeColor="text1"/>
                <w:sz w:val="24"/>
                <w:lang w:val="en-US" w:eastAsia="fr-BE"/>
              </w:rPr>
            </w:pPr>
            <w:r w:rsidRPr="005237B1">
              <w:rPr>
                <w:noProof/>
                <w:color w:val="000000" w:themeColor="text1"/>
                <w:sz w:val="24"/>
                <w:lang w:val="en-US" w:eastAsia="fr-BE"/>
              </w:rPr>
              <w:t>Annualized target</w:t>
            </w:r>
          </w:p>
        </w:tc>
        <w:tc>
          <w:tcPr>
            <w:tcW w:w="1055" w:type="pct"/>
            <w:shd w:val="clear" w:color="auto" w:fill="F2F2F2" w:themeFill="background1" w:themeFillShade="F2"/>
            <w:noWrap/>
          </w:tcPr>
          <w:p w14:paraId="207D6247" w14:textId="77777777" w:rsidR="00DE659D" w:rsidRPr="005237B1" w:rsidRDefault="00DE659D" w:rsidP="005237B1">
            <w:pPr>
              <w:ind w:firstLine="0"/>
              <w:jc w:val="center"/>
              <w:cnfStyle w:val="100000000000" w:firstRow="1" w:lastRow="0" w:firstColumn="0" w:lastColumn="0" w:oddVBand="0" w:evenVBand="0" w:oddHBand="0" w:evenHBand="0" w:firstRowFirstColumn="0" w:firstRowLastColumn="0" w:lastRowFirstColumn="0" w:lastRowLastColumn="0"/>
              <w:rPr>
                <w:b w:val="0"/>
                <w:noProof/>
                <w:color w:val="000000" w:themeColor="text1"/>
                <w:sz w:val="24"/>
                <w:lang w:val="en-US" w:eastAsia="fr-BE"/>
              </w:rPr>
            </w:pPr>
            <w:r w:rsidRPr="005237B1">
              <w:rPr>
                <w:noProof/>
                <w:color w:val="000000" w:themeColor="text1"/>
                <w:sz w:val="24"/>
                <w:lang w:val="en-US" w:eastAsia="fr-BE"/>
              </w:rPr>
              <w:t>Past annual performance</w:t>
            </w:r>
          </w:p>
        </w:tc>
      </w:tr>
      <w:tr w:rsidR="00DE659D" w:rsidRPr="005237B1" w14:paraId="50375565"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shd w:val="clear" w:color="auto" w:fill="FFFFFF" w:themeFill="background1"/>
            <w:noWrap/>
          </w:tcPr>
          <w:p w14:paraId="1E94CFB8"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World</w:t>
            </w:r>
            <w:r w:rsidRPr="005237B1">
              <w:rPr>
                <w:b w:val="0"/>
                <w:noProof/>
                <w:color w:val="000000" w:themeColor="text1"/>
                <w:sz w:val="24"/>
                <w:vertAlign w:val="superscript"/>
                <w:lang w:val="en-US" w:eastAsia="fr-BE"/>
              </w:rPr>
              <w:t>1</w:t>
            </w:r>
          </w:p>
        </w:tc>
        <w:tc>
          <w:tcPr>
            <w:tcW w:w="798" w:type="pct"/>
            <w:shd w:val="clear" w:color="auto" w:fill="FFFFFF" w:themeFill="background1"/>
            <w:noWrap/>
          </w:tcPr>
          <w:p w14:paraId="4DF188E7" w14:textId="10F301A4" w:rsidR="00DE659D" w:rsidRPr="005237B1" w:rsidRDefault="00DE659D" w:rsidP="005237B1">
            <w:pPr>
              <w:ind w:firstLine="0"/>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w:t>
            </w:r>
            <w:r w:rsidR="005237B1" w:rsidRPr="005237B1">
              <w:rPr>
                <w:noProof/>
                <w:color w:val="000000" w:themeColor="text1"/>
                <w:sz w:val="24"/>
                <w:lang w:val="en-US" w:eastAsia="fr-BE"/>
              </w:rPr>
              <w:t>8</w:t>
            </w:r>
            <w:r w:rsidRPr="005237B1">
              <w:rPr>
                <w:noProof/>
                <w:color w:val="000000" w:themeColor="text1"/>
                <w:sz w:val="24"/>
                <w:lang w:val="en-US" w:eastAsia="fr-BE"/>
              </w:rPr>
              <w:t>1/93%</w:t>
            </w:r>
          </w:p>
        </w:tc>
        <w:tc>
          <w:tcPr>
            <w:tcW w:w="1033" w:type="pct"/>
            <w:shd w:val="clear" w:color="auto" w:fill="FFFFFF" w:themeFill="background1"/>
            <w:noWrap/>
          </w:tcPr>
          <w:p w14:paraId="461DF590"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2010-2050</w:t>
            </w:r>
          </w:p>
        </w:tc>
        <w:tc>
          <w:tcPr>
            <w:tcW w:w="962" w:type="pct"/>
            <w:shd w:val="clear" w:color="auto" w:fill="FFFFFF" w:themeFill="background1"/>
            <w:noWrap/>
          </w:tcPr>
          <w:p w14:paraId="06626185"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w:t>
            </w:r>
          </w:p>
        </w:tc>
        <w:tc>
          <w:tcPr>
            <w:tcW w:w="1055" w:type="pct"/>
            <w:shd w:val="clear" w:color="auto" w:fill="FFFFFF" w:themeFill="background1"/>
            <w:noWrap/>
          </w:tcPr>
          <w:p w14:paraId="0743D46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0,7%</w:t>
            </w:r>
          </w:p>
        </w:tc>
      </w:tr>
      <w:tr w:rsidR="00DE659D" w:rsidRPr="005237B1" w14:paraId="0E8B84F4"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shd w:val="clear" w:color="auto" w:fill="F2F2F2" w:themeFill="background1" w:themeFillShade="F2"/>
            <w:noWrap/>
          </w:tcPr>
          <w:p w14:paraId="75D3DA75" w14:textId="77777777" w:rsidR="00DE659D" w:rsidRPr="005237B1" w:rsidRDefault="00DE659D" w:rsidP="00DE659D">
            <w:pPr>
              <w:rPr>
                <w:noProof/>
                <w:color w:val="000000" w:themeColor="text1"/>
                <w:sz w:val="24"/>
                <w:lang w:val="en-US" w:eastAsia="fr-BE"/>
              </w:rPr>
            </w:pPr>
            <w:r w:rsidRPr="005237B1">
              <w:rPr>
                <w:noProof/>
                <w:color w:val="000000" w:themeColor="text1"/>
                <w:sz w:val="24"/>
                <w:lang w:val="en-US" w:eastAsia="fr-BE"/>
              </w:rPr>
              <w:t>National</w:t>
            </w:r>
          </w:p>
        </w:tc>
        <w:tc>
          <w:tcPr>
            <w:tcW w:w="798" w:type="pct"/>
            <w:shd w:val="clear" w:color="auto" w:fill="F2F2F2" w:themeFill="background1" w:themeFillShade="F2"/>
            <w:noWrap/>
          </w:tcPr>
          <w:p w14:paraId="5B70A16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1033" w:type="pct"/>
            <w:shd w:val="clear" w:color="auto" w:fill="F2F2F2" w:themeFill="background1" w:themeFillShade="F2"/>
            <w:noWrap/>
          </w:tcPr>
          <w:p w14:paraId="0AEBEF37"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962" w:type="pct"/>
            <w:shd w:val="clear" w:color="auto" w:fill="F2F2F2" w:themeFill="background1" w:themeFillShade="F2"/>
            <w:noWrap/>
          </w:tcPr>
          <w:p w14:paraId="1844D6D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c>
          <w:tcPr>
            <w:tcW w:w="1055" w:type="pct"/>
            <w:shd w:val="clear" w:color="auto" w:fill="F2F2F2" w:themeFill="background1" w:themeFillShade="F2"/>
            <w:noWrap/>
          </w:tcPr>
          <w:p w14:paraId="23F1CE7E"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r>
      <w:tr w:rsidR="00DE659D" w:rsidRPr="005237B1" w14:paraId="7FA1F679"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vMerge w:val="restart"/>
            <w:noWrap/>
          </w:tcPr>
          <w:p w14:paraId="19783B91"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Belgium</w:t>
            </w:r>
            <w:r w:rsidRPr="005237B1">
              <w:rPr>
                <w:b w:val="0"/>
                <w:noProof/>
                <w:color w:val="000000" w:themeColor="text1"/>
                <w:sz w:val="24"/>
                <w:vertAlign w:val="superscript"/>
                <w:lang w:val="en-US" w:eastAsia="fr-BE"/>
              </w:rPr>
              <w:t>1</w:t>
            </w:r>
          </w:p>
        </w:tc>
        <w:tc>
          <w:tcPr>
            <w:tcW w:w="798" w:type="pct"/>
            <w:noWrap/>
          </w:tcPr>
          <w:p w14:paraId="3491E29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-35%</w:t>
            </w:r>
          </w:p>
        </w:tc>
        <w:tc>
          <w:tcPr>
            <w:tcW w:w="1033" w:type="pct"/>
            <w:noWrap/>
          </w:tcPr>
          <w:p w14:paraId="5BAFC966"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2005-2035</w:t>
            </w:r>
          </w:p>
        </w:tc>
        <w:tc>
          <w:tcPr>
            <w:tcW w:w="962" w:type="pct"/>
            <w:noWrap/>
          </w:tcPr>
          <w:p w14:paraId="01CE2D84"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-1,4%</w:t>
            </w:r>
          </w:p>
        </w:tc>
        <w:tc>
          <w:tcPr>
            <w:tcW w:w="1055" w:type="pct"/>
            <w:vMerge w:val="restart"/>
            <w:noWrap/>
          </w:tcPr>
          <w:p w14:paraId="5DB4E42A"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-0,7%</w:t>
            </w:r>
          </w:p>
        </w:tc>
      </w:tr>
      <w:tr w:rsidR="00DE659D" w:rsidRPr="005237B1" w14:paraId="1F13514C"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vMerge/>
            <w:noWrap/>
          </w:tcPr>
          <w:p w14:paraId="0379814A" w14:textId="77777777" w:rsidR="00DE659D" w:rsidRPr="005237B1" w:rsidRDefault="00DE659D" w:rsidP="00DE659D">
            <w:pPr>
              <w:rPr>
                <w:b w:val="0"/>
                <w:noProof/>
                <w:color w:val="000000" w:themeColor="text1"/>
                <w:sz w:val="24"/>
                <w:lang w:val="en-US" w:eastAsia="fr-BE"/>
              </w:rPr>
            </w:pPr>
          </w:p>
        </w:tc>
        <w:tc>
          <w:tcPr>
            <w:tcW w:w="798" w:type="pct"/>
            <w:noWrap/>
          </w:tcPr>
          <w:p w14:paraId="676194C6"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-95%</w:t>
            </w:r>
          </w:p>
        </w:tc>
        <w:tc>
          <w:tcPr>
            <w:tcW w:w="1033" w:type="pct"/>
            <w:noWrap/>
          </w:tcPr>
          <w:p w14:paraId="2595662B"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1990-2050</w:t>
            </w:r>
          </w:p>
        </w:tc>
        <w:tc>
          <w:tcPr>
            <w:tcW w:w="962" w:type="pct"/>
            <w:noWrap/>
          </w:tcPr>
          <w:p w14:paraId="6F7D4B3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-1,6%</w:t>
            </w:r>
          </w:p>
        </w:tc>
        <w:tc>
          <w:tcPr>
            <w:tcW w:w="1055" w:type="pct"/>
            <w:vMerge/>
            <w:noWrap/>
          </w:tcPr>
          <w:p w14:paraId="34BBAE1D"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p>
        </w:tc>
      </w:tr>
      <w:tr w:rsidR="00DE659D" w:rsidRPr="005237B1" w14:paraId="1E6F0A0D"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shd w:val="clear" w:color="auto" w:fill="F2F2F2" w:themeFill="background1" w:themeFillShade="F2"/>
            <w:noWrap/>
            <w:hideMark/>
          </w:tcPr>
          <w:p w14:paraId="4322A461" w14:textId="77777777" w:rsidR="00DE659D" w:rsidRPr="005237B1" w:rsidRDefault="00DE659D" w:rsidP="00DE659D">
            <w:pPr>
              <w:rPr>
                <w:noProof/>
                <w:color w:val="000000" w:themeColor="text1"/>
                <w:sz w:val="24"/>
                <w:lang w:val="en-US" w:eastAsia="fr-BE"/>
              </w:rPr>
            </w:pPr>
            <w:r w:rsidRPr="005237B1">
              <w:rPr>
                <w:noProof/>
                <w:color w:val="000000" w:themeColor="text1"/>
                <w:sz w:val="24"/>
                <w:lang w:val="en-US" w:eastAsia="fr-BE"/>
              </w:rPr>
              <w:t>Business</w:t>
            </w:r>
          </w:p>
        </w:tc>
        <w:tc>
          <w:tcPr>
            <w:tcW w:w="798" w:type="pct"/>
            <w:shd w:val="clear" w:color="auto" w:fill="F2F2F2" w:themeFill="background1" w:themeFillShade="F2"/>
            <w:noWrap/>
          </w:tcPr>
          <w:p w14:paraId="2308F9ED"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p>
        </w:tc>
        <w:tc>
          <w:tcPr>
            <w:tcW w:w="1033" w:type="pct"/>
            <w:shd w:val="clear" w:color="auto" w:fill="F2F2F2" w:themeFill="background1" w:themeFillShade="F2"/>
            <w:noWrap/>
          </w:tcPr>
          <w:p w14:paraId="2A68C706"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p>
        </w:tc>
        <w:tc>
          <w:tcPr>
            <w:tcW w:w="962" w:type="pct"/>
            <w:shd w:val="clear" w:color="auto" w:fill="F2F2F2" w:themeFill="background1" w:themeFillShade="F2"/>
            <w:noWrap/>
          </w:tcPr>
          <w:p w14:paraId="10A8076D"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p>
        </w:tc>
        <w:tc>
          <w:tcPr>
            <w:tcW w:w="1055" w:type="pct"/>
            <w:shd w:val="clear" w:color="auto" w:fill="F2F2F2" w:themeFill="background1" w:themeFillShade="F2"/>
            <w:noWrap/>
          </w:tcPr>
          <w:p w14:paraId="193196B3"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val="en-US" w:eastAsia="fr-BE"/>
              </w:rPr>
            </w:pPr>
          </w:p>
        </w:tc>
      </w:tr>
      <w:tr w:rsidR="00DE659D" w:rsidRPr="005237B1" w14:paraId="6BE4A834"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24E150F8"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Aldi</w:t>
            </w:r>
            <w:r w:rsidRPr="005237B1">
              <w:rPr>
                <w:b w:val="0"/>
                <w:noProof/>
                <w:color w:val="000000" w:themeColor="text1"/>
                <w:sz w:val="24"/>
                <w:vertAlign w:val="superscript"/>
                <w:lang w:val="en-US" w:eastAsia="fr-BE"/>
              </w:rPr>
              <w:t>1</w:t>
            </w:r>
          </w:p>
        </w:tc>
        <w:tc>
          <w:tcPr>
            <w:tcW w:w="798" w:type="pct"/>
            <w:noWrap/>
            <w:hideMark/>
          </w:tcPr>
          <w:p w14:paraId="72EBEF1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-40%</w:t>
            </w:r>
          </w:p>
        </w:tc>
        <w:tc>
          <w:tcPr>
            <w:tcW w:w="1033" w:type="pct"/>
            <w:noWrap/>
            <w:hideMark/>
          </w:tcPr>
          <w:p w14:paraId="603F491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2015-2021</w:t>
            </w:r>
          </w:p>
        </w:tc>
        <w:tc>
          <w:tcPr>
            <w:tcW w:w="962" w:type="pct"/>
            <w:noWrap/>
            <w:hideMark/>
          </w:tcPr>
          <w:p w14:paraId="76E52477"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-7%</w:t>
            </w:r>
          </w:p>
        </w:tc>
        <w:tc>
          <w:tcPr>
            <w:tcW w:w="1055" w:type="pct"/>
            <w:noWrap/>
            <w:hideMark/>
          </w:tcPr>
          <w:p w14:paraId="4FB4F33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0%</w:t>
            </w:r>
          </w:p>
        </w:tc>
      </w:tr>
      <w:tr w:rsidR="00DE659D" w:rsidRPr="005237B1" w14:paraId="22C1407D"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3E15B772"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Carrefour</w:t>
            </w:r>
            <w:r w:rsidRPr="005237B1">
              <w:rPr>
                <w:b w:val="0"/>
                <w:noProof/>
                <w:color w:val="000000" w:themeColor="text1"/>
                <w:sz w:val="24"/>
                <w:vertAlign w:val="superscript"/>
                <w:lang w:val="en-US" w:eastAsia="fr-BE"/>
              </w:rPr>
              <w:t>1</w:t>
            </w:r>
          </w:p>
        </w:tc>
        <w:tc>
          <w:tcPr>
            <w:tcW w:w="798" w:type="pct"/>
            <w:noWrap/>
            <w:hideMark/>
          </w:tcPr>
          <w:p w14:paraId="622B6143"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-40%</w:t>
            </w:r>
          </w:p>
        </w:tc>
        <w:tc>
          <w:tcPr>
            <w:tcW w:w="1033" w:type="pct"/>
            <w:noWrap/>
            <w:hideMark/>
          </w:tcPr>
          <w:p w14:paraId="353F20CE"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2010-2025</w:t>
            </w:r>
          </w:p>
        </w:tc>
        <w:tc>
          <w:tcPr>
            <w:tcW w:w="962" w:type="pct"/>
            <w:noWrap/>
            <w:hideMark/>
          </w:tcPr>
          <w:p w14:paraId="51DA5407"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c>
          <w:tcPr>
            <w:tcW w:w="1055" w:type="pct"/>
            <w:noWrap/>
            <w:hideMark/>
          </w:tcPr>
          <w:p w14:paraId="3FD67E8A"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-4%</w:t>
            </w:r>
          </w:p>
        </w:tc>
      </w:tr>
      <w:tr w:rsidR="00DE659D" w:rsidRPr="005237B1" w14:paraId="072029F7"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6AD3B268"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GSK</w:t>
            </w:r>
            <w:r w:rsidRPr="005237B1">
              <w:rPr>
                <w:b w:val="0"/>
                <w:noProof/>
                <w:color w:val="000000" w:themeColor="text1"/>
                <w:sz w:val="24"/>
                <w:vertAlign w:val="superscript"/>
                <w:lang w:val="en-US" w:eastAsia="fr-BE"/>
              </w:rPr>
              <w:t>1</w:t>
            </w:r>
          </w:p>
        </w:tc>
        <w:tc>
          <w:tcPr>
            <w:tcW w:w="798" w:type="pct"/>
            <w:noWrap/>
            <w:hideMark/>
          </w:tcPr>
          <w:p w14:paraId="5670260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w:t>
            </w:r>
          </w:p>
        </w:tc>
        <w:tc>
          <w:tcPr>
            <w:tcW w:w="1033" w:type="pct"/>
            <w:noWrap/>
            <w:hideMark/>
          </w:tcPr>
          <w:p w14:paraId="2770E50B"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2016-2030</w:t>
            </w:r>
          </w:p>
        </w:tc>
        <w:tc>
          <w:tcPr>
            <w:tcW w:w="962" w:type="pct"/>
            <w:noWrap/>
            <w:hideMark/>
          </w:tcPr>
          <w:p w14:paraId="310F9770"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w:t>
            </w:r>
          </w:p>
        </w:tc>
        <w:tc>
          <w:tcPr>
            <w:tcW w:w="1055" w:type="pct"/>
            <w:noWrap/>
            <w:hideMark/>
          </w:tcPr>
          <w:p w14:paraId="3E315F4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-5%</w:t>
            </w:r>
          </w:p>
        </w:tc>
      </w:tr>
      <w:tr w:rsidR="00DE659D" w:rsidRPr="005237B1" w14:paraId="2784FD4A"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77F6AB0A"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Ingka</w:t>
            </w:r>
            <w:r w:rsidRPr="005237B1">
              <w:rPr>
                <w:b w:val="0"/>
                <w:noProof/>
                <w:color w:val="000000" w:themeColor="text1"/>
                <w:sz w:val="24"/>
                <w:vertAlign w:val="superscript"/>
                <w:lang w:val="en-US" w:eastAsia="fr-BE"/>
              </w:rPr>
              <w:t>1</w:t>
            </w:r>
          </w:p>
        </w:tc>
        <w:tc>
          <w:tcPr>
            <w:tcW w:w="798" w:type="pct"/>
            <w:noWrap/>
            <w:hideMark/>
          </w:tcPr>
          <w:p w14:paraId="4D0C955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-80%</w:t>
            </w:r>
          </w:p>
        </w:tc>
        <w:tc>
          <w:tcPr>
            <w:tcW w:w="1033" w:type="pct"/>
            <w:noWrap/>
            <w:hideMark/>
          </w:tcPr>
          <w:p w14:paraId="76C939D6"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2016-2030</w:t>
            </w:r>
          </w:p>
        </w:tc>
        <w:tc>
          <w:tcPr>
            <w:tcW w:w="962" w:type="pct"/>
            <w:noWrap/>
            <w:hideMark/>
          </w:tcPr>
          <w:p w14:paraId="20BCB8C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-6%</w:t>
            </w:r>
          </w:p>
        </w:tc>
        <w:tc>
          <w:tcPr>
            <w:tcW w:w="1055" w:type="pct"/>
            <w:noWrap/>
            <w:hideMark/>
          </w:tcPr>
          <w:p w14:paraId="0309BC2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w:t>
            </w:r>
          </w:p>
        </w:tc>
      </w:tr>
      <w:tr w:rsidR="00DE659D" w:rsidRPr="005237B1" w14:paraId="2DBADEBE"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33F5CBCA"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Johnson</w:t>
            </w:r>
            <w:r w:rsidRPr="005237B1">
              <w:rPr>
                <w:b w:val="0"/>
                <w:noProof/>
                <w:color w:val="000000" w:themeColor="text1"/>
                <w:sz w:val="24"/>
                <w:vertAlign w:val="superscript"/>
                <w:lang w:val="en-US" w:eastAsia="fr-BE"/>
              </w:rPr>
              <w:t>1</w:t>
            </w:r>
          </w:p>
        </w:tc>
        <w:tc>
          <w:tcPr>
            <w:tcW w:w="798" w:type="pct"/>
            <w:noWrap/>
            <w:hideMark/>
          </w:tcPr>
          <w:p w14:paraId="7797CEE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w:t>
            </w:r>
          </w:p>
        </w:tc>
        <w:tc>
          <w:tcPr>
            <w:tcW w:w="1033" w:type="pct"/>
            <w:noWrap/>
            <w:hideMark/>
          </w:tcPr>
          <w:p w14:paraId="15EA9CC4"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2010-2020</w:t>
            </w:r>
          </w:p>
        </w:tc>
        <w:tc>
          <w:tcPr>
            <w:tcW w:w="962" w:type="pct"/>
            <w:noWrap/>
            <w:hideMark/>
          </w:tcPr>
          <w:p w14:paraId="648CBB15"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w:t>
            </w:r>
          </w:p>
        </w:tc>
        <w:tc>
          <w:tcPr>
            <w:tcW w:w="1055" w:type="pct"/>
            <w:noWrap/>
            <w:hideMark/>
          </w:tcPr>
          <w:p w14:paraId="05F1F118"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-4%</w:t>
            </w:r>
          </w:p>
        </w:tc>
      </w:tr>
      <w:tr w:rsidR="00DE659D" w:rsidRPr="005237B1" w14:paraId="39D0B9D6"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74FFDB43"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LIDL</w:t>
            </w:r>
            <w:r w:rsidRPr="005237B1">
              <w:rPr>
                <w:b w:val="0"/>
                <w:noProof/>
                <w:color w:val="000000" w:themeColor="text1"/>
                <w:sz w:val="24"/>
                <w:vertAlign w:val="superscript"/>
                <w:lang w:val="en-US" w:eastAsia="fr-BE"/>
              </w:rPr>
              <w:t>1</w:t>
            </w:r>
          </w:p>
        </w:tc>
        <w:tc>
          <w:tcPr>
            <w:tcW w:w="798" w:type="pct"/>
            <w:noWrap/>
            <w:hideMark/>
          </w:tcPr>
          <w:p w14:paraId="168B9B0B"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w:t>
            </w:r>
          </w:p>
        </w:tc>
        <w:tc>
          <w:tcPr>
            <w:tcW w:w="1033" w:type="pct"/>
            <w:noWrap/>
            <w:hideMark/>
          </w:tcPr>
          <w:p w14:paraId="04C7B8A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2015-2025</w:t>
            </w:r>
          </w:p>
        </w:tc>
        <w:tc>
          <w:tcPr>
            <w:tcW w:w="962" w:type="pct"/>
            <w:noWrap/>
            <w:hideMark/>
          </w:tcPr>
          <w:p w14:paraId="7D03DFB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w:t>
            </w:r>
          </w:p>
        </w:tc>
        <w:tc>
          <w:tcPr>
            <w:tcW w:w="1055" w:type="pct"/>
            <w:noWrap/>
            <w:hideMark/>
          </w:tcPr>
          <w:p w14:paraId="18A98144"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r>
      <w:tr w:rsidR="00DE659D" w:rsidRPr="005237B1" w14:paraId="551FB69A"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1776200F"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Pfizer</w:t>
            </w:r>
            <w:r w:rsidRPr="005237B1">
              <w:rPr>
                <w:b w:val="0"/>
                <w:noProof/>
                <w:color w:val="000000" w:themeColor="text1"/>
                <w:sz w:val="24"/>
                <w:vertAlign w:val="superscript"/>
                <w:lang w:val="en-US" w:eastAsia="fr-BE"/>
              </w:rPr>
              <w:t>1</w:t>
            </w:r>
          </w:p>
        </w:tc>
        <w:tc>
          <w:tcPr>
            <w:tcW w:w="798" w:type="pct"/>
            <w:noWrap/>
            <w:hideMark/>
          </w:tcPr>
          <w:p w14:paraId="29B8A6B5"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w:t>
            </w:r>
          </w:p>
        </w:tc>
        <w:tc>
          <w:tcPr>
            <w:tcW w:w="1033" w:type="pct"/>
            <w:noWrap/>
            <w:hideMark/>
          </w:tcPr>
          <w:p w14:paraId="2BE03DA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2012-2020</w:t>
            </w:r>
          </w:p>
        </w:tc>
        <w:tc>
          <w:tcPr>
            <w:tcW w:w="962" w:type="pct"/>
            <w:noWrap/>
            <w:hideMark/>
          </w:tcPr>
          <w:p w14:paraId="54A91517"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c>
          <w:tcPr>
            <w:tcW w:w="1055" w:type="pct"/>
            <w:noWrap/>
            <w:hideMark/>
          </w:tcPr>
          <w:p w14:paraId="759AF7C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-6%</w:t>
            </w:r>
          </w:p>
        </w:tc>
      </w:tr>
      <w:tr w:rsidR="00DE659D" w:rsidRPr="005237B1" w14:paraId="09E09193"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3CAD05CA"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UCB</w:t>
            </w:r>
            <w:r w:rsidRPr="005237B1">
              <w:rPr>
                <w:b w:val="0"/>
                <w:noProof/>
                <w:color w:val="000000" w:themeColor="text1"/>
                <w:sz w:val="24"/>
                <w:vertAlign w:val="superscript"/>
                <w:lang w:val="en-US" w:eastAsia="fr-BE"/>
              </w:rPr>
              <w:t>1 3</w:t>
            </w:r>
          </w:p>
        </w:tc>
        <w:tc>
          <w:tcPr>
            <w:tcW w:w="798" w:type="pct"/>
            <w:noWrap/>
            <w:hideMark/>
          </w:tcPr>
          <w:p w14:paraId="54C3FA0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-35%</w:t>
            </w:r>
          </w:p>
        </w:tc>
        <w:tc>
          <w:tcPr>
            <w:tcW w:w="1033" w:type="pct"/>
            <w:noWrap/>
            <w:hideMark/>
          </w:tcPr>
          <w:p w14:paraId="7D5C1B6F"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2015-2030</w:t>
            </w:r>
          </w:p>
        </w:tc>
        <w:tc>
          <w:tcPr>
            <w:tcW w:w="962" w:type="pct"/>
            <w:noWrap/>
            <w:hideMark/>
          </w:tcPr>
          <w:p w14:paraId="51956E4E"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w:t>
            </w:r>
          </w:p>
        </w:tc>
        <w:tc>
          <w:tcPr>
            <w:tcW w:w="1055" w:type="pct"/>
            <w:noWrap/>
            <w:hideMark/>
          </w:tcPr>
          <w:p w14:paraId="6CB57F46"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-10%</w:t>
            </w:r>
          </w:p>
        </w:tc>
      </w:tr>
      <w:tr w:rsidR="00DE659D" w:rsidRPr="005237B1" w14:paraId="1EF1FEE9"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073D72AC"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Ahold Delhaize</w:t>
            </w:r>
            <w:r w:rsidRPr="005237B1">
              <w:rPr>
                <w:b w:val="0"/>
                <w:noProof/>
                <w:color w:val="000000" w:themeColor="text1"/>
                <w:sz w:val="24"/>
                <w:vertAlign w:val="superscript"/>
                <w:lang w:val="en-US" w:eastAsia="fr-BE"/>
              </w:rPr>
              <w:t>2 3</w:t>
            </w:r>
          </w:p>
        </w:tc>
        <w:tc>
          <w:tcPr>
            <w:tcW w:w="798" w:type="pct"/>
            <w:noWrap/>
            <w:hideMark/>
          </w:tcPr>
          <w:p w14:paraId="5B64E1C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-30%</w:t>
            </w:r>
          </w:p>
        </w:tc>
        <w:tc>
          <w:tcPr>
            <w:tcW w:w="1033" w:type="pct"/>
            <w:noWrap/>
            <w:hideMark/>
          </w:tcPr>
          <w:p w14:paraId="4836C9CA"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2008-2020</w:t>
            </w:r>
          </w:p>
        </w:tc>
        <w:tc>
          <w:tcPr>
            <w:tcW w:w="962" w:type="pct"/>
            <w:noWrap/>
            <w:hideMark/>
          </w:tcPr>
          <w:p w14:paraId="78E82831"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c>
          <w:tcPr>
            <w:tcW w:w="1055" w:type="pct"/>
            <w:noWrap/>
            <w:hideMark/>
          </w:tcPr>
          <w:p w14:paraId="7D5AC985"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r>
      <w:tr w:rsidR="00DE659D" w:rsidRPr="005237B1" w14:paraId="24213A9F"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noWrap/>
            <w:hideMark/>
          </w:tcPr>
          <w:p w14:paraId="44CCF368" w14:textId="77777777" w:rsidR="00DE659D" w:rsidRPr="005237B1" w:rsidRDefault="00DE659D" w:rsidP="00DE659D">
            <w:pPr>
              <w:rPr>
                <w:b w:val="0"/>
                <w:noProof/>
                <w:color w:val="000000" w:themeColor="text1"/>
                <w:sz w:val="24"/>
                <w:lang w:val="en-US" w:eastAsia="fr-BE"/>
              </w:rPr>
            </w:pPr>
            <w:r w:rsidRPr="005237B1">
              <w:rPr>
                <w:b w:val="0"/>
                <w:noProof/>
                <w:color w:val="000000" w:themeColor="text1"/>
                <w:sz w:val="24"/>
                <w:lang w:val="en-US" w:eastAsia="fr-BE"/>
              </w:rPr>
              <w:t>Corluyt</w:t>
            </w:r>
            <w:r w:rsidRPr="005237B1">
              <w:rPr>
                <w:b w:val="0"/>
                <w:noProof/>
                <w:color w:val="000000" w:themeColor="text1"/>
                <w:sz w:val="24"/>
                <w:vertAlign w:val="superscript"/>
                <w:lang w:val="en-US" w:eastAsia="fr-BE"/>
              </w:rPr>
              <w:t>2</w:t>
            </w:r>
          </w:p>
        </w:tc>
        <w:tc>
          <w:tcPr>
            <w:tcW w:w="798" w:type="pct"/>
            <w:noWrap/>
            <w:hideMark/>
          </w:tcPr>
          <w:p w14:paraId="05A2B08E"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w:t>
            </w:r>
          </w:p>
        </w:tc>
        <w:tc>
          <w:tcPr>
            <w:tcW w:w="1033" w:type="pct"/>
            <w:noWrap/>
            <w:hideMark/>
          </w:tcPr>
          <w:p w14:paraId="4D5BEDE9"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2008-2020</w:t>
            </w:r>
          </w:p>
        </w:tc>
        <w:tc>
          <w:tcPr>
            <w:tcW w:w="962" w:type="pct"/>
            <w:noWrap/>
            <w:hideMark/>
          </w:tcPr>
          <w:p w14:paraId="5AC2D19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-2%</w:t>
            </w:r>
          </w:p>
        </w:tc>
        <w:tc>
          <w:tcPr>
            <w:tcW w:w="1055" w:type="pct"/>
            <w:noWrap/>
            <w:hideMark/>
          </w:tcPr>
          <w:p w14:paraId="7EEEA447"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w:t>
            </w:r>
          </w:p>
        </w:tc>
      </w:tr>
      <w:tr w:rsidR="00DE659D" w:rsidRPr="005237B1" w14:paraId="60AE7B5D" w14:textId="77777777" w:rsidTr="005237B1">
        <w:trPr>
          <w:trHeight w:val="288"/>
        </w:trPr>
        <w:tc>
          <w:tcPr>
            <w:cnfStyle w:val="001000000000" w:firstRow="0" w:lastRow="0" w:firstColumn="1" w:lastColumn="0" w:oddVBand="0" w:evenVBand="0" w:oddHBand="0" w:evenHBand="0" w:firstRowFirstColumn="0" w:firstRowLastColumn="0" w:lastRowFirstColumn="0" w:lastRowLastColumn="0"/>
            <w:tcW w:w="1152" w:type="pct"/>
            <w:shd w:val="clear" w:color="auto" w:fill="F2F2F2" w:themeFill="background1" w:themeFillShade="F2"/>
            <w:noWrap/>
          </w:tcPr>
          <w:p w14:paraId="29D29EEF" w14:textId="77777777" w:rsidR="00DE659D" w:rsidRPr="005237B1" w:rsidRDefault="00DE659D" w:rsidP="00DE659D">
            <w:pPr>
              <w:rPr>
                <w:noProof/>
                <w:color w:val="000000" w:themeColor="text1"/>
                <w:sz w:val="24"/>
                <w:lang w:val="en-US" w:eastAsia="fr-BE"/>
              </w:rPr>
            </w:pPr>
            <w:r w:rsidRPr="005237B1">
              <w:rPr>
                <w:noProof/>
                <w:color w:val="000000" w:themeColor="text1"/>
                <w:sz w:val="24"/>
                <w:lang w:val="en-US" w:eastAsia="fr-BE"/>
              </w:rPr>
              <w:t>Mean business</w:t>
            </w:r>
          </w:p>
        </w:tc>
        <w:tc>
          <w:tcPr>
            <w:tcW w:w="798" w:type="pct"/>
            <w:shd w:val="clear" w:color="auto" w:fill="F2F2F2" w:themeFill="background1" w:themeFillShade="F2"/>
            <w:noWrap/>
          </w:tcPr>
          <w:p w14:paraId="10280102"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-33%</w:t>
            </w:r>
          </w:p>
        </w:tc>
        <w:tc>
          <w:tcPr>
            <w:tcW w:w="1033" w:type="pct"/>
            <w:shd w:val="clear" w:color="auto" w:fill="F2F2F2" w:themeFill="background1" w:themeFillShade="F2"/>
            <w:noWrap/>
          </w:tcPr>
          <w:p w14:paraId="69BB5675"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11 years</w:t>
            </w:r>
          </w:p>
        </w:tc>
        <w:tc>
          <w:tcPr>
            <w:tcW w:w="962" w:type="pct"/>
            <w:shd w:val="clear" w:color="auto" w:fill="F2F2F2" w:themeFill="background1" w:themeFillShade="F2"/>
            <w:noWrap/>
          </w:tcPr>
          <w:p w14:paraId="52F0B133"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c>
          <w:tcPr>
            <w:tcW w:w="1055" w:type="pct"/>
            <w:shd w:val="clear" w:color="auto" w:fill="F2F2F2" w:themeFill="background1" w:themeFillShade="F2"/>
            <w:noWrap/>
          </w:tcPr>
          <w:p w14:paraId="76CAE48A" w14:textId="77777777" w:rsidR="00DE659D" w:rsidRPr="005237B1" w:rsidRDefault="00DE659D" w:rsidP="005237B1">
            <w:pPr>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val="en-US" w:eastAsia="fr-BE"/>
              </w:rPr>
            </w:pPr>
            <w:r w:rsidRPr="005237B1">
              <w:rPr>
                <w:noProof/>
                <w:color w:val="000000" w:themeColor="text1"/>
                <w:sz w:val="24"/>
                <w:lang w:val="en-US" w:eastAsia="fr-BE"/>
              </w:rPr>
              <w:t>-3%</w:t>
            </w:r>
          </w:p>
        </w:tc>
      </w:tr>
    </w:tbl>
    <w:p w14:paraId="20BF9B18" w14:textId="77777777" w:rsidR="00DE659D" w:rsidRPr="005237B1" w:rsidRDefault="00DE659D" w:rsidP="00DE659D">
      <w:pPr>
        <w:rPr>
          <w:noProof/>
          <w:color w:val="000000" w:themeColor="text1"/>
          <w:sz w:val="24"/>
          <w:lang w:val="en-US" w:eastAsia="fr-BE"/>
        </w:rPr>
      </w:pPr>
      <w:r w:rsidRPr="005237B1">
        <w:rPr>
          <w:noProof/>
          <w:color w:val="000000" w:themeColor="text1"/>
          <w:sz w:val="24"/>
          <w:vertAlign w:val="superscript"/>
          <w:lang w:val="en-US" w:eastAsia="fr-BE"/>
        </w:rPr>
        <w:t xml:space="preserve">1 </w:t>
      </w:r>
      <w:r w:rsidRPr="005237B1">
        <w:rPr>
          <w:noProof/>
          <w:color w:val="000000" w:themeColor="text1"/>
          <w:sz w:val="24"/>
          <w:lang w:val="en-US" w:eastAsia="fr-BE"/>
        </w:rPr>
        <w:t xml:space="preserve">GHG emissions measured in absolute terms. </w:t>
      </w:r>
    </w:p>
    <w:p w14:paraId="71ADA84E" w14:textId="77777777" w:rsidR="00DE659D" w:rsidRPr="005237B1" w:rsidRDefault="00DE659D" w:rsidP="00DE659D">
      <w:pPr>
        <w:rPr>
          <w:noProof/>
          <w:color w:val="000000" w:themeColor="text1"/>
          <w:sz w:val="24"/>
          <w:lang w:val="en-US" w:eastAsia="fr-BE"/>
        </w:rPr>
      </w:pPr>
      <w:r w:rsidRPr="005237B1">
        <w:rPr>
          <w:noProof/>
          <w:color w:val="000000" w:themeColor="text1"/>
          <w:sz w:val="24"/>
          <w:vertAlign w:val="superscript"/>
          <w:lang w:val="en-US" w:eastAsia="fr-BE"/>
        </w:rPr>
        <w:t>2</w:t>
      </w:r>
      <w:r w:rsidRPr="005237B1">
        <w:rPr>
          <w:noProof/>
          <w:color w:val="000000" w:themeColor="text1"/>
          <w:sz w:val="24"/>
          <w:lang w:val="en-US" w:eastAsia="fr-BE"/>
        </w:rPr>
        <w:t xml:space="preserve"> GHG emissions measured relatively to operating revenues or m² square area. If absolute GHG emissions were measured, they probably would show a stagnation or a rising slope. </w:t>
      </w:r>
    </w:p>
    <w:p w14:paraId="2E1EA835" w14:textId="77777777" w:rsidR="00DE659D" w:rsidRPr="005237B1" w:rsidRDefault="00DE659D" w:rsidP="00DE659D">
      <w:pPr>
        <w:rPr>
          <w:noProof/>
          <w:color w:val="000000" w:themeColor="text1"/>
          <w:sz w:val="24"/>
          <w:lang w:val="en-US" w:eastAsia="fr-BE"/>
        </w:rPr>
      </w:pPr>
      <w:r w:rsidRPr="005237B1">
        <w:rPr>
          <w:noProof/>
          <w:color w:val="000000" w:themeColor="text1"/>
          <w:sz w:val="24"/>
          <w:vertAlign w:val="superscript"/>
          <w:lang w:val="en-US" w:eastAsia="fr-BE"/>
        </w:rPr>
        <w:t>3</w:t>
      </w:r>
      <w:r w:rsidRPr="005237B1">
        <w:rPr>
          <w:noProof/>
          <w:color w:val="000000" w:themeColor="text1"/>
          <w:sz w:val="24"/>
          <w:lang w:val="en-US" w:eastAsia="fr-BE"/>
        </w:rPr>
        <w:t xml:space="preserve"> UCB measures include scope 3, while Ahold Delhaize measures include limited scope 3 (franchised stores and associated trucking)</w:t>
      </w:r>
    </w:p>
    <w:p w14:paraId="6927B412" w14:textId="77777777" w:rsidR="00DE659D" w:rsidRPr="00DE659D" w:rsidRDefault="00DE659D" w:rsidP="00DE659D">
      <w:pPr>
        <w:rPr>
          <w:noProof/>
          <w:color w:val="000000" w:themeColor="text1"/>
          <w:lang w:val="en-US" w:eastAsia="fr-BE"/>
        </w:rPr>
      </w:pPr>
    </w:p>
    <w:p w14:paraId="333406E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 xml:space="preserve">Table 4 shows that both targets and past performances in terms of GHG emissions are lower at the national level than at the business level (-1,4%/1,6% vs -3% for annual targets, -,07% vs -3% for past performances). </w:t>
      </w:r>
      <w:bookmarkStart w:id="65" w:name="_Hlk47715772"/>
      <w:r w:rsidRPr="00DE659D">
        <w:rPr>
          <w:noProof/>
          <w:color w:val="000000" w:themeColor="text1"/>
          <w:lang w:val="en-US" w:eastAsia="fr-BE"/>
        </w:rPr>
        <w:t xml:space="preserve">This can be partly explained by the fact that, by selection, the sample is composed of businesses which are the most committed to sustainability. </w:t>
      </w:r>
      <w:bookmarkStart w:id="66" w:name="_Hlk48230559"/>
      <w:bookmarkEnd w:id="65"/>
      <w:r w:rsidRPr="00DE659D">
        <w:rPr>
          <w:noProof/>
          <w:color w:val="000000" w:themeColor="text1"/>
          <w:lang w:val="en-US" w:eastAsia="fr-BE"/>
        </w:rPr>
        <w:t>In some cases, the drop in emissions is also partly explained by the sale of subsidiaries (this is the case with UCB)</w:t>
      </w:r>
      <w:bookmarkEnd w:id="66"/>
      <w:r w:rsidRPr="00DE659D">
        <w:rPr>
          <w:noProof/>
          <w:color w:val="000000" w:themeColor="text1"/>
          <w:lang w:val="en-US" w:eastAsia="fr-BE"/>
        </w:rPr>
        <w:t>. Moreover, the absence of scope 3 measurement creates an upward bias (while existing partial measures of scope 3 show that absolute GHG emissions reductions are smaller or even null). Even so, annual performances of several of these companies for scope 1 and 2 are impressive.</w:t>
      </w:r>
    </w:p>
    <w:p w14:paraId="6DFAC3F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Are national and business targets consistent with goals of 1.5 or 2° of climate warming? At the national level, Belgian targets are both inferior to IPCC targets (under the assumption that they apply to each country). Even if short-term targets are reached, progress would not be consistent with IPCC trajectories. The ambition of the Belgian government is thus insufficient to reach SDGs. The FPB itself recognizes the lack of government proactivity in terms of sustainable development (FPB, 2019). </w:t>
      </w:r>
    </w:p>
    <w:p w14:paraId="483D6720"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At the business level, if average annual targets are extrapolated until 2050, it would correspond with a decrease of GHG emissions by 60% between 2030 and 2050. In addition, with current average targets of 33% reduction on an eleven-year term, the magnitude of efforts would be consistent with the IPCC’s carbon reduction trajectories. However, this would only hold for scope 1 and 2 emissions, on the condition that provided data is exhaustive and under the assumption that IPCC targets apply uniformly to all businesses. Moreover, it is based on the hypothesis that it would be possible to sustain efficiency gains at a high rate for the medium or long term. Until now, this hypothesis has not been proven true. Scope 1 and 2 GHG emissions business targets can thus be considered consistent with SDGs, but </w:t>
      </w:r>
      <w:bookmarkStart w:id="67" w:name="_Hlk48228980"/>
      <w:r w:rsidRPr="00DE659D">
        <w:rPr>
          <w:noProof/>
          <w:color w:val="000000" w:themeColor="text1"/>
          <w:lang w:val="en-US" w:eastAsia="fr-BE"/>
        </w:rPr>
        <w:t>data constraints and the absence of scope 3 means that this result must be treated with caution</w:t>
      </w:r>
      <w:bookmarkEnd w:id="67"/>
      <w:r w:rsidRPr="00DE659D">
        <w:rPr>
          <w:noProof/>
          <w:color w:val="000000" w:themeColor="text1"/>
          <w:lang w:val="en-US" w:eastAsia="fr-BE"/>
        </w:rPr>
        <w:t xml:space="preserve">. </w:t>
      </w:r>
    </w:p>
    <w:p w14:paraId="76AA02AD" w14:textId="77777777" w:rsidR="00DE659D" w:rsidRPr="00DE659D" w:rsidRDefault="00DE659D" w:rsidP="00DE659D">
      <w:pPr>
        <w:rPr>
          <w:noProof/>
          <w:color w:val="000000" w:themeColor="text1"/>
          <w:lang w:val="en-US" w:eastAsia="fr-BE"/>
        </w:rPr>
      </w:pPr>
      <w:bookmarkStart w:id="68" w:name="_Hlk47715713"/>
      <w:bookmarkStart w:id="69" w:name="_Hlk48132586"/>
      <w:r w:rsidRPr="00DE659D">
        <w:rPr>
          <w:noProof/>
          <w:color w:val="000000" w:themeColor="text1"/>
          <w:lang w:val="en-US" w:eastAsia="fr-BE"/>
        </w:rPr>
        <w:lastRenderedPageBreak/>
        <w:t>More fundamentally, the many conditions and assumptions underlying the performance analysis reflect the intertwining of methodological and political issues. They also reveal that while the SDGs may sometimes appear to be consensual, it is at the time of their operationalization that choices are made (for instance, in the scope of measurement) which can have important implications and guide the actors on very different paths.</w:t>
      </w:r>
      <w:bookmarkEnd w:id="68"/>
    </w:p>
    <w:p w14:paraId="73358EB2" w14:textId="07D4A1AE" w:rsidR="00DE659D" w:rsidRPr="00DE659D" w:rsidRDefault="00DE659D" w:rsidP="00DE659D">
      <w:pPr>
        <w:pStyle w:val="Titre2"/>
        <w:rPr>
          <w:noProof/>
          <w:lang w:val="en-US" w:eastAsia="fr-BE"/>
        </w:rPr>
      </w:pPr>
      <w:bookmarkStart w:id="70" w:name="_Toc51512297"/>
      <w:bookmarkEnd w:id="69"/>
      <w:r w:rsidRPr="00DE659D">
        <w:rPr>
          <w:noProof/>
          <w:lang w:val="en-US" w:eastAsia="fr-BE"/>
        </w:rPr>
        <w:t>Discussion and conclusion</w:t>
      </w:r>
      <w:bookmarkEnd w:id="70"/>
    </w:p>
    <w:p w14:paraId="68B0399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The analyses conducted in sections 4 and 5 show a misalignment between the indicators and targets at the business and government levels. This is first apparent at the level of the issues being measured, where there is a lack of data at the </w:t>
      </w:r>
      <w:r w:rsidRPr="00DE659D">
        <w:rPr>
          <w:noProof/>
          <w:color w:val="000000" w:themeColor="text1"/>
          <w:lang w:eastAsia="fr-BE"/>
        </w:rPr>
        <w:t>business</w:t>
      </w:r>
      <w:r w:rsidRPr="00DE659D">
        <w:rPr>
          <w:noProof/>
          <w:color w:val="000000" w:themeColor="text1"/>
          <w:lang w:val="en-US" w:eastAsia="fr-BE"/>
        </w:rPr>
        <w:t xml:space="preserve"> level on social inequalities, industrial processes, innovation and biodiversity. As these issues are also Belgium's main weaknesses in terms of SDGs, their lack of reporting leads to a second misalignment, which lies between the priorities of companies and what responding to national SDGs weaknesses would require. A third misalignment is at the level of the targets accompanying the indicators. Few indicators are accompanied by targets, and even fewer indicators are subject to targets at both levels simultaneously. Finally, a fourth misalignment lies between the degrees of ambition reflected in the targets. For the indicator most frequently calculated at both levels (greenhouse gas emissions), it appears that business and government targets do not reflect identical ambition and in some cases are not in line with climate objectives. </w:t>
      </w:r>
      <w:bookmarkStart w:id="71" w:name="_Hlk48228595"/>
      <w:r w:rsidRPr="00DE659D">
        <w:rPr>
          <w:noProof/>
          <w:color w:val="000000" w:themeColor="text1"/>
          <w:lang w:val="en-US" w:eastAsia="fr-BE"/>
        </w:rPr>
        <w:t>What does this four-way misalignment tell us?</w:t>
      </w:r>
    </w:p>
    <w:p w14:paraId="4B9DA06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From the indicator point of view, it tells us that the conditions under which indicators allow for a better coordination between business and government are not satisfied. This means that the SDGs dynamic applied to the indicators is still developing or lagging, and there is much room for improvement in addressing these misalignments. </w:t>
      </w:r>
    </w:p>
    <w:p w14:paraId="7920889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From the actor perspective, this non-alignment reflects a lack of coordination among actors, which act separately. More fundamentally, it calls into question the sincerity of those who claim to be committed to the SDGs dynamic but do not publish data on </w:t>
      </w:r>
      <w:r w:rsidRPr="00DE659D">
        <w:rPr>
          <w:noProof/>
          <w:color w:val="000000" w:themeColor="text1"/>
          <w:lang w:val="en-US" w:eastAsia="fr-BE"/>
        </w:rPr>
        <w:lastRenderedPageBreak/>
        <w:t>some of their performances (in the case of companies), or define targets that are too unambitious (in the case of the Belgian government for greenhouse gas emissions). Are these actors, and particularly companies, ready to change their practices as a whole to reach SDGs, or are they putting aside changes that might cost them?</w:t>
      </w:r>
    </w:p>
    <w:p w14:paraId="70258AAE"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Finally, from the point of view of the objective (of the SDGs), this misalignment reflects the limits of a non-binding multi-actor approach where the various players are not always aligned with each other or with their stated common objective. If trends continue, it is to be expected that some SDGs will make progress (related to green energy, energy efficiency, gender pay gap, waste management, occupational health and safety, etc.). However, the goals mentioned as neglected issues are unlikely to be achieved. It should also be recalled that the companies analyzed were, by selection, the most advanced in terms of sustainability. The rest of the industry is therefore even further behind in achieving the SDGs.</w:t>
      </w:r>
    </w:p>
    <w:p w14:paraId="6B463676" w14:textId="77777777" w:rsidR="00DE659D" w:rsidRPr="00DE659D" w:rsidRDefault="00DE659D" w:rsidP="00DE659D">
      <w:pPr>
        <w:rPr>
          <w:noProof/>
          <w:color w:val="000000" w:themeColor="text1"/>
          <w:lang w:val="en-US" w:eastAsia="fr-BE"/>
        </w:rPr>
      </w:pPr>
      <w:bookmarkStart w:id="72" w:name="_Hlk48229197"/>
      <w:bookmarkEnd w:id="71"/>
      <w:r w:rsidRPr="00DE659D">
        <w:rPr>
          <w:noProof/>
          <w:color w:val="000000" w:themeColor="text1"/>
          <w:lang w:val="en-US" w:eastAsia="fr-BE"/>
        </w:rPr>
        <w:t xml:space="preserve">In terms of public policy, several measures could be taken to improve the situation. First, the government could require large companies to report on each or on a subset of the 17 SDGs, as is currently done in traditional accounting, which is partially regulated. Second, the government could require companies not just to report, but to act in a range of areas through appropriate regulation and planning. In this perspective, the government would thus be the guarantor of the alignment of all actors with the SDGs. Of course, for it to take on such a role it would need the will to do so, which probably requires a change in the balance of power in society beforehand. </w:t>
      </w:r>
    </w:p>
    <w:bookmarkEnd w:id="72"/>
    <w:p w14:paraId="4D93E77D" w14:textId="77777777" w:rsidR="005237B1" w:rsidRDefault="005237B1">
      <w:pPr>
        <w:spacing w:line="259" w:lineRule="auto"/>
        <w:ind w:firstLine="0"/>
        <w:jc w:val="left"/>
        <w:rPr>
          <w:noProof/>
          <w:sz w:val="32"/>
          <w:lang w:val="en-US" w:eastAsia="fr-BE"/>
        </w:rPr>
      </w:pPr>
      <w:r>
        <w:rPr>
          <w:noProof/>
          <w:lang w:val="en-US" w:eastAsia="fr-BE"/>
        </w:rPr>
        <w:br w:type="page"/>
      </w:r>
    </w:p>
    <w:p w14:paraId="7FA43371" w14:textId="607D9A43" w:rsidR="00DE659D" w:rsidRPr="00DE659D" w:rsidRDefault="00DE659D" w:rsidP="00DE659D">
      <w:pPr>
        <w:pStyle w:val="Titre2"/>
        <w:numPr>
          <w:ilvl w:val="0"/>
          <w:numId w:val="0"/>
        </w:numPr>
        <w:ind w:left="360"/>
        <w:rPr>
          <w:noProof/>
          <w:lang w:val="en-US" w:eastAsia="fr-BE"/>
        </w:rPr>
      </w:pPr>
      <w:bookmarkStart w:id="73" w:name="_Toc51512298"/>
      <w:r w:rsidRPr="00DE659D">
        <w:rPr>
          <w:noProof/>
          <w:lang w:val="en-US" w:eastAsia="fr-BE"/>
        </w:rPr>
        <w:lastRenderedPageBreak/>
        <w:t>References</w:t>
      </w:r>
      <w:bookmarkEnd w:id="73"/>
    </w:p>
    <w:p w14:paraId="5956698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Adelman, S. (2018). The sustainable development goals, Anthropocentrism and Neoliberalism. In </w:t>
      </w:r>
      <w:r w:rsidRPr="00DE659D">
        <w:rPr>
          <w:i/>
          <w:iCs/>
          <w:noProof/>
          <w:color w:val="000000" w:themeColor="text1"/>
          <w:lang w:val="en-US" w:eastAsia="fr-BE"/>
        </w:rPr>
        <w:t>Sustainable Development Goals</w:t>
      </w:r>
      <w:r w:rsidRPr="00DE659D">
        <w:rPr>
          <w:noProof/>
          <w:color w:val="000000" w:themeColor="text1"/>
          <w:lang w:val="en-US" w:eastAsia="fr-BE"/>
        </w:rPr>
        <w:t>. Edward Elgar Publishing.</w:t>
      </w:r>
    </w:p>
    <w:p w14:paraId="631AC35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Allen, C., Metternicht, G., &amp; Wiedmann, T. (2018). Initial progress in implementing the Sustainable Development Goals (SDGs): a review of evidence from countries. </w:t>
      </w:r>
      <w:r w:rsidRPr="00DE659D">
        <w:rPr>
          <w:i/>
          <w:iCs/>
          <w:noProof/>
          <w:color w:val="000000" w:themeColor="text1"/>
          <w:lang w:val="en-US" w:eastAsia="fr-BE"/>
        </w:rPr>
        <w:t>Sustainability Science</w:t>
      </w:r>
      <w:r w:rsidRPr="00DE659D">
        <w:rPr>
          <w:noProof/>
          <w:color w:val="000000" w:themeColor="text1"/>
          <w:lang w:val="en-US" w:eastAsia="fr-BE"/>
        </w:rPr>
        <w:t>, </w:t>
      </w:r>
      <w:r w:rsidRPr="00DE659D">
        <w:rPr>
          <w:i/>
          <w:iCs/>
          <w:noProof/>
          <w:color w:val="000000" w:themeColor="text1"/>
          <w:lang w:val="en-US" w:eastAsia="fr-BE"/>
        </w:rPr>
        <w:t>13</w:t>
      </w:r>
      <w:r w:rsidRPr="00DE659D">
        <w:rPr>
          <w:noProof/>
          <w:color w:val="000000" w:themeColor="text1"/>
          <w:lang w:val="en-US" w:eastAsia="fr-BE"/>
        </w:rPr>
        <w:t>(5), 1453-1467.</w:t>
      </w:r>
    </w:p>
    <w:p w14:paraId="14C4F15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Allen, C., Nejdawi, R., El-Baba, J., Hamati, K., Metternicht, G., &amp; Wiedmann, T. (2017). Indicator-based assessments of progress towards the sustainable development goals (SDGs): a case study from the Arab region. </w:t>
      </w:r>
      <w:r w:rsidRPr="00DE659D">
        <w:rPr>
          <w:i/>
          <w:iCs/>
          <w:noProof/>
          <w:color w:val="000000" w:themeColor="text1"/>
          <w:lang w:val="en-US" w:eastAsia="fr-BE"/>
        </w:rPr>
        <w:t>Sustainability Science</w:t>
      </w:r>
      <w:r w:rsidRPr="00DE659D">
        <w:rPr>
          <w:noProof/>
          <w:color w:val="000000" w:themeColor="text1"/>
          <w:lang w:val="en-US" w:eastAsia="fr-BE"/>
        </w:rPr>
        <w:t>, </w:t>
      </w:r>
      <w:r w:rsidRPr="00DE659D">
        <w:rPr>
          <w:i/>
          <w:iCs/>
          <w:noProof/>
          <w:color w:val="000000" w:themeColor="text1"/>
          <w:lang w:val="en-US" w:eastAsia="fr-BE"/>
        </w:rPr>
        <w:t>12</w:t>
      </w:r>
      <w:r w:rsidRPr="00DE659D">
        <w:rPr>
          <w:noProof/>
          <w:color w:val="000000" w:themeColor="text1"/>
          <w:lang w:val="en-US" w:eastAsia="fr-BE"/>
        </w:rPr>
        <w:t>(6), 975-989.</w:t>
      </w:r>
    </w:p>
    <w:p w14:paraId="626C7A4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Allen, C., Reid, M., Thwaites, J., Glover, R., &amp; Kestin, T. (2020). Assessing national progress and priorities for the Sustainable Development Goals (SDGs): experience from Australia. </w:t>
      </w:r>
      <w:r w:rsidRPr="00DE659D">
        <w:rPr>
          <w:i/>
          <w:iCs/>
          <w:noProof/>
          <w:color w:val="000000" w:themeColor="text1"/>
          <w:lang w:val="en-US" w:eastAsia="fr-BE"/>
        </w:rPr>
        <w:t>Sustainability Science</w:t>
      </w:r>
      <w:r w:rsidRPr="00DE659D">
        <w:rPr>
          <w:noProof/>
          <w:color w:val="000000" w:themeColor="text1"/>
          <w:lang w:val="en-US" w:eastAsia="fr-BE"/>
        </w:rPr>
        <w:t>, </w:t>
      </w:r>
      <w:r w:rsidRPr="00DE659D">
        <w:rPr>
          <w:i/>
          <w:iCs/>
          <w:noProof/>
          <w:color w:val="000000" w:themeColor="text1"/>
          <w:lang w:val="en-US" w:eastAsia="fr-BE"/>
        </w:rPr>
        <w:t>15</w:t>
      </w:r>
      <w:r w:rsidRPr="00DE659D">
        <w:rPr>
          <w:noProof/>
          <w:color w:val="000000" w:themeColor="text1"/>
          <w:lang w:val="en-US" w:eastAsia="fr-BE"/>
        </w:rPr>
        <w:t>(2), 521-538.</w:t>
      </w:r>
    </w:p>
    <w:p w14:paraId="769C4C3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Atkinson, A. B. (2015). </w:t>
      </w:r>
      <w:r w:rsidRPr="00DE659D">
        <w:rPr>
          <w:i/>
          <w:iCs/>
          <w:noProof/>
          <w:color w:val="000000" w:themeColor="text1"/>
          <w:lang w:val="en-US" w:eastAsia="fr-BE"/>
        </w:rPr>
        <w:t>Inequality: What can be done?</w:t>
      </w:r>
      <w:r w:rsidRPr="00DE659D">
        <w:rPr>
          <w:noProof/>
          <w:color w:val="000000" w:themeColor="text1"/>
          <w:lang w:val="en-US" w:eastAsia="fr-BE"/>
        </w:rPr>
        <w:t>. Harvard University Press.</w:t>
      </w:r>
    </w:p>
    <w:p w14:paraId="6525947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Bapuji, H., Husted, B. W., Lu, J., &amp; Mir, R. (2018). Value creation, appropriation, and distribution: How firms contribute to societal economic inequality. </w:t>
      </w:r>
      <w:r w:rsidRPr="00DE659D">
        <w:rPr>
          <w:i/>
          <w:iCs/>
          <w:noProof/>
          <w:color w:val="000000" w:themeColor="text1"/>
          <w:lang w:val="en-US" w:eastAsia="fr-BE"/>
        </w:rPr>
        <w:t>Business &amp; Society</w:t>
      </w:r>
      <w:r w:rsidRPr="00DE659D">
        <w:rPr>
          <w:noProof/>
          <w:color w:val="000000" w:themeColor="text1"/>
          <w:lang w:val="en-US" w:eastAsia="fr-BE"/>
        </w:rPr>
        <w:t>, </w:t>
      </w:r>
      <w:r w:rsidRPr="00DE659D">
        <w:rPr>
          <w:i/>
          <w:iCs/>
          <w:noProof/>
          <w:color w:val="000000" w:themeColor="text1"/>
          <w:lang w:val="en-US" w:eastAsia="fr-BE"/>
        </w:rPr>
        <w:t>57</w:t>
      </w:r>
      <w:r w:rsidRPr="00DE659D">
        <w:rPr>
          <w:noProof/>
          <w:color w:val="000000" w:themeColor="text1"/>
          <w:lang w:val="en-US" w:eastAsia="fr-BE"/>
        </w:rPr>
        <w:t>(6), 983-1009.</w:t>
      </w:r>
    </w:p>
    <w:p w14:paraId="6DBD0D50"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Battersby, J. (2017). MDGs to SDGs–new goals, same gaps: the continued absence of urban food security in the post-2015 global development agenda. </w:t>
      </w:r>
      <w:r w:rsidRPr="00DE659D">
        <w:rPr>
          <w:i/>
          <w:iCs/>
          <w:noProof/>
          <w:color w:val="000000" w:themeColor="text1"/>
          <w:lang w:val="en-US" w:eastAsia="fr-BE"/>
        </w:rPr>
        <w:t>African Geographical Review</w:t>
      </w:r>
      <w:r w:rsidRPr="00DE659D">
        <w:rPr>
          <w:noProof/>
          <w:color w:val="000000" w:themeColor="text1"/>
          <w:lang w:val="en-US" w:eastAsia="fr-BE"/>
        </w:rPr>
        <w:t>, </w:t>
      </w:r>
      <w:r w:rsidRPr="00DE659D">
        <w:rPr>
          <w:i/>
          <w:iCs/>
          <w:noProof/>
          <w:color w:val="000000" w:themeColor="text1"/>
          <w:lang w:val="en-US" w:eastAsia="fr-BE"/>
        </w:rPr>
        <w:t>36</w:t>
      </w:r>
      <w:r w:rsidRPr="00DE659D">
        <w:rPr>
          <w:noProof/>
          <w:color w:val="000000" w:themeColor="text1"/>
          <w:lang w:val="en-US" w:eastAsia="fr-BE"/>
        </w:rPr>
        <w:t>(1), 115-129.</w:t>
      </w:r>
    </w:p>
    <w:p w14:paraId="08B4BAD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Bebbington, J., &amp; Unerman, J. (2018). Achieving the United Nations Sustainable Development Goals: an enabling role for accounting research. </w:t>
      </w:r>
      <w:r w:rsidRPr="00DE659D">
        <w:rPr>
          <w:i/>
          <w:iCs/>
          <w:noProof/>
          <w:color w:val="000000" w:themeColor="text1"/>
          <w:lang w:val="en-US" w:eastAsia="fr-BE"/>
        </w:rPr>
        <w:t>Accounting, Auditing &amp; Accountability Journal</w:t>
      </w:r>
      <w:r w:rsidRPr="00DE659D">
        <w:rPr>
          <w:noProof/>
          <w:color w:val="000000" w:themeColor="text1"/>
          <w:lang w:val="en-US" w:eastAsia="fr-BE"/>
        </w:rPr>
        <w:t>, </w:t>
      </w:r>
      <w:r w:rsidRPr="00DE659D">
        <w:rPr>
          <w:i/>
          <w:iCs/>
          <w:noProof/>
          <w:color w:val="000000" w:themeColor="text1"/>
          <w:lang w:val="en-US" w:eastAsia="fr-BE"/>
        </w:rPr>
        <w:t>31</w:t>
      </w:r>
      <w:r w:rsidRPr="00DE659D">
        <w:rPr>
          <w:noProof/>
          <w:color w:val="000000" w:themeColor="text1"/>
          <w:lang w:val="en-US" w:eastAsia="fr-BE"/>
        </w:rPr>
        <w:t>(1), 2-24.</w:t>
      </w:r>
    </w:p>
    <w:p w14:paraId="1870787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Blum</w:t>
      </w:r>
      <w:r w:rsidRPr="00DE659D">
        <w:rPr>
          <w:rFonts w:ascii="Times New Roman" w:hAnsi="Times New Roman" w:cs="Times New Roman"/>
          <w:noProof/>
          <w:color w:val="000000" w:themeColor="text1"/>
          <w:lang w:val="en-US" w:eastAsia="fr-BE"/>
        </w:rPr>
        <w:t>‐</w:t>
      </w:r>
      <w:r w:rsidRPr="00DE659D">
        <w:rPr>
          <w:noProof/>
          <w:color w:val="000000" w:themeColor="text1"/>
          <w:lang w:val="en-US" w:eastAsia="fr-BE"/>
        </w:rPr>
        <w:t>Kusterer, M., &amp; Hussain, S. S. (2001). Innovation and corporate sustainability: An investigation into the process of change in the pharmaceuticals industry.</w:t>
      </w:r>
      <w:r w:rsidRPr="00DE659D">
        <w:rPr>
          <w:rFonts w:cs="Arial"/>
          <w:noProof/>
          <w:color w:val="000000" w:themeColor="text1"/>
          <w:lang w:val="en-US" w:eastAsia="fr-BE"/>
        </w:rPr>
        <w:t> </w:t>
      </w:r>
      <w:r w:rsidRPr="00DE659D">
        <w:rPr>
          <w:i/>
          <w:iCs/>
          <w:noProof/>
          <w:color w:val="000000" w:themeColor="text1"/>
          <w:lang w:val="en-US" w:eastAsia="fr-BE"/>
        </w:rPr>
        <w:t>Business strategy and the environment</w:t>
      </w:r>
      <w:r w:rsidRPr="00DE659D">
        <w:rPr>
          <w:noProof/>
          <w:color w:val="000000" w:themeColor="text1"/>
          <w:lang w:val="en-US" w:eastAsia="fr-BE"/>
        </w:rPr>
        <w:t>, </w:t>
      </w:r>
      <w:r w:rsidRPr="00DE659D">
        <w:rPr>
          <w:i/>
          <w:iCs/>
          <w:noProof/>
          <w:color w:val="000000" w:themeColor="text1"/>
          <w:lang w:val="en-US" w:eastAsia="fr-BE"/>
        </w:rPr>
        <w:t>10</w:t>
      </w:r>
      <w:r w:rsidRPr="00DE659D">
        <w:rPr>
          <w:noProof/>
          <w:color w:val="000000" w:themeColor="text1"/>
          <w:lang w:val="en-US" w:eastAsia="fr-BE"/>
        </w:rPr>
        <w:t>(5), 300-316.</w:t>
      </w:r>
    </w:p>
    <w:p w14:paraId="2DCB179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Boiral, O. (2013). Sustainability reports as simulacra? A counter-account of A and A+ GRI reports. </w:t>
      </w:r>
      <w:r w:rsidRPr="00DE659D">
        <w:rPr>
          <w:i/>
          <w:iCs/>
          <w:noProof/>
          <w:color w:val="000000" w:themeColor="text1"/>
          <w:lang w:val="en-US" w:eastAsia="fr-BE"/>
        </w:rPr>
        <w:t>Accounting, Auditing &amp; Accountability Journal</w:t>
      </w:r>
      <w:r w:rsidRPr="00DE659D">
        <w:rPr>
          <w:noProof/>
          <w:color w:val="000000" w:themeColor="text1"/>
          <w:lang w:val="en-US" w:eastAsia="fr-BE"/>
        </w:rPr>
        <w:t>, </w:t>
      </w:r>
      <w:r w:rsidRPr="00DE659D">
        <w:rPr>
          <w:i/>
          <w:iCs/>
          <w:noProof/>
          <w:color w:val="000000" w:themeColor="text1"/>
          <w:lang w:val="en-US" w:eastAsia="fr-BE"/>
        </w:rPr>
        <w:t>26</w:t>
      </w:r>
      <w:r w:rsidRPr="00DE659D">
        <w:rPr>
          <w:noProof/>
          <w:color w:val="000000" w:themeColor="text1"/>
          <w:lang w:val="en-US" w:eastAsia="fr-BE"/>
        </w:rPr>
        <w:t>(7), 1036-1071.</w:t>
      </w:r>
    </w:p>
    <w:p w14:paraId="6355074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Boiral, O., &amp; Henri, J. F. (2017). Is sustainability performance comparable? A study of GRI reports of mining organizations. </w:t>
      </w:r>
      <w:r w:rsidRPr="00DE659D">
        <w:rPr>
          <w:i/>
          <w:iCs/>
          <w:noProof/>
          <w:color w:val="000000" w:themeColor="text1"/>
          <w:lang w:val="en-US" w:eastAsia="fr-BE"/>
        </w:rPr>
        <w:t>Business &amp; Society</w:t>
      </w:r>
      <w:r w:rsidRPr="00DE659D">
        <w:rPr>
          <w:noProof/>
          <w:color w:val="000000" w:themeColor="text1"/>
          <w:lang w:val="en-US" w:eastAsia="fr-BE"/>
        </w:rPr>
        <w:t>, </w:t>
      </w:r>
      <w:r w:rsidRPr="00DE659D">
        <w:rPr>
          <w:i/>
          <w:iCs/>
          <w:noProof/>
          <w:color w:val="000000" w:themeColor="text1"/>
          <w:lang w:val="en-US" w:eastAsia="fr-BE"/>
        </w:rPr>
        <w:t>56</w:t>
      </w:r>
      <w:r w:rsidRPr="00DE659D">
        <w:rPr>
          <w:noProof/>
          <w:color w:val="000000" w:themeColor="text1"/>
          <w:lang w:val="en-US" w:eastAsia="fr-BE"/>
        </w:rPr>
        <w:t>(2), 283-317.</w:t>
      </w:r>
    </w:p>
    <w:p w14:paraId="5005C9B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BusinessWire. (2016). Global Retail Industry Worth USD 28 Trillion by 2019-Analysis, Technologies &amp; Forecasts Report 2016-2019-Research and Markets. Retrieved from http://www.businesswire.com/news/home/20160630005551/en/GlobalRetail-Industry-Worth-USD-28-Trillion. (Accessed 24 January 2020).</w:t>
      </w:r>
    </w:p>
    <w:p w14:paraId="0918934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CAIT Climate Data Explorer. 2019. Country Greenhouse Gas Emissions. Washington, DC: World Resources Institute. Available online at: </w:t>
      </w:r>
      <w:hyperlink r:id="rId18" w:history="1">
        <w:r w:rsidRPr="00DE659D">
          <w:rPr>
            <w:rStyle w:val="Lienhypertexte"/>
            <w:noProof/>
            <w:lang w:val="en-US" w:eastAsia="fr-BE"/>
          </w:rPr>
          <w:t>http://cait.wri.org</w:t>
        </w:r>
      </w:hyperlink>
    </w:p>
    <w:p w14:paraId="0ED5DE50"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Cicatiello, C., Franco, S., Pancino, B., &amp; Blasi, E. (2016). </w:t>
      </w:r>
      <w:r w:rsidRPr="00DE659D">
        <w:rPr>
          <w:noProof/>
          <w:color w:val="000000" w:themeColor="text1"/>
          <w:lang w:val="en-US" w:eastAsia="fr-BE"/>
        </w:rPr>
        <w:t>The value of food waste: An exploratory study on retailing. </w:t>
      </w:r>
      <w:r w:rsidRPr="00DE659D">
        <w:rPr>
          <w:i/>
          <w:iCs/>
          <w:noProof/>
          <w:color w:val="000000" w:themeColor="text1"/>
          <w:lang w:val="en-US" w:eastAsia="fr-BE"/>
        </w:rPr>
        <w:t>Journal of Retailing and Consumer Services</w:t>
      </w:r>
      <w:r w:rsidRPr="00DE659D">
        <w:rPr>
          <w:noProof/>
          <w:color w:val="000000" w:themeColor="text1"/>
          <w:lang w:val="en-US" w:eastAsia="fr-BE"/>
        </w:rPr>
        <w:t>, </w:t>
      </w:r>
      <w:r w:rsidRPr="00DE659D">
        <w:rPr>
          <w:i/>
          <w:iCs/>
          <w:noProof/>
          <w:color w:val="000000" w:themeColor="text1"/>
          <w:lang w:val="en-US" w:eastAsia="fr-BE"/>
        </w:rPr>
        <w:t>30</w:t>
      </w:r>
      <w:r w:rsidRPr="00DE659D">
        <w:rPr>
          <w:noProof/>
          <w:color w:val="000000" w:themeColor="text1"/>
          <w:lang w:val="en-US" w:eastAsia="fr-BE"/>
        </w:rPr>
        <w:t>, 96-104.</w:t>
      </w:r>
    </w:p>
    <w:p w14:paraId="3DBE514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Cogan, D. G. (2008). Corporate governance and climate change: Consumer and technology compagnies.</w:t>
      </w:r>
    </w:p>
    <w:p w14:paraId="494186DB" w14:textId="77777777" w:rsidR="00DE659D" w:rsidRPr="00DE659D" w:rsidRDefault="00DE659D" w:rsidP="00DE659D">
      <w:pPr>
        <w:rPr>
          <w:noProof/>
          <w:color w:val="000000" w:themeColor="text1"/>
          <w:lang w:val="fr-BE" w:eastAsia="fr-BE"/>
        </w:rPr>
      </w:pPr>
      <w:r w:rsidRPr="00DE659D">
        <w:rPr>
          <w:noProof/>
          <w:color w:val="000000" w:themeColor="text1"/>
          <w:lang w:val="en-US" w:eastAsia="fr-BE"/>
        </w:rPr>
        <w:t>Cole, D. H. (2015). Advantages of a polycentric approach to climate change policy. </w:t>
      </w:r>
      <w:r w:rsidRPr="00DE659D">
        <w:rPr>
          <w:i/>
          <w:iCs/>
          <w:noProof/>
          <w:color w:val="000000" w:themeColor="text1"/>
          <w:lang w:val="fr-BE" w:eastAsia="fr-BE"/>
        </w:rPr>
        <w:t>Nature Climate Change</w:t>
      </w:r>
      <w:r w:rsidRPr="00DE659D">
        <w:rPr>
          <w:noProof/>
          <w:color w:val="000000" w:themeColor="text1"/>
          <w:lang w:val="fr-BE" w:eastAsia="fr-BE"/>
        </w:rPr>
        <w:t>, </w:t>
      </w:r>
      <w:r w:rsidRPr="00DE659D">
        <w:rPr>
          <w:i/>
          <w:iCs/>
          <w:noProof/>
          <w:color w:val="000000" w:themeColor="text1"/>
          <w:lang w:val="fr-BE" w:eastAsia="fr-BE"/>
        </w:rPr>
        <w:t>5</w:t>
      </w:r>
      <w:r w:rsidRPr="00DE659D">
        <w:rPr>
          <w:noProof/>
          <w:color w:val="000000" w:themeColor="text1"/>
          <w:lang w:val="fr-BE" w:eastAsia="fr-BE"/>
        </w:rPr>
        <w:t>(2), 114-118.</w:t>
      </w:r>
    </w:p>
    <w:p w14:paraId="71DF6CE0"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De Sanfeliú, M. B., Milan, S., Rodríguez, A., &amp; de Trigueros, M. (2020). </w:t>
      </w:r>
      <w:r w:rsidRPr="00DE659D">
        <w:rPr>
          <w:noProof/>
          <w:color w:val="000000" w:themeColor="text1"/>
          <w:lang w:val="en-US" w:eastAsia="fr-BE"/>
        </w:rPr>
        <w:t>The implementation process of the SDGs: Latin America Regional Survey.</w:t>
      </w:r>
    </w:p>
    <w:p w14:paraId="2360CE1B" w14:textId="77777777" w:rsidR="00DE659D" w:rsidRPr="00DE659D" w:rsidRDefault="00DE659D" w:rsidP="00DE659D">
      <w:pPr>
        <w:rPr>
          <w:noProof/>
          <w:color w:val="000000" w:themeColor="text1"/>
          <w:lang w:val="fr-BE" w:eastAsia="fr-BE"/>
        </w:rPr>
      </w:pPr>
      <w:r w:rsidRPr="00DE659D">
        <w:rPr>
          <w:noProof/>
          <w:color w:val="000000" w:themeColor="text1"/>
          <w:lang w:val="en-US" w:eastAsia="fr-BE"/>
        </w:rPr>
        <w:t>Demir, M., &amp; Min, M. (2019). Consistencies and discrepancies in corporate social responsibility reporting in the pharmaceutical industry. </w:t>
      </w:r>
      <w:r w:rsidRPr="00DE659D">
        <w:rPr>
          <w:i/>
          <w:iCs/>
          <w:noProof/>
          <w:color w:val="000000" w:themeColor="text1"/>
          <w:lang w:val="fr-BE" w:eastAsia="fr-BE"/>
        </w:rPr>
        <w:t>Sustainability Accounting, Management and Policy Journal</w:t>
      </w:r>
      <w:r w:rsidRPr="00DE659D">
        <w:rPr>
          <w:noProof/>
          <w:color w:val="000000" w:themeColor="text1"/>
          <w:lang w:val="fr-BE" w:eastAsia="fr-BE"/>
        </w:rPr>
        <w:t>.</w:t>
      </w:r>
    </w:p>
    <w:p w14:paraId="53CF97AE"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Desrosières, A. (2014). </w:t>
      </w:r>
      <w:r w:rsidRPr="00DE659D">
        <w:rPr>
          <w:i/>
          <w:iCs/>
          <w:noProof/>
          <w:color w:val="000000" w:themeColor="text1"/>
          <w:lang w:val="fr-BE" w:eastAsia="fr-BE"/>
        </w:rPr>
        <w:t>Prouver et gouverner: une analyse politique des statistiques publiques</w:t>
      </w:r>
      <w:r w:rsidRPr="00DE659D">
        <w:rPr>
          <w:noProof/>
          <w:color w:val="000000" w:themeColor="text1"/>
          <w:lang w:val="fr-BE" w:eastAsia="fr-BE"/>
        </w:rPr>
        <w:t xml:space="preserve">. </w:t>
      </w:r>
      <w:r w:rsidRPr="00DE659D">
        <w:rPr>
          <w:noProof/>
          <w:color w:val="000000" w:themeColor="text1"/>
          <w:lang w:val="en-US" w:eastAsia="fr-BE"/>
        </w:rPr>
        <w:t>La découverte.</w:t>
      </w:r>
    </w:p>
    <w:p w14:paraId="5DFADF0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Diouf, D., &amp; Boiral, O. (2017). The quality of sustainability reports and impression management. </w:t>
      </w:r>
      <w:r w:rsidRPr="00DE659D">
        <w:rPr>
          <w:i/>
          <w:iCs/>
          <w:noProof/>
          <w:color w:val="000000" w:themeColor="text1"/>
          <w:lang w:val="en-US" w:eastAsia="fr-BE"/>
        </w:rPr>
        <w:t>Accounting, Auditing &amp; Accountability Journal</w:t>
      </w:r>
      <w:r w:rsidRPr="00DE659D">
        <w:rPr>
          <w:noProof/>
          <w:color w:val="000000" w:themeColor="text1"/>
          <w:lang w:val="en-US" w:eastAsia="fr-BE"/>
        </w:rPr>
        <w:t>.</w:t>
      </w:r>
    </w:p>
    <w:p w14:paraId="7C4BE4B0"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Federal Planning Bureau (2019). Quelle priorité pour un développement durable ? </w:t>
      </w:r>
      <w:hyperlink r:id="rId19" w:history="1">
        <w:r w:rsidRPr="00DE659D">
          <w:rPr>
            <w:rStyle w:val="Lienhypertexte"/>
            <w:noProof/>
            <w:lang w:val="fr-BE" w:eastAsia="fr-BE"/>
          </w:rPr>
          <w:t>www.plan.be</w:t>
        </w:r>
      </w:hyperlink>
      <w:r w:rsidRPr="00DE659D">
        <w:rPr>
          <w:noProof/>
          <w:color w:val="000000" w:themeColor="text1"/>
          <w:lang w:val="fr-BE" w:eastAsia="fr-BE"/>
        </w:rPr>
        <w:t xml:space="preserve"> </w:t>
      </w:r>
    </w:p>
    <w:p w14:paraId="06913485"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Federal Planning Bureau/ICN (2020). Indicateurs complémentaires au PIB. </w:t>
      </w:r>
      <w:hyperlink r:id="rId20" w:history="1">
        <w:r w:rsidRPr="00DE659D">
          <w:rPr>
            <w:rStyle w:val="Lienhypertexte"/>
            <w:noProof/>
            <w:lang w:val="en-US" w:eastAsia="fr-BE"/>
          </w:rPr>
          <w:t>www.plan.be</w:t>
        </w:r>
      </w:hyperlink>
      <w:r w:rsidRPr="00DE659D">
        <w:rPr>
          <w:noProof/>
          <w:color w:val="000000" w:themeColor="text1"/>
          <w:lang w:val="en-US" w:eastAsia="fr-BE"/>
        </w:rPr>
        <w:t xml:space="preserve"> </w:t>
      </w:r>
    </w:p>
    <w:p w14:paraId="0B987A1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Frey, D. F. (2017). Economic growth, full employment and decent work: The means and ends in SDG 8. </w:t>
      </w:r>
      <w:r w:rsidRPr="00DE659D">
        <w:rPr>
          <w:i/>
          <w:iCs/>
          <w:noProof/>
          <w:color w:val="000000" w:themeColor="text1"/>
          <w:lang w:val="en-US" w:eastAsia="fr-BE"/>
        </w:rPr>
        <w:t>The International Journal of Human Rights</w:t>
      </w:r>
      <w:r w:rsidRPr="00DE659D">
        <w:rPr>
          <w:noProof/>
          <w:color w:val="000000" w:themeColor="text1"/>
          <w:lang w:val="en-US" w:eastAsia="fr-BE"/>
        </w:rPr>
        <w:t>, </w:t>
      </w:r>
      <w:r w:rsidRPr="00DE659D">
        <w:rPr>
          <w:i/>
          <w:iCs/>
          <w:noProof/>
          <w:color w:val="000000" w:themeColor="text1"/>
          <w:lang w:val="en-US" w:eastAsia="fr-BE"/>
        </w:rPr>
        <w:t>21</w:t>
      </w:r>
      <w:r w:rsidRPr="00DE659D">
        <w:rPr>
          <w:noProof/>
          <w:color w:val="000000" w:themeColor="text1"/>
          <w:lang w:val="en-US" w:eastAsia="fr-BE"/>
        </w:rPr>
        <w:t>(8), 1164-1184.</w:t>
      </w:r>
    </w:p>
    <w:p w14:paraId="7391229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Gimenes, N., &amp; Payaud, M. A. (2017). Value Chain and CSR of Global Pharmaceutical Companies: A Framework to Define Practices. In </w:t>
      </w:r>
      <w:r w:rsidRPr="00DE659D">
        <w:rPr>
          <w:i/>
          <w:iCs/>
          <w:noProof/>
          <w:color w:val="000000" w:themeColor="text1"/>
          <w:lang w:val="en-US" w:eastAsia="fr-BE"/>
        </w:rPr>
        <w:t>Corporate Social Responsibility in the Post-Financial Crisis Era</w:t>
      </w:r>
      <w:r w:rsidRPr="00DE659D">
        <w:rPr>
          <w:noProof/>
          <w:color w:val="000000" w:themeColor="text1"/>
          <w:lang w:val="en-US" w:eastAsia="fr-BE"/>
        </w:rPr>
        <w:t xml:space="preserve"> (pp. 199-220). Palgrave Macmillan, Cham. </w:t>
      </w:r>
    </w:p>
    <w:p w14:paraId="21E8F15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GRI &amp; UNGC. (2017). Business Reporting on the SDGs: An Analysis of the Goals and Targets. </w:t>
      </w:r>
      <w:r w:rsidRPr="00DE659D">
        <w:rPr>
          <w:i/>
          <w:iCs/>
          <w:noProof/>
          <w:color w:val="000000" w:themeColor="text1"/>
          <w:lang w:val="en-US" w:eastAsia="fr-BE"/>
        </w:rPr>
        <w:t>GRI: Amsterdam, The Netherlands</w:t>
      </w:r>
      <w:r w:rsidRPr="00DE659D">
        <w:rPr>
          <w:noProof/>
          <w:color w:val="000000" w:themeColor="text1"/>
          <w:lang w:val="en-US" w:eastAsia="fr-BE"/>
        </w:rPr>
        <w:t>.</w:t>
      </w:r>
    </w:p>
    <w:p w14:paraId="007E910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Gungadeen, S., &amp; Paull, M. (2020). Sustainability Reporting and Its Impact on the Implementation of Sustainable Development Goals in Island Economies in Africa: A Comparative Study of Private Sector Organisations in Mauritius, Madagascar and Seychelles. In </w:t>
      </w:r>
      <w:r w:rsidRPr="00DE659D">
        <w:rPr>
          <w:i/>
          <w:iCs/>
          <w:noProof/>
          <w:color w:val="000000" w:themeColor="text1"/>
          <w:lang w:val="en-US" w:eastAsia="fr-BE"/>
        </w:rPr>
        <w:t>The Future of the UN Sustainable Development Goals</w:t>
      </w:r>
      <w:r w:rsidRPr="00DE659D">
        <w:rPr>
          <w:noProof/>
          <w:color w:val="000000" w:themeColor="text1"/>
          <w:lang w:val="en-US" w:eastAsia="fr-BE"/>
        </w:rPr>
        <w:t> (pp. 123-152). Springer, Cham.</w:t>
      </w:r>
    </w:p>
    <w:p w14:paraId="128DD8B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Gupta, J., &amp; Vegelin, C. (2016). Sustainable development goals and inclusive development. </w:t>
      </w:r>
      <w:r w:rsidRPr="00DE659D">
        <w:rPr>
          <w:i/>
          <w:iCs/>
          <w:noProof/>
          <w:color w:val="000000" w:themeColor="text1"/>
          <w:lang w:val="en-US" w:eastAsia="fr-BE"/>
        </w:rPr>
        <w:t>International environmental agreements: Politics, law and economics</w:t>
      </w:r>
      <w:r w:rsidRPr="00DE659D">
        <w:rPr>
          <w:noProof/>
          <w:color w:val="000000" w:themeColor="text1"/>
          <w:lang w:val="en-US" w:eastAsia="fr-BE"/>
        </w:rPr>
        <w:t>, </w:t>
      </w:r>
      <w:r w:rsidRPr="00DE659D">
        <w:rPr>
          <w:i/>
          <w:iCs/>
          <w:noProof/>
          <w:color w:val="000000" w:themeColor="text1"/>
          <w:lang w:val="en-US" w:eastAsia="fr-BE"/>
        </w:rPr>
        <w:t>16</w:t>
      </w:r>
      <w:r w:rsidRPr="00DE659D">
        <w:rPr>
          <w:noProof/>
          <w:color w:val="000000" w:themeColor="text1"/>
          <w:lang w:val="en-US" w:eastAsia="fr-BE"/>
        </w:rPr>
        <w:t>(3), 433-448.</w:t>
      </w:r>
    </w:p>
    <w:p w14:paraId="66C08A6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Haas, P. M. (1992). Introduction: epistemic communities and international policy coordination. </w:t>
      </w:r>
      <w:r w:rsidRPr="00DE659D">
        <w:rPr>
          <w:i/>
          <w:iCs/>
          <w:noProof/>
          <w:color w:val="000000" w:themeColor="text1"/>
          <w:lang w:val="en-US" w:eastAsia="fr-BE"/>
        </w:rPr>
        <w:t>International organization</w:t>
      </w:r>
      <w:r w:rsidRPr="00DE659D">
        <w:rPr>
          <w:noProof/>
          <w:color w:val="000000" w:themeColor="text1"/>
          <w:lang w:val="en-US" w:eastAsia="fr-BE"/>
        </w:rPr>
        <w:t>, </w:t>
      </w:r>
      <w:r w:rsidRPr="00DE659D">
        <w:rPr>
          <w:i/>
          <w:iCs/>
          <w:noProof/>
          <w:color w:val="000000" w:themeColor="text1"/>
          <w:lang w:val="en-US" w:eastAsia="fr-BE"/>
        </w:rPr>
        <w:t>46</w:t>
      </w:r>
      <w:r w:rsidRPr="00DE659D">
        <w:rPr>
          <w:noProof/>
          <w:color w:val="000000" w:themeColor="text1"/>
          <w:lang w:val="en-US" w:eastAsia="fr-BE"/>
        </w:rPr>
        <w:t>(1), 1-35.</w:t>
      </w:r>
    </w:p>
    <w:p w14:paraId="038B4CAF"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Hillier, D., Jones, P., &amp; Comfort, D. (2018). The sustainable development goals and retailing. </w:t>
      </w:r>
      <w:r w:rsidRPr="00DE659D">
        <w:rPr>
          <w:i/>
          <w:iCs/>
          <w:noProof/>
          <w:color w:val="000000" w:themeColor="text1"/>
          <w:lang w:val="en-US" w:eastAsia="fr-BE"/>
        </w:rPr>
        <w:t>World Review of Entrepreneurship, Management and Sustainable Development</w:t>
      </w:r>
      <w:r w:rsidRPr="00DE659D">
        <w:rPr>
          <w:noProof/>
          <w:color w:val="000000" w:themeColor="text1"/>
          <w:lang w:val="en-US" w:eastAsia="fr-BE"/>
        </w:rPr>
        <w:t>, </w:t>
      </w:r>
      <w:r w:rsidRPr="00DE659D">
        <w:rPr>
          <w:i/>
          <w:iCs/>
          <w:noProof/>
          <w:color w:val="000000" w:themeColor="text1"/>
          <w:lang w:val="en-US" w:eastAsia="fr-BE"/>
        </w:rPr>
        <w:t>14</w:t>
      </w:r>
      <w:r w:rsidRPr="00DE659D">
        <w:rPr>
          <w:noProof/>
          <w:color w:val="000000" w:themeColor="text1"/>
          <w:lang w:val="en-US" w:eastAsia="fr-BE"/>
        </w:rPr>
        <w:t>(5), 608-618.</w:t>
      </w:r>
    </w:p>
    <w:p w14:paraId="12097F8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Ike, M., Donovan, J. D., Topple, C., &amp; Masli, E. K. (2019). The process of selecting and prioritising corporate sustainability issues: Insights for achieving the Sustainable Development Goals. </w:t>
      </w:r>
      <w:r w:rsidRPr="00DE659D">
        <w:rPr>
          <w:i/>
          <w:iCs/>
          <w:noProof/>
          <w:color w:val="000000" w:themeColor="text1"/>
          <w:lang w:val="en-US" w:eastAsia="fr-BE"/>
        </w:rPr>
        <w:t>Journal of Cleaner Production</w:t>
      </w:r>
      <w:r w:rsidRPr="00DE659D">
        <w:rPr>
          <w:noProof/>
          <w:color w:val="000000" w:themeColor="text1"/>
          <w:lang w:val="en-US" w:eastAsia="fr-BE"/>
        </w:rPr>
        <w:t>, </w:t>
      </w:r>
      <w:r w:rsidRPr="00DE659D">
        <w:rPr>
          <w:i/>
          <w:iCs/>
          <w:noProof/>
          <w:color w:val="000000" w:themeColor="text1"/>
          <w:lang w:val="en-US" w:eastAsia="fr-BE"/>
        </w:rPr>
        <w:t>236</w:t>
      </w:r>
      <w:r w:rsidRPr="00DE659D">
        <w:rPr>
          <w:noProof/>
          <w:color w:val="000000" w:themeColor="text1"/>
          <w:lang w:val="en-US" w:eastAsia="fr-BE"/>
        </w:rPr>
        <w:t>, 117661.</w:t>
      </w:r>
    </w:p>
    <w:p w14:paraId="116E79D2"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Jones, P., &amp; Comfort, D. (2019). “Better Retail, Better World”: A commentary on British retailers and the sustainable development goals. </w:t>
      </w:r>
      <w:r w:rsidRPr="00DE659D">
        <w:rPr>
          <w:i/>
          <w:iCs/>
          <w:noProof/>
          <w:color w:val="000000" w:themeColor="text1"/>
          <w:lang w:val="en-US" w:eastAsia="fr-BE"/>
        </w:rPr>
        <w:t>Journal of Public Affairs</w:t>
      </w:r>
      <w:r w:rsidRPr="00DE659D">
        <w:rPr>
          <w:noProof/>
          <w:color w:val="000000" w:themeColor="text1"/>
          <w:lang w:val="en-US" w:eastAsia="fr-BE"/>
        </w:rPr>
        <w:t>, </w:t>
      </w:r>
      <w:r w:rsidRPr="00DE659D">
        <w:rPr>
          <w:i/>
          <w:iCs/>
          <w:noProof/>
          <w:color w:val="000000" w:themeColor="text1"/>
          <w:lang w:val="en-US" w:eastAsia="fr-BE"/>
        </w:rPr>
        <w:t>19</w:t>
      </w:r>
      <w:r w:rsidRPr="00DE659D">
        <w:rPr>
          <w:noProof/>
          <w:color w:val="000000" w:themeColor="text1"/>
          <w:lang w:val="en-US" w:eastAsia="fr-BE"/>
        </w:rPr>
        <w:t>(2), e1910.</w:t>
      </w:r>
    </w:p>
    <w:p w14:paraId="564438F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Jones, P., Comfort, D., &amp; Hillier, D. (2009). Marketing sustainable consumption within stores: A case study of the UK’s leading food retailers. </w:t>
      </w:r>
      <w:r w:rsidRPr="00DE659D">
        <w:rPr>
          <w:i/>
          <w:iCs/>
          <w:noProof/>
          <w:color w:val="000000" w:themeColor="text1"/>
          <w:lang w:val="en-US" w:eastAsia="fr-BE"/>
        </w:rPr>
        <w:t>Sustainability</w:t>
      </w:r>
      <w:r w:rsidRPr="00DE659D">
        <w:rPr>
          <w:noProof/>
          <w:color w:val="000000" w:themeColor="text1"/>
          <w:lang w:val="en-US" w:eastAsia="fr-BE"/>
        </w:rPr>
        <w:t>, </w:t>
      </w:r>
      <w:r w:rsidRPr="00DE659D">
        <w:rPr>
          <w:i/>
          <w:iCs/>
          <w:noProof/>
          <w:color w:val="000000" w:themeColor="text1"/>
          <w:lang w:val="en-US" w:eastAsia="fr-BE"/>
        </w:rPr>
        <w:t>1</w:t>
      </w:r>
      <w:r w:rsidRPr="00DE659D">
        <w:rPr>
          <w:noProof/>
          <w:color w:val="000000" w:themeColor="text1"/>
          <w:lang w:val="en-US" w:eastAsia="fr-BE"/>
        </w:rPr>
        <w:t>(4), 815-826.</w:t>
      </w:r>
    </w:p>
    <w:p w14:paraId="124A471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Kharas, H., &amp; Zhang, C. (2014). New agenda, new narrative: What happens after 2015?. </w:t>
      </w:r>
      <w:r w:rsidRPr="00DE659D">
        <w:rPr>
          <w:i/>
          <w:iCs/>
          <w:noProof/>
          <w:color w:val="000000" w:themeColor="text1"/>
          <w:lang w:val="en-US" w:eastAsia="fr-BE"/>
        </w:rPr>
        <w:t>SAIS Review of International Affairs</w:t>
      </w:r>
      <w:r w:rsidRPr="00DE659D">
        <w:rPr>
          <w:noProof/>
          <w:color w:val="000000" w:themeColor="text1"/>
          <w:lang w:val="en-US" w:eastAsia="fr-BE"/>
        </w:rPr>
        <w:t>, </w:t>
      </w:r>
      <w:r w:rsidRPr="00DE659D">
        <w:rPr>
          <w:i/>
          <w:iCs/>
          <w:noProof/>
          <w:color w:val="000000" w:themeColor="text1"/>
          <w:lang w:val="en-US" w:eastAsia="fr-BE"/>
        </w:rPr>
        <w:t>34</w:t>
      </w:r>
      <w:r w:rsidRPr="00DE659D">
        <w:rPr>
          <w:noProof/>
          <w:color w:val="000000" w:themeColor="text1"/>
          <w:lang w:val="en-US" w:eastAsia="fr-BE"/>
        </w:rPr>
        <w:t>(2), 25-35.</w:t>
      </w:r>
    </w:p>
    <w:p w14:paraId="4696957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Klatte, S., Schaefer, H. C., &amp; Hempel, M. (2017). Pharmaceuticals in the environment–a short review on options to minimize the exposure of humans, animals and ecosystems. </w:t>
      </w:r>
      <w:r w:rsidRPr="00DE659D">
        <w:rPr>
          <w:i/>
          <w:iCs/>
          <w:noProof/>
          <w:color w:val="000000" w:themeColor="text1"/>
          <w:lang w:val="en-US" w:eastAsia="fr-BE"/>
        </w:rPr>
        <w:t>Sustainable Chemistry and Pharmacy</w:t>
      </w:r>
      <w:r w:rsidRPr="00DE659D">
        <w:rPr>
          <w:noProof/>
          <w:color w:val="000000" w:themeColor="text1"/>
          <w:lang w:val="en-US" w:eastAsia="fr-BE"/>
        </w:rPr>
        <w:t>, </w:t>
      </w:r>
      <w:r w:rsidRPr="00DE659D">
        <w:rPr>
          <w:i/>
          <w:iCs/>
          <w:noProof/>
          <w:color w:val="000000" w:themeColor="text1"/>
          <w:lang w:val="en-US" w:eastAsia="fr-BE"/>
        </w:rPr>
        <w:t>5</w:t>
      </w:r>
      <w:r w:rsidRPr="00DE659D">
        <w:rPr>
          <w:noProof/>
          <w:color w:val="000000" w:themeColor="text1"/>
          <w:lang w:val="en-US" w:eastAsia="fr-BE"/>
        </w:rPr>
        <w:t>, 61-66.</w:t>
      </w:r>
    </w:p>
    <w:p w14:paraId="19F030E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Kolk, A., Kourula, A., &amp; Pisani, N. (2017). Multinational enterprises and the Sustainable Development Goals: what do we know and how to proceed?. </w:t>
      </w:r>
      <w:r w:rsidRPr="00DE659D">
        <w:rPr>
          <w:i/>
          <w:iCs/>
          <w:noProof/>
          <w:color w:val="000000" w:themeColor="text1"/>
          <w:lang w:val="en-US" w:eastAsia="fr-BE"/>
        </w:rPr>
        <w:t>Transnational Corporations</w:t>
      </w:r>
      <w:r w:rsidRPr="00DE659D">
        <w:rPr>
          <w:noProof/>
          <w:color w:val="000000" w:themeColor="text1"/>
          <w:lang w:val="en-US" w:eastAsia="fr-BE"/>
        </w:rPr>
        <w:t>, </w:t>
      </w:r>
      <w:r w:rsidRPr="00DE659D">
        <w:rPr>
          <w:i/>
          <w:iCs/>
          <w:noProof/>
          <w:color w:val="000000" w:themeColor="text1"/>
          <w:lang w:val="en-US" w:eastAsia="fr-BE"/>
        </w:rPr>
        <w:t>24</w:t>
      </w:r>
      <w:r w:rsidRPr="00DE659D">
        <w:rPr>
          <w:noProof/>
          <w:color w:val="000000" w:themeColor="text1"/>
          <w:lang w:val="en-US" w:eastAsia="fr-BE"/>
        </w:rPr>
        <w:t>(3), 9-32.</w:t>
      </w:r>
    </w:p>
    <w:p w14:paraId="2E91A6E7" w14:textId="77777777" w:rsidR="00DE659D" w:rsidRPr="00DE659D" w:rsidRDefault="00DE659D" w:rsidP="00DE659D">
      <w:pPr>
        <w:rPr>
          <w:noProof/>
          <w:color w:val="000000" w:themeColor="text1"/>
          <w:lang w:val="en-US" w:eastAsia="fr-BE"/>
        </w:rPr>
      </w:pPr>
      <w:bookmarkStart w:id="74" w:name="_Hlk40440026"/>
      <w:r w:rsidRPr="00DE659D">
        <w:rPr>
          <w:noProof/>
          <w:color w:val="000000" w:themeColor="text1"/>
          <w:lang w:val="en-US" w:eastAsia="fr-BE"/>
        </w:rPr>
        <w:t>Kolk, A., &amp; Pinkse, J. (2004). Market strategies for climate change. </w:t>
      </w:r>
      <w:r w:rsidRPr="00DE659D">
        <w:rPr>
          <w:i/>
          <w:iCs/>
          <w:noProof/>
          <w:color w:val="000000" w:themeColor="text1"/>
          <w:lang w:val="en-US" w:eastAsia="fr-BE"/>
        </w:rPr>
        <w:t>European management journal</w:t>
      </w:r>
      <w:r w:rsidRPr="00DE659D">
        <w:rPr>
          <w:noProof/>
          <w:color w:val="000000" w:themeColor="text1"/>
          <w:lang w:val="en-US" w:eastAsia="fr-BE"/>
        </w:rPr>
        <w:t>, </w:t>
      </w:r>
      <w:r w:rsidRPr="00DE659D">
        <w:rPr>
          <w:i/>
          <w:iCs/>
          <w:noProof/>
          <w:color w:val="000000" w:themeColor="text1"/>
          <w:lang w:val="en-US" w:eastAsia="fr-BE"/>
        </w:rPr>
        <w:t>22</w:t>
      </w:r>
      <w:r w:rsidRPr="00DE659D">
        <w:rPr>
          <w:noProof/>
          <w:color w:val="000000" w:themeColor="text1"/>
          <w:lang w:val="en-US" w:eastAsia="fr-BE"/>
        </w:rPr>
        <w:t>(3), 304-314.</w:t>
      </w:r>
    </w:p>
    <w:bookmarkEnd w:id="74"/>
    <w:p w14:paraId="24BCA53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Le Blanc, D. (2015). Towards integration at last? The sustainable development goals as a network of targets. </w:t>
      </w:r>
      <w:r w:rsidRPr="00DE659D">
        <w:rPr>
          <w:i/>
          <w:iCs/>
          <w:noProof/>
          <w:color w:val="000000" w:themeColor="text1"/>
          <w:lang w:val="en-US" w:eastAsia="fr-BE"/>
        </w:rPr>
        <w:t>Sustainable Development</w:t>
      </w:r>
      <w:r w:rsidRPr="00DE659D">
        <w:rPr>
          <w:noProof/>
          <w:color w:val="000000" w:themeColor="text1"/>
          <w:lang w:val="en-US" w:eastAsia="fr-BE"/>
        </w:rPr>
        <w:t>, </w:t>
      </w:r>
      <w:r w:rsidRPr="00DE659D">
        <w:rPr>
          <w:i/>
          <w:iCs/>
          <w:noProof/>
          <w:color w:val="000000" w:themeColor="text1"/>
          <w:lang w:val="en-US" w:eastAsia="fr-BE"/>
        </w:rPr>
        <w:t>23</w:t>
      </w:r>
      <w:r w:rsidRPr="00DE659D">
        <w:rPr>
          <w:noProof/>
          <w:color w:val="000000" w:themeColor="text1"/>
          <w:lang w:val="en-US" w:eastAsia="fr-BE"/>
        </w:rPr>
        <w:t>(3), 176-187.</w:t>
      </w:r>
    </w:p>
    <w:p w14:paraId="741BED4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Malay, O. E. (2019). Do Beyond GDP indicators initiated by powerful stakeholders have a transformative potential?. </w:t>
      </w:r>
      <w:r w:rsidRPr="00DE659D">
        <w:rPr>
          <w:i/>
          <w:iCs/>
          <w:noProof/>
          <w:color w:val="000000" w:themeColor="text1"/>
          <w:lang w:val="en-US" w:eastAsia="fr-BE"/>
        </w:rPr>
        <w:t>Ecological Economics</w:t>
      </w:r>
      <w:r w:rsidRPr="00DE659D">
        <w:rPr>
          <w:noProof/>
          <w:color w:val="000000" w:themeColor="text1"/>
          <w:lang w:val="en-US" w:eastAsia="fr-BE"/>
        </w:rPr>
        <w:t>, </w:t>
      </w:r>
      <w:r w:rsidRPr="00DE659D">
        <w:rPr>
          <w:i/>
          <w:iCs/>
          <w:noProof/>
          <w:color w:val="000000" w:themeColor="text1"/>
          <w:lang w:val="en-US" w:eastAsia="fr-BE"/>
        </w:rPr>
        <w:t>162</w:t>
      </w:r>
      <w:r w:rsidRPr="00DE659D">
        <w:rPr>
          <w:noProof/>
          <w:color w:val="000000" w:themeColor="text1"/>
          <w:lang w:val="en-US" w:eastAsia="fr-BE"/>
        </w:rPr>
        <w:t>, 100-107.</w:t>
      </w:r>
    </w:p>
    <w:p w14:paraId="6E6A87A5" w14:textId="77777777" w:rsidR="00DE659D" w:rsidRPr="00DE659D" w:rsidRDefault="00DE659D" w:rsidP="00DE659D">
      <w:pPr>
        <w:rPr>
          <w:noProof/>
          <w:color w:val="000000" w:themeColor="text1"/>
          <w:lang w:val="fr-BE" w:eastAsia="fr-BE"/>
        </w:rPr>
      </w:pPr>
      <w:r w:rsidRPr="00DE659D">
        <w:rPr>
          <w:noProof/>
          <w:color w:val="000000" w:themeColor="text1"/>
          <w:lang w:val="en-US" w:eastAsia="fr-BE"/>
        </w:rPr>
        <w:t>Malay, O. E. (2020). </w:t>
      </w:r>
      <w:r w:rsidRPr="00DE659D">
        <w:rPr>
          <w:i/>
          <w:iCs/>
          <w:noProof/>
          <w:color w:val="000000" w:themeColor="text1"/>
          <w:lang w:val="en-US" w:eastAsia="fr-BE"/>
        </w:rPr>
        <w:t>How to articulate beyond gdp and businesses’social and environmental indicators?</w:t>
      </w:r>
      <w:r w:rsidRPr="00DE659D">
        <w:rPr>
          <w:noProof/>
          <w:color w:val="000000" w:themeColor="text1"/>
          <w:lang w:val="en-US" w:eastAsia="fr-BE"/>
        </w:rPr>
        <w:t> </w:t>
      </w:r>
      <w:r w:rsidRPr="00DE659D">
        <w:rPr>
          <w:noProof/>
          <w:color w:val="000000" w:themeColor="text1"/>
          <w:lang w:val="fr-BE" w:eastAsia="fr-BE"/>
        </w:rPr>
        <w:t>UCLouvain IRES DP 14.</w:t>
      </w:r>
    </w:p>
    <w:p w14:paraId="07E2B078"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Masson-Delmotte, V., Zhai, P., Pörtner, H. O., Roberts, D., Skea, J., Shukla, P. R., ... </w:t>
      </w:r>
      <w:r w:rsidRPr="00DE659D">
        <w:rPr>
          <w:noProof/>
          <w:color w:val="000000" w:themeColor="text1"/>
          <w:lang w:val="en-US" w:eastAsia="fr-BE"/>
        </w:rPr>
        <w:t xml:space="preserve">&amp; Connors, S. (2018). IPCC, 2018: Summary for </w:t>
      </w:r>
      <w:r w:rsidRPr="00DE659D">
        <w:rPr>
          <w:noProof/>
          <w:color w:val="000000" w:themeColor="text1"/>
          <w:lang w:val="en-US" w:eastAsia="fr-BE"/>
        </w:rPr>
        <w:lastRenderedPageBreak/>
        <w:t>policymakers. In </w:t>
      </w:r>
      <w:r w:rsidRPr="00DE659D">
        <w:rPr>
          <w:i/>
          <w:iCs/>
          <w:noProof/>
          <w:color w:val="000000" w:themeColor="text1"/>
          <w:lang w:val="en-US" w:eastAsia="fr-BE"/>
        </w:rPr>
        <w:t>Global Warming of 1.5°C. An IPCC Special Report on the impacts of global warming of 1.5°C</w:t>
      </w:r>
      <w:r w:rsidRPr="00DE659D">
        <w:rPr>
          <w:noProof/>
          <w:color w:val="000000" w:themeColor="text1"/>
          <w:lang w:val="en-US" w:eastAsia="fr-BE"/>
        </w:rPr>
        <w:t>.</w:t>
      </w:r>
    </w:p>
    <w:p w14:paraId="1E9891E2"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Merkl-Davies, D. M., &amp; Brennan, N. M. (2007). </w:t>
      </w:r>
      <w:r w:rsidRPr="00DE659D">
        <w:rPr>
          <w:noProof/>
          <w:color w:val="000000" w:themeColor="text1"/>
          <w:lang w:val="en-US" w:eastAsia="fr-BE"/>
        </w:rPr>
        <w:t>Discretionary disclosure strategies in corporate narratives: incremental information or impression management?. </w:t>
      </w:r>
      <w:r w:rsidRPr="00DE659D">
        <w:rPr>
          <w:i/>
          <w:iCs/>
          <w:noProof/>
          <w:color w:val="000000" w:themeColor="text1"/>
          <w:lang w:val="en-US" w:eastAsia="fr-BE"/>
        </w:rPr>
        <w:t>Journal of accounting literature</w:t>
      </w:r>
      <w:r w:rsidRPr="00DE659D">
        <w:rPr>
          <w:noProof/>
          <w:color w:val="000000" w:themeColor="text1"/>
          <w:lang w:val="en-US" w:eastAsia="fr-BE"/>
        </w:rPr>
        <w:t>, </w:t>
      </w:r>
      <w:r w:rsidRPr="00DE659D">
        <w:rPr>
          <w:i/>
          <w:iCs/>
          <w:noProof/>
          <w:color w:val="000000" w:themeColor="text1"/>
          <w:lang w:val="en-US" w:eastAsia="fr-BE"/>
        </w:rPr>
        <w:t>27</w:t>
      </w:r>
      <w:r w:rsidRPr="00DE659D">
        <w:rPr>
          <w:noProof/>
          <w:color w:val="000000" w:themeColor="text1"/>
          <w:lang w:val="en-US" w:eastAsia="fr-BE"/>
        </w:rPr>
        <w:t>, 116-196.</w:t>
      </w:r>
    </w:p>
    <w:p w14:paraId="5E215DF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Moratis, L., Candido, S., Swaen, V., &amp; Van Liedekerke, L. (2018). </w:t>
      </w:r>
      <w:r w:rsidRPr="00DE659D">
        <w:rPr>
          <w:i/>
          <w:iCs/>
          <w:noProof/>
          <w:color w:val="000000" w:themeColor="text1"/>
          <w:lang w:val="en-US" w:eastAsia="fr-BE"/>
        </w:rPr>
        <w:t>SDG Barometer Belgium 2018: Baseline insights on the engagement of organizations with the Sustainable Development Goals</w:t>
      </w:r>
      <w:r w:rsidRPr="00DE659D">
        <w:rPr>
          <w:noProof/>
          <w:color w:val="000000" w:themeColor="text1"/>
          <w:lang w:val="en-US" w:eastAsia="fr-BE"/>
        </w:rPr>
        <w:t xml:space="preserve"> (No. UCL-Université Catholique de Louvain). </w:t>
      </w:r>
    </w:p>
    <w:p w14:paraId="411EEF40"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Naidoo, M., &amp; Gasparatos, A. (2018). Corporate Environmental Sustainability in the retail sector: Drivers, strategies and performance measurement. </w:t>
      </w:r>
      <w:r w:rsidRPr="00DE659D">
        <w:rPr>
          <w:i/>
          <w:iCs/>
          <w:noProof/>
          <w:color w:val="000000" w:themeColor="text1"/>
          <w:lang w:val="en-US" w:eastAsia="fr-BE"/>
        </w:rPr>
        <w:t>Journal of Cleaner Production</w:t>
      </w:r>
      <w:r w:rsidRPr="00DE659D">
        <w:rPr>
          <w:noProof/>
          <w:color w:val="000000" w:themeColor="text1"/>
          <w:lang w:val="en-US" w:eastAsia="fr-BE"/>
        </w:rPr>
        <w:t>, </w:t>
      </w:r>
      <w:r w:rsidRPr="00DE659D">
        <w:rPr>
          <w:i/>
          <w:iCs/>
          <w:noProof/>
          <w:color w:val="000000" w:themeColor="text1"/>
          <w:lang w:val="en-US" w:eastAsia="fr-BE"/>
        </w:rPr>
        <w:t>203</w:t>
      </w:r>
      <w:r w:rsidRPr="00DE659D">
        <w:rPr>
          <w:noProof/>
          <w:color w:val="000000" w:themeColor="text1"/>
          <w:lang w:val="en-US" w:eastAsia="fr-BE"/>
        </w:rPr>
        <w:t>, 125-142.</w:t>
      </w:r>
    </w:p>
    <w:p w14:paraId="5ACD434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Pattberg, P., &amp; Widerberg, O. (2016). Transnational multistakeholder partnerships for sustainable development: Conditions for success. </w:t>
      </w:r>
      <w:r w:rsidRPr="00DE659D">
        <w:rPr>
          <w:i/>
          <w:iCs/>
          <w:noProof/>
          <w:color w:val="000000" w:themeColor="text1"/>
          <w:lang w:val="en-US" w:eastAsia="fr-BE"/>
        </w:rPr>
        <w:t>Ambio</w:t>
      </w:r>
      <w:r w:rsidRPr="00DE659D">
        <w:rPr>
          <w:noProof/>
          <w:color w:val="000000" w:themeColor="text1"/>
          <w:lang w:val="en-US" w:eastAsia="fr-BE"/>
        </w:rPr>
        <w:t>, </w:t>
      </w:r>
      <w:r w:rsidRPr="00DE659D">
        <w:rPr>
          <w:i/>
          <w:iCs/>
          <w:noProof/>
          <w:color w:val="000000" w:themeColor="text1"/>
          <w:lang w:val="en-US" w:eastAsia="fr-BE"/>
        </w:rPr>
        <w:t>45</w:t>
      </w:r>
      <w:r w:rsidRPr="00DE659D">
        <w:rPr>
          <w:noProof/>
          <w:color w:val="000000" w:themeColor="text1"/>
          <w:lang w:val="en-US" w:eastAsia="fr-BE"/>
        </w:rPr>
        <w:t>(1), 42-51.</w:t>
      </w:r>
    </w:p>
    <w:p w14:paraId="0F9A597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Piketty, T. (2014). </w:t>
      </w:r>
      <w:r w:rsidRPr="00DE659D">
        <w:rPr>
          <w:i/>
          <w:iCs/>
          <w:noProof/>
          <w:color w:val="000000" w:themeColor="text1"/>
          <w:lang w:val="en-US" w:eastAsia="fr-BE"/>
        </w:rPr>
        <w:t>Capital in the Twenty-First Century</w:t>
      </w:r>
      <w:r w:rsidRPr="00DE659D">
        <w:rPr>
          <w:noProof/>
          <w:color w:val="000000" w:themeColor="text1"/>
          <w:lang w:val="en-US" w:eastAsia="fr-BE"/>
        </w:rPr>
        <w:t>, Belknap: Cambridge, MA.</w:t>
      </w:r>
    </w:p>
    <w:p w14:paraId="2F66712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Pogge, T., &amp; Sengupta, M. (2015). The Sustainable Development Goals (SDGS) as drafted: Nice idea, poor execution. </w:t>
      </w:r>
      <w:r w:rsidRPr="00DE659D">
        <w:rPr>
          <w:i/>
          <w:iCs/>
          <w:noProof/>
          <w:color w:val="000000" w:themeColor="text1"/>
          <w:lang w:val="en-US" w:eastAsia="fr-BE"/>
        </w:rPr>
        <w:t>Wash. Int'l LJ</w:t>
      </w:r>
      <w:r w:rsidRPr="00DE659D">
        <w:rPr>
          <w:noProof/>
          <w:color w:val="000000" w:themeColor="text1"/>
          <w:lang w:val="en-US" w:eastAsia="fr-BE"/>
        </w:rPr>
        <w:t>, </w:t>
      </w:r>
      <w:r w:rsidRPr="00DE659D">
        <w:rPr>
          <w:i/>
          <w:iCs/>
          <w:noProof/>
          <w:color w:val="000000" w:themeColor="text1"/>
          <w:lang w:val="en-US" w:eastAsia="fr-BE"/>
        </w:rPr>
        <w:t>24</w:t>
      </w:r>
      <w:r w:rsidRPr="00DE659D">
        <w:rPr>
          <w:noProof/>
          <w:color w:val="000000" w:themeColor="text1"/>
          <w:lang w:val="en-US" w:eastAsia="fr-BE"/>
        </w:rPr>
        <w:t>, 571.</w:t>
      </w:r>
    </w:p>
    <w:p w14:paraId="080F15D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Ramanathan, U., Bentley, Y., &amp; Pang, G. (2014). The role of collaboration in the UK green supply chains: an exploratory study of the perspectives of suppliers, logistics and retailers. </w:t>
      </w:r>
      <w:r w:rsidRPr="00DE659D">
        <w:rPr>
          <w:i/>
          <w:iCs/>
          <w:noProof/>
          <w:color w:val="000000" w:themeColor="text1"/>
          <w:lang w:val="en-US" w:eastAsia="fr-BE"/>
        </w:rPr>
        <w:t>Journal of Cleaner Production</w:t>
      </w:r>
      <w:r w:rsidRPr="00DE659D">
        <w:rPr>
          <w:noProof/>
          <w:color w:val="000000" w:themeColor="text1"/>
          <w:lang w:val="en-US" w:eastAsia="fr-BE"/>
        </w:rPr>
        <w:t>, </w:t>
      </w:r>
      <w:r w:rsidRPr="00DE659D">
        <w:rPr>
          <w:i/>
          <w:iCs/>
          <w:noProof/>
          <w:color w:val="000000" w:themeColor="text1"/>
          <w:lang w:val="en-US" w:eastAsia="fr-BE"/>
        </w:rPr>
        <w:t>70</w:t>
      </w:r>
      <w:r w:rsidRPr="00DE659D">
        <w:rPr>
          <w:noProof/>
          <w:color w:val="000000" w:themeColor="text1"/>
          <w:lang w:val="en-US" w:eastAsia="fr-BE"/>
        </w:rPr>
        <w:t>, 231-241.</w:t>
      </w:r>
    </w:p>
    <w:p w14:paraId="45C4E56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Roca, L. C., &amp; Searcy, C. (2012). An analysis of indicators disclosed in corporate sustainability reports. </w:t>
      </w:r>
      <w:r w:rsidRPr="00DE659D">
        <w:rPr>
          <w:i/>
          <w:iCs/>
          <w:noProof/>
          <w:color w:val="000000" w:themeColor="text1"/>
          <w:lang w:val="en-US" w:eastAsia="fr-BE"/>
        </w:rPr>
        <w:t>Journal of cleaner production</w:t>
      </w:r>
      <w:r w:rsidRPr="00DE659D">
        <w:rPr>
          <w:noProof/>
          <w:color w:val="000000" w:themeColor="text1"/>
          <w:lang w:val="en-US" w:eastAsia="fr-BE"/>
        </w:rPr>
        <w:t>, </w:t>
      </w:r>
      <w:r w:rsidRPr="00DE659D">
        <w:rPr>
          <w:i/>
          <w:iCs/>
          <w:noProof/>
          <w:color w:val="000000" w:themeColor="text1"/>
          <w:lang w:val="en-US" w:eastAsia="fr-BE"/>
        </w:rPr>
        <w:t>20</w:t>
      </w:r>
      <w:r w:rsidRPr="00DE659D">
        <w:rPr>
          <w:noProof/>
          <w:color w:val="000000" w:themeColor="text1"/>
          <w:lang w:val="en-US" w:eastAsia="fr-BE"/>
        </w:rPr>
        <w:t>(1), 103-118.</w:t>
      </w:r>
    </w:p>
    <w:p w14:paraId="2DA2025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Saber, M., &amp; Weber, A. (2019). How do supermarkets and discounters communicate about sustainability? A comparative analysis of sustainability reports and in-store communication. </w:t>
      </w:r>
      <w:r w:rsidRPr="00DE659D">
        <w:rPr>
          <w:i/>
          <w:iCs/>
          <w:noProof/>
          <w:color w:val="000000" w:themeColor="text1"/>
          <w:lang w:val="en-US" w:eastAsia="fr-BE"/>
        </w:rPr>
        <w:t>International Journal of Retail &amp; Distribution Management</w:t>
      </w:r>
      <w:r w:rsidRPr="00DE659D">
        <w:rPr>
          <w:noProof/>
          <w:color w:val="000000" w:themeColor="text1"/>
          <w:lang w:val="en-US" w:eastAsia="fr-BE"/>
        </w:rPr>
        <w:t>.</w:t>
      </w:r>
    </w:p>
    <w:p w14:paraId="3B401CC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Sachs, J., Schmidt-Traub, G., Kroll, C., Lafortune, G., &amp; Fuller, G. (2018). SDG Index and Dashboards Report 2018: Global Responsibilities, Implementing the Goals; Bertelsmann Stiftung and Sustainable Development Solutions Network (SDSN).</w:t>
      </w:r>
    </w:p>
    <w:p w14:paraId="259D6E2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SDSN &amp; IEEP (2019). The 2019 Europe Sustainable Development Report. </w:t>
      </w:r>
      <w:r w:rsidRPr="00DE659D">
        <w:rPr>
          <w:i/>
          <w:noProof/>
          <w:color w:val="000000" w:themeColor="text1"/>
          <w:lang w:val="en-US" w:eastAsia="fr-BE"/>
        </w:rPr>
        <w:t>Sustainable Development Solutions Network and Institute for European Environmental Policy.</w:t>
      </w:r>
      <w:r w:rsidRPr="00DE659D">
        <w:rPr>
          <w:noProof/>
          <w:color w:val="000000" w:themeColor="text1"/>
          <w:lang w:val="en-US" w:eastAsia="fr-BE"/>
        </w:rPr>
        <w:t xml:space="preserve"> Paris and Brussels</w:t>
      </w:r>
    </w:p>
    <w:p w14:paraId="23971F1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Sachs, J., Schmidt-Traub, G., Kroll, C., Lafortune, G., &amp; Fuller, G. (2019). Sustainable Development Report 2019. New York: Bertelsmann Stiftung and Sustainable Development Solutions Network (SDSN).</w:t>
      </w:r>
    </w:p>
    <w:p w14:paraId="779172A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Salton, R., &amp; Jones, S. (2015). The corporate social responsibility reports of global pharmaceutical firms. </w:t>
      </w:r>
      <w:r w:rsidRPr="00DE659D">
        <w:rPr>
          <w:i/>
          <w:iCs/>
          <w:noProof/>
          <w:color w:val="000000" w:themeColor="text1"/>
          <w:lang w:val="en-US" w:eastAsia="fr-BE"/>
        </w:rPr>
        <w:t>British Journal of Healthcare Management</w:t>
      </w:r>
      <w:r w:rsidRPr="00DE659D">
        <w:rPr>
          <w:noProof/>
          <w:color w:val="000000" w:themeColor="text1"/>
          <w:lang w:val="en-US" w:eastAsia="fr-BE"/>
        </w:rPr>
        <w:t>, </w:t>
      </w:r>
      <w:r w:rsidRPr="00DE659D">
        <w:rPr>
          <w:i/>
          <w:iCs/>
          <w:noProof/>
          <w:color w:val="000000" w:themeColor="text1"/>
          <w:lang w:val="en-US" w:eastAsia="fr-BE"/>
        </w:rPr>
        <w:t>21</w:t>
      </w:r>
      <w:r w:rsidRPr="00DE659D">
        <w:rPr>
          <w:noProof/>
          <w:color w:val="000000" w:themeColor="text1"/>
          <w:lang w:val="en-US" w:eastAsia="fr-BE"/>
        </w:rPr>
        <w:t>(1), 21-25.</w:t>
      </w:r>
    </w:p>
    <w:p w14:paraId="21E93A34"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Schneider, J. L., Wilson, A., &amp; Rosenbeck, J. M. (2010). Pharmaceutical companies and sustainability: an analysis of corporate reporting. </w:t>
      </w:r>
      <w:r w:rsidRPr="00DE659D">
        <w:rPr>
          <w:i/>
          <w:iCs/>
          <w:noProof/>
          <w:color w:val="000000" w:themeColor="text1"/>
          <w:lang w:val="en-US" w:eastAsia="fr-BE"/>
        </w:rPr>
        <w:t>Benchmarking: An International Journal</w:t>
      </w:r>
      <w:r w:rsidRPr="00DE659D">
        <w:rPr>
          <w:noProof/>
          <w:color w:val="000000" w:themeColor="text1"/>
          <w:lang w:val="en-US" w:eastAsia="fr-BE"/>
        </w:rPr>
        <w:t>, </w:t>
      </w:r>
      <w:r w:rsidRPr="00DE659D">
        <w:rPr>
          <w:i/>
          <w:iCs/>
          <w:noProof/>
          <w:color w:val="000000" w:themeColor="text1"/>
          <w:lang w:val="en-US" w:eastAsia="fr-BE"/>
        </w:rPr>
        <w:t>17</w:t>
      </w:r>
      <w:r w:rsidRPr="00DE659D">
        <w:rPr>
          <w:noProof/>
          <w:color w:val="000000" w:themeColor="text1"/>
          <w:lang w:val="en-US" w:eastAsia="fr-BE"/>
        </w:rPr>
        <w:t>(3), 421-434.</w:t>
      </w:r>
    </w:p>
    <w:p w14:paraId="0B6AB15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SDG Compass. (2015). The guide for business action on the SDGs. </w:t>
      </w:r>
      <w:r w:rsidRPr="00DE659D">
        <w:rPr>
          <w:i/>
          <w:iCs/>
          <w:noProof/>
          <w:color w:val="000000" w:themeColor="text1"/>
          <w:lang w:val="en-US" w:eastAsia="fr-BE"/>
        </w:rPr>
        <w:t>World Business Council for Sustainable Development (WBCSD): Geneva, Switzerland</w:t>
      </w:r>
      <w:r w:rsidRPr="00DE659D">
        <w:rPr>
          <w:noProof/>
          <w:color w:val="000000" w:themeColor="text1"/>
          <w:lang w:val="en-US" w:eastAsia="fr-BE"/>
        </w:rPr>
        <w:t>.</w:t>
      </w:r>
    </w:p>
    <w:p w14:paraId="1721FEEB"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Signori, P., Gozzo, I., Flint, D. J., Milfeld, T., &amp; Nichols, B. S. (2019). Sustainable Customer Experience: Bridging Theory and Practice. In </w:t>
      </w:r>
      <w:r w:rsidRPr="00DE659D">
        <w:rPr>
          <w:i/>
          <w:iCs/>
          <w:noProof/>
          <w:color w:val="000000" w:themeColor="text1"/>
          <w:lang w:val="en-US" w:eastAsia="fr-BE"/>
        </w:rPr>
        <w:t>The Synergy of Business Theory and Practice</w:t>
      </w:r>
      <w:r w:rsidRPr="00DE659D">
        <w:rPr>
          <w:noProof/>
          <w:color w:val="000000" w:themeColor="text1"/>
          <w:lang w:val="en-US" w:eastAsia="fr-BE"/>
        </w:rPr>
        <w:t> (pp. 131-174). Palgrave Macmillan, Cham.</w:t>
      </w:r>
    </w:p>
    <w:p w14:paraId="0E3D4C9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Steffen, W., Richardson, K., Rockström, J., Cornell, S. E., Fetzer, I., Bennett, E. M., ... &amp; Folke, C. (2015). Planetary boundaries: Guiding human development on a changing planet. </w:t>
      </w:r>
      <w:r w:rsidRPr="00DE659D">
        <w:rPr>
          <w:i/>
          <w:iCs/>
          <w:noProof/>
          <w:color w:val="000000" w:themeColor="text1"/>
          <w:lang w:val="en-US" w:eastAsia="fr-BE"/>
        </w:rPr>
        <w:t>Science</w:t>
      </w:r>
      <w:r w:rsidRPr="00DE659D">
        <w:rPr>
          <w:noProof/>
          <w:color w:val="000000" w:themeColor="text1"/>
          <w:lang w:val="en-US" w:eastAsia="fr-BE"/>
        </w:rPr>
        <w:t>, </w:t>
      </w:r>
      <w:r w:rsidRPr="00DE659D">
        <w:rPr>
          <w:i/>
          <w:iCs/>
          <w:noProof/>
          <w:color w:val="000000" w:themeColor="text1"/>
          <w:lang w:val="en-US" w:eastAsia="fr-BE"/>
        </w:rPr>
        <w:t>347</w:t>
      </w:r>
      <w:r w:rsidRPr="00DE659D">
        <w:rPr>
          <w:noProof/>
          <w:color w:val="000000" w:themeColor="text1"/>
          <w:lang w:val="en-US" w:eastAsia="fr-BE"/>
        </w:rPr>
        <w:t>.</w:t>
      </w:r>
    </w:p>
    <w:p w14:paraId="60AF56A7"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Stiglitz, J., Sen, A. K., &amp; Fitoussi, J. P. (2009). The measurement of economic performance and social progress revisited: reflections and overview.</w:t>
      </w:r>
    </w:p>
    <w:p w14:paraId="419C27CC" w14:textId="77777777" w:rsidR="00DE659D" w:rsidRPr="00DE659D" w:rsidRDefault="00DE659D" w:rsidP="00DE659D">
      <w:pPr>
        <w:rPr>
          <w:noProof/>
          <w:color w:val="000000" w:themeColor="text1"/>
          <w:lang w:val="en-US" w:eastAsia="fr-BE"/>
        </w:rPr>
      </w:pPr>
      <w:r w:rsidRPr="00DE659D">
        <w:rPr>
          <w:noProof/>
          <w:color w:val="000000" w:themeColor="text1"/>
          <w:lang w:val="fr-BE" w:eastAsia="fr-BE"/>
        </w:rPr>
        <w:t xml:space="preserve">Styles, D., Schoenberger, H., &amp; Galvez-Martos, J. L. (2012). </w:t>
      </w:r>
      <w:r w:rsidRPr="00DE659D">
        <w:rPr>
          <w:noProof/>
          <w:color w:val="000000" w:themeColor="text1"/>
          <w:lang w:val="en-US" w:eastAsia="fr-BE"/>
        </w:rPr>
        <w:t xml:space="preserve">Environmental improvement of product supply chains: A review of </w:t>
      </w:r>
      <w:r w:rsidRPr="00DE659D">
        <w:rPr>
          <w:noProof/>
          <w:color w:val="000000" w:themeColor="text1"/>
          <w:lang w:val="en-US" w:eastAsia="fr-BE"/>
        </w:rPr>
        <w:lastRenderedPageBreak/>
        <w:t>European retailers’ performance. </w:t>
      </w:r>
      <w:r w:rsidRPr="00DE659D">
        <w:rPr>
          <w:i/>
          <w:iCs/>
          <w:noProof/>
          <w:color w:val="000000" w:themeColor="text1"/>
          <w:lang w:val="en-US" w:eastAsia="fr-BE"/>
        </w:rPr>
        <w:t>Resources, Conservation and Recycling</w:t>
      </w:r>
      <w:r w:rsidRPr="00DE659D">
        <w:rPr>
          <w:noProof/>
          <w:color w:val="000000" w:themeColor="text1"/>
          <w:lang w:val="en-US" w:eastAsia="fr-BE"/>
        </w:rPr>
        <w:t>, </w:t>
      </w:r>
      <w:r w:rsidRPr="00DE659D">
        <w:rPr>
          <w:i/>
          <w:iCs/>
          <w:noProof/>
          <w:color w:val="000000" w:themeColor="text1"/>
          <w:lang w:val="en-US" w:eastAsia="fr-BE"/>
        </w:rPr>
        <w:t>65</w:t>
      </w:r>
      <w:r w:rsidRPr="00DE659D">
        <w:rPr>
          <w:noProof/>
          <w:color w:val="000000" w:themeColor="text1"/>
          <w:lang w:val="en-US" w:eastAsia="fr-BE"/>
        </w:rPr>
        <w:t>, 57-78.</w:t>
      </w:r>
    </w:p>
    <w:p w14:paraId="1EAFA2DD"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United Nations (2015a). "Transforming our world: The 2030 agenda for sustainable development." </w:t>
      </w:r>
      <w:r w:rsidRPr="00DE659D">
        <w:rPr>
          <w:i/>
          <w:iCs/>
          <w:noProof/>
          <w:color w:val="000000" w:themeColor="text1"/>
          <w:lang w:val="en-US" w:eastAsia="fr-BE"/>
        </w:rPr>
        <w:t>General Assembley 70 session</w:t>
      </w:r>
      <w:r w:rsidRPr="00DE659D">
        <w:rPr>
          <w:noProof/>
          <w:color w:val="000000" w:themeColor="text1"/>
          <w:lang w:val="en-US" w:eastAsia="fr-BE"/>
        </w:rPr>
        <w:t>.</w:t>
      </w:r>
    </w:p>
    <w:p w14:paraId="5307C563"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United Nations (2015b). Agreement adopted on 12 December 2015 at the twenty-first session of the Conference of the Parties to the United Nations Framework Convention on Climate Change. </w:t>
      </w:r>
      <w:r w:rsidRPr="00DE659D">
        <w:rPr>
          <w:i/>
          <w:iCs/>
          <w:noProof/>
          <w:color w:val="000000" w:themeColor="text1"/>
          <w:lang w:val="en-US" w:eastAsia="fr-BE"/>
        </w:rPr>
        <w:t>United Nations Treaty Collection</w:t>
      </w:r>
      <w:r w:rsidRPr="00DE659D">
        <w:rPr>
          <w:noProof/>
          <w:color w:val="000000" w:themeColor="text1"/>
          <w:lang w:val="en-US" w:eastAsia="fr-BE"/>
        </w:rPr>
        <w:t>.</w:t>
      </w:r>
    </w:p>
    <w:p w14:paraId="6C2C3D48"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United Nations (2019). The Sustainable Development Goals Report 2019. New York.</w:t>
      </w:r>
    </w:p>
    <w:p w14:paraId="7837D695"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United Nations Environment Program (2019). Measuring Progress: Towards Achieving the Environmental Dimension of the SDGs.</w:t>
      </w:r>
    </w:p>
    <w:p w14:paraId="113013D5" w14:textId="77777777" w:rsidR="00DE659D" w:rsidRPr="00DE659D" w:rsidRDefault="00DE659D" w:rsidP="00DE659D">
      <w:pPr>
        <w:rPr>
          <w:noProof/>
          <w:color w:val="000000" w:themeColor="text1"/>
          <w:lang w:val="en-US" w:eastAsia="fr-BE"/>
        </w:rPr>
      </w:pPr>
      <w:r w:rsidRPr="00DE659D">
        <w:rPr>
          <w:noProof/>
          <w:color w:val="000000" w:themeColor="text1"/>
          <w:lang w:val="nl-BE" w:eastAsia="fr-BE"/>
        </w:rPr>
        <w:t xml:space="preserve">Van Zanten, J. A., &amp; Van Tulder, R. (2018). </w:t>
      </w:r>
      <w:r w:rsidRPr="00DE659D">
        <w:rPr>
          <w:noProof/>
          <w:color w:val="000000" w:themeColor="text1"/>
          <w:lang w:val="en-US" w:eastAsia="fr-BE"/>
        </w:rPr>
        <w:t>Multinational enterprises and the Sustainable Development Goals: An institutional approach to corporate engagement. </w:t>
      </w:r>
      <w:r w:rsidRPr="00DE659D">
        <w:rPr>
          <w:i/>
          <w:iCs/>
          <w:noProof/>
          <w:color w:val="000000" w:themeColor="text1"/>
          <w:lang w:val="en-US" w:eastAsia="fr-BE"/>
        </w:rPr>
        <w:t>Journal of International Business Policy</w:t>
      </w:r>
      <w:r w:rsidRPr="00DE659D">
        <w:rPr>
          <w:noProof/>
          <w:color w:val="000000" w:themeColor="text1"/>
          <w:lang w:val="en-US" w:eastAsia="fr-BE"/>
        </w:rPr>
        <w:t>, </w:t>
      </w:r>
      <w:r w:rsidRPr="00DE659D">
        <w:rPr>
          <w:i/>
          <w:iCs/>
          <w:noProof/>
          <w:color w:val="000000" w:themeColor="text1"/>
          <w:lang w:val="en-US" w:eastAsia="fr-BE"/>
        </w:rPr>
        <w:t>1</w:t>
      </w:r>
      <w:r w:rsidRPr="00DE659D">
        <w:rPr>
          <w:noProof/>
          <w:color w:val="000000" w:themeColor="text1"/>
          <w:lang w:val="en-US" w:eastAsia="fr-BE"/>
        </w:rPr>
        <w:t>(3-4), 208-233.</w:t>
      </w:r>
    </w:p>
    <w:p w14:paraId="7C759609"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Veleva, V., Hart, M., Greiner, T., &amp; Crumbley, C. (2003). Indicators for measuring environmental sustainability. </w:t>
      </w:r>
      <w:r w:rsidRPr="00DE659D">
        <w:rPr>
          <w:i/>
          <w:iCs/>
          <w:noProof/>
          <w:color w:val="000000" w:themeColor="text1"/>
          <w:lang w:val="en-US" w:eastAsia="fr-BE"/>
        </w:rPr>
        <w:t>Benchmarking: An international journal</w:t>
      </w:r>
      <w:r w:rsidRPr="00DE659D">
        <w:rPr>
          <w:noProof/>
          <w:color w:val="000000" w:themeColor="text1"/>
          <w:lang w:val="en-US" w:eastAsia="fr-BE"/>
        </w:rPr>
        <w:t>.</w:t>
      </w:r>
    </w:p>
    <w:p w14:paraId="4609D84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Whitby, A. (2014). The BRAINPOol Project: Summary, Recommendations and Next Steps London. </w:t>
      </w:r>
      <w:r w:rsidRPr="00DE659D">
        <w:rPr>
          <w:i/>
          <w:iCs/>
          <w:noProof/>
          <w:color w:val="000000" w:themeColor="text1"/>
          <w:lang w:val="en-US" w:eastAsia="fr-BE"/>
        </w:rPr>
        <w:t>Bringing Alternative Indicators Into Policy Project</w:t>
      </w:r>
      <w:r w:rsidRPr="00DE659D">
        <w:rPr>
          <w:noProof/>
          <w:color w:val="000000" w:themeColor="text1"/>
          <w:lang w:val="en-US" w:eastAsia="fr-BE"/>
        </w:rPr>
        <w:t>.</w:t>
      </w:r>
    </w:p>
    <w:p w14:paraId="02BBAD5C"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Wiedmann, T. (2009). A review of recent multi-region input–output models used for consumption-based emission and resource accounting. </w:t>
      </w:r>
      <w:r w:rsidRPr="00DE659D">
        <w:rPr>
          <w:i/>
          <w:iCs/>
          <w:noProof/>
          <w:color w:val="000000" w:themeColor="text1"/>
          <w:lang w:val="en-US" w:eastAsia="fr-BE"/>
        </w:rPr>
        <w:t>Ecological economics</w:t>
      </w:r>
      <w:r w:rsidRPr="00DE659D">
        <w:rPr>
          <w:noProof/>
          <w:color w:val="000000" w:themeColor="text1"/>
          <w:lang w:val="en-US" w:eastAsia="fr-BE"/>
        </w:rPr>
        <w:t>, </w:t>
      </w:r>
      <w:r w:rsidRPr="00DE659D">
        <w:rPr>
          <w:i/>
          <w:iCs/>
          <w:noProof/>
          <w:color w:val="000000" w:themeColor="text1"/>
          <w:lang w:val="en-US" w:eastAsia="fr-BE"/>
        </w:rPr>
        <w:t>69</w:t>
      </w:r>
      <w:r w:rsidRPr="00DE659D">
        <w:rPr>
          <w:noProof/>
          <w:color w:val="000000" w:themeColor="text1"/>
          <w:lang w:val="en-US" w:eastAsia="fr-BE"/>
        </w:rPr>
        <w:t>(2), 211-222.</w:t>
      </w:r>
    </w:p>
    <w:p w14:paraId="74F65C6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Wynn, M., &amp; Jones, P. (2019). </w:t>
      </w:r>
      <w:r w:rsidRPr="00DE659D">
        <w:rPr>
          <w:i/>
          <w:iCs/>
          <w:noProof/>
          <w:color w:val="000000" w:themeColor="text1"/>
          <w:lang w:val="en-US" w:eastAsia="fr-BE"/>
        </w:rPr>
        <w:t>The Sustainable Development Goals: Industry Sector Approaches</w:t>
      </w:r>
      <w:r w:rsidRPr="00DE659D">
        <w:rPr>
          <w:noProof/>
          <w:color w:val="000000" w:themeColor="text1"/>
          <w:lang w:val="en-US" w:eastAsia="fr-BE"/>
        </w:rPr>
        <w:t>. Routledge.</w:t>
      </w:r>
    </w:p>
    <w:p w14:paraId="2A443EFB" w14:textId="77777777" w:rsidR="00DE659D" w:rsidRPr="00DE659D" w:rsidRDefault="00DE659D" w:rsidP="00DE659D">
      <w:pPr>
        <w:rPr>
          <w:noProof/>
          <w:color w:val="000000" w:themeColor="text1"/>
          <w:lang w:val="en-US" w:eastAsia="fr-BE"/>
        </w:rPr>
      </w:pPr>
    </w:p>
    <w:p w14:paraId="1730DFF4" w14:textId="77777777" w:rsidR="00DE659D" w:rsidRPr="00DE659D" w:rsidRDefault="00DE659D" w:rsidP="00DE659D">
      <w:pPr>
        <w:rPr>
          <w:b/>
          <w:bCs/>
          <w:noProof/>
          <w:color w:val="000000" w:themeColor="text1"/>
          <w:lang w:val="en-US" w:eastAsia="fr-BE"/>
        </w:rPr>
      </w:pPr>
      <w:r w:rsidRPr="00DE659D">
        <w:rPr>
          <w:noProof/>
          <w:color w:val="000000" w:themeColor="text1"/>
          <w:lang w:val="en-US" w:eastAsia="fr-BE"/>
        </w:rPr>
        <w:br w:type="page"/>
      </w:r>
    </w:p>
    <w:p w14:paraId="490C5308" w14:textId="77777777" w:rsidR="00DE659D" w:rsidRPr="00DE659D" w:rsidRDefault="00DE659D" w:rsidP="002A1914">
      <w:pPr>
        <w:pStyle w:val="Titre2"/>
        <w:numPr>
          <w:ilvl w:val="0"/>
          <w:numId w:val="0"/>
        </w:numPr>
        <w:ind w:left="360"/>
        <w:rPr>
          <w:noProof/>
          <w:lang w:val="en-US" w:eastAsia="fr-BE"/>
        </w:rPr>
      </w:pPr>
      <w:bookmarkStart w:id="75" w:name="_Toc51512299"/>
      <w:r w:rsidRPr="00DE659D">
        <w:rPr>
          <w:noProof/>
          <w:lang w:val="en-US" w:eastAsia="fr-BE"/>
        </w:rPr>
        <w:lastRenderedPageBreak/>
        <w:t>Appendix</w:t>
      </w:r>
      <w:bookmarkEnd w:id="75"/>
    </w:p>
    <w:p w14:paraId="78DA2701"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 xml:space="preserve">Table 5 : frequency of business indicators, of associated targets and of their unfavorable evolutions </w:t>
      </w:r>
    </w:p>
    <w:p w14:paraId="64174E0B" w14:textId="77777777" w:rsidR="00DE659D" w:rsidRPr="00DE659D" w:rsidRDefault="00DE659D" w:rsidP="00DE659D">
      <w:pPr>
        <w:rPr>
          <w:i/>
          <w:noProof/>
          <w:color w:val="000000" w:themeColor="text1"/>
          <w:lang w:val="en-US" w:eastAsia="fr-BE"/>
        </w:rPr>
      </w:pPr>
      <w:r w:rsidRPr="00DE659D">
        <w:rPr>
          <w:i/>
          <w:noProof/>
          <w:color w:val="000000" w:themeColor="text1"/>
          <w:lang w:val="en-US" w:eastAsia="fr-BE"/>
        </w:rPr>
        <w:t xml:space="preserve">To read the table: e.g. third line of the table: Indicators of ‘Actual and potential impacts on local communities’ are present in 30% of retail compagnies reports and in 0% of pharma compagnies reports. In sum, they are present in 20% of total reports. They are associated with targets in 0% of cases, and show 0% of unfavorable evolution (UE). </w:t>
      </w:r>
    </w:p>
    <w:p w14:paraId="6D19DF6C" w14:textId="77777777" w:rsidR="00DE659D" w:rsidRPr="00DE659D" w:rsidRDefault="00DE659D" w:rsidP="00DE659D">
      <w:pPr>
        <w:rPr>
          <w:noProof/>
          <w:color w:val="000000" w:themeColor="text1"/>
          <w:lang w:val="en-US" w:eastAsia="fr-BE"/>
        </w:rPr>
      </w:pPr>
    </w:p>
    <w:tbl>
      <w:tblPr>
        <w:tblStyle w:val="TableauGrille1Clair-Accentuation31"/>
        <w:tblW w:w="5000" w:type="pct"/>
        <w:tblLook w:val="04A0" w:firstRow="1" w:lastRow="0" w:firstColumn="1" w:lastColumn="0" w:noHBand="0" w:noVBand="1"/>
      </w:tblPr>
      <w:tblGrid>
        <w:gridCol w:w="447"/>
        <w:gridCol w:w="3486"/>
        <w:gridCol w:w="635"/>
        <w:gridCol w:w="687"/>
        <w:gridCol w:w="548"/>
        <w:gridCol w:w="1048"/>
        <w:gridCol w:w="509"/>
      </w:tblGrid>
      <w:tr w:rsidR="002A1914" w:rsidRPr="008E4665" w14:paraId="482C7DE5" w14:textId="77777777" w:rsidTr="008E466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615D63C" w14:textId="77777777" w:rsidR="002A1914" w:rsidRPr="008E4665" w:rsidRDefault="002A1914" w:rsidP="008E4665">
            <w:pPr>
              <w:spacing w:line="240" w:lineRule="auto"/>
              <w:ind w:firstLine="0"/>
              <w:rPr>
                <w:rFonts w:eastAsia="Times New Roman" w:cs="Times New Roman"/>
                <w:sz w:val="24"/>
                <w:szCs w:val="20"/>
                <w:lang w:val="en-US" w:eastAsia="fr-BE"/>
              </w:rPr>
            </w:pPr>
            <w:r w:rsidRPr="008E4665">
              <w:rPr>
                <w:rFonts w:eastAsia="Times New Roman" w:cs="Times New Roman"/>
                <w:sz w:val="24"/>
                <w:szCs w:val="20"/>
                <w:lang w:val="en-US" w:eastAsia="fr-BE"/>
              </w:rPr>
              <w:t>SDG</w:t>
            </w:r>
          </w:p>
        </w:tc>
        <w:tc>
          <w:tcPr>
            <w:tcW w:w="2368" w:type="pct"/>
            <w:noWrap/>
            <w:hideMark/>
          </w:tcPr>
          <w:p w14:paraId="1EC8B21D" w14:textId="77777777" w:rsidR="002A1914" w:rsidRPr="008E4665" w:rsidRDefault="002A1914" w:rsidP="008E4665">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Indicator</w:t>
            </w:r>
          </w:p>
        </w:tc>
        <w:tc>
          <w:tcPr>
            <w:tcW w:w="1270" w:type="pct"/>
            <w:gridSpan w:val="3"/>
            <w:noWrap/>
            <w:hideMark/>
          </w:tcPr>
          <w:p w14:paraId="1465BD22" w14:textId="77777777" w:rsidR="002A1914" w:rsidRPr="008E4665" w:rsidRDefault="002A1914" w:rsidP="008E4665">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Frequency among businesses</w:t>
            </w:r>
          </w:p>
        </w:tc>
        <w:tc>
          <w:tcPr>
            <w:tcW w:w="712" w:type="pct"/>
            <w:vMerge w:val="restart"/>
            <w:noWrap/>
            <w:hideMark/>
          </w:tcPr>
          <w:p w14:paraId="386EF7D8" w14:textId="37FA02EF" w:rsidR="002A1914" w:rsidRPr="008E4665" w:rsidRDefault="002A1914" w:rsidP="008E466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Target frequency</w:t>
            </w:r>
          </w:p>
          <w:p w14:paraId="1426E4ED" w14:textId="77777777" w:rsidR="002A1914" w:rsidRPr="008E4665" w:rsidRDefault="002A1914" w:rsidP="008E4665">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p>
        </w:tc>
        <w:tc>
          <w:tcPr>
            <w:tcW w:w="346" w:type="pct"/>
            <w:vMerge w:val="restart"/>
            <w:noWrap/>
            <w:hideMark/>
          </w:tcPr>
          <w:p w14:paraId="33290834" w14:textId="77777777" w:rsidR="002A1914" w:rsidRPr="008E4665" w:rsidRDefault="002A1914" w:rsidP="008E466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 UE</w:t>
            </w:r>
          </w:p>
        </w:tc>
      </w:tr>
      <w:tr w:rsidR="002A1914" w:rsidRPr="008E4665" w14:paraId="6B5C94F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DE68D36" w14:textId="77777777" w:rsidR="002A1914" w:rsidRPr="008E4665" w:rsidRDefault="002A1914" w:rsidP="008E4665">
            <w:pPr>
              <w:spacing w:line="240" w:lineRule="auto"/>
              <w:ind w:firstLine="0"/>
              <w:jc w:val="center"/>
              <w:rPr>
                <w:rFonts w:eastAsia="Times New Roman" w:cs="Times New Roman"/>
                <w:sz w:val="24"/>
                <w:szCs w:val="20"/>
                <w:lang w:val="en-US" w:eastAsia="fr-BE"/>
              </w:rPr>
            </w:pPr>
            <w:r w:rsidRPr="008E4665">
              <w:rPr>
                <w:rFonts w:eastAsia="Times New Roman" w:cs="Times New Roman"/>
                <w:sz w:val="24"/>
                <w:szCs w:val="20"/>
                <w:lang w:val="en-US" w:eastAsia="fr-BE"/>
              </w:rPr>
              <w:t> </w:t>
            </w:r>
          </w:p>
        </w:tc>
        <w:tc>
          <w:tcPr>
            <w:tcW w:w="2368" w:type="pct"/>
            <w:noWrap/>
            <w:hideMark/>
          </w:tcPr>
          <w:p w14:paraId="40C4345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 </w:t>
            </w:r>
          </w:p>
        </w:tc>
        <w:tc>
          <w:tcPr>
            <w:tcW w:w="433" w:type="pct"/>
            <w:noWrap/>
            <w:hideMark/>
          </w:tcPr>
          <w:p w14:paraId="42190B2E" w14:textId="0D4F577B"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Retail</w:t>
            </w:r>
          </w:p>
        </w:tc>
        <w:tc>
          <w:tcPr>
            <w:tcW w:w="476" w:type="pct"/>
            <w:noWrap/>
            <w:hideMark/>
          </w:tcPr>
          <w:p w14:paraId="55CEBD2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Pharma</w:t>
            </w:r>
          </w:p>
        </w:tc>
        <w:tc>
          <w:tcPr>
            <w:tcW w:w="361" w:type="pct"/>
            <w:noWrap/>
            <w:hideMark/>
          </w:tcPr>
          <w:p w14:paraId="773C3C8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r w:rsidRPr="008E4665">
              <w:rPr>
                <w:rFonts w:eastAsia="Times New Roman" w:cs="Times New Roman"/>
                <w:sz w:val="24"/>
                <w:szCs w:val="20"/>
                <w:lang w:val="en-US" w:eastAsia="fr-BE"/>
              </w:rPr>
              <w:t>All</w:t>
            </w:r>
          </w:p>
        </w:tc>
        <w:tc>
          <w:tcPr>
            <w:tcW w:w="712" w:type="pct"/>
            <w:vMerge/>
            <w:hideMark/>
          </w:tcPr>
          <w:p w14:paraId="5CEB682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p>
        </w:tc>
        <w:tc>
          <w:tcPr>
            <w:tcW w:w="346" w:type="pct"/>
            <w:vMerge/>
            <w:hideMark/>
          </w:tcPr>
          <w:p w14:paraId="4E06865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 w:val="24"/>
                <w:szCs w:val="20"/>
                <w:lang w:val="en-US" w:eastAsia="fr-BE"/>
              </w:rPr>
            </w:pPr>
          </w:p>
        </w:tc>
      </w:tr>
      <w:tr w:rsidR="002A1914" w:rsidRPr="008E4665" w14:paraId="60BF5DC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9CBAE0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75DF5A5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financial services for all, including the most vulnerable </w:t>
            </w:r>
          </w:p>
        </w:tc>
        <w:tc>
          <w:tcPr>
            <w:tcW w:w="433" w:type="pct"/>
            <w:noWrap/>
            <w:hideMark/>
          </w:tcPr>
          <w:p w14:paraId="1498BC3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4279DF0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86CEC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65B3FB0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44B14C0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C73C41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87D409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682465AE"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Actual and potential impacts on local communities </w:t>
            </w:r>
          </w:p>
        </w:tc>
        <w:tc>
          <w:tcPr>
            <w:tcW w:w="433" w:type="pct"/>
            <w:noWrap/>
            <w:hideMark/>
          </w:tcPr>
          <w:p w14:paraId="575DA93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3F31772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7B3DFC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712" w:type="pct"/>
            <w:noWrap/>
            <w:hideMark/>
          </w:tcPr>
          <w:p w14:paraId="7A9D281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7A16EC4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C1F3A9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036DE9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3406ACE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Agricultural productivity of small-scale suppliers </w:t>
            </w:r>
          </w:p>
        </w:tc>
        <w:tc>
          <w:tcPr>
            <w:tcW w:w="433" w:type="pct"/>
            <w:noWrap/>
            <w:hideMark/>
          </w:tcPr>
          <w:p w14:paraId="7F234C5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08358C1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94B1A7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2142A96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569EFB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FBA383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5189D2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4C51041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Disaster and emergency planning </w:t>
            </w:r>
          </w:p>
        </w:tc>
        <w:tc>
          <w:tcPr>
            <w:tcW w:w="433" w:type="pct"/>
            <w:noWrap/>
            <w:hideMark/>
          </w:tcPr>
          <w:p w14:paraId="5B17693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2C2CEC1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269877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57ED60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DE545F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8AA891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60BC99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6D41420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Goods and services for those on low incomes </w:t>
            </w:r>
          </w:p>
        </w:tc>
        <w:tc>
          <w:tcPr>
            <w:tcW w:w="433" w:type="pct"/>
            <w:noWrap/>
            <w:hideMark/>
          </w:tcPr>
          <w:p w14:paraId="7B8EEBC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34F7CDB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219AD32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712" w:type="pct"/>
            <w:noWrap/>
            <w:hideMark/>
          </w:tcPr>
          <w:p w14:paraId="4BA3161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4A9386E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937F7E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159C39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4BB082D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Small-scale producers’ ownership over land and other property</w:t>
            </w:r>
          </w:p>
        </w:tc>
        <w:tc>
          <w:tcPr>
            <w:tcW w:w="433" w:type="pct"/>
            <w:noWrap/>
            <w:hideMark/>
          </w:tcPr>
          <w:p w14:paraId="4D97706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45C00F8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741FE43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0683D53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A97B64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9DCFC2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32EA219"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5F0D8E0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Social protection systems for all </w:t>
            </w:r>
          </w:p>
        </w:tc>
        <w:tc>
          <w:tcPr>
            <w:tcW w:w="433" w:type="pct"/>
            <w:noWrap/>
            <w:hideMark/>
          </w:tcPr>
          <w:p w14:paraId="260F2AA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2EE4A07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3ECAD8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79C8F12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CD81C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2448EC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DC394F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w:t>
            </w:r>
          </w:p>
        </w:tc>
        <w:tc>
          <w:tcPr>
            <w:tcW w:w="2368" w:type="pct"/>
            <w:noWrap/>
            <w:hideMark/>
          </w:tcPr>
          <w:p w14:paraId="4336347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Social standards in the supply chain</w:t>
            </w:r>
          </w:p>
        </w:tc>
        <w:tc>
          <w:tcPr>
            <w:tcW w:w="433" w:type="pct"/>
            <w:noWrap/>
            <w:hideMark/>
          </w:tcPr>
          <w:p w14:paraId="1187EC0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2675F1B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15C64C3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73670BA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5336396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7F7C30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B25BC1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71AD6B6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Actual and potential impacts on local communities </w:t>
            </w:r>
          </w:p>
        </w:tc>
        <w:tc>
          <w:tcPr>
            <w:tcW w:w="433" w:type="pct"/>
            <w:noWrap/>
            <w:hideMark/>
          </w:tcPr>
          <w:p w14:paraId="24FD954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2F537B7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30B4351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0C6550F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5DF70D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DBD216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7022A8D"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39274DD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Agricultural productivity of small-scale suppliers </w:t>
            </w:r>
          </w:p>
        </w:tc>
        <w:tc>
          <w:tcPr>
            <w:tcW w:w="433" w:type="pct"/>
            <w:noWrap/>
            <w:hideMark/>
          </w:tcPr>
          <w:p w14:paraId="33E2438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0A44F5F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29C1A5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09AB0B6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1E1C7D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6D8D72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BB76E7E"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7716D53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Healthy and sufficient food for those on low incomes </w:t>
            </w:r>
          </w:p>
        </w:tc>
        <w:tc>
          <w:tcPr>
            <w:tcW w:w="433" w:type="pct"/>
            <w:noWrap/>
            <w:hideMark/>
          </w:tcPr>
          <w:p w14:paraId="41FE086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476" w:type="pct"/>
            <w:noWrap/>
            <w:hideMark/>
          </w:tcPr>
          <w:p w14:paraId="4996240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FF0DFA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712" w:type="pct"/>
            <w:noWrap/>
            <w:hideMark/>
          </w:tcPr>
          <w:p w14:paraId="76C0217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43CFD2D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DAA0A4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7C1CFF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01546C2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overfishing and illegal-, unregulated- and destructive-fishing </w:t>
            </w:r>
          </w:p>
        </w:tc>
        <w:tc>
          <w:tcPr>
            <w:tcW w:w="433" w:type="pct"/>
            <w:noWrap/>
            <w:hideMark/>
          </w:tcPr>
          <w:p w14:paraId="1EC524A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0C1CCFE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486081B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95DDCF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60F2621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4696FF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F5A5F8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190E936F"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Small-scale producers’ ownership over land and other property</w:t>
            </w:r>
          </w:p>
        </w:tc>
        <w:tc>
          <w:tcPr>
            <w:tcW w:w="433" w:type="pct"/>
            <w:noWrap/>
            <w:hideMark/>
          </w:tcPr>
          <w:p w14:paraId="5F3ACC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DBCDB5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138C23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797EED9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56D12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C488F5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BF9145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w:t>
            </w:r>
          </w:p>
        </w:tc>
        <w:tc>
          <w:tcPr>
            <w:tcW w:w="2368" w:type="pct"/>
            <w:noWrap/>
            <w:hideMark/>
          </w:tcPr>
          <w:p w14:paraId="0D8D737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Sustainable food production </w:t>
            </w:r>
          </w:p>
        </w:tc>
        <w:tc>
          <w:tcPr>
            <w:tcW w:w="433" w:type="pct"/>
            <w:noWrap/>
            <w:hideMark/>
          </w:tcPr>
          <w:p w14:paraId="069388B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64F1220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1B289C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095C9C7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40EA6C4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5396DA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6B1167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w:t>
            </w:r>
          </w:p>
        </w:tc>
        <w:tc>
          <w:tcPr>
            <w:tcW w:w="2368" w:type="pct"/>
            <w:noWrap/>
            <w:hideMark/>
          </w:tcPr>
          <w:p w14:paraId="52B79CE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Education to promote sustainable development </w:t>
            </w:r>
          </w:p>
        </w:tc>
        <w:tc>
          <w:tcPr>
            <w:tcW w:w="433" w:type="pct"/>
            <w:noWrap/>
            <w:hideMark/>
          </w:tcPr>
          <w:p w14:paraId="690A792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51D6619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86C012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527520B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7273F2E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17B130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730069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w:t>
            </w:r>
          </w:p>
        </w:tc>
        <w:tc>
          <w:tcPr>
            <w:tcW w:w="2368" w:type="pct"/>
            <w:noWrap/>
            <w:hideMark/>
          </w:tcPr>
          <w:p w14:paraId="3878C84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Health-care services and medicines for all</w:t>
            </w:r>
          </w:p>
        </w:tc>
        <w:tc>
          <w:tcPr>
            <w:tcW w:w="433" w:type="pct"/>
            <w:noWrap/>
            <w:hideMark/>
          </w:tcPr>
          <w:p w14:paraId="0CA869A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3EA941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494047C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712" w:type="pct"/>
            <w:noWrap/>
            <w:hideMark/>
          </w:tcPr>
          <w:p w14:paraId="420EFFE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547B190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EE4F1F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995E150"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lastRenderedPageBreak/>
              <w:t>3</w:t>
            </w:r>
          </w:p>
        </w:tc>
        <w:tc>
          <w:tcPr>
            <w:tcW w:w="2368" w:type="pct"/>
            <w:noWrap/>
            <w:hideMark/>
          </w:tcPr>
          <w:p w14:paraId="45F197DF"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Healthy and sufficient food for those on low incomes </w:t>
            </w:r>
          </w:p>
        </w:tc>
        <w:tc>
          <w:tcPr>
            <w:tcW w:w="433" w:type="pct"/>
            <w:noWrap/>
            <w:hideMark/>
          </w:tcPr>
          <w:p w14:paraId="605C2FB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4BA024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9A331D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64BC95D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31CD5FE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6E38BF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024654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w:t>
            </w:r>
          </w:p>
        </w:tc>
        <w:tc>
          <w:tcPr>
            <w:tcW w:w="2368" w:type="pct"/>
            <w:noWrap/>
            <w:hideMark/>
          </w:tcPr>
          <w:p w14:paraId="2F4E43F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Mental health and well-being </w:t>
            </w:r>
          </w:p>
        </w:tc>
        <w:tc>
          <w:tcPr>
            <w:tcW w:w="433" w:type="pct"/>
            <w:noWrap/>
            <w:hideMark/>
          </w:tcPr>
          <w:p w14:paraId="689309A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6BE6A6E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0A9DFE8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6A3B533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00F3753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FA0FDE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27DD1F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w:t>
            </w:r>
          </w:p>
        </w:tc>
        <w:tc>
          <w:tcPr>
            <w:tcW w:w="2368" w:type="pct"/>
            <w:noWrap/>
            <w:hideMark/>
          </w:tcPr>
          <w:p w14:paraId="1FED7F9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Occupational health and safety </w:t>
            </w:r>
          </w:p>
        </w:tc>
        <w:tc>
          <w:tcPr>
            <w:tcW w:w="433" w:type="pct"/>
            <w:noWrap/>
            <w:hideMark/>
          </w:tcPr>
          <w:p w14:paraId="75436C5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69F866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20F402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4C0ADD8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57E0A18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30</w:t>
            </w:r>
          </w:p>
        </w:tc>
      </w:tr>
      <w:tr w:rsidR="002A1914" w:rsidRPr="008E4665" w14:paraId="74E5C2B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E393C3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w:t>
            </w:r>
          </w:p>
        </w:tc>
        <w:tc>
          <w:tcPr>
            <w:tcW w:w="2368" w:type="pct"/>
            <w:noWrap/>
            <w:hideMark/>
          </w:tcPr>
          <w:p w14:paraId="34C7034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Reducing air, water, and soil pollution </w:t>
            </w:r>
          </w:p>
        </w:tc>
        <w:tc>
          <w:tcPr>
            <w:tcW w:w="433" w:type="pct"/>
            <w:noWrap/>
            <w:hideMark/>
          </w:tcPr>
          <w:p w14:paraId="51D4E48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F50CC7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09BFCF0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1E75765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1B49AFB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0E72CA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D6C914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4</w:t>
            </w:r>
          </w:p>
        </w:tc>
        <w:tc>
          <w:tcPr>
            <w:tcW w:w="2368" w:type="pct"/>
            <w:noWrap/>
            <w:hideMark/>
          </w:tcPr>
          <w:p w14:paraId="390ED2C6"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Childcare services and benefits</w:t>
            </w:r>
          </w:p>
        </w:tc>
        <w:tc>
          <w:tcPr>
            <w:tcW w:w="433" w:type="pct"/>
            <w:noWrap/>
            <w:hideMark/>
          </w:tcPr>
          <w:p w14:paraId="08B8B85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183D2B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937A7C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572C22F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346DF0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B1E518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FA97224"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4</w:t>
            </w:r>
          </w:p>
        </w:tc>
        <w:tc>
          <w:tcPr>
            <w:tcW w:w="2368" w:type="pct"/>
            <w:noWrap/>
            <w:hideMark/>
          </w:tcPr>
          <w:p w14:paraId="428C96A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Children’s access to education </w:t>
            </w:r>
          </w:p>
        </w:tc>
        <w:tc>
          <w:tcPr>
            <w:tcW w:w="433" w:type="pct"/>
            <w:noWrap/>
            <w:hideMark/>
          </w:tcPr>
          <w:p w14:paraId="267BB09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7232BF1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FD8AEB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712" w:type="pct"/>
            <w:noWrap/>
            <w:hideMark/>
          </w:tcPr>
          <w:p w14:paraId="56B37D8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EE3256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A6A5D4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529BC7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4</w:t>
            </w:r>
          </w:p>
        </w:tc>
        <w:tc>
          <w:tcPr>
            <w:tcW w:w="2368" w:type="pct"/>
            <w:noWrap/>
            <w:hideMark/>
          </w:tcPr>
          <w:p w14:paraId="6D2F418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Education to promote sustainable development </w:t>
            </w:r>
          </w:p>
        </w:tc>
        <w:tc>
          <w:tcPr>
            <w:tcW w:w="433" w:type="pct"/>
            <w:noWrap/>
            <w:hideMark/>
          </w:tcPr>
          <w:p w14:paraId="48F2736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476" w:type="pct"/>
            <w:noWrap/>
            <w:hideMark/>
          </w:tcPr>
          <w:p w14:paraId="1842CEE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6073C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712" w:type="pct"/>
            <w:noWrap/>
            <w:hideMark/>
          </w:tcPr>
          <w:p w14:paraId="6EAE548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30EE20B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5BD44F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D8A5C1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4</w:t>
            </w:r>
          </w:p>
        </w:tc>
        <w:tc>
          <w:tcPr>
            <w:tcW w:w="2368" w:type="pct"/>
            <w:noWrap/>
            <w:hideMark/>
          </w:tcPr>
          <w:p w14:paraId="5FFBC7A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Employee training and education</w:t>
            </w:r>
          </w:p>
        </w:tc>
        <w:tc>
          <w:tcPr>
            <w:tcW w:w="433" w:type="pct"/>
            <w:noWrap/>
            <w:hideMark/>
          </w:tcPr>
          <w:p w14:paraId="59264D3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2D6C4B9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2E9D6E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712" w:type="pct"/>
            <w:noWrap/>
            <w:hideMark/>
          </w:tcPr>
          <w:p w14:paraId="689F1B8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3AF00A0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6CA580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90ADDA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w:t>
            </w:r>
          </w:p>
        </w:tc>
        <w:tc>
          <w:tcPr>
            <w:tcW w:w="2368" w:type="pct"/>
            <w:noWrap/>
            <w:hideMark/>
          </w:tcPr>
          <w:p w14:paraId="60E6B63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Childcare services and benefits</w:t>
            </w:r>
          </w:p>
        </w:tc>
        <w:tc>
          <w:tcPr>
            <w:tcW w:w="433" w:type="pct"/>
            <w:noWrap/>
            <w:hideMark/>
          </w:tcPr>
          <w:p w14:paraId="0DE97F0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51BAEC9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B13F7F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81B6EC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6F76ACA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7C59AE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B9F40BD"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w:t>
            </w:r>
          </w:p>
        </w:tc>
        <w:tc>
          <w:tcPr>
            <w:tcW w:w="2368" w:type="pct"/>
            <w:noWrap/>
            <w:hideMark/>
          </w:tcPr>
          <w:p w14:paraId="7783375F"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Equal pay and opportunities for men and women, at all levels</w:t>
            </w:r>
          </w:p>
        </w:tc>
        <w:tc>
          <w:tcPr>
            <w:tcW w:w="433" w:type="pct"/>
            <w:noWrap/>
            <w:hideMark/>
          </w:tcPr>
          <w:p w14:paraId="7FF037D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D9BF8F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23AB1A4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761C345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3310D4E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C0A12B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2D3A39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w:t>
            </w:r>
          </w:p>
        </w:tc>
        <w:tc>
          <w:tcPr>
            <w:tcW w:w="2368" w:type="pct"/>
            <w:noWrap/>
            <w:hideMark/>
          </w:tcPr>
          <w:p w14:paraId="6C36FF3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Health-care services and medicines for all </w:t>
            </w:r>
          </w:p>
        </w:tc>
        <w:tc>
          <w:tcPr>
            <w:tcW w:w="433" w:type="pct"/>
            <w:noWrap/>
            <w:hideMark/>
          </w:tcPr>
          <w:p w14:paraId="14E9BF6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660341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13BA811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712" w:type="pct"/>
            <w:noWrap/>
            <w:hideMark/>
          </w:tcPr>
          <w:p w14:paraId="74F70E1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44E3A3A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EEE048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97CB02D"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w:t>
            </w:r>
          </w:p>
        </w:tc>
        <w:tc>
          <w:tcPr>
            <w:tcW w:w="2368" w:type="pct"/>
            <w:noWrap/>
            <w:hideMark/>
          </w:tcPr>
          <w:p w14:paraId="1F7F831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discrimination and anti-discrimination laws and policies </w:t>
            </w:r>
          </w:p>
        </w:tc>
        <w:tc>
          <w:tcPr>
            <w:tcW w:w="433" w:type="pct"/>
            <w:noWrap/>
            <w:hideMark/>
          </w:tcPr>
          <w:p w14:paraId="79D4F3E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799DC9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355B16D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712" w:type="pct"/>
            <w:noWrap/>
            <w:hideMark/>
          </w:tcPr>
          <w:p w14:paraId="028778B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222FCD9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AE5EC9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C307926"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w:t>
            </w:r>
          </w:p>
        </w:tc>
        <w:tc>
          <w:tcPr>
            <w:tcW w:w="2368" w:type="pct"/>
            <w:noWrap/>
            <w:hideMark/>
          </w:tcPr>
          <w:p w14:paraId="5AA472EE"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workplace violence and harassment </w:t>
            </w:r>
          </w:p>
        </w:tc>
        <w:tc>
          <w:tcPr>
            <w:tcW w:w="433" w:type="pct"/>
            <w:noWrap/>
            <w:hideMark/>
          </w:tcPr>
          <w:p w14:paraId="71DA034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53BCAD6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085651D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712" w:type="pct"/>
            <w:noWrap/>
            <w:hideMark/>
          </w:tcPr>
          <w:p w14:paraId="728F839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6B939A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C708C4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1B1979F"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6</w:t>
            </w:r>
          </w:p>
        </w:tc>
        <w:tc>
          <w:tcPr>
            <w:tcW w:w="2368" w:type="pct"/>
            <w:noWrap/>
            <w:hideMark/>
          </w:tcPr>
          <w:p w14:paraId="05128EE6"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Marine, coastal, and other water-related ecosystems</w:t>
            </w:r>
          </w:p>
        </w:tc>
        <w:tc>
          <w:tcPr>
            <w:tcW w:w="433" w:type="pct"/>
            <w:noWrap/>
            <w:hideMark/>
          </w:tcPr>
          <w:p w14:paraId="3400C2C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C3C3E9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4E3A87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3672756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600F77B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666577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4C1A59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6</w:t>
            </w:r>
          </w:p>
        </w:tc>
        <w:tc>
          <w:tcPr>
            <w:tcW w:w="2368" w:type="pct"/>
            <w:noWrap/>
            <w:hideMark/>
          </w:tcPr>
          <w:p w14:paraId="63FA044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Reducing air, water, and soil pollution </w:t>
            </w:r>
          </w:p>
        </w:tc>
        <w:tc>
          <w:tcPr>
            <w:tcW w:w="433" w:type="pct"/>
            <w:noWrap/>
            <w:hideMark/>
          </w:tcPr>
          <w:p w14:paraId="09838FC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730B48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428A0E4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4551DFC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7103B5E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BC8465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F36C734"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6</w:t>
            </w:r>
          </w:p>
        </w:tc>
        <w:tc>
          <w:tcPr>
            <w:tcW w:w="2368" w:type="pct"/>
            <w:noWrap/>
            <w:hideMark/>
          </w:tcPr>
          <w:p w14:paraId="4384CE3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Sustainable waste management</w:t>
            </w:r>
          </w:p>
        </w:tc>
        <w:tc>
          <w:tcPr>
            <w:tcW w:w="433" w:type="pct"/>
            <w:noWrap/>
            <w:hideMark/>
          </w:tcPr>
          <w:p w14:paraId="58E8C46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74C3F09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1BF0F79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712" w:type="pct"/>
            <w:noWrap/>
            <w:hideMark/>
          </w:tcPr>
          <w:p w14:paraId="0658358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10945D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43C197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D3FEC5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6</w:t>
            </w:r>
          </w:p>
        </w:tc>
        <w:tc>
          <w:tcPr>
            <w:tcW w:w="2368" w:type="pct"/>
            <w:noWrap/>
            <w:hideMark/>
          </w:tcPr>
          <w:p w14:paraId="0859F43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Water use </w:t>
            </w:r>
          </w:p>
        </w:tc>
        <w:tc>
          <w:tcPr>
            <w:tcW w:w="433" w:type="pct"/>
            <w:noWrap/>
            <w:hideMark/>
          </w:tcPr>
          <w:p w14:paraId="7DFB719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476" w:type="pct"/>
            <w:noWrap/>
            <w:hideMark/>
          </w:tcPr>
          <w:p w14:paraId="3241BF3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1F51898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712" w:type="pct"/>
            <w:noWrap/>
            <w:hideMark/>
          </w:tcPr>
          <w:p w14:paraId="1615029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3F12185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71</w:t>
            </w:r>
          </w:p>
        </w:tc>
      </w:tr>
      <w:tr w:rsidR="002A1914" w:rsidRPr="008E4665" w14:paraId="29BBB21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0A8F67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6</w:t>
            </w:r>
          </w:p>
        </w:tc>
        <w:tc>
          <w:tcPr>
            <w:tcW w:w="2368" w:type="pct"/>
            <w:noWrap/>
            <w:hideMark/>
          </w:tcPr>
          <w:p w14:paraId="6D041B14"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Water, sanitation, and hygiene </w:t>
            </w:r>
          </w:p>
        </w:tc>
        <w:tc>
          <w:tcPr>
            <w:tcW w:w="433" w:type="pct"/>
            <w:noWrap/>
            <w:hideMark/>
          </w:tcPr>
          <w:p w14:paraId="518FC50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3867F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9C9AED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944A7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9D8B59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FF29BB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0ABA10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w:t>
            </w:r>
          </w:p>
        </w:tc>
        <w:tc>
          <w:tcPr>
            <w:tcW w:w="2368" w:type="pct"/>
            <w:noWrap/>
            <w:hideMark/>
          </w:tcPr>
          <w:p w14:paraId="734C60E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energy for all </w:t>
            </w:r>
          </w:p>
        </w:tc>
        <w:tc>
          <w:tcPr>
            <w:tcW w:w="433" w:type="pct"/>
            <w:noWrap/>
            <w:hideMark/>
          </w:tcPr>
          <w:p w14:paraId="542D767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F25E40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BA9E0F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5F2870D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D7D034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077F1E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94CCA26"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w:t>
            </w:r>
          </w:p>
        </w:tc>
        <w:tc>
          <w:tcPr>
            <w:tcW w:w="2368" w:type="pct"/>
            <w:noWrap/>
            <w:hideMark/>
          </w:tcPr>
          <w:p w14:paraId="61F3C14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Energy efficiency </w:t>
            </w:r>
          </w:p>
        </w:tc>
        <w:tc>
          <w:tcPr>
            <w:tcW w:w="433" w:type="pct"/>
            <w:noWrap/>
            <w:hideMark/>
          </w:tcPr>
          <w:p w14:paraId="5F4AF12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5913152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4C1F4FC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6844AAF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2D5F6A2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8276FF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488B476"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w:t>
            </w:r>
          </w:p>
        </w:tc>
        <w:tc>
          <w:tcPr>
            <w:tcW w:w="2368" w:type="pct"/>
            <w:noWrap/>
            <w:hideMark/>
          </w:tcPr>
          <w:p w14:paraId="1B8008E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Energy infrastructure </w:t>
            </w:r>
          </w:p>
        </w:tc>
        <w:tc>
          <w:tcPr>
            <w:tcW w:w="433" w:type="pct"/>
            <w:noWrap/>
            <w:hideMark/>
          </w:tcPr>
          <w:p w14:paraId="19E17CC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476" w:type="pct"/>
            <w:noWrap/>
            <w:hideMark/>
          </w:tcPr>
          <w:p w14:paraId="7A7D8EE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3DDF0F6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315DB43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72D7496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A9B9B3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C006E6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w:t>
            </w:r>
          </w:p>
        </w:tc>
        <w:tc>
          <w:tcPr>
            <w:tcW w:w="2368" w:type="pct"/>
            <w:noWrap/>
            <w:hideMark/>
          </w:tcPr>
          <w:p w14:paraId="2798BE1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Renewable energy </w:t>
            </w:r>
          </w:p>
        </w:tc>
        <w:tc>
          <w:tcPr>
            <w:tcW w:w="433" w:type="pct"/>
            <w:noWrap/>
            <w:hideMark/>
          </w:tcPr>
          <w:p w14:paraId="29C21DB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6FA3A9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18A66F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4403CD4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60E775B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5F5981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E9D52A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6477F4A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Economic growth and productivity, particularly in developing countries</w:t>
            </w:r>
          </w:p>
        </w:tc>
        <w:tc>
          <w:tcPr>
            <w:tcW w:w="433" w:type="pct"/>
            <w:noWrap/>
            <w:hideMark/>
          </w:tcPr>
          <w:p w14:paraId="68F1A8C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9E482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6E67C40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1DD8044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0328F96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E79B06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9D7E3B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7A472FD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Employee training and education</w:t>
            </w:r>
          </w:p>
        </w:tc>
        <w:tc>
          <w:tcPr>
            <w:tcW w:w="433" w:type="pct"/>
            <w:noWrap/>
            <w:hideMark/>
          </w:tcPr>
          <w:p w14:paraId="1803B8A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61CECAD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55483F1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712" w:type="pct"/>
            <w:noWrap/>
            <w:hideMark/>
          </w:tcPr>
          <w:p w14:paraId="4FAA57C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54F5A2F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1DC0B3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D703A20"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6572C32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Employment for all, particularly young people and people with disabilities</w:t>
            </w:r>
          </w:p>
        </w:tc>
        <w:tc>
          <w:tcPr>
            <w:tcW w:w="433" w:type="pct"/>
            <w:noWrap/>
            <w:hideMark/>
          </w:tcPr>
          <w:p w14:paraId="7EB58DB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60AFB4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3E55A8A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7733154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7DC4617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957BD0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1A80A7D"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46A7237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Energy efficiency </w:t>
            </w:r>
          </w:p>
        </w:tc>
        <w:tc>
          <w:tcPr>
            <w:tcW w:w="433" w:type="pct"/>
            <w:noWrap/>
            <w:hideMark/>
          </w:tcPr>
          <w:p w14:paraId="1508861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030BFA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7DA89A5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4835108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36C832F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AE0B49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5FB1E6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3DC9B74C"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discrimination and anti-discrimination laws and policies </w:t>
            </w:r>
          </w:p>
        </w:tc>
        <w:tc>
          <w:tcPr>
            <w:tcW w:w="433" w:type="pct"/>
            <w:noWrap/>
            <w:hideMark/>
          </w:tcPr>
          <w:p w14:paraId="7E89B7D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045EE67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47BCF73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712" w:type="pct"/>
            <w:noWrap/>
            <w:hideMark/>
          </w:tcPr>
          <w:p w14:paraId="3763EBF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0F60426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AEB319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97E28F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17F6EA5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Occupational health and safety </w:t>
            </w:r>
          </w:p>
        </w:tc>
        <w:tc>
          <w:tcPr>
            <w:tcW w:w="433" w:type="pct"/>
            <w:noWrap/>
            <w:hideMark/>
          </w:tcPr>
          <w:p w14:paraId="7688FE8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009A0CC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30E86ED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5FF09AA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2C68C8C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30</w:t>
            </w:r>
          </w:p>
        </w:tc>
      </w:tr>
      <w:tr w:rsidR="002A1914" w:rsidRPr="008E4665" w14:paraId="198F8D0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BDA49A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404805F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Social standards in the supply chain</w:t>
            </w:r>
          </w:p>
        </w:tc>
        <w:tc>
          <w:tcPr>
            <w:tcW w:w="433" w:type="pct"/>
            <w:noWrap/>
            <w:hideMark/>
          </w:tcPr>
          <w:p w14:paraId="261A02C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4EE9D7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7BF7549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5A75D85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75FA2C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6257E6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3216244"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22C38AB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Sustainable waste management</w:t>
            </w:r>
          </w:p>
        </w:tc>
        <w:tc>
          <w:tcPr>
            <w:tcW w:w="433" w:type="pct"/>
            <w:noWrap/>
            <w:hideMark/>
          </w:tcPr>
          <w:p w14:paraId="42AC86C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6FBBA8B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0D44F45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295F52F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46" w:type="pct"/>
            <w:noWrap/>
            <w:hideMark/>
          </w:tcPr>
          <w:p w14:paraId="48FE12D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20</w:t>
            </w:r>
          </w:p>
        </w:tc>
      </w:tr>
      <w:tr w:rsidR="002A1914" w:rsidRPr="008E4665" w14:paraId="25D49E2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76FD78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18ACAEF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Wage policy and working conditions</w:t>
            </w:r>
          </w:p>
        </w:tc>
        <w:tc>
          <w:tcPr>
            <w:tcW w:w="433" w:type="pct"/>
            <w:noWrap/>
            <w:hideMark/>
          </w:tcPr>
          <w:p w14:paraId="33C0E78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0A7E65C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2E127CC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712" w:type="pct"/>
            <w:noWrap/>
            <w:hideMark/>
          </w:tcPr>
          <w:p w14:paraId="164A763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41A659E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F55FEB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8C536AE"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8</w:t>
            </w:r>
          </w:p>
        </w:tc>
        <w:tc>
          <w:tcPr>
            <w:tcW w:w="2368" w:type="pct"/>
            <w:noWrap/>
            <w:hideMark/>
          </w:tcPr>
          <w:p w14:paraId="70CFA79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Water use efficiency </w:t>
            </w:r>
          </w:p>
        </w:tc>
        <w:tc>
          <w:tcPr>
            <w:tcW w:w="433" w:type="pct"/>
            <w:noWrap/>
            <w:hideMark/>
          </w:tcPr>
          <w:p w14:paraId="695D721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476" w:type="pct"/>
            <w:noWrap/>
            <w:hideMark/>
          </w:tcPr>
          <w:p w14:paraId="40EFEB8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4F2A57F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712" w:type="pct"/>
            <w:noWrap/>
            <w:hideMark/>
          </w:tcPr>
          <w:p w14:paraId="267E00C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4AF11F9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71</w:t>
            </w:r>
          </w:p>
        </w:tc>
      </w:tr>
      <w:tr w:rsidR="002A1914" w:rsidRPr="008E4665" w14:paraId="73721D8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11A371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lastRenderedPageBreak/>
              <w:t>9</w:t>
            </w:r>
          </w:p>
        </w:tc>
        <w:tc>
          <w:tcPr>
            <w:tcW w:w="2368" w:type="pct"/>
            <w:noWrap/>
            <w:hideMark/>
          </w:tcPr>
          <w:p w14:paraId="25BFF0B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financial services for all, including the most vulnerable </w:t>
            </w:r>
          </w:p>
        </w:tc>
        <w:tc>
          <w:tcPr>
            <w:tcW w:w="433" w:type="pct"/>
            <w:noWrap/>
            <w:hideMark/>
          </w:tcPr>
          <w:p w14:paraId="4F82F01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D41074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72C2259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D28B4D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DAEBC1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0FB134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BE3FB8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9</w:t>
            </w:r>
          </w:p>
        </w:tc>
        <w:tc>
          <w:tcPr>
            <w:tcW w:w="2368" w:type="pct"/>
            <w:noWrap/>
            <w:hideMark/>
          </w:tcPr>
          <w:p w14:paraId="7435D73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information and communication technology for all </w:t>
            </w:r>
          </w:p>
        </w:tc>
        <w:tc>
          <w:tcPr>
            <w:tcW w:w="433" w:type="pct"/>
            <w:noWrap/>
            <w:hideMark/>
          </w:tcPr>
          <w:p w14:paraId="508D489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5726C8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5DF576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642959B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164BED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51109D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B1E7ED4"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9</w:t>
            </w:r>
          </w:p>
        </w:tc>
        <w:tc>
          <w:tcPr>
            <w:tcW w:w="2368" w:type="pct"/>
            <w:noWrap/>
            <w:hideMark/>
          </w:tcPr>
          <w:p w14:paraId="4BF4592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Resilient and sustainable infrastructure </w:t>
            </w:r>
          </w:p>
        </w:tc>
        <w:tc>
          <w:tcPr>
            <w:tcW w:w="433" w:type="pct"/>
            <w:noWrap/>
            <w:hideMark/>
          </w:tcPr>
          <w:p w14:paraId="780D8B6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AA9E4E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2BE6C5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7E4E64C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07DCC3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75A511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9B25F9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9</w:t>
            </w:r>
          </w:p>
        </w:tc>
        <w:tc>
          <w:tcPr>
            <w:tcW w:w="2368" w:type="pct"/>
            <w:noWrap/>
            <w:hideMark/>
          </w:tcPr>
          <w:p w14:paraId="5B0A9E7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Sustainable technologies and sustainable industrial processes </w:t>
            </w:r>
          </w:p>
        </w:tc>
        <w:tc>
          <w:tcPr>
            <w:tcW w:w="433" w:type="pct"/>
            <w:noWrap/>
            <w:hideMark/>
          </w:tcPr>
          <w:p w14:paraId="416F11C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5D0AD0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0300933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712" w:type="pct"/>
            <w:noWrap/>
            <w:hideMark/>
          </w:tcPr>
          <w:p w14:paraId="481C70E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623680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A162E2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EE5F84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2368" w:type="pct"/>
            <w:noWrap/>
            <w:hideMark/>
          </w:tcPr>
          <w:p w14:paraId="5772D7F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Investment (e.g. FDI) in developing countries</w:t>
            </w:r>
          </w:p>
        </w:tc>
        <w:tc>
          <w:tcPr>
            <w:tcW w:w="433" w:type="pct"/>
            <w:noWrap/>
            <w:hideMark/>
          </w:tcPr>
          <w:p w14:paraId="6BD3271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E8EB4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3A7FB5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E62EF4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748193F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028AEB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FF5ED6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2368" w:type="pct"/>
            <w:noWrap/>
            <w:hideMark/>
          </w:tcPr>
          <w:p w14:paraId="08A08034"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Social protection systems for all </w:t>
            </w:r>
          </w:p>
        </w:tc>
        <w:tc>
          <w:tcPr>
            <w:tcW w:w="433" w:type="pct"/>
            <w:noWrap/>
            <w:hideMark/>
          </w:tcPr>
          <w:p w14:paraId="1062F5D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3F7D7C9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4C20832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1653EC5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C9DE36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36193D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3C2ADD0"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2368" w:type="pct"/>
            <w:noWrap/>
            <w:hideMark/>
          </w:tcPr>
          <w:p w14:paraId="0E930BE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Wage policy and working conditions</w:t>
            </w:r>
          </w:p>
        </w:tc>
        <w:tc>
          <w:tcPr>
            <w:tcW w:w="433" w:type="pct"/>
            <w:noWrap/>
            <w:hideMark/>
          </w:tcPr>
          <w:p w14:paraId="3A3BB8B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202B0A1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E300A7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040E9B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F63D1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343DDC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172B97E"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c>
          <w:tcPr>
            <w:tcW w:w="2368" w:type="pct"/>
            <w:noWrap/>
            <w:hideMark/>
          </w:tcPr>
          <w:p w14:paraId="2942C468"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affordable and safe housing for all </w:t>
            </w:r>
          </w:p>
        </w:tc>
        <w:tc>
          <w:tcPr>
            <w:tcW w:w="433" w:type="pct"/>
            <w:noWrap/>
            <w:hideMark/>
          </w:tcPr>
          <w:p w14:paraId="0175950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6E2612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5B5FB3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17217E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10B22D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50A5A4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DA109E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c>
          <w:tcPr>
            <w:tcW w:w="2368" w:type="pct"/>
            <w:noWrap/>
            <w:hideMark/>
          </w:tcPr>
          <w:p w14:paraId="260658CC"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Access to affordable and sustainable transport for all </w:t>
            </w:r>
          </w:p>
        </w:tc>
        <w:tc>
          <w:tcPr>
            <w:tcW w:w="433" w:type="pct"/>
            <w:noWrap/>
            <w:hideMark/>
          </w:tcPr>
          <w:p w14:paraId="5C8952D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B3CD07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7151E9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5043991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4C55DCF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2C7B77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93717C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c>
          <w:tcPr>
            <w:tcW w:w="2368" w:type="pct"/>
            <w:noWrap/>
            <w:hideMark/>
          </w:tcPr>
          <w:p w14:paraId="61975ADF"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Cultural and natural heritage and diversity </w:t>
            </w:r>
          </w:p>
        </w:tc>
        <w:tc>
          <w:tcPr>
            <w:tcW w:w="433" w:type="pct"/>
            <w:noWrap/>
            <w:hideMark/>
          </w:tcPr>
          <w:p w14:paraId="0685FE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5D7B4DE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E69AD1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722B22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918AD9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EEBFEE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2D652F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c>
          <w:tcPr>
            <w:tcW w:w="2368" w:type="pct"/>
            <w:noWrap/>
            <w:hideMark/>
          </w:tcPr>
          <w:p w14:paraId="633A3F9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Disaster and emergency planning </w:t>
            </w:r>
          </w:p>
        </w:tc>
        <w:tc>
          <w:tcPr>
            <w:tcW w:w="433" w:type="pct"/>
            <w:noWrap/>
            <w:hideMark/>
          </w:tcPr>
          <w:p w14:paraId="4CA6B74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2D32CA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A653CD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48DCD29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A87985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5E0B4A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E9E875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c>
          <w:tcPr>
            <w:tcW w:w="2368" w:type="pct"/>
            <w:noWrap/>
            <w:hideMark/>
          </w:tcPr>
          <w:p w14:paraId="02BBAB0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Sustainable waste management</w:t>
            </w:r>
          </w:p>
        </w:tc>
        <w:tc>
          <w:tcPr>
            <w:tcW w:w="433" w:type="pct"/>
            <w:noWrap/>
            <w:hideMark/>
          </w:tcPr>
          <w:p w14:paraId="749D779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58010D2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3B63994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712" w:type="pct"/>
            <w:noWrap/>
            <w:hideMark/>
          </w:tcPr>
          <w:p w14:paraId="76FBB3B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129A66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324F83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88017B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251B3455"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Clean mobility and transportation</w:t>
            </w:r>
          </w:p>
        </w:tc>
        <w:tc>
          <w:tcPr>
            <w:tcW w:w="433" w:type="pct"/>
            <w:noWrap/>
            <w:hideMark/>
          </w:tcPr>
          <w:p w14:paraId="1FB35AB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EAC4DB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732F200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712" w:type="pct"/>
            <w:noWrap/>
            <w:hideMark/>
          </w:tcPr>
          <w:p w14:paraId="71EC9A9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46" w:type="pct"/>
            <w:noWrap/>
            <w:hideMark/>
          </w:tcPr>
          <w:p w14:paraId="1CF44C6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29</w:t>
            </w:r>
          </w:p>
        </w:tc>
      </w:tr>
      <w:tr w:rsidR="002A1914" w:rsidRPr="008E4665" w14:paraId="087F261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C544C06"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68F5526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Education to promote sustainable development </w:t>
            </w:r>
          </w:p>
        </w:tc>
        <w:tc>
          <w:tcPr>
            <w:tcW w:w="433" w:type="pct"/>
            <w:noWrap/>
            <w:hideMark/>
          </w:tcPr>
          <w:p w14:paraId="26680E0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00EF8BC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0D2D5B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335EC28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55A691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019AD4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0E5D48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5C17A03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Environmentally sustainable sourcing </w:t>
            </w:r>
          </w:p>
        </w:tc>
        <w:tc>
          <w:tcPr>
            <w:tcW w:w="433" w:type="pct"/>
            <w:noWrap/>
            <w:hideMark/>
          </w:tcPr>
          <w:p w14:paraId="1169BE3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20B2F6D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0CB5163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1A21E99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46" w:type="pct"/>
            <w:noWrap/>
            <w:hideMark/>
          </w:tcPr>
          <w:p w14:paraId="220BF74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r>
      <w:tr w:rsidR="002A1914" w:rsidRPr="008E4665" w14:paraId="063A464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418E11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397F417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External reporting on sustainability </w:t>
            </w:r>
          </w:p>
        </w:tc>
        <w:tc>
          <w:tcPr>
            <w:tcW w:w="433" w:type="pct"/>
            <w:noWrap/>
            <w:hideMark/>
          </w:tcPr>
          <w:p w14:paraId="61FE2D9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6F28EE9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10573D0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712" w:type="pct"/>
            <w:noWrap/>
            <w:hideMark/>
          </w:tcPr>
          <w:p w14:paraId="7DCC10E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8B22B7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3A6868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4A6E7A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12121E6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Reducing air, water, and soil pollution </w:t>
            </w:r>
          </w:p>
        </w:tc>
        <w:tc>
          <w:tcPr>
            <w:tcW w:w="433" w:type="pct"/>
            <w:noWrap/>
            <w:hideMark/>
          </w:tcPr>
          <w:p w14:paraId="5C243CD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753FCB0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2B5C456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0DDF381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4777A29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1A56B1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684B26E"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1BBDEC5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Sustainable waste management</w:t>
            </w:r>
          </w:p>
        </w:tc>
        <w:tc>
          <w:tcPr>
            <w:tcW w:w="433" w:type="pct"/>
            <w:noWrap/>
            <w:hideMark/>
          </w:tcPr>
          <w:p w14:paraId="601FCEC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3F4C324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6930EDE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1522E42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46" w:type="pct"/>
            <w:noWrap/>
            <w:hideMark/>
          </w:tcPr>
          <w:p w14:paraId="76965E1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20</w:t>
            </w:r>
          </w:p>
        </w:tc>
      </w:tr>
      <w:tr w:rsidR="002A1914" w:rsidRPr="008E4665" w14:paraId="2DDE6BD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20ACC4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334C18C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Tools to monitor impacts on sustainable development </w:t>
            </w:r>
          </w:p>
        </w:tc>
        <w:tc>
          <w:tcPr>
            <w:tcW w:w="433" w:type="pct"/>
            <w:noWrap/>
            <w:hideMark/>
          </w:tcPr>
          <w:p w14:paraId="095FBD8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8F683B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6428BD2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09EC822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14A63A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9A528A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8DCE7D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12</w:t>
            </w:r>
          </w:p>
        </w:tc>
        <w:tc>
          <w:tcPr>
            <w:tcW w:w="2368" w:type="pct"/>
            <w:noWrap/>
            <w:hideMark/>
          </w:tcPr>
          <w:p w14:paraId="5DB6BB75"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Transfer of (sustainable) technologies to developing countries </w:t>
            </w:r>
          </w:p>
        </w:tc>
        <w:tc>
          <w:tcPr>
            <w:tcW w:w="433" w:type="pct"/>
            <w:noWrap/>
            <w:hideMark/>
          </w:tcPr>
          <w:p w14:paraId="4642529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79684C7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31496B1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689EE5E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2E72C8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A6300C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015DCE0"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61C72C0E"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Clean mobility and transportation</w:t>
            </w:r>
          </w:p>
        </w:tc>
        <w:tc>
          <w:tcPr>
            <w:tcW w:w="433" w:type="pct"/>
            <w:noWrap/>
            <w:hideMark/>
          </w:tcPr>
          <w:p w14:paraId="30F1F52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4D566EA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07E09B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712" w:type="pct"/>
            <w:noWrap/>
            <w:hideMark/>
          </w:tcPr>
          <w:p w14:paraId="4EB4572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46" w:type="pct"/>
            <w:noWrap/>
            <w:hideMark/>
          </w:tcPr>
          <w:p w14:paraId="778091B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29</w:t>
            </w:r>
          </w:p>
        </w:tc>
      </w:tr>
      <w:tr w:rsidR="002A1914" w:rsidRPr="008E4665" w14:paraId="75763B8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322CB4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48DC767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Disaster and emergency planning </w:t>
            </w:r>
          </w:p>
        </w:tc>
        <w:tc>
          <w:tcPr>
            <w:tcW w:w="433" w:type="pct"/>
            <w:noWrap/>
            <w:hideMark/>
          </w:tcPr>
          <w:p w14:paraId="4CB8DA9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6AA6B14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7EB52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39C6C9F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A3EC7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765422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3D67F16"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66D64F20"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Education to promote sustainable development </w:t>
            </w:r>
          </w:p>
        </w:tc>
        <w:tc>
          <w:tcPr>
            <w:tcW w:w="433" w:type="pct"/>
            <w:noWrap/>
            <w:hideMark/>
          </w:tcPr>
          <w:p w14:paraId="46A65A3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76DEBBE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9DC60C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767A229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468DC25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230DA9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2A85F2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6057852E"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Energy efficiency </w:t>
            </w:r>
          </w:p>
        </w:tc>
        <w:tc>
          <w:tcPr>
            <w:tcW w:w="433" w:type="pct"/>
            <w:noWrap/>
            <w:hideMark/>
          </w:tcPr>
          <w:p w14:paraId="189D150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5D3C3C7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6AE80D9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635E902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346" w:type="pct"/>
            <w:noWrap/>
            <w:hideMark/>
          </w:tcPr>
          <w:p w14:paraId="3DCD25D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50C670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73E522F"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1CE3969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Funding for developing countries’ climate change actions</w:t>
            </w:r>
          </w:p>
        </w:tc>
        <w:tc>
          <w:tcPr>
            <w:tcW w:w="433" w:type="pct"/>
            <w:noWrap/>
            <w:hideMark/>
          </w:tcPr>
          <w:p w14:paraId="6213F9B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35FAE6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78B3A0B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1E29051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6B4116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0242C7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7DA0DE7"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735428E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Greenhouse gas emission reductions </w:t>
            </w:r>
          </w:p>
        </w:tc>
        <w:tc>
          <w:tcPr>
            <w:tcW w:w="433" w:type="pct"/>
            <w:noWrap/>
            <w:hideMark/>
          </w:tcPr>
          <w:p w14:paraId="7EB181B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7ACAA0B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4A85BA0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712" w:type="pct"/>
            <w:noWrap/>
            <w:hideMark/>
          </w:tcPr>
          <w:p w14:paraId="073F1F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346" w:type="pct"/>
            <w:noWrap/>
            <w:hideMark/>
          </w:tcPr>
          <w:p w14:paraId="1B9BB96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27</w:t>
            </w:r>
          </w:p>
        </w:tc>
      </w:tr>
      <w:tr w:rsidR="002A1914" w:rsidRPr="008E4665" w14:paraId="083EC92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6C988DF"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3C94B81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Renewable energy </w:t>
            </w:r>
          </w:p>
        </w:tc>
        <w:tc>
          <w:tcPr>
            <w:tcW w:w="433" w:type="pct"/>
            <w:noWrap/>
            <w:hideMark/>
          </w:tcPr>
          <w:p w14:paraId="3067257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001541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4A83EA4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41BF540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6407546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872B22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BB83BD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13</w:t>
            </w:r>
          </w:p>
        </w:tc>
        <w:tc>
          <w:tcPr>
            <w:tcW w:w="2368" w:type="pct"/>
            <w:noWrap/>
            <w:hideMark/>
          </w:tcPr>
          <w:p w14:paraId="15DD141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Resilience to climate-related hazards </w:t>
            </w:r>
          </w:p>
        </w:tc>
        <w:tc>
          <w:tcPr>
            <w:tcW w:w="433" w:type="pct"/>
            <w:noWrap/>
            <w:hideMark/>
          </w:tcPr>
          <w:p w14:paraId="5D5917A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DEDB60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36C887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55BB8B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6D730A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DE4B8C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328D463"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lastRenderedPageBreak/>
              <w:t>13</w:t>
            </w:r>
          </w:p>
        </w:tc>
        <w:tc>
          <w:tcPr>
            <w:tcW w:w="2368" w:type="pct"/>
            <w:noWrap/>
            <w:hideMark/>
          </w:tcPr>
          <w:p w14:paraId="1068B47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Sustainable food production </w:t>
            </w:r>
          </w:p>
        </w:tc>
        <w:tc>
          <w:tcPr>
            <w:tcW w:w="433" w:type="pct"/>
            <w:noWrap/>
            <w:hideMark/>
          </w:tcPr>
          <w:p w14:paraId="1BE0965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11F488A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D2A807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28E8E3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1F20CE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9FAA67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A90939E"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14</w:t>
            </w:r>
          </w:p>
        </w:tc>
        <w:tc>
          <w:tcPr>
            <w:tcW w:w="2368" w:type="pct"/>
            <w:noWrap/>
            <w:hideMark/>
          </w:tcPr>
          <w:p w14:paraId="677BD42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Environmentally sustainable sourcing </w:t>
            </w:r>
          </w:p>
        </w:tc>
        <w:tc>
          <w:tcPr>
            <w:tcW w:w="433" w:type="pct"/>
            <w:noWrap/>
            <w:hideMark/>
          </w:tcPr>
          <w:p w14:paraId="148718D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1DD0B1D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6A42843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14D7951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46" w:type="pct"/>
            <w:noWrap/>
            <w:hideMark/>
          </w:tcPr>
          <w:p w14:paraId="2D7F5C0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B9AB02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FD07A2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14</w:t>
            </w:r>
          </w:p>
        </w:tc>
        <w:tc>
          <w:tcPr>
            <w:tcW w:w="2368" w:type="pct"/>
            <w:noWrap/>
            <w:hideMark/>
          </w:tcPr>
          <w:p w14:paraId="2BEBAF25"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Marine, coastal, and other water-related ecosystems</w:t>
            </w:r>
          </w:p>
        </w:tc>
        <w:tc>
          <w:tcPr>
            <w:tcW w:w="433" w:type="pct"/>
            <w:noWrap/>
            <w:hideMark/>
          </w:tcPr>
          <w:p w14:paraId="0BAAEB1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709CA9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0DADD8A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615D315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4F39E88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0FB42B0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863AC17"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14</w:t>
            </w:r>
          </w:p>
        </w:tc>
        <w:tc>
          <w:tcPr>
            <w:tcW w:w="2368" w:type="pct"/>
            <w:noWrap/>
            <w:hideMark/>
          </w:tcPr>
          <w:p w14:paraId="22CDE0EC"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overfishing and illegal-, unregulated- and destructive-fishing </w:t>
            </w:r>
          </w:p>
        </w:tc>
        <w:tc>
          <w:tcPr>
            <w:tcW w:w="433" w:type="pct"/>
            <w:noWrap/>
            <w:hideMark/>
          </w:tcPr>
          <w:p w14:paraId="4F3A8D3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44905E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075016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33C2CD7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535219C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4A40AE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DE2B04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w:t>
            </w:r>
          </w:p>
        </w:tc>
        <w:tc>
          <w:tcPr>
            <w:tcW w:w="2368" w:type="pct"/>
            <w:noWrap/>
            <w:hideMark/>
          </w:tcPr>
          <w:p w14:paraId="4C91C21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Ecosystems and biodiversity on land</w:t>
            </w:r>
          </w:p>
        </w:tc>
        <w:tc>
          <w:tcPr>
            <w:tcW w:w="433" w:type="pct"/>
            <w:noWrap/>
            <w:hideMark/>
          </w:tcPr>
          <w:p w14:paraId="0ECF3FC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FCE65D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6C26044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097F1ED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6CCDF7B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B0AC5C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44241F7"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w:t>
            </w:r>
          </w:p>
        </w:tc>
        <w:tc>
          <w:tcPr>
            <w:tcW w:w="2368" w:type="pct"/>
            <w:noWrap/>
            <w:hideMark/>
          </w:tcPr>
          <w:p w14:paraId="4CE96D9B"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Environmentally sustainable sourcing </w:t>
            </w:r>
          </w:p>
        </w:tc>
        <w:tc>
          <w:tcPr>
            <w:tcW w:w="433" w:type="pct"/>
            <w:noWrap/>
            <w:hideMark/>
          </w:tcPr>
          <w:p w14:paraId="321EBB1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5FFC046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62427D5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2BD0930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46" w:type="pct"/>
            <w:noWrap/>
            <w:hideMark/>
          </w:tcPr>
          <w:p w14:paraId="7BA66F5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11</w:t>
            </w:r>
          </w:p>
        </w:tc>
      </w:tr>
      <w:tr w:rsidR="002A1914" w:rsidRPr="008E4665" w14:paraId="7740251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7526DB0"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w:t>
            </w:r>
          </w:p>
        </w:tc>
        <w:tc>
          <w:tcPr>
            <w:tcW w:w="2368" w:type="pct"/>
            <w:noWrap/>
            <w:hideMark/>
          </w:tcPr>
          <w:p w14:paraId="2046BF39"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Halt or reverse deforestation and/or desertification </w:t>
            </w:r>
          </w:p>
        </w:tc>
        <w:tc>
          <w:tcPr>
            <w:tcW w:w="433" w:type="pct"/>
            <w:noWrap/>
            <w:hideMark/>
          </w:tcPr>
          <w:p w14:paraId="5522AFB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476" w:type="pct"/>
            <w:noWrap/>
            <w:hideMark/>
          </w:tcPr>
          <w:p w14:paraId="2EBC00A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7D720C9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1B58E0D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346" w:type="pct"/>
            <w:noWrap/>
            <w:hideMark/>
          </w:tcPr>
          <w:p w14:paraId="3BB704C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5122EB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2DC6794"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w:t>
            </w:r>
          </w:p>
        </w:tc>
        <w:tc>
          <w:tcPr>
            <w:tcW w:w="2368" w:type="pct"/>
            <w:noWrap/>
            <w:hideMark/>
          </w:tcPr>
          <w:p w14:paraId="0C7E92D4"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Halt poaching and trafficking of protected species </w:t>
            </w:r>
          </w:p>
        </w:tc>
        <w:tc>
          <w:tcPr>
            <w:tcW w:w="433" w:type="pct"/>
            <w:noWrap/>
            <w:hideMark/>
          </w:tcPr>
          <w:p w14:paraId="6ED37E7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42A6B46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1064B1B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02024D1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D551B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114261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1596B537"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w:t>
            </w:r>
          </w:p>
        </w:tc>
        <w:tc>
          <w:tcPr>
            <w:tcW w:w="2368" w:type="pct"/>
            <w:noWrap/>
            <w:hideMark/>
          </w:tcPr>
          <w:p w14:paraId="51B2C23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Sustainable food production </w:t>
            </w:r>
          </w:p>
        </w:tc>
        <w:tc>
          <w:tcPr>
            <w:tcW w:w="433" w:type="pct"/>
            <w:noWrap/>
            <w:hideMark/>
          </w:tcPr>
          <w:p w14:paraId="51D0A90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4CF0E8C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11EEA7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2A15BEB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1F41F9A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5CE485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D06C5D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47E1398D"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Accountable and transparent governance </w:t>
            </w:r>
          </w:p>
        </w:tc>
        <w:tc>
          <w:tcPr>
            <w:tcW w:w="433" w:type="pct"/>
            <w:noWrap/>
            <w:hideMark/>
          </w:tcPr>
          <w:p w14:paraId="2669ABA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476" w:type="pct"/>
            <w:noWrap/>
            <w:hideMark/>
          </w:tcPr>
          <w:p w14:paraId="3EEA8F1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478131E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4263AFF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561D8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29DF263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5B9F0B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6953B441"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Data availability and public access to information</w:t>
            </w:r>
          </w:p>
        </w:tc>
        <w:tc>
          <w:tcPr>
            <w:tcW w:w="433" w:type="pct"/>
            <w:noWrap/>
            <w:hideMark/>
          </w:tcPr>
          <w:p w14:paraId="4B37086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194AAC7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60C62E0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2DE0F7F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A94CF3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557B1B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70C9B14B"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04A3759F"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Equal pay and opportunities for men and women, at all levels</w:t>
            </w:r>
          </w:p>
        </w:tc>
        <w:tc>
          <w:tcPr>
            <w:tcW w:w="433" w:type="pct"/>
            <w:noWrap/>
            <w:hideMark/>
          </w:tcPr>
          <w:p w14:paraId="0DE4137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01CC0A7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0BB9195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570F0B3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772DDBD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410F731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04A18B2"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35A21C43"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No corruption and bribery</w:t>
            </w:r>
          </w:p>
        </w:tc>
        <w:tc>
          <w:tcPr>
            <w:tcW w:w="433" w:type="pct"/>
            <w:noWrap/>
            <w:hideMark/>
          </w:tcPr>
          <w:p w14:paraId="272307A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05E8E38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526CF6A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712" w:type="pct"/>
            <w:noWrap/>
            <w:hideMark/>
          </w:tcPr>
          <w:p w14:paraId="393E306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1D3451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50</w:t>
            </w:r>
          </w:p>
        </w:tc>
      </w:tr>
      <w:tr w:rsidR="002A1914" w:rsidRPr="008E4665" w14:paraId="534B5AE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8BF992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3963CF9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discrimination and anti-discrimination laws and policies </w:t>
            </w:r>
          </w:p>
        </w:tc>
        <w:tc>
          <w:tcPr>
            <w:tcW w:w="433" w:type="pct"/>
            <w:noWrap/>
            <w:hideMark/>
          </w:tcPr>
          <w:p w14:paraId="45201DA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7C1DD61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1FAC5049"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712" w:type="pct"/>
            <w:noWrap/>
            <w:hideMark/>
          </w:tcPr>
          <w:p w14:paraId="3090BF1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46" w:type="pct"/>
            <w:noWrap/>
            <w:hideMark/>
          </w:tcPr>
          <w:p w14:paraId="3BFF7C2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4EFA05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0CEB5598"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3B3F5D7E"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No workplace violence and harassment </w:t>
            </w:r>
          </w:p>
        </w:tc>
        <w:tc>
          <w:tcPr>
            <w:tcW w:w="433" w:type="pct"/>
            <w:noWrap/>
            <w:hideMark/>
          </w:tcPr>
          <w:p w14:paraId="08F28A3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0,3</w:t>
            </w:r>
          </w:p>
        </w:tc>
        <w:tc>
          <w:tcPr>
            <w:tcW w:w="476" w:type="pct"/>
            <w:noWrap/>
            <w:hideMark/>
          </w:tcPr>
          <w:p w14:paraId="5BADE30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361" w:type="pct"/>
            <w:noWrap/>
            <w:hideMark/>
          </w:tcPr>
          <w:p w14:paraId="38EA9AF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0,4</w:t>
            </w:r>
          </w:p>
        </w:tc>
        <w:tc>
          <w:tcPr>
            <w:tcW w:w="712" w:type="pct"/>
            <w:noWrap/>
            <w:hideMark/>
          </w:tcPr>
          <w:p w14:paraId="1B46F9E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0CECD68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F0FBE6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7E6D72A"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5DD92A84"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Protection of privacy </w:t>
            </w:r>
          </w:p>
        </w:tc>
        <w:tc>
          <w:tcPr>
            <w:tcW w:w="433" w:type="pct"/>
            <w:noWrap/>
            <w:hideMark/>
          </w:tcPr>
          <w:p w14:paraId="6F40F5F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2A2A34F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303FC9C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A2C47B6"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FC7CCF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12B5DF8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A0873F9"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7155E94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Responsive and inclusive decision-making at all levels</w:t>
            </w:r>
          </w:p>
        </w:tc>
        <w:tc>
          <w:tcPr>
            <w:tcW w:w="433" w:type="pct"/>
            <w:noWrap/>
            <w:hideMark/>
          </w:tcPr>
          <w:p w14:paraId="07E3301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31B9DB5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421FAC42"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54204727"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7556819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C97F49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664C68D9"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w:t>
            </w:r>
          </w:p>
        </w:tc>
        <w:tc>
          <w:tcPr>
            <w:tcW w:w="2368" w:type="pct"/>
            <w:noWrap/>
            <w:hideMark/>
          </w:tcPr>
          <w:p w14:paraId="1C5F38E2"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Tax transparency</w:t>
            </w:r>
          </w:p>
        </w:tc>
        <w:tc>
          <w:tcPr>
            <w:tcW w:w="433" w:type="pct"/>
            <w:noWrap/>
            <w:hideMark/>
          </w:tcPr>
          <w:p w14:paraId="0C15E6B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476" w:type="pct"/>
            <w:noWrap/>
            <w:hideMark/>
          </w:tcPr>
          <w:p w14:paraId="3F41695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361" w:type="pct"/>
            <w:noWrap/>
            <w:hideMark/>
          </w:tcPr>
          <w:p w14:paraId="4B737E3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0,5</w:t>
            </w:r>
          </w:p>
        </w:tc>
        <w:tc>
          <w:tcPr>
            <w:tcW w:w="712" w:type="pct"/>
            <w:noWrap/>
            <w:hideMark/>
          </w:tcPr>
          <w:p w14:paraId="28BE83CA"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FD2948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52A98FF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2C8E91D5"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17</w:t>
            </w:r>
          </w:p>
        </w:tc>
        <w:tc>
          <w:tcPr>
            <w:tcW w:w="2368" w:type="pct"/>
            <w:noWrap/>
            <w:hideMark/>
          </w:tcPr>
          <w:p w14:paraId="747D577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Data availability and public access to information</w:t>
            </w:r>
          </w:p>
        </w:tc>
        <w:tc>
          <w:tcPr>
            <w:tcW w:w="433" w:type="pct"/>
            <w:noWrap/>
            <w:hideMark/>
          </w:tcPr>
          <w:p w14:paraId="07916E3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713CE7F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1,0</w:t>
            </w:r>
          </w:p>
        </w:tc>
        <w:tc>
          <w:tcPr>
            <w:tcW w:w="361" w:type="pct"/>
            <w:noWrap/>
            <w:hideMark/>
          </w:tcPr>
          <w:p w14:paraId="489B3E2D"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0,9</w:t>
            </w:r>
          </w:p>
        </w:tc>
        <w:tc>
          <w:tcPr>
            <w:tcW w:w="712" w:type="pct"/>
            <w:noWrap/>
            <w:hideMark/>
          </w:tcPr>
          <w:p w14:paraId="06AD299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3C20D57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7049159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E03F15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17</w:t>
            </w:r>
          </w:p>
        </w:tc>
        <w:tc>
          <w:tcPr>
            <w:tcW w:w="2368" w:type="pct"/>
            <w:noWrap/>
            <w:hideMark/>
          </w:tcPr>
          <w:p w14:paraId="084F23F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Investment (e.g. FDI) in developing countries</w:t>
            </w:r>
          </w:p>
        </w:tc>
        <w:tc>
          <w:tcPr>
            <w:tcW w:w="433" w:type="pct"/>
            <w:noWrap/>
            <w:hideMark/>
          </w:tcPr>
          <w:p w14:paraId="5F23E13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0,2</w:t>
            </w:r>
          </w:p>
        </w:tc>
        <w:tc>
          <w:tcPr>
            <w:tcW w:w="476" w:type="pct"/>
            <w:noWrap/>
            <w:hideMark/>
          </w:tcPr>
          <w:p w14:paraId="7E84126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2BC323A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712" w:type="pct"/>
            <w:noWrap/>
            <w:hideMark/>
          </w:tcPr>
          <w:p w14:paraId="783BB1E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523FA6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31DED36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3ECEC841"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17</w:t>
            </w:r>
          </w:p>
        </w:tc>
        <w:tc>
          <w:tcPr>
            <w:tcW w:w="2368" w:type="pct"/>
            <w:noWrap/>
            <w:hideMark/>
          </w:tcPr>
          <w:p w14:paraId="1DE543A7"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Partnerships with the public and civil society sectors</w:t>
            </w:r>
          </w:p>
        </w:tc>
        <w:tc>
          <w:tcPr>
            <w:tcW w:w="433" w:type="pct"/>
            <w:noWrap/>
            <w:hideMark/>
          </w:tcPr>
          <w:p w14:paraId="7F610F91"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0,7</w:t>
            </w:r>
          </w:p>
        </w:tc>
        <w:tc>
          <w:tcPr>
            <w:tcW w:w="476" w:type="pct"/>
            <w:noWrap/>
            <w:hideMark/>
          </w:tcPr>
          <w:p w14:paraId="499F2CD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361" w:type="pct"/>
            <w:noWrap/>
            <w:hideMark/>
          </w:tcPr>
          <w:p w14:paraId="7A87A44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0,6</w:t>
            </w:r>
          </w:p>
        </w:tc>
        <w:tc>
          <w:tcPr>
            <w:tcW w:w="712" w:type="pct"/>
            <w:noWrap/>
            <w:hideMark/>
          </w:tcPr>
          <w:p w14:paraId="40B6C4F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0,1</w:t>
            </w:r>
          </w:p>
        </w:tc>
        <w:tc>
          <w:tcPr>
            <w:tcW w:w="346" w:type="pct"/>
            <w:noWrap/>
            <w:hideMark/>
          </w:tcPr>
          <w:p w14:paraId="3EADF00C"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F384BF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4C61D8FC"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17</w:t>
            </w:r>
          </w:p>
        </w:tc>
        <w:tc>
          <w:tcPr>
            <w:tcW w:w="2368" w:type="pct"/>
            <w:noWrap/>
            <w:hideMark/>
          </w:tcPr>
          <w:p w14:paraId="60CE13F6"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Tools to monitor impacts on sustainable development </w:t>
            </w:r>
          </w:p>
        </w:tc>
        <w:tc>
          <w:tcPr>
            <w:tcW w:w="433" w:type="pct"/>
            <w:noWrap/>
            <w:hideMark/>
          </w:tcPr>
          <w:p w14:paraId="5CE0AB1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476" w:type="pct"/>
            <w:noWrap/>
            <w:hideMark/>
          </w:tcPr>
          <w:p w14:paraId="321092A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361" w:type="pct"/>
            <w:noWrap/>
            <w:hideMark/>
          </w:tcPr>
          <w:p w14:paraId="40D80AAE"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0,8</w:t>
            </w:r>
          </w:p>
        </w:tc>
        <w:tc>
          <w:tcPr>
            <w:tcW w:w="712" w:type="pct"/>
            <w:noWrap/>
            <w:hideMark/>
          </w:tcPr>
          <w:p w14:paraId="3B1E9D83"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208D7E70"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2A1914" w:rsidRPr="008E4665" w14:paraId="6178288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noWrap/>
            <w:hideMark/>
          </w:tcPr>
          <w:p w14:paraId="5DC7A5FD" w14:textId="77777777" w:rsidR="002A1914" w:rsidRPr="008E4665" w:rsidRDefault="002A1914" w:rsidP="008E4665">
            <w:pPr>
              <w:spacing w:line="240" w:lineRule="auto"/>
              <w:ind w:firstLine="0"/>
              <w:jc w:val="center"/>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17</w:t>
            </w:r>
          </w:p>
        </w:tc>
        <w:tc>
          <w:tcPr>
            <w:tcW w:w="2368" w:type="pct"/>
            <w:noWrap/>
            <w:hideMark/>
          </w:tcPr>
          <w:p w14:paraId="4F37B19A" w14:textId="77777777" w:rsidR="002A1914" w:rsidRPr="008E4665" w:rsidRDefault="002A1914"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 xml:space="preserve">Transfer of (sustainable) technologies to developing countries </w:t>
            </w:r>
          </w:p>
        </w:tc>
        <w:tc>
          <w:tcPr>
            <w:tcW w:w="433" w:type="pct"/>
            <w:noWrap/>
            <w:hideMark/>
          </w:tcPr>
          <w:p w14:paraId="26A540DB"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476" w:type="pct"/>
            <w:noWrap/>
            <w:hideMark/>
          </w:tcPr>
          <w:p w14:paraId="2CB5D838"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61" w:type="pct"/>
            <w:noWrap/>
            <w:hideMark/>
          </w:tcPr>
          <w:p w14:paraId="57349AD5"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712" w:type="pct"/>
            <w:noWrap/>
            <w:hideMark/>
          </w:tcPr>
          <w:p w14:paraId="1824C9F4"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0,0</w:t>
            </w:r>
          </w:p>
        </w:tc>
        <w:tc>
          <w:tcPr>
            <w:tcW w:w="346" w:type="pct"/>
            <w:noWrap/>
            <w:hideMark/>
          </w:tcPr>
          <w:p w14:paraId="566450AF" w14:textId="77777777" w:rsidR="002A1914" w:rsidRPr="008E4665" w:rsidRDefault="002A1914"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0</w:t>
            </w:r>
          </w:p>
        </w:tc>
      </w:tr>
      <w:tr w:rsidR="008E4665" w:rsidRPr="008E4665" w14:paraId="7A62A05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304" w:type="pct"/>
            <w:shd w:val="clear" w:color="auto" w:fill="E7E6E6" w:themeFill="background2"/>
            <w:noWrap/>
            <w:vAlign w:val="center"/>
          </w:tcPr>
          <w:p w14:paraId="34BF90C6" w14:textId="77777777" w:rsidR="008E4665" w:rsidRPr="008E4665" w:rsidRDefault="008E4665" w:rsidP="008E4665">
            <w:pPr>
              <w:spacing w:line="240" w:lineRule="auto"/>
              <w:ind w:firstLine="0"/>
              <w:jc w:val="center"/>
              <w:rPr>
                <w:rFonts w:eastAsia="Times New Roman" w:cs="Times New Roman"/>
                <w:sz w:val="24"/>
                <w:szCs w:val="20"/>
                <w:lang w:val="en-US" w:eastAsia="fr-BE"/>
              </w:rPr>
            </w:pPr>
          </w:p>
        </w:tc>
        <w:tc>
          <w:tcPr>
            <w:tcW w:w="2368" w:type="pct"/>
            <w:shd w:val="clear" w:color="auto" w:fill="E7E6E6" w:themeFill="background2"/>
            <w:noWrap/>
            <w:vAlign w:val="center"/>
          </w:tcPr>
          <w:p w14:paraId="3421D4CC" w14:textId="1A6AD481" w:rsidR="008E4665" w:rsidRPr="008E4665" w:rsidRDefault="008E4665" w:rsidP="008E466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Total # in the sample</w:t>
            </w:r>
          </w:p>
        </w:tc>
        <w:tc>
          <w:tcPr>
            <w:tcW w:w="433" w:type="pct"/>
            <w:shd w:val="clear" w:color="auto" w:fill="E7E6E6" w:themeFill="background2"/>
            <w:noWrap/>
            <w:vAlign w:val="center"/>
          </w:tcPr>
          <w:p w14:paraId="10ED59EC" w14:textId="0F670633" w:rsidR="008E4665" w:rsidRPr="008E4665" w:rsidRDefault="008E4665"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251</w:t>
            </w:r>
          </w:p>
        </w:tc>
        <w:tc>
          <w:tcPr>
            <w:tcW w:w="476" w:type="pct"/>
            <w:shd w:val="clear" w:color="auto" w:fill="E7E6E6" w:themeFill="background2"/>
            <w:noWrap/>
            <w:vAlign w:val="center"/>
          </w:tcPr>
          <w:p w14:paraId="7C9F74F8" w14:textId="7E6581E1" w:rsidR="008E4665" w:rsidRPr="008E4665" w:rsidRDefault="008E4665"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159</w:t>
            </w:r>
          </w:p>
        </w:tc>
        <w:tc>
          <w:tcPr>
            <w:tcW w:w="361" w:type="pct"/>
            <w:shd w:val="clear" w:color="auto" w:fill="E7E6E6" w:themeFill="background2"/>
            <w:noWrap/>
            <w:vAlign w:val="center"/>
          </w:tcPr>
          <w:p w14:paraId="0C573DD1" w14:textId="17348D27" w:rsidR="008E4665" w:rsidRPr="008E4665" w:rsidRDefault="008E4665"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410</w:t>
            </w:r>
          </w:p>
        </w:tc>
        <w:tc>
          <w:tcPr>
            <w:tcW w:w="712" w:type="pct"/>
            <w:shd w:val="clear" w:color="auto" w:fill="E7E6E6" w:themeFill="background2"/>
            <w:noWrap/>
            <w:vAlign w:val="center"/>
          </w:tcPr>
          <w:p w14:paraId="09EB27D0" w14:textId="5617C0BF" w:rsidR="008E4665" w:rsidRPr="008E4665" w:rsidRDefault="008E4665"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167</w:t>
            </w:r>
          </w:p>
        </w:tc>
        <w:tc>
          <w:tcPr>
            <w:tcW w:w="346" w:type="pct"/>
            <w:shd w:val="clear" w:color="auto" w:fill="E7E6E6" w:themeFill="background2"/>
            <w:noWrap/>
            <w:vAlign w:val="center"/>
          </w:tcPr>
          <w:p w14:paraId="1D630279" w14:textId="684A4656" w:rsidR="008E4665" w:rsidRPr="008E4665" w:rsidRDefault="008E4665" w:rsidP="008E4665">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4"/>
                <w:szCs w:val="20"/>
                <w:lang w:val="en-US" w:eastAsia="fr-BE"/>
              </w:rPr>
            </w:pPr>
            <w:r w:rsidRPr="008E4665">
              <w:rPr>
                <w:rFonts w:eastAsia="Times New Roman" w:cs="Times New Roman"/>
                <w:color w:val="000000"/>
                <w:sz w:val="24"/>
                <w:szCs w:val="20"/>
                <w:lang w:val="en-US" w:eastAsia="fr-BE"/>
              </w:rPr>
              <w:t>30</w:t>
            </w:r>
          </w:p>
        </w:tc>
      </w:tr>
    </w:tbl>
    <w:p w14:paraId="752C3095" w14:textId="77777777" w:rsidR="00DE659D" w:rsidRPr="00DE659D" w:rsidRDefault="00DE659D" w:rsidP="00DE659D">
      <w:pPr>
        <w:rPr>
          <w:noProof/>
          <w:color w:val="000000" w:themeColor="text1"/>
          <w:lang w:val="en-US" w:eastAsia="fr-BE"/>
        </w:rPr>
      </w:pPr>
    </w:p>
    <w:p w14:paraId="3B50B19A" w14:textId="77777777" w:rsidR="00DE659D" w:rsidRPr="00DE659D" w:rsidRDefault="00DE659D" w:rsidP="00DE659D">
      <w:pPr>
        <w:rPr>
          <w:b/>
          <w:bCs/>
          <w:noProof/>
          <w:color w:val="000000" w:themeColor="text1"/>
          <w:lang w:val="en-US" w:eastAsia="fr-BE"/>
        </w:rPr>
      </w:pPr>
    </w:p>
    <w:p w14:paraId="21BA22F6"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lastRenderedPageBreak/>
        <w:t>Table 6 : National SDGs indicators, frequency of target and unfavourable evolutions</w:t>
      </w:r>
    </w:p>
    <w:p w14:paraId="7CDBEBD0" w14:textId="77777777" w:rsidR="00DE659D" w:rsidRPr="00DE659D" w:rsidRDefault="00DE659D" w:rsidP="00DE659D">
      <w:pPr>
        <w:rPr>
          <w:i/>
          <w:noProof/>
          <w:color w:val="000000" w:themeColor="text1"/>
          <w:lang w:val="en-US" w:eastAsia="fr-BE"/>
        </w:rPr>
      </w:pPr>
      <w:r w:rsidRPr="00DE659D">
        <w:rPr>
          <w:i/>
          <w:noProof/>
          <w:color w:val="000000" w:themeColor="text1"/>
          <w:lang w:val="en-US" w:eastAsia="fr-BE"/>
        </w:rPr>
        <w:t>The table is exclusively composed of binary variables. To read it: e.g. the second line of the table: indicator of ‘Risk of poverty or social exclusion’ is associated to a target. It shows no unfavorable evolution (UE). And it has no possible counterpart at the business level.</w:t>
      </w:r>
    </w:p>
    <w:p w14:paraId="1BF29076" w14:textId="77777777" w:rsidR="00DE659D" w:rsidRPr="00DE659D" w:rsidRDefault="00DE659D" w:rsidP="00DE659D">
      <w:pPr>
        <w:rPr>
          <w:noProof/>
          <w:color w:val="000000" w:themeColor="text1"/>
          <w:lang w:val="en-US" w:eastAsia="fr-BE"/>
        </w:rPr>
      </w:pPr>
    </w:p>
    <w:tbl>
      <w:tblPr>
        <w:tblStyle w:val="TableauGrille1Clair-Accentuation31"/>
        <w:tblW w:w="7477" w:type="dxa"/>
        <w:tblLayout w:type="fixed"/>
        <w:tblLook w:val="04A0" w:firstRow="1" w:lastRow="0" w:firstColumn="1" w:lastColumn="0" w:noHBand="0" w:noVBand="1"/>
      </w:tblPr>
      <w:tblGrid>
        <w:gridCol w:w="704"/>
        <w:gridCol w:w="3691"/>
        <w:gridCol w:w="987"/>
        <w:gridCol w:w="997"/>
        <w:gridCol w:w="1098"/>
      </w:tblGrid>
      <w:tr w:rsidR="00DE659D" w:rsidRPr="008E4665" w14:paraId="7FEB8DEB" w14:textId="77777777" w:rsidTr="008E466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39CC91F" w14:textId="77777777" w:rsidR="00DE659D" w:rsidRPr="008E4665" w:rsidRDefault="00DE659D" w:rsidP="008E4665">
            <w:pPr>
              <w:ind w:firstLine="0"/>
              <w:jc w:val="center"/>
              <w:rPr>
                <w:noProof/>
                <w:color w:val="000000" w:themeColor="text1"/>
                <w:sz w:val="24"/>
                <w:szCs w:val="24"/>
                <w:lang w:val="en-US" w:eastAsia="fr-BE"/>
              </w:rPr>
            </w:pPr>
            <w:r w:rsidRPr="008E4665">
              <w:rPr>
                <w:noProof/>
                <w:color w:val="000000" w:themeColor="text1"/>
                <w:sz w:val="24"/>
                <w:szCs w:val="24"/>
                <w:lang w:val="en-US" w:eastAsia="fr-BE"/>
              </w:rPr>
              <w:t>SDG</w:t>
            </w:r>
          </w:p>
        </w:tc>
        <w:tc>
          <w:tcPr>
            <w:tcW w:w="3691" w:type="dxa"/>
            <w:noWrap/>
            <w:hideMark/>
          </w:tcPr>
          <w:p w14:paraId="70DC8453" w14:textId="77777777" w:rsidR="00DE659D" w:rsidRPr="008E4665" w:rsidRDefault="00DE659D" w:rsidP="008E4665">
            <w:pPr>
              <w:ind w:firstLine="29"/>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Indicator</w:t>
            </w:r>
          </w:p>
        </w:tc>
        <w:tc>
          <w:tcPr>
            <w:tcW w:w="987" w:type="dxa"/>
            <w:noWrap/>
            <w:hideMark/>
          </w:tcPr>
          <w:p w14:paraId="56CD4ABA" w14:textId="77777777" w:rsidR="00DE659D" w:rsidRPr="008E4665" w:rsidRDefault="00DE659D" w:rsidP="008E4665">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With target?</w:t>
            </w:r>
          </w:p>
        </w:tc>
        <w:tc>
          <w:tcPr>
            <w:tcW w:w="997" w:type="dxa"/>
            <w:noWrap/>
            <w:hideMark/>
          </w:tcPr>
          <w:p w14:paraId="1CB8B50A" w14:textId="77777777" w:rsidR="00DE659D" w:rsidRPr="008E4665" w:rsidRDefault="00DE659D" w:rsidP="008E4665">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Unfavorable evolution? (UE)</w:t>
            </w:r>
          </w:p>
        </w:tc>
        <w:tc>
          <w:tcPr>
            <w:tcW w:w="1098" w:type="dxa"/>
            <w:noWrap/>
            <w:hideMark/>
          </w:tcPr>
          <w:p w14:paraId="7505F096" w14:textId="77777777" w:rsidR="00DE659D" w:rsidRPr="008E4665" w:rsidRDefault="00DE659D" w:rsidP="008E4665">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Business level counterpart?</w:t>
            </w:r>
          </w:p>
        </w:tc>
      </w:tr>
      <w:tr w:rsidR="00DE659D" w:rsidRPr="008E4665" w14:paraId="5AEB127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AB0721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2E15069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Risk of poverty or social exclusion</w:t>
            </w:r>
          </w:p>
        </w:tc>
        <w:tc>
          <w:tcPr>
            <w:tcW w:w="987" w:type="dxa"/>
            <w:noWrap/>
            <w:hideMark/>
          </w:tcPr>
          <w:p w14:paraId="77A99CF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40F7F46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3687F5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281531E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730267E"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5D415948"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Very low work intensity</w:t>
            </w:r>
          </w:p>
        </w:tc>
        <w:tc>
          <w:tcPr>
            <w:tcW w:w="987" w:type="dxa"/>
            <w:noWrap/>
            <w:hideMark/>
          </w:tcPr>
          <w:p w14:paraId="2F0B112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69CB6A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51880E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DFD824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502714B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0651E4F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Severe material deprivation</w:t>
            </w:r>
          </w:p>
        </w:tc>
        <w:tc>
          <w:tcPr>
            <w:tcW w:w="987" w:type="dxa"/>
            <w:noWrap/>
            <w:hideMark/>
          </w:tcPr>
          <w:p w14:paraId="0EC93AE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8E4CC9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C888FB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5CA129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17B6C6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76FA957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Guaranteed minimum income beneficiaries</w:t>
            </w:r>
          </w:p>
        </w:tc>
        <w:tc>
          <w:tcPr>
            <w:tcW w:w="987" w:type="dxa"/>
            <w:noWrap/>
            <w:hideMark/>
          </w:tcPr>
          <w:p w14:paraId="0643EAB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6904B9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18B1BDC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1B21E2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4383DDD"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5CAA2FC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Over-indebtedness of households</w:t>
            </w:r>
          </w:p>
        </w:tc>
        <w:tc>
          <w:tcPr>
            <w:tcW w:w="987" w:type="dxa"/>
            <w:noWrap/>
            <w:hideMark/>
          </w:tcPr>
          <w:p w14:paraId="07F900F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6A6419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32E48F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5EB0946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93B594B"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w:t>
            </w:r>
          </w:p>
        </w:tc>
        <w:tc>
          <w:tcPr>
            <w:tcW w:w="3691" w:type="dxa"/>
            <w:noWrap/>
            <w:hideMark/>
          </w:tcPr>
          <w:p w14:paraId="64DD62A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Postponement or cancellation of health care for financial reasons</w:t>
            </w:r>
          </w:p>
        </w:tc>
        <w:tc>
          <w:tcPr>
            <w:tcW w:w="987" w:type="dxa"/>
            <w:noWrap/>
            <w:hideMark/>
          </w:tcPr>
          <w:p w14:paraId="1C1E40F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FAF023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7F50AE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56DE91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73A857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2</w:t>
            </w:r>
          </w:p>
        </w:tc>
        <w:tc>
          <w:tcPr>
            <w:tcW w:w="3691" w:type="dxa"/>
            <w:noWrap/>
            <w:hideMark/>
          </w:tcPr>
          <w:p w14:paraId="5B1E1F3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Adult obesity</w:t>
            </w:r>
          </w:p>
        </w:tc>
        <w:tc>
          <w:tcPr>
            <w:tcW w:w="987" w:type="dxa"/>
            <w:noWrap/>
            <w:hideMark/>
          </w:tcPr>
          <w:p w14:paraId="2DA0285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437932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13141B7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441C4F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494CB4F"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2</w:t>
            </w:r>
          </w:p>
        </w:tc>
        <w:tc>
          <w:tcPr>
            <w:tcW w:w="3691" w:type="dxa"/>
            <w:noWrap/>
            <w:hideMark/>
          </w:tcPr>
          <w:p w14:paraId="3B48845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Meat consumption</w:t>
            </w:r>
          </w:p>
        </w:tc>
        <w:tc>
          <w:tcPr>
            <w:tcW w:w="987" w:type="dxa"/>
            <w:noWrap/>
            <w:hideMark/>
          </w:tcPr>
          <w:p w14:paraId="680AEED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679FFD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15851A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60EE900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A2D37C0"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2</w:t>
            </w:r>
          </w:p>
        </w:tc>
        <w:tc>
          <w:tcPr>
            <w:tcW w:w="3691" w:type="dxa"/>
            <w:noWrap/>
            <w:hideMark/>
          </w:tcPr>
          <w:p w14:paraId="63C0B7A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Organic agriculture area</w:t>
            </w:r>
          </w:p>
        </w:tc>
        <w:tc>
          <w:tcPr>
            <w:tcW w:w="987" w:type="dxa"/>
            <w:noWrap/>
            <w:hideMark/>
          </w:tcPr>
          <w:p w14:paraId="7352B25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690E60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FD4C74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8EA9B1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B17C86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2</w:t>
            </w:r>
          </w:p>
        </w:tc>
        <w:tc>
          <w:tcPr>
            <w:tcW w:w="3691" w:type="dxa"/>
            <w:noWrap/>
            <w:hideMark/>
          </w:tcPr>
          <w:p w14:paraId="1A6F5D2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Agricultural pesticides</w:t>
            </w:r>
          </w:p>
        </w:tc>
        <w:tc>
          <w:tcPr>
            <w:tcW w:w="987" w:type="dxa"/>
            <w:noWrap/>
            <w:hideMark/>
          </w:tcPr>
          <w:p w14:paraId="3D54625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94CF1D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7E7210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283487C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B4C151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20D1465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Life expectancy</w:t>
            </w:r>
          </w:p>
        </w:tc>
        <w:tc>
          <w:tcPr>
            <w:tcW w:w="987" w:type="dxa"/>
            <w:noWrap/>
            <w:hideMark/>
          </w:tcPr>
          <w:p w14:paraId="1783E8D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3A8888A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22EE3A0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65589DF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2493BA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4E823A2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Healthy life years</w:t>
            </w:r>
          </w:p>
        </w:tc>
        <w:tc>
          <w:tcPr>
            <w:tcW w:w="987" w:type="dxa"/>
            <w:noWrap/>
            <w:hideMark/>
          </w:tcPr>
          <w:p w14:paraId="74FDC4C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672281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247987B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30B774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3B1242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0DC5166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Self-perceived health</w:t>
            </w:r>
          </w:p>
        </w:tc>
        <w:tc>
          <w:tcPr>
            <w:tcW w:w="987" w:type="dxa"/>
            <w:noWrap/>
            <w:hideMark/>
          </w:tcPr>
          <w:p w14:paraId="5CF961A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623532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438D33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7B4774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9EB2B7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3DEF642C"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Limitations in usual activities</w:t>
            </w:r>
          </w:p>
        </w:tc>
        <w:tc>
          <w:tcPr>
            <w:tcW w:w="987" w:type="dxa"/>
            <w:noWrap/>
            <w:hideMark/>
          </w:tcPr>
          <w:p w14:paraId="23E2D41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FEE28C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7E9E3DC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8A2C61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14F8D39"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63E9754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Premature deaths due to chronic diseases</w:t>
            </w:r>
          </w:p>
        </w:tc>
        <w:tc>
          <w:tcPr>
            <w:tcW w:w="987" w:type="dxa"/>
            <w:noWrap/>
            <w:hideMark/>
          </w:tcPr>
          <w:p w14:paraId="0E463AF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375187F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DDA3EA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BF0700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79735E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6EFACF6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Long-standing illness or health problem</w:t>
            </w:r>
          </w:p>
        </w:tc>
        <w:tc>
          <w:tcPr>
            <w:tcW w:w="987" w:type="dxa"/>
            <w:noWrap/>
            <w:hideMark/>
          </w:tcPr>
          <w:p w14:paraId="26F48ED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F19C7A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B0DCFF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38917F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2069E0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72E9321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Depression</w:t>
            </w:r>
          </w:p>
        </w:tc>
        <w:tc>
          <w:tcPr>
            <w:tcW w:w="987" w:type="dxa"/>
            <w:noWrap/>
            <w:hideMark/>
          </w:tcPr>
          <w:p w14:paraId="77332AA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0F8B04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5F8F324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32B0B2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D68AD22"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03C69B6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Life satisfaction</w:t>
            </w:r>
          </w:p>
        </w:tc>
        <w:tc>
          <w:tcPr>
            <w:tcW w:w="987" w:type="dxa"/>
            <w:noWrap/>
            <w:hideMark/>
          </w:tcPr>
          <w:p w14:paraId="7543FAF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C005D1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5009A4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F8269D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557B8F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715F1DB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Leisure</w:t>
            </w:r>
          </w:p>
        </w:tc>
        <w:tc>
          <w:tcPr>
            <w:tcW w:w="987" w:type="dxa"/>
            <w:noWrap/>
            <w:hideMark/>
          </w:tcPr>
          <w:p w14:paraId="6902D9D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D6C763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4FFAC5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7B9801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5922D20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27DFC1CA"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Traffic fatalities</w:t>
            </w:r>
          </w:p>
        </w:tc>
        <w:tc>
          <w:tcPr>
            <w:tcW w:w="987" w:type="dxa"/>
            <w:noWrap/>
            <w:hideMark/>
          </w:tcPr>
          <w:p w14:paraId="4E1A302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DB65D3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822523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9A9DBD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272F5D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3</w:t>
            </w:r>
          </w:p>
        </w:tc>
        <w:tc>
          <w:tcPr>
            <w:tcW w:w="3691" w:type="dxa"/>
            <w:noWrap/>
            <w:hideMark/>
          </w:tcPr>
          <w:p w14:paraId="4F4D7DD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Daily smokers</w:t>
            </w:r>
          </w:p>
        </w:tc>
        <w:tc>
          <w:tcPr>
            <w:tcW w:w="987" w:type="dxa"/>
            <w:noWrap/>
            <w:hideMark/>
          </w:tcPr>
          <w:p w14:paraId="6AE160F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6350F47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3BF36E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F3E90D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463891F"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4</w:t>
            </w:r>
          </w:p>
        </w:tc>
        <w:tc>
          <w:tcPr>
            <w:tcW w:w="3691" w:type="dxa"/>
            <w:noWrap/>
            <w:hideMark/>
          </w:tcPr>
          <w:p w14:paraId="49901EB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Early school leavers</w:t>
            </w:r>
          </w:p>
        </w:tc>
        <w:tc>
          <w:tcPr>
            <w:tcW w:w="987" w:type="dxa"/>
            <w:noWrap/>
            <w:hideMark/>
          </w:tcPr>
          <w:p w14:paraId="38F70BA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7886CFD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6E08AE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0E2299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E488EA2"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4</w:t>
            </w:r>
          </w:p>
        </w:tc>
        <w:tc>
          <w:tcPr>
            <w:tcW w:w="3691" w:type="dxa"/>
            <w:noWrap/>
            <w:hideMark/>
          </w:tcPr>
          <w:p w14:paraId="3094AB9A"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Lifelong learning</w:t>
            </w:r>
          </w:p>
        </w:tc>
        <w:tc>
          <w:tcPr>
            <w:tcW w:w="987" w:type="dxa"/>
            <w:noWrap/>
            <w:hideMark/>
          </w:tcPr>
          <w:p w14:paraId="5288091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7D2730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F93B70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11DB0A6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F6264C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lastRenderedPageBreak/>
              <w:t>4</w:t>
            </w:r>
          </w:p>
        </w:tc>
        <w:tc>
          <w:tcPr>
            <w:tcW w:w="3691" w:type="dxa"/>
            <w:noWrap/>
            <w:hideMark/>
          </w:tcPr>
          <w:p w14:paraId="0CC1788C"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Higher education graduates</w:t>
            </w:r>
          </w:p>
        </w:tc>
        <w:tc>
          <w:tcPr>
            <w:tcW w:w="987" w:type="dxa"/>
            <w:noWrap/>
            <w:hideMark/>
          </w:tcPr>
          <w:p w14:paraId="753A3A3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5D777D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61E421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07057A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B2C0B22"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4</w:t>
            </w:r>
          </w:p>
        </w:tc>
        <w:tc>
          <w:tcPr>
            <w:tcW w:w="3691" w:type="dxa"/>
            <w:noWrap/>
            <w:hideMark/>
          </w:tcPr>
          <w:p w14:paraId="03B3E3C8"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Underachievement in reading</w:t>
            </w:r>
          </w:p>
        </w:tc>
        <w:tc>
          <w:tcPr>
            <w:tcW w:w="987" w:type="dxa"/>
            <w:noWrap/>
            <w:hideMark/>
          </w:tcPr>
          <w:p w14:paraId="27362DA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4810EE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626254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2937ED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0DF731E"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5</w:t>
            </w:r>
          </w:p>
        </w:tc>
        <w:tc>
          <w:tcPr>
            <w:tcW w:w="3691" w:type="dxa"/>
            <w:noWrap/>
            <w:hideMark/>
          </w:tcPr>
          <w:p w14:paraId="07500A63"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Gender pay gap</w:t>
            </w:r>
          </w:p>
        </w:tc>
        <w:tc>
          <w:tcPr>
            <w:tcW w:w="987" w:type="dxa"/>
            <w:noWrap/>
            <w:hideMark/>
          </w:tcPr>
          <w:p w14:paraId="24AB2C3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55CB1E6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C5B388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424BA3F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F75A6C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5</w:t>
            </w:r>
          </w:p>
        </w:tc>
        <w:tc>
          <w:tcPr>
            <w:tcW w:w="3691" w:type="dxa"/>
            <w:noWrap/>
            <w:hideMark/>
          </w:tcPr>
          <w:p w14:paraId="0F8C856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Inactive population due to caring responsibilities</w:t>
            </w:r>
          </w:p>
        </w:tc>
        <w:tc>
          <w:tcPr>
            <w:tcW w:w="987" w:type="dxa"/>
            <w:noWrap/>
            <w:hideMark/>
          </w:tcPr>
          <w:p w14:paraId="1CE782B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88D567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13B7D8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A5D9D7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ADD571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5</w:t>
            </w:r>
          </w:p>
        </w:tc>
        <w:tc>
          <w:tcPr>
            <w:tcW w:w="3691" w:type="dxa"/>
            <w:noWrap/>
            <w:hideMark/>
          </w:tcPr>
          <w:p w14:paraId="48625DC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Female members of parliament</w:t>
            </w:r>
          </w:p>
        </w:tc>
        <w:tc>
          <w:tcPr>
            <w:tcW w:w="987" w:type="dxa"/>
            <w:noWrap/>
            <w:hideMark/>
          </w:tcPr>
          <w:p w14:paraId="00B4681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240A418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880A59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6916D1C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46F775D"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6</w:t>
            </w:r>
          </w:p>
        </w:tc>
        <w:tc>
          <w:tcPr>
            <w:tcW w:w="3691" w:type="dxa"/>
            <w:noWrap/>
            <w:hideMark/>
          </w:tcPr>
          <w:p w14:paraId="3342F20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Nitrates in river water</w:t>
            </w:r>
          </w:p>
        </w:tc>
        <w:tc>
          <w:tcPr>
            <w:tcW w:w="987" w:type="dxa"/>
            <w:noWrap/>
            <w:hideMark/>
          </w:tcPr>
          <w:p w14:paraId="2A4C5FD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F06B99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00BA07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25C8B6D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B7BEC55"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6</w:t>
            </w:r>
          </w:p>
        </w:tc>
        <w:tc>
          <w:tcPr>
            <w:tcW w:w="3691" w:type="dxa"/>
            <w:noWrap/>
            <w:hideMark/>
          </w:tcPr>
          <w:p w14:paraId="4C265591"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Nitrates in groundwater</w:t>
            </w:r>
          </w:p>
        </w:tc>
        <w:tc>
          <w:tcPr>
            <w:tcW w:w="987" w:type="dxa"/>
            <w:noWrap/>
            <w:hideMark/>
          </w:tcPr>
          <w:p w14:paraId="75AD699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18B90F3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E8880F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3AD4833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01A01B0"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6</w:t>
            </w:r>
          </w:p>
        </w:tc>
        <w:tc>
          <w:tcPr>
            <w:tcW w:w="3691" w:type="dxa"/>
            <w:noWrap/>
            <w:hideMark/>
          </w:tcPr>
          <w:p w14:paraId="20BF724A"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Water consumption</w:t>
            </w:r>
          </w:p>
        </w:tc>
        <w:tc>
          <w:tcPr>
            <w:tcW w:w="987" w:type="dxa"/>
            <w:noWrap/>
            <w:hideMark/>
          </w:tcPr>
          <w:p w14:paraId="6B9040F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1818695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B8F12E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02BC953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5BA3BBC"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7</w:t>
            </w:r>
          </w:p>
        </w:tc>
        <w:tc>
          <w:tcPr>
            <w:tcW w:w="3691" w:type="dxa"/>
            <w:noWrap/>
            <w:hideMark/>
          </w:tcPr>
          <w:p w14:paraId="5492469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Energy dependence</w:t>
            </w:r>
          </w:p>
        </w:tc>
        <w:tc>
          <w:tcPr>
            <w:tcW w:w="987" w:type="dxa"/>
            <w:noWrap/>
            <w:hideMark/>
          </w:tcPr>
          <w:p w14:paraId="0AAB81B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09B7E4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8474F5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BB794C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7B4AD6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7</w:t>
            </w:r>
          </w:p>
        </w:tc>
        <w:tc>
          <w:tcPr>
            <w:tcW w:w="3691" w:type="dxa"/>
            <w:noWrap/>
            <w:hideMark/>
          </w:tcPr>
          <w:p w14:paraId="096C32A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Dwellings without adequate heating</w:t>
            </w:r>
          </w:p>
        </w:tc>
        <w:tc>
          <w:tcPr>
            <w:tcW w:w="987" w:type="dxa"/>
            <w:noWrap/>
            <w:hideMark/>
          </w:tcPr>
          <w:p w14:paraId="16DF843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17E0D6A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27978AE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76FDD5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CD39B9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7</w:t>
            </w:r>
          </w:p>
        </w:tc>
        <w:tc>
          <w:tcPr>
            <w:tcW w:w="3691" w:type="dxa"/>
            <w:noWrap/>
            <w:hideMark/>
          </w:tcPr>
          <w:p w14:paraId="6D04CF1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Renewable energy</w:t>
            </w:r>
          </w:p>
        </w:tc>
        <w:tc>
          <w:tcPr>
            <w:tcW w:w="987" w:type="dxa"/>
            <w:noWrap/>
            <w:hideMark/>
          </w:tcPr>
          <w:p w14:paraId="6C897A0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711B1BE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80A8A7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1C0D3BF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98A2239"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7</w:t>
            </w:r>
          </w:p>
        </w:tc>
        <w:tc>
          <w:tcPr>
            <w:tcW w:w="3691" w:type="dxa"/>
            <w:noWrap/>
            <w:hideMark/>
          </w:tcPr>
          <w:p w14:paraId="734FCE9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Primary energy consumption</w:t>
            </w:r>
          </w:p>
        </w:tc>
        <w:tc>
          <w:tcPr>
            <w:tcW w:w="987" w:type="dxa"/>
            <w:noWrap/>
            <w:hideMark/>
          </w:tcPr>
          <w:p w14:paraId="57B4F6D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546F096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2C85FB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5643BD9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2C21A9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7</w:t>
            </w:r>
          </w:p>
        </w:tc>
        <w:tc>
          <w:tcPr>
            <w:tcW w:w="3691" w:type="dxa"/>
            <w:noWrap/>
            <w:hideMark/>
          </w:tcPr>
          <w:p w14:paraId="2B8304F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Energy productivity</w:t>
            </w:r>
          </w:p>
        </w:tc>
        <w:tc>
          <w:tcPr>
            <w:tcW w:w="987" w:type="dxa"/>
            <w:noWrap/>
            <w:hideMark/>
          </w:tcPr>
          <w:p w14:paraId="5C62906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4C4BD33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3F26CC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63FC4C1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7FCC7B7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62A9F7AC"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Long-term work incapacity</w:t>
            </w:r>
          </w:p>
        </w:tc>
        <w:tc>
          <w:tcPr>
            <w:tcW w:w="987" w:type="dxa"/>
            <w:noWrap/>
            <w:hideMark/>
          </w:tcPr>
          <w:p w14:paraId="2D8F612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08F86B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4D30CB8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5935417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100C11C"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74FD416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Household consumption</w:t>
            </w:r>
          </w:p>
        </w:tc>
        <w:tc>
          <w:tcPr>
            <w:tcW w:w="987" w:type="dxa"/>
            <w:noWrap/>
            <w:hideMark/>
          </w:tcPr>
          <w:p w14:paraId="32C43F9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DC8CF9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BD082C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3DE9E4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B1C544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38DA2BE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Unemployment rate</w:t>
            </w:r>
          </w:p>
        </w:tc>
        <w:tc>
          <w:tcPr>
            <w:tcW w:w="987" w:type="dxa"/>
            <w:noWrap/>
            <w:hideMark/>
          </w:tcPr>
          <w:p w14:paraId="24D2ACA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136994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6A2F00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64C6A03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5E6AAE95"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3DB86B1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Employment rate</w:t>
            </w:r>
          </w:p>
        </w:tc>
        <w:tc>
          <w:tcPr>
            <w:tcW w:w="987" w:type="dxa"/>
            <w:noWrap/>
            <w:hideMark/>
          </w:tcPr>
          <w:p w14:paraId="66F1067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7926E3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79AB2B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6376BB2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2FD75B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40999A23"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Youth not in employment, education or training</w:t>
            </w:r>
          </w:p>
        </w:tc>
        <w:tc>
          <w:tcPr>
            <w:tcW w:w="987" w:type="dxa"/>
            <w:noWrap/>
            <w:hideMark/>
          </w:tcPr>
          <w:p w14:paraId="5FBB147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70C2A3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8BB45F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4A63AC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5CF61B55"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8</w:t>
            </w:r>
          </w:p>
        </w:tc>
        <w:tc>
          <w:tcPr>
            <w:tcW w:w="3691" w:type="dxa"/>
            <w:noWrap/>
            <w:hideMark/>
          </w:tcPr>
          <w:p w14:paraId="6883821D"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Accidents at work</w:t>
            </w:r>
          </w:p>
        </w:tc>
        <w:tc>
          <w:tcPr>
            <w:tcW w:w="987" w:type="dxa"/>
            <w:noWrap/>
            <w:hideMark/>
          </w:tcPr>
          <w:p w14:paraId="1823848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259F06E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0D8B50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70FE27D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8294DE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539DF1D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Passenger transport by car</w:t>
            </w:r>
          </w:p>
        </w:tc>
        <w:tc>
          <w:tcPr>
            <w:tcW w:w="987" w:type="dxa"/>
            <w:noWrap/>
            <w:hideMark/>
          </w:tcPr>
          <w:p w14:paraId="6D532F3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2B479C6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754847F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2B8DC21C"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14C7F22"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4EB6358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Road freight transport</w:t>
            </w:r>
          </w:p>
        </w:tc>
        <w:tc>
          <w:tcPr>
            <w:tcW w:w="987" w:type="dxa"/>
            <w:noWrap/>
            <w:hideMark/>
          </w:tcPr>
          <w:p w14:paraId="3F31929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6BD20E1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7474452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0D2C94F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785C770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0E4F0CA1"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Road congestion</w:t>
            </w:r>
          </w:p>
        </w:tc>
        <w:tc>
          <w:tcPr>
            <w:tcW w:w="987" w:type="dxa"/>
            <w:noWrap/>
            <w:hideMark/>
          </w:tcPr>
          <w:p w14:paraId="09A4424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D8E48D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568D7E2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EA608F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25BFE4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1E35EFBD"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Physical capital stock</w:t>
            </w:r>
          </w:p>
        </w:tc>
        <w:tc>
          <w:tcPr>
            <w:tcW w:w="987" w:type="dxa"/>
            <w:noWrap/>
            <w:hideMark/>
          </w:tcPr>
          <w:p w14:paraId="163ADD4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B47154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210818A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5A3D650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52B1FCB0"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1137BE7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Gross investment in the physical capital stock</w:t>
            </w:r>
          </w:p>
        </w:tc>
        <w:tc>
          <w:tcPr>
            <w:tcW w:w="987" w:type="dxa"/>
            <w:noWrap/>
            <w:hideMark/>
          </w:tcPr>
          <w:p w14:paraId="229181A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32737D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295DC9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3F8EB48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058956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6168798A"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Research and development</w:t>
            </w:r>
          </w:p>
        </w:tc>
        <w:tc>
          <w:tcPr>
            <w:tcW w:w="987" w:type="dxa"/>
            <w:noWrap/>
            <w:hideMark/>
          </w:tcPr>
          <w:p w14:paraId="000B9D4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589D24C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F98AF6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35DB687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0AF6C6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9</w:t>
            </w:r>
          </w:p>
        </w:tc>
        <w:tc>
          <w:tcPr>
            <w:tcW w:w="3691" w:type="dxa"/>
            <w:noWrap/>
            <w:hideMark/>
          </w:tcPr>
          <w:p w14:paraId="44DEF72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Knowledge capital stock</w:t>
            </w:r>
          </w:p>
        </w:tc>
        <w:tc>
          <w:tcPr>
            <w:tcW w:w="987" w:type="dxa"/>
            <w:noWrap/>
            <w:hideMark/>
          </w:tcPr>
          <w:p w14:paraId="38BC421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93FA18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9239A1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6276126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D430CE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10</w:t>
            </w:r>
          </w:p>
        </w:tc>
        <w:tc>
          <w:tcPr>
            <w:tcW w:w="3691" w:type="dxa"/>
            <w:noWrap/>
            <w:hideMark/>
          </w:tcPr>
          <w:p w14:paraId="5052967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Risk of poverty</w:t>
            </w:r>
          </w:p>
        </w:tc>
        <w:tc>
          <w:tcPr>
            <w:tcW w:w="987" w:type="dxa"/>
            <w:noWrap/>
            <w:hideMark/>
          </w:tcPr>
          <w:p w14:paraId="0B6334F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7F2AFA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3448A88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CF54CE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6AC6DE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10</w:t>
            </w:r>
          </w:p>
        </w:tc>
        <w:tc>
          <w:tcPr>
            <w:tcW w:w="3691" w:type="dxa"/>
            <w:noWrap/>
            <w:hideMark/>
          </w:tcPr>
          <w:p w14:paraId="00002BA1"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Depth of risk of poverty</w:t>
            </w:r>
          </w:p>
        </w:tc>
        <w:tc>
          <w:tcPr>
            <w:tcW w:w="987" w:type="dxa"/>
            <w:noWrap/>
            <w:hideMark/>
          </w:tcPr>
          <w:p w14:paraId="21967FA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5AB098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2D9A211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D9F394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993D49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10</w:t>
            </w:r>
          </w:p>
        </w:tc>
        <w:tc>
          <w:tcPr>
            <w:tcW w:w="3691" w:type="dxa"/>
            <w:noWrap/>
            <w:hideMark/>
          </w:tcPr>
          <w:p w14:paraId="774F982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Income inequality: Gini index</w:t>
            </w:r>
          </w:p>
        </w:tc>
        <w:tc>
          <w:tcPr>
            <w:tcW w:w="987" w:type="dxa"/>
            <w:noWrap/>
            <w:hideMark/>
          </w:tcPr>
          <w:p w14:paraId="438D985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A1B139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6BCC09C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42837C8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064747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10</w:t>
            </w:r>
          </w:p>
        </w:tc>
        <w:tc>
          <w:tcPr>
            <w:tcW w:w="3691" w:type="dxa"/>
            <w:noWrap/>
            <w:hideMark/>
          </w:tcPr>
          <w:p w14:paraId="18D4CAC1"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Income inequality: S80/S20</w:t>
            </w:r>
          </w:p>
        </w:tc>
        <w:tc>
          <w:tcPr>
            <w:tcW w:w="987" w:type="dxa"/>
            <w:noWrap/>
            <w:hideMark/>
          </w:tcPr>
          <w:p w14:paraId="3673199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8A8A62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8FAA47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052F5E9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94C7200"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11</w:t>
            </w:r>
          </w:p>
        </w:tc>
        <w:tc>
          <w:tcPr>
            <w:tcW w:w="3691" w:type="dxa"/>
            <w:noWrap/>
            <w:hideMark/>
          </w:tcPr>
          <w:p w14:paraId="14BE3D9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Inadequate dwelling</w:t>
            </w:r>
          </w:p>
        </w:tc>
        <w:tc>
          <w:tcPr>
            <w:tcW w:w="987" w:type="dxa"/>
            <w:noWrap/>
            <w:hideMark/>
          </w:tcPr>
          <w:p w14:paraId="614ECB8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6E236C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F5B85F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2A5AC16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54CF5D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11</w:t>
            </w:r>
          </w:p>
        </w:tc>
        <w:tc>
          <w:tcPr>
            <w:tcW w:w="3691" w:type="dxa"/>
            <w:noWrap/>
            <w:hideMark/>
          </w:tcPr>
          <w:p w14:paraId="747F0B6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Exposure to particulate matter</w:t>
            </w:r>
          </w:p>
        </w:tc>
        <w:tc>
          <w:tcPr>
            <w:tcW w:w="987" w:type="dxa"/>
            <w:noWrap/>
            <w:hideMark/>
          </w:tcPr>
          <w:p w14:paraId="48E6066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3B91557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189B11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412319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76BA594B"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11</w:t>
            </w:r>
          </w:p>
        </w:tc>
        <w:tc>
          <w:tcPr>
            <w:tcW w:w="3691" w:type="dxa"/>
            <w:noWrap/>
            <w:hideMark/>
          </w:tcPr>
          <w:p w14:paraId="66007A0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Nitrogen oxide emissions</w:t>
            </w:r>
          </w:p>
        </w:tc>
        <w:tc>
          <w:tcPr>
            <w:tcW w:w="987" w:type="dxa"/>
            <w:noWrap/>
            <w:hideMark/>
          </w:tcPr>
          <w:p w14:paraId="3B5601A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D8B77A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A7B37A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1ABA998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904813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11</w:t>
            </w:r>
          </w:p>
        </w:tc>
        <w:tc>
          <w:tcPr>
            <w:tcW w:w="3691" w:type="dxa"/>
            <w:noWrap/>
            <w:hideMark/>
          </w:tcPr>
          <w:p w14:paraId="4CDDBFE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Noise pollution</w:t>
            </w:r>
          </w:p>
        </w:tc>
        <w:tc>
          <w:tcPr>
            <w:tcW w:w="987" w:type="dxa"/>
            <w:noWrap/>
            <w:hideMark/>
          </w:tcPr>
          <w:p w14:paraId="7218894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3256C8F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667E4A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D34418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39FB95E"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12</w:t>
            </w:r>
          </w:p>
        </w:tc>
        <w:tc>
          <w:tcPr>
            <w:tcW w:w="3691" w:type="dxa"/>
            <w:noWrap/>
            <w:hideMark/>
          </w:tcPr>
          <w:p w14:paraId="2196F3E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Domestic material consumption</w:t>
            </w:r>
          </w:p>
        </w:tc>
        <w:tc>
          <w:tcPr>
            <w:tcW w:w="987" w:type="dxa"/>
            <w:noWrap/>
            <w:hideMark/>
          </w:tcPr>
          <w:p w14:paraId="3718044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F69722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B4C67B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2094E296"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8C3CF8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12</w:t>
            </w:r>
          </w:p>
        </w:tc>
        <w:tc>
          <w:tcPr>
            <w:tcW w:w="3691" w:type="dxa"/>
            <w:noWrap/>
            <w:hideMark/>
          </w:tcPr>
          <w:p w14:paraId="2AFC8FC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 Hazardous waste</w:t>
            </w:r>
          </w:p>
        </w:tc>
        <w:tc>
          <w:tcPr>
            <w:tcW w:w="987" w:type="dxa"/>
            <w:noWrap/>
            <w:hideMark/>
          </w:tcPr>
          <w:p w14:paraId="3624D88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3E9389F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D2070D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6A200C7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AC5541C"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12</w:t>
            </w:r>
          </w:p>
        </w:tc>
        <w:tc>
          <w:tcPr>
            <w:tcW w:w="3691" w:type="dxa"/>
            <w:noWrap/>
            <w:hideMark/>
          </w:tcPr>
          <w:p w14:paraId="4F3871D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Waste recycling</w:t>
            </w:r>
          </w:p>
        </w:tc>
        <w:tc>
          <w:tcPr>
            <w:tcW w:w="987" w:type="dxa"/>
            <w:noWrap/>
            <w:hideMark/>
          </w:tcPr>
          <w:p w14:paraId="437328E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33F4244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82121F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7C7C179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A8A287C"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12</w:t>
            </w:r>
          </w:p>
        </w:tc>
        <w:tc>
          <w:tcPr>
            <w:tcW w:w="3691" w:type="dxa"/>
            <w:noWrap/>
            <w:hideMark/>
          </w:tcPr>
          <w:p w14:paraId="51400A4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Municipal waste</w:t>
            </w:r>
          </w:p>
        </w:tc>
        <w:tc>
          <w:tcPr>
            <w:tcW w:w="987" w:type="dxa"/>
            <w:noWrap/>
            <w:hideMark/>
          </w:tcPr>
          <w:p w14:paraId="20D7B2A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DED1DC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C9C8A8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297CAC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FA1E9ED"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lastRenderedPageBreak/>
              <w:t>13</w:t>
            </w:r>
          </w:p>
        </w:tc>
        <w:tc>
          <w:tcPr>
            <w:tcW w:w="3691" w:type="dxa"/>
            <w:noWrap/>
            <w:hideMark/>
          </w:tcPr>
          <w:p w14:paraId="4197FC7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Greenhouse gas emissions</w:t>
            </w:r>
          </w:p>
        </w:tc>
        <w:tc>
          <w:tcPr>
            <w:tcW w:w="987" w:type="dxa"/>
            <w:noWrap/>
            <w:hideMark/>
          </w:tcPr>
          <w:p w14:paraId="7EBE4DF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65C278B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09DD8E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148372D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44ADD4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13</w:t>
            </w:r>
          </w:p>
        </w:tc>
        <w:tc>
          <w:tcPr>
            <w:tcW w:w="3691" w:type="dxa"/>
            <w:noWrap/>
            <w:hideMark/>
          </w:tcPr>
          <w:p w14:paraId="0717D46C"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Greenhouse gas emissions non-ETS</w:t>
            </w:r>
          </w:p>
        </w:tc>
        <w:tc>
          <w:tcPr>
            <w:tcW w:w="987" w:type="dxa"/>
            <w:noWrap/>
            <w:hideMark/>
          </w:tcPr>
          <w:p w14:paraId="383CEEB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149F37F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B32521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420A624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1D9E7C5"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13</w:t>
            </w:r>
          </w:p>
        </w:tc>
        <w:tc>
          <w:tcPr>
            <w:tcW w:w="3691" w:type="dxa"/>
            <w:noWrap/>
            <w:hideMark/>
          </w:tcPr>
          <w:p w14:paraId="6F9D2A7C"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CO2 atmospheric concentration</w:t>
            </w:r>
          </w:p>
        </w:tc>
        <w:tc>
          <w:tcPr>
            <w:tcW w:w="987" w:type="dxa"/>
            <w:noWrap/>
            <w:hideMark/>
          </w:tcPr>
          <w:p w14:paraId="7B73C08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2AE8B1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1D1B795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072517C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3694B09"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13</w:t>
            </w:r>
          </w:p>
        </w:tc>
        <w:tc>
          <w:tcPr>
            <w:tcW w:w="3691" w:type="dxa"/>
            <w:noWrap/>
            <w:hideMark/>
          </w:tcPr>
          <w:p w14:paraId="19705ACF"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Natural disaster victims</w:t>
            </w:r>
          </w:p>
        </w:tc>
        <w:tc>
          <w:tcPr>
            <w:tcW w:w="987" w:type="dxa"/>
            <w:noWrap/>
            <w:hideMark/>
          </w:tcPr>
          <w:p w14:paraId="0658761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0AB62CD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9E3E71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2D518B6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50EE10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13</w:t>
            </w:r>
          </w:p>
        </w:tc>
        <w:tc>
          <w:tcPr>
            <w:tcW w:w="3691" w:type="dxa"/>
            <w:noWrap/>
            <w:hideMark/>
          </w:tcPr>
          <w:p w14:paraId="16DB7CF2"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Contribution to international climate fund</w:t>
            </w:r>
          </w:p>
        </w:tc>
        <w:tc>
          <w:tcPr>
            <w:tcW w:w="987" w:type="dxa"/>
            <w:noWrap/>
            <w:hideMark/>
          </w:tcPr>
          <w:p w14:paraId="7D551A9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4EAFCE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5F5448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B1FB7B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C5E1BBB"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14</w:t>
            </w:r>
          </w:p>
        </w:tc>
        <w:tc>
          <w:tcPr>
            <w:tcW w:w="3691" w:type="dxa"/>
            <w:noWrap/>
            <w:hideMark/>
          </w:tcPr>
          <w:p w14:paraId="315A8D9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Oil pollution</w:t>
            </w:r>
          </w:p>
        </w:tc>
        <w:tc>
          <w:tcPr>
            <w:tcW w:w="987" w:type="dxa"/>
            <w:noWrap/>
            <w:hideMark/>
          </w:tcPr>
          <w:p w14:paraId="79F64CE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78F0B6C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45A08BC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39A40054"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AD7166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14</w:t>
            </w:r>
          </w:p>
        </w:tc>
        <w:tc>
          <w:tcPr>
            <w:tcW w:w="3691" w:type="dxa"/>
            <w:noWrap/>
            <w:hideMark/>
          </w:tcPr>
          <w:p w14:paraId="38837F7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Sustainable fisheries</w:t>
            </w:r>
          </w:p>
        </w:tc>
        <w:tc>
          <w:tcPr>
            <w:tcW w:w="987" w:type="dxa"/>
            <w:noWrap/>
            <w:hideMark/>
          </w:tcPr>
          <w:p w14:paraId="27BD5FA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270B73B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D6227F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4524306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63AD6903"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14</w:t>
            </w:r>
          </w:p>
        </w:tc>
        <w:tc>
          <w:tcPr>
            <w:tcW w:w="3691" w:type="dxa"/>
            <w:noWrap/>
            <w:hideMark/>
          </w:tcPr>
          <w:p w14:paraId="0EA27168"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Natura 2000 protected marine area</w:t>
            </w:r>
          </w:p>
        </w:tc>
        <w:tc>
          <w:tcPr>
            <w:tcW w:w="987" w:type="dxa"/>
            <w:noWrap/>
            <w:hideMark/>
          </w:tcPr>
          <w:p w14:paraId="08E56A0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6421D18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06F33D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A7237DE"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8626200"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15</w:t>
            </w:r>
          </w:p>
        </w:tc>
        <w:tc>
          <w:tcPr>
            <w:tcW w:w="3691" w:type="dxa"/>
            <w:noWrap/>
            <w:hideMark/>
          </w:tcPr>
          <w:p w14:paraId="115652E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Natura 2000 protected land area</w:t>
            </w:r>
          </w:p>
        </w:tc>
        <w:tc>
          <w:tcPr>
            <w:tcW w:w="987" w:type="dxa"/>
            <w:noWrap/>
            <w:hideMark/>
          </w:tcPr>
          <w:p w14:paraId="37B609A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D9E3BC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A689D9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2174E852"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4AD61837"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15</w:t>
            </w:r>
          </w:p>
        </w:tc>
        <w:tc>
          <w:tcPr>
            <w:tcW w:w="3691" w:type="dxa"/>
            <w:noWrap/>
            <w:hideMark/>
          </w:tcPr>
          <w:p w14:paraId="126BC449"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Forests with FSC label</w:t>
            </w:r>
          </w:p>
        </w:tc>
        <w:tc>
          <w:tcPr>
            <w:tcW w:w="987" w:type="dxa"/>
            <w:noWrap/>
            <w:hideMark/>
          </w:tcPr>
          <w:p w14:paraId="4B55D0E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363B0F9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2D21B7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r>
      <w:tr w:rsidR="00DE659D" w:rsidRPr="008E4665" w14:paraId="2EEC5307"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D0152D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15</w:t>
            </w:r>
          </w:p>
        </w:tc>
        <w:tc>
          <w:tcPr>
            <w:tcW w:w="3691" w:type="dxa"/>
            <w:noWrap/>
            <w:hideMark/>
          </w:tcPr>
          <w:p w14:paraId="56D35BF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Farmland bird population</w:t>
            </w:r>
          </w:p>
        </w:tc>
        <w:tc>
          <w:tcPr>
            <w:tcW w:w="987" w:type="dxa"/>
            <w:noWrap/>
            <w:hideMark/>
          </w:tcPr>
          <w:p w14:paraId="057C017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1516AA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2B747D0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960A6D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B39F358"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15</w:t>
            </w:r>
          </w:p>
        </w:tc>
        <w:tc>
          <w:tcPr>
            <w:tcW w:w="3691" w:type="dxa"/>
            <w:noWrap/>
            <w:hideMark/>
          </w:tcPr>
          <w:p w14:paraId="3939573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Built-up and related land</w:t>
            </w:r>
          </w:p>
        </w:tc>
        <w:tc>
          <w:tcPr>
            <w:tcW w:w="987" w:type="dxa"/>
            <w:noWrap/>
            <w:hideMark/>
          </w:tcPr>
          <w:p w14:paraId="67D3ABD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3E749FF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1B2A85E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DC88560"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BED8CD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03406B20"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Social support</w:t>
            </w:r>
          </w:p>
        </w:tc>
        <w:tc>
          <w:tcPr>
            <w:tcW w:w="987" w:type="dxa"/>
            <w:noWrap/>
            <w:hideMark/>
          </w:tcPr>
          <w:p w14:paraId="595A506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8CAD4C8"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852064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C7DABEB"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0B17FB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247CEF5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Meeting with friends and family</w:t>
            </w:r>
          </w:p>
        </w:tc>
        <w:tc>
          <w:tcPr>
            <w:tcW w:w="987" w:type="dxa"/>
            <w:noWrap/>
            <w:hideMark/>
          </w:tcPr>
          <w:p w14:paraId="67F6930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972624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34305019"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B352D5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C39323C"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7948F5CB"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Generalised trust</w:t>
            </w:r>
          </w:p>
        </w:tc>
        <w:tc>
          <w:tcPr>
            <w:tcW w:w="987" w:type="dxa"/>
            <w:noWrap/>
            <w:hideMark/>
          </w:tcPr>
          <w:p w14:paraId="7F0A705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E83D22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2211BD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3DBD49F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02194B9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1F7558F7"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Victims of burglary or assault</w:t>
            </w:r>
          </w:p>
        </w:tc>
        <w:tc>
          <w:tcPr>
            <w:tcW w:w="987" w:type="dxa"/>
            <w:noWrap/>
            <w:hideMark/>
          </w:tcPr>
          <w:p w14:paraId="73E2BA4C"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5C11D9C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3DCEEA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43AF1A89"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1CAC6B9"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7B3659B5"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Security feeling in public spaces</w:t>
            </w:r>
          </w:p>
        </w:tc>
        <w:tc>
          <w:tcPr>
            <w:tcW w:w="987" w:type="dxa"/>
            <w:noWrap/>
            <w:hideMark/>
          </w:tcPr>
          <w:p w14:paraId="6F1C5EE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E7292C6"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C75865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54BBA741"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2F99C154"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389A78E6"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Corruption Perceptions Index</w:t>
            </w:r>
          </w:p>
        </w:tc>
        <w:tc>
          <w:tcPr>
            <w:tcW w:w="987" w:type="dxa"/>
            <w:noWrap/>
            <w:hideMark/>
          </w:tcPr>
          <w:p w14:paraId="191CF10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0657CC2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71408F0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48DAB2F"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E0C4CF1"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16</w:t>
            </w:r>
          </w:p>
        </w:tc>
        <w:tc>
          <w:tcPr>
            <w:tcW w:w="3691" w:type="dxa"/>
            <w:noWrap/>
            <w:hideMark/>
          </w:tcPr>
          <w:p w14:paraId="78F09BB4"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Trust in institutions</w:t>
            </w:r>
          </w:p>
        </w:tc>
        <w:tc>
          <w:tcPr>
            <w:tcW w:w="987" w:type="dxa"/>
            <w:noWrap/>
            <w:hideMark/>
          </w:tcPr>
          <w:p w14:paraId="419246A5"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23AD0454"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3F8BE2E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AC62745"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79ED2B66"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17</w:t>
            </w:r>
          </w:p>
        </w:tc>
        <w:tc>
          <w:tcPr>
            <w:tcW w:w="3691" w:type="dxa"/>
            <w:noWrap/>
            <w:hideMark/>
          </w:tcPr>
          <w:p w14:paraId="1AA6D5AD"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Official development assistance</w:t>
            </w:r>
          </w:p>
        </w:tc>
        <w:tc>
          <w:tcPr>
            <w:tcW w:w="987" w:type="dxa"/>
            <w:noWrap/>
            <w:hideMark/>
          </w:tcPr>
          <w:p w14:paraId="0D601DC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3B63EDAE"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03A20C7F"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F7DB53A"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EDD78AE"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17</w:t>
            </w:r>
          </w:p>
        </w:tc>
        <w:tc>
          <w:tcPr>
            <w:tcW w:w="3691" w:type="dxa"/>
            <w:noWrap/>
            <w:hideMark/>
          </w:tcPr>
          <w:p w14:paraId="316B735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Official development assistance to least developed countries</w:t>
            </w:r>
          </w:p>
        </w:tc>
        <w:tc>
          <w:tcPr>
            <w:tcW w:w="987" w:type="dxa"/>
            <w:noWrap/>
            <w:hideMark/>
          </w:tcPr>
          <w:p w14:paraId="0235B3E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997" w:type="dxa"/>
            <w:noWrap/>
            <w:hideMark/>
          </w:tcPr>
          <w:p w14:paraId="6143FEE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w:t>
            </w:r>
          </w:p>
        </w:tc>
        <w:tc>
          <w:tcPr>
            <w:tcW w:w="1098" w:type="dxa"/>
            <w:noWrap/>
            <w:hideMark/>
          </w:tcPr>
          <w:p w14:paraId="08960D0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78F04D73"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149E786B"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17</w:t>
            </w:r>
          </w:p>
        </w:tc>
        <w:tc>
          <w:tcPr>
            <w:tcW w:w="3691" w:type="dxa"/>
            <w:noWrap/>
            <w:hideMark/>
          </w:tcPr>
          <w:p w14:paraId="1E7E6E93"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International investment position</w:t>
            </w:r>
          </w:p>
        </w:tc>
        <w:tc>
          <w:tcPr>
            <w:tcW w:w="987" w:type="dxa"/>
            <w:noWrap/>
            <w:hideMark/>
          </w:tcPr>
          <w:p w14:paraId="7364BEBD"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7AF6417B"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543B1061"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67F90A2D"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noWrap/>
            <w:hideMark/>
          </w:tcPr>
          <w:p w14:paraId="35D82A6A" w14:textId="77777777" w:rsidR="00DE659D" w:rsidRPr="008E4665" w:rsidRDefault="00DE659D" w:rsidP="008E4665">
            <w:pPr>
              <w:ind w:firstLine="29"/>
              <w:jc w:val="center"/>
              <w:rPr>
                <w:noProof/>
                <w:color w:val="000000" w:themeColor="text1"/>
                <w:sz w:val="24"/>
                <w:szCs w:val="24"/>
                <w:lang w:val="en-US" w:eastAsia="fr-BE"/>
              </w:rPr>
            </w:pPr>
            <w:r w:rsidRPr="008E4665">
              <w:rPr>
                <w:noProof/>
                <w:color w:val="000000" w:themeColor="text1"/>
                <w:sz w:val="24"/>
                <w:szCs w:val="24"/>
                <w:lang w:val="en-US" w:eastAsia="fr-BE"/>
              </w:rPr>
              <w:t>17</w:t>
            </w:r>
          </w:p>
        </w:tc>
        <w:tc>
          <w:tcPr>
            <w:tcW w:w="3691" w:type="dxa"/>
            <w:noWrap/>
            <w:hideMark/>
          </w:tcPr>
          <w:p w14:paraId="40E0053E" w14:textId="77777777" w:rsidR="00DE659D" w:rsidRPr="008E4665" w:rsidRDefault="00DE659D"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Public debt</w:t>
            </w:r>
          </w:p>
        </w:tc>
        <w:tc>
          <w:tcPr>
            <w:tcW w:w="987" w:type="dxa"/>
            <w:noWrap/>
            <w:hideMark/>
          </w:tcPr>
          <w:p w14:paraId="6D35E21A"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997" w:type="dxa"/>
            <w:noWrap/>
            <w:hideMark/>
          </w:tcPr>
          <w:p w14:paraId="473003B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c>
          <w:tcPr>
            <w:tcW w:w="1098" w:type="dxa"/>
            <w:noWrap/>
            <w:hideMark/>
          </w:tcPr>
          <w:p w14:paraId="180A8E12"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0</w:t>
            </w:r>
          </w:p>
        </w:tc>
      </w:tr>
      <w:tr w:rsidR="00DE659D" w:rsidRPr="008E4665" w14:paraId="1C4CC1E8" w14:textId="77777777" w:rsidTr="008E4665">
        <w:trPr>
          <w:trHeight w:val="288"/>
        </w:trPr>
        <w:tc>
          <w:tcPr>
            <w:cnfStyle w:val="001000000000" w:firstRow="0" w:lastRow="0" w:firstColumn="1" w:lastColumn="0" w:oddVBand="0" w:evenVBand="0" w:oddHBand="0" w:evenHBand="0" w:firstRowFirstColumn="0" w:firstRowLastColumn="0" w:lastRowFirstColumn="0" w:lastRowLastColumn="0"/>
            <w:tcW w:w="704" w:type="dxa"/>
            <w:shd w:val="clear" w:color="auto" w:fill="E7E6E6" w:themeFill="background2"/>
            <w:noWrap/>
            <w:hideMark/>
          </w:tcPr>
          <w:p w14:paraId="58083EAE" w14:textId="4A928A8B" w:rsidR="00DE659D" w:rsidRPr="008E4665" w:rsidRDefault="00DE659D" w:rsidP="008E4665">
            <w:pPr>
              <w:ind w:firstLine="29"/>
              <w:jc w:val="center"/>
              <w:rPr>
                <w:noProof/>
                <w:color w:val="000000" w:themeColor="text1"/>
                <w:sz w:val="24"/>
                <w:szCs w:val="24"/>
                <w:lang w:val="en-US" w:eastAsia="fr-BE"/>
              </w:rPr>
            </w:pPr>
          </w:p>
        </w:tc>
        <w:tc>
          <w:tcPr>
            <w:tcW w:w="3691" w:type="dxa"/>
            <w:shd w:val="clear" w:color="auto" w:fill="E7E6E6" w:themeFill="background2"/>
            <w:noWrap/>
            <w:hideMark/>
          </w:tcPr>
          <w:p w14:paraId="4F598D59" w14:textId="2B8CE8B9" w:rsidR="00DE659D" w:rsidRPr="008E4665" w:rsidRDefault="008E4665" w:rsidP="008E4665">
            <w:pPr>
              <w:ind w:firstLine="29"/>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Total</w:t>
            </w:r>
          </w:p>
        </w:tc>
        <w:tc>
          <w:tcPr>
            <w:tcW w:w="987" w:type="dxa"/>
            <w:shd w:val="clear" w:color="auto" w:fill="E7E6E6" w:themeFill="background2"/>
            <w:noWrap/>
            <w:hideMark/>
          </w:tcPr>
          <w:p w14:paraId="39907E00"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23</w:t>
            </w:r>
          </w:p>
        </w:tc>
        <w:tc>
          <w:tcPr>
            <w:tcW w:w="997" w:type="dxa"/>
            <w:shd w:val="clear" w:color="auto" w:fill="E7E6E6" w:themeFill="background2"/>
            <w:noWrap/>
            <w:hideMark/>
          </w:tcPr>
          <w:p w14:paraId="773EAAB3"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15</w:t>
            </w:r>
          </w:p>
        </w:tc>
        <w:tc>
          <w:tcPr>
            <w:tcW w:w="1098" w:type="dxa"/>
            <w:shd w:val="clear" w:color="auto" w:fill="E7E6E6" w:themeFill="background2"/>
            <w:noWrap/>
            <w:hideMark/>
          </w:tcPr>
          <w:p w14:paraId="3A279A07" w14:textId="77777777" w:rsidR="00DE659D" w:rsidRPr="008E4665" w:rsidRDefault="00DE659D" w:rsidP="008E4665">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szCs w:val="24"/>
                <w:lang w:val="en-US" w:eastAsia="fr-BE"/>
              </w:rPr>
            </w:pPr>
            <w:r w:rsidRPr="008E4665">
              <w:rPr>
                <w:noProof/>
                <w:color w:val="000000" w:themeColor="text1"/>
                <w:sz w:val="24"/>
                <w:szCs w:val="24"/>
                <w:lang w:val="en-US" w:eastAsia="fr-BE"/>
              </w:rPr>
              <w:t>28</w:t>
            </w:r>
          </w:p>
        </w:tc>
      </w:tr>
    </w:tbl>
    <w:p w14:paraId="47B7A012" w14:textId="77777777" w:rsidR="00DE659D" w:rsidRPr="00DE659D" w:rsidRDefault="00DE659D" w:rsidP="00DE659D">
      <w:pPr>
        <w:rPr>
          <w:noProof/>
          <w:color w:val="000000" w:themeColor="text1"/>
          <w:lang w:val="en-US" w:eastAsia="fr-BE"/>
        </w:rPr>
      </w:pPr>
    </w:p>
    <w:p w14:paraId="6A84B49E" w14:textId="77777777" w:rsidR="00DE659D" w:rsidRPr="00DE659D" w:rsidRDefault="00DE659D" w:rsidP="00DE659D">
      <w:pPr>
        <w:rPr>
          <w:b/>
          <w:noProof/>
          <w:color w:val="000000" w:themeColor="text1"/>
          <w:lang w:eastAsia="fr-BE"/>
        </w:rPr>
      </w:pPr>
      <w:r w:rsidRPr="00DE659D">
        <w:rPr>
          <w:bCs/>
          <w:noProof/>
          <w:color w:val="000000" w:themeColor="text1"/>
          <w:lang w:eastAsia="fr-BE"/>
        </w:rPr>
        <w:br w:type="page"/>
      </w:r>
    </w:p>
    <w:p w14:paraId="001208B0" w14:textId="77777777" w:rsidR="00DE659D" w:rsidRPr="00DE659D" w:rsidRDefault="00DE659D" w:rsidP="00DE659D">
      <w:pPr>
        <w:pStyle w:val="Titre1"/>
        <w:rPr>
          <w:bCs/>
          <w:noProof/>
          <w:lang w:eastAsia="fr-BE"/>
        </w:rPr>
      </w:pPr>
      <w:bookmarkStart w:id="76" w:name="_Toc51512300"/>
      <w:r w:rsidRPr="00DE659D">
        <w:rPr>
          <w:noProof/>
          <w:lang w:eastAsia="fr-BE"/>
        </w:rPr>
        <w:lastRenderedPageBreak/>
        <w:t>Paper 3: Do Beyond GDP indicators initiated by powerful stakeholders have a transformative potential?</w:t>
      </w:r>
      <w:bookmarkEnd w:id="76"/>
    </w:p>
    <w:p w14:paraId="4EE40202" w14:textId="77777777" w:rsidR="00DE659D" w:rsidRPr="00DE659D" w:rsidRDefault="00DE659D" w:rsidP="00DE659D">
      <w:pPr>
        <w:rPr>
          <w:noProof/>
          <w:color w:val="000000" w:themeColor="text1"/>
          <w:lang w:val="hu-HU" w:eastAsia="fr-BE"/>
        </w:rPr>
      </w:pPr>
      <w:r w:rsidRPr="00DE659D">
        <w:rPr>
          <w:b/>
          <w:bCs/>
          <w:noProof/>
          <w:color w:val="000000" w:themeColor="text1"/>
          <w:lang w:eastAsia="fr-BE"/>
        </w:rPr>
        <w:t>Abstract.</w:t>
      </w:r>
      <w:r w:rsidRPr="00DE659D">
        <w:rPr>
          <w:noProof/>
          <w:color w:val="000000" w:themeColor="text1"/>
          <w:lang w:eastAsia="fr-BE"/>
        </w:rPr>
        <w:t xml:space="preserve"> The last four decades have seen a proliferation of new indicators aiming to challenge GDP. But do they really produce new outcomes? By observing the rankings they produce (compared to those produced by GDP), the potential of 6 Beyond GDP indicators to suggest a way towards a more social and ecological society has been examined. The conclusion is that rankings from indicators initiated by powerful stakeholders are highly correlated with rankings according to GDP, demonstrating a low transformative potential. </w:t>
      </w:r>
    </w:p>
    <w:p w14:paraId="7A00A327" w14:textId="77777777" w:rsidR="00DE659D" w:rsidRDefault="00DE659D">
      <w:pPr>
        <w:spacing w:line="259" w:lineRule="auto"/>
        <w:ind w:firstLine="0"/>
        <w:jc w:val="left"/>
        <w:rPr>
          <w:b/>
          <w:bCs/>
          <w:noProof/>
          <w:color w:val="000000" w:themeColor="text1"/>
          <w:lang w:val="en-US" w:eastAsia="fr-BE"/>
        </w:rPr>
      </w:pPr>
      <w:r>
        <w:rPr>
          <w:b/>
          <w:bCs/>
          <w:noProof/>
          <w:color w:val="000000" w:themeColor="text1"/>
          <w:lang w:val="en-US" w:eastAsia="fr-BE"/>
        </w:rPr>
        <w:br w:type="page"/>
      </w:r>
    </w:p>
    <w:p w14:paraId="1C2DD7CE" w14:textId="3F8EC177" w:rsidR="00DE659D" w:rsidRPr="00CE7357" w:rsidRDefault="00DE659D" w:rsidP="00524E26">
      <w:pPr>
        <w:pStyle w:val="Titre2"/>
        <w:numPr>
          <w:ilvl w:val="0"/>
          <w:numId w:val="6"/>
        </w:numPr>
        <w:rPr>
          <w:noProof/>
          <w:lang w:val="en-US" w:eastAsia="fr-BE"/>
        </w:rPr>
      </w:pPr>
      <w:bookmarkStart w:id="77" w:name="_Toc51512301"/>
      <w:r w:rsidRPr="00CE7357">
        <w:rPr>
          <w:noProof/>
          <w:lang w:val="en-US" w:eastAsia="fr-BE"/>
        </w:rPr>
        <w:lastRenderedPageBreak/>
        <w:t>Introduction</w:t>
      </w:r>
      <w:bookmarkEnd w:id="77"/>
    </w:p>
    <w:p w14:paraId="25BCA91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Since the end of the Second World War and the introduction of national accounting, the annual growth of Gross Domestic Product (GDP) has been the benchmark indicator guiding economic policy. However, the disintegration of the Fordist compromise and the emergence of environmental questions have gradually led to a re-examining of the central role played by economic growth and its measurement. At least three challenges have been addressed (Cassiers and Thiry, 2014): (1) unlimited growth is increasingly considered to be in contradiction with a series of environmental limits (Georgescu-Roegen, 1979; Jackson, 2009/2016; Rocktröm </w:t>
      </w:r>
      <w:r w:rsidRPr="00DE659D">
        <w:rPr>
          <w:i/>
          <w:noProof/>
          <w:color w:val="000000" w:themeColor="text1"/>
          <w:lang w:eastAsia="fr-BE"/>
        </w:rPr>
        <w:t>et al.</w:t>
      </w:r>
      <w:r w:rsidRPr="00DE659D">
        <w:rPr>
          <w:noProof/>
          <w:color w:val="000000" w:themeColor="text1"/>
          <w:lang w:eastAsia="fr-BE"/>
        </w:rPr>
        <w:t xml:space="preserve">, 2013; Steffen </w:t>
      </w:r>
      <w:r w:rsidRPr="00DE659D">
        <w:rPr>
          <w:i/>
          <w:noProof/>
          <w:color w:val="000000" w:themeColor="text1"/>
          <w:lang w:eastAsia="fr-BE"/>
        </w:rPr>
        <w:t>et al</w:t>
      </w:r>
      <w:r w:rsidRPr="00DE659D">
        <w:rPr>
          <w:noProof/>
          <w:color w:val="000000" w:themeColor="text1"/>
          <w:lang w:eastAsia="fr-BE"/>
        </w:rPr>
        <w:t xml:space="preserve">., 2015), even if there is still debate about possible green growth; (2) growth is no longer accompanied by a reduction in inequality (Piketty, 2014); and (3) the link between growth and a higher quality of life is challenged, beyond a certain threshold (Easterlin, 1974; Layard, 2005; Cassiers and Delain, 2006). Over the years, a growing number of international organisations (including the OECD and the UNDP) and public stakeholders (as seen in the report by Stiglitz, Sen, and Fitoussi on economic performance measures and social progress [Stiglitz </w:t>
      </w:r>
      <w:r w:rsidRPr="00DE659D">
        <w:rPr>
          <w:i/>
          <w:noProof/>
          <w:color w:val="000000" w:themeColor="text1"/>
          <w:lang w:eastAsia="fr-BE"/>
        </w:rPr>
        <w:t>et al.</w:t>
      </w:r>
      <w:r w:rsidRPr="00DE659D">
        <w:rPr>
          <w:noProof/>
          <w:color w:val="000000" w:themeColor="text1"/>
          <w:lang w:eastAsia="fr-BE"/>
        </w:rPr>
        <w:t>, 2009]) have acknowledged that the pursuit of growth should be accompanied by the pursuit of social and environmental targets, guided by new indicators.</w:t>
      </w:r>
    </w:p>
    <w:p w14:paraId="51B0AEFA"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This re-examination has seen the emergence of a significant number of new indicators, complementary or alternative to GDP (Singh </w:t>
      </w:r>
      <w:r w:rsidRPr="00DE659D">
        <w:rPr>
          <w:i/>
          <w:noProof/>
          <w:color w:val="000000" w:themeColor="text1"/>
          <w:lang w:eastAsia="fr-BE"/>
        </w:rPr>
        <w:t>et</w:t>
      </w:r>
      <w:r w:rsidRPr="00DE659D">
        <w:rPr>
          <w:noProof/>
          <w:color w:val="000000" w:themeColor="text1"/>
          <w:lang w:eastAsia="fr-BE"/>
        </w:rPr>
        <w:t xml:space="preserve"> </w:t>
      </w:r>
      <w:r w:rsidRPr="00DE659D">
        <w:rPr>
          <w:i/>
          <w:noProof/>
          <w:color w:val="000000" w:themeColor="text1"/>
          <w:lang w:eastAsia="fr-BE"/>
        </w:rPr>
        <w:t>al</w:t>
      </w:r>
      <w:r w:rsidRPr="00DE659D">
        <w:rPr>
          <w:noProof/>
          <w:color w:val="000000" w:themeColor="text1"/>
          <w:lang w:eastAsia="fr-BE"/>
        </w:rPr>
        <w:t xml:space="preserve">., 200; Gadrey and Jany-Catrice, 2012; Fleurbaey and Blanchet, 2013), in an innovative trend known as Beyond GDP. Their common feature is to take social and/or environmental problems into account in addition to or instead of economic growth. Among these indicators, those that have received the most widespread attention in the public debate are the ecological footprint (EF), and the Human Development Index (HDI) (Morse, 2014). However, despite this proliferation of Beyond GDP indicators, all of them have failed to become institutionalised, with the exception of HDI in certain countries. By institutionalised, we mean having a prominent role in the six phases of the policy cycle emphasised by </w:t>
      </w:r>
      <w:r w:rsidRPr="00DE659D">
        <w:rPr>
          <w:noProof/>
          <w:color w:val="000000" w:themeColor="text1"/>
          <w:lang w:eastAsia="fr-BE"/>
        </w:rPr>
        <w:lastRenderedPageBreak/>
        <w:t xml:space="preserve">Seaford (2013a): public debate about broad social objectives, creation of policy agenda, development of detailed policy objectives, policy appraisal, policy evaluation, and democratic accountability (elections). A potential lack of institutionalisation has been precedented: before beyond GDP indicators, social indicators of the 1960’s, 70’s and 80’s, or the Global Environmental Assessments (Innes, 1989; Clark </w:t>
      </w:r>
      <w:r w:rsidRPr="00DE659D">
        <w:rPr>
          <w:i/>
          <w:noProof/>
          <w:color w:val="000000" w:themeColor="text1"/>
          <w:lang w:eastAsia="fr-BE"/>
        </w:rPr>
        <w:t>et al.</w:t>
      </w:r>
      <w:r w:rsidRPr="00DE659D">
        <w:rPr>
          <w:noProof/>
          <w:color w:val="000000" w:themeColor="text1"/>
          <w:lang w:eastAsia="fr-BE"/>
        </w:rPr>
        <w:t xml:space="preserve">, 2006) failed to achieve it. </w:t>
      </w:r>
    </w:p>
    <w:p w14:paraId="023586D0" w14:textId="77777777" w:rsidR="00DE659D" w:rsidRPr="00DE659D" w:rsidRDefault="00DE659D" w:rsidP="00DE659D">
      <w:pPr>
        <w:rPr>
          <w:noProof/>
          <w:color w:val="000000" w:themeColor="text1"/>
          <w:lang w:eastAsia="fr-BE"/>
        </w:rPr>
      </w:pPr>
      <w:r w:rsidRPr="00DE659D">
        <w:rPr>
          <w:noProof/>
          <w:color w:val="000000" w:themeColor="text1"/>
          <w:lang w:eastAsia="fr-BE"/>
        </w:rPr>
        <w:t>Seaford (2013a) sees two possible outcomes from the rise in Beyond GDP indicators. Either they continue to spread without becoming institutionalised—at best helping to identify new problems, with marginal application—or they become ‘the stuff’ of public debate, becoming mobilised for evaluating public policy, and public policy makers adopt them.</w:t>
      </w:r>
    </w:p>
    <w:p w14:paraId="5A8192C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order to increase the chances of the second outcome, the literature on the topic has made a series of recommendations for speeding up the institutionalisation of Beyond GPD indicators. These include highlighting opportunities for involving powerful stakeholders to achieve more widespread application of Beyond GDP indicators. This would involve aligning the indicators’ conceptual and methodological framework with those of powerful stakeholders (Innes, 1989; Clark </w:t>
      </w:r>
      <w:r w:rsidRPr="00DE659D">
        <w:rPr>
          <w:i/>
          <w:noProof/>
          <w:color w:val="000000" w:themeColor="text1"/>
          <w:lang w:eastAsia="fr-BE"/>
        </w:rPr>
        <w:t>et al.</w:t>
      </w:r>
      <w:r w:rsidRPr="00DE659D">
        <w:rPr>
          <w:noProof/>
          <w:color w:val="000000" w:themeColor="text1"/>
          <w:lang w:eastAsia="fr-BE"/>
        </w:rPr>
        <w:t xml:space="preserve">, 2006), who we recognise in accordance with Parsons as actors capable of ‘bring[ing] about changes in the action of other units, individual or collective, in the processes of social interaction’ (Parsons, 1967, 299). These can be users of the indicators (Seaford, 2013b) or more generally considered to be legitimate stakeholders (Thiry </w:t>
      </w:r>
      <w:r w:rsidRPr="00DE659D">
        <w:rPr>
          <w:i/>
          <w:noProof/>
          <w:color w:val="000000" w:themeColor="text1"/>
          <w:lang w:eastAsia="fr-BE"/>
        </w:rPr>
        <w:t>et al</w:t>
      </w:r>
      <w:r w:rsidRPr="00DE659D">
        <w:rPr>
          <w:noProof/>
          <w:color w:val="000000" w:themeColor="text1"/>
          <w:lang w:eastAsia="fr-BE"/>
        </w:rPr>
        <w:t xml:space="preserve">., 2013; Hak </w:t>
      </w:r>
      <w:r w:rsidRPr="00DE659D">
        <w:rPr>
          <w:i/>
          <w:noProof/>
          <w:color w:val="000000" w:themeColor="text1"/>
          <w:lang w:eastAsia="fr-BE"/>
        </w:rPr>
        <w:t>et al.,</w:t>
      </w:r>
      <w:r w:rsidRPr="00DE659D">
        <w:rPr>
          <w:noProof/>
          <w:color w:val="000000" w:themeColor="text1"/>
          <w:lang w:eastAsia="fr-BE"/>
        </w:rPr>
        <w:t xml:space="preserve"> 2012). Seaford summarizes these propositions as follows: ‘identify potential users with power, then tailor the indicators to their needs and try to entrench their use’ (Seaford, 2013b, 8). For instance, participation of international institutions like the OECD might help speed up the institutionalisation of Beyond GDP indicators. While this certainly seems to be a correct observation, it should be noted that linking indicators to powerful stakeholders also involves some risk: ‘If an indicator or an indicator set perfectly matches the conceptual frameworks of policy actors, it is unlikely to shake established mental models and institutions’ (Lehtonen </w:t>
      </w:r>
      <w:r w:rsidRPr="00DE659D">
        <w:rPr>
          <w:i/>
          <w:noProof/>
          <w:color w:val="000000" w:themeColor="text1"/>
          <w:lang w:eastAsia="fr-BE"/>
        </w:rPr>
        <w:t>et al</w:t>
      </w:r>
      <w:r w:rsidRPr="00DE659D">
        <w:rPr>
          <w:noProof/>
          <w:color w:val="000000" w:themeColor="text1"/>
          <w:lang w:eastAsia="fr-BE"/>
        </w:rPr>
        <w:t xml:space="preserve">., 2016, 6). Then the question </w:t>
      </w:r>
      <w:r w:rsidRPr="00DE659D">
        <w:rPr>
          <w:noProof/>
          <w:color w:val="000000" w:themeColor="text1"/>
          <w:lang w:eastAsia="fr-BE"/>
        </w:rPr>
        <w:lastRenderedPageBreak/>
        <w:t xml:space="preserve">must be asked of how far powerful stakeholders’ expectations in respect to the indicators—such as highlighting competitiveness and profitability targets (Thiry </w:t>
      </w:r>
      <w:r w:rsidRPr="00DE659D">
        <w:rPr>
          <w:i/>
          <w:noProof/>
          <w:color w:val="000000" w:themeColor="text1"/>
          <w:lang w:eastAsia="fr-BE"/>
        </w:rPr>
        <w:t>et al.</w:t>
      </w:r>
      <w:r w:rsidRPr="00DE659D">
        <w:rPr>
          <w:noProof/>
          <w:color w:val="000000" w:themeColor="text1"/>
          <w:lang w:eastAsia="fr-BE"/>
        </w:rPr>
        <w:t>, 2014)—are compatible with a desire to ‘trace progress towards a socio-ecological transition by the behaviour of such indicators’? (Martínez-Alier, 2009, 1099). This article is aimed at investigating the tension inherent to the dual goal of shifting paradigms and getting powerful stakeholders to participate in this shift. The tension can be formulated as follows: are the Beyond GDP indicators initiated by powerful stakeholders capable of showing other representations of reality than those that have resulted from GDP? This question has not been addressed in the literature on these indicators, but it is a rather classic dilemma in the social sciences: can a system be thoroughly changed by those who hold the highest stake in it, or is change only conceivable from the outside?</w:t>
      </w:r>
    </w:p>
    <w:p w14:paraId="37E9E05A" w14:textId="77777777" w:rsidR="00DE659D" w:rsidRPr="00DE659D" w:rsidRDefault="00DE659D" w:rsidP="00DE659D">
      <w:pPr>
        <w:rPr>
          <w:noProof/>
          <w:color w:val="000000" w:themeColor="text1"/>
          <w:lang w:val="en-US" w:eastAsia="fr-BE"/>
        </w:rPr>
      </w:pPr>
      <w:r w:rsidRPr="00DE659D">
        <w:rPr>
          <w:noProof/>
          <w:color w:val="000000" w:themeColor="text1"/>
          <w:lang w:val="en-US" w:eastAsia="fr-BE"/>
        </w:rPr>
        <w:t>In the following, we shall explore six Beyond GDP indicators against two criteria: 1) are they initiated by powerful stakeholders? And 2) what is their transformative potential</w:t>
      </w:r>
      <w:r w:rsidRPr="00DE659D">
        <w:rPr>
          <w:noProof/>
          <w:color w:val="000000" w:themeColor="text1"/>
          <w:lang w:eastAsia="fr-BE"/>
        </w:rPr>
        <w:t xml:space="preserve"> (defined as their potential to show alternative representations)? </w:t>
      </w:r>
    </w:p>
    <w:p w14:paraId="22509C50"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article is divided into six sections including the introduction. Section two presents the six indicators under consideration. The following two sections evaluate whether or not these indicators are initiated by powerful stakeholders, then determine their transformative potential by comparing them to GDP. Finally, in the fifth section, the article analyses the mechanisms through which certain indicators end up strongly correlated with GDP, and in the sixth section some explanations for this fact are proposed. </w:t>
      </w:r>
    </w:p>
    <w:p w14:paraId="098964B6" w14:textId="1CBFEDA4" w:rsidR="00DE659D" w:rsidRPr="00DE659D" w:rsidRDefault="00DE659D" w:rsidP="00CE7357">
      <w:pPr>
        <w:pStyle w:val="Titre2"/>
        <w:rPr>
          <w:noProof/>
          <w:lang w:val="en-US" w:eastAsia="fr-BE"/>
        </w:rPr>
      </w:pPr>
      <w:bookmarkStart w:id="78" w:name="_Toc51512302"/>
      <w:r w:rsidRPr="00DE659D">
        <w:rPr>
          <w:noProof/>
          <w:lang w:val="en-US" w:eastAsia="fr-BE"/>
        </w:rPr>
        <w:t>Presentation of the six indicators</w:t>
      </w:r>
      <w:bookmarkEnd w:id="78"/>
    </w:p>
    <w:p w14:paraId="76E93DB5"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Three criteria have been used in order to choose the indicators. In the first place, indicators have been chosen with the aim of measuring a form of social and societal progress in a multi-dimensional manner. Whatever variety of terms are used to specify the objective these indicators refer to (well-being, quality of life, social progress, human development, happiness), these indicators are considered as having a similar intent, which is a desirable society. In the second place, there </w:t>
      </w:r>
      <w:r w:rsidRPr="00DE659D">
        <w:rPr>
          <w:noProof/>
          <w:color w:val="000000" w:themeColor="text1"/>
          <w:lang w:eastAsia="fr-BE"/>
        </w:rPr>
        <w:lastRenderedPageBreak/>
        <w:t xml:space="preserve">must be available data from a very large array of countries (&gt;120), from the global north as well as the global south, </w:t>
      </w:r>
      <w:r w:rsidRPr="00DE659D">
        <w:rPr>
          <w:noProof/>
          <w:color w:val="000000" w:themeColor="text1"/>
          <w:lang w:val="en-US" w:eastAsia="fr-BE"/>
        </w:rPr>
        <w:t>allowing sufficient comparison across diverse contexts</w:t>
      </w:r>
      <w:r w:rsidRPr="00DE659D">
        <w:rPr>
          <w:noProof/>
          <w:color w:val="000000" w:themeColor="text1"/>
          <w:lang w:eastAsia="fr-BE"/>
        </w:rPr>
        <w:t>. In the third place, they must have been recently published (no earlier than 2014), in order to avoid distortions due to the different times the measurements were made.</w:t>
      </w:r>
    </w:p>
    <w:p w14:paraId="6CF12D4E" w14:textId="77777777" w:rsidR="00DE659D" w:rsidRPr="00DE659D" w:rsidRDefault="00DE659D" w:rsidP="00DE659D">
      <w:pPr>
        <w:rPr>
          <w:noProof/>
          <w:color w:val="000000" w:themeColor="text1"/>
          <w:lang w:eastAsia="fr-BE"/>
        </w:rPr>
      </w:pPr>
      <w:r w:rsidRPr="00DE659D">
        <w:rPr>
          <w:noProof/>
          <w:color w:val="000000" w:themeColor="text1"/>
          <w:lang w:eastAsia="fr-BE"/>
        </w:rPr>
        <w:t>We identified six composite indicators that satisfy these criteria: the Human Development Index (HDI), the Social Progress Index (SPI), the Global Well-Being Index (GWBI), Quality of Life (QoL), the Happy Planet Index (HPI), and the Sustainable Society Index</w:t>
      </w:r>
      <w:r w:rsidRPr="00DE659D">
        <w:rPr>
          <w:noProof/>
          <w:color w:val="000000" w:themeColor="text1"/>
          <w:vertAlign w:val="superscript"/>
          <w:lang w:eastAsia="fr-BE"/>
        </w:rPr>
        <w:footnoteReference w:id="24"/>
      </w:r>
      <w:r w:rsidRPr="00DE659D">
        <w:rPr>
          <w:noProof/>
          <w:color w:val="000000" w:themeColor="text1"/>
          <w:lang w:eastAsia="fr-BE"/>
        </w:rPr>
        <w:t xml:space="preserve"> (SSI). The perimeter of comparison extends to the 104 countries in common to all of them. Table 1 examines the principal characteristics of the different indicators. The year of publication is indicated beneath the table.</w:t>
      </w:r>
      <w:r w:rsidRPr="00DE659D">
        <w:rPr>
          <w:noProof/>
          <w:color w:val="000000" w:themeColor="text1"/>
          <w:vertAlign w:val="superscript"/>
          <w:lang w:eastAsia="fr-BE"/>
        </w:rPr>
        <w:footnoteReference w:id="25"/>
      </w:r>
    </w:p>
    <w:p w14:paraId="7B64008B" w14:textId="6A4D9A3B" w:rsidR="00DE659D" w:rsidRPr="00DE659D" w:rsidRDefault="00DE659D" w:rsidP="00DE659D">
      <w:pPr>
        <w:rPr>
          <w:noProof/>
          <w:color w:val="000000" w:themeColor="text1"/>
          <w:lang w:eastAsia="fr-BE"/>
        </w:rPr>
      </w:pPr>
      <w:r w:rsidRPr="00DE659D">
        <w:rPr>
          <w:noProof/>
          <w:color w:val="000000" w:themeColor="text1"/>
          <w:lang w:eastAsia="fr-BE"/>
        </w:rPr>
        <w:tab/>
      </w:r>
      <w:r w:rsidR="006D2122" w:rsidRPr="00903E4A">
        <w:rPr>
          <w:i/>
          <w:noProof/>
          <w:color w:val="000000" w:themeColor="text1"/>
          <w:sz w:val="24"/>
          <w:lang w:val="fr-BE" w:eastAsia="fr-BE"/>
        </w:rPr>
        <w:t>Source</w:t>
      </w:r>
      <w:r w:rsidR="006D2122">
        <w:rPr>
          <w:i/>
          <w:noProof/>
          <w:color w:val="000000" w:themeColor="text1"/>
          <w:sz w:val="24"/>
          <w:lang w:val="fr-BE" w:eastAsia="fr-BE"/>
        </w:rPr>
        <w:t xml:space="preserve"> of table 1</w:t>
      </w:r>
      <w:r w:rsidR="006D2122" w:rsidRPr="00903E4A">
        <w:rPr>
          <w:noProof/>
          <w:color w:val="000000" w:themeColor="text1"/>
          <w:sz w:val="24"/>
          <w:lang w:val="fr-BE" w:eastAsia="fr-BE"/>
        </w:rPr>
        <w:t xml:space="preserve">: HDI: UNDP (2014), SPI: Porter </w:t>
      </w:r>
      <w:r w:rsidR="006D2122" w:rsidRPr="00903E4A">
        <w:rPr>
          <w:i/>
          <w:noProof/>
          <w:color w:val="000000" w:themeColor="text1"/>
          <w:sz w:val="24"/>
          <w:lang w:val="fr-BE" w:eastAsia="fr-BE"/>
        </w:rPr>
        <w:t>et al</w:t>
      </w:r>
      <w:r w:rsidR="006D2122" w:rsidRPr="00903E4A">
        <w:rPr>
          <w:noProof/>
          <w:color w:val="000000" w:themeColor="text1"/>
          <w:sz w:val="24"/>
          <w:lang w:val="fr-BE" w:eastAsia="fr-BE"/>
        </w:rPr>
        <w:t xml:space="preserve">. (2016), GWBI: Chabaan </w:t>
      </w:r>
      <w:r w:rsidR="006D2122" w:rsidRPr="00903E4A">
        <w:rPr>
          <w:i/>
          <w:noProof/>
          <w:color w:val="000000" w:themeColor="text1"/>
          <w:sz w:val="24"/>
          <w:lang w:val="fr-BE" w:eastAsia="fr-BE"/>
        </w:rPr>
        <w:t>et al</w:t>
      </w:r>
      <w:r w:rsidR="006D2122" w:rsidRPr="00903E4A">
        <w:rPr>
          <w:noProof/>
          <w:color w:val="000000" w:themeColor="text1"/>
          <w:sz w:val="24"/>
          <w:lang w:val="fr-BE" w:eastAsia="fr-BE"/>
        </w:rPr>
        <w:t xml:space="preserve">., (2015), QoL: Maridal (2016), HPI: Jeffrey </w:t>
      </w:r>
      <w:r w:rsidR="006D2122" w:rsidRPr="00903E4A">
        <w:rPr>
          <w:i/>
          <w:noProof/>
          <w:color w:val="000000" w:themeColor="text1"/>
          <w:sz w:val="24"/>
          <w:lang w:val="fr-BE" w:eastAsia="fr-BE"/>
        </w:rPr>
        <w:t>et al.</w:t>
      </w:r>
      <w:r w:rsidR="006D2122" w:rsidRPr="00903E4A">
        <w:rPr>
          <w:noProof/>
          <w:color w:val="000000" w:themeColor="text1"/>
          <w:sz w:val="24"/>
          <w:lang w:val="fr-BE" w:eastAsia="fr-BE"/>
        </w:rPr>
        <w:t xml:space="preserve"> </w:t>
      </w:r>
      <w:r w:rsidR="006D2122" w:rsidRPr="00903E4A">
        <w:rPr>
          <w:noProof/>
          <w:color w:val="000000" w:themeColor="text1"/>
          <w:sz w:val="24"/>
          <w:lang w:val="en-US" w:eastAsia="fr-BE"/>
        </w:rPr>
        <w:t>(2016) and SSI: De Kerk and Manuel (2016).</w:t>
      </w:r>
    </w:p>
    <w:p w14:paraId="284CDCF3" w14:textId="3CE2F7EA" w:rsidR="006D2122" w:rsidRDefault="00DE659D" w:rsidP="006D2122">
      <w:pPr>
        <w:rPr>
          <w:noProof/>
          <w:color w:val="000000" w:themeColor="text1"/>
          <w:sz w:val="24"/>
          <w:lang w:val="en-US" w:eastAsia="fr-BE"/>
        </w:rPr>
      </w:pPr>
      <w:r w:rsidRPr="00DE659D">
        <w:rPr>
          <w:b/>
          <w:noProof/>
          <w:color w:val="000000" w:themeColor="text1"/>
          <w:lang w:eastAsia="fr-BE"/>
        </w:rPr>
        <w:br w:type="page"/>
      </w:r>
    </w:p>
    <w:p w14:paraId="4675D466" w14:textId="77777777" w:rsidR="00DE659D" w:rsidRPr="00DE659D" w:rsidRDefault="00DE659D" w:rsidP="00DE659D">
      <w:pPr>
        <w:rPr>
          <w:b/>
          <w:noProof/>
          <w:color w:val="000000" w:themeColor="text1"/>
          <w:lang w:eastAsia="fr-BE"/>
        </w:rPr>
      </w:pPr>
    </w:p>
    <w:p w14:paraId="3162294B" w14:textId="77777777" w:rsidR="00DE659D" w:rsidRPr="00903E4A" w:rsidRDefault="00DE659D" w:rsidP="00DE659D">
      <w:pPr>
        <w:rPr>
          <w:noProof/>
          <w:color w:val="000000" w:themeColor="text1"/>
          <w:lang w:eastAsia="fr-BE"/>
        </w:rPr>
      </w:pPr>
      <w:r w:rsidRPr="00903E4A">
        <w:rPr>
          <w:noProof/>
          <w:color w:val="000000" w:themeColor="text1"/>
          <w:lang w:eastAsia="fr-BE"/>
        </w:rPr>
        <w:t>Table 1. Characteristics of 6 Beyond GDP indicators</w:t>
      </w:r>
    </w:p>
    <w:tbl>
      <w:tblPr>
        <w:tblStyle w:val="TableauGrille1Clair-Accentuation31"/>
        <w:tblW w:w="5303" w:type="pct"/>
        <w:tblLook w:val="0520" w:firstRow="1" w:lastRow="0" w:firstColumn="0" w:lastColumn="1" w:noHBand="0" w:noVBand="1"/>
      </w:tblPr>
      <w:tblGrid>
        <w:gridCol w:w="1116"/>
        <w:gridCol w:w="1115"/>
        <w:gridCol w:w="1115"/>
        <w:gridCol w:w="1115"/>
        <w:gridCol w:w="1115"/>
        <w:gridCol w:w="1115"/>
        <w:gridCol w:w="1115"/>
      </w:tblGrid>
      <w:tr w:rsidR="00903E4A" w:rsidRPr="008E4665" w14:paraId="45ABE97F" w14:textId="5BC1E286" w:rsidTr="00903E4A">
        <w:trPr>
          <w:cnfStyle w:val="100000000000" w:firstRow="1" w:lastRow="0" w:firstColumn="0" w:lastColumn="0" w:oddVBand="0" w:evenVBand="0" w:oddHBand="0" w:evenHBand="0" w:firstRowFirstColumn="0" w:firstRowLastColumn="0" w:lastRowFirstColumn="0" w:lastRowLastColumn="0"/>
          <w:cantSplit/>
          <w:trHeight w:val="1604"/>
        </w:trPr>
        <w:tc>
          <w:tcPr>
            <w:tcW w:w="715" w:type="pct"/>
            <w:textDirection w:val="tbRl"/>
          </w:tcPr>
          <w:p w14:paraId="2FC3EC90"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Human Development Index</w:t>
            </w:r>
          </w:p>
          <w:p w14:paraId="0A571E77" w14:textId="15ABADE3" w:rsidR="00903E4A" w:rsidRPr="008E4665" w:rsidRDefault="00903E4A" w:rsidP="00903E4A">
            <w:pPr>
              <w:spacing w:after="160"/>
              <w:ind w:left="113" w:right="113" w:firstLine="0"/>
              <w:jc w:val="center"/>
              <w:rPr>
                <w:noProof/>
                <w:color w:val="000000" w:themeColor="text1"/>
                <w:sz w:val="24"/>
                <w:lang w:eastAsia="fr-BE"/>
              </w:rPr>
            </w:pPr>
          </w:p>
        </w:tc>
        <w:tc>
          <w:tcPr>
            <w:tcW w:w="714" w:type="pct"/>
            <w:textDirection w:val="tbRl"/>
            <w:hideMark/>
          </w:tcPr>
          <w:p w14:paraId="4B388004"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Social Progress Index</w:t>
            </w:r>
          </w:p>
          <w:p w14:paraId="5193E98D" w14:textId="6A31075E" w:rsidR="00903E4A" w:rsidRPr="008E4665" w:rsidRDefault="00903E4A" w:rsidP="00903E4A">
            <w:pPr>
              <w:spacing w:after="160"/>
              <w:ind w:left="113" w:right="113" w:firstLine="0"/>
              <w:jc w:val="center"/>
              <w:rPr>
                <w:noProof/>
                <w:color w:val="000000" w:themeColor="text1"/>
                <w:sz w:val="24"/>
                <w:lang w:eastAsia="fr-BE"/>
              </w:rPr>
            </w:pPr>
          </w:p>
        </w:tc>
        <w:tc>
          <w:tcPr>
            <w:tcW w:w="714" w:type="pct"/>
            <w:textDirection w:val="tbRl"/>
          </w:tcPr>
          <w:p w14:paraId="3273A6BB"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Global Well-Being Index</w:t>
            </w:r>
          </w:p>
          <w:p w14:paraId="19D02BFA" w14:textId="011AA929" w:rsidR="00903E4A" w:rsidRPr="008E4665" w:rsidRDefault="00903E4A" w:rsidP="00903E4A">
            <w:pPr>
              <w:spacing w:after="160"/>
              <w:ind w:left="113" w:right="113" w:firstLine="0"/>
              <w:jc w:val="center"/>
              <w:rPr>
                <w:noProof/>
                <w:color w:val="000000" w:themeColor="text1"/>
                <w:sz w:val="24"/>
                <w:lang w:eastAsia="fr-BE"/>
              </w:rPr>
            </w:pPr>
          </w:p>
        </w:tc>
        <w:tc>
          <w:tcPr>
            <w:tcW w:w="714" w:type="pct"/>
            <w:textDirection w:val="tbRl"/>
          </w:tcPr>
          <w:p w14:paraId="6233D9B4"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Quality of Life Index</w:t>
            </w:r>
          </w:p>
          <w:p w14:paraId="7A33BDF5" w14:textId="44EB51E1" w:rsidR="00903E4A" w:rsidRPr="008E4665" w:rsidRDefault="00903E4A" w:rsidP="00903E4A">
            <w:pPr>
              <w:spacing w:after="160"/>
              <w:ind w:left="113" w:right="113" w:firstLine="0"/>
              <w:jc w:val="center"/>
              <w:rPr>
                <w:noProof/>
                <w:color w:val="000000" w:themeColor="text1"/>
                <w:sz w:val="24"/>
                <w:lang w:eastAsia="fr-BE"/>
              </w:rPr>
            </w:pPr>
          </w:p>
        </w:tc>
        <w:tc>
          <w:tcPr>
            <w:tcW w:w="714" w:type="pct"/>
            <w:textDirection w:val="tbRl"/>
            <w:hideMark/>
          </w:tcPr>
          <w:p w14:paraId="2E0B4B9A"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Happy Planet Index</w:t>
            </w:r>
          </w:p>
          <w:p w14:paraId="0260267F" w14:textId="605DAEA3" w:rsidR="00903E4A" w:rsidRPr="008E4665" w:rsidRDefault="00903E4A" w:rsidP="00903E4A">
            <w:pPr>
              <w:spacing w:after="160"/>
              <w:ind w:left="113" w:right="113" w:firstLine="0"/>
              <w:jc w:val="center"/>
              <w:rPr>
                <w:noProof/>
                <w:color w:val="000000" w:themeColor="text1"/>
                <w:sz w:val="24"/>
                <w:lang w:eastAsia="fr-BE"/>
              </w:rPr>
            </w:pPr>
          </w:p>
        </w:tc>
        <w:tc>
          <w:tcPr>
            <w:tcW w:w="714" w:type="pct"/>
            <w:textDirection w:val="tbRl"/>
            <w:hideMark/>
          </w:tcPr>
          <w:p w14:paraId="3DB1778E"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Sustainable Society Index</w:t>
            </w:r>
          </w:p>
          <w:p w14:paraId="5C445CE0" w14:textId="564629B8" w:rsidR="00903E4A" w:rsidRPr="008E4665" w:rsidRDefault="00903E4A" w:rsidP="00903E4A">
            <w:pPr>
              <w:spacing w:after="160"/>
              <w:ind w:left="113" w:right="113" w:firstLine="0"/>
              <w:jc w:val="center"/>
              <w:rPr>
                <w:noProof/>
                <w:color w:val="000000" w:themeColor="text1"/>
                <w:sz w:val="24"/>
                <w:lang w:eastAsia="fr-BE"/>
              </w:rPr>
            </w:pPr>
          </w:p>
        </w:tc>
        <w:tc>
          <w:tcPr>
            <w:cnfStyle w:val="000100000000" w:firstRow="0" w:lastRow="0" w:firstColumn="0" w:lastColumn="1" w:oddVBand="0" w:evenVBand="0" w:oddHBand="0" w:evenHBand="0" w:firstRowFirstColumn="0" w:firstRowLastColumn="0" w:lastRowFirstColumn="0" w:lastRowLastColumn="0"/>
            <w:tcW w:w="714" w:type="pct"/>
            <w:textDirection w:val="tbRl"/>
          </w:tcPr>
          <w:p w14:paraId="19854ADF" w14:textId="77777777" w:rsidR="00903E4A" w:rsidRPr="008E4665" w:rsidRDefault="00903E4A" w:rsidP="00903E4A">
            <w:pPr>
              <w:spacing w:after="160"/>
              <w:ind w:left="113" w:right="113" w:firstLine="0"/>
              <w:rPr>
                <w:noProof/>
                <w:color w:val="000000" w:themeColor="text1"/>
                <w:sz w:val="24"/>
                <w:lang w:eastAsia="fr-BE"/>
              </w:rPr>
            </w:pPr>
          </w:p>
          <w:p w14:paraId="381C1D93" w14:textId="77777777" w:rsidR="00903E4A" w:rsidRPr="008E4665" w:rsidRDefault="00903E4A" w:rsidP="00903E4A">
            <w:pPr>
              <w:ind w:left="113" w:right="113" w:firstLine="0"/>
              <w:rPr>
                <w:noProof/>
                <w:color w:val="000000" w:themeColor="text1"/>
                <w:sz w:val="24"/>
                <w:lang w:eastAsia="fr-BE"/>
              </w:rPr>
            </w:pPr>
          </w:p>
        </w:tc>
      </w:tr>
      <w:tr w:rsidR="00903E4A" w:rsidRPr="008E4665" w14:paraId="30CC2400" w14:textId="77777777" w:rsidTr="00903E4A">
        <w:trPr>
          <w:cantSplit/>
          <w:trHeight w:val="1134"/>
        </w:trPr>
        <w:tc>
          <w:tcPr>
            <w:tcW w:w="715" w:type="pct"/>
            <w:textDirection w:val="tbRl"/>
          </w:tcPr>
          <w:p w14:paraId="776AF233" w14:textId="763A9090"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HDI</w:t>
            </w:r>
          </w:p>
        </w:tc>
        <w:tc>
          <w:tcPr>
            <w:tcW w:w="714" w:type="pct"/>
            <w:textDirection w:val="tbRl"/>
          </w:tcPr>
          <w:p w14:paraId="5CDA8B22" w14:textId="75F48A32"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SPI</w:t>
            </w:r>
          </w:p>
        </w:tc>
        <w:tc>
          <w:tcPr>
            <w:tcW w:w="714" w:type="pct"/>
            <w:textDirection w:val="tbRl"/>
          </w:tcPr>
          <w:p w14:paraId="471873E3" w14:textId="76D83307"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GWBI</w:t>
            </w:r>
          </w:p>
        </w:tc>
        <w:tc>
          <w:tcPr>
            <w:tcW w:w="714" w:type="pct"/>
            <w:textDirection w:val="tbRl"/>
          </w:tcPr>
          <w:p w14:paraId="1022B1D2" w14:textId="12B10C71"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QoL</w:t>
            </w:r>
          </w:p>
        </w:tc>
        <w:tc>
          <w:tcPr>
            <w:tcW w:w="714" w:type="pct"/>
            <w:textDirection w:val="tbRl"/>
          </w:tcPr>
          <w:p w14:paraId="1E0C7D6A" w14:textId="050190B0"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HPI</w:t>
            </w:r>
          </w:p>
        </w:tc>
        <w:tc>
          <w:tcPr>
            <w:tcW w:w="714" w:type="pct"/>
            <w:textDirection w:val="tbRl"/>
          </w:tcPr>
          <w:p w14:paraId="603400DB" w14:textId="5CBB604B"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SSI</w:t>
            </w:r>
          </w:p>
        </w:tc>
        <w:tc>
          <w:tcPr>
            <w:cnfStyle w:val="000100000000" w:firstRow="0" w:lastRow="0" w:firstColumn="0" w:lastColumn="1" w:oddVBand="0" w:evenVBand="0" w:oddHBand="0" w:evenHBand="0" w:firstRowFirstColumn="0" w:firstRowLastColumn="0" w:lastRowFirstColumn="0" w:lastRowLastColumn="0"/>
            <w:tcW w:w="714" w:type="pct"/>
            <w:textDirection w:val="tbRl"/>
          </w:tcPr>
          <w:p w14:paraId="4611B7FC" w14:textId="77777777" w:rsidR="00903E4A" w:rsidRPr="008E4665" w:rsidRDefault="00903E4A" w:rsidP="00903E4A">
            <w:pPr>
              <w:ind w:left="113" w:right="113" w:firstLine="0"/>
              <w:rPr>
                <w:noProof/>
                <w:color w:val="000000" w:themeColor="text1"/>
                <w:sz w:val="24"/>
                <w:lang w:eastAsia="fr-BE"/>
              </w:rPr>
            </w:pPr>
          </w:p>
        </w:tc>
      </w:tr>
      <w:tr w:rsidR="00903E4A" w:rsidRPr="008E4665" w14:paraId="38C3CF97" w14:textId="29A763A6" w:rsidTr="00903E4A">
        <w:trPr>
          <w:cantSplit/>
          <w:trHeight w:val="2365"/>
        </w:trPr>
        <w:tc>
          <w:tcPr>
            <w:tcW w:w="715" w:type="pct"/>
            <w:textDirection w:val="tbRl"/>
          </w:tcPr>
          <w:p w14:paraId="27CA0F62"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Scholars &amp; UNDP</w:t>
            </w:r>
          </w:p>
        </w:tc>
        <w:tc>
          <w:tcPr>
            <w:tcW w:w="714" w:type="pct"/>
            <w:textDirection w:val="tbRl"/>
            <w:hideMark/>
          </w:tcPr>
          <w:p w14:paraId="0DBCD93A"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Coalition of scholars, business, regional &amp; local actors</w:t>
            </w:r>
          </w:p>
        </w:tc>
        <w:tc>
          <w:tcPr>
            <w:tcW w:w="714" w:type="pct"/>
            <w:textDirection w:val="tbRl"/>
          </w:tcPr>
          <w:p w14:paraId="20E64982" w14:textId="1B69FF08"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Scholars</w:t>
            </w:r>
          </w:p>
        </w:tc>
        <w:tc>
          <w:tcPr>
            <w:tcW w:w="714" w:type="pct"/>
            <w:textDirection w:val="tbRl"/>
          </w:tcPr>
          <w:p w14:paraId="3D9EC5FC"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Scholars</w:t>
            </w:r>
          </w:p>
        </w:tc>
        <w:tc>
          <w:tcPr>
            <w:tcW w:w="714" w:type="pct"/>
            <w:textDirection w:val="tbRl"/>
            <w:hideMark/>
          </w:tcPr>
          <w:p w14:paraId="0F1E3283"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New Economic Foundation</w:t>
            </w:r>
          </w:p>
        </w:tc>
        <w:tc>
          <w:tcPr>
            <w:tcW w:w="714" w:type="pct"/>
            <w:textDirection w:val="tbRl"/>
            <w:hideMark/>
          </w:tcPr>
          <w:p w14:paraId="14847687"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Sustainable Society Foundation</w:t>
            </w:r>
          </w:p>
        </w:tc>
        <w:tc>
          <w:tcPr>
            <w:cnfStyle w:val="000100000000" w:firstRow="0" w:lastRow="0" w:firstColumn="0" w:lastColumn="1" w:oddVBand="0" w:evenVBand="0" w:oddHBand="0" w:evenHBand="0" w:firstRowFirstColumn="0" w:firstRowLastColumn="0" w:lastRowFirstColumn="0" w:lastRowLastColumn="0"/>
            <w:tcW w:w="714" w:type="pct"/>
            <w:textDirection w:val="tbRl"/>
            <w:vAlign w:val="center"/>
          </w:tcPr>
          <w:p w14:paraId="15A6A994" w14:textId="29961804"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Editor</w:t>
            </w:r>
          </w:p>
        </w:tc>
      </w:tr>
      <w:tr w:rsidR="00903E4A" w:rsidRPr="008E4665" w14:paraId="71DC69C7" w14:textId="35C4572D" w:rsidTr="00903E4A">
        <w:trPr>
          <w:cantSplit/>
          <w:trHeight w:val="3675"/>
        </w:trPr>
        <w:tc>
          <w:tcPr>
            <w:tcW w:w="715" w:type="pct"/>
            <w:textDirection w:val="tbRl"/>
          </w:tcPr>
          <w:p w14:paraId="4F1047D1"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Education, health, income</w:t>
            </w:r>
          </w:p>
        </w:tc>
        <w:tc>
          <w:tcPr>
            <w:tcW w:w="714" w:type="pct"/>
            <w:textDirection w:val="tbRl"/>
            <w:hideMark/>
          </w:tcPr>
          <w:p w14:paraId="3E9FFA83"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Education, health, standard of living, environment, freedom, tolerance, safety</w:t>
            </w:r>
          </w:p>
        </w:tc>
        <w:tc>
          <w:tcPr>
            <w:tcW w:w="714" w:type="pct"/>
            <w:textDirection w:val="tbRl"/>
          </w:tcPr>
          <w:p w14:paraId="1A5A4869"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Education, health, civic engagement, social life, standard of living, life satisfaction, environment, safety</w:t>
            </w:r>
          </w:p>
        </w:tc>
        <w:tc>
          <w:tcPr>
            <w:tcW w:w="714" w:type="pct"/>
            <w:textDirection w:val="tbRl"/>
          </w:tcPr>
          <w:p w14:paraId="1498AF4D"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Health, social life, freedom and opportunity, standard of living, trust, safety</w:t>
            </w:r>
          </w:p>
        </w:tc>
        <w:tc>
          <w:tcPr>
            <w:tcW w:w="714" w:type="pct"/>
            <w:textDirection w:val="tbRl"/>
            <w:hideMark/>
          </w:tcPr>
          <w:p w14:paraId="4089D791"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Health, Life satisfaction, inequality, environment</w:t>
            </w:r>
          </w:p>
        </w:tc>
        <w:tc>
          <w:tcPr>
            <w:tcW w:w="714" w:type="pct"/>
            <w:textDirection w:val="tbRl"/>
            <w:hideMark/>
          </w:tcPr>
          <w:p w14:paraId="031FB12B"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Education, health, standard of living, inequality, energy, environment, economy</w:t>
            </w:r>
          </w:p>
        </w:tc>
        <w:tc>
          <w:tcPr>
            <w:cnfStyle w:val="000100000000" w:firstRow="0" w:lastRow="0" w:firstColumn="0" w:lastColumn="1" w:oddVBand="0" w:evenVBand="0" w:oddHBand="0" w:evenHBand="0" w:firstRowFirstColumn="0" w:firstRowLastColumn="0" w:lastRowFirstColumn="0" w:lastRowLastColumn="0"/>
            <w:tcW w:w="714" w:type="pct"/>
            <w:textDirection w:val="tbRl"/>
            <w:vAlign w:val="center"/>
          </w:tcPr>
          <w:p w14:paraId="48512CF8" w14:textId="7E242478"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Type of variables</w:t>
            </w:r>
          </w:p>
        </w:tc>
      </w:tr>
      <w:tr w:rsidR="00903E4A" w:rsidRPr="008E4665" w14:paraId="453F6A02" w14:textId="6D36F4D7" w:rsidTr="00903E4A">
        <w:trPr>
          <w:cantSplit/>
          <w:trHeight w:val="1134"/>
        </w:trPr>
        <w:tc>
          <w:tcPr>
            <w:tcW w:w="715" w:type="pct"/>
            <w:textDirection w:val="tbRl"/>
          </w:tcPr>
          <w:p w14:paraId="4945C4A4"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3</w:t>
            </w:r>
          </w:p>
        </w:tc>
        <w:tc>
          <w:tcPr>
            <w:tcW w:w="714" w:type="pct"/>
            <w:textDirection w:val="tbRl"/>
          </w:tcPr>
          <w:p w14:paraId="1495AFE2"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52</w:t>
            </w:r>
          </w:p>
        </w:tc>
        <w:tc>
          <w:tcPr>
            <w:tcW w:w="714" w:type="pct"/>
            <w:textDirection w:val="tbRl"/>
          </w:tcPr>
          <w:p w14:paraId="4D891E95"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23</w:t>
            </w:r>
          </w:p>
        </w:tc>
        <w:tc>
          <w:tcPr>
            <w:tcW w:w="714" w:type="pct"/>
            <w:textDirection w:val="tbRl"/>
          </w:tcPr>
          <w:p w14:paraId="20671DC9"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39</w:t>
            </w:r>
          </w:p>
        </w:tc>
        <w:tc>
          <w:tcPr>
            <w:tcW w:w="714" w:type="pct"/>
            <w:textDirection w:val="tbRl"/>
          </w:tcPr>
          <w:p w14:paraId="2EEE71D3"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4</w:t>
            </w:r>
          </w:p>
        </w:tc>
        <w:tc>
          <w:tcPr>
            <w:tcW w:w="714" w:type="pct"/>
            <w:textDirection w:val="tbRl"/>
          </w:tcPr>
          <w:p w14:paraId="0C918246"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21</w:t>
            </w:r>
          </w:p>
        </w:tc>
        <w:tc>
          <w:tcPr>
            <w:cnfStyle w:val="000100000000" w:firstRow="0" w:lastRow="0" w:firstColumn="0" w:lastColumn="1" w:oddVBand="0" w:evenVBand="0" w:oddHBand="0" w:evenHBand="0" w:firstRowFirstColumn="0" w:firstRowLastColumn="0" w:lastRowFirstColumn="0" w:lastRowLastColumn="0"/>
            <w:tcW w:w="714" w:type="pct"/>
            <w:textDirection w:val="tbRl"/>
            <w:vAlign w:val="center"/>
          </w:tcPr>
          <w:p w14:paraId="705BD8A2" w14:textId="4B9819B0"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Number of variables</w:t>
            </w:r>
          </w:p>
        </w:tc>
      </w:tr>
      <w:tr w:rsidR="00903E4A" w:rsidRPr="008E4665" w14:paraId="77FACE89" w14:textId="0E92BADC" w:rsidTr="00903E4A">
        <w:trPr>
          <w:cantSplit/>
          <w:trHeight w:val="1533"/>
        </w:trPr>
        <w:tc>
          <w:tcPr>
            <w:tcW w:w="715" w:type="pct"/>
            <w:textDirection w:val="tbRl"/>
          </w:tcPr>
          <w:p w14:paraId="2657CE58"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Geometric mean</w:t>
            </w:r>
          </w:p>
        </w:tc>
        <w:tc>
          <w:tcPr>
            <w:tcW w:w="714" w:type="pct"/>
            <w:textDirection w:val="tbRl"/>
            <w:hideMark/>
          </w:tcPr>
          <w:p w14:paraId="1193CFB4"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Arithmetic mean + PCA</w:t>
            </w:r>
          </w:p>
        </w:tc>
        <w:tc>
          <w:tcPr>
            <w:tcW w:w="714" w:type="pct"/>
            <w:textDirection w:val="tbRl"/>
          </w:tcPr>
          <w:p w14:paraId="6E93D5AC"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Arithmetic mean</w:t>
            </w:r>
          </w:p>
        </w:tc>
        <w:tc>
          <w:tcPr>
            <w:tcW w:w="714" w:type="pct"/>
            <w:textDirection w:val="tbRl"/>
          </w:tcPr>
          <w:p w14:paraId="38792AE9"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Complex</w:t>
            </w:r>
          </w:p>
        </w:tc>
        <w:tc>
          <w:tcPr>
            <w:tcW w:w="714" w:type="pct"/>
            <w:textDirection w:val="tbRl"/>
            <w:hideMark/>
          </w:tcPr>
          <w:p w14:paraId="1B6FF733"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Complex</w:t>
            </w:r>
          </w:p>
        </w:tc>
        <w:tc>
          <w:tcPr>
            <w:tcW w:w="714" w:type="pct"/>
            <w:textDirection w:val="tbRl"/>
            <w:hideMark/>
          </w:tcPr>
          <w:p w14:paraId="316B2F1A" w14:textId="77777777" w:rsidR="00903E4A" w:rsidRPr="008E4665" w:rsidRDefault="00903E4A" w:rsidP="00903E4A">
            <w:pPr>
              <w:spacing w:after="160"/>
              <w:ind w:left="113" w:right="113" w:firstLine="0"/>
              <w:jc w:val="center"/>
              <w:rPr>
                <w:noProof/>
                <w:color w:val="000000" w:themeColor="text1"/>
                <w:sz w:val="24"/>
                <w:lang w:eastAsia="fr-BE"/>
              </w:rPr>
            </w:pPr>
            <w:r w:rsidRPr="008E4665">
              <w:rPr>
                <w:noProof/>
                <w:color w:val="000000" w:themeColor="text1"/>
                <w:sz w:val="24"/>
                <w:lang w:eastAsia="fr-BE"/>
              </w:rPr>
              <w:t>Geometric mean</w:t>
            </w:r>
          </w:p>
        </w:tc>
        <w:tc>
          <w:tcPr>
            <w:cnfStyle w:val="000100000000" w:firstRow="0" w:lastRow="0" w:firstColumn="0" w:lastColumn="1" w:oddVBand="0" w:evenVBand="0" w:oddHBand="0" w:evenHBand="0" w:firstRowFirstColumn="0" w:firstRowLastColumn="0" w:lastRowFirstColumn="0" w:lastRowLastColumn="0"/>
            <w:tcW w:w="714" w:type="pct"/>
            <w:textDirection w:val="tbRl"/>
            <w:vAlign w:val="center"/>
          </w:tcPr>
          <w:p w14:paraId="2E175514" w14:textId="506973CC" w:rsidR="00903E4A" w:rsidRPr="008E4665" w:rsidRDefault="00903E4A" w:rsidP="00903E4A">
            <w:pPr>
              <w:ind w:left="113" w:right="113" w:firstLine="0"/>
              <w:jc w:val="center"/>
              <w:rPr>
                <w:noProof/>
                <w:color w:val="000000" w:themeColor="text1"/>
                <w:sz w:val="24"/>
                <w:lang w:eastAsia="fr-BE"/>
              </w:rPr>
            </w:pPr>
            <w:r w:rsidRPr="008E4665">
              <w:rPr>
                <w:noProof/>
                <w:color w:val="000000" w:themeColor="text1"/>
                <w:sz w:val="24"/>
                <w:lang w:eastAsia="fr-BE"/>
              </w:rPr>
              <w:t>Aggregation method</w:t>
            </w:r>
            <w:r w:rsidRPr="008E4665">
              <w:rPr>
                <w:noProof/>
                <w:color w:val="000000" w:themeColor="text1"/>
                <w:sz w:val="24"/>
                <w:vertAlign w:val="superscript"/>
                <w:lang w:eastAsia="fr-BE"/>
              </w:rPr>
              <w:footnoteReference w:id="26"/>
            </w:r>
          </w:p>
        </w:tc>
      </w:tr>
    </w:tbl>
    <w:p w14:paraId="3B9FB4F7" w14:textId="1B40430F" w:rsidR="00DE659D" w:rsidRPr="00DE659D" w:rsidRDefault="00DE659D" w:rsidP="00CE7357">
      <w:pPr>
        <w:pStyle w:val="Titre2"/>
        <w:rPr>
          <w:noProof/>
          <w:lang w:val="en-US" w:eastAsia="fr-BE"/>
        </w:rPr>
      </w:pPr>
      <w:bookmarkStart w:id="79" w:name="_Toc51512303"/>
      <w:r w:rsidRPr="00DE659D">
        <w:rPr>
          <w:noProof/>
          <w:lang w:val="en-US" w:eastAsia="fr-BE"/>
        </w:rPr>
        <w:lastRenderedPageBreak/>
        <w:t>Connection between the indicators and powerful stakeholders</w:t>
      </w:r>
      <w:bookmarkEnd w:id="79"/>
    </w:p>
    <w:p w14:paraId="78EE2ACA"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Among the six Beyond GDP indicators studied, which of them have been initiated by powerful stakeholders? In other words, who can ‘bring about changes in the action of other units, individual or collective, in the processes of social interaction’ (Parsons, 1967, 299)? </w:t>
      </w:r>
    </w:p>
    <w:p w14:paraId="63EC7706" w14:textId="77777777" w:rsidR="00DE659D" w:rsidRPr="00DE659D" w:rsidRDefault="00DE659D" w:rsidP="00DE659D">
      <w:pPr>
        <w:rPr>
          <w:noProof/>
          <w:color w:val="000000" w:themeColor="text1"/>
          <w:lang w:val="en-US" w:eastAsia="fr-BE"/>
        </w:rPr>
      </w:pPr>
      <w:r w:rsidRPr="00DE659D">
        <w:rPr>
          <w:noProof/>
          <w:color w:val="000000" w:themeColor="text1"/>
          <w:lang w:eastAsia="fr-BE"/>
        </w:rPr>
        <w:t xml:space="preserve">Global governance studies provide numerous works that identify powerful stakeholders on various issues, such as financial system reforms, trade policies… </w:t>
      </w:r>
      <w:r w:rsidRPr="00DE659D">
        <w:rPr>
          <w:noProof/>
          <w:color w:val="000000" w:themeColor="text1"/>
          <w:lang w:val="en-US" w:eastAsia="fr-BE"/>
        </w:rPr>
        <w:t xml:space="preserve">(Risse, 2002; Avant </w:t>
      </w:r>
      <w:r w:rsidRPr="00DE659D">
        <w:rPr>
          <w:i/>
          <w:noProof/>
          <w:color w:val="000000" w:themeColor="text1"/>
          <w:lang w:val="en-US" w:eastAsia="fr-BE"/>
        </w:rPr>
        <w:t>et al</w:t>
      </w:r>
      <w:r w:rsidRPr="00DE659D">
        <w:rPr>
          <w:noProof/>
          <w:color w:val="000000" w:themeColor="text1"/>
          <w:lang w:val="en-US" w:eastAsia="fr-BE"/>
        </w:rPr>
        <w:t xml:space="preserve">., 2010; Büthe, 2010; Blanton &amp; Kegley, 2016; Breslin &amp; Nesadurai, 2018). </w:t>
      </w:r>
      <w:r w:rsidRPr="00DE659D">
        <w:rPr>
          <w:noProof/>
          <w:color w:val="000000" w:themeColor="text1"/>
          <w:lang w:eastAsia="fr-BE"/>
        </w:rPr>
        <w:t xml:space="preserve">As for the global political economy, the actors traditionally considered as powerful are states, multinational corporations, international institutions, large NGOs, world class scholars or global media. </w:t>
      </w:r>
    </w:p>
    <w:p w14:paraId="019F13E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In an attempt to define whether an indicator’s initiators are powerful or not, we observe, for each indicator, if it is initiated by at least one stakeholder listed above. Using these six categories allows for clear boundaries between powerful and non-powerful actors and to cover the variety of indicators’ initiators. This categorization is also simple to apply. For the concern of operationalisation, actors such as corporations, NGOs and media are considered as powerful if they operate in at least three countries. World class scholars are defined as winners of a Nobel Prize, or scholars issued from universities ranked in the top 100 of the Times Higher Education ranking. </w:t>
      </w:r>
    </w:p>
    <w:p w14:paraId="4ECB158D"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These criteria applied to the six indicators under consideration are provided in the following table. </w:t>
      </w:r>
    </w:p>
    <w:p w14:paraId="6006A880" w14:textId="77777777" w:rsidR="00DE659D" w:rsidRPr="00DE659D" w:rsidRDefault="00DE659D" w:rsidP="00DE659D">
      <w:pPr>
        <w:rPr>
          <w:noProof/>
          <w:color w:val="000000" w:themeColor="text1"/>
          <w:lang w:eastAsia="fr-BE"/>
        </w:rPr>
      </w:pPr>
    </w:p>
    <w:p w14:paraId="14C59CE3" w14:textId="77777777" w:rsidR="00903E4A" w:rsidRDefault="00903E4A">
      <w:pPr>
        <w:spacing w:line="259" w:lineRule="auto"/>
        <w:ind w:firstLine="0"/>
        <w:jc w:val="left"/>
        <w:rPr>
          <w:b/>
          <w:noProof/>
          <w:color w:val="000000" w:themeColor="text1"/>
          <w:lang w:eastAsia="fr-BE"/>
        </w:rPr>
      </w:pPr>
      <w:r>
        <w:rPr>
          <w:b/>
          <w:noProof/>
          <w:color w:val="000000" w:themeColor="text1"/>
          <w:lang w:eastAsia="fr-BE"/>
        </w:rPr>
        <w:br w:type="page"/>
      </w:r>
    </w:p>
    <w:p w14:paraId="7A7B197A" w14:textId="17CC542A" w:rsidR="00DE659D" w:rsidRPr="00903E4A" w:rsidRDefault="00DE659D" w:rsidP="00DE659D">
      <w:pPr>
        <w:rPr>
          <w:noProof/>
          <w:color w:val="000000" w:themeColor="text1"/>
          <w:lang w:eastAsia="fr-BE"/>
        </w:rPr>
      </w:pPr>
      <w:r w:rsidRPr="00903E4A">
        <w:rPr>
          <w:noProof/>
          <w:color w:val="000000" w:themeColor="text1"/>
          <w:lang w:eastAsia="fr-BE"/>
        </w:rPr>
        <w:lastRenderedPageBreak/>
        <w:t>Table 2. Indicator’s initiator power</w:t>
      </w:r>
    </w:p>
    <w:tbl>
      <w:tblPr>
        <w:tblStyle w:val="TableauGrille1Clair-Accentuation31"/>
        <w:tblW w:w="4950" w:type="pct"/>
        <w:tblLook w:val="04A0" w:firstRow="1" w:lastRow="0" w:firstColumn="1" w:lastColumn="0" w:noHBand="0" w:noVBand="1"/>
      </w:tblPr>
      <w:tblGrid>
        <w:gridCol w:w="2767"/>
        <w:gridCol w:w="788"/>
        <w:gridCol w:w="642"/>
        <w:gridCol w:w="972"/>
        <w:gridCol w:w="762"/>
        <w:gridCol w:w="742"/>
        <w:gridCol w:w="613"/>
      </w:tblGrid>
      <w:tr w:rsidR="00DE659D" w:rsidRPr="00DE659D" w14:paraId="220A46AE" w14:textId="77777777" w:rsidTr="00903E4A">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3479" w:type="dxa"/>
          </w:tcPr>
          <w:p w14:paraId="5F8D5B7F" w14:textId="77777777" w:rsidR="00DE659D" w:rsidRPr="00DE659D" w:rsidRDefault="00DE659D" w:rsidP="00903E4A">
            <w:pPr>
              <w:spacing w:after="160"/>
              <w:ind w:firstLine="0"/>
              <w:rPr>
                <w:noProof/>
                <w:color w:val="000000" w:themeColor="text1"/>
                <w:lang w:eastAsia="fr-BE"/>
              </w:rPr>
            </w:pPr>
          </w:p>
        </w:tc>
        <w:tc>
          <w:tcPr>
            <w:tcW w:w="566" w:type="dxa"/>
          </w:tcPr>
          <w:p w14:paraId="4CFC12D8"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HDI </w:t>
            </w:r>
          </w:p>
        </w:tc>
        <w:tc>
          <w:tcPr>
            <w:tcW w:w="502" w:type="dxa"/>
          </w:tcPr>
          <w:p w14:paraId="7D6BBE09"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SPI </w:t>
            </w:r>
          </w:p>
        </w:tc>
        <w:tc>
          <w:tcPr>
            <w:tcW w:w="709" w:type="dxa"/>
          </w:tcPr>
          <w:p w14:paraId="296649BF"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GWBI </w:t>
            </w:r>
          </w:p>
        </w:tc>
        <w:tc>
          <w:tcPr>
            <w:tcW w:w="567" w:type="dxa"/>
          </w:tcPr>
          <w:p w14:paraId="5427DC35"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QoL </w:t>
            </w:r>
          </w:p>
        </w:tc>
        <w:tc>
          <w:tcPr>
            <w:tcW w:w="545" w:type="dxa"/>
          </w:tcPr>
          <w:p w14:paraId="1837C375"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HPI </w:t>
            </w:r>
          </w:p>
        </w:tc>
        <w:tc>
          <w:tcPr>
            <w:tcW w:w="477" w:type="dxa"/>
          </w:tcPr>
          <w:p w14:paraId="2E52300E" w14:textId="77777777" w:rsidR="00DE659D" w:rsidRPr="00DE659D" w:rsidRDefault="00DE659D" w:rsidP="00903E4A">
            <w:pPr>
              <w:spacing w:after="160"/>
              <w:ind w:firstLine="0"/>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 xml:space="preserve">SSI </w:t>
            </w:r>
          </w:p>
        </w:tc>
      </w:tr>
      <w:tr w:rsidR="00DE659D" w:rsidRPr="00DE659D" w14:paraId="50A189C5"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7F464086"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States</w:t>
            </w:r>
          </w:p>
        </w:tc>
        <w:tc>
          <w:tcPr>
            <w:tcW w:w="566" w:type="dxa"/>
          </w:tcPr>
          <w:p w14:paraId="4526412D"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02" w:type="dxa"/>
          </w:tcPr>
          <w:p w14:paraId="679F35C9"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709" w:type="dxa"/>
          </w:tcPr>
          <w:p w14:paraId="61DF4313"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4D1D0EB0"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6EC94728"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3ABBC5D7"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r w:rsidR="00DE659D" w:rsidRPr="00DE659D" w14:paraId="3DD3CEFC"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602F1B0A"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Multinational corporations</w:t>
            </w:r>
          </w:p>
        </w:tc>
        <w:tc>
          <w:tcPr>
            <w:tcW w:w="566" w:type="dxa"/>
          </w:tcPr>
          <w:p w14:paraId="0A2D2B9F"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02" w:type="dxa"/>
          </w:tcPr>
          <w:p w14:paraId="01EF3634"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w:t>
            </w:r>
          </w:p>
        </w:tc>
        <w:tc>
          <w:tcPr>
            <w:tcW w:w="709" w:type="dxa"/>
          </w:tcPr>
          <w:p w14:paraId="50FF0849"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62EDB67B"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547E74FC"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125ABB65"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r w:rsidR="00DE659D" w:rsidRPr="00DE659D" w14:paraId="29F4EA44"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01B8635B"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International institutions</w:t>
            </w:r>
          </w:p>
        </w:tc>
        <w:tc>
          <w:tcPr>
            <w:tcW w:w="566" w:type="dxa"/>
          </w:tcPr>
          <w:p w14:paraId="19C84A51"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w:t>
            </w:r>
          </w:p>
        </w:tc>
        <w:tc>
          <w:tcPr>
            <w:tcW w:w="502" w:type="dxa"/>
          </w:tcPr>
          <w:p w14:paraId="33D7B801"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709" w:type="dxa"/>
          </w:tcPr>
          <w:p w14:paraId="75BAE024"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1D35C6DB"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331A8A1D"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1C314A1D"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r w:rsidR="00DE659D" w:rsidRPr="00DE659D" w14:paraId="53CFFA4A"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33CC013B"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Large NGOs</w:t>
            </w:r>
          </w:p>
        </w:tc>
        <w:tc>
          <w:tcPr>
            <w:tcW w:w="566" w:type="dxa"/>
          </w:tcPr>
          <w:p w14:paraId="3457F5B2"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02" w:type="dxa"/>
          </w:tcPr>
          <w:p w14:paraId="2D798F86"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w:t>
            </w:r>
          </w:p>
        </w:tc>
        <w:tc>
          <w:tcPr>
            <w:tcW w:w="709" w:type="dxa"/>
          </w:tcPr>
          <w:p w14:paraId="2B83C3B3"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78F77075"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47A22ED1"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33EADA93"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r w:rsidR="00DE659D" w:rsidRPr="00DE659D" w14:paraId="744B402C"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6CC1CE42"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World class scholars</w:t>
            </w:r>
          </w:p>
        </w:tc>
        <w:tc>
          <w:tcPr>
            <w:tcW w:w="566" w:type="dxa"/>
          </w:tcPr>
          <w:p w14:paraId="6212B0F6"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w:t>
            </w:r>
          </w:p>
        </w:tc>
        <w:tc>
          <w:tcPr>
            <w:tcW w:w="502" w:type="dxa"/>
          </w:tcPr>
          <w:p w14:paraId="021BB84B"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w:t>
            </w:r>
          </w:p>
        </w:tc>
        <w:tc>
          <w:tcPr>
            <w:tcW w:w="709" w:type="dxa"/>
          </w:tcPr>
          <w:p w14:paraId="7C79D070"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683E458F"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37FF6CDF"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5D006C65"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r w:rsidR="00DE659D" w:rsidRPr="00DE659D" w14:paraId="6A995012" w14:textId="77777777" w:rsidTr="00903E4A">
        <w:trPr>
          <w:trHeight w:val="288"/>
        </w:trPr>
        <w:tc>
          <w:tcPr>
            <w:cnfStyle w:val="001000000000" w:firstRow="0" w:lastRow="0" w:firstColumn="1" w:lastColumn="0" w:oddVBand="0" w:evenVBand="0" w:oddHBand="0" w:evenHBand="0" w:firstRowFirstColumn="0" w:firstRowLastColumn="0" w:lastRowFirstColumn="0" w:lastRowLastColumn="0"/>
            <w:tcW w:w="3479" w:type="dxa"/>
          </w:tcPr>
          <w:p w14:paraId="05E9BDE4" w14:textId="77777777" w:rsidR="00DE659D" w:rsidRPr="00DE659D" w:rsidRDefault="00DE659D" w:rsidP="00903E4A">
            <w:pPr>
              <w:spacing w:after="160"/>
              <w:ind w:firstLine="0"/>
              <w:rPr>
                <w:noProof/>
                <w:color w:val="000000" w:themeColor="text1"/>
                <w:lang w:eastAsia="fr-BE"/>
              </w:rPr>
            </w:pPr>
            <w:r w:rsidRPr="00DE659D">
              <w:rPr>
                <w:noProof/>
                <w:color w:val="000000" w:themeColor="text1"/>
                <w:lang w:eastAsia="fr-BE"/>
              </w:rPr>
              <w:t>Global media</w:t>
            </w:r>
          </w:p>
        </w:tc>
        <w:tc>
          <w:tcPr>
            <w:tcW w:w="566" w:type="dxa"/>
          </w:tcPr>
          <w:p w14:paraId="73268880"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02" w:type="dxa"/>
          </w:tcPr>
          <w:p w14:paraId="284F8AF1"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709" w:type="dxa"/>
          </w:tcPr>
          <w:p w14:paraId="0E91FD85"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67" w:type="dxa"/>
          </w:tcPr>
          <w:p w14:paraId="11B7931D"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545" w:type="dxa"/>
          </w:tcPr>
          <w:p w14:paraId="4A937110"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477" w:type="dxa"/>
          </w:tcPr>
          <w:p w14:paraId="15654F21" w14:textId="77777777" w:rsidR="00DE659D" w:rsidRPr="00DE659D" w:rsidRDefault="00DE659D" w:rsidP="00903E4A">
            <w:pPr>
              <w:spacing w:after="160"/>
              <w:ind w:firstLine="0"/>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r>
    </w:tbl>
    <w:p w14:paraId="16A1AD64" w14:textId="77777777" w:rsidR="00DE659D" w:rsidRPr="00DE659D" w:rsidRDefault="00DE659D" w:rsidP="00DE659D">
      <w:pPr>
        <w:rPr>
          <w:noProof/>
          <w:color w:val="000000" w:themeColor="text1"/>
          <w:lang w:eastAsia="fr-BE"/>
        </w:rPr>
      </w:pPr>
    </w:p>
    <w:p w14:paraId="5385898D" w14:textId="77777777" w:rsidR="00DE659D" w:rsidRPr="00DE659D" w:rsidRDefault="00DE659D" w:rsidP="00DE659D">
      <w:pPr>
        <w:rPr>
          <w:noProof/>
          <w:color w:val="000000" w:themeColor="text1"/>
          <w:lang w:eastAsia="fr-BE"/>
        </w:rPr>
      </w:pPr>
      <w:r w:rsidRPr="00DE659D">
        <w:rPr>
          <w:noProof/>
          <w:color w:val="000000" w:themeColor="text1"/>
          <w:lang w:eastAsia="fr-BE"/>
        </w:rPr>
        <w:t>The HDI was initiated by leading academics (</w:t>
      </w:r>
      <w:r w:rsidRPr="00DE659D">
        <w:rPr>
          <w:noProof/>
          <w:color w:val="000000" w:themeColor="text1"/>
          <w:lang w:val="en-US" w:eastAsia="fr-BE"/>
        </w:rPr>
        <w:t xml:space="preserve">Mahbud ul Haq, </w:t>
      </w:r>
      <w:r w:rsidRPr="00DE659D">
        <w:rPr>
          <w:noProof/>
          <w:color w:val="000000" w:themeColor="text1"/>
          <w:lang w:eastAsia="fr-BE"/>
        </w:rPr>
        <w:t>Amartya Sen,</w:t>
      </w:r>
      <w:r w:rsidRPr="00DE659D">
        <w:rPr>
          <w:noProof/>
          <w:color w:val="000000" w:themeColor="text1"/>
          <w:lang w:val="hu-HU" w:eastAsia="fr-BE"/>
        </w:rPr>
        <w:t xml:space="preserve"> Meghnad Desai and others)</w:t>
      </w:r>
      <w:r w:rsidRPr="00DE659D">
        <w:rPr>
          <w:noProof/>
          <w:color w:val="000000" w:themeColor="text1"/>
          <w:lang w:eastAsia="fr-BE"/>
        </w:rPr>
        <w:t xml:space="preserve"> under the auspices of the UN (UNDP) (Haq, 1995). The combination of prestigious scholars</w:t>
      </w:r>
      <w:r w:rsidRPr="00DE659D">
        <w:rPr>
          <w:noProof/>
          <w:color w:val="000000" w:themeColor="text1"/>
          <w:vertAlign w:val="superscript"/>
          <w:lang w:val="hu-HU" w:eastAsia="fr-BE"/>
        </w:rPr>
        <w:footnoteReference w:id="27"/>
      </w:r>
      <w:r w:rsidRPr="00DE659D">
        <w:rPr>
          <w:noProof/>
          <w:color w:val="000000" w:themeColor="text1"/>
          <w:lang w:eastAsia="fr-BE"/>
        </w:rPr>
        <w:t>, among them a winner of Sweden’s central bank prize in memory of Alfred Nobel, and an important international institution have given it large symbolic power. The SPI was developed by the Social Progress Imperative, a coalition based in Washington DC bringing together large private companies (the world’s largest auditing and consulting group Deloitte; the American multinational technology conglomerate Cisco, the largest microfinance bank in Latin America Compartamos Banco,…) or large foundations (Rockefeller Foundation, Skoll Foundation, Avina Foundation…) as well as academics from among the most prestigious universities (including Harvard, MIT, and Oxford</w:t>
      </w:r>
      <w:r w:rsidRPr="00DE659D">
        <w:rPr>
          <w:noProof/>
          <w:color w:val="000000" w:themeColor="text1"/>
          <w:vertAlign w:val="superscript"/>
          <w:lang w:eastAsia="fr-BE"/>
        </w:rPr>
        <w:footnoteReference w:id="28"/>
      </w:r>
      <w:r w:rsidRPr="00DE659D">
        <w:rPr>
          <w:noProof/>
          <w:color w:val="000000" w:themeColor="text1"/>
          <w:lang w:eastAsia="fr-BE"/>
        </w:rPr>
        <w:t xml:space="preserve">). To refer to our criterion, these companies and foundations, except Compartamos Banco, have been operating in more than 20 countries. Presidents or top executives of </w:t>
      </w:r>
      <w:r w:rsidRPr="00DE659D">
        <w:rPr>
          <w:noProof/>
          <w:color w:val="000000" w:themeColor="text1"/>
          <w:lang w:eastAsia="fr-BE"/>
        </w:rPr>
        <w:lastRenderedPageBreak/>
        <w:t xml:space="preserve">most of them were members of one of the two boards of the Social Progress Imperative (Porter </w:t>
      </w:r>
      <w:r w:rsidRPr="00DE659D">
        <w:rPr>
          <w:i/>
          <w:noProof/>
          <w:color w:val="000000" w:themeColor="text1"/>
          <w:lang w:eastAsia="fr-BE"/>
        </w:rPr>
        <w:t>et al.</w:t>
      </w:r>
      <w:r w:rsidRPr="00DE659D">
        <w:rPr>
          <w:noProof/>
          <w:color w:val="000000" w:themeColor="text1"/>
          <w:lang w:eastAsia="fr-BE"/>
        </w:rPr>
        <w:t>, 2013). SPI developers also collaborated with the European Commission, as well as with governments, municipalities, and more than 200 local associations across a number of continents, in order to develop regional or local versions of the index (which are not analysed in this paper). SPI initiators thus hold significant symbolic power thanks to their expertise as well as financial means. The coalition and the network responsible for the SPI can be qualified as powerful.</w:t>
      </w:r>
    </w:p>
    <w:p w14:paraId="44FAD737"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GWBI and QoL are both products of academia, of the American University of Beirut and Baylor University, respectively. These universities rank between 501-600 and 601-800th in the Times Higher Education Ranking. The last two indicators (the HPI and the SSI) were produced by think tanks rather than the academy. They were developed by the New Economic Foundation (United Kingdom) and the Sustainable Society Foundation (Netherlands), respectively, both foundations active in their home country. These four indicators were all developed without high-profile participation from international institutions, policy actors, or highly prestigious universities. Their developers’ means are limited and their scope is local. They will be considered as initiated by non-powerful stakeholders. </w:t>
      </w:r>
    </w:p>
    <w:p w14:paraId="661F2F85" w14:textId="77777777" w:rsidR="00DE659D" w:rsidRPr="00DE659D" w:rsidRDefault="00DE659D" w:rsidP="00DE659D">
      <w:pPr>
        <w:rPr>
          <w:noProof/>
          <w:color w:val="000000" w:themeColor="text1"/>
          <w:lang w:eastAsia="fr-BE"/>
        </w:rPr>
      </w:pPr>
      <w:r w:rsidRPr="00DE659D">
        <w:rPr>
          <w:noProof/>
          <w:color w:val="000000" w:themeColor="text1"/>
          <w:lang w:eastAsia="fr-BE"/>
        </w:rPr>
        <w:t>Two indicators (HDI, SPI) can thus be considered as being initiated by powerful stakeholders, while the others (GWBU, QoL, HDI, SSI) are initiated by stakeholders that are considered non-powerful. The potential of these indicators to change frameworks of action or narratives will now be evaluated and considered in relation to the stakeholders who played a role in their development.</w:t>
      </w:r>
    </w:p>
    <w:p w14:paraId="556EF9A6" w14:textId="22B043FC" w:rsidR="00DE659D" w:rsidRPr="00DE659D" w:rsidRDefault="00DE659D" w:rsidP="00CE7357">
      <w:pPr>
        <w:pStyle w:val="Titre2"/>
        <w:rPr>
          <w:noProof/>
          <w:lang w:val="en-US" w:eastAsia="fr-BE"/>
        </w:rPr>
      </w:pPr>
      <w:bookmarkStart w:id="80" w:name="_Toc51512304"/>
      <w:r w:rsidRPr="00DE659D">
        <w:rPr>
          <w:noProof/>
          <w:lang w:val="en-US" w:eastAsia="fr-BE"/>
        </w:rPr>
        <w:t>Evaluation of transformative potential</w:t>
      </w:r>
      <w:bookmarkEnd w:id="80"/>
    </w:p>
    <w:p w14:paraId="1D6C4A92" w14:textId="7DC4A880" w:rsidR="00DE659D" w:rsidRPr="00DE659D" w:rsidRDefault="00DE659D" w:rsidP="00CE7357">
      <w:pPr>
        <w:pStyle w:val="Titre3"/>
        <w:rPr>
          <w:noProof/>
          <w:lang w:eastAsia="fr-BE"/>
        </w:rPr>
      </w:pPr>
      <w:bookmarkStart w:id="81" w:name="_Toc51512305"/>
      <w:r w:rsidRPr="00DE659D">
        <w:rPr>
          <w:noProof/>
          <w:lang w:eastAsia="fr-BE"/>
        </w:rPr>
        <w:t>Methodology</w:t>
      </w:r>
      <w:bookmarkEnd w:id="81"/>
    </w:p>
    <w:p w14:paraId="5E7580C7"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term transformative potential has been proposed here in a limited sense, to refer to the indicators’ theoretical capacity to show other representations of societies than those that have resulted from GDP. This is considered as a pre-condition for influencing </w:t>
      </w:r>
      <w:r w:rsidRPr="00DE659D">
        <w:rPr>
          <w:noProof/>
          <w:color w:val="000000" w:themeColor="text1"/>
          <w:lang w:eastAsia="fr-BE"/>
        </w:rPr>
        <w:lastRenderedPageBreak/>
        <w:t xml:space="preserve">frameworks of action or narratives, and thus contributing to social change. </w:t>
      </w:r>
    </w:p>
    <w:p w14:paraId="5CDA45E8"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 first way of measuring transformative potential is quantitative and consists of comparing the ranking of countries according </w:t>
      </w:r>
      <w:r w:rsidRPr="00DE659D">
        <w:rPr>
          <w:noProof/>
          <w:color w:val="000000" w:themeColor="text1"/>
          <w:lang w:val="hu-HU" w:eastAsia="fr-BE"/>
        </w:rPr>
        <w:t>to GDP on one side and Beyond GDP indicators on the other</w:t>
      </w:r>
      <w:r w:rsidRPr="00DE659D">
        <w:rPr>
          <w:noProof/>
          <w:color w:val="000000" w:themeColor="text1"/>
          <w:lang w:eastAsia="fr-BE"/>
        </w:rPr>
        <w:t xml:space="preserve">. This comparison is justified by the fact that many Beyond GDP indicators are used as benchmarking tools between countries, with the aim, inspired by New Public Management, of steering performance (Desrosières, 2012; Salais 2010). Because of this, the relative position that the indicators attribute to each country is of upmost importance. In accordance with this way of conceiving transformative potential, an indicator will be considered as having that much more transformative potential the larger the disparity between its results and those resulting from GDP. If the results produced </w:t>
      </w:r>
      <w:r w:rsidRPr="00DE659D">
        <w:rPr>
          <w:noProof/>
          <w:color w:val="000000" w:themeColor="text1"/>
          <w:lang w:val="hu-HU" w:eastAsia="fr-BE"/>
        </w:rPr>
        <w:t>by an indicator are very close or identical to those produced by GDP</w:t>
      </w:r>
      <w:r w:rsidRPr="00DE659D">
        <w:rPr>
          <w:noProof/>
          <w:color w:val="000000" w:themeColor="text1"/>
          <w:lang w:eastAsia="fr-BE"/>
        </w:rPr>
        <w:t xml:space="preserve">, the transformative potential of the indicator will be considered to be very weak or nil. Hence, the focus is on the </w:t>
      </w:r>
      <w:r w:rsidRPr="00DE659D">
        <w:rPr>
          <w:i/>
          <w:noProof/>
          <w:color w:val="000000" w:themeColor="text1"/>
          <w:lang w:eastAsia="fr-BE"/>
        </w:rPr>
        <w:t>controversy</w:t>
      </w:r>
      <w:r w:rsidRPr="00DE659D">
        <w:rPr>
          <w:noProof/>
          <w:color w:val="000000" w:themeColor="text1"/>
          <w:lang w:eastAsia="fr-BE"/>
        </w:rPr>
        <w:t xml:space="preserve"> dimension of indicators. </w:t>
      </w:r>
    </w:p>
    <w:p w14:paraId="3CB8B989"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As stated above, this is only one possible way to measure transformative potential. Another way would </w:t>
      </w:r>
      <w:r w:rsidRPr="00DE659D">
        <w:rPr>
          <w:noProof/>
          <w:color w:val="000000" w:themeColor="text1"/>
          <w:lang w:val="en-US" w:eastAsia="fr-BE"/>
        </w:rPr>
        <w:t xml:space="preserve">be to run a qualitative </w:t>
      </w:r>
      <w:r w:rsidRPr="00DE659D">
        <w:rPr>
          <w:noProof/>
          <w:color w:val="000000" w:themeColor="text1"/>
          <w:lang w:eastAsia="fr-BE"/>
        </w:rPr>
        <w:t>investigation of the effective change in actors’ interpretations and actions (</w:t>
      </w:r>
      <w:r w:rsidRPr="00DE659D">
        <w:rPr>
          <w:i/>
          <w:noProof/>
          <w:color w:val="000000" w:themeColor="text1"/>
          <w:lang w:eastAsia="fr-BE"/>
        </w:rPr>
        <w:t>e.g.</w:t>
      </w:r>
      <w:r w:rsidRPr="00DE659D">
        <w:rPr>
          <w:noProof/>
          <w:color w:val="000000" w:themeColor="text1"/>
          <w:lang w:eastAsia="fr-BE"/>
        </w:rPr>
        <w:t xml:space="preserve"> Sebastien and Bauler, 2013)</w:t>
      </w:r>
      <w:r w:rsidRPr="00DE659D">
        <w:rPr>
          <w:noProof/>
          <w:color w:val="000000" w:themeColor="text1"/>
          <w:lang w:val="en-US" w:eastAsia="fr-BE"/>
        </w:rPr>
        <w:t xml:space="preserve">. A third way would add an ethical perspective to this empirical analysis: is the precise transformation desirable and for whom? This paper is limited to quantitative analysis, studying if an indicator shows a differing reality to the one showed by GDP. This approach is well suited for our focus, which is inter-indicator comparison. However, as it is indicator-based rather than actor-based, the approach cannot assess final changes in interpretations or actions (the transformative potential at work). We can only proxy these changes in terms of likelihood: all other factors equal, </w:t>
      </w:r>
      <w:r w:rsidRPr="00DE659D">
        <w:rPr>
          <w:noProof/>
          <w:color w:val="000000" w:themeColor="text1"/>
          <w:lang w:eastAsia="fr-BE"/>
        </w:rPr>
        <w:t xml:space="preserve">there is a higher likelihood to foster </w:t>
      </w:r>
      <w:r w:rsidRPr="00DE659D">
        <w:rPr>
          <w:noProof/>
          <w:color w:val="000000" w:themeColor="text1"/>
          <w:lang w:val="en-US" w:eastAsia="fr-BE"/>
        </w:rPr>
        <w:t>changes in interpretations or actions</w:t>
      </w:r>
      <w:r w:rsidRPr="00DE659D">
        <w:rPr>
          <w:noProof/>
          <w:color w:val="000000" w:themeColor="text1"/>
          <w:lang w:eastAsia="fr-BE"/>
        </w:rPr>
        <w:t xml:space="preserve"> if </w:t>
      </w:r>
      <w:r w:rsidRPr="00DE659D">
        <w:rPr>
          <w:noProof/>
          <w:color w:val="000000" w:themeColor="text1"/>
          <w:lang w:val="en-US" w:eastAsia="fr-BE"/>
        </w:rPr>
        <w:t xml:space="preserve">an indicator produces divergent rankings (of countries) from GDP. </w:t>
      </w:r>
      <w:r w:rsidRPr="00DE659D">
        <w:rPr>
          <w:noProof/>
          <w:color w:val="000000" w:themeColor="text1"/>
          <w:lang w:eastAsia="fr-BE"/>
        </w:rPr>
        <w:t xml:space="preserve">The divergence in rankings resulting from GDP and Beyond GDP indicators has thus been regarded as a reasonable proxy for transformative potential, </w:t>
      </w:r>
      <w:r w:rsidRPr="00DE659D">
        <w:rPr>
          <w:noProof/>
          <w:color w:val="000000" w:themeColor="text1"/>
          <w:lang w:eastAsia="fr-BE"/>
        </w:rPr>
        <w:lastRenderedPageBreak/>
        <w:t>bearing in mind that it is a necessary condition for it, but not a sufficient one.</w:t>
      </w:r>
    </w:p>
    <w:p w14:paraId="7F7C6E03" w14:textId="2ECB0EFC" w:rsidR="00DE659D" w:rsidRPr="00DE659D" w:rsidRDefault="00DE659D" w:rsidP="00955A5B">
      <w:pPr>
        <w:rPr>
          <w:noProof/>
          <w:color w:val="000000" w:themeColor="text1"/>
          <w:lang w:eastAsia="fr-BE"/>
        </w:rPr>
      </w:pPr>
      <w:r w:rsidRPr="00DE659D">
        <w:rPr>
          <w:noProof/>
          <w:color w:val="000000" w:themeColor="text1"/>
          <w:lang w:eastAsia="fr-BE"/>
        </w:rPr>
        <w:t xml:space="preserve">The metric has been applied to the different indicators in two stages. First, the disparity </w:t>
      </w:r>
      <w:r w:rsidRPr="00DE659D">
        <w:rPr>
          <w:noProof/>
          <w:color w:val="000000" w:themeColor="text1"/>
          <w:lang w:val="en-US" w:eastAsia="fr-BE"/>
        </w:rPr>
        <w:t>between</w:t>
      </w:r>
      <w:r w:rsidRPr="00DE659D">
        <w:rPr>
          <w:noProof/>
          <w:color w:val="000000" w:themeColor="text1"/>
          <w:lang w:eastAsia="fr-BE"/>
        </w:rPr>
        <w:t xml:space="preserve"> the rankings produced by GDP and each of the six indicators has been observed by calculating correlation coefficients. The analysis has then been repeated with the countries grouped by type in order to test whether the correlations are preserved.</w:t>
      </w:r>
    </w:p>
    <w:p w14:paraId="63956B63" w14:textId="65219E47" w:rsidR="00DE659D" w:rsidRPr="00DE659D" w:rsidRDefault="00DE659D" w:rsidP="00CE7357">
      <w:pPr>
        <w:pStyle w:val="Titre3"/>
        <w:rPr>
          <w:noProof/>
          <w:lang w:eastAsia="fr-BE"/>
        </w:rPr>
      </w:pPr>
      <w:bookmarkStart w:id="82" w:name="_Toc51512306"/>
      <w:r w:rsidRPr="00DE659D">
        <w:rPr>
          <w:noProof/>
          <w:lang w:eastAsia="fr-BE"/>
        </w:rPr>
        <w:t>Survey of indicators’ rankings</w:t>
      </w:r>
      <w:bookmarkEnd w:id="82"/>
    </w:p>
    <w:p w14:paraId="7645B05E" w14:textId="77777777" w:rsidR="00DE659D" w:rsidRPr="00DE659D" w:rsidRDefault="00DE659D" w:rsidP="00DE659D">
      <w:pPr>
        <w:rPr>
          <w:noProof/>
          <w:color w:val="000000" w:themeColor="text1"/>
          <w:lang w:eastAsia="fr-BE"/>
        </w:rPr>
      </w:pPr>
      <w:r w:rsidRPr="00DE659D">
        <w:rPr>
          <w:noProof/>
          <w:color w:val="000000" w:themeColor="text1"/>
          <w:lang w:eastAsia="fr-BE"/>
        </w:rPr>
        <w:t>Table 3</w:t>
      </w:r>
      <w:r w:rsidRPr="00DE659D">
        <w:rPr>
          <w:b/>
          <w:noProof/>
          <w:color w:val="000000" w:themeColor="text1"/>
          <w:lang w:eastAsia="fr-BE"/>
        </w:rPr>
        <w:t xml:space="preserve"> </w:t>
      </w:r>
      <w:r w:rsidRPr="00DE659D">
        <w:rPr>
          <w:noProof/>
          <w:color w:val="000000" w:themeColor="text1"/>
          <w:lang w:eastAsia="fr-BE"/>
        </w:rPr>
        <w:t>shows the Top and Bottom 10 for per capita GDP, as well as the shift in rank produced by the six Beyond GDP indicators under consideration: the Human Development Index (HDI), the Social Progress Index (SPI), the Global Well-Being Index (GWBI), Quality of Life (QoL), the Happy Planet Index (HPI), and the Sustainable Society Index (SSI). Data presented in this table and the following ones are based on the same sources as in table 1</w:t>
      </w:r>
      <w:r w:rsidRPr="00DE659D">
        <w:rPr>
          <w:noProof/>
          <w:color w:val="000000" w:themeColor="text1"/>
          <w:vertAlign w:val="superscript"/>
          <w:lang w:eastAsia="fr-BE"/>
        </w:rPr>
        <w:footnoteReference w:id="29"/>
      </w:r>
      <w:r w:rsidRPr="00DE659D">
        <w:rPr>
          <w:noProof/>
          <w:color w:val="000000" w:themeColor="text1"/>
          <w:lang w:eastAsia="fr-BE"/>
        </w:rPr>
        <w:t xml:space="preserve">. </w:t>
      </w:r>
    </w:p>
    <w:p w14:paraId="1E761035" w14:textId="77777777" w:rsidR="00DE659D" w:rsidRPr="00DE659D" w:rsidRDefault="00DE659D" w:rsidP="00DE659D">
      <w:pPr>
        <w:rPr>
          <w:b/>
          <w:noProof/>
          <w:color w:val="000000" w:themeColor="text1"/>
          <w:lang w:eastAsia="fr-BE"/>
        </w:rPr>
      </w:pPr>
      <w:r w:rsidRPr="00DE659D">
        <w:rPr>
          <w:b/>
          <w:noProof/>
          <w:color w:val="000000" w:themeColor="text1"/>
          <w:lang w:eastAsia="fr-BE"/>
        </w:rPr>
        <w:br w:type="page"/>
      </w:r>
    </w:p>
    <w:p w14:paraId="32587FF8" w14:textId="77777777" w:rsidR="00DE659D" w:rsidRPr="00955A5B" w:rsidRDefault="00DE659D" w:rsidP="00DE659D">
      <w:pPr>
        <w:rPr>
          <w:noProof/>
          <w:color w:val="000000" w:themeColor="text1"/>
          <w:lang w:eastAsia="fr-BE"/>
        </w:rPr>
      </w:pPr>
      <w:r w:rsidRPr="00955A5B">
        <w:rPr>
          <w:noProof/>
          <w:color w:val="000000" w:themeColor="text1"/>
          <w:lang w:eastAsia="fr-BE"/>
        </w:rPr>
        <w:lastRenderedPageBreak/>
        <w:t>Table 3: Top 10 and Bottom 10 of countries according to GDP per capita and their rank’s change according to six Beyond GDP indicators</w:t>
      </w:r>
    </w:p>
    <w:tbl>
      <w:tblPr>
        <w:tblStyle w:val="TableauGrille1Clair-Accentuation31"/>
        <w:tblW w:w="5000" w:type="pct"/>
        <w:jc w:val="center"/>
        <w:tblLook w:val="04A0" w:firstRow="1" w:lastRow="0" w:firstColumn="1" w:lastColumn="0" w:noHBand="0" w:noVBand="1"/>
      </w:tblPr>
      <w:tblGrid>
        <w:gridCol w:w="675"/>
        <w:gridCol w:w="1292"/>
        <w:gridCol w:w="675"/>
        <w:gridCol w:w="674"/>
        <w:gridCol w:w="674"/>
        <w:gridCol w:w="674"/>
        <w:gridCol w:w="674"/>
        <w:gridCol w:w="674"/>
        <w:gridCol w:w="674"/>
        <w:gridCol w:w="674"/>
      </w:tblGrid>
      <w:tr w:rsidR="00DE659D" w:rsidRPr="00955A5B" w14:paraId="657B090B" w14:textId="77777777" w:rsidTr="00955A5B">
        <w:trPr>
          <w:cnfStyle w:val="100000000000" w:firstRow="1" w:lastRow="0" w:firstColumn="0" w:lastColumn="0" w:oddVBand="0" w:evenVBand="0" w:oddHBand="0" w:evenHBand="0" w:firstRowFirstColumn="0" w:firstRowLastColumn="0" w:lastRowFirstColumn="0" w:lastRowLastColumn="0"/>
          <w:cantSplit/>
          <w:trHeight w:val="2139"/>
          <w:jc w:val="center"/>
        </w:trPr>
        <w:tc>
          <w:tcPr>
            <w:cnfStyle w:val="001000000000" w:firstRow="0" w:lastRow="0" w:firstColumn="1" w:lastColumn="0" w:oddVBand="0" w:evenVBand="0" w:oddHBand="0" w:evenHBand="0" w:firstRowFirstColumn="0" w:firstRowLastColumn="0" w:lastRowFirstColumn="0" w:lastRowLastColumn="0"/>
            <w:tcW w:w="459" w:type="pct"/>
            <w:textDirection w:val="btLr"/>
            <w:vAlign w:val="center"/>
          </w:tcPr>
          <w:p w14:paraId="08322836" w14:textId="77777777" w:rsidR="00DE659D" w:rsidRPr="00955A5B" w:rsidRDefault="00DE659D" w:rsidP="00955A5B">
            <w:pPr>
              <w:spacing w:after="160"/>
              <w:ind w:left="113" w:right="113" w:firstLine="0"/>
              <w:rPr>
                <w:i/>
                <w:noProof/>
                <w:color w:val="000000" w:themeColor="text1"/>
                <w:sz w:val="24"/>
                <w:lang w:eastAsia="fr-BE"/>
              </w:rPr>
            </w:pPr>
            <w:r w:rsidRPr="00955A5B">
              <w:rPr>
                <w:i/>
                <w:noProof/>
                <w:color w:val="000000" w:themeColor="text1"/>
                <w:sz w:val="24"/>
                <w:lang w:eastAsia="fr-BE"/>
              </w:rPr>
              <w:t>Ranking</w:t>
            </w:r>
          </w:p>
        </w:tc>
        <w:tc>
          <w:tcPr>
            <w:tcW w:w="878" w:type="pct"/>
            <w:textDirection w:val="btLr"/>
            <w:vAlign w:val="center"/>
          </w:tcPr>
          <w:p w14:paraId="073D4E4D"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GDP</w:t>
            </w:r>
          </w:p>
        </w:tc>
        <w:tc>
          <w:tcPr>
            <w:tcW w:w="459" w:type="pct"/>
            <w:textDirection w:val="btLr"/>
            <w:vAlign w:val="center"/>
          </w:tcPr>
          <w:p w14:paraId="55F199AB"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HDI</w:t>
            </w:r>
          </w:p>
        </w:tc>
        <w:tc>
          <w:tcPr>
            <w:tcW w:w="458" w:type="pct"/>
            <w:textDirection w:val="btLr"/>
            <w:vAlign w:val="center"/>
          </w:tcPr>
          <w:p w14:paraId="30A109B7"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SPI</w:t>
            </w:r>
          </w:p>
        </w:tc>
        <w:tc>
          <w:tcPr>
            <w:tcW w:w="458" w:type="pct"/>
            <w:textDirection w:val="btLr"/>
            <w:vAlign w:val="center"/>
          </w:tcPr>
          <w:p w14:paraId="2CFE8E18"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GWBI</w:t>
            </w:r>
          </w:p>
        </w:tc>
        <w:tc>
          <w:tcPr>
            <w:tcW w:w="458" w:type="pct"/>
            <w:textDirection w:val="btLr"/>
            <w:vAlign w:val="center"/>
          </w:tcPr>
          <w:p w14:paraId="3C9DF5AD"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QoL</w:t>
            </w:r>
          </w:p>
        </w:tc>
        <w:tc>
          <w:tcPr>
            <w:tcW w:w="458" w:type="pct"/>
            <w:textDirection w:val="btLr"/>
            <w:vAlign w:val="center"/>
          </w:tcPr>
          <w:p w14:paraId="12E6C837"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HPI</w:t>
            </w:r>
          </w:p>
        </w:tc>
        <w:tc>
          <w:tcPr>
            <w:tcW w:w="458" w:type="pct"/>
            <w:textDirection w:val="btLr"/>
            <w:vAlign w:val="center"/>
          </w:tcPr>
          <w:p w14:paraId="3A9B9BB4"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SSI</w:t>
            </w:r>
          </w:p>
        </w:tc>
        <w:tc>
          <w:tcPr>
            <w:tcW w:w="458" w:type="pct"/>
            <w:textDirection w:val="btLr"/>
            <w:vAlign w:val="center"/>
          </w:tcPr>
          <w:p w14:paraId="7EB12B4B"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Mean divergence by country</w:t>
            </w:r>
            <w:r w:rsidRPr="00955A5B">
              <w:rPr>
                <w:i/>
                <w:noProof/>
                <w:color w:val="000000" w:themeColor="text1"/>
                <w:sz w:val="24"/>
                <w:vertAlign w:val="superscript"/>
                <w:lang w:eastAsia="fr-BE"/>
              </w:rPr>
              <w:footnoteReference w:id="30"/>
            </w:r>
          </w:p>
        </w:tc>
        <w:tc>
          <w:tcPr>
            <w:tcW w:w="458" w:type="pct"/>
            <w:textDirection w:val="btLr"/>
            <w:vAlign w:val="center"/>
          </w:tcPr>
          <w:p w14:paraId="6DD6D374" w14:textId="77777777" w:rsidR="00DE659D" w:rsidRPr="00955A5B" w:rsidRDefault="00DE659D" w:rsidP="00955A5B">
            <w:pPr>
              <w:spacing w:after="160"/>
              <w:ind w:left="113" w:right="113" w:firstLine="0"/>
              <w:cnfStyle w:val="100000000000" w:firstRow="1" w:lastRow="0" w:firstColumn="0" w:lastColumn="0" w:oddVBand="0" w:evenVBand="0" w:oddHBand="0" w:evenHBand="0" w:firstRowFirstColumn="0" w:firstRowLastColumn="0" w:lastRowFirstColumn="0" w:lastRowLastColumn="0"/>
              <w:rPr>
                <w:i/>
                <w:noProof/>
                <w:color w:val="000000" w:themeColor="text1"/>
                <w:sz w:val="24"/>
                <w:lang w:eastAsia="fr-BE"/>
              </w:rPr>
            </w:pPr>
            <w:r w:rsidRPr="00955A5B">
              <w:rPr>
                <w:i/>
                <w:noProof/>
                <w:color w:val="000000" w:themeColor="text1"/>
                <w:sz w:val="24"/>
                <w:lang w:eastAsia="fr-BE"/>
              </w:rPr>
              <w:t>Mean divergence by decile</w:t>
            </w:r>
          </w:p>
        </w:tc>
      </w:tr>
      <w:tr w:rsidR="00DE659D" w:rsidRPr="00955A5B" w14:paraId="26B28BB7"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C16C73C"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w:t>
            </w:r>
          </w:p>
        </w:tc>
        <w:tc>
          <w:tcPr>
            <w:tcW w:w="878" w:type="pct"/>
            <w:vAlign w:val="center"/>
          </w:tcPr>
          <w:p w14:paraId="50E6134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Norway</w:t>
            </w:r>
          </w:p>
        </w:tc>
        <w:tc>
          <w:tcPr>
            <w:tcW w:w="459" w:type="pct"/>
            <w:vAlign w:val="center"/>
          </w:tcPr>
          <w:p w14:paraId="257E536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7A524A4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41F8073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6339B43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37C305F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4FC8646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55C028B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-5</w:t>
            </w:r>
          </w:p>
        </w:tc>
        <w:tc>
          <w:tcPr>
            <w:tcW w:w="458" w:type="pct"/>
            <w:vMerge w:val="restart"/>
            <w:vAlign w:val="center"/>
          </w:tcPr>
          <w:p w14:paraId="47E7E7C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r w:rsidRPr="00955A5B">
              <w:rPr>
                <w:noProof/>
                <w:color w:val="000000" w:themeColor="text1"/>
                <w:sz w:val="24"/>
                <w:lang w:eastAsia="fr-BE"/>
              </w:rPr>
              <w:t>-10</w:t>
            </w:r>
          </w:p>
        </w:tc>
      </w:tr>
      <w:tr w:rsidR="00DE659D" w:rsidRPr="00955A5B" w14:paraId="036EF7B8"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AA6B297"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2</w:t>
            </w:r>
          </w:p>
        </w:tc>
        <w:tc>
          <w:tcPr>
            <w:tcW w:w="878" w:type="pct"/>
            <w:vAlign w:val="center"/>
          </w:tcPr>
          <w:p w14:paraId="581E0CC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Switzerland</w:t>
            </w:r>
          </w:p>
        </w:tc>
        <w:tc>
          <w:tcPr>
            <w:tcW w:w="459" w:type="pct"/>
            <w:vAlign w:val="center"/>
          </w:tcPr>
          <w:p w14:paraId="13DD9B9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37A6D38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160D126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0E87835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7FC546A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-18</w:t>
            </w:r>
          </w:p>
        </w:tc>
        <w:tc>
          <w:tcPr>
            <w:tcW w:w="458" w:type="pct"/>
            <w:vAlign w:val="center"/>
          </w:tcPr>
          <w:p w14:paraId="4E33CC5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3433A3B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-3</w:t>
            </w:r>
          </w:p>
        </w:tc>
        <w:tc>
          <w:tcPr>
            <w:tcW w:w="458" w:type="pct"/>
            <w:vMerge/>
            <w:vAlign w:val="center"/>
          </w:tcPr>
          <w:p w14:paraId="3C1B6E9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F9BF518" w14:textId="77777777" w:rsidTr="00955A5B">
        <w:trPr>
          <w:trHeight w:val="276"/>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5322054A"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3</w:t>
            </w:r>
          </w:p>
        </w:tc>
        <w:tc>
          <w:tcPr>
            <w:tcW w:w="878" w:type="pct"/>
            <w:vAlign w:val="center"/>
          </w:tcPr>
          <w:p w14:paraId="5B31D19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USA</w:t>
            </w:r>
          </w:p>
        </w:tc>
        <w:tc>
          <w:tcPr>
            <w:tcW w:w="459" w:type="pct"/>
            <w:vAlign w:val="center"/>
          </w:tcPr>
          <w:p w14:paraId="21430C7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2441ECF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-16</w:t>
            </w:r>
          </w:p>
        </w:tc>
        <w:tc>
          <w:tcPr>
            <w:tcW w:w="458" w:type="pct"/>
            <w:vAlign w:val="center"/>
          </w:tcPr>
          <w:p w14:paraId="102BF73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01B73FF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6E1D917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-82</w:t>
            </w:r>
          </w:p>
        </w:tc>
        <w:tc>
          <w:tcPr>
            <w:tcW w:w="458" w:type="pct"/>
            <w:vAlign w:val="center"/>
          </w:tcPr>
          <w:p w14:paraId="7F61640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-85</w:t>
            </w:r>
          </w:p>
        </w:tc>
        <w:tc>
          <w:tcPr>
            <w:tcW w:w="458" w:type="pct"/>
            <w:vAlign w:val="center"/>
          </w:tcPr>
          <w:p w14:paraId="5648734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-32</w:t>
            </w:r>
          </w:p>
        </w:tc>
        <w:tc>
          <w:tcPr>
            <w:tcW w:w="458" w:type="pct"/>
            <w:vMerge/>
            <w:vAlign w:val="center"/>
          </w:tcPr>
          <w:p w14:paraId="347B774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131B4C47"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D16A829"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4</w:t>
            </w:r>
          </w:p>
        </w:tc>
        <w:tc>
          <w:tcPr>
            <w:tcW w:w="878" w:type="pct"/>
            <w:vAlign w:val="center"/>
          </w:tcPr>
          <w:p w14:paraId="093DEBE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Ireland</w:t>
            </w:r>
          </w:p>
        </w:tc>
        <w:tc>
          <w:tcPr>
            <w:tcW w:w="459" w:type="pct"/>
            <w:vAlign w:val="center"/>
          </w:tcPr>
          <w:p w14:paraId="27901A4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5E4C8DA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39E214A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3140441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0980B08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-39</w:t>
            </w:r>
          </w:p>
        </w:tc>
        <w:tc>
          <w:tcPr>
            <w:tcW w:w="458" w:type="pct"/>
            <w:vAlign w:val="center"/>
          </w:tcPr>
          <w:p w14:paraId="2901B95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-46</w:t>
            </w:r>
          </w:p>
        </w:tc>
        <w:tc>
          <w:tcPr>
            <w:tcW w:w="458" w:type="pct"/>
            <w:vAlign w:val="center"/>
          </w:tcPr>
          <w:p w14:paraId="422EEC5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-17</w:t>
            </w:r>
          </w:p>
        </w:tc>
        <w:tc>
          <w:tcPr>
            <w:tcW w:w="458" w:type="pct"/>
            <w:vMerge/>
            <w:vAlign w:val="center"/>
          </w:tcPr>
          <w:p w14:paraId="1D2E450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2206DEFB"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94A09C0"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5</w:t>
            </w:r>
          </w:p>
        </w:tc>
        <w:tc>
          <w:tcPr>
            <w:tcW w:w="878" w:type="pct"/>
            <w:vAlign w:val="center"/>
          </w:tcPr>
          <w:p w14:paraId="4864C8F1"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Netherlands</w:t>
            </w:r>
          </w:p>
        </w:tc>
        <w:tc>
          <w:tcPr>
            <w:tcW w:w="459" w:type="pct"/>
            <w:vAlign w:val="center"/>
          </w:tcPr>
          <w:p w14:paraId="5D7D963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35F9E0C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4E310FB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4B353FD1"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54DE085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64F211F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-20</w:t>
            </w:r>
          </w:p>
        </w:tc>
        <w:tc>
          <w:tcPr>
            <w:tcW w:w="458" w:type="pct"/>
            <w:vAlign w:val="center"/>
          </w:tcPr>
          <w:p w14:paraId="35A9462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-6</w:t>
            </w:r>
          </w:p>
        </w:tc>
        <w:tc>
          <w:tcPr>
            <w:tcW w:w="458" w:type="pct"/>
            <w:vMerge/>
            <w:vAlign w:val="center"/>
          </w:tcPr>
          <w:p w14:paraId="39F5B3F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02628A91"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7CA51680"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6</w:t>
            </w:r>
          </w:p>
        </w:tc>
        <w:tc>
          <w:tcPr>
            <w:tcW w:w="878" w:type="pct"/>
            <w:vAlign w:val="center"/>
          </w:tcPr>
          <w:p w14:paraId="645D2C1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Austria</w:t>
            </w:r>
          </w:p>
        </w:tc>
        <w:tc>
          <w:tcPr>
            <w:tcW w:w="459" w:type="pct"/>
            <w:vAlign w:val="center"/>
          </w:tcPr>
          <w:p w14:paraId="6571C82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-13</w:t>
            </w:r>
          </w:p>
        </w:tc>
        <w:tc>
          <w:tcPr>
            <w:tcW w:w="458" w:type="pct"/>
            <w:vAlign w:val="center"/>
          </w:tcPr>
          <w:p w14:paraId="59191AF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332BA36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2C27CEE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0E3947C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-32</w:t>
            </w:r>
          </w:p>
        </w:tc>
        <w:tc>
          <w:tcPr>
            <w:tcW w:w="458" w:type="pct"/>
            <w:vAlign w:val="center"/>
          </w:tcPr>
          <w:p w14:paraId="4682E77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26F7BCF1"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-10</w:t>
            </w:r>
          </w:p>
        </w:tc>
        <w:tc>
          <w:tcPr>
            <w:tcW w:w="458" w:type="pct"/>
            <w:vMerge/>
            <w:vAlign w:val="center"/>
          </w:tcPr>
          <w:p w14:paraId="0918402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586C2188"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96A8118"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7</w:t>
            </w:r>
          </w:p>
        </w:tc>
        <w:tc>
          <w:tcPr>
            <w:tcW w:w="878" w:type="pct"/>
            <w:vAlign w:val="center"/>
          </w:tcPr>
          <w:p w14:paraId="25E733D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Germany</w:t>
            </w:r>
          </w:p>
        </w:tc>
        <w:tc>
          <w:tcPr>
            <w:tcW w:w="459" w:type="pct"/>
            <w:vAlign w:val="center"/>
          </w:tcPr>
          <w:p w14:paraId="31BC797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268D03E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0ADB92C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249BB32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0435334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-37</w:t>
            </w:r>
          </w:p>
        </w:tc>
        <w:tc>
          <w:tcPr>
            <w:tcW w:w="458" w:type="pct"/>
            <w:vAlign w:val="center"/>
          </w:tcPr>
          <w:p w14:paraId="07FD805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-11</w:t>
            </w:r>
          </w:p>
        </w:tc>
        <w:tc>
          <w:tcPr>
            <w:tcW w:w="458" w:type="pct"/>
            <w:vAlign w:val="center"/>
          </w:tcPr>
          <w:p w14:paraId="2331570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-10</w:t>
            </w:r>
          </w:p>
        </w:tc>
        <w:tc>
          <w:tcPr>
            <w:tcW w:w="458" w:type="pct"/>
            <w:vMerge/>
            <w:vAlign w:val="center"/>
          </w:tcPr>
          <w:p w14:paraId="36E3B38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468C3EBB"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474F3B2B"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8</w:t>
            </w:r>
          </w:p>
        </w:tc>
        <w:tc>
          <w:tcPr>
            <w:tcW w:w="878" w:type="pct"/>
            <w:vAlign w:val="center"/>
          </w:tcPr>
          <w:p w14:paraId="459DB58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Denmark</w:t>
            </w:r>
          </w:p>
        </w:tc>
        <w:tc>
          <w:tcPr>
            <w:tcW w:w="459" w:type="pct"/>
            <w:vAlign w:val="center"/>
          </w:tcPr>
          <w:p w14:paraId="4E495B1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6F37C4B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4983628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50677CD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2D2CBC2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-19</w:t>
            </w:r>
          </w:p>
        </w:tc>
        <w:tc>
          <w:tcPr>
            <w:tcW w:w="458" w:type="pct"/>
            <w:vAlign w:val="center"/>
          </w:tcPr>
          <w:p w14:paraId="283B675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09F8EE9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0</w:t>
            </w:r>
          </w:p>
        </w:tc>
        <w:tc>
          <w:tcPr>
            <w:tcW w:w="458" w:type="pct"/>
            <w:vMerge/>
            <w:vAlign w:val="center"/>
          </w:tcPr>
          <w:p w14:paraId="2DE508B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13E0E96"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0D4F5524"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9</w:t>
            </w:r>
          </w:p>
        </w:tc>
        <w:tc>
          <w:tcPr>
            <w:tcW w:w="878" w:type="pct"/>
            <w:vAlign w:val="center"/>
          </w:tcPr>
          <w:p w14:paraId="37820B5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Iceland</w:t>
            </w:r>
          </w:p>
        </w:tc>
        <w:tc>
          <w:tcPr>
            <w:tcW w:w="459" w:type="pct"/>
            <w:vAlign w:val="center"/>
          </w:tcPr>
          <w:p w14:paraId="12F8CF9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6E415B7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5C5E4B6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2880902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6727162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-25</w:t>
            </w:r>
          </w:p>
        </w:tc>
        <w:tc>
          <w:tcPr>
            <w:tcW w:w="458" w:type="pct"/>
            <w:vAlign w:val="center"/>
          </w:tcPr>
          <w:p w14:paraId="618A159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-24</w:t>
            </w:r>
          </w:p>
        </w:tc>
        <w:tc>
          <w:tcPr>
            <w:tcW w:w="458" w:type="pct"/>
            <w:vAlign w:val="center"/>
          </w:tcPr>
          <w:p w14:paraId="096BDF0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-9</w:t>
            </w:r>
          </w:p>
        </w:tc>
        <w:tc>
          <w:tcPr>
            <w:tcW w:w="458" w:type="pct"/>
            <w:vMerge/>
            <w:vAlign w:val="center"/>
          </w:tcPr>
          <w:p w14:paraId="0A581C3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04AF063"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74C296B0"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w:t>
            </w:r>
          </w:p>
        </w:tc>
        <w:tc>
          <w:tcPr>
            <w:tcW w:w="878" w:type="pct"/>
            <w:vAlign w:val="center"/>
          </w:tcPr>
          <w:p w14:paraId="681BC41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Sweden</w:t>
            </w:r>
          </w:p>
        </w:tc>
        <w:tc>
          <w:tcPr>
            <w:tcW w:w="459" w:type="pct"/>
            <w:vAlign w:val="center"/>
          </w:tcPr>
          <w:p w14:paraId="0C3D89D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2FDD791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5E7A15A1"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0C9CB1E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7260F04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-41</w:t>
            </w:r>
          </w:p>
        </w:tc>
        <w:tc>
          <w:tcPr>
            <w:tcW w:w="458" w:type="pct"/>
            <w:vAlign w:val="center"/>
          </w:tcPr>
          <w:p w14:paraId="0BEE06E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458C316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-6</w:t>
            </w:r>
          </w:p>
        </w:tc>
        <w:tc>
          <w:tcPr>
            <w:tcW w:w="458" w:type="pct"/>
            <w:vMerge/>
            <w:vAlign w:val="center"/>
          </w:tcPr>
          <w:p w14:paraId="2E50E41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415317A5"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0D9B9E4D" w14:textId="070C59F0" w:rsidR="00DE659D" w:rsidRPr="00955A5B" w:rsidRDefault="00955A5B" w:rsidP="00955A5B">
            <w:pPr>
              <w:spacing w:after="160"/>
              <w:ind w:firstLine="0"/>
              <w:jc w:val="center"/>
              <w:rPr>
                <w:noProof/>
                <w:color w:val="000000" w:themeColor="text1"/>
                <w:sz w:val="24"/>
                <w:lang w:eastAsia="fr-BE"/>
              </w:rPr>
            </w:pPr>
            <w:r>
              <w:rPr>
                <w:noProof/>
                <w:color w:val="000000" w:themeColor="text1"/>
                <w:sz w:val="24"/>
                <w:lang w:eastAsia="fr-BE"/>
              </w:rPr>
              <w:t>…</w:t>
            </w:r>
          </w:p>
        </w:tc>
        <w:tc>
          <w:tcPr>
            <w:tcW w:w="878" w:type="pct"/>
            <w:vAlign w:val="center"/>
          </w:tcPr>
          <w:p w14:paraId="2614B5F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9" w:type="pct"/>
            <w:vAlign w:val="center"/>
          </w:tcPr>
          <w:p w14:paraId="0395448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1071F42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7EB0A6E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5A00D0B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6C54488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786E945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p>
        </w:tc>
        <w:tc>
          <w:tcPr>
            <w:tcW w:w="458" w:type="pct"/>
            <w:vAlign w:val="center"/>
          </w:tcPr>
          <w:p w14:paraId="453EBEC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c>
          <w:tcPr>
            <w:tcW w:w="458" w:type="pct"/>
            <w:vAlign w:val="center"/>
          </w:tcPr>
          <w:p w14:paraId="1329B00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AF460DA"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BBEEEA2"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95</w:t>
            </w:r>
          </w:p>
        </w:tc>
        <w:tc>
          <w:tcPr>
            <w:tcW w:w="878" w:type="pct"/>
            <w:vAlign w:val="center"/>
          </w:tcPr>
          <w:p w14:paraId="56D5809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Senegal</w:t>
            </w:r>
          </w:p>
        </w:tc>
        <w:tc>
          <w:tcPr>
            <w:tcW w:w="459" w:type="pct"/>
            <w:vAlign w:val="center"/>
          </w:tcPr>
          <w:p w14:paraId="57B2DC1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03B3851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12</w:t>
            </w:r>
          </w:p>
        </w:tc>
        <w:tc>
          <w:tcPr>
            <w:tcW w:w="458" w:type="pct"/>
            <w:vAlign w:val="center"/>
          </w:tcPr>
          <w:p w14:paraId="1906093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9</w:t>
            </w:r>
          </w:p>
        </w:tc>
        <w:tc>
          <w:tcPr>
            <w:tcW w:w="458" w:type="pct"/>
            <w:vAlign w:val="center"/>
          </w:tcPr>
          <w:p w14:paraId="179D5E5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25</w:t>
            </w:r>
          </w:p>
        </w:tc>
        <w:tc>
          <w:tcPr>
            <w:tcW w:w="458" w:type="pct"/>
            <w:vAlign w:val="center"/>
          </w:tcPr>
          <w:p w14:paraId="0B39597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15</w:t>
            </w:r>
          </w:p>
        </w:tc>
        <w:tc>
          <w:tcPr>
            <w:tcW w:w="458" w:type="pct"/>
            <w:vAlign w:val="center"/>
          </w:tcPr>
          <w:p w14:paraId="322A21F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13</w:t>
            </w:r>
          </w:p>
        </w:tc>
        <w:tc>
          <w:tcPr>
            <w:tcW w:w="458" w:type="pct"/>
            <w:vAlign w:val="center"/>
          </w:tcPr>
          <w:p w14:paraId="1565E49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12</w:t>
            </w:r>
          </w:p>
        </w:tc>
        <w:tc>
          <w:tcPr>
            <w:tcW w:w="458" w:type="pct"/>
            <w:vMerge w:val="restart"/>
            <w:vAlign w:val="center"/>
          </w:tcPr>
          <w:p w14:paraId="0100136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r w:rsidRPr="00955A5B">
              <w:rPr>
                <w:noProof/>
                <w:color w:val="000000" w:themeColor="text1"/>
                <w:sz w:val="24"/>
                <w:lang w:eastAsia="fr-BE"/>
              </w:rPr>
              <w:t>7</w:t>
            </w:r>
          </w:p>
        </w:tc>
      </w:tr>
      <w:tr w:rsidR="00DE659D" w:rsidRPr="00955A5B" w14:paraId="6827B718"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0C348BA1"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96</w:t>
            </w:r>
          </w:p>
        </w:tc>
        <w:tc>
          <w:tcPr>
            <w:tcW w:w="878" w:type="pct"/>
            <w:vAlign w:val="center"/>
          </w:tcPr>
          <w:p w14:paraId="56DD44E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Chad</w:t>
            </w:r>
          </w:p>
        </w:tc>
        <w:tc>
          <w:tcPr>
            <w:tcW w:w="459" w:type="pct"/>
            <w:vAlign w:val="center"/>
          </w:tcPr>
          <w:p w14:paraId="01A837B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2D6E485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7ADAEC4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3BA84D7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42B1418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252B835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115AED1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-6</w:t>
            </w:r>
          </w:p>
        </w:tc>
        <w:tc>
          <w:tcPr>
            <w:tcW w:w="458" w:type="pct"/>
            <w:vMerge/>
            <w:vAlign w:val="center"/>
          </w:tcPr>
          <w:p w14:paraId="6846333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374DAE50"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56A8060F"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97</w:t>
            </w:r>
          </w:p>
        </w:tc>
        <w:tc>
          <w:tcPr>
            <w:tcW w:w="878" w:type="pct"/>
            <w:vAlign w:val="center"/>
          </w:tcPr>
          <w:p w14:paraId="06FD4E5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Benin</w:t>
            </w:r>
          </w:p>
        </w:tc>
        <w:tc>
          <w:tcPr>
            <w:tcW w:w="459" w:type="pct"/>
            <w:vAlign w:val="center"/>
          </w:tcPr>
          <w:p w14:paraId="3EB2E76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706409B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48D4E31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2A195CF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2A0F9D7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341880C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20</w:t>
            </w:r>
          </w:p>
        </w:tc>
        <w:tc>
          <w:tcPr>
            <w:tcW w:w="458" w:type="pct"/>
            <w:vAlign w:val="center"/>
          </w:tcPr>
          <w:p w14:paraId="2B10FBA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5</w:t>
            </w:r>
          </w:p>
        </w:tc>
        <w:tc>
          <w:tcPr>
            <w:tcW w:w="458" w:type="pct"/>
            <w:vMerge/>
            <w:vAlign w:val="center"/>
          </w:tcPr>
          <w:p w14:paraId="459319B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CDF79AC"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A24F513"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98</w:t>
            </w:r>
          </w:p>
        </w:tc>
        <w:tc>
          <w:tcPr>
            <w:tcW w:w="878" w:type="pct"/>
            <w:vAlign w:val="center"/>
          </w:tcPr>
          <w:p w14:paraId="36DAB4B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Uganda</w:t>
            </w:r>
          </w:p>
        </w:tc>
        <w:tc>
          <w:tcPr>
            <w:tcW w:w="459" w:type="pct"/>
            <w:vAlign w:val="center"/>
          </w:tcPr>
          <w:p w14:paraId="7F53B00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489453A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8</w:t>
            </w:r>
          </w:p>
        </w:tc>
        <w:tc>
          <w:tcPr>
            <w:tcW w:w="458" w:type="pct"/>
            <w:vAlign w:val="center"/>
          </w:tcPr>
          <w:p w14:paraId="7D59411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64232E5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34B61D9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499B17F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34</w:t>
            </w:r>
          </w:p>
        </w:tc>
        <w:tc>
          <w:tcPr>
            <w:tcW w:w="458" w:type="pct"/>
            <w:vAlign w:val="center"/>
          </w:tcPr>
          <w:p w14:paraId="5DF2D88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12</w:t>
            </w:r>
          </w:p>
        </w:tc>
        <w:tc>
          <w:tcPr>
            <w:tcW w:w="458" w:type="pct"/>
            <w:vMerge/>
            <w:vAlign w:val="center"/>
          </w:tcPr>
          <w:p w14:paraId="4868F08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1A53929C"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44BC282"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lastRenderedPageBreak/>
              <w:t>99</w:t>
            </w:r>
          </w:p>
        </w:tc>
        <w:tc>
          <w:tcPr>
            <w:tcW w:w="878" w:type="pct"/>
            <w:vAlign w:val="center"/>
          </w:tcPr>
          <w:p w14:paraId="0971B4F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Rwanda</w:t>
            </w:r>
          </w:p>
        </w:tc>
        <w:tc>
          <w:tcPr>
            <w:tcW w:w="459" w:type="pct"/>
            <w:vAlign w:val="center"/>
          </w:tcPr>
          <w:p w14:paraId="6A393DD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w:t>
            </w:r>
          </w:p>
        </w:tc>
        <w:tc>
          <w:tcPr>
            <w:tcW w:w="458" w:type="pct"/>
            <w:vAlign w:val="center"/>
          </w:tcPr>
          <w:p w14:paraId="3106BC4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6A71885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20896E2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25</w:t>
            </w:r>
          </w:p>
        </w:tc>
        <w:tc>
          <w:tcPr>
            <w:tcW w:w="458" w:type="pct"/>
            <w:vAlign w:val="center"/>
          </w:tcPr>
          <w:p w14:paraId="5354304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12</w:t>
            </w:r>
          </w:p>
        </w:tc>
        <w:tc>
          <w:tcPr>
            <w:tcW w:w="458" w:type="pct"/>
            <w:vAlign w:val="center"/>
          </w:tcPr>
          <w:p w14:paraId="5FCDDB2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39</w:t>
            </w:r>
          </w:p>
        </w:tc>
        <w:tc>
          <w:tcPr>
            <w:tcW w:w="458" w:type="pct"/>
            <w:vAlign w:val="center"/>
          </w:tcPr>
          <w:p w14:paraId="775D578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16</w:t>
            </w:r>
          </w:p>
        </w:tc>
        <w:tc>
          <w:tcPr>
            <w:tcW w:w="458" w:type="pct"/>
            <w:vMerge/>
            <w:vAlign w:val="center"/>
          </w:tcPr>
          <w:p w14:paraId="52F4F47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53F467FF"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32C3D8C"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100</w:t>
            </w:r>
          </w:p>
        </w:tc>
        <w:tc>
          <w:tcPr>
            <w:tcW w:w="878" w:type="pct"/>
            <w:vAlign w:val="center"/>
          </w:tcPr>
          <w:p w14:paraId="2341D34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Burkina Faso</w:t>
            </w:r>
          </w:p>
        </w:tc>
        <w:tc>
          <w:tcPr>
            <w:tcW w:w="459" w:type="pct"/>
            <w:vAlign w:val="center"/>
          </w:tcPr>
          <w:p w14:paraId="2F5396E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34D0C74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487AB55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268B47F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19</w:t>
            </w:r>
          </w:p>
        </w:tc>
        <w:tc>
          <w:tcPr>
            <w:tcW w:w="458" w:type="pct"/>
            <w:vAlign w:val="center"/>
          </w:tcPr>
          <w:p w14:paraId="48555AA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0D84674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20</w:t>
            </w:r>
          </w:p>
        </w:tc>
        <w:tc>
          <w:tcPr>
            <w:tcW w:w="458" w:type="pct"/>
            <w:vAlign w:val="center"/>
          </w:tcPr>
          <w:p w14:paraId="2B7BE79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8</w:t>
            </w:r>
          </w:p>
        </w:tc>
        <w:tc>
          <w:tcPr>
            <w:tcW w:w="458" w:type="pct"/>
            <w:vMerge/>
            <w:vAlign w:val="center"/>
          </w:tcPr>
          <w:p w14:paraId="4B71486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15F839CF"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624678C7"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101</w:t>
            </w:r>
          </w:p>
        </w:tc>
        <w:tc>
          <w:tcPr>
            <w:tcW w:w="878" w:type="pct"/>
            <w:vAlign w:val="center"/>
          </w:tcPr>
          <w:p w14:paraId="44944DA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Sierra Leone</w:t>
            </w:r>
          </w:p>
        </w:tc>
        <w:tc>
          <w:tcPr>
            <w:tcW w:w="459" w:type="pct"/>
            <w:vAlign w:val="center"/>
          </w:tcPr>
          <w:p w14:paraId="0873AD9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58D7ADA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652EEA0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53D47451"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14</w:t>
            </w:r>
          </w:p>
        </w:tc>
        <w:tc>
          <w:tcPr>
            <w:tcW w:w="458" w:type="pct"/>
            <w:vAlign w:val="center"/>
          </w:tcPr>
          <w:p w14:paraId="187F319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629EA32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9</w:t>
            </w:r>
          </w:p>
        </w:tc>
        <w:tc>
          <w:tcPr>
            <w:tcW w:w="458" w:type="pct"/>
            <w:vAlign w:val="center"/>
          </w:tcPr>
          <w:p w14:paraId="7AE70B6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4</w:t>
            </w:r>
          </w:p>
        </w:tc>
        <w:tc>
          <w:tcPr>
            <w:tcW w:w="458" w:type="pct"/>
            <w:vMerge/>
            <w:vAlign w:val="center"/>
          </w:tcPr>
          <w:p w14:paraId="0CAE4E2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78CDD520"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6ECE6A4D"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102</w:t>
            </w:r>
          </w:p>
        </w:tc>
        <w:tc>
          <w:tcPr>
            <w:tcW w:w="878" w:type="pct"/>
            <w:vAlign w:val="center"/>
          </w:tcPr>
          <w:p w14:paraId="7FD0FD5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Togo</w:t>
            </w:r>
          </w:p>
        </w:tc>
        <w:tc>
          <w:tcPr>
            <w:tcW w:w="459" w:type="pct"/>
            <w:vAlign w:val="center"/>
          </w:tcPr>
          <w:p w14:paraId="0F93C5B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33144EC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6</w:t>
            </w:r>
          </w:p>
        </w:tc>
        <w:tc>
          <w:tcPr>
            <w:tcW w:w="458" w:type="pct"/>
            <w:vAlign w:val="center"/>
          </w:tcPr>
          <w:p w14:paraId="2D1FE21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w:t>
            </w:r>
          </w:p>
        </w:tc>
        <w:tc>
          <w:tcPr>
            <w:tcW w:w="458" w:type="pct"/>
            <w:vAlign w:val="center"/>
          </w:tcPr>
          <w:p w14:paraId="3B31817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7540AEC2"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4D7D445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59B35475"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4</w:t>
            </w:r>
          </w:p>
        </w:tc>
        <w:tc>
          <w:tcPr>
            <w:tcW w:w="458" w:type="pct"/>
            <w:vMerge/>
            <w:vAlign w:val="center"/>
          </w:tcPr>
          <w:p w14:paraId="4FBBF5B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085BC7E4"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0B762B8F"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103</w:t>
            </w:r>
          </w:p>
        </w:tc>
        <w:tc>
          <w:tcPr>
            <w:tcW w:w="878" w:type="pct"/>
            <w:vAlign w:val="center"/>
          </w:tcPr>
          <w:p w14:paraId="4F71B50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Niger</w:t>
            </w:r>
          </w:p>
        </w:tc>
        <w:tc>
          <w:tcPr>
            <w:tcW w:w="459" w:type="pct"/>
            <w:vAlign w:val="center"/>
          </w:tcPr>
          <w:p w14:paraId="583AFAE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w:t>
            </w:r>
          </w:p>
        </w:tc>
        <w:tc>
          <w:tcPr>
            <w:tcW w:w="458" w:type="pct"/>
            <w:vAlign w:val="center"/>
          </w:tcPr>
          <w:p w14:paraId="69B93C1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0</w:t>
            </w:r>
          </w:p>
        </w:tc>
        <w:tc>
          <w:tcPr>
            <w:tcW w:w="458" w:type="pct"/>
            <w:vAlign w:val="center"/>
          </w:tcPr>
          <w:p w14:paraId="024286E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10</w:t>
            </w:r>
          </w:p>
        </w:tc>
        <w:tc>
          <w:tcPr>
            <w:tcW w:w="458" w:type="pct"/>
            <w:vAlign w:val="center"/>
          </w:tcPr>
          <w:p w14:paraId="4D3E629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27</w:t>
            </w:r>
          </w:p>
        </w:tc>
        <w:tc>
          <w:tcPr>
            <w:tcW w:w="458" w:type="pct"/>
            <w:vAlign w:val="center"/>
          </w:tcPr>
          <w:p w14:paraId="6D596C23"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1A96626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7</w:t>
            </w:r>
          </w:p>
        </w:tc>
        <w:tc>
          <w:tcPr>
            <w:tcW w:w="458" w:type="pct"/>
            <w:vAlign w:val="center"/>
          </w:tcPr>
          <w:p w14:paraId="164A655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8</w:t>
            </w:r>
          </w:p>
        </w:tc>
        <w:tc>
          <w:tcPr>
            <w:tcW w:w="458" w:type="pct"/>
            <w:vMerge/>
            <w:vAlign w:val="center"/>
          </w:tcPr>
          <w:p w14:paraId="3F1E4C2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r w:rsidR="00DE659D" w:rsidRPr="00955A5B" w14:paraId="2DC634E5" w14:textId="77777777" w:rsidTr="00955A5B">
        <w:trPr>
          <w:trHeight w:val="288"/>
          <w:jc w:val="center"/>
        </w:trPr>
        <w:tc>
          <w:tcPr>
            <w:cnfStyle w:val="001000000000" w:firstRow="0" w:lastRow="0" w:firstColumn="1" w:lastColumn="0" w:oddVBand="0" w:evenVBand="0" w:oddHBand="0" w:evenHBand="0" w:firstRowFirstColumn="0" w:firstRowLastColumn="0" w:lastRowFirstColumn="0" w:lastRowLastColumn="0"/>
            <w:tcW w:w="459" w:type="pct"/>
            <w:vAlign w:val="center"/>
          </w:tcPr>
          <w:p w14:paraId="44101BE4" w14:textId="77777777" w:rsidR="00DE659D" w:rsidRPr="00955A5B" w:rsidRDefault="00DE659D" w:rsidP="00955A5B">
            <w:pPr>
              <w:spacing w:after="160"/>
              <w:ind w:firstLine="0"/>
              <w:jc w:val="center"/>
              <w:rPr>
                <w:noProof/>
                <w:color w:val="000000" w:themeColor="text1"/>
                <w:sz w:val="24"/>
                <w:lang w:eastAsia="fr-BE"/>
              </w:rPr>
            </w:pPr>
            <w:r w:rsidRPr="00955A5B">
              <w:rPr>
                <w:noProof/>
                <w:color w:val="000000" w:themeColor="text1"/>
                <w:sz w:val="24"/>
                <w:lang w:eastAsia="fr-BE"/>
              </w:rPr>
              <w:t>104</w:t>
            </w:r>
          </w:p>
        </w:tc>
        <w:tc>
          <w:tcPr>
            <w:tcW w:w="878" w:type="pct"/>
            <w:vAlign w:val="center"/>
          </w:tcPr>
          <w:p w14:paraId="390ADE28"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Liberia</w:t>
            </w:r>
          </w:p>
        </w:tc>
        <w:tc>
          <w:tcPr>
            <w:tcW w:w="459" w:type="pct"/>
            <w:vAlign w:val="center"/>
          </w:tcPr>
          <w:p w14:paraId="70F986AF"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2FB0E5D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306DD26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002D91D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4</w:t>
            </w:r>
          </w:p>
        </w:tc>
        <w:tc>
          <w:tcPr>
            <w:tcW w:w="458" w:type="pct"/>
            <w:vAlign w:val="center"/>
          </w:tcPr>
          <w:p w14:paraId="6F407F1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27</w:t>
            </w:r>
          </w:p>
        </w:tc>
        <w:tc>
          <w:tcPr>
            <w:tcW w:w="458" w:type="pct"/>
            <w:vAlign w:val="center"/>
          </w:tcPr>
          <w:p w14:paraId="185909C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eastAsia="fr-BE"/>
              </w:rPr>
              <w:t>5</w:t>
            </w:r>
          </w:p>
        </w:tc>
        <w:tc>
          <w:tcPr>
            <w:tcW w:w="458" w:type="pct"/>
            <w:vAlign w:val="center"/>
          </w:tcPr>
          <w:p w14:paraId="2AD8C66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sz w:val="24"/>
                <w:lang w:eastAsia="fr-BE"/>
              </w:rPr>
            </w:pPr>
            <w:r w:rsidRPr="00955A5B">
              <w:rPr>
                <w:noProof/>
                <w:color w:val="000000" w:themeColor="text1"/>
                <w:sz w:val="24"/>
                <w:lang w:val="hu-HU" w:eastAsia="fr-BE"/>
              </w:rPr>
              <w:t>8</w:t>
            </w:r>
          </w:p>
        </w:tc>
        <w:tc>
          <w:tcPr>
            <w:tcW w:w="458" w:type="pct"/>
            <w:vMerge/>
            <w:vAlign w:val="center"/>
          </w:tcPr>
          <w:p w14:paraId="594100BD"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sz w:val="24"/>
                <w:lang w:eastAsia="fr-BE"/>
              </w:rPr>
            </w:pPr>
          </w:p>
        </w:tc>
      </w:tr>
    </w:tbl>
    <w:p w14:paraId="27E7EDB0" w14:textId="77777777" w:rsidR="00DE659D" w:rsidRPr="00DE659D" w:rsidRDefault="00DE659D" w:rsidP="00DE659D">
      <w:pPr>
        <w:rPr>
          <w:noProof/>
          <w:color w:val="000000" w:themeColor="text1"/>
          <w:lang w:eastAsia="fr-BE"/>
        </w:rPr>
      </w:pPr>
    </w:p>
    <w:p w14:paraId="07965122" w14:textId="77777777" w:rsidR="00DE659D" w:rsidRPr="00DE659D" w:rsidRDefault="00DE659D" w:rsidP="00DE659D">
      <w:pPr>
        <w:rPr>
          <w:b/>
          <w:bCs/>
          <w:noProof/>
          <w:color w:val="000000" w:themeColor="text1"/>
          <w:lang w:eastAsia="fr-BE"/>
        </w:rPr>
      </w:pPr>
      <w:r w:rsidRPr="00DE659D">
        <w:rPr>
          <w:noProof/>
          <w:color w:val="000000" w:themeColor="text1"/>
          <w:lang w:eastAsia="fr-BE"/>
        </w:rPr>
        <w:t xml:space="preserve">For most of these countries, the choice of one indicator over another has an impact on their rank. For some, this impact is weak (Norway, Switzerland, Sierra Leone, Togo), whereas for others their rank diverges significantly when Beyond GDP indicators are used (Rwanda, Ireland, and above all the USA). One can already get a sense of how differently certain indicators rank certain countries in respect to their GDP ranking, whereas others produce more similar rankings. For instance, the HPI strongly penalises the performance of the Top 10 countries, whereas QoL and the GWBI produce little change in their </w:t>
      </w:r>
      <w:r w:rsidRPr="00DE659D">
        <w:rPr>
          <w:bCs/>
          <w:noProof/>
          <w:color w:val="000000" w:themeColor="text1"/>
          <w:lang w:eastAsia="fr-BE"/>
        </w:rPr>
        <w:t>ranking.</w:t>
      </w:r>
    </w:p>
    <w:p w14:paraId="71645C86" w14:textId="2BF9ED36" w:rsidR="00DE659D" w:rsidRPr="00CE7357" w:rsidRDefault="00DE659D" w:rsidP="00CE7357">
      <w:pPr>
        <w:rPr>
          <w:noProof/>
          <w:color w:val="000000" w:themeColor="text1"/>
          <w:lang w:eastAsia="fr-BE"/>
        </w:rPr>
      </w:pPr>
      <w:r w:rsidRPr="00DE659D">
        <w:rPr>
          <w:noProof/>
          <w:color w:val="000000" w:themeColor="text1"/>
          <w:lang w:eastAsia="fr-BE"/>
        </w:rPr>
        <w:t>This table only shows the highest and lowest ranking countries, but what about the similarity between GDP and the six Beyond GDP indicators in general?</w:t>
      </w:r>
    </w:p>
    <w:p w14:paraId="323E6D07" w14:textId="4C21139B" w:rsidR="00DE659D" w:rsidRPr="00DE659D" w:rsidRDefault="00DE659D" w:rsidP="00CE7357">
      <w:pPr>
        <w:pStyle w:val="Titre3"/>
        <w:rPr>
          <w:noProof/>
          <w:lang w:eastAsia="fr-BE"/>
        </w:rPr>
      </w:pPr>
      <w:bookmarkStart w:id="83" w:name="_Toc51512307"/>
      <w:r w:rsidRPr="00DE659D">
        <w:rPr>
          <w:noProof/>
          <w:lang w:eastAsia="fr-BE"/>
        </w:rPr>
        <w:t>Extent of divergence between GDP and Beyond GDP indicators</w:t>
      </w:r>
      <w:bookmarkEnd w:id="83"/>
    </w:p>
    <w:p w14:paraId="1FE97232"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Table 4 shows two modes of examining the disparity between the indicators’ results. The first line calculates the disparity between the rankings produced by GDP and Beyond GDP indicators, using the correlation coefficient between these two rankings (correlation of rank) for the 104 countries under consideration. This approach is inspired by the analyses of McGillivray (1991) and Borgnäs (2016). </w:t>
      </w:r>
    </w:p>
    <w:p w14:paraId="59CEBB09"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second stage is more intuitive. The ‘# Rank divergence &gt; 10’ line indicates occurrences of disparities of more than 10 rank positions between the GDP ranking and that of the indicator under </w:t>
      </w:r>
      <w:r w:rsidRPr="00DE659D">
        <w:rPr>
          <w:noProof/>
          <w:color w:val="000000" w:themeColor="text1"/>
          <w:lang w:eastAsia="fr-BE"/>
        </w:rPr>
        <w:lastRenderedPageBreak/>
        <w:t>consideration. For instance, for the HDI, there are 15 instances of disparities in rank of more than 10 positions. In other words, the rank attributed by the HDI diverges by more than 10 positions from that attributed by GDP in the case of 15 countries. A difference of 10 places may be considered a moderate difference. The ‘# Rank divergence &gt; 20’ line makes a similar calculation, but in this case for disparities of more than 20 positions. Such disparities are considered more substantial differences in ranking. Table 4 shows these different methods for observing the divergence between GDP and the six other indicators.</w:t>
      </w:r>
    </w:p>
    <w:p w14:paraId="6AEA1E0F" w14:textId="77777777" w:rsidR="00DE659D" w:rsidRPr="00DE659D" w:rsidRDefault="00DE659D" w:rsidP="00DE659D">
      <w:pPr>
        <w:rPr>
          <w:noProof/>
          <w:color w:val="000000" w:themeColor="text1"/>
          <w:lang w:eastAsia="fr-BE"/>
        </w:rPr>
      </w:pPr>
    </w:p>
    <w:p w14:paraId="329024D4" w14:textId="77777777" w:rsidR="00DE659D" w:rsidRPr="00955A5B" w:rsidRDefault="00DE659D" w:rsidP="00DE659D">
      <w:pPr>
        <w:rPr>
          <w:noProof/>
          <w:color w:val="000000" w:themeColor="text1"/>
          <w:lang w:eastAsia="fr-BE"/>
        </w:rPr>
      </w:pPr>
      <w:r w:rsidRPr="00955A5B">
        <w:rPr>
          <w:noProof/>
          <w:color w:val="000000" w:themeColor="text1"/>
          <w:lang w:eastAsia="fr-BE"/>
        </w:rPr>
        <w:t>Table 4. Three measures of the divergence between GDP and six Beyond GDP indicators’ rankings</w:t>
      </w:r>
    </w:p>
    <w:tbl>
      <w:tblPr>
        <w:tblStyle w:val="TableauGrille1Clair-Accentuation31"/>
        <w:tblW w:w="0" w:type="auto"/>
        <w:tblLook w:val="04A0" w:firstRow="1" w:lastRow="0" w:firstColumn="1" w:lastColumn="0" w:noHBand="0" w:noVBand="1"/>
      </w:tblPr>
      <w:tblGrid>
        <w:gridCol w:w="2754"/>
        <w:gridCol w:w="788"/>
        <w:gridCol w:w="671"/>
        <w:gridCol w:w="972"/>
        <w:gridCol w:w="762"/>
        <w:gridCol w:w="742"/>
        <w:gridCol w:w="671"/>
      </w:tblGrid>
      <w:tr w:rsidR="00DE659D" w:rsidRPr="00955A5B" w14:paraId="74D715FD" w14:textId="77777777" w:rsidTr="00955A5B">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vAlign w:val="center"/>
          </w:tcPr>
          <w:p w14:paraId="1260DB33" w14:textId="77777777" w:rsidR="00DE659D" w:rsidRPr="00955A5B" w:rsidRDefault="00DE659D" w:rsidP="00955A5B">
            <w:pPr>
              <w:spacing w:after="160"/>
              <w:ind w:firstLine="0"/>
              <w:jc w:val="center"/>
              <w:rPr>
                <w:noProof/>
                <w:color w:val="000000" w:themeColor="text1"/>
                <w:lang w:eastAsia="fr-BE"/>
              </w:rPr>
            </w:pPr>
          </w:p>
        </w:tc>
        <w:tc>
          <w:tcPr>
            <w:tcW w:w="0" w:type="auto"/>
            <w:vAlign w:val="center"/>
          </w:tcPr>
          <w:p w14:paraId="28C5FDA2" w14:textId="01C786D4"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HDI</w:t>
            </w:r>
          </w:p>
        </w:tc>
        <w:tc>
          <w:tcPr>
            <w:tcW w:w="0" w:type="auto"/>
            <w:vAlign w:val="center"/>
          </w:tcPr>
          <w:p w14:paraId="4E9FFBFA" w14:textId="5E8C18B4"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SPI</w:t>
            </w:r>
          </w:p>
        </w:tc>
        <w:tc>
          <w:tcPr>
            <w:tcW w:w="0" w:type="auto"/>
            <w:vAlign w:val="center"/>
          </w:tcPr>
          <w:p w14:paraId="6A9294A3" w14:textId="3F9C993E"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GWBI</w:t>
            </w:r>
          </w:p>
        </w:tc>
        <w:tc>
          <w:tcPr>
            <w:tcW w:w="0" w:type="auto"/>
            <w:vAlign w:val="center"/>
          </w:tcPr>
          <w:p w14:paraId="145D23DC" w14:textId="75AFC6EC"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QoL</w:t>
            </w:r>
          </w:p>
        </w:tc>
        <w:tc>
          <w:tcPr>
            <w:tcW w:w="0" w:type="auto"/>
            <w:vAlign w:val="center"/>
          </w:tcPr>
          <w:p w14:paraId="54355EF3" w14:textId="736F3F0C"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HPI</w:t>
            </w:r>
          </w:p>
        </w:tc>
        <w:tc>
          <w:tcPr>
            <w:tcW w:w="0" w:type="auto"/>
            <w:vAlign w:val="center"/>
          </w:tcPr>
          <w:p w14:paraId="1E887AAE" w14:textId="0DD29E2F" w:rsidR="00DE659D" w:rsidRPr="00955A5B" w:rsidRDefault="00DE659D" w:rsidP="00955A5B">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955A5B">
              <w:rPr>
                <w:i/>
                <w:noProof/>
                <w:color w:val="000000" w:themeColor="text1"/>
                <w:lang w:eastAsia="fr-BE"/>
              </w:rPr>
              <w:t>SSI</w:t>
            </w:r>
          </w:p>
        </w:tc>
      </w:tr>
      <w:tr w:rsidR="00DE659D" w:rsidRPr="00955A5B" w14:paraId="3EF58BB4" w14:textId="77777777" w:rsidTr="00955A5B">
        <w:trPr>
          <w:trHeight w:val="288"/>
        </w:trPr>
        <w:tc>
          <w:tcPr>
            <w:cnfStyle w:val="001000000000" w:firstRow="0" w:lastRow="0" w:firstColumn="1" w:lastColumn="0" w:oddVBand="0" w:evenVBand="0" w:oddHBand="0" w:evenHBand="0" w:firstRowFirstColumn="0" w:firstRowLastColumn="0" w:lastRowFirstColumn="0" w:lastRowLastColumn="0"/>
            <w:tcW w:w="0" w:type="auto"/>
            <w:vAlign w:val="center"/>
          </w:tcPr>
          <w:p w14:paraId="7A736E43" w14:textId="77777777" w:rsidR="00DE659D" w:rsidRPr="00955A5B" w:rsidRDefault="00DE659D" w:rsidP="00955A5B">
            <w:pPr>
              <w:spacing w:after="160"/>
              <w:ind w:firstLine="0"/>
              <w:jc w:val="center"/>
              <w:rPr>
                <w:noProof/>
                <w:color w:val="000000" w:themeColor="text1"/>
                <w:lang w:eastAsia="fr-BE"/>
              </w:rPr>
            </w:pPr>
          </w:p>
          <w:p w14:paraId="3959FB26" w14:textId="77777777" w:rsidR="00DE659D" w:rsidRPr="00955A5B" w:rsidRDefault="00DE659D" w:rsidP="00955A5B">
            <w:pPr>
              <w:spacing w:after="160"/>
              <w:ind w:firstLine="0"/>
              <w:jc w:val="center"/>
              <w:rPr>
                <w:noProof/>
                <w:color w:val="000000" w:themeColor="text1"/>
                <w:lang w:eastAsia="fr-BE"/>
              </w:rPr>
            </w:pPr>
            <w:r w:rsidRPr="00955A5B">
              <w:rPr>
                <w:noProof/>
                <w:color w:val="000000" w:themeColor="text1"/>
                <w:lang w:eastAsia="fr-BE"/>
              </w:rPr>
              <w:t>Correlation with GDP rank, per capita PPP</w:t>
            </w:r>
          </w:p>
        </w:tc>
        <w:tc>
          <w:tcPr>
            <w:tcW w:w="0" w:type="auto"/>
            <w:vAlign w:val="center"/>
          </w:tcPr>
          <w:p w14:paraId="4C04AF8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0,97</w:t>
            </w:r>
          </w:p>
        </w:tc>
        <w:tc>
          <w:tcPr>
            <w:tcW w:w="0" w:type="auto"/>
            <w:vAlign w:val="center"/>
          </w:tcPr>
          <w:p w14:paraId="6ACFB0C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0,92</w:t>
            </w:r>
          </w:p>
        </w:tc>
        <w:tc>
          <w:tcPr>
            <w:tcW w:w="0" w:type="auto"/>
            <w:vAlign w:val="center"/>
          </w:tcPr>
          <w:p w14:paraId="3CBCB19B"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0,85</w:t>
            </w:r>
          </w:p>
        </w:tc>
        <w:tc>
          <w:tcPr>
            <w:tcW w:w="0" w:type="auto"/>
            <w:vAlign w:val="center"/>
          </w:tcPr>
          <w:p w14:paraId="2DF66AE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0,80</w:t>
            </w:r>
          </w:p>
        </w:tc>
        <w:tc>
          <w:tcPr>
            <w:tcW w:w="0" w:type="auto"/>
            <w:vAlign w:val="center"/>
          </w:tcPr>
          <w:p w14:paraId="616F6FA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0,26</w:t>
            </w:r>
          </w:p>
        </w:tc>
        <w:tc>
          <w:tcPr>
            <w:tcW w:w="0" w:type="auto"/>
            <w:vAlign w:val="center"/>
          </w:tcPr>
          <w:p w14:paraId="0B1BA78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0,59</w:t>
            </w:r>
          </w:p>
        </w:tc>
      </w:tr>
      <w:tr w:rsidR="00DE659D" w:rsidRPr="00955A5B" w14:paraId="3BF0C0C2" w14:textId="77777777" w:rsidTr="00955A5B">
        <w:trPr>
          <w:trHeight w:val="288"/>
        </w:trPr>
        <w:tc>
          <w:tcPr>
            <w:cnfStyle w:val="001000000000" w:firstRow="0" w:lastRow="0" w:firstColumn="1" w:lastColumn="0" w:oddVBand="0" w:evenVBand="0" w:oddHBand="0" w:evenHBand="0" w:firstRowFirstColumn="0" w:firstRowLastColumn="0" w:lastRowFirstColumn="0" w:lastRowLastColumn="0"/>
            <w:tcW w:w="0" w:type="auto"/>
            <w:vAlign w:val="center"/>
          </w:tcPr>
          <w:p w14:paraId="6CFD46B0" w14:textId="640B1710" w:rsidR="00DE659D" w:rsidRPr="00955A5B" w:rsidRDefault="00DE659D" w:rsidP="00955A5B">
            <w:pPr>
              <w:spacing w:after="160"/>
              <w:ind w:firstLine="0"/>
              <w:jc w:val="center"/>
              <w:rPr>
                <w:noProof/>
                <w:color w:val="000000" w:themeColor="text1"/>
                <w:lang w:eastAsia="fr-BE"/>
              </w:rPr>
            </w:pPr>
            <w:r w:rsidRPr="00955A5B">
              <w:rPr>
                <w:noProof/>
                <w:color w:val="000000" w:themeColor="text1"/>
                <w:lang w:eastAsia="fr-BE"/>
              </w:rPr>
              <w:t>Moderate divergence</w:t>
            </w:r>
          </w:p>
          <w:p w14:paraId="4B8DC705" w14:textId="77777777" w:rsidR="00DE659D" w:rsidRPr="00955A5B" w:rsidRDefault="00DE659D" w:rsidP="00955A5B">
            <w:pPr>
              <w:spacing w:after="160"/>
              <w:ind w:firstLine="0"/>
              <w:jc w:val="center"/>
              <w:rPr>
                <w:noProof/>
                <w:color w:val="000000" w:themeColor="text1"/>
                <w:lang w:eastAsia="fr-BE"/>
              </w:rPr>
            </w:pPr>
            <w:r w:rsidRPr="00955A5B">
              <w:rPr>
                <w:noProof/>
                <w:color w:val="000000" w:themeColor="text1"/>
                <w:lang w:eastAsia="fr-BE"/>
              </w:rPr>
              <w:t>(# Rank divergence &gt; 10)</w:t>
            </w:r>
          </w:p>
        </w:tc>
        <w:tc>
          <w:tcPr>
            <w:tcW w:w="0" w:type="auto"/>
            <w:vAlign w:val="center"/>
          </w:tcPr>
          <w:p w14:paraId="1918F90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15</w:t>
            </w:r>
          </w:p>
        </w:tc>
        <w:tc>
          <w:tcPr>
            <w:tcW w:w="0" w:type="auto"/>
            <w:vAlign w:val="center"/>
          </w:tcPr>
          <w:p w14:paraId="6E16AF8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37</w:t>
            </w:r>
          </w:p>
        </w:tc>
        <w:tc>
          <w:tcPr>
            <w:tcW w:w="0" w:type="auto"/>
            <w:vAlign w:val="center"/>
          </w:tcPr>
          <w:p w14:paraId="77589F0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45</w:t>
            </w:r>
          </w:p>
        </w:tc>
        <w:tc>
          <w:tcPr>
            <w:tcW w:w="0" w:type="auto"/>
            <w:vAlign w:val="center"/>
          </w:tcPr>
          <w:p w14:paraId="1DDA2A1C"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51</w:t>
            </w:r>
          </w:p>
        </w:tc>
        <w:tc>
          <w:tcPr>
            <w:tcW w:w="0" w:type="auto"/>
            <w:vAlign w:val="center"/>
          </w:tcPr>
          <w:p w14:paraId="558E482A"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81</w:t>
            </w:r>
          </w:p>
        </w:tc>
        <w:tc>
          <w:tcPr>
            <w:tcW w:w="0" w:type="auto"/>
            <w:vAlign w:val="center"/>
          </w:tcPr>
          <w:p w14:paraId="4E7364D9"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73</w:t>
            </w:r>
          </w:p>
        </w:tc>
      </w:tr>
      <w:tr w:rsidR="00DE659D" w:rsidRPr="00955A5B" w14:paraId="2C89DC0A" w14:textId="77777777" w:rsidTr="00955A5B">
        <w:trPr>
          <w:trHeight w:val="288"/>
        </w:trPr>
        <w:tc>
          <w:tcPr>
            <w:cnfStyle w:val="001000000000" w:firstRow="0" w:lastRow="0" w:firstColumn="1" w:lastColumn="0" w:oddVBand="0" w:evenVBand="0" w:oddHBand="0" w:evenHBand="0" w:firstRowFirstColumn="0" w:firstRowLastColumn="0" w:lastRowFirstColumn="0" w:lastRowLastColumn="0"/>
            <w:tcW w:w="0" w:type="auto"/>
            <w:vAlign w:val="center"/>
          </w:tcPr>
          <w:p w14:paraId="1E1FA9D8" w14:textId="18809E2D" w:rsidR="00DE659D" w:rsidRPr="00955A5B" w:rsidRDefault="00DE659D" w:rsidP="00955A5B">
            <w:pPr>
              <w:spacing w:after="160"/>
              <w:ind w:firstLine="0"/>
              <w:jc w:val="center"/>
              <w:rPr>
                <w:noProof/>
                <w:color w:val="000000" w:themeColor="text1"/>
                <w:lang w:eastAsia="fr-BE"/>
              </w:rPr>
            </w:pPr>
            <w:r w:rsidRPr="00955A5B">
              <w:rPr>
                <w:noProof/>
                <w:color w:val="000000" w:themeColor="text1"/>
                <w:lang w:eastAsia="fr-BE"/>
              </w:rPr>
              <w:t>Strong divergence</w:t>
            </w:r>
          </w:p>
          <w:p w14:paraId="3FC3955E" w14:textId="77777777" w:rsidR="00DE659D" w:rsidRPr="00955A5B" w:rsidRDefault="00DE659D" w:rsidP="00955A5B">
            <w:pPr>
              <w:spacing w:after="160"/>
              <w:ind w:firstLine="0"/>
              <w:jc w:val="center"/>
              <w:rPr>
                <w:noProof/>
                <w:color w:val="000000" w:themeColor="text1"/>
                <w:lang w:eastAsia="fr-BE"/>
              </w:rPr>
            </w:pPr>
            <w:r w:rsidRPr="00955A5B">
              <w:rPr>
                <w:noProof/>
                <w:color w:val="000000" w:themeColor="text1"/>
                <w:lang w:eastAsia="fr-BE"/>
              </w:rPr>
              <w:t>(# Rank divergence &gt; 20)</w:t>
            </w:r>
          </w:p>
        </w:tc>
        <w:tc>
          <w:tcPr>
            <w:tcW w:w="0" w:type="auto"/>
            <w:vAlign w:val="center"/>
          </w:tcPr>
          <w:p w14:paraId="4D45FF1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1</w:t>
            </w:r>
          </w:p>
        </w:tc>
        <w:tc>
          <w:tcPr>
            <w:tcW w:w="0" w:type="auto"/>
            <w:vAlign w:val="center"/>
          </w:tcPr>
          <w:p w14:paraId="11578A7E"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7</w:t>
            </w:r>
          </w:p>
        </w:tc>
        <w:tc>
          <w:tcPr>
            <w:tcW w:w="0" w:type="auto"/>
            <w:vAlign w:val="center"/>
          </w:tcPr>
          <w:p w14:paraId="6668D0A6"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19</w:t>
            </w:r>
          </w:p>
        </w:tc>
        <w:tc>
          <w:tcPr>
            <w:tcW w:w="0" w:type="auto"/>
            <w:vAlign w:val="center"/>
          </w:tcPr>
          <w:p w14:paraId="5E195814"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31</w:t>
            </w:r>
          </w:p>
        </w:tc>
        <w:tc>
          <w:tcPr>
            <w:tcW w:w="0" w:type="auto"/>
            <w:vAlign w:val="center"/>
          </w:tcPr>
          <w:p w14:paraId="0D54E710"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61</w:t>
            </w:r>
          </w:p>
        </w:tc>
        <w:tc>
          <w:tcPr>
            <w:tcW w:w="0" w:type="auto"/>
            <w:vAlign w:val="center"/>
          </w:tcPr>
          <w:p w14:paraId="0D310497" w14:textId="77777777" w:rsidR="00DE659D" w:rsidRPr="00955A5B" w:rsidRDefault="00DE659D" w:rsidP="00955A5B">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955A5B">
              <w:rPr>
                <w:noProof/>
                <w:color w:val="000000" w:themeColor="text1"/>
                <w:lang w:eastAsia="fr-BE"/>
              </w:rPr>
              <w:t>47</w:t>
            </w:r>
          </w:p>
        </w:tc>
      </w:tr>
    </w:tbl>
    <w:p w14:paraId="3FCB348A" w14:textId="77777777" w:rsidR="00DE659D" w:rsidRPr="00DE659D" w:rsidRDefault="00DE659D" w:rsidP="00DE659D">
      <w:pPr>
        <w:rPr>
          <w:noProof/>
          <w:color w:val="000000" w:themeColor="text1"/>
          <w:lang w:eastAsia="fr-BE"/>
        </w:rPr>
      </w:pPr>
    </w:p>
    <w:p w14:paraId="71AB61DB" w14:textId="77777777" w:rsidR="00DE659D" w:rsidRPr="00DE659D" w:rsidRDefault="00DE659D" w:rsidP="00DE659D">
      <w:pPr>
        <w:rPr>
          <w:noProof/>
          <w:color w:val="000000" w:themeColor="text1"/>
          <w:lang w:eastAsia="fr-BE"/>
        </w:rPr>
      </w:pPr>
      <w:r w:rsidRPr="00DE659D">
        <w:rPr>
          <w:noProof/>
          <w:color w:val="000000" w:themeColor="text1"/>
          <w:lang w:eastAsia="fr-BE"/>
        </w:rPr>
        <w:t>The results of both methods converge, resulting in two groups of indicators. The rankings produced by the HPI and the SSI are weakly or moderately correlated with those produced by GDP (0.26 for the HPI, 0.59 for the SSI) and the disparity in ranking of more than 10 or 20 positions is very large (between 47 and 81). The two indicators thus produce rankings strongly divergent from those produced by GDP.</w:t>
      </w:r>
    </w:p>
    <w:p w14:paraId="56D5F296"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 xml:space="preserve">At the other end of the scale, the rankings produced by the four other indicators are strongly correlated with GDP (between 0.85 and 0.97). It is difficult to define a threshold above which one might count an indicator as being very close to GDP. But conventionally, one can consider that a correlation between 80% and 90% is very high and leaves little room for divergence in ranking. A strong correlation between GDP and the HDI is not surprising and has already been pointed to on numerous occasions (McGillivray, 1991; Cahill, 2005). On the one hand, the HDI gives significant weight to GDP in its construction. On the other, the two other dimensions it considers (health and education) are correlated with GDP. The high correlation coefficients are more unexpected for the SPI, GWBI, and QoL indicators, all of which include a large number of non-economic variables. </w:t>
      </w:r>
    </w:p>
    <w:p w14:paraId="68C85136" w14:textId="1940E444" w:rsidR="00DE659D" w:rsidRDefault="00DE659D" w:rsidP="00DE659D">
      <w:pPr>
        <w:rPr>
          <w:noProof/>
          <w:color w:val="000000" w:themeColor="text1"/>
          <w:lang w:eastAsia="fr-BE"/>
        </w:rPr>
      </w:pPr>
      <w:r w:rsidRPr="00DE659D">
        <w:rPr>
          <w:noProof/>
          <w:color w:val="000000" w:themeColor="text1"/>
          <w:lang w:eastAsia="fr-BE"/>
        </w:rPr>
        <w:t>Examining the ranking disparity between GDP and these four indicators, one can note the following: the ranking produced by the HDI diverges very little from that produced by GDP, even when only considering divergences of more than 10 places (only 15 instances out of 104 countries). SPI is also strongly correlated with GDP, with only 7 cases of significant divergence and 37 of moderate divergence. At the other end of the scale, the HPI and the SSI are very different from GDP, with most countries diverging by more than 20 places. QoL and the GWBI are in the middle ground between the SPI and the HDI on one end, and the HPI and the SSI on the other. It is to be noted that the two indicators initiated by powerful stakeholders (HDI and SPI) diverge the least in their rankings from GDP. The strong correlation between the rankings in general may signify one of two things: either GDP is, all things considered, adequate as an indicator for accounting for the dimensions included in Beyond GDP indicators—in which case, Beyond GDP indicators are redundant and are of little interest—, or several Beyond GDP indicators (HDI, SPI, GWBI, QoL…) mainly include variables that have been traditionally correlated with GDP, and leave other crucial variables out. We will argue for the second of these options.</w:t>
      </w:r>
    </w:p>
    <w:p w14:paraId="6981B5DB" w14:textId="77777777" w:rsidR="00955A5B" w:rsidRPr="00DE659D" w:rsidRDefault="00955A5B" w:rsidP="00DE659D">
      <w:pPr>
        <w:rPr>
          <w:noProof/>
          <w:color w:val="000000" w:themeColor="text1"/>
          <w:lang w:eastAsia="fr-BE"/>
        </w:rPr>
      </w:pPr>
    </w:p>
    <w:p w14:paraId="67E073F5" w14:textId="525A283D" w:rsidR="00DE659D" w:rsidRPr="00DE659D" w:rsidRDefault="00DE659D" w:rsidP="00CE7357">
      <w:pPr>
        <w:pStyle w:val="Titre3"/>
        <w:rPr>
          <w:noProof/>
          <w:lang w:eastAsia="fr-BE"/>
        </w:rPr>
      </w:pPr>
      <w:bookmarkStart w:id="84" w:name="_Toc51512308"/>
      <w:r w:rsidRPr="00DE659D">
        <w:rPr>
          <w:noProof/>
          <w:lang w:eastAsia="fr-BE"/>
        </w:rPr>
        <w:lastRenderedPageBreak/>
        <w:t>Analysis by country group</w:t>
      </w:r>
      <w:bookmarkEnd w:id="84"/>
    </w:p>
    <w:p w14:paraId="28CD7B10" w14:textId="77777777" w:rsidR="00DE659D" w:rsidRPr="00DE659D" w:rsidRDefault="00DE659D" w:rsidP="00DE659D">
      <w:pPr>
        <w:rPr>
          <w:noProof/>
          <w:color w:val="000000" w:themeColor="text1"/>
          <w:lang w:eastAsia="fr-BE"/>
        </w:rPr>
      </w:pPr>
      <w:r w:rsidRPr="00DE659D">
        <w:rPr>
          <w:noProof/>
          <w:color w:val="000000" w:themeColor="text1"/>
          <w:lang w:eastAsia="fr-BE"/>
        </w:rPr>
        <w:t>There is a strong correlation between the rankings of some Beyond GDP indicators and those based on GDP, which suggests a weak transformative potential. However, if the small divergence in rank lies in dimensions that can be considered meaningful (for instance, the indicators convey another narrative about the countries of the global south), this means that these indicators can still indicate another direction than that pointed to by GDP. In the following section, the indicators’ rankings will be observed by country groups rather than individual countries, according to a major categorisation: ‘OECD countries’ versus ‘non-OECD countries’, the OECD member countries generally being considered as more developed. The indicators’ rankings will then be observed according to another categorisation: the role of the state in the economy, which is a major concern in current and past socio-economic debates. Since a typology of the role of the state in the economy including all the countries from our test group is unavailable, only the industrialised countries will be considered, using a typology—developed by Esping-Andersen—that is a point of reference in political science. Esping-Andersen (1999) clusters countries according to their welfare state regime. He distributes 17 industrialised countries among three schemes: social democratic, conservative corporatist, and liberal</w:t>
      </w:r>
      <w:r w:rsidRPr="00DE659D">
        <w:rPr>
          <w:noProof/>
          <w:color w:val="000000" w:themeColor="text1"/>
          <w:vertAlign w:val="superscript"/>
          <w:lang w:eastAsia="fr-BE"/>
        </w:rPr>
        <w:footnoteReference w:id="31"/>
      </w:r>
      <w:r w:rsidRPr="00DE659D">
        <w:rPr>
          <w:noProof/>
          <w:color w:val="000000" w:themeColor="text1"/>
          <w:lang w:eastAsia="fr-BE"/>
        </w:rPr>
        <w:t>. These three ideal types account for different conceptions of the role of the state in the economy and in social protection. In our analysis, the welfare scheme will be used as a proxy for reflecting the role of the state of the 17 countries under consideration.</w:t>
      </w:r>
    </w:p>
    <w:p w14:paraId="6DF6CE5B" w14:textId="77777777" w:rsidR="00DE659D" w:rsidRPr="00DE659D" w:rsidRDefault="00DE659D" w:rsidP="00DE659D">
      <w:pPr>
        <w:rPr>
          <w:noProof/>
          <w:color w:val="000000" w:themeColor="text1"/>
          <w:lang w:eastAsia="fr-BE"/>
        </w:rPr>
      </w:pPr>
      <w:r w:rsidRPr="00DE659D">
        <w:rPr>
          <w:noProof/>
          <w:color w:val="000000" w:themeColor="text1"/>
          <w:lang w:eastAsia="fr-BE"/>
        </w:rPr>
        <w:t>Table 5 gives the mean rank obtained by country group. One should bear in mind that the countries (or the country groups) show better performance the lower their rank.</w:t>
      </w:r>
    </w:p>
    <w:p w14:paraId="30576615" w14:textId="77777777" w:rsidR="00DE659D" w:rsidRPr="00DE659D" w:rsidRDefault="00DE659D" w:rsidP="00DE659D">
      <w:pPr>
        <w:rPr>
          <w:noProof/>
          <w:color w:val="000000" w:themeColor="text1"/>
          <w:lang w:eastAsia="fr-BE"/>
        </w:rPr>
      </w:pPr>
    </w:p>
    <w:p w14:paraId="23F3F232" w14:textId="77777777" w:rsidR="00DE659D" w:rsidRPr="00955A5B" w:rsidRDefault="00DE659D" w:rsidP="00DE659D">
      <w:pPr>
        <w:rPr>
          <w:noProof/>
          <w:color w:val="000000" w:themeColor="text1"/>
          <w:lang w:eastAsia="fr-BE"/>
        </w:rPr>
      </w:pPr>
      <w:r w:rsidRPr="00955A5B">
        <w:rPr>
          <w:noProof/>
          <w:color w:val="000000" w:themeColor="text1"/>
          <w:lang w:eastAsia="fr-BE"/>
        </w:rPr>
        <w:lastRenderedPageBreak/>
        <w:t>Table 5: Mean rank of OECD vs non-OECD countries and of three welfare regimes, according to GDP and six Beyond GDP indicators</w:t>
      </w:r>
    </w:p>
    <w:tbl>
      <w:tblPr>
        <w:tblStyle w:val="TableauGrille1Clair-Accentuation31"/>
        <w:tblW w:w="5000" w:type="pct"/>
        <w:jc w:val="center"/>
        <w:tblLook w:val="04A0" w:firstRow="1" w:lastRow="0" w:firstColumn="1" w:lastColumn="0" w:noHBand="0" w:noVBand="1"/>
      </w:tblPr>
      <w:tblGrid>
        <w:gridCol w:w="1752"/>
        <w:gridCol w:w="817"/>
        <w:gridCol w:w="794"/>
        <w:gridCol w:w="750"/>
        <w:gridCol w:w="980"/>
        <w:gridCol w:w="768"/>
        <w:gridCol w:w="750"/>
        <w:gridCol w:w="749"/>
      </w:tblGrid>
      <w:tr w:rsidR="00DE659D" w:rsidRPr="00DE659D" w14:paraId="0DE96B39" w14:textId="77777777" w:rsidTr="000C245C">
        <w:trPr>
          <w:cnfStyle w:val="100000000000" w:firstRow="1" w:lastRow="0" w:firstColumn="0" w:lastColumn="0" w:oddVBand="0" w:evenVBand="0" w:oddHBand="0" w:evenHBand="0" w:firstRowFirstColumn="0" w:firstRowLastColumn="0" w:lastRowFirstColumn="0" w:lastRowLastColumn="0"/>
          <w:trHeight w:val="276"/>
          <w:jc w:val="center"/>
        </w:trPr>
        <w:tc>
          <w:tcPr>
            <w:cnfStyle w:val="001000000000" w:firstRow="0" w:lastRow="0" w:firstColumn="1" w:lastColumn="0" w:oddVBand="0" w:evenVBand="0" w:oddHBand="0" w:evenHBand="0" w:firstRowFirstColumn="0" w:firstRowLastColumn="0" w:lastRowFirstColumn="0" w:lastRowLastColumn="0"/>
            <w:tcW w:w="1752" w:type="dxa"/>
            <w:vAlign w:val="center"/>
          </w:tcPr>
          <w:p w14:paraId="609F3557"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 </w:t>
            </w:r>
          </w:p>
        </w:tc>
        <w:tc>
          <w:tcPr>
            <w:tcW w:w="817" w:type="dxa"/>
            <w:vAlign w:val="center"/>
          </w:tcPr>
          <w:p w14:paraId="56CE27E4" w14:textId="160C951B"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GDP</w:t>
            </w:r>
          </w:p>
        </w:tc>
        <w:tc>
          <w:tcPr>
            <w:tcW w:w="794" w:type="dxa"/>
            <w:vAlign w:val="center"/>
          </w:tcPr>
          <w:p w14:paraId="3DDD3523" w14:textId="7BC0F2A3"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HDI</w:t>
            </w:r>
          </w:p>
        </w:tc>
        <w:tc>
          <w:tcPr>
            <w:tcW w:w="750" w:type="dxa"/>
            <w:vAlign w:val="center"/>
          </w:tcPr>
          <w:p w14:paraId="6A4C5B5A" w14:textId="34296282"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SPI</w:t>
            </w:r>
          </w:p>
        </w:tc>
        <w:tc>
          <w:tcPr>
            <w:tcW w:w="980" w:type="dxa"/>
            <w:vAlign w:val="center"/>
          </w:tcPr>
          <w:p w14:paraId="0E596B28" w14:textId="32B4E27B"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GWBI</w:t>
            </w:r>
          </w:p>
        </w:tc>
        <w:tc>
          <w:tcPr>
            <w:tcW w:w="768" w:type="dxa"/>
            <w:vAlign w:val="center"/>
          </w:tcPr>
          <w:p w14:paraId="1770A0BF" w14:textId="60614693"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QoL</w:t>
            </w:r>
          </w:p>
        </w:tc>
        <w:tc>
          <w:tcPr>
            <w:tcW w:w="750" w:type="dxa"/>
            <w:vAlign w:val="center"/>
          </w:tcPr>
          <w:p w14:paraId="56D3703D" w14:textId="0EDD5098"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HPI</w:t>
            </w:r>
          </w:p>
        </w:tc>
        <w:tc>
          <w:tcPr>
            <w:tcW w:w="749" w:type="dxa"/>
            <w:vAlign w:val="center"/>
          </w:tcPr>
          <w:p w14:paraId="0885BE7D" w14:textId="5B698CDE"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i/>
                <w:noProof/>
                <w:color w:val="000000" w:themeColor="text1"/>
                <w:lang w:eastAsia="fr-BE"/>
              </w:rPr>
            </w:pPr>
            <w:r w:rsidRPr="00DE659D">
              <w:rPr>
                <w:i/>
                <w:noProof/>
                <w:color w:val="000000" w:themeColor="text1"/>
                <w:lang w:eastAsia="fr-BE"/>
              </w:rPr>
              <w:t>SSI</w:t>
            </w:r>
          </w:p>
        </w:tc>
      </w:tr>
      <w:tr w:rsidR="00DE659D" w:rsidRPr="00DE659D" w14:paraId="2CA56682" w14:textId="77777777" w:rsidTr="000C245C">
        <w:trPr>
          <w:trHeight w:val="288"/>
          <w:jc w:val="center"/>
        </w:trPr>
        <w:tc>
          <w:tcPr>
            <w:cnfStyle w:val="001000000000" w:firstRow="0" w:lastRow="0" w:firstColumn="1" w:lastColumn="0" w:oddVBand="0" w:evenVBand="0" w:oddHBand="0" w:evenHBand="0" w:firstRowFirstColumn="0" w:firstRowLastColumn="0" w:lastRowFirstColumn="0" w:lastRowLastColumn="0"/>
            <w:tcW w:w="1752" w:type="dxa"/>
            <w:tcBorders>
              <w:bottom w:val="single" w:sz="4" w:space="0" w:color="DBDBDB" w:themeColor="accent3" w:themeTint="66"/>
            </w:tcBorders>
            <w:vAlign w:val="center"/>
          </w:tcPr>
          <w:p w14:paraId="163FF226"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Rank OECD countries</w:t>
            </w:r>
          </w:p>
        </w:tc>
        <w:tc>
          <w:tcPr>
            <w:tcW w:w="817" w:type="dxa"/>
            <w:tcBorders>
              <w:bottom w:val="single" w:sz="4" w:space="0" w:color="DBDBDB" w:themeColor="accent3" w:themeTint="66"/>
            </w:tcBorders>
            <w:vAlign w:val="center"/>
          </w:tcPr>
          <w:p w14:paraId="2E39660F"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19</w:t>
            </w:r>
          </w:p>
        </w:tc>
        <w:tc>
          <w:tcPr>
            <w:tcW w:w="794" w:type="dxa"/>
            <w:tcBorders>
              <w:bottom w:val="single" w:sz="4" w:space="0" w:color="DBDBDB" w:themeColor="accent3" w:themeTint="66"/>
            </w:tcBorders>
            <w:vAlign w:val="center"/>
          </w:tcPr>
          <w:p w14:paraId="6B0D2783"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19</w:t>
            </w:r>
          </w:p>
        </w:tc>
        <w:tc>
          <w:tcPr>
            <w:tcW w:w="750" w:type="dxa"/>
            <w:tcBorders>
              <w:bottom w:val="single" w:sz="4" w:space="0" w:color="DBDBDB" w:themeColor="accent3" w:themeTint="66"/>
            </w:tcBorders>
            <w:vAlign w:val="center"/>
          </w:tcPr>
          <w:p w14:paraId="72B1B32A"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19</w:t>
            </w:r>
          </w:p>
        </w:tc>
        <w:tc>
          <w:tcPr>
            <w:tcW w:w="980" w:type="dxa"/>
            <w:tcBorders>
              <w:bottom w:val="single" w:sz="4" w:space="0" w:color="DBDBDB" w:themeColor="accent3" w:themeTint="66"/>
            </w:tcBorders>
            <w:vAlign w:val="center"/>
          </w:tcPr>
          <w:p w14:paraId="263345B9"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22</w:t>
            </w:r>
          </w:p>
        </w:tc>
        <w:tc>
          <w:tcPr>
            <w:tcW w:w="768" w:type="dxa"/>
            <w:tcBorders>
              <w:bottom w:val="single" w:sz="4" w:space="0" w:color="DBDBDB" w:themeColor="accent3" w:themeTint="66"/>
            </w:tcBorders>
            <w:vAlign w:val="center"/>
          </w:tcPr>
          <w:p w14:paraId="1806A09A"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23</w:t>
            </w:r>
          </w:p>
        </w:tc>
        <w:tc>
          <w:tcPr>
            <w:tcW w:w="750" w:type="dxa"/>
            <w:tcBorders>
              <w:bottom w:val="single" w:sz="4" w:space="0" w:color="DBDBDB" w:themeColor="accent3" w:themeTint="66"/>
            </w:tcBorders>
            <w:vAlign w:val="center"/>
          </w:tcPr>
          <w:p w14:paraId="514BF7FB"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48</w:t>
            </w:r>
          </w:p>
        </w:tc>
        <w:tc>
          <w:tcPr>
            <w:tcW w:w="749" w:type="dxa"/>
            <w:tcBorders>
              <w:bottom w:val="single" w:sz="4" w:space="0" w:color="DBDBDB" w:themeColor="accent3" w:themeTint="66"/>
            </w:tcBorders>
            <w:vAlign w:val="center"/>
          </w:tcPr>
          <w:p w14:paraId="6A752F53"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30</w:t>
            </w:r>
          </w:p>
        </w:tc>
      </w:tr>
      <w:tr w:rsidR="00DE659D" w:rsidRPr="00DE659D" w14:paraId="3F87FD3A" w14:textId="77777777" w:rsidTr="000C245C">
        <w:trPr>
          <w:trHeight w:val="288"/>
          <w:jc w:val="center"/>
        </w:trPr>
        <w:tc>
          <w:tcPr>
            <w:cnfStyle w:val="001000000000" w:firstRow="0" w:lastRow="0" w:firstColumn="1" w:lastColumn="0" w:oddVBand="0" w:evenVBand="0" w:oddHBand="0" w:evenHBand="0" w:firstRowFirstColumn="0" w:firstRowLastColumn="0" w:lastRowFirstColumn="0" w:lastRowLastColumn="0"/>
            <w:tcW w:w="1752" w:type="dxa"/>
            <w:tcBorders>
              <w:bottom w:val="single" w:sz="4" w:space="0" w:color="auto"/>
            </w:tcBorders>
            <w:vAlign w:val="center"/>
          </w:tcPr>
          <w:p w14:paraId="605A5D85"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 xml:space="preserve">Rank Non-OECD </w:t>
            </w:r>
          </w:p>
        </w:tc>
        <w:tc>
          <w:tcPr>
            <w:tcW w:w="817" w:type="dxa"/>
            <w:tcBorders>
              <w:bottom w:val="single" w:sz="4" w:space="0" w:color="auto"/>
            </w:tcBorders>
            <w:vAlign w:val="center"/>
          </w:tcPr>
          <w:p w14:paraId="05C29E6C"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69</w:t>
            </w:r>
          </w:p>
        </w:tc>
        <w:tc>
          <w:tcPr>
            <w:tcW w:w="794" w:type="dxa"/>
            <w:tcBorders>
              <w:bottom w:val="single" w:sz="4" w:space="0" w:color="auto"/>
            </w:tcBorders>
            <w:vAlign w:val="center"/>
          </w:tcPr>
          <w:p w14:paraId="16444651"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70</w:t>
            </w:r>
          </w:p>
        </w:tc>
        <w:tc>
          <w:tcPr>
            <w:tcW w:w="750" w:type="dxa"/>
            <w:tcBorders>
              <w:bottom w:val="single" w:sz="4" w:space="0" w:color="auto"/>
            </w:tcBorders>
            <w:vAlign w:val="center"/>
          </w:tcPr>
          <w:p w14:paraId="544A43ED"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69</w:t>
            </w:r>
          </w:p>
        </w:tc>
        <w:tc>
          <w:tcPr>
            <w:tcW w:w="980" w:type="dxa"/>
            <w:tcBorders>
              <w:bottom w:val="single" w:sz="4" w:space="0" w:color="auto"/>
            </w:tcBorders>
            <w:vAlign w:val="center"/>
          </w:tcPr>
          <w:p w14:paraId="401CC545"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68</w:t>
            </w:r>
          </w:p>
        </w:tc>
        <w:tc>
          <w:tcPr>
            <w:tcW w:w="768" w:type="dxa"/>
            <w:tcBorders>
              <w:bottom w:val="single" w:sz="4" w:space="0" w:color="auto"/>
            </w:tcBorders>
            <w:vAlign w:val="center"/>
          </w:tcPr>
          <w:p w14:paraId="2AC8D0AB"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68</w:t>
            </w:r>
          </w:p>
        </w:tc>
        <w:tc>
          <w:tcPr>
            <w:tcW w:w="750" w:type="dxa"/>
            <w:tcBorders>
              <w:bottom w:val="single" w:sz="4" w:space="0" w:color="auto"/>
            </w:tcBorders>
            <w:vAlign w:val="center"/>
          </w:tcPr>
          <w:p w14:paraId="74F9F979"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56</w:t>
            </w:r>
          </w:p>
        </w:tc>
        <w:tc>
          <w:tcPr>
            <w:tcW w:w="749" w:type="dxa"/>
            <w:tcBorders>
              <w:bottom w:val="single" w:sz="4" w:space="0" w:color="auto"/>
            </w:tcBorders>
            <w:vAlign w:val="center"/>
          </w:tcPr>
          <w:p w14:paraId="34E4907E"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64</w:t>
            </w:r>
          </w:p>
        </w:tc>
      </w:tr>
      <w:tr w:rsidR="00DE659D" w:rsidRPr="00DE659D" w14:paraId="4016DD0F" w14:textId="77777777" w:rsidTr="000C245C">
        <w:trPr>
          <w:trHeight w:val="288"/>
          <w:jc w:val="center"/>
        </w:trPr>
        <w:tc>
          <w:tcPr>
            <w:cnfStyle w:val="001000000000" w:firstRow="0" w:lastRow="0" w:firstColumn="1" w:lastColumn="0" w:oddVBand="0" w:evenVBand="0" w:oddHBand="0" w:evenHBand="0" w:firstRowFirstColumn="0" w:firstRowLastColumn="0" w:lastRowFirstColumn="0" w:lastRowLastColumn="0"/>
            <w:tcW w:w="1752" w:type="dxa"/>
            <w:tcBorders>
              <w:top w:val="single" w:sz="4" w:space="0" w:color="auto"/>
            </w:tcBorders>
            <w:vAlign w:val="center"/>
          </w:tcPr>
          <w:p w14:paraId="5F0A7089"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Social Democratic</w:t>
            </w:r>
          </w:p>
        </w:tc>
        <w:tc>
          <w:tcPr>
            <w:tcW w:w="817" w:type="dxa"/>
            <w:tcBorders>
              <w:top w:val="single" w:sz="4" w:space="0" w:color="auto"/>
            </w:tcBorders>
            <w:vAlign w:val="center"/>
          </w:tcPr>
          <w:p w14:paraId="2E8C2923"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794" w:type="dxa"/>
            <w:tcBorders>
              <w:top w:val="single" w:sz="4" w:space="0" w:color="auto"/>
            </w:tcBorders>
            <w:vAlign w:val="center"/>
          </w:tcPr>
          <w:p w14:paraId="5212F6BC"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750" w:type="dxa"/>
            <w:tcBorders>
              <w:top w:val="single" w:sz="4" w:space="0" w:color="auto"/>
            </w:tcBorders>
            <w:vAlign w:val="center"/>
          </w:tcPr>
          <w:p w14:paraId="3C906E07"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4</w:t>
            </w:r>
          </w:p>
        </w:tc>
        <w:tc>
          <w:tcPr>
            <w:tcW w:w="980" w:type="dxa"/>
            <w:tcBorders>
              <w:top w:val="single" w:sz="4" w:space="0" w:color="auto"/>
            </w:tcBorders>
            <w:vAlign w:val="center"/>
          </w:tcPr>
          <w:p w14:paraId="0BD9D352"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768" w:type="dxa"/>
            <w:tcBorders>
              <w:top w:val="single" w:sz="4" w:space="0" w:color="auto"/>
            </w:tcBorders>
            <w:vAlign w:val="center"/>
          </w:tcPr>
          <w:p w14:paraId="3E8C9CEC"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11</w:t>
            </w:r>
          </w:p>
        </w:tc>
        <w:tc>
          <w:tcPr>
            <w:tcW w:w="750" w:type="dxa"/>
            <w:tcBorders>
              <w:top w:val="single" w:sz="4" w:space="0" w:color="auto"/>
            </w:tcBorders>
            <w:vAlign w:val="center"/>
          </w:tcPr>
          <w:p w14:paraId="336CE30D"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30</w:t>
            </w:r>
          </w:p>
        </w:tc>
        <w:tc>
          <w:tcPr>
            <w:tcW w:w="749" w:type="dxa"/>
            <w:tcBorders>
              <w:top w:val="single" w:sz="4" w:space="0" w:color="auto"/>
            </w:tcBorders>
            <w:vAlign w:val="center"/>
          </w:tcPr>
          <w:p w14:paraId="734F30FA"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w:t>
            </w:r>
          </w:p>
        </w:tc>
      </w:tr>
      <w:tr w:rsidR="00DE659D" w:rsidRPr="00DE659D" w14:paraId="2B80CEED" w14:textId="77777777" w:rsidTr="000C245C">
        <w:trPr>
          <w:trHeight w:val="288"/>
          <w:jc w:val="center"/>
        </w:trPr>
        <w:tc>
          <w:tcPr>
            <w:cnfStyle w:val="001000000000" w:firstRow="0" w:lastRow="0" w:firstColumn="1" w:lastColumn="0" w:oddVBand="0" w:evenVBand="0" w:oddHBand="0" w:evenHBand="0" w:firstRowFirstColumn="0" w:firstRowLastColumn="0" w:lastRowFirstColumn="0" w:lastRowLastColumn="0"/>
            <w:tcW w:w="1752" w:type="dxa"/>
            <w:vAlign w:val="center"/>
          </w:tcPr>
          <w:p w14:paraId="482B5434"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Conservative Corporatist</w:t>
            </w:r>
          </w:p>
        </w:tc>
        <w:tc>
          <w:tcPr>
            <w:tcW w:w="817" w:type="dxa"/>
            <w:vAlign w:val="center"/>
          </w:tcPr>
          <w:p w14:paraId="414A1ADE"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19</w:t>
            </w:r>
          </w:p>
        </w:tc>
        <w:tc>
          <w:tcPr>
            <w:tcW w:w="794" w:type="dxa"/>
            <w:vAlign w:val="center"/>
          </w:tcPr>
          <w:p w14:paraId="52F59788"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24</w:t>
            </w:r>
          </w:p>
        </w:tc>
        <w:tc>
          <w:tcPr>
            <w:tcW w:w="750" w:type="dxa"/>
            <w:vAlign w:val="center"/>
          </w:tcPr>
          <w:p w14:paraId="32C310ED"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22</w:t>
            </w:r>
          </w:p>
        </w:tc>
        <w:tc>
          <w:tcPr>
            <w:tcW w:w="980" w:type="dxa"/>
            <w:vAlign w:val="center"/>
          </w:tcPr>
          <w:p w14:paraId="006D29BF"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25</w:t>
            </w:r>
          </w:p>
        </w:tc>
        <w:tc>
          <w:tcPr>
            <w:tcW w:w="768" w:type="dxa"/>
            <w:vAlign w:val="center"/>
          </w:tcPr>
          <w:p w14:paraId="76E72919"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21</w:t>
            </w:r>
          </w:p>
        </w:tc>
        <w:tc>
          <w:tcPr>
            <w:tcW w:w="750" w:type="dxa"/>
            <w:vAlign w:val="center"/>
          </w:tcPr>
          <w:p w14:paraId="1D20A470"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55</w:t>
            </w:r>
          </w:p>
        </w:tc>
        <w:tc>
          <w:tcPr>
            <w:tcW w:w="749" w:type="dxa"/>
            <w:vAlign w:val="center"/>
          </w:tcPr>
          <w:p w14:paraId="0851218D"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37</w:t>
            </w:r>
          </w:p>
        </w:tc>
      </w:tr>
      <w:tr w:rsidR="00DE659D" w:rsidRPr="00DE659D" w14:paraId="5DB3737D" w14:textId="77777777" w:rsidTr="000C245C">
        <w:trPr>
          <w:trHeight w:val="288"/>
          <w:jc w:val="center"/>
        </w:trPr>
        <w:tc>
          <w:tcPr>
            <w:cnfStyle w:val="001000000000" w:firstRow="0" w:lastRow="0" w:firstColumn="1" w:lastColumn="0" w:oddVBand="0" w:evenVBand="0" w:oddHBand="0" w:evenHBand="0" w:firstRowFirstColumn="0" w:firstRowLastColumn="0" w:lastRowFirstColumn="0" w:lastRowLastColumn="0"/>
            <w:tcW w:w="1752" w:type="dxa"/>
            <w:vAlign w:val="center"/>
          </w:tcPr>
          <w:p w14:paraId="078F367D" w14:textId="77777777" w:rsidR="00DE659D" w:rsidRPr="00DE659D" w:rsidRDefault="00DE659D" w:rsidP="000C245C">
            <w:pPr>
              <w:spacing w:after="160"/>
              <w:ind w:firstLine="0"/>
              <w:rPr>
                <w:noProof/>
                <w:color w:val="000000" w:themeColor="text1"/>
                <w:lang w:eastAsia="fr-BE"/>
              </w:rPr>
            </w:pPr>
            <w:r w:rsidRPr="00DE659D">
              <w:rPr>
                <w:noProof/>
                <w:color w:val="000000" w:themeColor="text1"/>
                <w:lang w:eastAsia="fr-BE"/>
              </w:rPr>
              <w:t>Liberal</w:t>
            </w:r>
          </w:p>
        </w:tc>
        <w:tc>
          <w:tcPr>
            <w:tcW w:w="817" w:type="dxa"/>
            <w:vAlign w:val="center"/>
          </w:tcPr>
          <w:p w14:paraId="1C2A0B77"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794" w:type="dxa"/>
            <w:vAlign w:val="center"/>
          </w:tcPr>
          <w:p w14:paraId="14069499"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8</w:t>
            </w:r>
          </w:p>
        </w:tc>
        <w:tc>
          <w:tcPr>
            <w:tcW w:w="750" w:type="dxa"/>
            <w:vAlign w:val="center"/>
          </w:tcPr>
          <w:p w14:paraId="5B7F662E"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980" w:type="dxa"/>
            <w:vAlign w:val="center"/>
          </w:tcPr>
          <w:p w14:paraId="417FE02E"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768" w:type="dxa"/>
            <w:vAlign w:val="center"/>
          </w:tcPr>
          <w:p w14:paraId="61C82D02"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7</w:t>
            </w:r>
          </w:p>
        </w:tc>
        <w:tc>
          <w:tcPr>
            <w:tcW w:w="750" w:type="dxa"/>
            <w:vAlign w:val="center"/>
          </w:tcPr>
          <w:p w14:paraId="57739FEF"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62</w:t>
            </w:r>
          </w:p>
        </w:tc>
        <w:tc>
          <w:tcPr>
            <w:tcW w:w="749" w:type="dxa"/>
            <w:vAlign w:val="center"/>
          </w:tcPr>
          <w:p w14:paraId="09CB777C"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55</w:t>
            </w:r>
          </w:p>
        </w:tc>
      </w:tr>
    </w:tbl>
    <w:p w14:paraId="48625907" w14:textId="77777777" w:rsidR="00DE659D" w:rsidRPr="00DE659D" w:rsidRDefault="00DE659D" w:rsidP="00DE659D">
      <w:pPr>
        <w:rPr>
          <w:noProof/>
          <w:color w:val="000000" w:themeColor="text1"/>
          <w:lang w:eastAsia="fr-BE"/>
        </w:rPr>
      </w:pPr>
    </w:p>
    <w:p w14:paraId="7FFE3A7B" w14:textId="77777777" w:rsidR="00DE659D" w:rsidRPr="00DE659D" w:rsidRDefault="00DE659D" w:rsidP="00DE659D">
      <w:pPr>
        <w:rPr>
          <w:noProof/>
          <w:color w:val="000000" w:themeColor="text1"/>
          <w:lang w:eastAsia="fr-BE"/>
        </w:rPr>
      </w:pPr>
      <w:r w:rsidRPr="00DE659D">
        <w:rPr>
          <w:noProof/>
          <w:color w:val="000000" w:themeColor="text1"/>
          <w:lang w:eastAsia="fr-BE"/>
        </w:rPr>
        <w:t>The same two groups of indicators emerge from Table 5. The HDI, SPI, GWBI, and QoL indicators produce a mean between 19 and 23 for the OECD countries, close to the GDP-based mean (19). For these indicators, the mean rank of the non-OECD countries oscillates between 68 and 70, which is also close to the GDP mean (69).</w:t>
      </w:r>
      <w:r w:rsidRPr="00DE659D">
        <w:rPr>
          <w:noProof/>
          <w:color w:val="000000" w:themeColor="text1"/>
          <w:vertAlign w:val="superscript"/>
          <w:lang w:eastAsia="fr-BE"/>
        </w:rPr>
        <w:footnoteReference w:id="32"/>
      </w:r>
      <w:r w:rsidRPr="00DE659D">
        <w:rPr>
          <w:noProof/>
          <w:color w:val="000000" w:themeColor="text1"/>
          <w:lang w:eastAsia="fr-BE"/>
        </w:rPr>
        <w:t xml:space="preserve"> The four indicators thus lead to a difference in performance between OECD and non-OECD countries similar to that produced by GDP. The narrative that is conveyed here is therefore not different to that conveyed by GDP. On the other hand, the remaining two indicators, the HPI and the SSI, produce a mean rank considerably more favourable to non-OECD countries (in comparison with GDP). </w:t>
      </w:r>
    </w:p>
    <w:p w14:paraId="571671D3"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Amongst the three categories of welfare state, the social democratic countries appear in top ranking position for all the </w:t>
      </w:r>
      <w:r w:rsidRPr="00DE659D">
        <w:rPr>
          <w:noProof/>
          <w:color w:val="000000" w:themeColor="text1"/>
          <w:lang w:eastAsia="fr-BE"/>
        </w:rPr>
        <w:lastRenderedPageBreak/>
        <w:t>indicators except QoL</w:t>
      </w:r>
      <w:r w:rsidRPr="00DE659D">
        <w:rPr>
          <w:noProof/>
          <w:color w:val="000000" w:themeColor="text1"/>
          <w:vertAlign w:val="superscript"/>
          <w:lang w:eastAsia="fr-BE"/>
        </w:rPr>
        <w:footnoteReference w:id="33"/>
      </w:r>
      <w:r w:rsidRPr="00DE659D">
        <w:rPr>
          <w:noProof/>
          <w:color w:val="000000" w:themeColor="text1"/>
          <w:lang w:eastAsia="fr-BE"/>
        </w:rPr>
        <w:t xml:space="preserve">. The HDI, SPI, and GWBI (as well as GDP) hold the liberal countries in second place. The HPI and SSI indicators hold the Western European conservative corporatist countries in second place, and the liberal countries in last place. It is worth noting again that the mean rankings of the HDI, SPI, and GWBI indicators are very close to those produced by GDP across all welfare regimes, except for QoL, which ranks liberal countries at the top. These results thus converge with those that emerged from separating the OECD and non-OECD countries. When the countries are compared based on their welfare regimes, the SPI, GWBI, HDI indicators do not supply additional information to that supplied by GDP. </w:t>
      </w:r>
    </w:p>
    <w:p w14:paraId="13199049" w14:textId="7B416C18" w:rsidR="00DE659D" w:rsidRPr="00DE659D" w:rsidRDefault="00DE659D" w:rsidP="00CE7357">
      <w:pPr>
        <w:pStyle w:val="Titre2"/>
        <w:rPr>
          <w:noProof/>
          <w:lang w:val="en-US" w:eastAsia="fr-BE"/>
        </w:rPr>
      </w:pPr>
      <w:bookmarkStart w:id="85" w:name="_Toc51512309"/>
      <w:r w:rsidRPr="00DE659D">
        <w:rPr>
          <w:noProof/>
          <w:lang w:val="en-US" w:eastAsia="fr-BE"/>
        </w:rPr>
        <w:t>Correlation with GDP factors</w:t>
      </w:r>
      <w:bookmarkEnd w:id="85"/>
    </w:p>
    <w:p w14:paraId="4309F30F" w14:textId="34887B9E" w:rsidR="00DE659D" w:rsidRPr="00CE7357" w:rsidRDefault="00DE659D" w:rsidP="00CE7357">
      <w:pPr>
        <w:rPr>
          <w:noProof/>
          <w:color w:val="000000" w:themeColor="text1"/>
          <w:lang w:val="hu-HU" w:eastAsia="fr-BE"/>
        </w:rPr>
      </w:pPr>
      <w:r w:rsidRPr="00DE659D">
        <w:rPr>
          <w:noProof/>
          <w:color w:val="000000" w:themeColor="text1"/>
          <w:lang w:eastAsia="fr-BE"/>
        </w:rPr>
        <w:t>The indicators initiated by powerful stakeholders presented here produce rankings that are near or very near to those produced by GDP. Does this mean that GDP is an adequate indicator of well-being after all? Or is the proximity of the results due to the fact that the Beyond GDP indicators initiated by powerful stakeholders make use of variables and methods that in consequence end up producing results close to those produced by GDP? A more or less close correlation with GDP can be the result of three things: the choice of variables, the weight attributed to each and the aggregation method. The following will examine what these different methodological options entail.</w:t>
      </w:r>
    </w:p>
    <w:p w14:paraId="6FBE6442" w14:textId="46227FAA" w:rsidR="00DE659D" w:rsidRPr="00DE659D" w:rsidRDefault="00DE659D" w:rsidP="00CE7357">
      <w:pPr>
        <w:pStyle w:val="Titre3"/>
        <w:rPr>
          <w:noProof/>
          <w:lang w:eastAsia="fr-BE"/>
        </w:rPr>
      </w:pPr>
      <w:bookmarkStart w:id="86" w:name="_Toc51512310"/>
      <w:r w:rsidRPr="00DE659D">
        <w:rPr>
          <w:noProof/>
          <w:lang w:eastAsia="fr-BE"/>
        </w:rPr>
        <w:t>The choice of variables</w:t>
      </w:r>
      <w:bookmarkEnd w:id="86"/>
    </w:p>
    <w:p w14:paraId="761921B3"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If GDP is positively correlated with most Beyond GDP indicators, this is because the latter are based on variables that are themselves correlated with GDP. As Easterly notes in a review of different studies investigating the link between quality of life and GDP, ‘Studies such as Wheeler (1980), Ram (1985), Dasgupta and Weale (1992), Dasgupta (1993), Kakwani (1993), Sen (1994), and Fedderke and Klitgaard (1998) generally found quality-of-life indicators to be higher in richer nations’ (Easterly, 1999, 241). A positive correlation </w:t>
      </w:r>
      <w:r w:rsidRPr="00DE659D">
        <w:rPr>
          <w:noProof/>
          <w:color w:val="000000" w:themeColor="text1"/>
          <w:lang w:eastAsia="fr-BE"/>
        </w:rPr>
        <w:lastRenderedPageBreak/>
        <w:t>between GDP and most Beyond GDP indicators is not surprising. What is surprising, however, is the scale of the correlation (more than 80%) in most of the indicators under consideration. It is important then to identify which variables correlate most closely with GDP.</w:t>
      </w:r>
    </w:p>
    <w:p w14:paraId="3D2EB542" w14:textId="77777777" w:rsidR="00DE659D" w:rsidRPr="00DE659D" w:rsidRDefault="00DE659D" w:rsidP="00DE659D">
      <w:pPr>
        <w:rPr>
          <w:noProof/>
          <w:color w:val="000000" w:themeColor="text1"/>
          <w:lang w:eastAsia="fr-BE"/>
        </w:rPr>
      </w:pPr>
      <w:r w:rsidRPr="00DE659D">
        <w:rPr>
          <w:noProof/>
          <w:color w:val="000000" w:themeColor="text1"/>
          <w:lang w:eastAsia="fr-BE"/>
        </w:rPr>
        <w:t>McGillivray (1991) and Cahil (2005) demonstrate that health and education variables are strongly correlated with GDP, on a scale of more than 70% in the 1980’s and in 2001.</w:t>
      </w:r>
      <w:r w:rsidRPr="00DE659D">
        <w:rPr>
          <w:noProof/>
          <w:color w:val="000000" w:themeColor="text1"/>
          <w:vertAlign w:val="superscript"/>
          <w:lang w:eastAsia="fr-BE"/>
        </w:rPr>
        <w:footnoteReference w:id="34"/>
      </w:r>
      <w:r w:rsidRPr="00DE659D">
        <w:rPr>
          <w:noProof/>
          <w:color w:val="000000" w:themeColor="text1"/>
          <w:lang w:eastAsia="fr-BE"/>
        </w:rPr>
        <w:t xml:space="preserve"> Inglehart and Klingemann (2000) calculate a 70% correlation coefficient between subjective satisfaction with life and GDP in the 1990’s. Federkke and Klitgaard (1998) observe a positive correlation between GDP, civil and political rights (44-74%), and institutional efficacy (54-76%), as well as a negative correlation between GDP and political instability (-45- -64%) </w:t>
      </w:r>
      <w:r w:rsidRPr="00DE659D">
        <w:rPr>
          <w:noProof/>
          <w:color w:val="000000" w:themeColor="text1"/>
          <w:lang w:val="en-US" w:eastAsia="fr-BE"/>
        </w:rPr>
        <w:t>for the 1960–85 period</w:t>
      </w:r>
      <w:r w:rsidRPr="00DE659D">
        <w:rPr>
          <w:noProof/>
          <w:color w:val="000000" w:themeColor="text1"/>
          <w:lang w:eastAsia="fr-BE"/>
        </w:rPr>
        <w:t>. Health, education, civil and political rights, subjective satisfaction, and other such variables are thus strongly correlated with GDP (up to a certain point). This means that an indicator made up solely of this kind of variable has a strong chance of being strongly correlated with GDP and hence of being redundant. The inclusion of GDP among the variables considered by the indicator makes such an outcome even more likely. The HDI makes use of these variables all together, and a number of articles have considered it to be redundant in regard to GDP (Mc Gillivray, 1991; Cahil, 2005). For an indicator to diverge from GDP, it must also consider variables less strongly correlated with GDP. Table 6 lays out a few instances of variables that have been a concern for the Beyond GDP indicators’ movement, such as inequality and environmental variables. These are weakly correlated with GDP.</w:t>
      </w:r>
    </w:p>
    <w:p w14:paraId="43EC67BD" w14:textId="77777777" w:rsidR="00DE659D" w:rsidRPr="00DE659D" w:rsidRDefault="00DE659D" w:rsidP="00DE659D">
      <w:pPr>
        <w:rPr>
          <w:noProof/>
          <w:color w:val="000000" w:themeColor="text1"/>
          <w:lang w:eastAsia="fr-BE"/>
        </w:rPr>
      </w:pPr>
    </w:p>
    <w:p w14:paraId="3357AFE8" w14:textId="77777777" w:rsidR="000C245C" w:rsidRDefault="000C245C">
      <w:pPr>
        <w:spacing w:line="259" w:lineRule="auto"/>
        <w:ind w:firstLine="0"/>
        <w:jc w:val="left"/>
        <w:rPr>
          <w:noProof/>
          <w:color w:val="000000" w:themeColor="text1"/>
          <w:lang w:eastAsia="fr-BE"/>
        </w:rPr>
      </w:pPr>
      <w:r>
        <w:rPr>
          <w:noProof/>
          <w:color w:val="000000" w:themeColor="text1"/>
          <w:lang w:eastAsia="fr-BE"/>
        </w:rPr>
        <w:br w:type="page"/>
      </w:r>
    </w:p>
    <w:p w14:paraId="5F54916E" w14:textId="2B388BCB" w:rsidR="00DE659D" w:rsidRPr="000C245C" w:rsidRDefault="00DE659D" w:rsidP="00DE659D">
      <w:pPr>
        <w:rPr>
          <w:noProof/>
          <w:color w:val="000000" w:themeColor="text1"/>
          <w:lang w:eastAsia="fr-BE"/>
        </w:rPr>
      </w:pPr>
      <w:r w:rsidRPr="000C245C">
        <w:rPr>
          <w:noProof/>
          <w:color w:val="000000" w:themeColor="text1"/>
          <w:lang w:eastAsia="fr-BE"/>
        </w:rPr>
        <w:lastRenderedPageBreak/>
        <w:t xml:space="preserve">Table 6: Variables with low or moderate correlation (rank) with GDP </w:t>
      </w:r>
    </w:p>
    <w:tbl>
      <w:tblPr>
        <w:tblStyle w:val="TableauGrille1Clair-Accentuation31"/>
        <w:tblW w:w="6900" w:type="dxa"/>
        <w:tblLook w:val="04A0" w:firstRow="1" w:lastRow="0" w:firstColumn="1" w:lastColumn="0" w:noHBand="0" w:noVBand="1"/>
      </w:tblPr>
      <w:tblGrid>
        <w:gridCol w:w="3451"/>
        <w:gridCol w:w="3449"/>
      </w:tblGrid>
      <w:tr w:rsidR="00DE659D" w:rsidRPr="00DE659D" w14:paraId="14745950" w14:textId="77777777" w:rsidTr="000C24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51" w:type="dxa"/>
          </w:tcPr>
          <w:p w14:paraId="47517F3B" w14:textId="77777777" w:rsidR="00DE659D" w:rsidRPr="00DE659D" w:rsidRDefault="00DE659D" w:rsidP="000C245C">
            <w:pPr>
              <w:spacing w:after="160"/>
              <w:ind w:firstLine="0"/>
              <w:jc w:val="center"/>
              <w:rPr>
                <w:noProof/>
                <w:color w:val="000000" w:themeColor="text1"/>
                <w:lang w:eastAsia="fr-BE"/>
              </w:rPr>
            </w:pPr>
          </w:p>
        </w:tc>
        <w:tc>
          <w:tcPr>
            <w:tcW w:w="3449" w:type="dxa"/>
          </w:tcPr>
          <w:p w14:paraId="1C8AD0AE" w14:textId="77777777" w:rsidR="00DE659D" w:rsidRPr="00DE659D" w:rsidRDefault="00DE659D" w:rsidP="000C245C">
            <w:pPr>
              <w:spacing w:after="160"/>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Correlation with GDP rank, per capita PPP</w:t>
            </w:r>
          </w:p>
        </w:tc>
      </w:tr>
      <w:tr w:rsidR="00DE659D" w:rsidRPr="00DE659D" w14:paraId="46AB6422" w14:textId="77777777" w:rsidTr="000C245C">
        <w:tc>
          <w:tcPr>
            <w:cnfStyle w:val="001000000000" w:firstRow="0" w:lastRow="0" w:firstColumn="1" w:lastColumn="0" w:oddVBand="0" w:evenVBand="0" w:oddHBand="0" w:evenHBand="0" w:firstRowFirstColumn="0" w:firstRowLastColumn="0" w:lastRowFirstColumn="0" w:lastRowLastColumn="0"/>
            <w:tcW w:w="3451" w:type="dxa"/>
          </w:tcPr>
          <w:p w14:paraId="4E930B15" w14:textId="77777777" w:rsidR="00DE659D" w:rsidRPr="00DE659D" w:rsidRDefault="00DE659D" w:rsidP="000C245C">
            <w:pPr>
              <w:spacing w:after="160"/>
              <w:ind w:firstLine="0"/>
              <w:jc w:val="left"/>
              <w:rPr>
                <w:noProof/>
                <w:color w:val="000000" w:themeColor="text1"/>
                <w:lang w:eastAsia="fr-BE"/>
              </w:rPr>
            </w:pPr>
            <w:r w:rsidRPr="00DE659D">
              <w:rPr>
                <w:noProof/>
                <w:color w:val="000000" w:themeColor="text1"/>
                <w:lang w:eastAsia="fr-BE"/>
              </w:rPr>
              <w:t>Availability of affordable housing</w:t>
            </w:r>
          </w:p>
        </w:tc>
        <w:tc>
          <w:tcPr>
            <w:tcW w:w="3449" w:type="dxa"/>
          </w:tcPr>
          <w:p w14:paraId="7A1D073B"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0,13</w:t>
            </w:r>
          </w:p>
        </w:tc>
      </w:tr>
      <w:tr w:rsidR="00DE659D" w:rsidRPr="00DE659D" w14:paraId="3D2B2EBB" w14:textId="77777777" w:rsidTr="000C245C">
        <w:tc>
          <w:tcPr>
            <w:cnfStyle w:val="001000000000" w:firstRow="0" w:lastRow="0" w:firstColumn="1" w:lastColumn="0" w:oddVBand="0" w:evenVBand="0" w:oddHBand="0" w:evenHBand="0" w:firstRowFirstColumn="0" w:firstRowLastColumn="0" w:lastRowFirstColumn="0" w:lastRowLastColumn="0"/>
            <w:tcW w:w="3451" w:type="dxa"/>
          </w:tcPr>
          <w:p w14:paraId="382D5660" w14:textId="77777777" w:rsidR="00DE659D" w:rsidRPr="00DE659D" w:rsidRDefault="00DE659D" w:rsidP="000C245C">
            <w:pPr>
              <w:spacing w:after="160"/>
              <w:ind w:firstLine="0"/>
              <w:jc w:val="left"/>
              <w:rPr>
                <w:noProof/>
                <w:color w:val="000000" w:themeColor="text1"/>
                <w:lang w:eastAsia="fr-BE"/>
              </w:rPr>
            </w:pPr>
            <w:r w:rsidRPr="00DE659D">
              <w:rPr>
                <w:noProof/>
                <w:color w:val="000000" w:themeColor="text1"/>
                <w:lang w:eastAsia="fr-BE"/>
              </w:rPr>
              <w:t>Gini coefficient</w:t>
            </w:r>
          </w:p>
        </w:tc>
        <w:tc>
          <w:tcPr>
            <w:tcW w:w="3449" w:type="dxa"/>
          </w:tcPr>
          <w:p w14:paraId="3E577B8A"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bCs/>
                <w:noProof/>
                <w:color w:val="000000" w:themeColor="text1"/>
                <w:lang w:eastAsia="fr-BE"/>
              </w:rPr>
            </w:pPr>
            <w:r w:rsidRPr="00DE659D">
              <w:rPr>
                <w:bCs/>
                <w:noProof/>
                <w:color w:val="000000" w:themeColor="text1"/>
                <w:lang w:eastAsia="fr-BE"/>
              </w:rPr>
              <w:t>0,37</w:t>
            </w:r>
          </w:p>
        </w:tc>
      </w:tr>
      <w:tr w:rsidR="00DE659D" w:rsidRPr="00DE659D" w14:paraId="5B686028" w14:textId="77777777" w:rsidTr="000C245C">
        <w:tc>
          <w:tcPr>
            <w:cnfStyle w:val="001000000000" w:firstRow="0" w:lastRow="0" w:firstColumn="1" w:lastColumn="0" w:oddVBand="0" w:evenVBand="0" w:oddHBand="0" w:evenHBand="0" w:firstRowFirstColumn="0" w:firstRowLastColumn="0" w:lastRowFirstColumn="0" w:lastRowLastColumn="0"/>
            <w:tcW w:w="3451" w:type="dxa"/>
          </w:tcPr>
          <w:p w14:paraId="3CAC8E5B" w14:textId="0AC1BFFE" w:rsidR="00DE659D" w:rsidRPr="00DE659D" w:rsidRDefault="00DE659D" w:rsidP="000C245C">
            <w:pPr>
              <w:spacing w:after="160"/>
              <w:ind w:firstLine="0"/>
              <w:jc w:val="left"/>
              <w:rPr>
                <w:noProof/>
                <w:color w:val="000000" w:themeColor="text1"/>
                <w:lang w:eastAsia="fr-BE"/>
              </w:rPr>
            </w:pPr>
            <w:r w:rsidRPr="00DE659D">
              <w:rPr>
                <w:noProof/>
                <w:color w:val="000000" w:themeColor="text1"/>
                <w:lang w:eastAsia="fr-BE"/>
              </w:rPr>
              <w:t>Biodiversity and habitat</w:t>
            </w:r>
          </w:p>
        </w:tc>
        <w:tc>
          <w:tcPr>
            <w:tcW w:w="3449" w:type="dxa"/>
          </w:tcPr>
          <w:p w14:paraId="42DE0B68" w14:textId="45EF238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b/>
                <w:noProof/>
                <w:color w:val="000000" w:themeColor="text1"/>
                <w:lang w:eastAsia="fr-BE"/>
              </w:rPr>
            </w:pPr>
            <w:r w:rsidRPr="00DE659D">
              <w:rPr>
                <w:bCs/>
                <w:noProof/>
                <w:color w:val="000000" w:themeColor="text1"/>
                <w:lang w:eastAsia="fr-BE"/>
              </w:rPr>
              <w:t>0,33</w:t>
            </w:r>
          </w:p>
        </w:tc>
      </w:tr>
      <w:tr w:rsidR="00DE659D" w:rsidRPr="00DE659D" w14:paraId="5A282592" w14:textId="77777777" w:rsidTr="000C245C">
        <w:tc>
          <w:tcPr>
            <w:cnfStyle w:val="001000000000" w:firstRow="0" w:lastRow="0" w:firstColumn="1" w:lastColumn="0" w:oddVBand="0" w:evenVBand="0" w:oddHBand="0" w:evenHBand="0" w:firstRowFirstColumn="0" w:firstRowLastColumn="0" w:lastRowFirstColumn="0" w:lastRowLastColumn="0"/>
            <w:tcW w:w="3451" w:type="dxa"/>
          </w:tcPr>
          <w:p w14:paraId="4E3DD465" w14:textId="77777777" w:rsidR="00DE659D" w:rsidRPr="00DE659D" w:rsidRDefault="00DE659D" w:rsidP="000C245C">
            <w:pPr>
              <w:spacing w:after="160"/>
              <w:ind w:firstLine="0"/>
              <w:jc w:val="left"/>
              <w:rPr>
                <w:noProof/>
                <w:color w:val="000000" w:themeColor="text1"/>
                <w:lang w:eastAsia="fr-BE"/>
              </w:rPr>
            </w:pPr>
            <w:r w:rsidRPr="00DE659D">
              <w:rPr>
                <w:noProof/>
                <w:color w:val="000000" w:themeColor="text1"/>
                <w:lang w:eastAsia="fr-BE"/>
              </w:rPr>
              <w:t>Greenhouse gas emissions / Pop.</w:t>
            </w:r>
          </w:p>
        </w:tc>
        <w:tc>
          <w:tcPr>
            <w:tcW w:w="3449" w:type="dxa"/>
          </w:tcPr>
          <w:p w14:paraId="3509F5D1"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bCs/>
                <w:noProof/>
                <w:color w:val="000000" w:themeColor="text1"/>
                <w:lang w:eastAsia="fr-BE"/>
              </w:rPr>
            </w:pPr>
            <w:r w:rsidRPr="00DE659D">
              <w:rPr>
                <w:bCs/>
                <w:noProof/>
                <w:color w:val="000000" w:themeColor="text1"/>
                <w:lang w:eastAsia="fr-BE"/>
              </w:rPr>
              <w:t>-0,85</w:t>
            </w:r>
          </w:p>
        </w:tc>
      </w:tr>
      <w:tr w:rsidR="00DE659D" w:rsidRPr="00DE659D" w14:paraId="54DD27F6" w14:textId="77777777" w:rsidTr="000C245C">
        <w:tc>
          <w:tcPr>
            <w:cnfStyle w:val="001000000000" w:firstRow="0" w:lastRow="0" w:firstColumn="1" w:lastColumn="0" w:oddVBand="0" w:evenVBand="0" w:oddHBand="0" w:evenHBand="0" w:firstRowFirstColumn="0" w:firstRowLastColumn="0" w:lastRowFirstColumn="0" w:lastRowLastColumn="0"/>
            <w:tcW w:w="3451" w:type="dxa"/>
          </w:tcPr>
          <w:p w14:paraId="5136394A" w14:textId="77777777" w:rsidR="00DE659D" w:rsidRPr="00DE659D" w:rsidRDefault="00DE659D" w:rsidP="000C245C">
            <w:pPr>
              <w:spacing w:after="160"/>
              <w:ind w:firstLine="0"/>
              <w:jc w:val="left"/>
              <w:rPr>
                <w:noProof/>
                <w:color w:val="000000" w:themeColor="text1"/>
                <w:lang w:eastAsia="fr-BE"/>
              </w:rPr>
            </w:pPr>
            <w:r w:rsidRPr="00DE659D">
              <w:rPr>
                <w:noProof/>
                <w:color w:val="000000" w:themeColor="text1"/>
                <w:lang w:eastAsia="fr-BE"/>
              </w:rPr>
              <w:t>Greenhouse gas emissions / GDP</w:t>
            </w:r>
          </w:p>
        </w:tc>
        <w:tc>
          <w:tcPr>
            <w:tcW w:w="3449" w:type="dxa"/>
          </w:tcPr>
          <w:p w14:paraId="2840B143" w14:textId="77777777" w:rsidR="00DE659D" w:rsidRPr="00DE659D" w:rsidRDefault="00DE659D" w:rsidP="000C245C">
            <w:pPr>
              <w:spacing w:after="160"/>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0,58</w:t>
            </w:r>
          </w:p>
        </w:tc>
      </w:tr>
    </w:tbl>
    <w:p w14:paraId="604C3F70" w14:textId="77777777" w:rsidR="00DE659D" w:rsidRPr="00DE659D" w:rsidRDefault="00DE659D" w:rsidP="00DE659D">
      <w:pPr>
        <w:rPr>
          <w:i/>
          <w:noProof/>
          <w:color w:val="000000" w:themeColor="text1"/>
          <w:lang w:eastAsia="fr-BE"/>
        </w:rPr>
      </w:pPr>
    </w:p>
    <w:p w14:paraId="682A988E" w14:textId="77777777" w:rsidR="00DE659D" w:rsidRPr="00DE659D" w:rsidRDefault="00DE659D" w:rsidP="00DE659D">
      <w:pPr>
        <w:rPr>
          <w:noProof/>
          <w:color w:val="000000" w:themeColor="text1"/>
          <w:lang w:eastAsia="fr-BE"/>
        </w:rPr>
      </w:pPr>
      <w:r w:rsidRPr="00DE659D">
        <w:rPr>
          <w:i/>
          <w:noProof/>
          <w:color w:val="000000" w:themeColor="text1"/>
          <w:lang w:eastAsia="fr-BE"/>
        </w:rPr>
        <w:t>Sources</w:t>
      </w:r>
      <w:r w:rsidRPr="00DE659D">
        <w:rPr>
          <w:noProof/>
          <w:color w:val="000000" w:themeColor="text1"/>
          <w:lang w:eastAsia="fr-BE"/>
        </w:rPr>
        <w:t xml:space="preserve">: Gallup (via Porter </w:t>
      </w:r>
      <w:r w:rsidRPr="00DE659D">
        <w:rPr>
          <w:i/>
          <w:noProof/>
          <w:color w:val="000000" w:themeColor="text1"/>
          <w:lang w:eastAsia="fr-BE"/>
        </w:rPr>
        <w:t>et al.</w:t>
      </w:r>
      <w:r w:rsidRPr="00DE659D">
        <w:rPr>
          <w:noProof/>
          <w:color w:val="000000" w:themeColor="text1"/>
          <w:lang w:eastAsia="fr-BE"/>
        </w:rPr>
        <w:t xml:space="preserve">, 2016), World Bank (2014), Hsu </w:t>
      </w:r>
      <w:r w:rsidRPr="00DE659D">
        <w:rPr>
          <w:i/>
          <w:noProof/>
          <w:color w:val="000000" w:themeColor="text1"/>
          <w:lang w:eastAsia="fr-BE"/>
        </w:rPr>
        <w:t>et al</w:t>
      </w:r>
      <w:r w:rsidRPr="00DE659D">
        <w:rPr>
          <w:noProof/>
          <w:color w:val="000000" w:themeColor="text1"/>
          <w:lang w:eastAsia="fr-BE"/>
        </w:rPr>
        <w:t>. (2016) and World Resources Institute (2016). 132 countries.</w:t>
      </w:r>
    </w:p>
    <w:p w14:paraId="452B7CDE" w14:textId="77777777" w:rsidR="00DE659D" w:rsidRPr="00DE659D" w:rsidRDefault="00DE659D" w:rsidP="00DE659D">
      <w:pPr>
        <w:rPr>
          <w:noProof/>
          <w:color w:val="000000" w:themeColor="text1"/>
          <w:lang w:eastAsia="fr-BE"/>
        </w:rPr>
      </w:pPr>
    </w:p>
    <w:p w14:paraId="30621F1A" w14:textId="77777777" w:rsidR="00DE659D" w:rsidRPr="00DE659D" w:rsidRDefault="00DE659D" w:rsidP="00DE659D">
      <w:pPr>
        <w:rPr>
          <w:noProof/>
          <w:color w:val="000000" w:themeColor="text1"/>
          <w:lang w:eastAsia="fr-BE"/>
        </w:rPr>
      </w:pPr>
      <w:r w:rsidRPr="00DE659D">
        <w:rPr>
          <w:noProof/>
          <w:color w:val="000000" w:themeColor="text1"/>
          <w:lang w:eastAsia="fr-BE"/>
        </w:rPr>
        <w:t>It is worth noting that the choice of a particular variable or its deflators can considerably influence the correlation with GDP. This is the case with greenhouse gas emissions. When measured in terms of per capita, they are negatively correlated with GDP (-85%), whereas in relation to a unit of GDP, they are positively correlated (58%). The SPI, which makes use of a measure for greenhouse gas emissions, used emissions per capita until 2014. Since then, its developers have modified the deflator by using GDP, which has had the effect of lowering the rank attributed to non-OECD countries: ‘Greenhouse gas emissions per $1000 of GDP' replaces the narrower 2013 CO</w:t>
      </w:r>
      <w:r w:rsidRPr="00DE659D">
        <w:rPr>
          <w:noProof/>
          <w:color w:val="000000" w:themeColor="text1"/>
          <w:vertAlign w:val="subscript"/>
          <w:lang w:eastAsia="fr-BE"/>
        </w:rPr>
        <w:t>2</w:t>
      </w:r>
      <w:r w:rsidRPr="00DE659D">
        <w:rPr>
          <w:noProof/>
          <w:color w:val="000000" w:themeColor="text1"/>
          <w:lang w:eastAsia="fr-BE"/>
        </w:rPr>
        <w:t xml:space="preserve"> emissions per capita, which rewarded countries at lower levels of economic development’ (Stern </w:t>
      </w:r>
      <w:r w:rsidRPr="00DE659D">
        <w:rPr>
          <w:i/>
          <w:noProof/>
          <w:color w:val="000000" w:themeColor="text1"/>
          <w:lang w:eastAsia="fr-BE"/>
        </w:rPr>
        <w:t>et al</w:t>
      </w:r>
      <w:r w:rsidRPr="00DE659D">
        <w:rPr>
          <w:noProof/>
          <w:color w:val="000000" w:themeColor="text1"/>
          <w:lang w:eastAsia="fr-BE"/>
        </w:rPr>
        <w:t>., 2014, 21).</w:t>
      </w:r>
      <w:r w:rsidRPr="00DE659D">
        <w:rPr>
          <w:noProof/>
          <w:color w:val="000000" w:themeColor="text1"/>
          <w:lang w:val="hu-HU" w:eastAsia="fr-BE"/>
        </w:rPr>
        <w:t xml:space="preserve"> With that measure, the greenhouse gas/GDP emission ratio is three times smaller for the USA than it is for Mali, Cameroon or Mongolia.</w:t>
      </w:r>
      <w:r w:rsidRPr="00DE659D">
        <w:rPr>
          <w:noProof/>
          <w:color w:val="000000" w:themeColor="text1"/>
          <w:lang w:eastAsia="fr-BE"/>
        </w:rPr>
        <w:t> </w:t>
      </w:r>
    </w:p>
    <w:p w14:paraId="3F4FE2BD"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 xml:space="preserve">The choice of theme included in an indicator, along with the choice of variables with which to evaluate, is therefore crucial to the output that the indicator will produce. </w:t>
      </w:r>
    </w:p>
    <w:p w14:paraId="76BA52A2" w14:textId="1F2D0E55" w:rsidR="00DE659D" w:rsidRPr="00DE659D" w:rsidRDefault="00DE659D" w:rsidP="00CE7357">
      <w:pPr>
        <w:pStyle w:val="Titre3"/>
        <w:rPr>
          <w:noProof/>
          <w:lang w:eastAsia="fr-BE"/>
        </w:rPr>
      </w:pPr>
      <w:bookmarkStart w:id="87" w:name="_Toc51512311"/>
      <w:r w:rsidRPr="00DE659D">
        <w:rPr>
          <w:noProof/>
          <w:lang w:eastAsia="fr-BE"/>
        </w:rPr>
        <w:t>Weight of Variables</w:t>
      </w:r>
      <w:bookmarkEnd w:id="87"/>
    </w:p>
    <w:p w14:paraId="65011938" w14:textId="77777777" w:rsidR="00DE659D" w:rsidRPr="00DE659D" w:rsidRDefault="00DE659D" w:rsidP="00DE659D">
      <w:pPr>
        <w:rPr>
          <w:noProof/>
          <w:color w:val="000000" w:themeColor="text1"/>
          <w:lang w:eastAsia="fr-BE"/>
        </w:rPr>
      </w:pPr>
      <w:r w:rsidRPr="00DE659D">
        <w:rPr>
          <w:noProof/>
          <w:color w:val="000000" w:themeColor="text1"/>
          <w:lang w:eastAsia="fr-BE"/>
        </w:rPr>
        <w:t>The weight attributed to each variable, along with the aggregation method with which the indicator will be determined, can also explain a part of the correlation with GDP. </w:t>
      </w:r>
      <w:r w:rsidRPr="00DE659D">
        <w:rPr>
          <w:bCs/>
          <w:noProof/>
          <w:color w:val="000000" w:themeColor="text1"/>
          <w:lang w:eastAsia="fr-BE"/>
        </w:rPr>
        <w:t>Table 7</w:t>
      </w:r>
      <w:r w:rsidRPr="00DE659D">
        <w:rPr>
          <w:b/>
          <w:bCs/>
          <w:noProof/>
          <w:color w:val="000000" w:themeColor="text1"/>
          <w:lang w:eastAsia="fr-BE"/>
        </w:rPr>
        <w:t> </w:t>
      </w:r>
      <w:r w:rsidRPr="00DE659D">
        <w:rPr>
          <w:noProof/>
          <w:color w:val="000000" w:themeColor="text1"/>
          <w:lang w:eastAsia="fr-BE"/>
        </w:rPr>
        <w:t>displays the weight given to environmental and inequality variables</w:t>
      </w:r>
      <w:r w:rsidRPr="00DE659D">
        <w:rPr>
          <w:noProof/>
          <w:color w:val="000000" w:themeColor="text1"/>
          <w:vertAlign w:val="superscript"/>
          <w:lang w:eastAsia="fr-BE"/>
        </w:rPr>
        <w:footnoteReference w:id="35"/>
      </w:r>
      <w:r w:rsidRPr="00DE659D">
        <w:rPr>
          <w:noProof/>
          <w:color w:val="000000" w:themeColor="text1"/>
          <w:lang w:eastAsia="fr-BE"/>
        </w:rPr>
        <w:t>—generally weakly correlated with GDP—by each of the indicators under consideration. It should be noted that the weight measured is before aggregation</w:t>
      </w:r>
      <w:r w:rsidRPr="00DE659D">
        <w:rPr>
          <w:noProof/>
          <w:color w:val="000000" w:themeColor="text1"/>
          <w:vertAlign w:val="superscript"/>
          <w:lang w:eastAsia="fr-BE"/>
        </w:rPr>
        <w:footnoteReference w:id="36"/>
      </w:r>
      <w:r w:rsidRPr="00DE659D">
        <w:rPr>
          <w:noProof/>
          <w:color w:val="000000" w:themeColor="text1"/>
          <w:lang w:eastAsia="fr-BE"/>
        </w:rPr>
        <w:t xml:space="preserve">. </w:t>
      </w:r>
    </w:p>
    <w:p w14:paraId="763169A9" w14:textId="77777777" w:rsidR="00DE659D" w:rsidRPr="00DE659D" w:rsidRDefault="00DE659D" w:rsidP="00DE659D">
      <w:pPr>
        <w:rPr>
          <w:noProof/>
          <w:color w:val="000000" w:themeColor="text1"/>
          <w:lang w:eastAsia="fr-BE"/>
        </w:rPr>
      </w:pPr>
    </w:p>
    <w:p w14:paraId="60AF5CF2" w14:textId="77777777" w:rsidR="00DE659D" w:rsidRPr="000C245C" w:rsidRDefault="00DE659D" w:rsidP="00DE659D">
      <w:pPr>
        <w:rPr>
          <w:noProof/>
          <w:color w:val="000000" w:themeColor="text1"/>
          <w:lang w:eastAsia="fr-BE"/>
        </w:rPr>
      </w:pPr>
      <w:r w:rsidRPr="000C245C">
        <w:rPr>
          <w:noProof/>
          <w:color w:val="000000" w:themeColor="text1"/>
          <w:lang w:eastAsia="fr-BE"/>
        </w:rPr>
        <w:t>Table 7: Weight of environmental and inequalities variables</w:t>
      </w:r>
    </w:p>
    <w:tbl>
      <w:tblPr>
        <w:tblStyle w:val="TableauGrille1Clair-Accentuation31"/>
        <w:tblW w:w="4800" w:type="pct"/>
        <w:tblLook w:val="04A0" w:firstRow="1" w:lastRow="0" w:firstColumn="1" w:lastColumn="0" w:noHBand="0" w:noVBand="1"/>
      </w:tblPr>
      <w:tblGrid>
        <w:gridCol w:w="1784"/>
        <w:gridCol w:w="880"/>
        <w:gridCol w:w="868"/>
        <w:gridCol w:w="972"/>
        <w:gridCol w:w="878"/>
        <w:gridCol w:w="875"/>
        <w:gridCol w:w="809"/>
      </w:tblGrid>
      <w:tr w:rsidR="00DE659D" w:rsidRPr="00DE659D" w14:paraId="368FD318" w14:textId="77777777" w:rsidTr="000C24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8" w:type="dxa"/>
            <w:vAlign w:val="center"/>
          </w:tcPr>
          <w:p w14:paraId="428DA720" w14:textId="77777777" w:rsidR="00DE659D" w:rsidRPr="00DE659D" w:rsidRDefault="00DE659D" w:rsidP="000C245C">
            <w:pPr>
              <w:ind w:firstLine="0"/>
              <w:rPr>
                <w:noProof/>
                <w:color w:val="000000" w:themeColor="text1"/>
                <w:lang w:eastAsia="fr-BE"/>
              </w:rPr>
            </w:pPr>
            <w:r w:rsidRPr="00DE659D">
              <w:rPr>
                <w:b w:val="0"/>
                <w:bCs w:val="0"/>
                <w:i/>
                <w:iCs/>
                <w:noProof/>
                <w:color w:val="000000" w:themeColor="text1"/>
                <w:lang w:eastAsia="fr-BE"/>
              </w:rPr>
              <w:t> </w:t>
            </w:r>
          </w:p>
        </w:tc>
        <w:tc>
          <w:tcPr>
            <w:tcW w:w="890" w:type="dxa"/>
            <w:vAlign w:val="center"/>
          </w:tcPr>
          <w:p w14:paraId="4F515017"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HDI</w:t>
            </w:r>
          </w:p>
        </w:tc>
        <w:tc>
          <w:tcPr>
            <w:tcW w:w="890" w:type="dxa"/>
            <w:vAlign w:val="center"/>
          </w:tcPr>
          <w:p w14:paraId="7D7A578C"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SPI</w:t>
            </w:r>
          </w:p>
        </w:tc>
        <w:tc>
          <w:tcPr>
            <w:tcW w:w="889" w:type="dxa"/>
            <w:vAlign w:val="center"/>
          </w:tcPr>
          <w:p w14:paraId="597D83DA"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GWBI</w:t>
            </w:r>
          </w:p>
        </w:tc>
        <w:tc>
          <w:tcPr>
            <w:tcW w:w="891" w:type="dxa"/>
            <w:vAlign w:val="center"/>
          </w:tcPr>
          <w:p w14:paraId="3F3834E9"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QoL</w:t>
            </w:r>
          </w:p>
        </w:tc>
        <w:tc>
          <w:tcPr>
            <w:tcW w:w="890" w:type="dxa"/>
            <w:vAlign w:val="center"/>
          </w:tcPr>
          <w:p w14:paraId="6A52AC01"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HPI</w:t>
            </w:r>
          </w:p>
        </w:tc>
        <w:tc>
          <w:tcPr>
            <w:tcW w:w="820" w:type="dxa"/>
            <w:vAlign w:val="center"/>
          </w:tcPr>
          <w:p w14:paraId="009D88A5" w14:textId="77777777" w:rsidR="00DE659D" w:rsidRPr="00DE659D" w:rsidRDefault="00DE659D" w:rsidP="000C245C">
            <w:pPr>
              <w:ind w:firstLine="0"/>
              <w:jc w:val="center"/>
              <w:cnfStyle w:val="100000000000" w:firstRow="1" w:lastRow="0" w:firstColumn="0" w:lastColumn="0" w:oddVBand="0" w:evenVBand="0" w:oddHBand="0" w:evenHBand="0" w:firstRowFirstColumn="0" w:firstRowLastColumn="0" w:lastRowFirstColumn="0" w:lastRowLastColumn="0"/>
              <w:rPr>
                <w:noProof/>
                <w:color w:val="000000" w:themeColor="text1"/>
                <w:lang w:eastAsia="fr-BE"/>
              </w:rPr>
            </w:pPr>
            <w:r w:rsidRPr="00DE659D">
              <w:rPr>
                <w:i/>
                <w:iCs/>
                <w:noProof/>
                <w:color w:val="000000" w:themeColor="text1"/>
                <w:lang w:eastAsia="fr-BE"/>
              </w:rPr>
              <w:t>SSI</w:t>
            </w:r>
          </w:p>
        </w:tc>
      </w:tr>
      <w:tr w:rsidR="00DE659D" w:rsidRPr="00DE659D" w14:paraId="5DEF287C" w14:textId="77777777" w:rsidTr="000C245C">
        <w:tc>
          <w:tcPr>
            <w:cnfStyle w:val="001000000000" w:firstRow="0" w:lastRow="0" w:firstColumn="1" w:lastColumn="0" w:oddVBand="0" w:evenVBand="0" w:oddHBand="0" w:evenHBand="0" w:firstRowFirstColumn="0" w:firstRowLastColumn="0" w:lastRowFirstColumn="0" w:lastRowLastColumn="0"/>
            <w:tcW w:w="1368" w:type="dxa"/>
            <w:vAlign w:val="center"/>
          </w:tcPr>
          <w:p w14:paraId="46A21F8E" w14:textId="77777777" w:rsidR="00DE659D" w:rsidRPr="00DE659D" w:rsidRDefault="00DE659D" w:rsidP="000C245C">
            <w:pPr>
              <w:ind w:firstLine="0"/>
              <w:rPr>
                <w:noProof/>
                <w:color w:val="000000" w:themeColor="text1"/>
                <w:lang w:eastAsia="fr-BE"/>
              </w:rPr>
            </w:pPr>
            <w:r w:rsidRPr="00DE659D">
              <w:rPr>
                <w:noProof/>
                <w:color w:val="000000" w:themeColor="text1"/>
                <w:lang w:eastAsia="fr-BE"/>
              </w:rPr>
              <w:t>Environment</w:t>
            </w:r>
          </w:p>
        </w:tc>
        <w:tc>
          <w:tcPr>
            <w:tcW w:w="890" w:type="dxa"/>
            <w:vAlign w:val="center"/>
          </w:tcPr>
          <w:p w14:paraId="54A155BD"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890" w:type="dxa"/>
            <w:vAlign w:val="center"/>
          </w:tcPr>
          <w:p w14:paraId="4C63149E"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8%</w:t>
            </w:r>
          </w:p>
        </w:tc>
        <w:tc>
          <w:tcPr>
            <w:tcW w:w="889" w:type="dxa"/>
            <w:vAlign w:val="center"/>
          </w:tcPr>
          <w:p w14:paraId="101ACCE4"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9%</w:t>
            </w:r>
          </w:p>
        </w:tc>
        <w:tc>
          <w:tcPr>
            <w:tcW w:w="891" w:type="dxa"/>
            <w:vAlign w:val="center"/>
          </w:tcPr>
          <w:p w14:paraId="6F32F1FC"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10%</w:t>
            </w:r>
          </w:p>
        </w:tc>
        <w:tc>
          <w:tcPr>
            <w:tcW w:w="890" w:type="dxa"/>
            <w:vAlign w:val="center"/>
          </w:tcPr>
          <w:p w14:paraId="107A425E"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25%</w:t>
            </w:r>
          </w:p>
        </w:tc>
        <w:tc>
          <w:tcPr>
            <w:tcW w:w="820" w:type="dxa"/>
            <w:vAlign w:val="center"/>
          </w:tcPr>
          <w:p w14:paraId="3D50C054"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33%</w:t>
            </w:r>
          </w:p>
        </w:tc>
      </w:tr>
      <w:tr w:rsidR="00DE659D" w:rsidRPr="00DE659D" w14:paraId="28CDB4E2" w14:textId="77777777" w:rsidTr="000C245C">
        <w:tc>
          <w:tcPr>
            <w:cnfStyle w:val="001000000000" w:firstRow="0" w:lastRow="0" w:firstColumn="1" w:lastColumn="0" w:oddVBand="0" w:evenVBand="0" w:oddHBand="0" w:evenHBand="0" w:firstRowFirstColumn="0" w:firstRowLastColumn="0" w:lastRowFirstColumn="0" w:lastRowLastColumn="0"/>
            <w:tcW w:w="1368" w:type="dxa"/>
            <w:vAlign w:val="center"/>
          </w:tcPr>
          <w:p w14:paraId="3AF1124F" w14:textId="77777777" w:rsidR="00DE659D" w:rsidRPr="00DE659D" w:rsidRDefault="00DE659D" w:rsidP="000C245C">
            <w:pPr>
              <w:ind w:firstLine="0"/>
              <w:rPr>
                <w:noProof/>
                <w:color w:val="000000" w:themeColor="text1"/>
                <w:lang w:eastAsia="fr-BE"/>
              </w:rPr>
            </w:pPr>
            <w:r w:rsidRPr="00DE659D">
              <w:rPr>
                <w:noProof/>
                <w:color w:val="000000" w:themeColor="text1"/>
                <w:lang w:eastAsia="fr-BE"/>
              </w:rPr>
              <w:t>Inequalities</w:t>
            </w:r>
          </w:p>
        </w:tc>
        <w:tc>
          <w:tcPr>
            <w:tcW w:w="890" w:type="dxa"/>
            <w:vAlign w:val="center"/>
          </w:tcPr>
          <w:p w14:paraId="4D5844CE"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w:t>
            </w:r>
          </w:p>
        </w:tc>
        <w:tc>
          <w:tcPr>
            <w:tcW w:w="890" w:type="dxa"/>
            <w:vAlign w:val="center"/>
          </w:tcPr>
          <w:p w14:paraId="4E546016"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w:t>
            </w:r>
          </w:p>
        </w:tc>
        <w:tc>
          <w:tcPr>
            <w:tcW w:w="889" w:type="dxa"/>
            <w:vAlign w:val="center"/>
          </w:tcPr>
          <w:p w14:paraId="15F71040"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4%</w:t>
            </w:r>
          </w:p>
        </w:tc>
        <w:tc>
          <w:tcPr>
            <w:tcW w:w="891" w:type="dxa"/>
            <w:vAlign w:val="center"/>
          </w:tcPr>
          <w:p w14:paraId="42371C13"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3%</w:t>
            </w:r>
          </w:p>
        </w:tc>
        <w:tc>
          <w:tcPr>
            <w:tcW w:w="890" w:type="dxa"/>
            <w:vAlign w:val="center"/>
          </w:tcPr>
          <w:p w14:paraId="573CE0EA"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25%</w:t>
            </w:r>
          </w:p>
        </w:tc>
        <w:tc>
          <w:tcPr>
            <w:tcW w:w="820" w:type="dxa"/>
            <w:vAlign w:val="center"/>
          </w:tcPr>
          <w:p w14:paraId="558D4CF2"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5%</w:t>
            </w:r>
          </w:p>
        </w:tc>
      </w:tr>
      <w:tr w:rsidR="00DE659D" w:rsidRPr="00DE659D" w14:paraId="6FAA15F1" w14:textId="77777777" w:rsidTr="000C245C">
        <w:tc>
          <w:tcPr>
            <w:cnfStyle w:val="001000000000" w:firstRow="0" w:lastRow="0" w:firstColumn="1" w:lastColumn="0" w:oddVBand="0" w:evenVBand="0" w:oddHBand="0" w:evenHBand="0" w:firstRowFirstColumn="0" w:firstRowLastColumn="0" w:lastRowFirstColumn="0" w:lastRowLastColumn="0"/>
            <w:tcW w:w="1368" w:type="dxa"/>
            <w:vAlign w:val="center"/>
          </w:tcPr>
          <w:p w14:paraId="76A11B30" w14:textId="77777777" w:rsidR="00DE659D" w:rsidRPr="00DE659D" w:rsidRDefault="00DE659D" w:rsidP="000C245C">
            <w:pPr>
              <w:ind w:firstLine="0"/>
              <w:rPr>
                <w:noProof/>
                <w:color w:val="000000" w:themeColor="text1"/>
                <w:lang w:eastAsia="fr-BE"/>
              </w:rPr>
            </w:pPr>
            <w:r w:rsidRPr="00DE659D">
              <w:rPr>
                <w:noProof/>
                <w:color w:val="000000" w:themeColor="text1"/>
                <w:lang w:eastAsia="fr-BE"/>
              </w:rPr>
              <w:t xml:space="preserve">Rank correlation with GDP </w:t>
            </w:r>
          </w:p>
        </w:tc>
        <w:tc>
          <w:tcPr>
            <w:tcW w:w="890" w:type="dxa"/>
            <w:vAlign w:val="center"/>
          </w:tcPr>
          <w:p w14:paraId="1D9CFF85"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0,97</w:t>
            </w:r>
          </w:p>
        </w:tc>
        <w:tc>
          <w:tcPr>
            <w:tcW w:w="890" w:type="dxa"/>
            <w:vAlign w:val="center"/>
          </w:tcPr>
          <w:p w14:paraId="2B034731"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0,92</w:t>
            </w:r>
          </w:p>
        </w:tc>
        <w:tc>
          <w:tcPr>
            <w:tcW w:w="889" w:type="dxa"/>
            <w:vAlign w:val="center"/>
          </w:tcPr>
          <w:p w14:paraId="37CEED48"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0,85</w:t>
            </w:r>
          </w:p>
        </w:tc>
        <w:tc>
          <w:tcPr>
            <w:tcW w:w="891" w:type="dxa"/>
            <w:vAlign w:val="center"/>
          </w:tcPr>
          <w:p w14:paraId="1871ABC4"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0,80</w:t>
            </w:r>
          </w:p>
        </w:tc>
        <w:tc>
          <w:tcPr>
            <w:tcW w:w="890" w:type="dxa"/>
            <w:vAlign w:val="center"/>
          </w:tcPr>
          <w:p w14:paraId="5BD7320D"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0,26</w:t>
            </w:r>
          </w:p>
        </w:tc>
        <w:tc>
          <w:tcPr>
            <w:tcW w:w="820" w:type="dxa"/>
            <w:vAlign w:val="center"/>
          </w:tcPr>
          <w:p w14:paraId="69A8113C" w14:textId="77777777" w:rsidR="00DE659D" w:rsidRPr="00DE659D" w:rsidRDefault="00DE659D" w:rsidP="000C245C">
            <w:pPr>
              <w:ind w:firstLine="0"/>
              <w:jc w:val="center"/>
              <w:cnfStyle w:val="000000000000" w:firstRow="0" w:lastRow="0" w:firstColumn="0" w:lastColumn="0" w:oddVBand="0" w:evenVBand="0" w:oddHBand="0" w:evenHBand="0" w:firstRowFirstColumn="0" w:firstRowLastColumn="0" w:lastRowFirstColumn="0" w:lastRowLastColumn="0"/>
              <w:rPr>
                <w:noProof/>
                <w:color w:val="000000" w:themeColor="text1"/>
                <w:lang w:eastAsia="fr-BE"/>
              </w:rPr>
            </w:pPr>
            <w:r w:rsidRPr="00DE659D">
              <w:rPr>
                <w:noProof/>
                <w:color w:val="000000" w:themeColor="text1"/>
                <w:lang w:eastAsia="fr-BE"/>
              </w:rPr>
              <w:t>0,59</w:t>
            </w:r>
          </w:p>
        </w:tc>
      </w:tr>
    </w:tbl>
    <w:p w14:paraId="6B18B503" w14:textId="77777777" w:rsidR="00DE659D" w:rsidRPr="00DE659D" w:rsidRDefault="00DE659D" w:rsidP="00DE659D">
      <w:pPr>
        <w:rPr>
          <w:noProof/>
          <w:color w:val="000000" w:themeColor="text1"/>
          <w:lang w:eastAsia="fr-BE"/>
        </w:rPr>
      </w:pPr>
    </w:p>
    <w:p w14:paraId="2DE514AD" w14:textId="77777777" w:rsidR="00DE659D" w:rsidRPr="00DE659D" w:rsidRDefault="00DE659D" w:rsidP="00DE659D">
      <w:pPr>
        <w:rPr>
          <w:noProof/>
          <w:color w:val="000000" w:themeColor="text1"/>
          <w:lang w:eastAsia="fr-BE"/>
        </w:rPr>
      </w:pPr>
      <w:r w:rsidRPr="00DE659D">
        <w:rPr>
          <w:noProof/>
          <w:color w:val="000000" w:themeColor="text1"/>
          <w:lang w:eastAsia="fr-BE"/>
        </w:rPr>
        <w:t>One can observe a high degree of consideration for the environment and inequality in the Beyond GDP indicators that are the least correlated with GDP. The HPI and the SSI are both the least correlated with GDP and those that place most emphasis on inequality and the environment. In contrast, the SPI and the HDI are the most correlated with GDP and put the least emphasis on these two aspects.</w:t>
      </w:r>
    </w:p>
    <w:p w14:paraId="4856E991"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 xml:space="preserve">This result may seem straightforward, but it has a strong implication: if an indicator claims to go Beyond GDP, it should sufficiently include variables other than those that are strongly correlated with GDP, </w:t>
      </w:r>
      <w:r w:rsidRPr="00DE659D">
        <w:rPr>
          <w:i/>
          <w:noProof/>
          <w:color w:val="000000" w:themeColor="text1"/>
          <w:lang w:eastAsia="fr-BE"/>
        </w:rPr>
        <w:t>e.g.</w:t>
      </w:r>
      <w:r w:rsidRPr="00DE659D">
        <w:rPr>
          <w:noProof/>
          <w:color w:val="000000" w:themeColor="text1"/>
          <w:lang w:eastAsia="fr-BE"/>
        </w:rPr>
        <w:t xml:space="preserve"> include inequalities or environment. If it does not, it risks being redundant.</w:t>
      </w:r>
    </w:p>
    <w:p w14:paraId="494B4CC5" w14:textId="3E6F972D" w:rsidR="00DE659D" w:rsidRPr="00DE659D" w:rsidRDefault="00DE659D" w:rsidP="00CE7357">
      <w:pPr>
        <w:pStyle w:val="Titre3"/>
        <w:rPr>
          <w:noProof/>
          <w:lang w:eastAsia="fr-BE"/>
        </w:rPr>
      </w:pPr>
      <w:bookmarkStart w:id="88" w:name="_Toc51512312"/>
      <w:r w:rsidRPr="00DE659D">
        <w:rPr>
          <w:noProof/>
          <w:lang w:eastAsia="fr-BE"/>
        </w:rPr>
        <w:t>Aggregation method</w:t>
      </w:r>
      <w:bookmarkEnd w:id="88"/>
    </w:p>
    <w:p w14:paraId="68CD0D63" w14:textId="77777777" w:rsidR="00DE659D" w:rsidRPr="00DE659D" w:rsidRDefault="00DE659D" w:rsidP="00DE659D">
      <w:pPr>
        <w:rPr>
          <w:noProof/>
          <w:color w:val="000000" w:themeColor="text1"/>
          <w:lang w:eastAsia="fr-BE"/>
        </w:rPr>
      </w:pPr>
      <w:r w:rsidRPr="00DE659D">
        <w:rPr>
          <w:noProof/>
          <w:color w:val="000000" w:themeColor="text1"/>
          <w:lang w:eastAsia="fr-BE"/>
        </w:rPr>
        <w:t>What about the aggregation method? The objective of this article is not to make an in-depth study of the impact that aggregation methods have on correlation with GDP. The following will simply be an explanation concerning compensability between different dimensions, an issue at the heart of the debates between supporters of weak sustainability indicators (which authorise compensation) and strong sustainability indicators (that heavily limit compensation) (Dietz et Neumayer, 2007). It is a debate taking place between the promoters of Beyond GDP indicators, as certain aggregation methods, such as the arithmetic mean, allow for perfect compensation between the performances of the different categories (this is the case for the SPI, the GWBI, and the QoL), whereas other methods, such as the geometric mean</w:t>
      </w:r>
      <w:r w:rsidRPr="00DE659D">
        <w:rPr>
          <w:noProof/>
          <w:color w:val="000000" w:themeColor="text1"/>
          <w:vertAlign w:val="superscript"/>
          <w:lang w:eastAsia="fr-BE"/>
        </w:rPr>
        <w:footnoteReference w:id="37"/>
      </w:r>
      <w:r w:rsidRPr="00DE659D">
        <w:rPr>
          <w:noProof/>
          <w:color w:val="000000" w:themeColor="text1"/>
          <w:lang w:eastAsia="fr-BE"/>
        </w:rPr>
        <w:t>, limit compensation (this is the case with the HDI, the SSI, and the HPI).</w:t>
      </w:r>
      <w:r w:rsidRPr="00DE659D">
        <w:rPr>
          <w:noProof/>
          <w:color w:val="000000" w:themeColor="text1"/>
          <w:vertAlign w:val="superscript"/>
          <w:lang w:eastAsia="fr-BE"/>
        </w:rPr>
        <w:t xml:space="preserve"> </w:t>
      </w:r>
    </w:p>
    <w:p w14:paraId="1D87776B"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Would an indicator that limits compensation correlate less strongly with GDP and thus indicate a higher transformative potential? In the case of the SPI, changing the aggregation method causes the correlation with GDP to shift from 0.92 (arithmetic mean) to 0.90 (geometric mean). In the case of the SSI, the correlation shifts from 0.72 (arithmetic mean) to 0.59 (geometric mean). In both instances, the use of the geometric mean diminishes correlation with GDP to a small extent. In general, two conditions are required for such a weakening of correlation to occur: (1) the majority of the indicator’s variables must be correlated with GDP, and (2) the indicator must include other variables that are only very weakly correlated (so that there is variability between the performances of </w:t>
      </w:r>
      <w:r w:rsidRPr="00DE659D">
        <w:rPr>
          <w:noProof/>
          <w:color w:val="000000" w:themeColor="text1"/>
          <w:lang w:eastAsia="fr-BE"/>
        </w:rPr>
        <w:lastRenderedPageBreak/>
        <w:t>the indicator’s categories). If these two conditions are satisfied, limiting the categories’ compensability reduces the correlation with GDP, since the variability of performances is penalised. This is the case particularly with the SSI, where environmental performances contrast with socio-economic performances. On the other hand, if these two conditions are not simultaneously satisfied, an aggregation by geometric mean will not negatively influence the correlation with GDP (as is the case with the HDI), and can even increase it.</w:t>
      </w:r>
    </w:p>
    <w:p w14:paraId="34DA954C" w14:textId="66E4B879" w:rsidR="00DE659D" w:rsidRPr="000C245C" w:rsidRDefault="00DE659D" w:rsidP="000C245C">
      <w:pPr>
        <w:rPr>
          <w:noProof/>
          <w:color w:val="000000" w:themeColor="text1"/>
          <w:lang w:eastAsia="fr-BE"/>
        </w:rPr>
      </w:pPr>
      <w:r w:rsidRPr="00DE659D">
        <w:rPr>
          <w:noProof/>
          <w:color w:val="000000" w:themeColor="text1"/>
          <w:lang w:eastAsia="fr-BE"/>
        </w:rPr>
        <w:t xml:space="preserve">The choice of the aggregation method, along with that of the variables and their weighting, are thus factors that influence the transformative potential of an indicator. This potential appears stronger the more weight an indicator gives to inequality and environmental variables, and especially when it limits compensability between the different dimensions. </w:t>
      </w:r>
    </w:p>
    <w:p w14:paraId="409E4F2A" w14:textId="0AB3C5CC" w:rsidR="00DE659D" w:rsidRPr="00DE659D" w:rsidRDefault="00DE659D" w:rsidP="00CE7357">
      <w:pPr>
        <w:pStyle w:val="Titre2"/>
        <w:rPr>
          <w:noProof/>
          <w:lang w:val="en-US" w:eastAsia="fr-BE"/>
        </w:rPr>
      </w:pPr>
      <w:bookmarkStart w:id="89" w:name="_Toc51512313"/>
      <w:r w:rsidRPr="00DE659D">
        <w:rPr>
          <w:noProof/>
          <w:lang w:val="en-US" w:eastAsia="fr-BE"/>
        </w:rPr>
        <w:t>Discussion of the results and conclusion</w:t>
      </w:r>
      <w:bookmarkEnd w:id="89"/>
    </w:p>
    <w:p w14:paraId="144FCDD6" w14:textId="77777777" w:rsidR="00DE659D" w:rsidRPr="00DE659D" w:rsidRDefault="00DE659D" w:rsidP="00DE659D">
      <w:pPr>
        <w:rPr>
          <w:noProof/>
          <w:color w:val="000000" w:themeColor="text1"/>
          <w:lang w:eastAsia="fr-BE"/>
        </w:rPr>
      </w:pPr>
      <w:r w:rsidRPr="00DE659D">
        <w:rPr>
          <w:noProof/>
          <w:color w:val="000000" w:themeColor="text1"/>
          <w:lang w:eastAsia="fr-BE"/>
        </w:rPr>
        <w:t>The analysis of six Beyond GDP indicators demonstrates a significant variability in their correlation with GDP. Amongst this diversity, the indicators initiated by powerful stakeholders (HDI, SPI) produce rankings that are more than 90% correlated with those produced by GDP. In addition, when analysing by country group, the results produced by these two indicators are nearly the same as those produced by GDP. The hypothesis that major stakeholders—at least those considered for this analysis</w:t>
      </w:r>
      <w:r w:rsidRPr="00DE659D">
        <w:rPr>
          <w:noProof/>
          <w:color w:val="000000" w:themeColor="text1"/>
          <w:vertAlign w:val="superscript"/>
          <w:lang w:eastAsia="fr-BE"/>
        </w:rPr>
        <w:footnoteReference w:id="38"/>
      </w:r>
      <w:r w:rsidRPr="00DE659D">
        <w:rPr>
          <w:noProof/>
          <w:color w:val="000000" w:themeColor="text1"/>
          <w:lang w:eastAsia="fr-BE"/>
        </w:rPr>
        <w:t xml:space="preserve">—create indicators with </w:t>
      </w:r>
      <w:r w:rsidRPr="00DE659D">
        <w:rPr>
          <w:noProof/>
          <w:color w:val="000000" w:themeColor="text1"/>
          <w:lang w:eastAsia="fr-BE"/>
        </w:rPr>
        <w:lastRenderedPageBreak/>
        <w:t xml:space="preserve">weak transformative potential appears to be verified. Among the other indicators under consideration, both HPI and SSI show a large divergence from GDP, both in terms of global ranking and in terms of narrative. They are the indexes most likely to challenge the GDP model. </w:t>
      </w:r>
    </w:p>
    <w:p w14:paraId="54983A78"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How can this result be interpreted? And how does one explain the fact that some developers of Beyond GDP indicators, while wishing to go beyond GDP, end up producing rankings that are very close to those produced by GDP? </w:t>
      </w:r>
    </w:p>
    <w:p w14:paraId="6F08027B" w14:textId="77777777" w:rsidR="00DE659D" w:rsidRPr="00DE659D" w:rsidRDefault="00DE659D" w:rsidP="00DE659D">
      <w:pPr>
        <w:rPr>
          <w:noProof/>
          <w:color w:val="000000" w:themeColor="text1"/>
          <w:lang w:eastAsia="fr-BE"/>
        </w:rPr>
      </w:pPr>
      <w:r w:rsidRPr="00DE659D">
        <w:rPr>
          <w:noProof/>
          <w:color w:val="000000" w:themeColor="text1"/>
          <w:lang w:eastAsia="fr-BE"/>
        </w:rPr>
        <w:t>A first explanation for the weak transformative potential of the indicators initiated by powerful stakeholders is the lack of adequate data (Hak et al., 2012) or data that is not updated often enough (Lehtonen, 2015; Rinne et al., 2013; Seaford, 2013b). Thus, when the figures of a variable under consideration are not available to a sufficiently rigorous degree, there can be a trade-off between choosing a bad measure of a pertinent phenomenon and not having any measure of this phenomenon. The Gini coefficient, for instance, is only calculated for a limited number of countries and it is not systematically kept up to date. Nor is there a global measure of emissions (such as CO</w:t>
      </w:r>
      <w:r w:rsidRPr="00DE659D">
        <w:rPr>
          <w:noProof/>
          <w:color w:val="000000" w:themeColor="text1"/>
          <w:vertAlign w:val="subscript"/>
          <w:lang w:eastAsia="fr-BE"/>
        </w:rPr>
        <w:t>2</w:t>
      </w:r>
      <w:r w:rsidRPr="00DE659D">
        <w:rPr>
          <w:noProof/>
          <w:color w:val="000000" w:themeColor="text1"/>
          <w:lang w:eastAsia="fr-BE"/>
        </w:rPr>
        <w:t>) embedded in goods consumed. In many instances, statistics institutions’ need for credibility induces them to opt for the second of the two options, that is, not to include the pertinent variable in the indicator. Frederiksen notes in this respect that certain ‘</w:t>
      </w:r>
      <w:r w:rsidRPr="00DE659D">
        <w:rPr>
          <w:iCs/>
          <w:noProof/>
          <w:color w:val="000000" w:themeColor="text1"/>
          <w:lang w:eastAsia="fr-BE"/>
        </w:rPr>
        <w:t>indicators that would potentially be better in line with redundantly formulated demands from stakeholders (notably for indicators which helped to grasp an overall image of the sustainability of Europe) were discarded by ESTAT due to lack of data, or non-robustness of the potential indicators</w:t>
      </w:r>
      <w:r w:rsidRPr="00DE659D">
        <w:rPr>
          <w:noProof/>
          <w:color w:val="000000" w:themeColor="text1"/>
          <w:lang w:eastAsia="fr-BE"/>
        </w:rPr>
        <w:t xml:space="preserve">’ (Frederiksen, 2012, complete report, 24). During the conception of HDI, it appears that variables such as inequality or the state of nutrition have been discarded because of incomplete or poor-quality data (Masood, 2016). Undeniably, new indicators need new statistics. However, here they are required to be built on the same statistics that have been produced to serve the macroeconomics that their developers strive to move beyond. This first explanation is thus partly involuntary, the result of institutional actors’ need for robust statistical data, a demand </w:t>
      </w:r>
      <w:r w:rsidRPr="00DE659D">
        <w:rPr>
          <w:noProof/>
          <w:color w:val="000000" w:themeColor="text1"/>
          <w:lang w:eastAsia="fr-BE"/>
        </w:rPr>
        <w:lastRenderedPageBreak/>
        <w:t>not met for certain key dimensions of Beyond GDP indicators. However, the very decision to develop new statistical data is an eminently political one, which suggests that other factors are at play here.</w:t>
      </w:r>
    </w:p>
    <w:p w14:paraId="21541050"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second explanation draws its inspiration from the notion of epistemic communities (Hass, 1992), or ‘advocacy coalitions’ (Sabatier, 1998). An epistemic community is a network of professionals in a particular domain who share a ‘set of normative and principled beliefs […], shared causal beliefs […], shared notions of validity—that is, intersubjective, internally defined criteria for weighing and validating knowledge in the domain of their expertise; and a common policy enterprise—that is, a set of common practises associated with a set of problems to which their professional competence is directed, presumably out of the conviction that human welfare will be enhanced as a consequence’ (Haas, 1992, 3). According to this framework we claim that (1) the producers of indicators among powerful stakeholders constitute an epistemic community and (2) that this community is characterised by values, criteria for validating ‘good’ indicators, professional ethos and common beliefs about the mechanisms that drive societal development. These characteristics would end up producing indicators with weak transformative potential. As it has been observed by Thiry </w:t>
      </w:r>
      <w:r w:rsidRPr="00DE659D">
        <w:rPr>
          <w:i/>
          <w:iCs/>
          <w:noProof/>
          <w:color w:val="000000" w:themeColor="text1"/>
          <w:lang w:eastAsia="fr-BE"/>
        </w:rPr>
        <w:t xml:space="preserve">et al. </w:t>
      </w:r>
      <w:r w:rsidRPr="00DE659D">
        <w:rPr>
          <w:iCs/>
          <w:noProof/>
          <w:color w:val="000000" w:themeColor="text1"/>
          <w:lang w:eastAsia="fr-BE"/>
        </w:rPr>
        <w:t>through interviews of policy makers, economists and statisticians</w:t>
      </w:r>
      <w:r w:rsidRPr="00DE659D">
        <w:rPr>
          <w:noProof/>
          <w:color w:val="000000" w:themeColor="text1"/>
          <w:lang w:eastAsia="fr-BE"/>
        </w:rPr>
        <w:t>: ‘We note that in official circles, the debates about Beyond GDP, while bringing new stakes to the table, nonetheless do not converge into the emergence of a fundamentally new cognitive framework. Compartmentalised values, norms dominated by an imperative towards short-term growth, unchanged algorithms, and images characterised by a vision that does not question the hierarchy of the respective spheres of the environment, society, and the economy […]’ (Thiry </w:t>
      </w:r>
      <w:r w:rsidRPr="00DE659D">
        <w:rPr>
          <w:i/>
          <w:iCs/>
          <w:noProof/>
          <w:color w:val="000000" w:themeColor="text1"/>
          <w:lang w:eastAsia="fr-BE"/>
        </w:rPr>
        <w:t>et al.</w:t>
      </w:r>
      <w:r w:rsidRPr="00DE659D">
        <w:rPr>
          <w:noProof/>
          <w:color w:val="000000" w:themeColor="text1"/>
          <w:lang w:eastAsia="fr-BE"/>
        </w:rPr>
        <w:t>, 2014, 16). For instance, the weak presence of environmental variables could be the result of the fact that the position that ‘favours well-being over sustainability is dominant among institutional actors close to decision makers (national accountants, statisticians in international institutions, etc.)’ (Thiry </w:t>
      </w:r>
      <w:r w:rsidRPr="00DE659D">
        <w:rPr>
          <w:i/>
          <w:iCs/>
          <w:noProof/>
          <w:color w:val="000000" w:themeColor="text1"/>
          <w:lang w:eastAsia="fr-BE"/>
        </w:rPr>
        <w:t>et al.</w:t>
      </w:r>
      <w:r w:rsidRPr="00DE659D">
        <w:rPr>
          <w:noProof/>
          <w:color w:val="000000" w:themeColor="text1"/>
          <w:lang w:eastAsia="fr-BE"/>
        </w:rPr>
        <w:t xml:space="preserve"> 2014, 10). This would also be because decision makers </w:t>
      </w:r>
      <w:r w:rsidRPr="00DE659D">
        <w:rPr>
          <w:noProof/>
          <w:color w:val="000000" w:themeColor="text1"/>
          <w:lang w:eastAsia="fr-BE"/>
        </w:rPr>
        <w:lastRenderedPageBreak/>
        <w:t xml:space="preserve">are caught up in the urgency of the most immediate stakes and continue to emphasise economic dimensions (Seaford, 2013b). </w:t>
      </w:r>
    </w:p>
    <w:p w14:paraId="310288A2" w14:textId="77777777" w:rsidR="00DE659D" w:rsidRPr="00DE659D" w:rsidRDefault="00DE659D" w:rsidP="00DE659D">
      <w:pPr>
        <w:rPr>
          <w:noProof/>
          <w:color w:val="000000" w:themeColor="text1"/>
          <w:lang w:eastAsia="fr-BE"/>
        </w:rPr>
      </w:pPr>
      <w:r w:rsidRPr="00DE659D">
        <w:rPr>
          <w:noProof/>
          <w:color w:val="000000" w:themeColor="text1"/>
          <w:lang w:eastAsia="fr-BE"/>
        </w:rPr>
        <w:t>The use of dominant frameworks among powerful stakeholders can be linked to the transformative intention of the initiator. As Borgnäs (2016) demonstrates, key methodological choices are often the product of the theoretical paradigm of an indicator’s developers. For instance, SPI’s founding father Michael Porter aims to reinvent the capitalist system, presumed to be ‘under siege’ by critics (Porter and Kramer, 2011, 4). On the other side, HPI’s initiator (New Economic Foundation) endorses the more radical project of a ‘steady state’ economy (O’Neill et al., 2010). These different agendas can partly explain why certain indicators show strong divergence with GDP and others do not. The problem is that the true intent behind indicators nearly always remains implicit and is absent from reports, which refer to consensual terms such as ‘well-being’ or ‘sustainability’.</w:t>
      </w:r>
    </w:p>
    <w:p w14:paraId="494071D6"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The use of dominant frameworks can also be caused by isomorphism. According to Stewart, who was part of the team that developed HDI, even a reformist like Sen argued to remain close to mainstream economic thinking for strategical reasons: ‘Sen was determined to include incomes in the index [HDI], as ignoring them would have been too radical a step for mainstream economists and policy makers. He was worried, Stewart says, that without a financial measure, the HDI wouldn’t be taken seriously’ (Masood, 2016, 94). In summary, the conceptual and methodological frameworks that the epistemic community close to the spheres of power expect are close to those of GDP. </w:t>
      </w:r>
    </w:p>
    <w:p w14:paraId="485C076B"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This link between GDP concepts and frameworks and a dominant epistemic community means that evolutions are likely to be observed in case of a change in that community, or the emergence of a new one. In this respect, the rising influence of currently marginal actors, such as social economy organisations (Defourny and Develtere, 1999; Eme and Laville, 2006), the ecological transition movement (Hopkins, 2008; Seyfang and Smith, 2007), and new movement parties (Podemos, France Insoumise,…) appear to question the </w:t>
      </w:r>
      <w:r w:rsidRPr="00DE659D">
        <w:rPr>
          <w:noProof/>
          <w:color w:val="000000" w:themeColor="text1"/>
          <w:lang w:eastAsia="fr-BE"/>
        </w:rPr>
        <w:lastRenderedPageBreak/>
        <w:t>centrality of economic growth and GDP, as well as the current balance of power. It remains to be seen if these actors will begin soliciting Beyond GDP indicators and, if so, what shape these will take.</w:t>
      </w:r>
    </w:p>
    <w:p w14:paraId="2D08C38B" w14:textId="77777777" w:rsidR="006D2122" w:rsidRDefault="006D2122">
      <w:pPr>
        <w:spacing w:line="259" w:lineRule="auto"/>
        <w:ind w:firstLine="0"/>
        <w:jc w:val="left"/>
        <w:rPr>
          <w:noProof/>
          <w:sz w:val="32"/>
          <w:lang w:val="en-US" w:eastAsia="fr-BE"/>
        </w:rPr>
      </w:pPr>
      <w:r>
        <w:rPr>
          <w:noProof/>
          <w:lang w:val="en-US" w:eastAsia="fr-BE"/>
        </w:rPr>
        <w:br w:type="page"/>
      </w:r>
    </w:p>
    <w:p w14:paraId="0D956433" w14:textId="7FF6758E" w:rsidR="00DE659D" w:rsidRPr="00DE659D" w:rsidRDefault="00DE659D" w:rsidP="00CE7357">
      <w:pPr>
        <w:pStyle w:val="Titre2"/>
        <w:numPr>
          <w:ilvl w:val="0"/>
          <w:numId w:val="0"/>
        </w:numPr>
        <w:ind w:left="360"/>
        <w:rPr>
          <w:noProof/>
          <w:lang w:val="en-US" w:eastAsia="fr-BE"/>
        </w:rPr>
      </w:pPr>
      <w:bookmarkStart w:id="90" w:name="_Toc51512314"/>
      <w:r w:rsidRPr="00DE659D">
        <w:rPr>
          <w:noProof/>
          <w:lang w:val="en-US" w:eastAsia="fr-BE"/>
        </w:rPr>
        <w:lastRenderedPageBreak/>
        <w:t>References</w:t>
      </w:r>
      <w:bookmarkEnd w:id="90"/>
    </w:p>
    <w:p w14:paraId="3731A137" w14:textId="77777777" w:rsidR="00DE659D" w:rsidRPr="00DE659D" w:rsidRDefault="00DE659D" w:rsidP="00DE659D">
      <w:pPr>
        <w:rPr>
          <w:noProof/>
          <w:color w:val="000000" w:themeColor="text1"/>
          <w:lang w:eastAsia="fr-BE"/>
        </w:rPr>
      </w:pPr>
      <w:r w:rsidRPr="00DE659D">
        <w:rPr>
          <w:noProof/>
          <w:color w:val="000000" w:themeColor="text1"/>
          <w:lang w:eastAsia="fr-BE"/>
        </w:rPr>
        <w:t>Avant, D. D., Finnemore, M., &amp; Sell, S. K. (Eds.). (2010). </w:t>
      </w:r>
      <w:r w:rsidRPr="00DE659D">
        <w:rPr>
          <w:i/>
          <w:iCs/>
          <w:noProof/>
          <w:color w:val="000000" w:themeColor="text1"/>
          <w:lang w:eastAsia="fr-BE"/>
        </w:rPr>
        <w:t>Who governs the globe?</w:t>
      </w:r>
      <w:r w:rsidRPr="00DE659D">
        <w:rPr>
          <w:noProof/>
          <w:color w:val="000000" w:themeColor="text1"/>
          <w:lang w:eastAsia="fr-BE"/>
        </w:rPr>
        <w:t xml:space="preserve"> (Vol. 114). Cambridge University Press. </w:t>
      </w:r>
    </w:p>
    <w:p w14:paraId="060286A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Blanton, S. L., &amp; Kegley, C. W. (2016). </w:t>
      </w:r>
      <w:r w:rsidRPr="00DE659D">
        <w:rPr>
          <w:i/>
          <w:iCs/>
          <w:noProof/>
          <w:color w:val="000000" w:themeColor="text1"/>
          <w:lang w:val="hu-HU" w:eastAsia="fr-BE"/>
        </w:rPr>
        <w:t>World Politics: Trend and Transformation, 2016-2017</w:t>
      </w:r>
      <w:r w:rsidRPr="00DE659D">
        <w:rPr>
          <w:noProof/>
          <w:color w:val="000000" w:themeColor="text1"/>
          <w:lang w:val="hu-HU" w:eastAsia="fr-BE"/>
        </w:rPr>
        <w:t>. Cengage Learning.</w:t>
      </w:r>
    </w:p>
    <w:p w14:paraId="29F4C668" w14:textId="77777777" w:rsidR="00DE659D" w:rsidRPr="00DE659D" w:rsidRDefault="00DE659D" w:rsidP="00DE659D">
      <w:pPr>
        <w:rPr>
          <w:noProof/>
          <w:color w:val="000000" w:themeColor="text1"/>
          <w:lang w:eastAsia="fr-BE"/>
        </w:rPr>
      </w:pPr>
      <w:r w:rsidRPr="00DE659D">
        <w:rPr>
          <w:noProof/>
          <w:color w:val="000000" w:themeColor="text1"/>
          <w:lang w:eastAsia="fr-BE"/>
        </w:rPr>
        <w:t>Borgnäs, K. Indicators as ‘circular argumentation constructs’? An input–output analysis of the variable structure of five environmental sustainability country rankings. </w:t>
      </w:r>
      <w:r w:rsidRPr="00DE659D">
        <w:rPr>
          <w:i/>
          <w:iCs/>
          <w:noProof/>
          <w:color w:val="000000" w:themeColor="text1"/>
          <w:lang w:eastAsia="fr-BE"/>
        </w:rPr>
        <w:t>Environment, Development and Sustainability</w:t>
      </w:r>
      <w:r w:rsidRPr="00DE659D">
        <w:rPr>
          <w:noProof/>
          <w:color w:val="000000" w:themeColor="text1"/>
          <w:lang w:eastAsia="fr-BE"/>
        </w:rPr>
        <w:t xml:space="preserve">, 1-22. </w:t>
      </w:r>
    </w:p>
    <w:p w14:paraId="2E6C426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Breslin, S., &amp; Nesadurai, H. E. (2018). Who Governs and How? Non-State Actors and Transnational Governance in Southeast Asia. </w:t>
      </w:r>
      <w:r w:rsidRPr="00DE659D">
        <w:rPr>
          <w:i/>
          <w:iCs/>
          <w:noProof/>
          <w:color w:val="000000" w:themeColor="text1"/>
          <w:lang w:val="hu-HU" w:eastAsia="fr-BE"/>
        </w:rPr>
        <w:t>Journal of Contemporary Asia</w:t>
      </w:r>
      <w:r w:rsidRPr="00DE659D">
        <w:rPr>
          <w:noProof/>
          <w:color w:val="000000" w:themeColor="text1"/>
          <w:lang w:val="hu-HU" w:eastAsia="fr-BE"/>
        </w:rPr>
        <w:t>, </w:t>
      </w:r>
      <w:r w:rsidRPr="00DE659D">
        <w:rPr>
          <w:i/>
          <w:iCs/>
          <w:noProof/>
          <w:color w:val="000000" w:themeColor="text1"/>
          <w:lang w:val="hu-HU" w:eastAsia="fr-BE"/>
        </w:rPr>
        <w:t>48</w:t>
      </w:r>
      <w:r w:rsidRPr="00DE659D">
        <w:rPr>
          <w:noProof/>
          <w:color w:val="000000" w:themeColor="text1"/>
          <w:lang w:val="hu-HU" w:eastAsia="fr-BE"/>
        </w:rPr>
        <w:t>(2), 187-203.</w:t>
      </w:r>
    </w:p>
    <w:p w14:paraId="0A3CFD6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Büthe, T. (2010). Private regulation in the global economy: a (P) review. </w:t>
      </w:r>
      <w:r w:rsidRPr="00DE659D">
        <w:rPr>
          <w:i/>
          <w:iCs/>
          <w:noProof/>
          <w:color w:val="000000" w:themeColor="text1"/>
          <w:lang w:val="hu-HU" w:eastAsia="fr-BE"/>
        </w:rPr>
        <w:t>Business and Politics</w:t>
      </w:r>
      <w:r w:rsidRPr="00DE659D">
        <w:rPr>
          <w:noProof/>
          <w:color w:val="000000" w:themeColor="text1"/>
          <w:lang w:val="hu-HU" w:eastAsia="fr-BE"/>
        </w:rPr>
        <w:t>, </w:t>
      </w:r>
      <w:r w:rsidRPr="00DE659D">
        <w:rPr>
          <w:i/>
          <w:iCs/>
          <w:noProof/>
          <w:color w:val="000000" w:themeColor="text1"/>
          <w:lang w:val="hu-HU" w:eastAsia="fr-BE"/>
        </w:rPr>
        <w:t>12</w:t>
      </w:r>
      <w:r w:rsidRPr="00DE659D">
        <w:rPr>
          <w:noProof/>
          <w:color w:val="000000" w:themeColor="text1"/>
          <w:lang w:val="hu-HU" w:eastAsia="fr-BE"/>
        </w:rPr>
        <w:t>(3), 1-38.</w:t>
      </w:r>
    </w:p>
    <w:p w14:paraId="60D14B67" w14:textId="77777777" w:rsidR="00DE659D" w:rsidRPr="00DE659D" w:rsidRDefault="00DE659D" w:rsidP="00DE659D">
      <w:pPr>
        <w:rPr>
          <w:noProof/>
          <w:color w:val="000000" w:themeColor="text1"/>
          <w:lang w:eastAsia="fr-BE"/>
        </w:rPr>
      </w:pPr>
      <w:r w:rsidRPr="00DE659D">
        <w:rPr>
          <w:noProof/>
          <w:color w:val="000000" w:themeColor="text1"/>
          <w:lang w:eastAsia="fr-BE"/>
        </w:rPr>
        <w:t>Cahill, M. B. (2005). Is the human development index redundant?. </w:t>
      </w:r>
      <w:r w:rsidRPr="00DE659D">
        <w:rPr>
          <w:i/>
          <w:iCs/>
          <w:noProof/>
          <w:color w:val="000000" w:themeColor="text1"/>
          <w:lang w:eastAsia="fr-BE"/>
        </w:rPr>
        <w:t>Eastern Economic Journal</w:t>
      </w:r>
      <w:r w:rsidRPr="00DE659D">
        <w:rPr>
          <w:noProof/>
          <w:color w:val="000000" w:themeColor="text1"/>
          <w:lang w:eastAsia="fr-BE"/>
        </w:rPr>
        <w:t>, </w:t>
      </w:r>
      <w:r w:rsidRPr="00DE659D">
        <w:rPr>
          <w:i/>
          <w:iCs/>
          <w:noProof/>
          <w:color w:val="000000" w:themeColor="text1"/>
          <w:lang w:eastAsia="fr-BE"/>
        </w:rPr>
        <w:t>31</w:t>
      </w:r>
      <w:r w:rsidRPr="00DE659D">
        <w:rPr>
          <w:noProof/>
          <w:color w:val="000000" w:themeColor="text1"/>
          <w:lang w:eastAsia="fr-BE"/>
        </w:rPr>
        <w:t>(1), 1-5.</w:t>
      </w:r>
    </w:p>
    <w:p w14:paraId="58468E1A" w14:textId="77777777" w:rsidR="00DE659D" w:rsidRPr="00DE659D" w:rsidRDefault="00DE659D" w:rsidP="00DE659D">
      <w:pPr>
        <w:rPr>
          <w:noProof/>
          <w:color w:val="000000" w:themeColor="text1"/>
          <w:lang w:eastAsia="fr-BE"/>
        </w:rPr>
      </w:pPr>
      <w:r w:rsidRPr="00DE659D">
        <w:rPr>
          <w:noProof/>
          <w:color w:val="000000" w:themeColor="text1"/>
          <w:lang w:eastAsia="fr-BE"/>
        </w:rPr>
        <w:t>Cassiers, I., &amp; Thiry, G. (2014). A high-stakes shift: Turning the tide from GDP to new prosperity indicators. </w:t>
      </w:r>
      <w:r w:rsidRPr="00DE659D">
        <w:rPr>
          <w:i/>
          <w:iCs/>
          <w:noProof/>
          <w:color w:val="000000" w:themeColor="text1"/>
          <w:lang w:eastAsia="fr-BE"/>
        </w:rPr>
        <w:t>Redefining prosperity. London: Routledge</w:t>
      </w:r>
      <w:r w:rsidRPr="00DE659D">
        <w:rPr>
          <w:noProof/>
          <w:color w:val="000000" w:themeColor="text1"/>
          <w:lang w:eastAsia="fr-BE"/>
        </w:rPr>
        <w:t>, 22-40.</w:t>
      </w:r>
    </w:p>
    <w:p w14:paraId="25C65390" w14:textId="77777777" w:rsidR="00DE659D" w:rsidRPr="00DE659D" w:rsidRDefault="00DE659D" w:rsidP="00DE659D">
      <w:pPr>
        <w:rPr>
          <w:noProof/>
          <w:color w:val="000000" w:themeColor="text1"/>
          <w:lang w:eastAsia="fr-BE"/>
        </w:rPr>
      </w:pPr>
      <w:r w:rsidRPr="00DE659D">
        <w:rPr>
          <w:noProof/>
          <w:color w:val="000000" w:themeColor="text1"/>
          <w:lang w:eastAsia="fr-BE"/>
        </w:rPr>
        <w:t>Chaaban, J., Irani, A., &amp; Khoury, A. (2015). The Composite Global Well-Being Index (CGWBI): A New Multi-Dimensional Measure of Human Development. </w:t>
      </w:r>
      <w:r w:rsidRPr="00DE659D">
        <w:rPr>
          <w:i/>
          <w:iCs/>
          <w:noProof/>
          <w:color w:val="000000" w:themeColor="text1"/>
          <w:lang w:eastAsia="fr-BE"/>
        </w:rPr>
        <w:t>Social Indicators Research</w:t>
      </w:r>
      <w:r w:rsidRPr="00DE659D">
        <w:rPr>
          <w:noProof/>
          <w:color w:val="000000" w:themeColor="text1"/>
          <w:lang w:eastAsia="fr-BE"/>
        </w:rPr>
        <w:t>, 1-23.</w:t>
      </w:r>
    </w:p>
    <w:p w14:paraId="4480862A" w14:textId="77777777" w:rsidR="00DE659D" w:rsidRPr="00DE659D" w:rsidRDefault="00DE659D" w:rsidP="00DE659D">
      <w:pPr>
        <w:rPr>
          <w:noProof/>
          <w:color w:val="000000" w:themeColor="text1"/>
          <w:lang w:eastAsia="fr-BE"/>
        </w:rPr>
      </w:pPr>
      <w:r w:rsidRPr="00DE659D">
        <w:rPr>
          <w:noProof/>
          <w:color w:val="000000" w:themeColor="text1"/>
          <w:lang w:eastAsia="fr-BE"/>
        </w:rPr>
        <w:t>Chancel, L., Thiry, G., &amp; Demailly, D. (2014). Beyond-GDP indicators: to what end?. </w:t>
      </w:r>
      <w:r w:rsidRPr="00DE659D">
        <w:rPr>
          <w:i/>
          <w:iCs/>
          <w:noProof/>
          <w:color w:val="000000" w:themeColor="text1"/>
          <w:lang w:eastAsia="fr-BE"/>
        </w:rPr>
        <w:t>Vol. Study</w:t>
      </w:r>
      <w:r w:rsidRPr="00DE659D">
        <w:rPr>
          <w:noProof/>
          <w:color w:val="000000" w:themeColor="text1"/>
          <w:lang w:eastAsia="fr-BE"/>
        </w:rPr>
        <w:t xml:space="preserve">, (04). </w:t>
      </w:r>
    </w:p>
    <w:p w14:paraId="11A7E4B5" w14:textId="77777777" w:rsidR="00DE659D" w:rsidRPr="00DE659D" w:rsidRDefault="00DE659D" w:rsidP="00DE659D">
      <w:pPr>
        <w:rPr>
          <w:noProof/>
          <w:color w:val="000000" w:themeColor="text1"/>
          <w:lang w:eastAsia="fr-BE"/>
        </w:rPr>
      </w:pPr>
      <w:r w:rsidRPr="00DE659D">
        <w:rPr>
          <w:noProof/>
          <w:color w:val="000000" w:themeColor="text1"/>
          <w:lang w:eastAsia="fr-BE"/>
        </w:rPr>
        <w:t>Clark, W. C., Mitchell, R. B., &amp; Cash, D. W. (2006). Evaluating the inﬂuence of global environmental assessments. </w:t>
      </w:r>
      <w:r w:rsidRPr="00DE659D">
        <w:rPr>
          <w:i/>
          <w:iCs/>
          <w:noProof/>
          <w:color w:val="000000" w:themeColor="text1"/>
          <w:lang w:eastAsia="fr-BE"/>
        </w:rPr>
        <w:t>Global environmental assessments: information and inﬂuence. MIT, Cambridge</w:t>
      </w:r>
      <w:r w:rsidRPr="00DE659D">
        <w:rPr>
          <w:noProof/>
          <w:color w:val="000000" w:themeColor="text1"/>
          <w:lang w:eastAsia="fr-BE"/>
        </w:rPr>
        <w:t>, 1-28.</w:t>
      </w:r>
    </w:p>
    <w:p w14:paraId="70FDB95C" w14:textId="77777777" w:rsidR="00DE659D" w:rsidRPr="00DE659D" w:rsidRDefault="00DE659D" w:rsidP="00DE659D">
      <w:pPr>
        <w:rPr>
          <w:noProof/>
          <w:color w:val="000000" w:themeColor="text1"/>
          <w:lang w:eastAsia="fr-BE"/>
        </w:rPr>
      </w:pPr>
      <w:r w:rsidRPr="00DE659D">
        <w:rPr>
          <w:noProof/>
          <w:color w:val="000000" w:themeColor="text1"/>
          <w:lang w:eastAsia="fr-BE"/>
        </w:rPr>
        <w:t>De Kerk, G., &amp; Manuel, A. (2016). Sustainable Society Index SSI-2016. The Netherlands: Sustainable Society Foundation.</w:t>
      </w:r>
    </w:p>
    <w:p w14:paraId="50BCF4CF"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Defourny, J., Develtere, P., &amp; Fonteneau, B. (1999). </w:t>
      </w:r>
      <w:r w:rsidRPr="00DE659D">
        <w:rPr>
          <w:i/>
          <w:iCs/>
          <w:noProof/>
          <w:color w:val="000000" w:themeColor="text1"/>
          <w:lang w:val="fr-BE" w:eastAsia="fr-BE"/>
        </w:rPr>
        <w:t>L'économie sociale au Nord et au Sud</w:t>
      </w:r>
      <w:r w:rsidRPr="00DE659D">
        <w:rPr>
          <w:noProof/>
          <w:color w:val="000000" w:themeColor="text1"/>
          <w:lang w:val="fr-BE" w:eastAsia="fr-BE"/>
        </w:rPr>
        <w:t>. De Boeck Supérieur.</w:t>
      </w:r>
    </w:p>
    <w:p w14:paraId="7C0882BC"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lastRenderedPageBreak/>
        <w:t>Desrosières, A. (2012). Est-il bon, est-il méchant? Le rôle du nombre dans le gouvernement de la cité néolibérale. </w:t>
      </w:r>
      <w:r w:rsidRPr="00DE659D">
        <w:rPr>
          <w:i/>
          <w:iCs/>
          <w:noProof/>
          <w:color w:val="000000" w:themeColor="text1"/>
          <w:lang w:val="fr-BE" w:eastAsia="fr-BE"/>
        </w:rPr>
        <w:t>Nouvelles perspectives en sciences sociales: Revue internationale de systémique complexe et d'études relationnelles</w:t>
      </w:r>
      <w:r w:rsidRPr="00DE659D">
        <w:rPr>
          <w:noProof/>
          <w:color w:val="000000" w:themeColor="text1"/>
          <w:lang w:val="fr-BE" w:eastAsia="fr-BE"/>
        </w:rPr>
        <w:t>, </w:t>
      </w:r>
      <w:r w:rsidRPr="00DE659D">
        <w:rPr>
          <w:i/>
          <w:iCs/>
          <w:noProof/>
          <w:color w:val="000000" w:themeColor="text1"/>
          <w:lang w:val="fr-BE" w:eastAsia="fr-BE"/>
        </w:rPr>
        <w:t>7</w:t>
      </w:r>
      <w:r w:rsidRPr="00DE659D">
        <w:rPr>
          <w:noProof/>
          <w:color w:val="000000" w:themeColor="text1"/>
          <w:lang w:val="fr-BE" w:eastAsia="fr-BE"/>
        </w:rPr>
        <w:t>(2), 261-295.</w:t>
      </w:r>
    </w:p>
    <w:p w14:paraId="6D8C68D2"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Dietz, R., &amp; O'Neill, D. (2013). </w:t>
      </w:r>
      <w:r w:rsidRPr="00DE659D">
        <w:rPr>
          <w:i/>
          <w:iCs/>
          <w:noProof/>
          <w:color w:val="000000" w:themeColor="text1"/>
          <w:lang w:val="hu-HU" w:eastAsia="fr-BE"/>
        </w:rPr>
        <w:t>Enough is enough: Building a sustainable economy in a world of finite resources</w:t>
      </w:r>
      <w:r w:rsidRPr="00DE659D">
        <w:rPr>
          <w:noProof/>
          <w:color w:val="000000" w:themeColor="text1"/>
          <w:lang w:val="hu-HU" w:eastAsia="fr-BE"/>
        </w:rPr>
        <w:t>. Routledge.</w:t>
      </w:r>
    </w:p>
    <w:p w14:paraId="3E9E2A50" w14:textId="77777777" w:rsidR="00DE659D" w:rsidRPr="00DE659D" w:rsidRDefault="00DE659D" w:rsidP="00DE659D">
      <w:pPr>
        <w:rPr>
          <w:noProof/>
          <w:color w:val="000000" w:themeColor="text1"/>
          <w:lang w:eastAsia="fr-BE"/>
        </w:rPr>
      </w:pPr>
      <w:r w:rsidRPr="00DE659D">
        <w:rPr>
          <w:noProof/>
          <w:color w:val="000000" w:themeColor="text1"/>
          <w:lang w:eastAsia="fr-BE"/>
        </w:rPr>
        <w:t>Dietz, S., &amp; Neumayer, E. (2007). Weak and strong sustainability in the SEEA: Concepts and measurement. </w:t>
      </w:r>
      <w:r w:rsidRPr="00DE659D">
        <w:rPr>
          <w:i/>
          <w:iCs/>
          <w:noProof/>
          <w:color w:val="000000" w:themeColor="text1"/>
          <w:lang w:eastAsia="fr-BE"/>
        </w:rPr>
        <w:t>Ecological economics</w:t>
      </w:r>
      <w:r w:rsidRPr="00DE659D">
        <w:rPr>
          <w:noProof/>
          <w:color w:val="000000" w:themeColor="text1"/>
          <w:lang w:eastAsia="fr-BE"/>
        </w:rPr>
        <w:t>, </w:t>
      </w:r>
      <w:r w:rsidRPr="00DE659D">
        <w:rPr>
          <w:i/>
          <w:iCs/>
          <w:noProof/>
          <w:color w:val="000000" w:themeColor="text1"/>
          <w:lang w:eastAsia="fr-BE"/>
        </w:rPr>
        <w:t>61</w:t>
      </w:r>
      <w:r w:rsidRPr="00DE659D">
        <w:rPr>
          <w:noProof/>
          <w:color w:val="000000" w:themeColor="text1"/>
          <w:lang w:eastAsia="fr-BE"/>
        </w:rPr>
        <w:t>(4), 617-626.</w:t>
      </w:r>
    </w:p>
    <w:p w14:paraId="54CA19CD"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Easterlin R.E. (1974). Does economic growth improve the human lot? Some empirical evidence, in David P.A et Reder M.W. (Eds.) (1974), </w:t>
      </w:r>
      <w:r w:rsidRPr="00DE659D">
        <w:rPr>
          <w:i/>
          <w:noProof/>
          <w:color w:val="000000" w:themeColor="text1"/>
          <w:lang w:eastAsia="fr-BE"/>
        </w:rPr>
        <w:t>Nations and Households in Economic Growth: essays in honor of Moses Abramovitz</w:t>
      </w:r>
      <w:r w:rsidRPr="00DE659D">
        <w:rPr>
          <w:noProof/>
          <w:color w:val="000000" w:themeColor="text1"/>
          <w:lang w:eastAsia="fr-BE"/>
        </w:rPr>
        <w:t>, Academic Press, p.89-125.</w:t>
      </w:r>
    </w:p>
    <w:p w14:paraId="684CA609" w14:textId="77777777" w:rsidR="00DE659D" w:rsidRPr="00DE659D" w:rsidRDefault="00DE659D" w:rsidP="00DE659D">
      <w:pPr>
        <w:rPr>
          <w:noProof/>
          <w:color w:val="000000" w:themeColor="text1"/>
          <w:lang w:val="fr-BE" w:eastAsia="fr-BE"/>
        </w:rPr>
      </w:pPr>
      <w:r w:rsidRPr="00DE659D">
        <w:rPr>
          <w:noProof/>
          <w:color w:val="000000" w:themeColor="text1"/>
          <w:lang w:eastAsia="fr-BE"/>
        </w:rPr>
        <w:t>Easterly, W. (1999). Life during growth. </w:t>
      </w:r>
      <w:r w:rsidRPr="00DE659D">
        <w:rPr>
          <w:i/>
          <w:iCs/>
          <w:noProof/>
          <w:color w:val="000000" w:themeColor="text1"/>
          <w:lang w:eastAsia="fr-BE"/>
        </w:rPr>
        <w:t>Journal of economic growth</w:t>
      </w:r>
      <w:r w:rsidRPr="00DE659D">
        <w:rPr>
          <w:noProof/>
          <w:color w:val="000000" w:themeColor="text1"/>
          <w:lang w:eastAsia="fr-BE"/>
        </w:rPr>
        <w:t>, </w:t>
      </w:r>
      <w:r w:rsidRPr="00DE659D">
        <w:rPr>
          <w:i/>
          <w:iCs/>
          <w:noProof/>
          <w:color w:val="000000" w:themeColor="text1"/>
          <w:lang w:eastAsia="fr-BE"/>
        </w:rPr>
        <w:t>4</w:t>
      </w:r>
      <w:r w:rsidRPr="00DE659D">
        <w:rPr>
          <w:noProof/>
          <w:color w:val="000000" w:themeColor="text1"/>
          <w:lang w:eastAsia="fr-BE"/>
        </w:rPr>
        <w:t xml:space="preserve">(3), 239-276.Eme, B., &amp; Laville, J. L. (2006). </w:t>
      </w:r>
      <w:r w:rsidRPr="00DE659D">
        <w:rPr>
          <w:noProof/>
          <w:color w:val="000000" w:themeColor="text1"/>
          <w:lang w:val="fr-BE" w:eastAsia="fr-BE"/>
        </w:rPr>
        <w:t xml:space="preserve">Économie solidaire. </w:t>
      </w:r>
      <w:r w:rsidRPr="00DE659D">
        <w:rPr>
          <w:i/>
          <w:iCs/>
          <w:noProof/>
          <w:color w:val="000000" w:themeColor="text1"/>
          <w:lang w:val="fr-BE" w:eastAsia="fr-BE"/>
        </w:rPr>
        <w:t>Laville, JL., Cattani, AD.(eds), Dictionnaire de l’autre économie, Folio actuel, Gallimard, Paris</w:t>
      </w:r>
      <w:r w:rsidRPr="00DE659D">
        <w:rPr>
          <w:noProof/>
          <w:color w:val="000000" w:themeColor="text1"/>
          <w:lang w:val="fr-BE" w:eastAsia="fr-BE"/>
        </w:rPr>
        <w:t>, 303-312.</w:t>
      </w:r>
    </w:p>
    <w:p w14:paraId="5F8A9BEE" w14:textId="77777777" w:rsidR="00DE659D" w:rsidRPr="00DE659D" w:rsidRDefault="00DE659D" w:rsidP="00DE659D">
      <w:pPr>
        <w:rPr>
          <w:noProof/>
          <w:color w:val="000000" w:themeColor="text1"/>
          <w:lang w:eastAsia="fr-BE"/>
        </w:rPr>
      </w:pPr>
      <w:r w:rsidRPr="00DE659D">
        <w:rPr>
          <w:noProof/>
          <w:color w:val="000000" w:themeColor="text1"/>
          <w:lang w:eastAsia="fr-BE"/>
        </w:rPr>
        <w:t>Esping-Andersen, G. (1999). </w:t>
      </w:r>
      <w:r w:rsidRPr="00DE659D">
        <w:rPr>
          <w:i/>
          <w:iCs/>
          <w:noProof/>
          <w:color w:val="000000" w:themeColor="text1"/>
          <w:lang w:eastAsia="fr-BE"/>
        </w:rPr>
        <w:t>Social foundations of postindustrial economies</w:t>
      </w:r>
      <w:r w:rsidRPr="00DE659D">
        <w:rPr>
          <w:noProof/>
          <w:color w:val="000000" w:themeColor="text1"/>
          <w:lang w:eastAsia="fr-BE"/>
        </w:rPr>
        <w:t>. Oxford University Press.</w:t>
      </w:r>
    </w:p>
    <w:p w14:paraId="638CF28B" w14:textId="77777777" w:rsidR="00DE659D" w:rsidRPr="00DE659D" w:rsidRDefault="00DE659D" w:rsidP="00DE659D">
      <w:pPr>
        <w:rPr>
          <w:noProof/>
          <w:color w:val="000000" w:themeColor="text1"/>
          <w:lang w:eastAsia="fr-BE"/>
        </w:rPr>
      </w:pPr>
      <w:r w:rsidRPr="00DE659D">
        <w:rPr>
          <w:noProof/>
          <w:color w:val="000000" w:themeColor="text1"/>
          <w:lang w:eastAsia="fr-BE"/>
        </w:rPr>
        <w:t>Fedderke, J., &amp; Klitgaard, R. (1998). Economic growth and social indicators: an exploratory analysis. </w:t>
      </w:r>
      <w:r w:rsidRPr="00DE659D">
        <w:rPr>
          <w:i/>
          <w:iCs/>
          <w:noProof/>
          <w:color w:val="000000" w:themeColor="text1"/>
          <w:lang w:eastAsia="fr-BE"/>
        </w:rPr>
        <w:t>Economic development and cultural change</w:t>
      </w:r>
      <w:r w:rsidRPr="00DE659D">
        <w:rPr>
          <w:noProof/>
          <w:color w:val="000000" w:themeColor="text1"/>
          <w:lang w:eastAsia="fr-BE"/>
        </w:rPr>
        <w:t>, </w:t>
      </w:r>
      <w:r w:rsidRPr="00DE659D">
        <w:rPr>
          <w:i/>
          <w:iCs/>
          <w:noProof/>
          <w:color w:val="000000" w:themeColor="text1"/>
          <w:lang w:eastAsia="fr-BE"/>
        </w:rPr>
        <w:t>46</w:t>
      </w:r>
      <w:r w:rsidRPr="00DE659D">
        <w:rPr>
          <w:noProof/>
          <w:color w:val="000000" w:themeColor="text1"/>
          <w:lang w:eastAsia="fr-BE"/>
        </w:rPr>
        <w:t xml:space="preserve">(3), 455-489. </w:t>
      </w:r>
    </w:p>
    <w:p w14:paraId="3141ACB8" w14:textId="77777777" w:rsidR="00DE659D" w:rsidRPr="00DE659D" w:rsidRDefault="00DE659D" w:rsidP="00DE659D">
      <w:pPr>
        <w:rPr>
          <w:noProof/>
          <w:color w:val="000000" w:themeColor="text1"/>
          <w:lang w:eastAsia="fr-BE"/>
        </w:rPr>
      </w:pPr>
      <w:r w:rsidRPr="00DE659D">
        <w:rPr>
          <w:noProof/>
          <w:color w:val="000000" w:themeColor="text1"/>
          <w:lang w:eastAsia="fr-BE"/>
        </w:rPr>
        <w:t>Frederiksen, P. (2012), Final Report Summary. POINT (Policy Influence of indicators). FP7-SSH.</w:t>
      </w:r>
    </w:p>
    <w:p w14:paraId="3F8BC9BD" w14:textId="77777777" w:rsidR="00DE659D" w:rsidRPr="00DE659D" w:rsidRDefault="00DE659D" w:rsidP="00DE659D">
      <w:pPr>
        <w:rPr>
          <w:noProof/>
          <w:color w:val="000000" w:themeColor="text1"/>
          <w:lang w:val="fr-BE" w:eastAsia="fr-BE"/>
        </w:rPr>
      </w:pPr>
      <w:r w:rsidRPr="00DE659D">
        <w:rPr>
          <w:noProof/>
          <w:color w:val="000000" w:themeColor="text1"/>
          <w:lang w:eastAsia="fr-BE"/>
        </w:rPr>
        <w:t>Fleurbaey, M., &amp; Blanchet, D. (2013). </w:t>
      </w:r>
      <w:r w:rsidRPr="00DE659D">
        <w:rPr>
          <w:i/>
          <w:iCs/>
          <w:noProof/>
          <w:color w:val="000000" w:themeColor="text1"/>
          <w:lang w:eastAsia="fr-BE"/>
        </w:rPr>
        <w:t>Beyond GDP: Measuring welfare and assessing sustainability</w:t>
      </w:r>
      <w:r w:rsidRPr="00DE659D">
        <w:rPr>
          <w:noProof/>
          <w:color w:val="000000" w:themeColor="text1"/>
          <w:lang w:eastAsia="fr-BE"/>
        </w:rPr>
        <w:t xml:space="preserve">. </w:t>
      </w:r>
      <w:r w:rsidRPr="00DE659D">
        <w:rPr>
          <w:noProof/>
          <w:color w:val="000000" w:themeColor="text1"/>
          <w:lang w:val="fr-BE" w:eastAsia="fr-BE"/>
        </w:rPr>
        <w:t>Oxford University Press.</w:t>
      </w:r>
    </w:p>
    <w:p w14:paraId="70C728A8" w14:textId="77777777" w:rsidR="00DE659D" w:rsidRPr="00DE659D" w:rsidRDefault="00DE659D" w:rsidP="00DE659D">
      <w:pPr>
        <w:rPr>
          <w:noProof/>
          <w:color w:val="000000" w:themeColor="text1"/>
          <w:lang w:eastAsia="fr-BE"/>
        </w:rPr>
      </w:pPr>
      <w:r w:rsidRPr="00DE659D">
        <w:rPr>
          <w:noProof/>
          <w:color w:val="000000" w:themeColor="text1"/>
          <w:lang w:val="fr-BE" w:eastAsia="fr-BE"/>
        </w:rPr>
        <w:t>Gadrey, J., &amp; Florence, J. C. (2010). </w:t>
      </w:r>
      <w:r w:rsidRPr="00DE659D">
        <w:rPr>
          <w:i/>
          <w:iCs/>
          <w:noProof/>
          <w:color w:val="000000" w:themeColor="text1"/>
          <w:lang w:val="fr-BE" w:eastAsia="fr-BE"/>
        </w:rPr>
        <w:t>Les nouveaux indicateurs de richesse</w:t>
      </w:r>
      <w:r w:rsidRPr="00DE659D">
        <w:rPr>
          <w:noProof/>
          <w:color w:val="000000" w:themeColor="text1"/>
          <w:lang w:val="fr-BE" w:eastAsia="fr-BE"/>
        </w:rPr>
        <w:t xml:space="preserve">. </w:t>
      </w:r>
      <w:r w:rsidRPr="00DE659D">
        <w:rPr>
          <w:noProof/>
          <w:color w:val="000000" w:themeColor="text1"/>
          <w:lang w:eastAsia="fr-BE"/>
        </w:rPr>
        <w:t xml:space="preserve">La Découverte. </w:t>
      </w:r>
    </w:p>
    <w:p w14:paraId="236F9C6F"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Georgescu-Roegen N. (1971), </w:t>
      </w:r>
      <w:r w:rsidRPr="00DE659D">
        <w:rPr>
          <w:i/>
          <w:iCs/>
          <w:noProof/>
          <w:color w:val="000000" w:themeColor="text1"/>
          <w:lang w:eastAsia="fr-BE"/>
        </w:rPr>
        <w:t xml:space="preserve">The Entropy Law and the Economic Process, </w:t>
      </w:r>
      <w:r w:rsidRPr="00DE659D">
        <w:rPr>
          <w:noProof/>
          <w:color w:val="000000" w:themeColor="text1"/>
          <w:lang w:eastAsia="fr-BE"/>
        </w:rPr>
        <w:t>Harvard University Press.</w:t>
      </w:r>
    </w:p>
    <w:p w14:paraId="0BD11B47"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Haas, P.M. (1992). Epistemic communities and international policy coordination: Introduction. </w:t>
      </w:r>
      <w:r w:rsidRPr="00DE659D">
        <w:rPr>
          <w:i/>
          <w:iCs/>
          <w:noProof/>
          <w:color w:val="000000" w:themeColor="text1"/>
          <w:lang w:eastAsia="fr-BE"/>
        </w:rPr>
        <w:t>International Organization</w:t>
      </w:r>
      <w:r w:rsidRPr="00DE659D">
        <w:rPr>
          <w:noProof/>
          <w:color w:val="000000" w:themeColor="text1"/>
          <w:lang w:eastAsia="fr-BE"/>
        </w:rPr>
        <w:t xml:space="preserve">, </w:t>
      </w:r>
      <w:r w:rsidRPr="00DE659D">
        <w:rPr>
          <w:bCs/>
          <w:noProof/>
          <w:color w:val="000000" w:themeColor="text1"/>
          <w:lang w:eastAsia="fr-BE"/>
        </w:rPr>
        <w:t>46</w:t>
      </w:r>
      <w:r w:rsidRPr="00DE659D">
        <w:rPr>
          <w:noProof/>
          <w:color w:val="000000" w:themeColor="text1"/>
          <w:lang w:eastAsia="fr-BE"/>
        </w:rPr>
        <w:t>, 1</w:t>
      </w:r>
      <w:r w:rsidRPr="00DE659D">
        <w:rPr>
          <w:rFonts w:ascii="Times New Roman" w:hAnsi="Times New Roman" w:cs="Times New Roman"/>
          <w:noProof/>
          <w:color w:val="000000" w:themeColor="text1"/>
          <w:lang w:eastAsia="fr-BE"/>
        </w:rPr>
        <w:t>‒</w:t>
      </w:r>
      <w:r w:rsidRPr="00DE659D">
        <w:rPr>
          <w:noProof/>
          <w:color w:val="000000" w:themeColor="text1"/>
          <w:lang w:eastAsia="fr-BE"/>
        </w:rPr>
        <w:t>35.</w:t>
      </w:r>
    </w:p>
    <w:p w14:paraId="70103B2C"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Hak T., Janoušková S., Abdallah S., Seaford C., Mahony S. (2012), « Review report on Beyond GDP indicators », BRAINPOoL deliverable 1.1.</w:t>
      </w:r>
    </w:p>
    <w:p w14:paraId="39BAF2A8"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Haq, M. (1995). </w:t>
      </w:r>
      <w:r w:rsidRPr="00DE659D">
        <w:rPr>
          <w:i/>
          <w:iCs/>
          <w:noProof/>
          <w:color w:val="000000" w:themeColor="text1"/>
          <w:lang w:val="hu-HU" w:eastAsia="fr-BE"/>
        </w:rPr>
        <w:t>Reflections on human development</w:t>
      </w:r>
      <w:r w:rsidRPr="00DE659D">
        <w:rPr>
          <w:noProof/>
          <w:color w:val="000000" w:themeColor="text1"/>
          <w:lang w:val="hu-HU" w:eastAsia="fr-BE"/>
        </w:rPr>
        <w:t>. oxford university Press.</w:t>
      </w:r>
    </w:p>
    <w:p w14:paraId="53FBF19E" w14:textId="77777777" w:rsidR="00DE659D" w:rsidRPr="00DE659D" w:rsidRDefault="00DE659D" w:rsidP="00DE659D">
      <w:pPr>
        <w:rPr>
          <w:noProof/>
          <w:color w:val="000000" w:themeColor="text1"/>
          <w:lang w:eastAsia="fr-BE"/>
        </w:rPr>
      </w:pPr>
      <w:r w:rsidRPr="00DE659D">
        <w:rPr>
          <w:noProof/>
          <w:color w:val="000000" w:themeColor="text1"/>
          <w:lang w:eastAsia="fr-BE"/>
        </w:rPr>
        <w:t>Hopkins, R. (2008). </w:t>
      </w:r>
      <w:r w:rsidRPr="00DE659D">
        <w:rPr>
          <w:i/>
          <w:iCs/>
          <w:noProof/>
          <w:color w:val="000000" w:themeColor="text1"/>
          <w:lang w:eastAsia="fr-BE"/>
        </w:rPr>
        <w:t>The transition handbook: from oil dependency to local resilience</w:t>
      </w:r>
      <w:r w:rsidRPr="00DE659D">
        <w:rPr>
          <w:noProof/>
          <w:color w:val="000000" w:themeColor="text1"/>
          <w:lang w:eastAsia="fr-BE"/>
        </w:rPr>
        <w:t>. Totnes: Green books.</w:t>
      </w:r>
    </w:p>
    <w:p w14:paraId="03712B65" w14:textId="77777777" w:rsidR="00DE659D" w:rsidRPr="00DE659D" w:rsidRDefault="00DE659D" w:rsidP="00DE659D">
      <w:pPr>
        <w:rPr>
          <w:noProof/>
          <w:color w:val="000000" w:themeColor="text1"/>
          <w:lang w:eastAsia="fr-BE"/>
        </w:rPr>
      </w:pPr>
      <w:r w:rsidRPr="00DE659D">
        <w:rPr>
          <w:noProof/>
          <w:color w:val="000000" w:themeColor="text1"/>
          <w:lang w:eastAsia="fr-BE"/>
        </w:rPr>
        <w:t>Hsu, A. et al. (2016). 2016 Environmental Performance Index. Raw data. New Haven, CT: Yale University</w:t>
      </w:r>
    </w:p>
    <w:p w14:paraId="279A71DF" w14:textId="77777777" w:rsidR="00DE659D" w:rsidRPr="00DE659D" w:rsidRDefault="00DE659D" w:rsidP="00DE659D">
      <w:pPr>
        <w:rPr>
          <w:noProof/>
          <w:color w:val="000000" w:themeColor="text1"/>
          <w:lang w:eastAsia="fr-BE"/>
        </w:rPr>
      </w:pPr>
      <w:r w:rsidRPr="00DE659D">
        <w:rPr>
          <w:noProof/>
          <w:color w:val="000000" w:themeColor="text1"/>
          <w:lang w:eastAsia="fr-BE"/>
        </w:rPr>
        <w:t>Inglehart, R., &amp; Klingemann, H. D. (2000). Genes, culture, democracy, and happiness. </w:t>
      </w:r>
      <w:r w:rsidRPr="00DE659D">
        <w:rPr>
          <w:i/>
          <w:iCs/>
          <w:noProof/>
          <w:color w:val="000000" w:themeColor="text1"/>
          <w:lang w:eastAsia="fr-BE"/>
        </w:rPr>
        <w:t>Culture and subjective well-being</w:t>
      </w:r>
      <w:r w:rsidRPr="00DE659D">
        <w:rPr>
          <w:noProof/>
          <w:color w:val="000000" w:themeColor="text1"/>
          <w:lang w:eastAsia="fr-BE"/>
        </w:rPr>
        <w:t>, 165-183.</w:t>
      </w:r>
    </w:p>
    <w:p w14:paraId="6B0F49FB" w14:textId="77777777" w:rsidR="00DE659D" w:rsidRPr="00DE659D" w:rsidRDefault="00DE659D" w:rsidP="00DE659D">
      <w:pPr>
        <w:rPr>
          <w:noProof/>
          <w:color w:val="000000" w:themeColor="text1"/>
          <w:lang w:eastAsia="fr-BE"/>
        </w:rPr>
      </w:pPr>
      <w:r w:rsidRPr="00DE659D">
        <w:rPr>
          <w:noProof/>
          <w:color w:val="000000" w:themeColor="text1"/>
          <w:lang w:eastAsia="fr-BE"/>
        </w:rPr>
        <w:t>Innes, J. E. (1989). Disappointments and legacies of social indicators. </w:t>
      </w:r>
      <w:r w:rsidRPr="00DE659D">
        <w:rPr>
          <w:i/>
          <w:iCs/>
          <w:noProof/>
          <w:color w:val="000000" w:themeColor="text1"/>
          <w:lang w:eastAsia="fr-BE"/>
        </w:rPr>
        <w:t>Journal of Public Policy</w:t>
      </w:r>
      <w:r w:rsidRPr="00DE659D">
        <w:rPr>
          <w:noProof/>
          <w:color w:val="000000" w:themeColor="text1"/>
          <w:lang w:eastAsia="fr-BE"/>
        </w:rPr>
        <w:t>, </w:t>
      </w:r>
      <w:r w:rsidRPr="00DE659D">
        <w:rPr>
          <w:i/>
          <w:iCs/>
          <w:noProof/>
          <w:color w:val="000000" w:themeColor="text1"/>
          <w:lang w:eastAsia="fr-BE"/>
        </w:rPr>
        <w:t>9</w:t>
      </w:r>
      <w:r w:rsidRPr="00DE659D">
        <w:rPr>
          <w:noProof/>
          <w:color w:val="000000" w:themeColor="text1"/>
          <w:lang w:eastAsia="fr-BE"/>
        </w:rPr>
        <w:t>(04), 429-432.</w:t>
      </w:r>
    </w:p>
    <w:p w14:paraId="44961772" w14:textId="77777777" w:rsidR="00DE659D" w:rsidRPr="00DE659D" w:rsidRDefault="00DE659D" w:rsidP="00DE659D">
      <w:pPr>
        <w:rPr>
          <w:noProof/>
          <w:color w:val="000000" w:themeColor="text1"/>
          <w:lang w:eastAsia="fr-BE"/>
        </w:rPr>
      </w:pPr>
      <w:r w:rsidRPr="00DE659D">
        <w:rPr>
          <w:noProof/>
          <w:color w:val="000000" w:themeColor="text1"/>
          <w:lang w:eastAsia="fr-BE"/>
        </w:rPr>
        <w:t>Jackson, T. (2016). </w:t>
      </w:r>
      <w:r w:rsidRPr="00DE659D">
        <w:rPr>
          <w:i/>
          <w:noProof/>
          <w:color w:val="000000" w:themeColor="text1"/>
          <w:lang w:eastAsia="fr-BE"/>
        </w:rPr>
        <w:t>Prosperity without Growth: Foundations for the Economy of Tomorrow.</w:t>
      </w:r>
      <w:r w:rsidRPr="00DE659D">
        <w:rPr>
          <w:noProof/>
          <w:color w:val="000000" w:themeColor="text1"/>
          <w:lang w:eastAsia="fr-BE"/>
        </w:rPr>
        <w:t xml:space="preserve"> Routledge.</w:t>
      </w:r>
    </w:p>
    <w:p w14:paraId="4D0E5498"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Jeffrey, K., Wheatley, H., Abdallah, S. (2016). </w:t>
      </w:r>
      <w:r w:rsidRPr="00DE659D">
        <w:rPr>
          <w:i/>
          <w:noProof/>
          <w:color w:val="000000" w:themeColor="text1"/>
          <w:lang w:eastAsia="fr-BE"/>
        </w:rPr>
        <w:t>The Happy Planet Index: 2016. A global index of sustainable well-being.</w:t>
      </w:r>
      <w:r w:rsidRPr="00DE659D">
        <w:rPr>
          <w:noProof/>
          <w:color w:val="000000" w:themeColor="text1"/>
          <w:lang w:eastAsia="fr-BE"/>
        </w:rPr>
        <w:t xml:space="preserve"> London: New Economics Foundation. </w:t>
      </w:r>
    </w:p>
    <w:p w14:paraId="39D01F70"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Layard R. (2005), </w:t>
      </w:r>
      <w:r w:rsidRPr="00DE659D">
        <w:rPr>
          <w:i/>
          <w:iCs/>
          <w:noProof/>
          <w:color w:val="000000" w:themeColor="text1"/>
          <w:lang w:eastAsia="fr-BE"/>
        </w:rPr>
        <w:t>Happiness: lessons from a new science</w:t>
      </w:r>
      <w:r w:rsidRPr="00DE659D">
        <w:rPr>
          <w:noProof/>
          <w:color w:val="000000" w:themeColor="text1"/>
          <w:lang w:eastAsia="fr-BE"/>
        </w:rPr>
        <w:t>, London: Penguin Group.</w:t>
      </w:r>
    </w:p>
    <w:p w14:paraId="0052EBD3" w14:textId="77777777" w:rsidR="00DE659D" w:rsidRPr="00DE659D" w:rsidRDefault="00DE659D" w:rsidP="00DE659D">
      <w:pPr>
        <w:rPr>
          <w:noProof/>
          <w:color w:val="000000" w:themeColor="text1"/>
          <w:lang w:eastAsia="fr-BE"/>
        </w:rPr>
      </w:pPr>
      <w:r w:rsidRPr="00DE659D">
        <w:rPr>
          <w:noProof/>
          <w:color w:val="000000" w:themeColor="text1"/>
          <w:lang w:eastAsia="fr-BE"/>
        </w:rPr>
        <w:t>Lehtonen, M. (2015). Indicators: tools for informing, monitoring or controlling. </w:t>
      </w:r>
      <w:r w:rsidRPr="00DE659D">
        <w:rPr>
          <w:i/>
          <w:iCs/>
          <w:noProof/>
          <w:color w:val="000000" w:themeColor="text1"/>
          <w:lang w:eastAsia="fr-BE"/>
        </w:rPr>
        <w:t>The Tools of Policy Formulation: Actors, Capacities, Venues and Effects. Edward Elgar</w:t>
      </w:r>
      <w:r w:rsidRPr="00DE659D">
        <w:rPr>
          <w:noProof/>
          <w:color w:val="000000" w:themeColor="text1"/>
          <w:lang w:eastAsia="fr-BE"/>
        </w:rPr>
        <w:t>, 76-99.</w:t>
      </w:r>
    </w:p>
    <w:p w14:paraId="082DB2DB" w14:textId="77777777" w:rsidR="00DE659D" w:rsidRPr="00DE659D" w:rsidRDefault="00DE659D" w:rsidP="00DE659D">
      <w:pPr>
        <w:rPr>
          <w:noProof/>
          <w:color w:val="000000" w:themeColor="text1"/>
          <w:lang w:eastAsia="fr-BE"/>
        </w:rPr>
      </w:pPr>
      <w:r w:rsidRPr="00DE659D">
        <w:rPr>
          <w:noProof/>
          <w:color w:val="000000" w:themeColor="text1"/>
          <w:lang w:eastAsia="fr-BE"/>
        </w:rPr>
        <w:t>Lehtonen, M., Sébastien, L., &amp; Bauler, T. (2016). The multiple roles of sustainability indicators in informational governance: between intended use and unanticipated influence. </w:t>
      </w:r>
      <w:r w:rsidRPr="00DE659D">
        <w:rPr>
          <w:i/>
          <w:iCs/>
          <w:noProof/>
          <w:color w:val="000000" w:themeColor="text1"/>
          <w:lang w:eastAsia="fr-BE"/>
        </w:rPr>
        <w:t>Current Opinion in Environmental Sustainability</w:t>
      </w:r>
      <w:r w:rsidRPr="00DE659D">
        <w:rPr>
          <w:noProof/>
          <w:color w:val="000000" w:themeColor="text1"/>
          <w:lang w:eastAsia="fr-BE"/>
        </w:rPr>
        <w:t>, </w:t>
      </w:r>
      <w:r w:rsidRPr="00DE659D">
        <w:rPr>
          <w:i/>
          <w:iCs/>
          <w:noProof/>
          <w:color w:val="000000" w:themeColor="text1"/>
          <w:lang w:eastAsia="fr-BE"/>
        </w:rPr>
        <w:t>18</w:t>
      </w:r>
      <w:r w:rsidRPr="00DE659D">
        <w:rPr>
          <w:noProof/>
          <w:color w:val="000000" w:themeColor="text1"/>
          <w:lang w:eastAsia="fr-BE"/>
        </w:rPr>
        <w:t xml:space="preserve">, 1-9. </w:t>
      </w:r>
    </w:p>
    <w:p w14:paraId="5C332DB0" w14:textId="77777777" w:rsidR="00DE659D" w:rsidRPr="00DE659D" w:rsidRDefault="00DE659D" w:rsidP="00DE659D">
      <w:pPr>
        <w:rPr>
          <w:noProof/>
          <w:color w:val="000000" w:themeColor="text1"/>
          <w:lang w:eastAsia="fr-BE"/>
        </w:rPr>
      </w:pPr>
      <w:r w:rsidRPr="00DE659D">
        <w:rPr>
          <w:noProof/>
          <w:color w:val="000000" w:themeColor="text1"/>
          <w:lang w:eastAsia="fr-BE"/>
        </w:rPr>
        <w:t>Maridal, J. (2016). A Worldwide Measure of Societal Quality of Life. </w:t>
      </w:r>
      <w:r w:rsidRPr="00DE659D">
        <w:rPr>
          <w:i/>
          <w:iCs/>
          <w:noProof/>
          <w:color w:val="000000" w:themeColor="text1"/>
          <w:lang w:eastAsia="fr-BE"/>
        </w:rPr>
        <w:t>Social Indicators Research</w:t>
      </w:r>
      <w:r w:rsidRPr="00DE659D">
        <w:rPr>
          <w:noProof/>
          <w:color w:val="000000" w:themeColor="text1"/>
          <w:lang w:eastAsia="fr-BE"/>
        </w:rPr>
        <w:t>, 1-38.</w:t>
      </w:r>
    </w:p>
    <w:p w14:paraId="326C8EA6" w14:textId="77777777" w:rsidR="00DE659D" w:rsidRPr="00DE659D" w:rsidRDefault="00DE659D" w:rsidP="00DE659D">
      <w:pPr>
        <w:rPr>
          <w:noProof/>
          <w:color w:val="000000" w:themeColor="text1"/>
          <w:lang w:eastAsia="fr-BE"/>
        </w:rPr>
      </w:pPr>
      <w:r w:rsidRPr="00DE659D">
        <w:rPr>
          <w:noProof/>
          <w:color w:val="000000" w:themeColor="text1"/>
          <w:lang w:eastAsia="fr-BE"/>
        </w:rPr>
        <w:t>Martinez Alier, J. M. (2009). Socially sustainable economic de</w:t>
      </w:r>
      <w:r w:rsidRPr="00DE659D">
        <w:rPr>
          <w:rFonts w:ascii="Times New Roman" w:hAnsi="Times New Roman" w:cs="Times New Roman"/>
          <w:noProof/>
          <w:color w:val="000000" w:themeColor="text1"/>
          <w:lang w:eastAsia="fr-BE"/>
        </w:rPr>
        <w:t>‐</w:t>
      </w:r>
      <w:r w:rsidRPr="00DE659D">
        <w:rPr>
          <w:noProof/>
          <w:color w:val="000000" w:themeColor="text1"/>
          <w:lang w:eastAsia="fr-BE"/>
        </w:rPr>
        <w:t>growth. </w:t>
      </w:r>
      <w:r w:rsidRPr="00DE659D">
        <w:rPr>
          <w:i/>
          <w:iCs/>
          <w:noProof/>
          <w:color w:val="000000" w:themeColor="text1"/>
          <w:lang w:eastAsia="fr-BE"/>
        </w:rPr>
        <w:t>Development and change</w:t>
      </w:r>
      <w:r w:rsidRPr="00DE659D">
        <w:rPr>
          <w:noProof/>
          <w:color w:val="000000" w:themeColor="text1"/>
          <w:lang w:eastAsia="fr-BE"/>
        </w:rPr>
        <w:t>, </w:t>
      </w:r>
      <w:r w:rsidRPr="00DE659D">
        <w:rPr>
          <w:i/>
          <w:iCs/>
          <w:noProof/>
          <w:color w:val="000000" w:themeColor="text1"/>
          <w:lang w:eastAsia="fr-BE"/>
        </w:rPr>
        <w:t>40</w:t>
      </w:r>
      <w:r w:rsidRPr="00DE659D">
        <w:rPr>
          <w:noProof/>
          <w:color w:val="000000" w:themeColor="text1"/>
          <w:lang w:eastAsia="fr-BE"/>
        </w:rPr>
        <w:t xml:space="preserve">(6), 1099-1119. </w:t>
      </w:r>
    </w:p>
    <w:p w14:paraId="09A93912" w14:textId="77777777" w:rsidR="00DE659D" w:rsidRPr="00DE659D" w:rsidRDefault="00DE659D" w:rsidP="00DE659D">
      <w:pPr>
        <w:rPr>
          <w:noProof/>
          <w:color w:val="000000" w:themeColor="text1"/>
          <w:lang w:eastAsia="fr-BE"/>
        </w:rPr>
      </w:pPr>
      <w:r w:rsidRPr="00DE659D">
        <w:rPr>
          <w:noProof/>
          <w:color w:val="000000" w:themeColor="text1"/>
          <w:lang w:val="hu-HU" w:eastAsia="fr-BE"/>
        </w:rPr>
        <w:lastRenderedPageBreak/>
        <w:t>Masood, E. (2016). </w:t>
      </w:r>
      <w:r w:rsidRPr="00DE659D">
        <w:rPr>
          <w:i/>
          <w:iCs/>
          <w:noProof/>
          <w:color w:val="000000" w:themeColor="text1"/>
          <w:lang w:val="hu-HU" w:eastAsia="fr-BE"/>
        </w:rPr>
        <w:t>The Great Invention: The Story of GDP and the Making and Unmaking of the Modern World</w:t>
      </w:r>
      <w:r w:rsidRPr="00DE659D">
        <w:rPr>
          <w:noProof/>
          <w:color w:val="000000" w:themeColor="text1"/>
          <w:lang w:val="hu-HU" w:eastAsia="fr-BE"/>
        </w:rPr>
        <w:t>. Pegasus Books.</w:t>
      </w:r>
      <w:r w:rsidRPr="00DE659D">
        <w:rPr>
          <w:noProof/>
          <w:color w:val="000000" w:themeColor="text1"/>
          <w:lang w:eastAsia="fr-BE"/>
        </w:rPr>
        <w:t xml:space="preserve"> </w:t>
      </w:r>
    </w:p>
    <w:p w14:paraId="3BFF14F2" w14:textId="77777777" w:rsidR="00DE659D" w:rsidRPr="00DE659D" w:rsidRDefault="00DE659D" w:rsidP="00DE659D">
      <w:pPr>
        <w:rPr>
          <w:noProof/>
          <w:color w:val="000000" w:themeColor="text1"/>
          <w:lang w:eastAsia="fr-BE"/>
        </w:rPr>
      </w:pPr>
      <w:r w:rsidRPr="00DE659D">
        <w:rPr>
          <w:noProof/>
          <w:color w:val="000000" w:themeColor="text1"/>
          <w:lang w:eastAsia="fr-BE"/>
        </w:rPr>
        <w:t>McGillivray, M. (1991). The human development index: yet another redundant composite development indicator?. </w:t>
      </w:r>
      <w:r w:rsidRPr="00DE659D">
        <w:rPr>
          <w:i/>
          <w:iCs/>
          <w:noProof/>
          <w:color w:val="000000" w:themeColor="text1"/>
          <w:lang w:eastAsia="fr-BE"/>
        </w:rPr>
        <w:t>World Development</w:t>
      </w:r>
      <w:r w:rsidRPr="00DE659D">
        <w:rPr>
          <w:noProof/>
          <w:color w:val="000000" w:themeColor="text1"/>
          <w:lang w:eastAsia="fr-BE"/>
        </w:rPr>
        <w:t>, </w:t>
      </w:r>
      <w:r w:rsidRPr="00DE659D">
        <w:rPr>
          <w:i/>
          <w:iCs/>
          <w:noProof/>
          <w:color w:val="000000" w:themeColor="text1"/>
          <w:lang w:eastAsia="fr-BE"/>
        </w:rPr>
        <w:t>19</w:t>
      </w:r>
      <w:r w:rsidRPr="00DE659D">
        <w:rPr>
          <w:noProof/>
          <w:color w:val="000000" w:themeColor="text1"/>
          <w:lang w:eastAsia="fr-BE"/>
        </w:rPr>
        <w:t>(10), 1461-1468.</w:t>
      </w:r>
    </w:p>
    <w:p w14:paraId="43D3649A" w14:textId="77777777" w:rsidR="00DE659D" w:rsidRPr="00DE659D" w:rsidRDefault="00DE659D" w:rsidP="00DE659D">
      <w:pPr>
        <w:rPr>
          <w:noProof/>
          <w:color w:val="000000" w:themeColor="text1"/>
          <w:lang w:eastAsia="fr-BE"/>
        </w:rPr>
      </w:pPr>
      <w:r w:rsidRPr="00DE659D">
        <w:rPr>
          <w:noProof/>
          <w:color w:val="000000" w:themeColor="text1"/>
          <w:lang w:eastAsia="fr-BE"/>
        </w:rPr>
        <w:t>Morse, S. (2016). Measuring the success of sustainable development indices in terms of reporting by the global press. </w:t>
      </w:r>
      <w:r w:rsidRPr="00DE659D">
        <w:rPr>
          <w:i/>
          <w:iCs/>
          <w:noProof/>
          <w:color w:val="000000" w:themeColor="text1"/>
          <w:lang w:eastAsia="fr-BE"/>
        </w:rPr>
        <w:t>Social Indicators Research</w:t>
      </w:r>
      <w:r w:rsidRPr="00DE659D">
        <w:rPr>
          <w:noProof/>
          <w:color w:val="000000" w:themeColor="text1"/>
          <w:lang w:eastAsia="fr-BE"/>
        </w:rPr>
        <w:t>, </w:t>
      </w:r>
      <w:r w:rsidRPr="00DE659D">
        <w:rPr>
          <w:i/>
          <w:iCs/>
          <w:noProof/>
          <w:color w:val="000000" w:themeColor="text1"/>
          <w:lang w:eastAsia="fr-BE"/>
        </w:rPr>
        <w:t>125</w:t>
      </w:r>
      <w:r w:rsidRPr="00DE659D">
        <w:rPr>
          <w:noProof/>
          <w:color w:val="000000" w:themeColor="text1"/>
          <w:lang w:eastAsia="fr-BE"/>
        </w:rPr>
        <w:t>(2), 359-375.North, D. С. (1991). Institutions STÖR. </w:t>
      </w:r>
      <w:r w:rsidRPr="00DE659D">
        <w:rPr>
          <w:i/>
          <w:iCs/>
          <w:noProof/>
          <w:color w:val="000000" w:themeColor="text1"/>
          <w:lang w:eastAsia="fr-BE"/>
        </w:rPr>
        <w:t>The Journal of Economic Perspectives</w:t>
      </w:r>
      <w:r w:rsidRPr="00DE659D">
        <w:rPr>
          <w:noProof/>
          <w:color w:val="000000" w:themeColor="text1"/>
          <w:lang w:eastAsia="fr-BE"/>
        </w:rPr>
        <w:t>, </w:t>
      </w:r>
      <w:r w:rsidRPr="00DE659D">
        <w:rPr>
          <w:i/>
          <w:iCs/>
          <w:noProof/>
          <w:color w:val="000000" w:themeColor="text1"/>
          <w:lang w:eastAsia="fr-BE"/>
        </w:rPr>
        <w:t>5</w:t>
      </w:r>
      <w:r w:rsidRPr="00DE659D">
        <w:rPr>
          <w:noProof/>
          <w:color w:val="000000" w:themeColor="text1"/>
          <w:lang w:eastAsia="fr-BE"/>
        </w:rPr>
        <w:t>(1), 97-112.</w:t>
      </w:r>
    </w:p>
    <w:p w14:paraId="1FC735DF" w14:textId="77777777" w:rsidR="00DE659D" w:rsidRPr="00DE659D" w:rsidRDefault="00DE659D" w:rsidP="00DE659D">
      <w:pPr>
        <w:rPr>
          <w:noProof/>
          <w:color w:val="000000" w:themeColor="text1"/>
          <w:lang w:eastAsia="fr-BE"/>
        </w:rPr>
      </w:pPr>
      <w:r w:rsidRPr="00DE659D">
        <w:rPr>
          <w:noProof/>
          <w:color w:val="000000" w:themeColor="text1"/>
          <w:lang w:val="hu-HU" w:eastAsia="fr-BE"/>
        </w:rPr>
        <w:t>O’Neill, D., Dietz, R., &amp; Jones, N. (2010). Enough is Enough. Ideas for a Sustainable Economy in a World of Finite Resources. The Report of the Steady State Economy Conference. </w:t>
      </w:r>
      <w:r w:rsidRPr="00DE659D">
        <w:rPr>
          <w:i/>
          <w:iCs/>
          <w:noProof/>
          <w:color w:val="000000" w:themeColor="text1"/>
          <w:lang w:val="hu-HU" w:eastAsia="fr-BE"/>
        </w:rPr>
        <w:t>Center for the Advancement of the Steady State Economy (Arlington, Virginia, USA) and Economic Justice for All (Leeds, UK)</w:t>
      </w:r>
      <w:r w:rsidRPr="00DE659D">
        <w:rPr>
          <w:noProof/>
          <w:color w:val="000000" w:themeColor="text1"/>
          <w:lang w:val="hu-HU" w:eastAsia="fr-BE"/>
        </w:rPr>
        <w:t>.</w:t>
      </w:r>
      <w:r w:rsidRPr="00DE659D">
        <w:rPr>
          <w:noProof/>
          <w:color w:val="000000" w:themeColor="text1"/>
          <w:lang w:eastAsia="fr-BE"/>
        </w:rPr>
        <w:t xml:space="preserve"> </w:t>
      </w:r>
    </w:p>
    <w:p w14:paraId="386A8241" w14:textId="77777777" w:rsidR="00DE659D" w:rsidRPr="00DE659D" w:rsidRDefault="00DE659D" w:rsidP="00DE659D">
      <w:pPr>
        <w:rPr>
          <w:noProof/>
          <w:color w:val="000000" w:themeColor="text1"/>
          <w:lang w:eastAsia="fr-BE"/>
        </w:rPr>
      </w:pPr>
      <w:r w:rsidRPr="00DE659D">
        <w:rPr>
          <w:noProof/>
          <w:color w:val="000000" w:themeColor="text1"/>
          <w:lang w:eastAsia="fr-BE"/>
        </w:rPr>
        <w:t>Parsons, T. (1967). Some ingredients of a general theory of formal organization. </w:t>
      </w:r>
      <w:r w:rsidRPr="00DE659D">
        <w:rPr>
          <w:i/>
          <w:iCs/>
          <w:noProof/>
          <w:color w:val="000000" w:themeColor="text1"/>
          <w:lang w:eastAsia="fr-BE"/>
        </w:rPr>
        <w:t>Administrative theory in education</w:t>
      </w:r>
      <w:r w:rsidRPr="00DE659D">
        <w:rPr>
          <w:noProof/>
          <w:color w:val="000000" w:themeColor="text1"/>
          <w:lang w:eastAsia="fr-BE"/>
        </w:rPr>
        <w:t>, 40-72.</w:t>
      </w:r>
    </w:p>
    <w:p w14:paraId="6913D413" w14:textId="77777777" w:rsidR="00DE659D" w:rsidRPr="00DE659D" w:rsidRDefault="00DE659D" w:rsidP="00DE659D">
      <w:pPr>
        <w:rPr>
          <w:noProof/>
          <w:color w:val="000000" w:themeColor="text1"/>
          <w:lang w:eastAsia="fr-BE"/>
        </w:rPr>
      </w:pPr>
      <w:r w:rsidRPr="00DE659D">
        <w:rPr>
          <w:noProof/>
          <w:color w:val="000000" w:themeColor="text1"/>
          <w:lang w:eastAsia="fr-BE"/>
        </w:rPr>
        <w:t>Piketty, T. (2014). </w:t>
      </w:r>
      <w:r w:rsidRPr="00DE659D">
        <w:rPr>
          <w:i/>
          <w:iCs/>
          <w:noProof/>
          <w:color w:val="000000" w:themeColor="text1"/>
          <w:lang w:eastAsia="fr-BE"/>
        </w:rPr>
        <w:t>Capital in the Twenty-First Century</w:t>
      </w:r>
      <w:r w:rsidRPr="00DE659D">
        <w:rPr>
          <w:noProof/>
          <w:color w:val="000000" w:themeColor="text1"/>
          <w:lang w:eastAsia="fr-BE"/>
        </w:rPr>
        <w:t>, Belknap: Cambridge, MA.</w:t>
      </w:r>
    </w:p>
    <w:p w14:paraId="38BBBC49"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Porter, M. E., &amp; Kramer, M. R. (2011). Creating shared value: How to reinvent capitalism—and unleash a wave of innovation and growth. </w:t>
      </w:r>
      <w:r w:rsidRPr="00DE659D">
        <w:rPr>
          <w:i/>
          <w:noProof/>
          <w:color w:val="000000" w:themeColor="text1"/>
          <w:lang w:val="hu-HU" w:eastAsia="fr-BE"/>
        </w:rPr>
        <w:t>Harvard Business Review</w:t>
      </w:r>
      <w:r w:rsidRPr="00DE659D">
        <w:rPr>
          <w:noProof/>
          <w:color w:val="000000" w:themeColor="text1"/>
          <w:lang w:val="hu-HU" w:eastAsia="fr-BE"/>
        </w:rPr>
        <w:t xml:space="preserve"> January–February.</w:t>
      </w:r>
    </w:p>
    <w:p w14:paraId="15331F21" w14:textId="77777777" w:rsidR="00DE659D" w:rsidRPr="00DE659D" w:rsidRDefault="00DE659D" w:rsidP="00DE659D">
      <w:pPr>
        <w:rPr>
          <w:noProof/>
          <w:color w:val="000000" w:themeColor="text1"/>
          <w:lang w:eastAsia="fr-BE"/>
        </w:rPr>
      </w:pPr>
      <w:r w:rsidRPr="00DE659D">
        <w:rPr>
          <w:noProof/>
          <w:color w:val="000000" w:themeColor="text1"/>
          <w:lang w:eastAsia="fr-BE"/>
        </w:rPr>
        <w:t>Porter, M. E., Stern, S., &amp; Loria, R. A. (2016). Social progress index 2016. </w:t>
      </w:r>
      <w:r w:rsidRPr="00DE659D">
        <w:rPr>
          <w:i/>
          <w:iCs/>
          <w:noProof/>
          <w:color w:val="000000" w:themeColor="text1"/>
          <w:lang w:eastAsia="fr-BE"/>
        </w:rPr>
        <w:t>Washington, DC: Social Progress Imperative</w:t>
      </w:r>
      <w:r w:rsidRPr="00DE659D">
        <w:rPr>
          <w:noProof/>
          <w:color w:val="000000" w:themeColor="text1"/>
          <w:lang w:eastAsia="fr-BE"/>
        </w:rPr>
        <w:t>.</w:t>
      </w:r>
    </w:p>
    <w:p w14:paraId="653DE9F6" w14:textId="77777777" w:rsidR="00DE659D" w:rsidRPr="00DE659D" w:rsidRDefault="00DE659D" w:rsidP="00DE659D">
      <w:pPr>
        <w:rPr>
          <w:noProof/>
          <w:color w:val="000000" w:themeColor="text1"/>
          <w:lang w:eastAsia="fr-BE"/>
        </w:rPr>
      </w:pPr>
      <w:r w:rsidRPr="00DE659D">
        <w:rPr>
          <w:noProof/>
          <w:color w:val="000000" w:themeColor="text1"/>
          <w:lang w:eastAsia="fr-BE"/>
        </w:rPr>
        <w:t>Rinne, J., Lyytimäki, J., &amp; Kautto, P. (2013). From sustainability to well-being: Lessons learned from the use of sustainable development indicators at national and EU level. </w:t>
      </w:r>
      <w:r w:rsidRPr="00DE659D">
        <w:rPr>
          <w:i/>
          <w:iCs/>
          <w:noProof/>
          <w:color w:val="000000" w:themeColor="text1"/>
          <w:lang w:eastAsia="fr-BE"/>
        </w:rPr>
        <w:t>Ecological indicators</w:t>
      </w:r>
      <w:r w:rsidRPr="00DE659D">
        <w:rPr>
          <w:noProof/>
          <w:color w:val="000000" w:themeColor="text1"/>
          <w:lang w:eastAsia="fr-BE"/>
        </w:rPr>
        <w:t>, </w:t>
      </w:r>
      <w:r w:rsidRPr="00DE659D">
        <w:rPr>
          <w:i/>
          <w:iCs/>
          <w:noProof/>
          <w:color w:val="000000" w:themeColor="text1"/>
          <w:lang w:eastAsia="fr-BE"/>
        </w:rPr>
        <w:t>35</w:t>
      </w:r>
      <w:r w:rsidRPr="00DE659D">
        <w:rPr>
          <w:noProof/>
          <w:color w:val="000000" w:themeColor="text1"/>
          <w:lang w:eastAsia="fr-BE"/>
        </w:rPr>
        <w:t>, 35-42.</w:t>
      </w:r>
    </w:p>
    <w:p w14:paraId="13456C52" w14:textId="77777777" w:rsidR="00DE659D" w:rsidRPr="00DE659D" w:rsidRDefault="00DE659D" w:rsidP="00DE659D">
      <w:pPr>
        <w:rPr>
          <w:noProof/>
          <w:color w:val="000000" w:themeColor="text1"/>
          <w:lang w:eastAsia="fr-BE"/>
        </w:rPr>
      </w:pPr>
      <w:r w:rsidRPr="00DE659D">
        <w:rPr>
          <w:noProof/>
          <w:color w:val="000000" w:themeColor="text1"/>
          <w:lang w:val="en-US" w:eastAsia="fr-BE"/>
        </w:rPr>
        <w:t xml:space="preserve">Risse, T. (2002). Transnational Actors and World Politics. </w:t>
      </w:r>
      <w:r w:rsidRPr="00DE659D">
        <w:rPr>
          <w:i/>
          <w:iCs/>
          <w:noProof/>
          <w:color w:val="000000" w:themeColor="text1"/>
          <w:lang w:val="en-US" w:eastAsia="fr-BE"/>
        </w:rPr>
        <w:t>Handbook of International Relations</w:t>
      </w:r>
      <w:r w:rsidRPr="00DE659D">
        <w:rPr>
          <w:noProof/>
          <w:color w:val="000000" w:themeColor="text1"/>
          <w:lang w:val="en-US" w:eastAsia="fr-BE"/>
        </w:rPr>
        <w:t>, 335-360.</w:t>
      </w:r>
      <w:r w:rsidRPr="00DE659D">
        <w:rPr>
          <w:noProof/>
          <w:color w:val="000000" w:themeColor="text1"/>
          <w:lang w:eastAsia="fr-BE"/>
        </w:rPr>
        <w:t xml:space="preserve"> </w:t>
      </w:r>
    </w:p>
    <w:p w14:paraId="6959331E" w14:textId="77777777" w:rsidR="00DE659D" w:rsidRPr="00DE659D" w:rsidRDefault="00DE659D" w:rsidP="00DE659D">
      <w:pPr>
        <w:rPr>
          <w:noProof/>
          <w:color w:val="000000" w:themeColor="text1"/>
          <w:lang w:eastAsia="fr-BE"/>
        </w:rPr>
      </w:pPr>
      <w:r w:rsidRPr="00DE659D">
        <w:rPr>
          <w:noProof/>
          <w:color w:val="000000" w:themeColor="text1"/>
          <w:lang w:eastAsia="fr-BE"/>
        </w:rPr>
        <w:t xml:space="preserve">Rockström J., Sachs J., Öhman M., Schmidt-Traub G. (2013). Sustainable development and planetary boundaries, </w:t>
      </w:r>
      <w:r w:rsidRPr="00DE659D">
        <w:rPr>
          <w:i/>
          <w:noProof/>
          <w:color w:val="000000" w:themeColor="text1"/>
          <w:lang w:eastAsia="fr-BE"/>
        </w:rPr>
        <w:t>Background research paper</w:t>
      </w:r>
      <w:r w:rsidRPr="00DE659D">
        <w:rPr>
          <w:noProof/>
          <w:color w:val="000000" w:themeColor="text1"/>
          <w:lang w:eastAsia="fr-BE"/>
        </w:rPr>
        <w:t>, High Level Panel on the Post-2015 Development Agenda.</w:t>
      </w:r>
    </w:p>
    <w:p w14:paraId="1E0B01FB"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Sabatier, P. A. (1998). The advocacy coalition framework: revisions and relevance for Europe. </w:t>
      </w:r>
      <w:r w:rsidRPr="00DE659D">
        <w:rPr>
          <w:i/>
          <w:iCs/>
          <w:noProof/>
          <w:color w:val="000000" w:themeColor="text1"/>
          <w:lang w:eastAsia="fr-BE"/>
        </w:rPr>
        <w:t>Journal of European public policy</w:t>
      </w:r>
      <w:r w:rsidRPr="00DE659D">
        <w:rPr>
          <w:noProof/>
          <w:color w:val="000000" w:themeColor="text1"/>
          <w:lang w:eastAsia="fr-BE"/>
        </w:rPr>
        <w:t>, </w:t>
      </w:r>
      <w:r w:rsidRPr="00DE659D">
        <w:rPr>
          <w:i/>
          <w:iCs/>
          <w:noProof/>
          <w:color w:val="000000" w:themeColor="text1"/>
          <w:lang w:eastAsia="fr-BE"/>
        </w:rPr>
        <w:t>5</w:t>
      </w:r>
      <w:r w:rsidRPr="00DE659D">
        <w:rPr>
          <w:noProof/>
          <w:color w:val="000000" w:themeColor="text1"/>
          <w:lang w:eastAsia="fr-BE"/>
        </w:rPr>
        <w:t>(1), 98-130.</w:t>
      </w:r>
    </w:p>
    <w:p w14:paraId="2757CC3B" w14:textId="77777777" w:rsidR="00DE659D" w:rsidRPr="00DE659D" w:rsidRDefault="00DE659D" w:rsidP="00DE659D">
      <w:pPr>
        <w:rPr>
          <w:noProof/>
          <w:color w:val="000000" w:themeColor="text1"/>
          <w:lang w:val="en-US" w:eastAsia="fr-BE"/>
        </w:rPr>
      </w:pPr>
      <w:r w:rsidRPr="00DE659D">
        <w:rPr>
          <w:noProof/>
          <w:color w:val="000000" w:themeColor="text1"/>
          <w:lang w:eastAsia="fr-BE"/>
        </w:rPr>
        <w:t>Saisana, M., &amp; Philippas, D. (2012). Sustainable society index: Taking societies’ pulse along social, environmental and economic issues (Publication No. JRC 76108). </w:t>
      </w:r>
      <w:r w:rsidRPr="00DE659D">
        <w:rPr>
          <w:i/>
          <w:iCs/>
          <w:noProof/>
          <w:color w:val="000000" w:themeColor="text1"/>
          <w:lang w:val="en-US" w:eastAsia="fr-BE"/>
        </w:rPr>
        <w:t>Luxembourg: Publication Office of the European Union</w:t>
      </w:r>
      <w:r w:rsidRPr="00DE659D">
        <w:rPr>
          <w:noProof/>
          <w:color w:val="000000" w:themeColor="text1"/>
          <w:lang w:val="en-US" w:eastAsia="fr-BE"/>
        </w:rPr>
        <w:t>.</w:t>
      </w:r>
    </w:p>
    <w:p w14:paraId="6E42C94D" w14:textId="77777777" w:rsidR="00DE659D" w:rsidRPr="00DE659D" w:rsidRDefault="00DE659D" w:rsidP="00DE659D">
      <w:pPr>
        <w:rPr>
          <w:noProof/>
          <w:color w:val="000000" w:themeColor="text1"/>
          <w:lang w:eastAsia="fr-BE"/>
        </w:rPr>
      </w:pPr>
      <w:r w:rsidRPr="00DE659D">
        <w:rPr>
          <w:noProof/>
          <w:color w:val="000000" w:themeColor="text1"/>
          <w:lang w:val="en-US" w:eastAsia="fr-BE"/>
        </w:rPr>
        <w:t xml:space="preserve">Salais, R. (2014). </w:t>
      </w:r>
      <w:r w:rsidRPr="00DE659D">
        <w:rPr>
          <w:noProof/>
          <w:color w:val="000000" w:themeColor="text1"/>
          <w:lang w:val="fr-BE" w:eastAsia="fr-BE"/>
        </w:rPr>
        <w:t>La donnée n’est pas un donné-Pour une analyse critique de l’évaluation chiffrée de la performance. </w:t>
      </w:r>
      <w:r w:rsidRPr="00DE659D">
        <w:rPr>
          <w:i/>
          <w:iCs/>
          <w:noProof/>
          <w:color w:val="000000" w:themeColor="text1"/>
          <w:lang w:eastAsia="fr-BE"/>
        </w:rPr>
        <w:t>Cahiers Droit, Sciences &amp; Technologies</w:t>
      </w:r>
      <w:r w:rsidRPr="00DE659D">
        <w:rPr>
          <w:noProof/>
          <w:color w:val="000000" w:themeColor="text1"/>
          <w:lang w:eastAsia="fr-BE"/>
        </w:rPr>
        <w:t>, (4), 15-36.</w:t>
      </w:r>
    </w:p>
    <w:p w14:paraId="13316EF5" w14:textId="77777777" w:rsidR="00DE659D" w:rsidRPr="00DE659D" w:rsidRDefault="00DE659D" w:rsidP="00DE659D">
      <w:pPr>
        <w:rPr>
          <w:noProof/>
          <w:color w:val="000000" w:themeColor="text1"/>
          <w:lang w:eastAsia="fr-BE"/>
        </w:rPr>
      </w:pPr>
      <w:r w:rsidRPr="00DE659D">
        <w:rPr>
          <w:noProof/>
          <w:color w:val="000000" w:themeColor="text1"/>
          <w:lang w:eastAsia="fr-BE"/>
        </w:rPr>
        <w:t>Seaford, C. (2013a). The multiple uses of subjective well-being indicators. </w:t>
      </w:r>
      <w:r w:rsidRPr="00DE659D">
        <w:rPr>
          <w:i/>
          <w:iCs/>
          <w:noProof/>
          <w:color w:val="000000" w:themeColor="text1"/>
          <w:lang w:eastAsia="fr-BE"/>
        </w:rPr>
        <w:t>Social indicators research</w:t>
      </w:r>
      <w:r w:rsidRPr="00DE659D">
        <w:rPr>
          <w:noProof/>
          <w:color w:val="000000" w:themeColor="text1"/>
          <w:lang w:eastAsia="fr-BE"/>
        </w:rPr>
        <w:t>, </w:t>
      </w:r>
      <w:r w:rsidRPr="00DE659D">
        <w:rPr>
          <w:i/>
          <w:iCs/>
          <w:noProof/>
          <w:color w:val="000000" w:themeColor="text1"/>
          <w:lang w:eastAsia="fr-BE"/>
        </w:rPr>
        <w:t>114</w:t>
      </w:r>
      <w:r w:rsidRPr="00DE659D">
        <w:rPr>
          <w:noProof/>
          <w:color w:val="000000" w:themeColor="text1"/>
          <w:lang w:eastAsia="fr-BE"/>
        </w:rPr>
        <w:t>(1), 29-43.</w:t>
      </w:r>
    </w:p>
    <w:p w14:paraId="6A7A7AB4" w14:textId="77777777" w:rsidR="00DE659D" w:rsidRPr="00DE659D" w:rsidRDefault="00DE659D" w:rsidP="00DE659D">
      <w:pPr>
        <w:rPr>
          <w:noProof/>
          <w:color w:val="000000" w:themeColor="text1"/>
          <w:lang w:eastAsia="fr-BE"/>
        </w:rPr>
      </w:pPr>
      <w:r w:rsidRPr="00DE659D">
        <w:rPr>
          <w:noProof/>
          <w:color w:val="000000" w:themeColor="text1"/>
          <w:lang w:eastAsia="fr-BE"/>
        </w:rPr>
        <w:t>Seaford C. (2013b). « Report on results on action research: barriers to the use of alternative (‘beyond GDP’) indicators in policy making and how they are being overcome and can be overcome », BRAINPOoL deliverable 3.1.</w:t>
      </w:r>
    </w:p>
    <w:p w14:paraId="77C23317" w14:textId="77777777" w:rsidR="00DE659D" w:rsidRPr="00DE659D" w:rsidRDefault="00DE659D" w:rsidP="00DE659D">
      <w:pPr>
        <w:rPr>
          <w:noProof/>
          <w:color w:val="000000" w:themeColor="text1"/>
          <w:lang w:eastAsia="fr-BE"/>
        </w:rPr>
      </w:pPr>
      <w:r w:rsidRPr="00DE659D">
        <w:rPr>
          <w:noProof/>
          <w:color w:val="000000" w:themeColor="text1"/>
          <w:lang w:eastAsia="fr-BE"/>
        </w:rPr>
        <w:t>Sébastien, L., &amp; Bauler, T. (2013). Use and influence of composite indicators for sustainable development at the EU-level. </w:t>
      </w:r>
      <w:r w:rsidRPr="00DE659D">
        <w:rPr>
          <w:i/>
          <w:iCs/>
          <w:noProof/>
          <w:color w:val="000000" w:themeColor="text1"/>
          <w:lang w:eastAsia="fr-BE"/>
        </w:rPr>
        <w:t>Ecological indicators</w:t>
      </w:r>
      <w:r w:rsidRPr="00DE659D">
        <w:rPr>
          <w:noProof/>
          <w:color w:val="000000" w:themeColor="text1"/>
          <w:lang w:eastAsia="fr-BE"/>
        </w:rPr>
        <w:t>, </w:t>
      </w:r>
      <w:r w:rsidRPr="00DE659D">
        <w:rPr>
          <w:i/>
          <w:iCs/>
          <w:noProof/>
          <w:color w:val="000000" w:themeColor="text1"/>
          <w:lang w:eastAsia="fr-BE"/>
        </w:rPr>
        <w:t>35</w:t>
      </w:r>
      <w:r w:rsidRPr="00DE659D">
        <w:rPr>
          <w:noProof/>
          <w:color w:val="000000" w:themeColor="text1"/>
          <w:lang w:eastAsia="fr-BE"/>
        </w:rPr>
        <w:t>, 3-12.</w:t>
      </w:r>
    </w:p>
    <w:p w14:paraId="702EE22D"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Seyfang, G., &amp; Smith, A. (2007). Grassroots innovations for sustainable development: Towards a new research and policy agenda. </w:t>
      </w:r>
      <w:r w:rsidRPr="00DE659D">
        <w:rPr>
          <w:i/>
          <w:iCs/>
          <w:noProof/>
          <w:color w:val="000000" w:themeColor="text1"/>
          <w:lang w:val="hu-HU" w:eastAsia="fr-BE"/>
        </w:rPr>
        <w:t>Environmental politics</w:t>
      </w:r>
      <w:r w:rsidRPr="00DE659D">
        <w:rPr>
          <w:noProof/>
          <w:color w:val="000000" w:themeColor="text1"/>
          <w:lang w:val="hu-HU" w:eastAsia="fr-BE"/>
        </w:rPr>
        <w:t>, </w:t>
      </w:r>
      <w:r w:rsidRPr="00DE659D">
        <w:rPr>
          <w:i/>
          <w:iCs/>
          <w:noProof/>
          <w:color w:val="000000" w:themeColor="text1"/>
          <w:lang w:val="hu-HU" w:eastAsia="fr-BE"/>
        </w:rPr>
        <w:t>16</w:t>
      </w:r>
      <w:r w:rsidRPr="00DE659D">
        <w:rPr>
          <w:noProof/>
          <w:color w:val="000000" w:themeColor="text1"/>
          <w:lang w:val="hu-HU" w:eastAsia="fr-BE"/>
        </w:rPr>
        <w:t>(4), 584-603.</w:t>
      </w:r>
    </w:p>
    <w:p w14:paraId="51A7DD0B" w14:textId="77777777" w:rsidR="00DE659D" w:rsidRPr="00DE659D" w:rsidRDefault="00DE659D" w:rsidP="00DE659D">
      <w:pPr>
        <w:rPr>
          <w:noProof/>
          <w:color w:val="000000" w:themeColor="text1"/>
          <w:lang w:eastAsia="fr-BE"/>
        </w:rPr>
      </w:pPr>
      <w:r w:rsidRPr="00DE659D">
        <w:rPr>
          <w:noProof/>
          <w:color w:val="000000" w:themeColor="text1"/>
          <w:lang w:eastAsia="fr-BE"/>
        </w:rPr>
        <w:t>Singh, R. K., Murty, H. R., Gupta, S. K., &amp; Dikshit, A. K. (2009). An overview of sustainability assessment methodologies. </w:t>
      </w:r>
      <w:r w:rsidRPr="00DE659D">
        <w:rPr>
          <w:i/>
          <w:iCs/>
          <w:noProof/>
          <w:color w:val="000000" w:themeColor="text1"/>
          <w:lang w:eastAsia="fr-BE"/>
        </w:rPr>
        <w:t>Ecological indicators</w:t>
      </w:r>
      <w:r w:rsidRPr="00DE659D">
        <w:rPr>
          <w:noProof/>
          <w:color w:val="000000" w:themeColor="text1"/>
          <w:lang w:eastAsia="fr-BE"/>
        </w:rPr>
        <w:t>, </w:t>
      </w:r>
      <w:r w:rsidRPr="00DE659D">
        <w:rPr>
          <w:i/>
          <w:iCs/>
          <w:noProof/>
          <w:color w:val="000000" w:themeColor="text1"/>
          <w:lang w:eastAsia="fr-BE"/>
        </w:rPr>
        <w:t>9</w:t>
      </w:r>
      <w:r w:rsidRPr="00DE659D">
        <w:rPr>
          <w:noProof/>
          <w:color w:val="000000" w:themeColor="text1"/>
          <w:lang w:eastAsia="fr-BE"/>
        </w:rPr>
        <w:t>(2), 189-212.</w:t>
      </w:r>
    </w:p>
    <w:p w14:paraId="2FD7E336" w14:textId="77777777" w:rsidR="00DE659D" w:rsidRPr="00DE659D" w:rsidRDefault="00DE659D" w:rsidP="00DE659D">
      <w:pPr>
        <w:rPr>
          <w:noProof/>
          <w:color w:val="000000" w:themeColor="text1"/>
          <w:lang w:eastAsia="fr-BE"/>
        </w:rPr>
      </w:pPr>
      <w:r w:rsidRPr="00DE659D">
        <w:rPr>
          <w:noProof/>
          <w:color w:val="000000" w:themeColor="text1"/>
          <w:lang w:eastAsia="fr-BE"/>
        </w:rPr>
        <w:t>Steffen, W., Richardson, K., Rockström, J., Cornell, S. E., Fetzer, I., Bennett, E. M., ... &amp; Folke, C. (2015). Planetary boundaries: Guiding human development on a changing planet. </w:t>
      </w:r>
      <w:r w:rsidRPr="00DE659D">
        <w:rPr>
          <w:i/>
          <w:iCs/>
          <w:noProof/>
          <w:color w:val="000000" w:themeColor="text1"/>
          <w:lang w:eastAsia="fr-BE"/>
        </w:rPr>
        <w:t>Science</w:t>
      </w:r>
      <w:r w:rsidRPr="00DE659D">
        <w:rPr>
          <w:noProof/>
          <w:color w:val="000000" w:themeColor="text1"/>
          <w:lang w:eastAsia="fr-BE"/>
        </w:rPr>
        <w:t>, </w:t>
      </w:r>
      <w:r w:rsidRPr="00DE659D">
        <w:rPr>
          <w:i/>
          <w:iCs/>
          <w:noProof/>
          <w:color w:val="000000" w:themeColor="text1"/>
          <w:lang w:eastAsia="fr-BE"/>
        </w:rPr>
        <w:t>347</w:t>
      </w:r>
      <w:r w:rsidRPr="00DE659D">
        <w:rPr>
          <w:noProof/>
          <w:color w:val="000000" w:themeColor="text1"/>
          <w:lang w:eastAsia="fr-BE"/>
        </w:rPr>
        <w:t>.</w:t>
      </w:r>
    </w:p>
    <w:p w14:paraId="08345DE5" w14:textId="77777777" w:rsidR="00DE659D" w:rsidRPr="00DE659D" w:rsidRDefault="00DE659D" w:rsidP="00DE659D">
      <w:pPr>
        <w:rPr>
          <w:noProof/>
          <w:color w:val="000000" w:themeColor="text1"/>
          <w:lang w:eastAsia="fr-BE"/>
        </w:rPr>
      </w:pPr>
      <w:r w:rsidRPr="00DE659D">
        <w:rPr>
          <w:noProof/>
          <w:color w:val="000000" w:themeColor="text1"/>
          <w:lang w:eastAsia="fr-BE"/>
        </w:rPr>
        <w:t>Stern, S., Wares, A., Orzell, S., &amp; Sullivan, p. (2014). Social progress index 2014. Methodological Report. </w:t>
      </w:r>
      <w:r w:rsidRPr="00DE659D">
        <w:rPr>
          <w:i/>
          <w:iCs/>
          <w:noProof/>
          <w:color w:val="000000" w:themeColor="text1"/>
          <w:lang w:eastAsia="fr-BE"/>
        </w:rPr>
        <w:t>Washington, DC: Social Progress Imperative</w:t>
      </w:r>
      <w:r w:rsidRPr="00DE659D">
        <w:rPr>
          <w:noProof/>
          <w:color w:val="000000" w:themeColor="text1"/>
          <w:lang w:eastAsia="fr-BE"/>
        </w:rPr>
        <w:t>.</w:t>
      </w:r>
    </w:p>
    <w:p w14:paraId="5C02D469" w14:textId="77777777" w:rsidR="00DE659D" w:rsidRPr="00DE659D" w:rsidRDefault="00DE659D" w:rsidP="00DE659D">
      <w:pPr>
        <w:rPr>
          <w:noProof/>
          <w:color w:val="000000" w:themeColor="text1"/>
          <w:lang w:eastAsia="fr-BE"/>
        </w:rPr>
      </w:pPr>
      <w:r w:rsidRPr="00DE659D">
        <w:rPr>
          <w:noProof/>
          <w:color w:val="000000" w:themeColor="text1"/>
          <w:lang w:eastAsia="fr-BE"/>
        </w:rPr>
        <w:lastRenderedPageBreak/>
        <w:t>Stiglitz, J., Sen, A. K., &amp; Fitoussi, J. P. (2009). The measurement of economic performance and social progress revisited: reflections and overview.</w:t>
      </w:r>
    </w:p>
    <w:p w14:paraId="739B9F27" w14:textId="77777777" w:rsidR="00DE659D" w:rsidRPr="00DE659D" w:rsidRDefault="00DE659D" w:rsidP="00DE659D">
      <w:pPr>
        <w:rPr>
          <w:noProof/>
          <w:color w:val="000000" w:themeColor="text1"/>
          <w:lang w:eastAsia="fr-BE"/>
        </w:rPr>
      </w:pPr>
      <w:r w:rsidRPr="00DE659D">
        <w:rPr>
          <w:noProof/>
          <w:color w:val="000000" w:themeColor="text1"/>
          <w:lang w:val="fr-BE" w:eastAsia="fr-BE"/>
        </w:rPr>
        <w:t xml:space="preserve">Thiry, G., Bauler, T., Sébastien, L., Lacroix, V., &amp; Paris, S. (2013). </w:t>
      </w:r>
      <w:r w:rsidRPr="00DE659D">
        <w:rPr>
          <w:noProof/>
          <w:color w:val="000000" w:themeColor="text1"/>
          <w:lang w:eastAsia="fr-BE"/>
        </w:rPr>
        <w:t>Indicators Beyond GDP. Characterising Demand: Institutional Analyses and Actors’ Consultation by “Road Show”.</w:t>
      </w:r>
    </w:p>
    <w:p w14:paraId="3435814C" w14:textId="77777777" w:rsidR="00DE659D" w:rsidRPr="00DE659D" w:rsidRDefault="00DE659D" w:rsidP="00DE659D">
      <w:pPr>
        <w:rPr>
          <w:noProof/>
          <w:color w:val="000000" w:themeColor="text1"/>
          <w:lang w:eastAsia="fr-BE"/>
        </w:rPr>
      </w:pPr>
      <w:r w:rsidRPr="00DE659D">
        <w:rPr>
          <w:noProof/>
          <w:color w:val="000000" w:themeColor="text1"/>
          <w:lang w:val="fr-BE" w:eastAsia="fr-BE"/>
        </w:rPr>
        <w:t xml:space="preserve">Thiry, G., Sébastien, L., &amp; Bauler, T. (2014). Ce que révèle le discours des acteurs officiels sur un «au-delà du PIB». </w:t>
      </w:r>
      <w:r w:rsidRPr="00DE659D">
        <w:rPr>
          <w:i/>
          <w:noProof/>
          <w:color w:val="000000" w:themeColor="text1"/>
          <w:lang w:eastAsia="fr-BE"/>
        </w:rPr>
        <w:t>FMSH-WP-2014-84</w:t>
      </w:r>
      <w:r w:rsidRPr="00DE659D">
        <w:rPr>
          <w:noProof/>
          <w:color w:val="000000" w:themeColor="text1"/>
          <w:lang w:eastAsia="fr-BE"/>
        </w:rPr>
        <w:t>.</w:t>
      </w:r>
    </w:p>
    <w:p w14:paraId="03AE0A45" w14:textId="77777777" w:rsidR="00DE659D" w:rsidRPr="00DE659D" w:rsidRDefault="00DE659D" w:rsidP="00DE659D">
      <w:pPr>
        <w:rPr>
          <w:noProof/>
          <w:color w:val="000000" w:themeColor="text1"/>
          <w:lang w:val="fr-BE" w:eastAsia="fr-BE"/>
        </w:rPr>
      </w:pPr>
      <w:r w:rsidRPr="00DE659D">
        <w:rPr>
          <w:noProof/>
          <w:color w:val="000000" w:themeColor="text1"/>
          <w:lang w:eastAsia="fr-BE"/>
        </w:rPr>
        <w:t>Wilkinson, R. G., &amp; Pickett, K. (2009). </w:t>
      </w:r>
      <w:r w:rsidRPr="00DE659D">
        <w:rPr>
          <w:i/>
          <w:iCs/>
          <w:noProof/>
          <w:color w:val="000000" w:themeColor="text1"/>
          <w:lang w:eastAsia="fr-BE"/>
        </w:rPr>
        <w:t>The spirit level: Why more equal societies almost always do better</w:t>
      </w:r>
      <w:r w:rsidRPr="00DE659D">
        <w:rPr>
          <w:noProof/>
          <w:color w:val="000000" w:themeColor="text1"/>
          <w:lang w:eastAsia="fr-BE"/>
        </w:rPr>
        <w:t xml:space="preserve"> (Vol. 6). </w:t>
      </w:r>
      <w:r w:rsidRPr="00DE659D">
        <w:rPr>
          <w:noProof/>
          <w:color w:val="000000" w:themeColor="text1"/>
          <w:lang w:val="fr-BE" w:eastAsia="fr-BE"/>
        </w:rPr>
        <w:t>London: Allen Lane.</w:t>
      </w:r>
    </w:p>
    <w:p w14:paraId="46CC9B62"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World Bank (2015), International Comparison Program database.</w:t>
      </w:r>
      <w:r w:rsidRPr="00DE659D">
        <w:rPr>
          <w:noProof/>
          <w:color w:val="000000" w:themeColor="text1"/>
          <w:lang w:val="fr-BE" w:eastAsia="fr-BE"/>
        </w:rPr>
        <w:tab/>
      </w:r>
    </w:p>
    <w:p w14:paraId="3271DFC9" w14:textId="77777777" w:rsidR="00DE659D" w:rsidRPr="00DE659D" w:rsidRDefault="00DE659D" w:rsidP="00DE659D">
      <w:pPr>
        <w:rPr>
          <w:noProof/>
          <w:color w:val="000000" w:themeColor="text1"/>
          <w:lang w:val="hu-HU" w:eastAsia="fr-BE"/>
        </w:rPr>
      </w:pPr>
    </w:p>
    <w:p w14:paraId="55A2EC0C" w14:textId="77777777" w:rsidR="00DE659D" w:rsidRPr="00DE659D" w:rsidRDefault="00DE659D" w:rsidP="00DE659D">
      <w:pPr>
        <w:rPr>
          <w:noProof/>
          <w:color w:val="000000" w:themeColor="text1"/>
          <w:lang w:val="hu-HU" w:eastAsia="fr-BE"/>
        </w:rPr>
      </w:pPr>
    </w:p>
    <w:p w14:paraId="664673E1" w14:textId="77777777" w:rsidR="00DE659D" w:rsidRPr="00DE659D" w:rsidRDefault="00DE659D" w:rsidP="00DE659D">
      <w:pPr>
        <w:rPr>
          <w:noProof/>
          <w:color w:val="000000" w:themeColor="text1"/>
          <w:lang w:val="hu-HU" w:eastAsia="fr-BE"/>
        </w:rPr>
      </w:pPr>
    </w:p>
    <w:p w14:paraId="37D871AE" w14:textId="77777777" w:rsidR="00DE659D" w:rsidRPr="00DE659D" w:rsidRDefault="00DE659D" w:rsidP="00DE659D">
      <w:pPr>
        <w:rPr>
          <w:b/>
          <w:noProof/>
          <w:color w:val="000000" w:themeColor="text1"/>
          <w:lang w:val="fr-BE" w:eastAsia="fr-BE"/>
        </w:rPr>
      </w:pPr>
      <w:r w:rsidRPr="00DE659D">
        <w:rPr>
          <w:noProof/>
          <w:color w:val="000000" w:themeColor="text1"/>
          <w:lang w:val="hu-HU" w:eastAsia="fr-BE"/>
        </w:rPr>
        <w:br w:type="page"/>
      </w:r>
    </w:p>
    <w:p w14:paraId="476F4100" w14:textId="77777777" w:rsidR="006D2122" w:rsidRDefault="006D2122">
      <w:pPr>
        <w:spacing w:line="259" w:lineRule="auto"/>
        <w:ind w:firstLine="0"/>
        <w:jc w:val="left"/>
        <w:rPr>
          <w:smallCaps/>
          <w:noProof/>
          <w:sz w:val="56"/>
          <w:lang w:val="fr-BE" w:eastAsia="fr-BE"/>
        </w:rPr>
      </w:pPr>
      <w:r>
        <w:rPr>
          <w:noProof/>
          <w:lang w:val="fr-BE" w:eastAsia="fr-BE"/>
        </w:rPr>
        <w:lastRenderedPageBreak/>
        <w:br w:type="page"/>
      </w:r>
    </w:p>
    <w:p w14:paraId="058DEC1E" w14:textId="4442882F" w:rsidR="00DE659D" w:rsidRPr="00CE7357" w:rsidRDefault="00DE659D" w:rsidP="00DE659D">
      <w:pPr>
        <w:pStyle w:val="Titre1"/>
        <w:rPr>
          <w:noProof/>
          <w:lang w:val="fr-BE" w:eastAsia="fr-BE"/>
        </w:rPr>
      </w:pPr>
      <w:bookmarkStart w:id="91" w:name="_Toc51512315"/>
      <w:r w:rsidRPr="00CE7357">
        <w:rPr>
          <w:noProof/>
          <w:lang w:val="fr-BE" w:eastAsia="fr-BE"/>
        </w:rPr>
        <w:lastRenderedPageBreak/>
        <w:t>Conclusion</w:t>
      </w:r>
      <w:r w:rsidR="00327273">
        <w:rPr>
          <w:noProof/>
          <w:lang w:val="fr-BE" w:eastAsia="fr-BE"/>
        </w:rPr>
        <w:t>s</w:t>
      </w:r>
      <w:r w:rsidRPr="00CE7357">
        <w:rPr>
          <w:noProof/>
          <w:lang w:val="fr-BE" w:eastAsia="fr-BE"/>
        </w:rPr>
        <w:t xml:space="preserve"> générale</w:t>
      </w:r>
      <w:r w:rsidR="00327273">
        <w:rPr>
          <w:noProof/>
          <w:lang w:val="fr-BE" w:eastAsia="fr-BE"/>
        </w:rPr>
        <w:t>s</w:t>
      </w:r>
      <w:r w:rsidRPr="00CE7357">
        <w:rPr>
          <w:noProof/>
          <w:lang w:val="fr-BE" w:eastAsia="fr-BE"/>
        </w:rPr>
        <w:t xml:space="preserve"> de la thèse</w:t>
      </w:r>
      <w:bookmarkEnd w:id="91"/>
    </w:p>
    <w:p w14:paraId="30A7EE73" w14:textId="77777777" w:rsidR="00DE659D" w:rsidRPr="00DE659D" w:rsidRDefault="00DE659D" w:rsidP="00DE659D">
      <w:pPr>
        <w:rPr>
          <w:noProof/>
          <w:color w:val="000000" w:themeColor="text1"/>
          <w:lang w:val="hu-HU" w:eastAsia="fr-BE"/>
        </w:rPr>
      </w:pPr>
    </w:p>
    <w:p w14:paraId="35738A6B"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Chacun de ces articles possède ses conclusions propres répondant à la question de recherche qui y est posée. Deux conclusions par article – particulièrement celles qui touchent à l’enjeu global de la thèse concernant les contours d’indicateurs de la transition – sont rappelées dans cette section. Ensuite, en établissant des liens entre les articles, trois conclusions générales de la thèse sont développées. </w:t>
      </w:r>
    </w:p>
    <w:p w14:paraId="2C920024"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De l’article ‘</w:t>
      </w:r>
      <w:r w:rsidRPr="00DE659D">
        <w:rPr>
          <w:i/>
          <w:noProof/>
          <w:color w:val="000000" w:themeColor="text1"/>
          <w:lang w:val="fr-BE" w:eastAsia="fr-BE"/>
        </w:rPr>
        <w:t>How to articulate beyond GDP and businesses’ social and environmental indicators?</w:t>
      </w:r>
      <w:r w:rsidRPr="00DE659D">
        <w:rPr>
          <w:noProof/>
          <w:color w:val="000000" w:themeColor="text1"/>
          <w:lang w:val="fr-BE" w:eastAsia="fr-BE"/>
        </w:rPr>
        <w:t xml:space="preserve">’ découlent deux enseignements principaux à propos des contours d’un indicateur de la transition. Le premier concerne la nécessité de relativiser l’importance de l’articulation entre acteurs ou entre échelles des indicateurs d’une transition. En début de recherche, une telle articulation était pensée comme étant un élément essentiel à un basculement systémique des paradigmes comptables, dans une perspective de transition polycentrique. Après analyse, il ressort qu’elle est compliquée par des obstacles liés tant à la nature des éléments qui doivent être mesurés à chaque niveau (qui nécessitent une approche différenciée) qu’à des contraintes méthodologiques. Le potentiel d’articulation micro-macro des indicateurs alternatifs est donc plus modeste que celui des comptabilités nationales et d’entreprise. Toutefois, il ressort également de l’analyse que cette faiblesse ne constitue pas un obstacle majeur à un succès futur des indicateurs alternatifs. Si l’on en croit l’histoire du PIB, le succès d’un indicateur ne s’explique pas tant par son degré d’articulation micro-macro que par son rôle de rouage dans les politiques économiques dominantes à une époque. </w:t>
      </w:r>
    </w:p>
    <w:p w14:paraId="781C33AD"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Le second enseignement de cet article concerne la forme optimale que devrait prendre une articulation entre indicateurs sociaux et environnementaux de différents acteurs ou échelles. Plutôt qu’une volonté d’articulation comptable maximale se traduisant par des variables identiques à l’ensemble des indicateurs, l’article </w:t>
      </w:r>
      <w:r w:rsidRPr="00DE659D">
        <w:rPr>
          <w:noProof/>
          <w:color w:val="000000" w:themeColor="text1"/>
          <w:lang w:val="fr-BE" w:eastAsia="fr-BE"/>
        </w:rPr>
        <w:lastRenderedPageBreak/>
        <w:t xml:space="preserve">recommande un mix entre différents types d’articulations. D’une part, il propose d’établir, autant que faire se peut, un objectif, des domaines, des concepts... communs entre les différents indicateurs (articulation conceptuelle). D’autre part, de mesurer des éléments identiques entre les deux niveaux uniquement pour un sous-ensemble de variables jugées pertinentes (articulation comptable), et en y adjoignant des cibles cohérentes entre les niveaux. </w:t>
      </w:r>
    </w:p>
    <w:p w14:paraId="6CF76270"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Du deuxième article ‘</w:t>
      </w:r>
      <w:r w:rsidRPr="00DE659D">
        <w:rPr>
          <w:i/>
          <w:noProof/>
          <w:color w:val="000000" w:themeColor="text1"/>
          <w:lang w:val="fr-BE" w:eastAsia="fr-BE"/>
        </w:rPr>
        <w:t>Improving government and business coordination by the use of consistent SDGs indicators</w:t>
      </w:r>
      <w:r w:rsidRPr="00DE659D">
        <w:rPr>
          <w:noProof/>
          <w:color w:val="000000" w:themeColor="text1"/>
          <w:lang w:val="fr-BE" w:eastAsia="fr-BE"/>
        </w:rPr>
        <w:t>’ provient tout d’abord le constat que la plupart des onze entreprises étudiées ne publient pas ou peu de mesures concernant de nombreux enjeux critiques au niveau macro, telles que les inégalités, les processus industriels verts ou le respect de la biodiversité. Cette absence pose question dès le moment où les entreprises étudiées prétendent poursuivre les Objectifs du Développement Durable (ODD) et comptent parmi les plus avancées de leurs secteurs en matière de développement durable. De véritables indicateurs de la transition au niveau micro devraient dès lors prendre en compte l’ensemble des enjeux critiques au niveau macro pour lesquels l’entreprise peut avoir un impact.</w:t>
      </w:r>
    </w:p>
    <w:p w14:paraId="698866C9"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Ensuite, cet article met en lumière le fait que les cibles associées aux indicateurs des niveaux micro et macro portent souvent sur des enjeux différents. Cela témoigne de l’absence de coordination entre les priorités au niveau micro et au niveau macro, et cela empêche l’établissement d’objectifs coordonnés entre ces niveaux. Il s’agit d’un chantier auquel les indicateurs développés dans l’avenir gagneraient à être attentifs.</w:t>
      </w:r>
    </w:p>
    <w:p w14:paraId="30DC0FDA"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Le dernier article ‘</w:t>
      </w:r>
      <w:r w:rsidRPr="00DE659D">
        <w:rPr>
          <w:i/>
          <w:noProof/>
          <w:color w:val="000000" w:themeColor="text1"/>
          <w:lang w:val="fr-BE" w:eastAsia="fr-BE"/>
        </w:rPr>
        <w:t>Do beyond GDP indicators initiated by powerful stakeholders have a transformative potential?</w:t>
      </w:r>
      <w:r w:rsidRPr="00DE659D">
        <w:rPr>
          <w:noProof/>
          <w:color w:val="000000" w:themeColor="text1"/>
          <w:lang w:val="fr-BE" w:eastAsia="fr-BE"/>
        </w:rPr>
        <w:t xml:space="preserve">’ montre d’abord qu’il est possible d’utiliser les </w:t>
      </w:r>
      <w:r w:rsidRPr="00DE659D">
        <w:rPr>
          <w:i/>
          <w:noProof/>
          <w:color w:val="000000" w:themeColor="text1"/>
          <w:lang w:val="fr-BE" w:eastAsia="fr-BE"/>
        </w:rPr>
        <w:t>rankings</w:t>
      </w:r>
      <w:r w:rsidRPr="00DE659D">
        <w:rPr>
          <w:noProof/>
          <w:color w:val="000000" w:themeColor="text1"/>
          <w:lang w:val="fr-BE" w:eastAsia="fr-BE"/>
        </w:rPr>
        <w:t xml:space="preserve"> auxquels aboutissent les indicateurs, en les comparant à celui produit par le PIB, pour juger du caractère « alternatif » des indicateurs sociaux et environnementaux (par rapport au PIB). Cet élément contribue à enrichir la discussion sur le contenu attendu d’un indicateur de la transition, en proposant un méta critère pouvant servir à disqualifier les indicateurs dont le </w:t>
      </w:r>
      <w:r w:rsidRPr="00DE659D">
        <w:rPr>
          <w:i/>
          <w:noProof/>
          <w:color w:val="000000" w:themeColor="text1"/>
          <w:lang w:val="fr-BE" w:eastAsia="fr-BE"/>
        </w:rPr>
        <w:t>ranking</w:t>
      </w:r>
      <w:r w:rsidRPr="00DE659D">
        <w:rPr>
          <w:noProof/>
          <w:color w:val="000000" w:themeColor="text1"/>
          <w:lang w:val="fr-BE" w:eastAsia="fr-BE"/>
        </w:rPr>
        <w:t xml:space="preserve"> est trop similaire à celui issu du PIB. A cet égard, l’article </w:t>
      </w:r>
      <w:r w:rsidRPr="00DE659D">
        <w:rPr>
          <w:noProof/>
          <w:color w:val="000000" w:themeColor="text1"/>
          <w:lang w:val="fr-BE" w:eastAsia="fr-BE"/>
        </w:rPr>
        <w:lastRenderedPageBreak/>
        <w:t xml:space="preserve">conclut non seulement que certains indicateurs aboutissent à un </w:t>
      </w:r>
      <w:r w:rsidRPr="00DE659D">
        <w:rPr>
          <w:i/>
          <w:noProof/>
          <w:color w:val="000000" w:themeColor="text1"/>
          <w:lang w:val="fr-BE" w:eastAsia="fr-BE"/>
        </w:rPr>
        <w:t>ranking</w:t>
      </w:r>
      <w:r w:rsidRPr="00DE659D">
        <w:rPr>
          <w:noProof/>
          <w:color w:val="000000" w:themeColor="text1"/>
          <w:lang w:val="fr-BE" w:eastAsia="fr-BE"/>
        </w:rPr>
        <w:t xml:space="preserve"> similaire voire quasi identique à celui du PIB (tels que l’Indice de Développement Humain ou le Social Progress Index). Mais aussi, que la faible présence de variables d’inégalités ou d’environnement joue un rôle crucial dans cette corrélation. Un indicateur de la transition devrait dès lors prendre en compte ces éléments. In fine, cet article constitue une critique implicite des indicateurs dont la finalité n’est pas un changement de société, mais une technicisation des décisions politiques – laissées peu ou inchangées – par une approche ‘bien-être’ présentée comme objective, mais qui légitime en fait un </w:t>
      </w:r>
      <w:r w:rsidRPr="00DE659D">
        <w:rPr>
          <w:i/>
          <w:noProof/>
          <w:color w:val="000000" w:themeColor="text1"/>
          <w:lang w:val="fr-BE" w:eastAsia="fr-BE"/>
        </w:rPr>
        <w:t>statut quo</w:t>
      </w:r>
      <w:r w:rsidRPr="00DE659D">
        <w:rPr>
          <w:noProof/>
          <w:color w:val="000000" w:themeColor="text1"/>
          <w:lang w:val="fr-BE" w:eastAsia="fr-BE"/>
        </w:rPr>
        <w:t xml:space="preserve">. </w:t>
      </w:r>
    </w:p>
    <w:p w14:paraId="0558E814"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L’autre conclusion de cet article est que les indicateurs étudiés développés par des acteurs puissants (telles que des multinationales ou des institutions internationales) ont tendance à être fortement corrélés au PIB. Une explication partielle de ce résultat provient du fait que ces acteurs rechignent à utiliser des données sociales ou environnementales trop peu fiables. Or, actuellement, les statistiques sociales et environnementales souffrent parfois de lacunes, car la récolte de données est encore largement façonnée par la comptabilité passée. Mais ce résultat témoigne également du fait que les acteurs puissants contemporains ont des réticences quant au fait de s’engager dans une voie de transition ambitieuse. Leur engouement pour des indicateurs alternatifs acte la recherche de nouveaux outils de gouvernance, mais qui ne s’accompagnement pas nécessairement d’un changement substantiel des finalités de l’action publique</w:t>
      </w:r>
      <w:r w:rsidRPr="00DE659D">
        <w:rPr>
          <w:noProof/>
          <w:color w:val="000000" w:themeColor="text1"/>
          <w:vertAlign w:val="superscript"/>
          <w:lang w:val="fr-BE" w:eastAsia="fr-BE"/>
        </w:rPr>
        <w:footnoteReference w:id="39"/>
      </w:r>
      <w:r w:rsidRPr="00DE659D">
        <w:rPr>
          <w:noProof/>
          <w:color w:val="000000" w:themeColor="text1"/>
          <w:lang w:val="fr-BE" w:eastAsia="fr-BE"/>
        </w:rPr>
        <w:t xml:space="preserve">. </w:t>
      </w:r>
    </w:p>
    <w:p w14:paraId="32EED63B" w14:textId="6BBDDFE4" w:rsidR="00DE659D" w:rsidRPr="00DE659D" w:rsidRDefault="00DE659D" w:rsidP="00CE7357">
      <w:pPr>
        <w:rPr>
          <w:noProof/>
          <w:color w:val="000000" w:themeColor="text1"/>
          <w:lang w:val="fr-BE" w:eastAsia="fr-BE"/>
        </w:rPr>
      </w:pPr>
      <w:r w:rsidRPr="00DE659D">
        <w:rPr>
          <w:noProof/>
          <w:color w:val="000000" w:themeColor="text1"/>
          <w:lang w:val="fr-BE" w:eastAsia="fr-BE"/>
        </w:rPr>
        <w:t xml:space="preserve">Les trois articles qui forment le cœur de cette thèse – dont les conclusions principales viennent d’être rappelées – ont abouti à formuler des conclusions plus générales qui touchent tant aux </w:t>
      </w:r>
      <w:r w:rsidRPr="00DE659D">
        <w:rPr>
          <w:noProof/>
          <w:color w:val="000000" w:themeColor="text1"/>
          <w:lang w:val="fr-BE" w:eastAsia="fr-BE"/>
        </w:rPr>
        <w:lastRenderedPageBreak/>
        <w:t>indicateurs précis pouvant servir de boussole à une transition, qu’aux conditions pour qu’ils soient effectivement utilisés.</w:t>
      </w:r>
    </w:p>
    <w:p w14:paraId="238F3B74" w14:textId="5A07791B" w:rsidR="00DE659D" w:rsidRPr="00CE7357" w:rsidRDefault="00DE659D" w:rsidP="00524E26">
      <w:pPr>
        <w:pStyle w:val="Titre2"/>
        <w:numPr>
          <w:ilvl w:val="0"/>
          <w:numId w:val="7"/>
        </w:numPr>
        <w:rPr>
          <w:lang w:val="fr-BE"/>
        </w:rPr>
      </w:pPr>
      <w:bookmarkStart w:id="92" w:name="_Toc51512316"/>
      <w:r w:rsidRPr="00CE7357">
        <w:rPr>
          <w:lang w:val="fr-BE"/>
        </w:rPr>
        <w:t>Quels indicateurs pour la transition ?</w:t>
      </w:r>
      <w:bookmarkEnd w:id="92"/>
    </w:p>
    <w:p w14:paraId="48E88644"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La première conclusion générale de cette thèse concerne la pertinence des indicateurs étudiés pour aiguiller une transition. Huit indicateurs du niveau macro et treize du niveau de l’entreprise ont été analysés. Ces indicateurs ont été étudiés sous des angles différents au sein de chaque article : certains sous l’angle de leur potentiel transformateur (du point de vue du </w:t>
      </w:r>
      <w:r w:rsidRPr="00DE659D">
        <w:rPr>
          <w:i/>
          <w:noProof/>
          <w:color w:val="000000" w:themeColor="text1"/>
          <w:lang w:val="fr-BE" w:eastAsia="fr-BE"/>
        </w:rPr>
        <w:t>ranking</w:t>
      </w:r>
      <w:r w:rsidRPr="00DE659D">
        <w:rPr>
          <w:noProof/>
          <w:color w:val="000000" w:themeColor="text1"/>
          <w:lang w:val="fr-BE" w:eastAsia="fr-BE"/>
        </w:rPr>
        <w:t xml:space="preserve"> produit), d’autres sur base des enjeux qu’ils mettent en avant, d’autres encore sur leur capacité à mettre en cohérence les actions de différents acteurs. Malgré ces différences de traitement, le point de vue développé dans les paragraphes ci-dessous est qu’il est possible de juger ces indicateurs dans leur ensemble, et de qualifier certains comme étant plus susceptibles que d’autres d’être les boussoles adéquates d’une transition écologique et sociale. </w:t>
      </w:r>
    </w:p>
    <w:p w14:paraId="1B73B03A"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D’abord, il convient de reconnaître que l’indicateur de la transition idéal n’existe pas </w:t>
      </w:r>
      <w:r w:rsidRPr="00DE659D">
        <w:rPr>
          <w:i/>
          <w:noProof/>
          <w:color w:val="000000" w:themeColor="text1"/>
          <w:lang w:val="fr-BE" w:eastAsia="fr-BE"/>
        </w:rPr>
        <w:t>in abstracto</w:t>
      </w:r>
      <w:r w:rsidRPr="00DE659D">
        <w:rPr>
          <w:noProof/>
          <w:color w:val="000000" w:themeColor="text1"/>
          <w:lang w:val="fr-BE" w:eastAsia="fr-BE"/>
        </w:rPr>
        <w:t xml:space="preserve">. Tant au niveau macro qu’au niveau de l’entreprise, un bon indicateur doit être adapté aux besoins de ses utilisateurs, s’inscrire dans une stratégie (ou une fonction sociale) et être conforme aux objectifs d’une transition. Comme tous ces éléments peuvent varier dans le temps et l’espace, il convient de ne pas essentialiser ce que peut être un bon indicateur d’une transition. Cette remarque devant être gardée en tête, on peut tout de même considérer que certains indicateurs étudiés risquent d’être inadéquats, et d’autres davantage pertinents pour aiguiller une transition. </w:t>
      </w:r>
    </w:p>
    <w:p w14:paraId="403C6C86"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Par exemple, du point de vue de l’objectif de la transition, le troisième article de cette thèse se conclut par le fait que l’Indice de Développement Humain (IDH) et le Social Progress Index (SPI) ont un potentiel transformateur très faible, notamment car ils n’incluent pas (ou de manière inadéquate) des variables d’inégalités sociales ou d’environnement. A l’inverse, des indicateurs comme le Happy Planet Index (HPI) ou le Sustainable Society Index (SSI) font figure de modèle concernant ces variables. Les indicateurs des Objectifs du Développement Durable (ODD) intègrent également des variables </w:t>
      </w:r>
      <w:r w:rsidRPr="00DE659D">
        <w:rPr>
          <w:noProof/>
          <w:color w:val="000000" w:themeColor="text1"/>
          <w:lang w:val="fr-BE" w:eastAsia="fr-BE"/>
        </w:rPr>
        <w:lastRenderedPageBreak/>
        <w:t xml:space="preserve">d’inégalités sociales et d’environnement, en plus de nombreuses autres. S’ils font face à un certain nombre de limites, relevées dans les articles 1 et 2 (notamment une flexibilité dans le choix des variables qui autorise le </w:t>
      </w:r>
      <w:r w:rsidRPr="00DE659D">
        <w:rPr>
          <w:i/>
          <w:noProof/>
          <w:color w:val="000000" w:themeColor="text1"/>
          <w:lang w:val="fr-BE" w:eastAsia="fr-BE"/>
        </w:rPr>
        <w:t>cherry picking</w:t>
      </w:r>
      <w:r w:rsidRPr="00DE659D">
        <w:rPr>
          <w:noProof/>
          <w:color w:val="000000" w:themeColor="text1"/>
          <w:lang w:val="fr-BE" w:eastAsia="fr-BE"/>
        </w:rPr>
        <w:t>), l’objectif de société qu’ils indiquent est satisfaisant du point de vue d’une transition. Le Bonheur National Brut (BNB) inclut également de nombreux éléments d’intérêt pour une transition, dont des variables environnementales et une possibilité de désagrégation pour faire ressortir les inégalités sociales. Enfin, au niveau de l’entreprise, les onze indicateurs étudiés dans l’article 2 apparaissent lacunaires concernant bien des enjeux de la transition, notamment les inégalités sociales. Du point du vue de l’objectif de la transition, le HPI, le SSI, les ODD et le BNB sont donc les indicateurs les plus susceptibles d’être recommandés.</w:t>
      </w:r>
    </w:p>
    <w:p w14:paraId="691C2725"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Du point de vue de l’insertion dans une stratégie de transition ou d’adaptation aux besoins des acteurs de la transition, l’état des lieux est plus difficile car cette thèse n’a pas approfondi spécifiquement ces aspects. Toutefois, sur base des éléments présentés en introduction, on peut considérer que des indicateurs comme les ODD, le BNB, le SSI ou le SPI sont composés de variables davantage liées aux politiques publiques que celles qui composent l’IDH ou le HPI. Les premiers ont donc plus de chances d’être utilisés pour aiguiller ou évaluer des politiques publiques, moyennant une série d’adaptations. Sans avoir abordé en profondeur ce point dans les trois articles, il convient de ne pas s’avancer davantage.</w:t>
      </w:r>
    </w:p>
    <w:p w14:paraId="7816A7CE"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Pour ce qui est de favoriser l’articulation entre acteurs ou entre niveaux, les articles 1 et 2 ont montré que tant les ODD que le BNB réalisent une articulation conceptuelle, en fixant un objectif et des domaines communs entre acteurs/échelles. Ces deux indicateurs pourraient être améliorés en visant une articulation comptable pour certaines variables, mais ils constituent déjà des exemples dont d’autres indicateurs peuvent s’inspirer. </w:t>
      </w:r>
    </w:p>
    <w:p w14:paraId="1826DF13" w14:textId="4935404C" w:rsidR="00DE659D" w:rsidRPr="00DE659D" w:rsidRDefault="00DE659D" w:rsidP="00CE7357">
      <w:pPr>
        <w:rPr>
          <w:noProof/>
          <w:color w:val="000000" w:themeColor="text1"/>
          <w:lang w:val="fr-BE" w:eastAsia="fr-BE"/>
        </w:rPr>
      </w:pPr>
      <w:r w:rsidRPr="00DE659D">
        <w:rPr>
          <w:noProof/>
          <w:color w:val="000000" w:themeColor="text1"/>
          <w:lang w:val="fr-BE" w:eastAsia="fr-BE"/>
        </w:rPr>
        <w:t xml:space="preserve">En somme, si l’on prend en compte les différents enjeux évoqués au cours de cette thèse, il semble que les indicateurs les plus susceptibles de piloter adéquatement une transition soient les ODD, </w:t>
      </w:r>
      <w:r w:rsidRPr="00DE659D">
        <w:rPr>
          <w:noProof/>
          <w:color w:val="000000" w:themeColor="text1"/>
          <w:lang w:val="fr-BE" w:eastAsia="fr-BE"/>
        </w:rPr>
        <w:lastRenderedPageBreak/>
        <w:t>le BNB, ou le SSI (chacun devant sans doute subir quelques modifications). Pour le niveau des entreprises, il s’agirait d’indicateurs inspirés de ces référentiels, adaptés aux activités de leur secteur.</w:t>
      </w:r>
    </w:p>
    <w:p w14:paraId="4D153B58" w14:textId="1D5C92A2" w:rsidR="00DE659D" w:rsidRPr="00CE7357" w:rsidRDefault="00DE659D" w:rsidP="00CE7357">
      <w:pPr>
        <w:pStyle w:val="Titre2"/>
        <w:rPr>
          <w:noProof/>
          <w:lang w:val="fr-BE" w:eastAsia="fr-BE"/>
        </w:rPr>
      </w:pPr>
      <w:bookmarkStart w:id="93" w:name="_Toc51512317"/>
      <w:r w:rsidRPr="00DE659D">
        <w:rPr>
          <w:noProof/>
          <w:lang w:val="fr-BE" w:eastAsia="fr-BE"/>
        </w:rPr>
        <w:t>Changer les orientations des entreprises et de l’État</w:t>
      </w:r>
      <w:bookmarkEnd w:id="93"/>
    </w:p>
    <w:p w14:paraId="42927849"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La deuxième conclusion générale de cette thèse questionne la capacité ou la volonté des gouvernements et des grandes entreprises à réaliser une transition écologique et sociale. L’étude de leurs indicateurs a permis de montrer qu’ils ne mettaient pas en place de stratégie de transition suffisamment ambitieuse.</w:t>
      </w:r>
    </w:p>
    <w:p w14:paraId="081D4FC8"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Au niveau de l’entreprise, l’article 2 a montré que les entreprises analysées font encore trop peu d’efforts, particulièrement en matière d’inégalités et de biodiversité. Par ailleurs, au niveau macro, l’article 3 a montré que le seul indicateur étudié ayant été impulsé par (notamment) des multinationales est un de ceux avec le plus faible potentiel transformateur. Cela suggère que les actions actuelles du niveau de l’entreprise risquent d’aboutir à une situation qui ne rencontre pas les exigences d’une transition. Ce risque ne concerne pas tous les enjeux macro auxquels les entreprises peuvent faire face. Il semble, par exemple, que certaines d’entre elles affichent des gains d’efficacité énergétique substantiels. Toutefois, il est probable qu’on n’observera pas un alignement spontané du monde de l’entreprise sur l’ensemble des objectifs macros exigés par un programme de transition. En conséquent, il est probable qu’elles ne développent pas d’indicateurs concernant certaines dimensions (e.g. réduction des inégalités).</w:t>
      </w:r>
    </w:p>
    <w:p w14:paraId="678A552A"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Dans le cadre d’une perspective polycentrique, cela veut dire que les intentions trop disparates des acteurs affirmant prendre part à la transition aboutissent à une absence de convergence vers cette transition. Une stratégie polycentrique qui laisserait la situation en l’état, c’est-à-dire avec le marché comme mode de coordination principal, risque donc l’échec. Une solution possible à apporter dans ce cas de figure, et qui reste dans la perspective polycentrique, consiste à renforcer le rôle de l’État, pour qu’il aligne le comportement des entreprises sur les exigences d’une transition. </w:t>
      </w:r>
      <w:r w:rsidRPr="00DE659D">
        <w:rPr>
          <w:noProof/>
          <w:color w:val="000000" w:themeColor="text1"/>
          <w:lang w:val="fr-BE" w:eastAsia="fr-BE"/>
        </w:rPr>
        <w:lastRenderedPageBreak/>
        <w:t xml:space="preserve">L’État est donc appelé à davantage intervenir dans l’économie, par exemple en instaurant des régulations, des taxes et subsides, ou en s’occupant d’une partie de la production. Une autre solution consiste à sortir de l’approche polycentrique qui postule que chaque acteur – dont les entreprises privées – peut être un moteur de la transition. Dans ce cas, il convient de placer d’emblée l’État comme acteur principal de la transition, dans une perspective post-capitaliste de planification écologique et sociale. Dans les deux cas, le point commun est la nécessité d’une intervention accrue de l’État pour piloter la transition. </w:t>
      </w:r>
    </w:p>
    <w:p w14:paraId="40F21E39"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Une telle intervention accrue de l’État se heurte toutefois à une difficulté. Il semble qu’actuellement, la plupart des États ne mettent pas davantage en place de stratégies de transition ambitieuses que les entreprises. A cet égard, l’article 2 montre que l’État belge n’utilise presque pas les indicateurs des ODD développés par le Bureau Fédéral du Plan, malgré leur bonne qualité, car le développement durable n’est pas considéré comme prioritaire. Il est donc difficile de compter sur l’État pour réorienter les comportements des entreprises, si celui-ci n’est pas davantage engagé dans la transition. Ce déficit d’engagement peut provenir de plusieurs facteurs, dont deux sont détaillés ci-dessous : le manque de vision, et la divergence d’intérêt.</w:t>
      </w:r>
    </w:p>
    <w:p w14:paraId="237E551D" w14:textId="77777777" w:rsidR="00DE659D" w:rsidRPr="00DE659D" w:rsidRDefault="00DE659D" w:rsidP="00DE659D">
      <w:pPr>
        <w:rPr>
          <w:noProof/>
          <w:color w:val="000000" w:themeColor="text1"/>
          <w:lang w:val="hu-HU" w:eastAsia="fr-BE"/>
        </w:rPr>
      </w:pPr>
      <w:r w:rsidRPr="00DE659D">
        <w:rPr>
          <w:noProof/>
          <w:color w:val="000000" w:themeColor="text1"/>
          <w:lang w:val="fr-BE" w:eastAsia="fr-BE"/>
        </w:rPr>
        <w:t xml:space="preserve">D’abord, il manque aujourd’hui </w:t>
      </w:r>
      <w:r w:rsidRPr="00DE659D">
        <w:rPr>
          <w:noProof/>
          <w:color w:val="000000" w:themeColor="text1"/>
          <w:lang w:val="hu-HU" w:eastAsia="fr-BE"/>
        </w:rPr>
        <w:t>– tant dans la littérature académique que dans la société – une réflexion aboutie quant au contenu proprement économique d’une stratégie de transition</w:t>
      </w:r>
      <w:r w:rsidRPr="00DE659D">
        <w:rPr>
          <w:noProof/>
          <w:color w:val="000000" w:themeColor="text1"/>
          <w:lang w:val="fr-BE" w:eastAsia="fr-BE"/>
        </w:rPr>
        <w:t xml:space="preserve">. </w:t>
      </w:r>
      <w:r w:rsidRPr="00DE659D">
        <w:rPr>
          <w:noProof/>
          <w:color w:val="000000" w:themeColor="text1"/>
          <w:lang w:val="hu-HU" w:eastAsia="fr-BE"/>
        </w:rPr>
        <w:t xml:space="preserve">Tant que les travaux en macro-économie écologique seront balbutiants, tant qu’il n’y aura que peu de propositions détaillées de Green New Deal par secteur, il n’y aura pas de feuille de route claire pour les États. Notons qu’il faudrait plutôt parler de feuilles de route au pluriel, car des divergences idéologiques existeront toujours entre différentes stratégies de transition. </w:t>
      </w:r>
    </w:p>
    <w:p w14:paraId="4093FC4C"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Ce manque de propositions économiques concrètes devrait être pris à bras le corps par la communauté scientifique. Par ailleurs, cette lacune possède une implication importante en termes de perspectives de recherche pour celles et ceux travaillant sur les indicateurs. Si le </w:t>
      </w:r>
      <w:r w:rsidRPr="00DE659D">
        <w:rPr>
          <w:noProof/>
          <w:color w:val="000000" w:themeColor="text1"/>
          <w:lang w:val="hu-HU" w:eastAsia="fr-BE"/>
        </w:rPr>
        <w:lastRenderedPageBreak/>
        <w:t>succès de nouveaux indicateurs dépend du développement d’une stratégie économique alternative, ils et elles devraient s’intéresser davantage aux travaux concernant ces stratégies alternatives. En pratique, cela veut dire de porter davantage d’attention voire d’investir les différents champs de recherche en macroéconomie (</w:t>
      </w:r>
      <w:r w:rsidRPr="00DE659D">
        <w:rPr>
          <w:i/>
          <w:noProof/>
          <w:color w:val="000000" w:themeColor="text1"/>
          <w:lang w:val="hu-HU" w:eastAsia="fr-BE"/>
        </w:rPr>
        <w:t>e.g. macro-ecological economics</w:t>
      </w:r>
      <w:r w:rsidRPr="00DE659D">
        <w:rPr>
          <w:noProof/>
          <w:color w:val="000000" w:themeColor="text1"/>
          <w:lang w:val="hu-HU" w:eastAsia="fr-BE"/>
        </w:rPr>
        <w:t>), particulièrement ceux intégrant les dimensions sociales et politiques à l’analyse. Une fois que ces champs auront davantage de propositions opérationnelles, des indicateurs plus adéquats pourront être développés.</w:t>
      </w:r>
    </w:p>
    <w:p w14:paraId="044E3CEE" w14:textId="03722467" w:rsidR="00DE659D" w:rsidRPr="00DE659D" w:rsidRDefault="00DE659D" w:rsidP="00CE7357">
      <w:pPr>
        <w:rPr>
          <w:noProof/>
          <w:color w:val="000000" w:themeColor="text1"/>
          <w:lang w:val="hu-HU" w:eastAsia="fr-BE"/>
        </w:rPr>
      </w:pPr>
      <w:r w:rsidRPr="00DE659D">
        <w:rPr>
          <w:noProof/>
          <w:color w:val="000000" w:themeColor="text1"/>
          <w:lang w:val="hu-HU" w:eastAsia="fr-BE"/>
        </w:rPr>
        <w:t>Le faible engagement de l’État pour la transition ne peut toutefois pas être expliqué que par l’insuffisance d’une réflexion concernant son versant économique. Pour le comprendre, il faut également aborder la question du pouvoir dans la société.</w:t>
      </w:r>
    </w:p>
    <w:p w14:paraId="0F80A26D" w14:textId="1BD1D681" w:rsidR="00DE659D" w:rsidRPr="00CE7357" w:rsidRDefault="00DE659D" w:rsidP="00CE7357">
      <w:pPr>
        <w:pStyle w:val="Titre2"/>
        <w:rPr>
          <w:noProof/>
          <w:lang w:val="hu-HU" w:eastAsia="fr-BE"/>
        </w:rPr>
      </w:pPr>
      <w:bookmarkStart w:id="94" w:name="_Toc51512318"/>
      <w:r w:rsidRPr="00DE659D">
        <w:rPr>
          <w:noProof/>
          <w:lang w:val="hu-HU" w:eastAsia="fr-BE"/>
        </w:rPr>
        <w:t>Changer les rapports de force</w:t>
      </w:r>
      <w:bookmarkEnd w:id="94"/>
    </w:p>
    <w:p w14:paraId="54E3E5B2"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Les stratégies de transition, ou de manière plus générale, les politiques économiques, dépendent en partie des intérêts des groupes sociaux dominants d’une époque. L’article 1 a montré que si la croissance du PIB s’est institutionnalisée comme objectif politique et économique, c’est notamment parce qu’elle fut la clé du compromis entre patronat et monde du travail au sortir de la seconde guerre mondiale. Par ailleurs, l’importance croissante des indices de compétitivité depuis les années 1990 peut être interprétée comme un symptôme de la prédominance du patronat après l’éclatement de ce compromis capital-travail. Si de tels rapports de pouvoir n’étaient pas présents parmi les trois enjeux présentés dans l’introduction de cette thèse, leur importance doit être mentionnée dans cette conclusion, car ils ont </w:t>
      </w:r>
      <w:r w:rsidRPr="00DE659D">
        <w:rPr>
          <w:i/>
          <w:noProof/>
          <w:color w:val="000000" w:themeColor="text1"/>
          <w:lang w:val="fr-BE" w:eastAsia="fr-BE"/>
        </w:rPr>
        <w:t>in fine</w:t>
      </w:r>
      <w:r w:rsidRPr="00DE659D">
        <w:rPr>
          <w:noProof/>
          <w:color w:val="000000" w:themeColor="text1"/>
          <w:lang w:val="fr-BE" w:eastAsia="fr-BE"/>
        </w:rPr>
        <w:t xml:space="preserve"> une influence importante sur les indicateurs. </w:t>
      </w:r>
    </w:p>
    <w:p w14:paraId="45EFBD0C"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Cette influence s’opère de manière indirecte : les acteurs qui sont dominants dans un système ne choisissent pas directement les indicateurs en vigueur, mais ils s’assurent d’une cohérence entre les politiques qui y sont menées et leurs intérêts. Ce sont ensuite ces politiques, qui, pour se déployer efficacement, nécessitent des indicateurs spécifiques. Dans l’éventualité où un de ces indicateurs représente un rouage essentiel de la machinerie économique et sociale, il est susceptible de devenir l’indicateur principal, ce qui fut </w:t>
      </w:r>
      <w:r w:rsidRPr="00DE659D">
        <w:rPr>
          <w:noProof/>
          <w:color w:val="000000" w:themeColor="text1"/>
          <w:lang w:val="fr-BE" w:eastAsia="fr-BE"/>
        </w:rPr>
        <w:lastRenderedPageBreak/>
        <w:t>le cas de la croissance du PIB. Une influence accrue des indicateurs sociaux et environnementaux dépend donc de la volonté de changement de politique des acteurs puissants.</w:t>
      </w:r>
    </w:p>
    <w:p w14:paraId="193457F8"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L’article 3 a mis en avant le fait que les acteurs puissants actuels produisaient les indicateurs les plus proches du PIB en termes de </w:t>
      </w:r>
      <w:r w:rsidRPr="00DE659D">
        <w:rPr>
          <w:i/>
          <w:noProof/>
          <w:color w:val="000000" w:themeColor="text1"/>
          <w:lang w:val="fr-BE" w:eastAsia="fr-BE"/>
        </w:rPr>
        <w:t>ranking</w:t>
      </w:r>
      <w:r w:rsidRPr="00DE659D">
        <w:rPr>
          <w:noProof/>
          <w:color w:val="000000" w:themeColor="text1"/>
          <w:lang w:val="fr-BE" w:eastAsia="fr-BE"/>
        </w:rPr>
        <w:t xml:space="preserve">, ce qui suggère qu’ils ont une volonté mitigée ou faible de réaliser un véritable changement de paradigme. Dans ce contexte, il n’est pas étonnant de constater que ni les grandes entreprises ni les gouvernements ne développent de stratégie de transition ou d’indicateurs à la hauteur de l’urgence écologique ou sociale. Il existe bien sûr d’autres facteurs freinant la transition, tels que des </w:t>
      </w:r>
      <w:r w:rsidRPr="00DE659D">
        <w:rPr>
          <w:i/>
          <w:noProof/>
          <w:color w:val="000000" w:themeColor="text1"/>
          <w:lang w:val="fr-BE" w:eastAsia="fr-BE"/>
        </w:rPr>
        <w:t>lock in</w:t>
      </w:r>
      <w:r w:rsidRPr="00DE659D">
        <w:rPr>
          <w:noProof/>
          <w:color w:val="000000" w:themeColor="text1"/>
          <w:lang w:val="fr-BE" w:eastAsia="fr-BE"/>
        </w:rPr>
        <w:t xml:space="preserve"> techniques. Mais les rapports de force internes à l’État et aux entreprises ne peuvent pas être ignorés. </w:t>
      </w:r>
    </w:p>
    <w:p w14:paraId="081F7A12"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 xml:space="preserve">Une analyse marxiste considérerait qu’une part importante des blocages actuels provient du fait que la classe capitaliste contrôle les entreprises du secteur privé et l’État, et qu’elle ne souhaite pas voir un agenda de transition ralentir l’accumulation du capital. Dans cette perspective, il conviendrait de remplacer cette classe par une autre, tant au sein des entreprises que des structures étatiques. Ce changement permettrait d’aligner l’ensemble des forces économiques et politiques sur la transition écologique et sociale, et de développer des stratégies de transition. </w:t>
      </w:r>
    </w:p>
    <w:p w14:paraId="3A9AC820"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t>D’autres analyses non marxistes (institutionnalistes par exemple) ne feraient pas nécessairement appel au concept de classe capitaliste, mais pointeraient la multiplicité des intérêts contradictoires entre la transition et certains individus, institutions ou groupes sociaux (</w:t>
      </w:r>
      <w:r w:rsidRPr="00DE659D">
        <w:rPr>
          <w:i/>
          <w:noProof/>
          <w:color w:val="000000" w:themeColor="text1"/>
          <w:lang w:val="fr-BE" w:eastAsia="fr-BE"/>
        </w:rPr>
        <w:t>vested interests</w:t>
      </w:r>
      <w:r w:rsidRPr="00DE659D">
        <w:rPr>
          <w:noProof/>
          <w:color w:val="000000" w:themeColor="text1"/>
          <w:lang w:val="fr-BE" w:eastAsia="fr-BE"/>
        </w:rPr>
        <w:t>). Dans cette perspective, la solution passerait par identifier ces intérêts et trouver, au cas par cas, des solutions pour les contourner. Ces deux interprétations ne sont pas forcément contradictoires. Quoi qu’il en soit, dans un cas comme dans l’autre, insister sur le fait que les stratégies de transition n’émergent qu’en cas de rapport de force favorable implique qu’une transition nécessite un basculement dans les rapports de force dans la société, en faveur des humains et de l’environnement.</w:t>
      </w:r>
    </w:p>
    <w:p w14:paraId="5EFC4751" w14:textId="77777777" w:rsidR="00DE659D" w:rsidRPr="00DE659D" w:rsidRDefault="00DE659D" w:rsidP="00DE659D">
      <w:pPr>
        <w:rPr>
          <w:noProof/>
          <w:color w:val="000000" w:themeColor="text1"/>
          <w:lang w:val="fr-BE" w:eastAsia="fr-BE"/>
        </w:rPr>
      </w:pPr>
      <w:r w:rsidRPr="00DE659D">
        <w:rPr>
          <w:noProof/>
          <w:color w:val="000000" w:themeColor="text1"/>
          <w:lang w:val="fr-BE" w:eastAsia="fr-BE"/>
        </w:rPr>
        <w:lastRenderedPageBreak/>
        <w:t xml:space="preserve">Cette thèse se clôture donc par un appel à un basculement dans les rapports de force au sein de la société. Si d’autres groupes sociaux gagnent en puissance et deviennent les forces sociales dominantes (par exemple un monde du travail conscient de ses intérêts de classe, ou celles et ceux qui défendent l’environnement ou qui vivent déjà en transition), cela accroitra l’alignement des politiques publiques sur les besoins sociaux de la population et sur le respect des limites écosystémiques. </w:t>
      </w:r>
      <w:r w:rsidRPr="00DE659D">
        <w:rPr>
          <w:noProof/>
          <w:color w:val="000000" w:themeColor="text1"/>
          <w:lang w:val="hu-HU" w:eastAsia="fr-BE"/>
        </w:rPr>
        <w:t xml:space="preserve">D’autres politiques que des réformes structurelles ou du keynésianisme teinté de libéralisme seront alors envisageables. </w:t>
      </w:r>
      <w:r w:rsidRPr="00DE659D">
        <w:rPr>
          <w:noProof/>
          <w:color w:val="000000" w:themeColor="text1"/>
          <w:lang w:val="fr-BE" w:eastAsia="fr-BE"/>
        </w:rPr>
        <w:t>Dans l’éventualité où le pilotage de telles politiques requerrait des indicateurs, ce changement augurera le succès de nouveaux indicateurs sociaux et environnementaux.</w:t>
      </w:r>
    </w:p>
    <w:p w14:paraId="0F48EA83" w14:textId="77777777" w:rsidR="00DE659D" w:rsidRPr="00DE659D" w:rsidRDefault="00DE659D" w:rsidP="00DE659D">
      <w:pPr>
        <w:rPr>
          <w:noProof/>
          <w:color w:val="000000" w:themeColor="text1"/>
          <w:lang w:val="hu-HU" w:eastAsia="fr-BE"/>
        </w:rPr>
      </w:pPr>
      <w:r w:rsidRPr="00DE659D">
        <w:rPr>
          <w:noProof/>
          <w:color w:val="000000" w:themeColor="text1"/>
          <w:lang w:val="hu-HU" w:eastAsia="fr-BE"/>
        </w:rPr>
        <w:t xml:space="preserve">Pour qu’un indicateur social et environnemental ait autant d’influence que le PIB, les indices de compétitivité ou les indicateurs financiers, il est donc probable qu’il faille d’abord (ou en parallèle) une multitude de changements ayant lieu en dehors de la sphère des indicateurs : un changement dans les rapports de force dans la société, un changement des politiques économiques et sociales, et que tout cela entraîne un besoin informationel majeur nécessitant un nouvel indicateur phare. </w:t>
      </w:r>
    </w:p>
    <w:p w14:paraId="7B594F45" w14:textId="4CA9430D" w:rsidR="000D4E12" w:rsidRDefault="00DE659D" w:rsidP="00DE659D">
      <w:pPr>
        <w:rPr>
          <w:noProof/>
          <w:color w:val="000000" w:themeColor="text1"/>
          <w:lang w:val="fr-BE" w:eastAsia="fr-BE"/>
        </w:rPr>
      </w:pPr>
      <w:r w:rsidRPr="00DE659D">
        <w:rPr>
          <w:noProof/>
          <w:color w:val="000000" w:themeColor="text1"/>
          <w:lang w:val="fr-BE" w:eastAsia="fr-BE"/>
        </w:rPr>
        <w:t>En somme, cette thèse se conclut par des réflexions qui surplombent le champ des indicateurs. Elle est partie d’un questionnement sur les contours d’un indicateur de la transition, pour aboutir à la nécessité d’un basculement dans les rapports de force au sein de la société. Aussi éloignées que soient ces questions au sein des sciences sociales, leur intime connexion est pourtant la conclusion finale qui ressort de ce travail.</w:t>
      </w:r>
    </w:p>
    <w:p w14:paraId="147E25D0" w14:textId="77777777" w:rsidR="000D4E12" w:rsidRDefault="000D4E12">
      <w:pPr>
        <w:spacing w:line="259" w:lineRule="auto"/>
        <w:ind w:firstLine="0"/>
        <w:jc w:val="left"/>
        <w:rPr>
          <w:noProof/>
          <w:color w:val="000000" w:themeColor="text1"/>
          <w:lang w:val="fr-BE" w:eastAsia="fr-BE"/>
        </w:rPr>
      </w:pPr>
      <w:r>
        <w:rPr>
          <w:noProof/>
          <w:color w:val="000000" w:themeColor="text1"/>
          <w:lang w:val="fr-BE" w:eastAsia="fr-BE"/>
        </w:rPr>
        <w:br w:type="page"/>
      </w:r>
    </w:p>
    <w:p w14:paraId="70962F80" w14:textId="467D591B" w:rsidR="000D4E12" w:rsidRDefault="000D4E12">
      <w:pPr>
        <w:spacing w:line="259" w:lineRule="auto"/>
        <w:ind w:firstLine="0"/>
        <w:jc w:val="left"/>
        <w:rPr>
          <w:noProof/>
          <w:color w:val="000000" w:themeColor="text1"/>
          <w:lang w:val="fr-BE" w:eastAsia="fr-BE"/>
        </w:rPr>
      </w:pPr>
      <w:r>
        <w:rPr>
          <w:noProof/>
          <w:color w:val="000000" w:themeColor="text1"/>
          <w:lang w:val="fr-BE" w:eastAsia="fr-BE"/>
        </w:rPr>
        <w:lastRenderedPageBreak/>
        <w:br w:type="page"/>
      </w:r>
    </w:p>
    <w:p w14:paraId="51D031A8" w14:textId="3B0DD37F" w:rsidR="00DE659D" w:rsidRDefault="00DE659D" w:rsidP="00DE659D">
      <w:pPr>
        <w:rPr>
          <w:noProof/>
          <w:color w:val="000000" w:themeColor="text1"/>
          <w:lang w:val="fr-BE" w:eastAsia="fr-BE"/>
        </w:rPr>
      </w:pPr>
    </w:p>
    <w:p w14:paraId="1C778455" w14:textId="301C7883" w:rsidR="000D4E12" w:rsidRDefault="000D4E12" w:rsidP="00DE659D">
      <w:pPr>
        <w:rPr>
          <w:noProof/>
          <w:color w:val="000000" w:themeColor="text1"/>
          <w:lang w:val="fr-BE" w:eastAsia="fr-BE"/>
        </w:rPr>
      </w:pPr>
    </w:p>
    <w:p w14:paraId="4F4805F1" w14:textId="1918CBEA" w:rsidR="000D4E12" w:rsidRDefault="000D4E12" w:rsidP="00DE659D">
      <w:pPr>
        <w:rPr>
          <w:noProof/>
          <w:color w:val="000000" w:themeColor="text1"/>
          <w:lang w:val="fr-BE" w:eastAsia="fr-BE"/>
        </w:rPr>
      </w:pPr>
    </w:p>
    <w:p w14:paraId="67538FEB" w14:textId="0BC52841" w:rsidR="000D4E12" w:rsidRDefault="000D4E12" w:rsidP="00DE659D">
      <w:pPr>
        <w:rPr>
          <w:noProof/>
          <w:color w:val="000000" w:themeColor="text1"/>
          <w:lang w:val="fr-BE" w:eastAsia="fr-BE"/>
        </w:rPr>
      </w:pPr>
    </w:p>
    <w:p w14:paraId="25A5FF16" w14:textId="6C37AEAE" w:rsidR="000D4E12" w:rsidRDefault="000D4E12" w:rsidP="00DE659D">
      <w:pPr>
        <w:rPr>
          <w:noProof/>
          <w:color w:val="000000" w:themeColor="text1"/>
          <w:lang w:val="fr-BE" w:eastAsia="fr-BE"/>
        </w:rPr>
      </w:pPr>
    </w:p>
    <w:p w14:paraId="2F353230" w14:textId="26D32159" w:rsidR="000D4E12" w:rsidRDefault="000D4E12" w:rsidP="00DE659D">
      <w:pPr>
        <w:rPr>
          <w:noProof/>
          <w:color w:val="000000" w:themeColor="text1"/>
          <w:lang w:val="fr-BE" w:eastAsia="fr-BE"/>
        </w:rPr>
      </w:pPr>
    </w:p>
    <w:p w14:paraId="0CB318DE" w14:textId="4DCDC5B4" w:rsidR="000D4E12" w:rsidRDefault="000D4E12" w:rsidP="00DE659D">
      <w:pPr>
        <w:rPr>
          <w:noProof/>
          <w:color w:val="000000" w:themeColor="text1"/>
          <w:lang w:val="fr-BE" w:eastAsia="fr-BE"/>
        </w:rPr>
      </w:pPr>
    </w:p>
    <w:p w14:paraId="6A26680C" w14:textId="5E729682" w:rsidR="000D4E12" w:rsidRDefault="000D4E12" w:rsidP="00DE659D">
      <w:pPr>
        <w:rPr>
          <w:noProof/>
          <w:color w:val="000000" w:themeColor="text1"/>
          <w:lang w:val="fr-BE" w:eastAsia="fr-BE"/>
        </w:rPr>
      </w:pPr>
    </w:p>
    <w:p w14:paraId="6D04E69F" w14:textId="70104317" w:rsidR="000D4E12" w:rsidRDefault="000D4E12" w:rsidP="00DE659D">
      <w:pPr>
        <w:rPr>
          <w:noProof/>
          <w:color w:val="000000" w:themeColor="text1"/>
          <w:lang w:val="fr-BE" w:eastAsia="fr-BE"/>
        </w:rPr>
      </w:pPr>
    </w:p>
    <w:p w14:paraId="3AEAC7C3" w14:textId="5BFE47CC" w:rsidR="000D4E12" w:rsidRDefault="000D4E12" w:rsidP="00DE659D">
      <w:pPr>
        <w:rPr>
          <w:noProof/>
          <w:color w:val="000000" w:themeColor="text1"/>
          <w:lang w:val="fr-BE" w:eastAsia="fr-BE"/>
        </w:rPr>
      </w:pPr>
    </w:p>
    <w:p w14:paraId="451553A5" w14:textId="5E36C86A" w:rsidR="000D4E12" w:rsidRDefault="000D4E12" w:rsidP="00DE659D">
      <w:pPr>
        <w:rPr>
          <w:noProof/>
          <w:color w:val="000000" w:themeColor="text1"/>
          <w:lang w:val="fr-BE" w:eastAsia="fr-BE"/>
        </w:rPr>
      </w:pPr>
    </w:p>
    <w:p w14:paraId="76B384CA" w14:textId="5FFA2401" w:rsidR="000D4E12" w:rsidRDefault="000D4E12" w:rsidP="00DE659D">
      <w:pPr>
        <w:rPr>
          <w:noProof/>
          <w:color w:val="000000" w:themeColor="text1"/>
          <w:lang w:val="fr-BE" w:eastAsia="fr-BE"/>
        </w:rPr>
      </w:pPr>
    </w:p>
    <w:p w14:paraId="1A44267D" w14:textId="43854102" w:rsidR="000D4E12" w:rsidRDefault="000D4E12" w:rsidP="00DE659D">
      <w:pPr>
        <w:rPr>
          <w:noProof/>
          <w:color w:val="000000" w:themeColor="text1"/>
          <w:lang w:val="fr-BE" w:eastAsia="fr-BE"/>
        </w:rPr>
      </w:pPr>
    </w:p>
    <w:p w14:paraId="6A1BBB06" w14:textId="44E2B217" w:rsidR="000D4E12" w:rsidRDefault="000D4E12" w:rsidP="00DE659D">
      <w:pPr>
        <w:rPr>
          <w:noProof/>
          <w:color w:val="000000" w:themeColor="text1"/>
          <w:lang w:val="fr-BE" w:eastAsia="fr-BE"/>
        </w:rPr>
      </w:pPr>
    </w:p>
    <w:p w14:paraId="47D6FF30" w14:textId="1E089E52" w:rsidR="000D4E12" w:rsidRDefault="000D4E12" w:rsidP="00DE659D">
      <w:pPr>
        <w:rPr>
          <w:noProof/>
          <w:color w:val="000000" w:themeColor="text1"/>
          <w:lang w:val="fr-BE" w:eastAsia="fr-BE"/>
        </w:rPr>
      </w:pPr>
    </w:p>
    <w:p w14:paraId="4BAE6703" w14:textId="7CB2B2E8" w:rsidR="000D4E12" w:rsidRDefault="000D4E12" w:rsidP="00DE659D">
      <w:pPr>
        <w:rPr>
          <w:noProof/>
          <w:color w:val="000000" w:themeColor="text1"/>
          <w:lang w:val="fr-BE" w:eastAsia="fr-BE"/>
        </w:rPr>
      </w:pPr>
    </w:p>
    <w:p w14:paraId="6E865FCC" w14:textId="3415F624" w:rsidR="000D4E12" w:rsidRDefault="000D4E12" w:rsidP="00DE659D">
      <w:pPr>
        <w:rPr>
          <w:noProof/>
          <w:color w:val="000000" w:themeColor="text1"/>
          <w:lang w:val="fr-BE" w:eastAsia="fr-BE"/>
        </w:rPr>
      </w:pPr>
    </w:p>
    <w:p w14:paraId="4990A59C" w14:textId="4D2E260A" w:rsidR="000D4E12" w:rsidRDefault="000D4E12" w:rsidP="00DE659D">
      <w:pPr>
        <w:rPr>
          <w:noProof/>
          <w:color w:val="000000" w:themeColor="text1"/>
          <w:lang w:val="fr-BE" w:eastAsia="fr-BE"/>
        </w:rPr>
      </w:pPr>
    </w:p>
    <w:p w14:paraId="7E763BB3" w14:textId="18DD3BB7" w:rsidR="000D4E12" w:rsidRDefault="000D4E12" w:rsidP="00DE659D">
      <w:pPr>
        <w:rPr>
          <w:noProof/>
          <w:color w:val="000000" w:themeColor="text1"/>
          <w:lang w:val="fr-BE" w:eastAsia="fr-BE"/>
        </w:rPr>
      </w:pPr>
    </w:p>
    <w:p w14:paraId="7A488E5B" w14:textId="4C8A1FB6" w:rsidR="000D4E12" w:rsidRDefault="000D4E12" w:rsidP="00DE659D">
      <w:pPr>
        <w:rPr>
          <w:noProof/>
          <w:color w:val="000000" w:themeColor="text1"/>
          <w:lang w:val="fr-BE" w:eastAsia="fr-BE"/>
        </w:rPr>
      </w:pPr>
    </w:p>
    <w:p w14:paraId="69EF5D42" w14:textId="1ED9AC82" w:rsidR="000D4E12" w:rsidRDefault="000D4E12" w:rsidP="00DE659D">
      <w:pPr>
        <w:rPr>
          <w:noProof/>
          <w:color w:val="000000" w:themeColor="text1"/>
          <w:lang w:val="fr-BE" w:eastAsia="fr-BE"/>
        </w:rPr>
      </w:pPr>
    </w:p>
    <w:p w14:paraId="1FBBB08D" w14:textId="33185331" w:rsidR="000D4E12" w:rsidRPr="00B932A9" w:rsidRDefault="000D4E12" w:rsidP="00DE659D">
      <w:pPr>
        <w:rPr>
          <w:noProof/>
          <w:color w:val="000000" w:themeColor="text1"/>
          <w:lang w:val="fr-BE" w:eastAsia="fr-BE"/>
        </w:rPr>
      </w:pPr>
      <w:r w:rsidRPr="00B932A9">
        <w:rPr>
          <w:noProof/>
          <w:color w:val="000000" w:themeColor="text1"/>
          <w:lang w:val="fr-BE" w:eastAsia="fr-BE"/>
        </w:rPr>
        <w:t>Γν</w:t>
      </w:r>
      <w:r w:rsidRPr="00B932A9">
        <w:rPr>
          <w:rFonts w:ascii="Times New Roman" w:hAnsi="Times New Roman" w:cs="Times New Roman"/>
          <w:noProof/>
          <w:color w:val="000000" w:themeColor="text1"/>
          <w:lang w:val="fr-BE" w:eastAsia="fr-BE"/>
        </w:rPr>
        <w:t>ῶ</w:t>
      </w:r>
      <w:r w:rsidRPr="00B932A9">
        <w:rPr>
          <w:noProof/>
          <w:color w:val="000000" w:themeColor="text1"/>
          <w:lang w:val="fr-BE" w:eastAsia="fr-BE"/>
        </w:rPr>
        <w:t>θι σεαυτόν</w:t>
      </w:r>
    </w:p>
    <w:p w14:paraId="065683D6" w14:textId="2D520751" w:rsidR="00DD2542" w:rsidRPr="00DE659D" w:rsidRDefault="00DD2542" w:rsidP="00DE659D">
      <w:pPr>
        <w:rPr>
          <w:lang w:val="fr-BE"/>
        </w:rPr>
      </w:pPr>
    </w:p>
    <w:sectPr w:rsidR="00DD2542" w:rsidRPr="00DE659D" w:rsidSect="00FE6DF0">
      <w:headerReference w:type="first" r:id="rId21"/>
      <w:pgSz w:w="11906" w:h="16838" w:code="9"/>
      <w:pgMar w:top="1701" w:right="2268" w:bottom="1701" w:left="2268" w:header="992" w:footer="992"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ECC19C" w14:textId="77777777" w:rsidR="004225B5" w:rsidRDefault="004225B5" w:rsidP="00046339">
      <w:r>
        <w:separator/>
      </w:r>
    </w:p>
    <w:p w14:paraId="7ECC84FD" w14:textId="77777777" w:rsidR="004225B5" w:rsidRDefault="004225B5" w:rsidP="00046339"/>
  </w:endnote>
  <w:endnote w:type="continuationSeparator" w:id="0">
    <w:p w14:paraId="1398CD2E" w14:textId="77777777" w:rsidR="004225B5" w:rsidRDefault="004225B5" w:rsidP="00046339">
      <w:r>
        <w:continuationSeparator/>
      </w:r>
    </w:p>
    <w:p w14:paraId="680427E3" w14:textId="77777777" w:rsidR="004225B5" w:rsidRDefault="004225B5" w:rsidP="000463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kzidenz-Grotesk GSK Regular">
    <w:altName w:val="Calibri"/>
    <w:panose1 w:val="00000000000000000000"/>
    <w:charset w:val="00"/>
    <w:family w:val="swiss"/>
    <w:notTrueType/>
    <w:pitch w:val="default"/>
    <w:sig w:usb0="00000003" w:usb1="00000000" w:usb2="00000000" w:usb3="00000000" w:csb0="00000001"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dvOT4ac4c61e">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A9E61" w14:textId="77777777" w:rsidR="00FE6DF0" w:rsidRDefault="00FE6DF0" w:rsidP="00FE6DF0">
    <w:pPr>
      <w:pStyle w:val="Pieddepage"/>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6946EE" w14:textId="77777777" w:rsidR="00FE6DF0" w:rsidRDefault="00FE6DF0" w:rsidP="00FE6DF0">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79A496" w14:textId="77777777" w:rsidR="004225B5" w:rsidRDefault="004225B5" w:rsidP="00046339">
      <w:r>
        <w:separator/>
      </w:r>
    </w:p>
  </w:footnote>
  <w:footnote w:type="continuationSeparator" w:id="0">
    <w:p w14:paraId="47F9F6AE" w14:textId="77777777" w:rsidR="004225B5" w:rsidRDefault="004225B5" w:rsidP="00046339">
      <w:r>
        <w:continuationSeparator/>
      </w:r>
    </w:p>
    <w:p w14:paraId="5B794ECC" w14:textId="77777777" w:rsidR="004225B5" w:rsidRDefault="004225B5" w:rsidP="00046339"/>
  </w:footnote>
  <w:footnote w:id="1">
    <w:p w14:paraId="5E10D69C" w14:textId="77777777" w:rsidR="0000351E" w:rsidRPr="006E1712" w:rsidRDefault="0000351E" w:rsidP="00DE659D">
      <w:pPr>
        <w:spacing w:after="0" w:line="240" w:lineRule="auto"/>
        <w:rPr>
          <w:rFonts w:ascii="Times New Roman" w:eastAsia="Times New Roman" w:hAnsi="Times New Roman" w:cs="Times New Roman"/>
          <w:i/>
          <w:sz w:val="24"/>
          <w:szCs w:val="24"/>
          <w:lang w:val="fr-BE" w:eastAsia="hu-HU"/>
        </w:rPr>
      </w:pPr>
      <w:r>
        <w:rPr>
          <w:rStyle w:val="Appelnotedebasdep"/>
        </w:rPr>
        <w:footnoteRef/>
      </w:r>
      <w:r w:rsidRPr="006E1712">
        <w:rPr>
          <w:lang w:val="fr-BE"/>
        </w:rPr>
        <w:t xml:space="preserve"> </w:t>
      </w:r>
      <w:r w:rsidRPr="00E605F7">
        <w:rPr>
          <w:rFonts w:ascii="Times New Roman" w:eastAsia="Times New Roman" w:hAnsi="Times New Roman" w:cs="Times New Roman"/>
          <w:color w:val="000000"/>
          <w:sz w:val="20"/>
          <w:lang w:val="fr-BE" w:eastAsia="hu-HU"/>
        </w:rPr>
        <w:t>Cette introduction est rédigée en français, le reste de la thèse est en anglais.</w:t>
      </w:r>
    </w:p>
  </w:footnote>
  <w:footnote w:id="2">
    <w:p w14:paraId="47060373" w14:textId="77777777" w:rsidR="0000351E" w:rsidRPr="00C7096A" w:rsidRDefault="0000351E" w:rsidP="00DE659D">
      <w:pPr>
        <w:pStyle w:val="Notedebasdepage"/>
        <w:rPr>
          <w:lang w:val="fr-BE"/>
        </w:rPr>
      </w:pPr>
      <w:r>
        <w:rPr>
          <w:rStyle w:val="Appelnotedebasdep"/>
        </w:rPr>
        <w:footnoteRef/>
      </w:r>
      <w:r w:rsidRPr="00C7096A">
        <w:rPr>
          <w:lang w:val="fr-BE"/>
        </w:rPr>
        <w:t xml:space="preserve"> </w:t>
      </w:r>
      <w:r>
        <w:rPr>
          <w:lang w:val="fr-BE"/>
        </w:rPr>
        <w:t>Notons que certains indicateurs sont également développés sans finalité de transition, mais pour répondre à des normes, faire du greenwashing, etc.</w:t>
      </w:r>
    </w:p>
  </w:footnote>
  <w:footnote w:id="3">
    <w:p w14:paraId="4CBF3861" w14:textId="77777777" w:rsidR="0000351E" w:rsidRPr="00CE2C4F" w:rsidRDefault="0000351E" w:rsidP="00DE659D">
      <w:pPr>
        <w:pStyle w:val="Notedebasdepage"/>
        <w:rPr>
          <w:lang w:val="fr-BE"/>
        </w:rPr>
      </w:pPr>
      <w:r>
        <w:rPr>
          <w:rStyle w:val="Appelnotedebasdep"/>
        </w:rPr>
        <w:footnoteRef/>
      </w:r>
      <w:r w:rsidRPr="00CE2C4F">
        <w:rPr>
          <w:lang w:val="fr-BE"/>
        </w:rPr>
        <w:t xml:space="preserve"> </w:t>
      </w:r>
      <w:r>
        <w:rPr>
          <w:lang w:val="fr-BE"/>
        </w:rPr>
        <w:t>Ces éléments d’attention supposent une vision intentionnelle du développement ou de l’utilisation d’indicateurs. En réalité, cet aspect intentionnel n’est pas toujours présent et de nombreux indicateurs émergent d’un ensemble d’interactions au sein d’un système qui dépasse les individus. Dans cette thèse, l’emphase est toutefois mise sur la dimension intentionnelle entourant les indicateurs, car l’objectif est d’explorer la (petite) partie du réel constituée de ce qui peut être fait consciemment par des individus ou des groupes pour accélérer une transition.</w:t>
      </w:r>
    </w:p>
  </w:footnote>
  <w:footnote w:id="4">
    <w:p w14:paraId="5EE2C6C4" w14:textId="77777777" w:rsidR="0000351E" w:rsidRPr="00FF2971" w:rsidRDefault="0000351E" w:rsidP="00DE659D">
      <w:pPr>
        <w:pStyle w:val="Notedebasdepage"/>
        <w:rPr>
          <w:lang w:val="fr-BE"/>
        </w:rPr>
      </w:pPr>
      <w:r>
        <w:rPr>
          <w:rStyle w:val="Appelnotedebasdep"/>
        </w:rPr>
        <w:footnoteRef/>
      </w:r>
      <w:r w:rsidRPr="00FF2971">
        <w:rPr>
          <w:lang w:val="fr-BE"/>
        </w:rPr>
        <w:t xml:space="preserve"> </w:t>
      </w:r>
      <w:r>
        <w:rPr>
          <w:lang w:val="fr-BE"/>
        </w:rPr>
        <w:t xml:space="preserve">L’on fait ainsi référence à un horizon caractérisé par une égalité des résultats comme point de comparaison, en suivant </w:t>
      </w:r>
      <w:proofErr w:type="spellStart"/>
      <w:r>
        <w:rPr>
          <w:lang w:val="fr-BE"/>
        </w:rPr>
        <w:t>Atkison</w:t>
      </w:r>
      <w:proofErr w:type="spellEnd"/>
      <w:r>
        <w:rPr>
          <w:lang w:val="fr-BE"/>
        </w:rPr>
        <w:t xml:space="preserve"> (2015)</w:t>
      </w:r>
    </w:p>
  </w:footnote>
  <w:footnote w:id="5">
    <w:p w14:paraId="3CF02BC3" w14:textId="77777777" w:rsidR="0000351E" w:rsidRPr="00CE2C4F" w:rsidRDefault="0000351E" w:rsidP="00DE659D">
      <w:pPr>
        <w:pStyle w:val="2mepara"/>
        <w:ind w:firstLine="0"/>
        <w:rPr>
          <w:lang w:val="fr-FR"/>
        </w:rPr>
      </w:pPr>
      <w:r>
        <w:rPr>
          <w:rStyle w:val="Appelnotedebasdep"/>
          <w:rFonts w:eastAsiaTheme="majorEastAsia"/>
        </w:rPr>
        <w:footnoteRef/>
      </w:r>
      <w:r w:rsidRPr="00CE2C4F">
        <w:rPr>
          <w:lang w:val="fr-BE"/>
        </w:rPr>
        <w:t xml:space="preserve"> </w:t>
      </w:r>
      <w:r w:rsidRPr="0079378A">
        <w:rPr>
          <w:sz w:val="20"/>
          <w:lang w:val="fr-BE"/>
        </w:rPr>
        <w:t>L</w:t>
      </w:r>
      <w:r w:rsidRPr="0079378A">
        <w:rPr>
          <w:sz w:val="20"/>
          <w:lang w:val="fr-FR"/>
        </w:rPr>
        <w:t xml:space="preserve">’Indice de Développement Humain (IDH) </w:t>
      </w:r>
      <w:r>
        <w:rPr>
          <w:sz w:val="20"/>
          <w:lang w:val="fr-FR"/>
        </w:rPr>
        <w:t>est</w:t>
      </w:r>
      <w:r w:rsidRPr="0079378A">
        <w:rPr>
          <w:sz w:val="20"/>
          <w:lang w:val="fr-FR"/>
        </w:rPr>
        <w:t xml:space="preserve"> également un indicateur dont le rôle était de mettre les pays en concurrence. Le président américain Ronald Reagan avait nommé en 1986 le </w:t>
      </w:r>
      <w:r w:rsidRPr="0079378A">
        <w:rPr>
          <w:i/>
          <w:sz w:val="20"/>
          <w:lang w:val="fr-FR"/>
        </w:rPr>
        <w:t xml:space="preserve">venture </w:t>
      </w:r>
      <w:proofErr w:type="spellStart"/>
      <w:r w:rsidRPr="0079378A">
        <w:rPr>
          <w:i/>
          <w:sz w:val="20"/>
          <w:lang w:val="fr-FR"/>
        </w:rPr>
        <w:t>capitalist</w:t>
      </w:r>
      <w:proofErr w:type="spellEnd"/>
      <w:r w:rsidRPr="0079378A">
        <w:rPr>
          <w:sz w:val="20"/>
          <w:lang w:val="fr-FR"/>
        </w:rPr>
        <w:t xml:space="preserve"> de la Silicon Valley William Henry Draper à la tête du PNUD. L’objectif de la nomination était notamment d’y infléchir la ligne politique de l’institution, jugée trop marquée par les idées socialistes selon les républicains (</w:t>
      </w:r>
      <w:proofErr w:type="spellStart"/>
      <w:r w:rsidRPr="0079378A">
        <w:rPr>
          <w:sz w:val="20"/>
          <w:lang w:val="fr-FR"/>
        </w:rPr>
        <w:t>Masood</w:t>
      </w:r>
      <w:proofErr w:type="spellEnd"/>
      <w:r w:rsidRPr="0079378A">
        <w:rPr>
          <w:sz w:val="20"/>
          <w:lang w:val="fr-FR"/>
        </w:rPr>
        <w:t xml:space="preserve">, 2016). On aurait pu s’attendre à ce que Draper ait une ligne des plus conservatrices dans l’exercice de ses fonctions. Pourtant, c’est lui qui va autoriser la recherche et la publication de l’IDH, par </w:t>
      </w:r>
      <w:proofErr w:type="spellStart"/>
      <w:r w:rsidRPr="0079378A">
        <w:rPr>
          <w:sz w:val="20"/>
          <w:lang w:val="fr-FR"/>
        </w:rPr>
        <w:t>Mahbub</w:t>
      </w:r>
      <w:proofErr w:type="spellEnd"/>
      <w:r w:rsidRPr="0079378A">
        <w:rPr>
          <w:sz w:val="20"/>
          <w:lang w:val="fr-FR"/>
        </w:rPr>
        <w:t xml:space="preserve"> </w:t>
      </w:r>
      <w:proofErr w:type="spellStart"/>
      <w:r w:rsidRPr="0079378A">
        <w:rPr>
          <w:sz w:val="20"/>
          <w:lang w:val="fr-FR"/>
        </w:rPr>
        <w:t>ul</w:t>
      </w:r>
      <w:proofErr w:type="spellEnd"/>
      <w:r w:rsidRPr="0079378A">
        <w:rPr>
          <w:sz w:val="20"/>
          <w:lang w:val="fr-FR"/>
        </w:rPr>
        <w:t xml:space="preserve"> Haq et son équipe (dont Amartya Sen), au sein même du PNUD. Comment expliquer ce soutien à un indicateur dont les conséquences probables allaient être une augmentation des dépenses de santé et d’éducation dans plusieurs pays du Sud ? Draper justifiera cette position de la manière suivante : pour lui, le contenu de l’IDH n’important pas tant, du moment qu’il constituait un outil permettant aux pays de se comparer l’un à l’autre. L’important était l’établissement d’un classement entre pays, un </w:t>
      </w:r>
      <w:r w:rsidRPr="0079378A">
        <w:rPr>
          <w:i/>
          <w:sz w:val="20"/>
          <w:lang w:val="fr-FR"/>
        </w:rPr>
        <w:t>benchmarking</w:t>
      </w:r>
      <w:r w:rsidRPr="0079378A">
        <w:rPr>
          <w:sz w:val="20"/>
          <w:lang w:val="fr-FR"/>
        </w:rPr>
        <w:t>, susceptible de créer une émulation ou une compétition entre nations (</w:t>
      </w:r>
      <w:proofErr w:type="spellStart"/>
      <w:r w:rsidRPr="0079378A">
        <w:rPr>
          <w:sz w:val="20"/>
          <w:lang w:val="fr-FR"/>
        </w:rPr>
        <w:t>Masood</w:t>
      </w:r>
      <w:proofErr w:type="spellEnd"/>
      <w:r w:rsidRPr="0079378A">
        <w:rPr>
          <w:sz w:val="20"/>
          <w:lang w:val="fr-FR"/>
        </w:rPr>
        <w:t xml:space="preserve">, 2016). Il s’agissait prioritairement d’insuffler une nouvelle mentalité aux politiques de développement. Cette </w:t>
      </w:r>
      <w:r>
        <w:rPr>
          <w:sz w:val="20"/>
          <w:lang w:val="fr-FR"/>
        </w:rPr>
        <w:t>manière de faire</w:t>
      </w:r>
      <w:r w:rsidRPr="0079378A">
        <w:rPr>
          <w:sz w:val="20"/>
          <w:lang w:val="fr-FR"/>
        </w:rPr>
        <w:t xml:space="preserve"> est devenue la norme car la plupart des indicateurs sociaux et environnementaux visent</w:t>
      </w:r>
      <w:r>
        <w:rPr>
          <w:sz w:val="20"/>
          <w:lang w:val="fr-FR"/>
        </w:rPr>
        <w:t xml:space="preserve"> désormais à</w:t>
      </w:r>
      <w:r w:rsidRPr="0079378A">
        <w:rPr>
          <w:sz w:val="20"/>
          <w:lang w:val="fr-FR"/>
        </w:rPr>
        <w:t xml:space="preserve"> classer les pays selon leur performance.</w:t>
      </w:r>
    </w:p>
  </w:footnote>
  <w:footnote w:id="6">
    <w:p w14:paraId="64CBBA85" w14:textId="77777777" w:rsidR="0000351E" w:rsidRPr="005B089B" w:rsidRDefault="0000351E" w:rsidP="00DE659D">
      <w:pPr>
        <w:pStyle w:val="Notedebasdepage"/>
        <w:rPr>
          <w:lang w:val="fr-BE"/>
        </w:rPr>
      </w:pPr>
      <w:r>
        <w:rPr>
          <w:rStyle w:val="Appelnotedebasdep"/>
        </w:rPr>
        <w:footnoteRef/>
      </w:r>
      <w:r w:rsidRPr="005B089B">
        <w:rPr>
          <w:lang w:val="fr-BE"/>
        </w:rPr>
        <w:t xml:space="preserve"> </w:t>
      </w:r>
      <w:r>
        <w:rPr>
          <w:lang w:val="fr-BE"/>
        </w:rPr>
        <w:t>C’est ce qui est sensé se passer en théorie. En pratique, c</w:t>
      </w:r>
      <w:proofErr w:type="spellStart"/>
      <w:r>
        <w:rPr>
          <w:lang w:val="fr-FR"/>
        </w:rPr>
        <w:t>ertains</w:t>
      </w:r>
      <w:proofErr w:type="spellEnd"/>
      <w:r>
        <w:rPr>
          <w:lang w:val="fr-FR"/>
        </w:rPr>
        <w:t xml:space="preserve"> auteurs considèrent que le </w:t>
      </w:r>
      <w:proofErr w:type="spellStart"/>
      <w:r w:rsidRPr="005B089B">
        <w:rPr>
          <w:i/>
          <w:lang w:val="fr-FR"/>
        </w:rPr>
        <w:t>reporting</w:t>
      </w:r>
      <w:proofErr w:type="spellEnd"/>
      <w:r>
        <w:rPr>
          <w:lang w:val="fr-FR"/>
        </w:rPr>
        <w:t xml:space="preserve"> exploite plutôt les asymétries d’information entre l’entreprise et ses partie-prenantes qu’il ne les résout (</w:t>
      </w:r>
      <w:proofErr w:type="spellStart"/>
      <w:r w:rsidRPr="005B089B">
        <w:rPr>
          <w:lang w:val="fr-FR"/>
        </w:rPr>
        <w:t>Merkl</w:t>
      </w:r>
      <w:proofErr w:type="spellEnd"/>
      <w:r w:rsidRPr="005B089B">
        <w:rPr>
          <w:lang w:val="fr-FR"/>
        </w:rPr>
        <w:t xml:space="preserve">-Davies </w:t>
      </w:r>
      <w:r>
        <w:rPr>
          <w:lang w:val="fr-FR"/>
        </w:rPr>
        <w:t>et</w:t>
      </w:r>
      <w:r w:rsidRPr="005B089B">
        <w:rPr>
          <w:lang w:val="fr-FR"/>
        </w:rPr>
        <w:t xml:space="preserve"> Brennan, 2011</w:t>
      </w:r>
      <w:r>
        <w:rPr>
          <w:lang w:val="fr-FR"/>
        </w:rPr>
        <w:t>)</w:t>
      </w:r>
    </w:p>
  </w:footnote>
  <w:footnote w:id="7">
    <w:p w14:paraId="76BF629F" w14:textId="77777777" w:rsidR="0000351E" w:rsidRPr="007C02A7" w:rsidRDefault="0000351E" w:rsidP="00DE659D">
      <w:pPr>
        <w:pStyle w:val="Notedebasdepage"/>
        <w:rPr>
          <w:lang w:val="fr-BE"/>
        </w:rPr>
      </w:pPr>
      <w:r>
        <w:rPr>
          <w:rStyle w:val="Appelnotedebasdep"/>
        </w:rPr>
        <w:footnoteRef/>
      </w:r>
      <w:r w:rsidRPr="007C02A7">
        <w:rPr>
          <w:lang w:val="fr-BE"/>
        </w:rPr>
        <w:t xml:space="preserve"> </w:t>
      </w:r>
      <w:r>
        <w:rPr>
          <w:lang w:val="fr-BE"/>
        </w:rPr>
        <w:t>A l’exception du cas précis (inédit) où l’État attribuerait des aides/sanctions aux entreprises sur base de leurs performances dans certains domaines (révélées par des indicateurs).</w:t>
      </w:r>
    </w:p>
  </w:footnote>
  <w:footnote w:id="8">
    <w:p w14:paraId="27375397" w14:textId="77777777" w:rsidR="0000351E" w:rsidRPr="00CD5083" w:rsidRDefault="0000351E" w:rsidP="00DE659D">
      <w:pPr>
        <w:pStyle w:val="Notedebasdepage"/>
        <w:rPr>
          <w:lang w:val="fr-BE"/>
        </w:rPr>
      </w:pPr>
      <w:r>
        <w:rPr>
          <w:rStyle w:val="Appelnotedebasdep"/>
        </w:rPr>
        <w:footnoteRef/>
      </w:r>
      <w:r w:rsidRPr="00CD5083">
        <w:rPr>
          <w:lang w:val="fr-BE"/>
        </w:rPr>
        <w:t xml:space="preserve"> </w:t>
      </w:r>
      <w:r>
        <w:rPr>
          <w:lang w:val="fr-FR"/>
        </w:rPr>
        <w:t xml:space="preserve">Les mécanismes de réciprocité ou d’entraide n’utilisent que </w:t>
      </w:r>
      <w:r w:rsidRPr="00EF639B">
        <w:rPr>
          <w:lang w:val="fr-FR"/>
        </w:rPr>
        <w:t>peu</w:t>
      </w:r>
      <w:r>
        <w:rPr>
          <w:lang w:val="fr-FR"/>
        </w:rPr>
        <w:t>,</w:t>
      </w:r>
      <w:r w:rsidRPr="00EF639B">
        <w:rPr>
          <w:lang w:val="fr-FR"/>
        </w:rPr>
        <w:t xml:space="preserve"> voire</w:t>
      </w:r>
      <w:r>
        <w:rPr>
          <w:lang w:val="fr-FR"/>
        </w:rPr>
        <w:t xml:space="preserve"> pas, d’indicateurs quantitatifs du fait de la suffisance d’interactions relativement directes entre parties prenantes. Ils ne sont donc pas abordés dans cette thèse.</w:t>
      </w:r>
    </w:p>
  </w:footnote>
  <w:footnote w:id="9">
    <w:p w14:paraId="108E9C01" w14:textId="77777777" w:rsidR="0000351E" w:rsidRPr="00FB64EC" w:rsidRDefault="0000351E" w:rsidP="00DE659D">
      <w:pPr>
        <w:pStyle w:val="Notedebasdepage"/>
        <w:rPr>
          <w:lang w:val="fr-BE"/>
        </w:rPr>
      </w:pPr>
      <w:r>
        <w:rPr>
          <w:rStyle w:val="Appelnotedebasdep"/>
        </w:rPr>
        <w:footnoteRef/>
      </w:r>
      <w:r w:rsidRPr="00FB64EC">
        <w:rPr>
          <w:lang w:val="fr-BE"/>
        </w:rPr>
        <w:t xml:space="preserve"> </w:t>
      </w:r>
      <w:hyperlink r:id="rId1" w:history="1">
        <w:r w:rsidRPr="00FB64EC">
          <w:rPr>
            <w:rStyle w:val="Lienhypertexte"/>
            <w:lang w:val="fr-BE"/>
          </w:rPr>
          <w:t>https://www.ecogood.org/</w:t>
        </w:r>
      </w:hyperlink>
      <w:r w:rsidRPr="00FB64EC">
        <w:rPr>
          <w:lang w:val="fr-BE"/>
        </w:rPr>
        <w:t xml:space="preserve"> and </w:t>
      </w:r>
      <w:hyperlink r:id="rId2" w:history="1">
        <w:r w:rsidRPr="00FB64EC">
          <w:rPr>
            <w:rStyle w:val="Lienhypertexte"/>
            <w:lang w:val="fr-BE"/>
          </w:rPr>
          <w:t>http://www.institut-economiepositive.com/leconomie-positive/</w:t>
        </w:r>
      </w:hyperlink>
      <w:r w:rsidRPr="00FB64EC">
        <w:rPr>
          <w:lang w:val="fr-BE"/>
        </w:rPr>
        <w:t xml:space="preserve">  </w:t>
      </w:r>
    </w:p>
  </w:footnote>
  <w:footnote w:id="10">
    <w:p w14:paraId="4A03852A" w14:textId="77777777" w:rsidR="0000351E" w:rsidRPr="00FB64EC" w:rsidRDefault="0000351E" w:rsidP="00DE659D">
      <w:pPr>
        <w:pStyle w:val="Notedebasdepage"/>
      </w:pPr>
      <w:r>
        <w:rPr>
          <w:rStyle w:val="Appelnotedebasdep"/>
        </w:rPr>
        <w:footnoteRef/>
      </w:r>
      <w:r w:rsidRPr="00FB64EC">
        <w:t xml:space="preserve"> </w:t>
      </w:r>
      <w:r w:rsidRPr="00FB64EC">
        <w:rPr>
          <w:rFonts w:ascii="AdvOT4ac4c61e" w:hAnsi="AdvOT4ac4c61e" w:cs="AdvOT4ac4c61e"/>
          <w:color w:val="0000FF"/>
          <w:sz w:val="17"/>
          <w:szCs w:val="17"/>
        </w:rPr>
        <w:t>www.sasb.org/</w:t>
      </w:r>
    </w:p>
  </w:footnote>
  <w:footnote w:id="11">
    <w:p w14:paraId="04187BF2" w14:textId="77777777" w:rsidR="0000351E" w:rsidRPr="00255B09" w:rsidRDefault="0000351E" w:rsidP="00DE659D">
      <w:pPr>
        <w:pStyle w:val="Notedebasdepage"/>
      </w:pPr>
      <w:r>
        <w:rPr>
          <w:rStyle w:val="Appelnotedebasdep"/>
        </w:rPr>
        <w:footnoteRef/>
      </w:r>
      <w:r>
        <w:t xml:space="preserve"> </w:t>
      </w:r>
      <w:r w:rsidRPr="007672C3">
        <w:t xml:space="preserve">The most recent international norms on business accounting (IFRS) do not recommend the use of </w:t>
      </w:r>
      <w:r>
        <w:t xml:space="preserve">the </w:t>
      </w:r>
      <w:r w:rsidRPr="007672C3">
        <w:t>historic</w:t>
      </w:r>
      <w:r>
        <w:t xml:space="preserve">al </w:t>
      </w:r>
      <w:r w:rsidRPr="007672C3">
        <w:t xml:space="preserve">cost accounting method, but rather the market price (fair value accounting). </w:t>
      </w:r>
      <w:r>
        <w:t>This demonstrates</w:t>
      </w:r>
      <w:r w:rsidRPr="007672C3">
        <w:t xml:space="preserve"> evolution towards a micro-macro similarity.</w:t>
      </w:r>
      <w:r w:rsidRPr="00255B09">
        <w:t xml:space="preserve"> </w:t>
      </w:r>
    </w:p>
  </w:footnote>
  <w:footnote w:id="12">
    <w:p w14:paraId="3A57A4AB" w14:textId="77777777" w:rsidR="0000351E" w:rsidRPr="003D370E" w:rsidRDefault="0000351E" w:rsidP="00DE659D">
      <w:pPr>
        <w:pStyle w:val="Notedebasdepage"/>
      </w:pPr>
      <w:r>
        <w:rPr>
          <w:rStyle w:val="Appelnotedebasdep"/>
        </w:rPr>
        <w:footnoteRef/>
      </w:r>
      <w:r>
        <w:t xml:space="preserve"> They also published SDGs dashboards </w:t>
      </w:r>
    </w:p>
  </w:footnote>
  <w:footnote w:id="13">
    <w:p w14:paraId="4F54FEF9" w14:textId="77777777" w:rsidR="0000351E" w:rsidRPr="00AC2574" w:rsidRDefault="0000351E" w:rsidP="00DE659D">
      <w:pPr>
        <w:pStyle w:val="Notedebasdepage"/>
      </w:pPr>
      <w:r>
        <w:rPr>
          <w:rStyle w:val="Appelnotedebasdep"/>
        </w:rPr>
        <w:footnoteRef/>
      </w:r>
      <w:r>
        <w:t xml:space="preserve"> </w:t>
      </w:r>
      <w:r w:rsidRPr="00AC2574">
        <w:t>Possibly after certain corrections if accounting conventions differ at both levels</w:t>
      </w:r>
    </w:p>
  </w:footnote>
  <w:footnote w:id="14">
    <w:p w14:paraId="0AC681E8" w14:textId="77777777" w:rsidR="0000351E" w:rsidRPr="00942DA7" w:rsidRDefault="0000351E" w:rsidP="00DE659D">
      <w:pPr>
        <w:pStyle w:val="Notedebasdepage"/>
      </w:pPr>
      <w:r>
        <w:rPr>
          <w:rStyle w:val="Appelnotedebasdep"/>
        </w:rPr>
        <w:footnoteRef/>
      </w:r>
      <w:r>
        <w:t xml:space="preserve"> </w:t>
      </w:r>
      <w:r w:rsidRPr="00942DA7">
        <w:t xml:space="preserve">The other conditions are met from the outset by SDGs, with the exception of the one concerning the articulation of targets, which will also be addressed in this </w:t>
      </w:r>
      <w:r>
        <w:t>paper</w:t>
      </w:r>
      <w:r w:rsidRPr="00942DA7">
        <w:t>.</w:t>
      </w:r>
    </w:p>
  </w:footnote>
  <w:footnote w:id="15">
    <w:p w14:paraId="7C7266E3" w14:textId="77777777" w:rsidR="0000351E" w:rsidRPr="00296406" w:rsidRDefault="0000351E" w:rsidP="00DE659D">
      <w:pPr>
        <w:pStyle w:val="Notedebasdepage"/>
      </w:pPr>
      <w:r>
        <w:rPr>
          <w:rStyle w:val="Appelnotedebasdep"/>
        </w:rPr>
        <w:footnoteRef/>
      </w:r>
      <w:r>
        <w:t xml:space="preserve"> </w:t>
      </w:r>
      <w:r w:rsidRPr="00296406">
        <w:rPr>
          <w:rFonts w:ascii="AdvOT4ac4c61e" w:hAnsi="AdvOT4ac4c61e" w:cs="AdvOT4ac4c61e"/>
          <w:color w:val="0000FF"/>
          <w:sz w:val="17"/>
          <w:szCs w:val="17"/>
        </w:rPr>
        <w:t>www.sasb.org/</w:t>
      </w:r>
    </w:p>
  </w:footnote>
  <w:footnote w:id="16">
    <w:p w14:paraId="4BE208DA" w14:textId="77777777" w:rsidR="0000351E" w:rsidRPr="00AE279D" w:rsidRDefault="0000351E" w:rsidP="00DE659D">
      <w:pPr>
        <w:pStyle w:val="Notedebasdepage"/>
      </w:pPr>
      <w:r>
        <w:rPr>
          <w:rStyle w:val="Appelnotedebasdep"/>
        </w:rPr>
        <w:footnoteRef/>
      </w:r>
      <w:r>
        <w:t xml:space="preserve"> </w:t>
      </w:r>
      <w:hyperlink r:id="rId3" w:history="1">
        <w:r w:rsidRPr="00482B66">
          <w:rPr>
            <w:rStyle w:val="Lienhypertexte"/>
          </w:rPr>
          <w:t>www.indicators.be</w:t>
        </w:r>
      </w:hyperlink>
      <w:r>
        <w:t xml:space="preserve">. </w:t>
      </w:r>
      <w:r w:rsidRPr="002F71E1">
        <w:t xml:space="preserve">The 84 indicators </w:t>
      </w:r>
      <w:r>
        <w:t>have been</w:t>
      </w:r>
      <w:r w:rsidRPr="0087444C">
        <w:t xml:space="preserve"> chosen</w:t>
      </w:r>
      <w:r w:rsidRPr="002F71E1">
        <w:t xml:space="preserve"> (rather than the subset of 51 indicators or other subsets) because they </w:t>
      </w:r>
      <w:r>
        <w:t>make up</w:t>
      </w:r>
      <w:r w:rsidRPr="002F71E1">
        <w:t xml:space="preserve"> the most comprehensive database for monitoring sustainable development.</w:t>
      </w:r>
    </w:p>
  </w:footnote>
  <w:footnote w:id="17">
    <w:p w14:paraId="397A6CBC" w14:textId="77777777" w:rsidR="0000351E" w:rsidRPr="002804BA" w:rsidRDefault="0000351E" w:rsidP="00DE659D">
      <w:pPr>
        <w:pStyle w:val="Notedebasdepage"/>
      </w:pPr>
      <w:r>
        <w:rPr>
          <w:rStyle w:val="Appelnotedebasdep"/>
        </w:rPr>
        <w:footnoteRef/>
      </w:r>
      <w:r>
        <w:t xml:space="preserve"> The synthetic character of SDGs indicators in use makes it impossible to attribute rigorously a </w:t>
      </w:r>
      <w:proofErr w:type="spellStart"/>
      <w:r>
        <w:t>favorable</w:t>
      </w:r>
      <w:proofErr w:type="spellEnd"/>
      <w:r>
        <w:t xml:space="preserve"> or </w:t>
      </w:r>
      <w:proofErr w:type="spellStart"/>
      <w:r>
        <w:t>unfavorable</w:t>
      </w:r>
      <w:proofErr w:type="spellEnd"/>
      <w:r>
        <w:t xml:space="preserve"> evolution when sub-indicators are different across businesses and vary in different directions</w:t>
      </w:r>
    </w:p>
  </w:footnote>
  <w:footnote w:id="18">
    <w:p w14:paraId="28AA4476" w14:textId="77777777" w:rsidR="0000351E" w:rsidRPr="00317995" w:rsidRDefault="0000351E" w:rsidP="00DE659D">
      <w:pPr>
        <w:pStyle w:val="Notedebasdepage"/>
      </w:pPr>
      <w:r>
        <w:rPr>
          <w:rStyle w:val="Appelnotedebasdep"/>
        </w:rPr>
        <w:footnoteRef/>
      </w:r>
      <w:r>
        <w:t xml:space="preserve"> The last five years at the national level, the last two years at the business level. This difference is due to less data availability at the business level.</w:t>
      </w:r>
    </w:p>
  </w:footnote>
  <w:footnote w:id="19">
    <w:p w14:paraId="27112661" w14:textId="77777777" w:rsidR="0000351E" w:rsidRPr="00F4339F" w:rsidRDefault="0000351E" w:rsidP="00DE659D">
      <w:pPr>
        <w:pStyle w:val="Notedebasdepage"/>
      </w:pPr>
      <w:r>
        <w:rPr>
          <w:rStyle w:val="Appelnotedebasdep"/>
        </w:rPr>
        <w:footnoteRef/>
      </w:r>
      <w:r>
        <w:t xml:space="preserve"> </w:t>
      </w:r>
      <w:r w:rsidRPr="00F4339F">
        <w:t xml:space="preserve">A simplifying assumption has been made to compute </w:t>
      </w:r>
      <w:proofErr w:type="spellStart"/>
      <w:r w:rsidRPr="00F4339F">
        <w:t>unfavorable</w:t>
      </w:r>
      <w:proofErr w:type="spellEnd"/>
      <w:r w:rsidRPr="00F4339F">
        <w:t xml:space="preserve"> evolutions at the business level. When a synthetic indicator included sub</w:t>
      </w:r>
      <w:r>
        <w:t>-</w:t>
      </w:r>
      <w:r w:rsidRPr="00F4339F">
        <w:t>indicators evolving in various direction</w:t>
      </w:r>
      <w:r>
        <w:t>s</w:t>
      </w:r>
      <w:r w:rsidRPr="00F4339F">
        <w:t xml:space="preserve"> (some </w:t>
      </w:r>
      <w:proofErr w:type="spellStart"/>
      <w:r w:rsidRPr="00F4339F">
        <w:t>unfavorable</w:t>
      </w:r>
      <w:proofErr w:type="spellEnd"/>
      <w:r w:rsidRPr="00F4339F">
        <w:t xml:space="preserve"> evolutions, some undetermined and some </w:t>
      </w:r>
      <w:proofErr w:type="spellStart"/>
      <w:r w:rsidRPr="00F4339F">
        <w:t>favorable</w:t>
      </w:r>
      <w:proofErr w:type="spellEnd"/>
      <w:r w:rsidRPr="00F4339F">
        <w:t xml:space="preserve"> evolutions), the evolution of the synthetic indicator has been considered </w:t>
      </w:r>
      <w:proofErr w:type="spellStart"/>
      <w:r w:rsidRPr="00F4339F">
        <w:t>unfavorable</w:t>
      </w:r>
      <w:proofErr w:type="spellEnd"/>
      <w:r w:rsidRPr="00F4339F">
        <w:t xml:space="preserve">. This </w:t>
      </w:r>
      <w:r>
        <w:t>simplification</w:t>
      </w:r>
      <w:r w:rsidRPr="00F4339F">
        <w:t xml:space="preserve"> tends to </w:t>
      </w:r>
      <w:r>
        <w:t xml:space="preserve">slightly </w:t>
      </w:r>
      <w:r w:rsidRPr="00F4339F">
        <w:t xml:space="preserve">overestimate the number of </w:t>
      </w:r>
      <w:proofErr w:type="spellStart"/>
      <w:r w:rsidRPr="00F4339F">
        <w:t>unfavorable</w:t>
      </w:r>
      <w:proofErr w:type="spellEnd"/>
      <w:r w:rsidRPr="00F4339F">
        <w:t xml:space="preserve"> evolutions.  </w:t>
      </w:r>
    </w:p>
  </w:footnote>
  <w:footnote w:id="20">
    <w:p w14:paraId="57FA23F7" w14:textId="77777777" w:rsidR="0000351E" w:rsidRPr="00524FA2" w:rsidRDefault="0000351E" w:rsidP="00DE659D">
      <w:pPr>
        <w:pStyle w:val="Notedebasdepage"/>
        <w:rPr>
          <w:lang w:val="hu-HU"/>
        </w:rPr>
      </w:pPr>
      <w:r>
        <w:rPr>
          <w:rStyle w:val="Appelnotedebasdep"/>
        </w:rPr>
        <w:footnoteRef/>
      </w:r>
      <w:r>
        <w:t xml:space="preserve"> Note </w:t>
      </w:r>
      <w:r w:rsidRPr="00524FA2">
        <w:t xml:space="preserve">that </w:t>
      </w:r>
      <w:r>
        <w:t>T</w:t>
      </w:r>
      <w:r w:rsidRPr="00524FA2">
        <w:t>able 3 is not based on synthetic indicators used in the previous sections. To have an exact match with macro</w:t>
      </w:r>
      <w:r>
        <w:t>-</w:t>
      </w:r>
      <w:r w:rsidRPr="00524FA2">
        <w:t>level measures, only business indicators which are identical with macro</w:t>
      </w:r>
      <w:r>
        <w:t>-</w:t>
      </w:r>
      <w:r w:rsidRPr="00524FA2">
        <w:t xml:space="preserve">level ones have been counted. Similar but not identical indicators have been discarded. For instance, </w:t>
      </w:r>
      <w:r>
        <w:t>with respect to</w:t>
      </w:r>
      <w:r w:rsidRPr="00524FA2">
        <w:t xml:space="preserve"> targets on the reduction </w:t>
      </w:r>
      <w:r>
        <w:t xml:space="preserve">of the </w:t>
      </w:r>
      <w:r w:rsidRPr="00524FA2">
        <w:t xml:space="preserve">number of accidents at work, </w:t>
      </w:r>
      <w:r>
        <w:t>no such target</w:t>
      </w:r>
      <w:r w:rsidRPr="00524FA2">
        <w:t xml:space="preserve"> has been counted because the severity of accidents is not the number of accident</w:t>
      </w:r>
      <w:r>
        <w:t>s at work</w:t>
      </w:r>
      <w:r w:rsidRPr="00524FA2">
        <w:t xml:space="preserve">, and only the latter is measured at the macro level. Table 3 thus reports only targets for business indicators identical </w:t>
      </w:r>
      <w:r>
        <w:t>to</w:t>
      </w:r>
      <w:r w:rsidRPr="00524FA2">
        <w:t xml:space="preserve"> the macro measures. </w:t>
      </w:r>
      <w:r>
        <w:t>A</w:t>
      </w:r>
      <w:r w:rsidRPr="00524FA2">
        <w:t xml:space="preserve"> broader picture of all targets </w:t>
      </w:r>
      <w:r>
        <w:t>can be found in</w:t>
      </w:r>
      <w:r w:rsidRPr="00524FA2">
        <w:t xml:space="preserve"> Table 5 in Appendix, which accounts for targets using synthetic indicators </w:t>
      </w:r>
      <w:r>
        <w:t>computed as described in the methodology section</w:t>
      </w:r>
      <w:r w:rsidRPr="00524FA2">
        <w:t>.</w:t>
      </w:r>
    </w:p>
  </w:footnote>
  <w:footnote w:id="21">
    <w:p w14:paraId="32429492" w14:textId="77777777" w:rsidR="0000351E" w:rsidRPr="006F28D2" w:rsidRDefault="0000351E" w:rsidP="00DE659D">
      <w:pPr>
        <w:pStyle w:val="Notedebasdepage"/>
        <w:rPr>
          <w:lang w:val="hu-HU"/>
        </w:rPr>
      </w:pPr>
      <w:r>
        <w:rPr>
          <w:rStyle w:val="Appelnotedebasdep"/>
        </w:rPr>
        <w:footnoteRef/>
      </w:r>
      <w:r>
        <w:t xml:space="preserve"> There is a slight difference between these indicators at the business and the national level. At the macro level, the deflator </w:t>
      </w:r>
      <w:r w:rsidRPr="006F28D2">
        <w:t>refer</w:t>
      </w:r>
      <w:r>
        <w:t>s</w:t>
      </w:r>
      <w:r w:rsidRPr="006F28D2">
        <w:t xml:space="preserve"> to national production</w:t>
      </w:r>
      <w:r>
        <w:t xml:space="preserve">, while at the business level, it refers to </w:t>
      </w:r>
      <w:r w:rsidRPr="006F28D2">
        <w:t>sales.</w:t>
      </w:r>
      <w:r>
        <w:t xml:space="preserve"> </w:t>
      </w:r>
    </w:p>
  </w:footnote>
  <w:footnote w:id="22">
    <w:p w14:paraId="3F4A76B6" w14:textId="77777777" w:rsidR="0000351E" w:rsidRPr="004D6C65" w:rsidRDefault="0000351E" w:rsidP="00DE659D">
      <w:pPr>
        <w:pStyle w:val="Notedebasdepage"/>
      </w:pPr>
      <w:r>
        <w:rPr>
          <w:rStyle w:val="Appelnotedebasdep"/>
        </w:rPr>
        <w:footnoteRef/>
      </w:r>
      <w:r>
        <w:t xml:space="preserve"> </w:t>
      </w:r>
      <w:r w:rsidRPr="00A54050">
        <w:t>Belgian Bulletin of Acts</w:t>
      </w:r>
      <w:r w:rsidRPr="00FA445C">
        <w:t>, 08/10/2013</w:t>
      </w:r>
    </w:p>
  </w:footnote>
  <w:footnote w:id="23">
    <w:p w14:paraId="26B8FD82" w14:textId="77777777" w:rsidR="0000351E" w:rsidRPr="004D6C65" w:rsidRDefault="0000351E" w:rsidP="00DE659D">
      <w:pPr>
        <w:pStyle w:val="Notedebasdepage"/>
      </w:pPr>
      <w:r>
        <w:rPr>
          <w:rStyle w:val="Appelnotedebasdep"/>
        </w:rPr>
        <w:footnoteRef/>
      </w:r>
      <w:r>
        <w:t xml:space="preserve"> </w:t>
      </w:r>
      <w:r w:rsidRPr="00A54050">
        <w:t>Official Journal of the European Union</w:t>
      </w:r>
      <w:r w:rsidRPr="00566B1E">
        <w:t>, 19/06/2018</w:t>
      </w:r>
    </w:p>
  </w:footnote>
  <w:footnote w:id="24">
    <w:p w14:paraId="21E23274" w14:textId="77777777" w:rsidR="0000351E" w:rsidRDefault="0000351E" w:rsidP="000C245C">
      <w:pPr>
        <w:pStyle w:val="Notedebasdepage"/>
      </w:pPr>
      <w:r w:rsidRPr="00273C11">
        <w:rPr>
          <w:rStyle w:val="Caracteresdenotaalpie"/>
          <w:rFonts w:ascii="Times New Roman" w:hAnsi="Times New Roman" w:cs="Times New Roman"/>
          <w:vertAlign w:val="superscript"/>
        </w:rPr>
        <w:footnoteRef/>
      </w:r>
      <w:r>
        <w:rPr>
          <w:rStyle w:val="Caracteresdenotaalpie"/>
        </w:rPr>
        <w:t xml:space="preserve"> </w:t>
      </w:r>
      <w:r>
        <w:t xml:space="preserve">Aggregated using the geometric average of the eight categories, as suggested by </w:t>
      </w:r>
      <w:proofErr w:type="spellStart"/>
      <w:r>
        <w:t>Saisana</w:t>
      </w:r>
      <w:proofErr w:type="spellEnd"/>
      <w:r>
        <w:t xml:space="preserve"> &amp; </w:t>
      </w:r>
      <w:proofErr w:type="spellStart"/>
      <w:r>
        <w:t>Philippas</w:t>
      </w:r>
      <w:proofErr w:type="spellEnd"/>
      <w:r>
        <w:t xml:space="preserve"> (2012).</w:t>
      </w:r>
    </w:p>
  </w:footnote>
  <w:footnote w:id="25">
    <w:p w14:paraId="7DB657E4" w14:textId="77777777" w:rsidR="0000351E" w:rsidRDefault="0000351E" w:rsidP="000C245C">
      <w:pPr>
        <w:pStyle w:val="Notedebasdepage"/>
      </w:pPr>
      <w:r w:rsidRPr="00273C11">
        <w:rPr>
          <w:rStyle w:val="Caracteresdenotaalpie"/>
          <w:rFonts w:ascii="Times New Roman" w:hAnsi="Times New Roman" w:cs="Times New Roman"/>
          <w:vertAlign w:val="superscript"/>
        </w:rPr>
        <w:footnoteRef/>
      </w:r>
      <w:r>
        <w:t xml:space="preserve"> The year the data was collected is heterogeneous for most of the indicators. </w:t>
      </w:r>
    </w:p>
  </w:footnote>
  <w:footnote w:id="26">
    <w:p w14:paraId="788C3139" w14:textId="77777777" w:rsidR="0000351E" w:rsidRPr="004E2E7E" w:rsidRDefault="0000351E" w:rsidP="00903E4A">
      <w:pPr>
        <w:pStyle w:val="Notedebasdepage"/>
        <w:rPr>
          <w:rFonts w:cs="Times New Roman"/>
        </w:rPr>
      </w:pPr>
      <w:r w:rsidRPr="00273C11">
        <w:rPr>
          <w:rStyle w:val="Appelnotedebasdep"/>
          <w:rFonts w:cs="Times New Roman"/>
        </w:rPr>
        <w:footnoteRef/>
      </w:r>
      <w:r>
        <w:t xml:space="preserve"> </w:t>
      </w:r>
      <w:r w:rsidRPr="005F38AA">
        <w:rPr>
          <w:rFonts w:cs="Times New Roman"/>
        </w:rPr>
        <w:t>D</w:t>
      </w:r>
      <w:r w:rsidRPr="004E2E7E">
        <w:rPr>
          <w:rFonts w:cs="Times New Roman"/>
        </w:rPr>
        <w:t xml:space="preserve">etails </w:t>
      </w:r>
      <w:r>
        <w:rPr>
          <w:rFonts w:cs="Times New Roman"/>
        </w:rPr>
        <w:t>can be found</w:t>
      </w:r>
      <w:r w:rsidRPr="004E2E7E">
        <w:rPr>
          <w:rFonts w:cs="Times New Roman"/>
        </w:rPr>
        <w:t xml:space="preserve"> in the section 5.3</w:t>
      </w:r>
    </w:p>
  </w:footnote>
  <w:footnote w:id="27">
    <w:p w14:paraId="34E42AA7"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t xml:space="preserve"> </w:t>
      </w:r>
      <w:proofErr w:type="spellStart"/>
      <w:r>
        <w:t>Haq</w:t>
      </w:r>
      <w:proofErr w:type="spellEnd"/>
      <w:r>
        <w:t xml:space="preserve"> was former Pakistan’s chief economist while Sen and Desai were respectively professors at Harvard and LSE.</w:t>
      </w:r>
    </w:p>
  </w:footnote>
  <w:footnote w:id="28">
    <w:p w14:paraId="30452B20" w14:textId="77777777" w:rsidR="0000351E" w:rsidRDefault="0000351E" w:rsidP="000C245C">
      <w:pPr>
        <w:pStyle w:val="Notedebasdepage"/>
      </w:pPr>
      <w:r w:rsidRPr="00273C11">
        <w:rPr>
          <w:rStyle w:val="Caracteresdenotaalpie"/>
          <w:rFonts w:ascii="Times New Roman" w:hAnsi="Times New Roman" w:cs="Times New Roman"/>
          <w:vertAlign w:val="superscript"/>
        </w:rPr>
        <w:footnoteRef/>
      </w:r>
      <w:r>
        <w:t xml:space="preserve"> No fewer than ten members of Harvard Business School, including Michael Porter, contributed to the SPI, but so did a large number of academics from other institutions, including Scott Stern from MIT, and </w:t>
      </w:r>
      <w:proofErr w:type="spellStart"/>
      <w:r>
        <w:t>Ngaire</w:t>
      </w:r>
      <w:proofErr w:type="spellEnd"/>
      <w:r>
        <w:t xml:space="preserve"> Woods from Oxford University.</w:t>
      </w:r>
    </w:p>
  </w:footnote>
  <w:footnote w:id="29">
    <w:p w14:paraId="68943806" w14:textId="77777777" w:rsidR="0000351E" w:rsidRPr="00A16AAC" w:rsidRDefault="0000351E" w:rsidP="000C245C">
      <w:pPr>
        <w:pStyle w:val="Notedebasdepage"/>
      </w:pPr>
      <w:r w:rsidRPr="00A16AAC">
        <w:rPr>
          <w:rStyle w:val="Caracteresdenotaalpie"/>
          <w:rFonts w:ascii="Times New Roman" w:hAnsi="Times New Roman" w:cs="Times New Roman"/>
          <w:vertAlign w:val="superscript"/>
        </w:rPr>
        <w:footnoteRef/>
      </w:r>
      <w:r w:rsidRPr="00A16AAC">
        <w:t xml:space="preserve"> GDP’s ranking comes from World Bank (2015). Due to holes in data, several countries in GDP’s top10 (Luxembourg, Qatar…) are absent from the table, because they have not been calculated for all beyond GDP indicators under consideration.</w:t>
      </w:r>
    </w:p>
  </w:footnote>
  <w:footnote w:id="30">
    <w:p w14:paraId="19363060" w14:textId="77777777" w:rsidR="0000351E" w:rsidRPr="00A16AAC" w:rsidRDefault="0000351E" w:rsidP="000C245C">
      <w:pPr>
        <w:pStyle w:val="Notedebasdepage"/>
      </w:pPr>
      <w:r w:rsidRPr="00A16AAC">
        <w:rPr>
          <w:rStyle w:val="Caracteresdenotaalpie"/>
          <w:rFonts w:ascii="Times New Roman" w:hAnsi="Times New Roman" w:cs="Times New Roman"/>
          <w:vertAlign w:val="superscript"/>
        </w:rPr>
        <w:footnoteRef/>
      </w:r>
      <w:r w:rsidRPr="00A16AAC">
        <w:t xml:space="preserve"> The</w:t>
      </w:r>
      <w:r>
        <w:t xml:space="preserve"> divergence in average rank in respect to GDP shows if the position of a country is sensitive to the use of Beyond GDP indicator instead of GDP. If it is close to 0, it means that the country’s relative economic performance (GDP rank) and social and environmental performances (Beyond GDP rank) are similar. Mean divergence by country is the mean of the divergences of each Beyond GDP indicator. </w:t>
      </w:r>
    </w:p>
  </w:footnote>
  <w:footnote w:id="31">
    <w:p w14:paraId="4EEA7F75" w14:textId="77777777" w:rsidR="0000351E" w:rsidRDefault="0000351E" w:rsidP="000C245C">
      <w:pPr>
        <w:pStyle w:val="Notedebasdepage"/>
      </w:pPr>
      <w:r w:rsidRPr="00A16AAC">
        <w:rPr>
          <w:vertAlign w:val="superscript"/>
        </w:rPr>
        <w:footnoteRef/>
      </w:r>
      <w:r>
        <w:t xml:space="preserve"> Social democratic: Denmark, Finland, Norway, Sweden; Conservative corporatist: Austria, Belgium, France, Germany, Italy, Spain, Netherlands, Portugal; Liberal: Australia, Canada, Ireland, UK, USA.</w:t>
      </w:r>
    </w:p>
  </w:footnote>
  <w:footnote w:id="32">
    <w:p w14:paraId="15288845" w14:textId="77777777" w:rsidR="0000351E" w:rsidRDefault="0000351E" w:rsidP="000C245C">
      <w:pPr>
        <w:pStyle w:val="Notedebasdepage"/>
      </w:pPr>
      <w:r w:rsidRPr="00A16AAC">
        <w:rPr>
          <w:vertAlign w:val="superscript"/>
        </w:rPr>
        <w:footnoteRef/>
      </w:r>
      <w:r w:rsidRPr="00A16AAC">
        <w:rPr>
          <w:vertAlign w:val="superscript"/>
        </w:rPr>
        <w:t xml:space="preserve"> </w:t>
      </w:r>
      <w:r>
        <w:t>Using Mann Whitney tests, it appears that there is a significant difference between the mean rank of GDP and that of the HPI (for OECD, non-OECD, liberal and conservative corporatist countries, p-value &lt; 0,05) and the SSI (OECD, liberal and conservative corporatist countries, p-value &lt; 0,05), but no significant difference with the HDI, SPI, GWBI and QoL indicators.</w:t>
      </w:r>
    </w:p>
  </w:footnote>
  <w:footnote w:id="33">
    <w:p w14:paraId="4F006D99"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rPr>
          <w:rStyle w:val="Caracteresdenotaalpie"/>
          <w:rFonts w:ascii="Times New Roman" w:hAnsi="Times New Roman" w:cs="Times New Roman"/>
          <w:vertAlign w:val="superscript"/>
        </w:rPr>
        <w:t xml:space="preserve"> </w:t>
      </w:r>
      <w:r>
        <w:t>Probably because it lays heavy emphasis on formal economic freedoms.</w:t>
      </w:r>
    </w:p>
  </w:footnote>
  <w:footnote w:id="34">
    <w:p w14:paraId="5E7958B4"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rPr>
          <w:rStyle w:val="Caracteresdenotaalpie"/>
        </w:rPr>
        <w:t xml:space="preserve"> </w:t>
      </w:r>
      <w:r>
        <w:t>Two things should be noted here: on the one hand, the positive correlation between GDP and numerous variables approaches zero beyond a certain level of revenue (Wilkinson and Pickett, 2009). On the other hand, these indicators do not provide information about the conjoined evolution of the variables and GDP, nor a possible relationship of causality between the two, or at least not to such an extent (Easterly, 1999).</w:t>
      </w:r>
    </w:p>
  </w:footnote>
  <w:footnote w:id="35">
    <w:p w14:paraId="704CCE39" w14:textId="77777777" w:rsidR="0000351E" w:rsidRPr="00A16AAC" w:rsidRDefault="0000351E" w:rsidP="000C245C">
      <w:pPr>
        <w:pStyle w:val="Notedebasdepage"/>
      </w:pPr>
      <w:r w:rsidRPr="00A16AAC">
        <w:rPr>
          <w:rStyle w:val="Caracteresdenotaalpie"/>
          <w:rFonts w:ascii="Times New Roman" w:hAnsi="Times New Roman" w:cs="Times New Roman"/>
          <w:vertAlign w:val="superscript"/>
        </w:rPr>
        <w:footnoteRef/>
      </w:r>
      <w:r w:rsidRPr="00A16AAC">
        <w:t xml:space="preserve"> Income inequality or inequalities in other variables (</w:t>
      </w:r>
      <w:r w:rsidRPr="00A16AAC">
        <w:rPr>
          <w:i/>
        </w:rPr>
        <w:t>e.g.</w:t>
      </w:r>
      <w:r w:rsidRPr="00A16AAC">
        <w:t xml:space="preserve"> life expectancy), in the case of the HPI and the SPI. </w:t>
      </w:r>
    </w:p>
  </w:footnote>
  <w:footnote w:id="36">
    <w:p w14:paraId="4D9062EF"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rsidRPr="00A16AAC">
        <w:t xml:space="preserve"> The aggregation</w:t>
      </w:r>
      <w:r>
        <w:t xml:space="preserve"> process of variables in a single numeral sometimes modifies their weight. For instance, using geometric mean attributes a different weight to variables which show performances far from the mean.</w:t>
      </w:r>
    </w:p>
  </w:footnote>
  <w:footnote w:id="37">
    <w:p w14:paraId="373038FA"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t xml:space="preserve"> Using geometric mean consists in taking the product of each variable’s score (not the sum) and then taking a square root (for two variables), cube root (for three variables) etc. It is the n</w:t>
      </w:r>
      <w:r>
        <w:rPr>
          <w:vertAlign w:val="superscript"/>
        </w:rPr>
        <w:t>th</w:t>
      </w:r>
      <w:r>
        <w:t xml:space="preserve"> root of the product of n numbers.</w:t>
      </w:r>
    </w:p>
  </w:footnote>
  <w:footnote w:id="38">
    <w:p w14:paraId="5006939B" w14:textId="77777777" w:rsidR="0000351E" w:rsidRDefault="0000351E" w:rsidP="000C245C">
      <w:pPr>
        <w:pStyle w:val="Notedebasdepage"/>
      </w:pPr>
      <w:r w:rsidRPr="00A16AAC">
        <w:rPr>
          <w:rStyle w:val="Caracteresdenotaalpie"/>
          <w:rFonts w:ascii="Times New Roman" w:hAnsi="Times New Roman" w:cs="Times New Roman"/>
          <w:vertAlign w:val="superscript"/>
        </w:rPr>
        <w:footnoteRef/>
      </w:r>
      <w:r>
        <w:t xml:space="preserve"> This analysis was limited to six Beyond GDP indicators. Others could be added in order to test the external validity of the above claim. Among the other indicators calculated for many countries but not satisfying all the criteria of selection, the ranking produced by the Multi Poverty Index 2016 (published by the UNDP) is 81% correlated with GDP. The Index of Economic Well Being 2014 ranking (published by the academic </w:t>
      </w:r>
      <w:proofErr w:type="spellStart"/>
      <w:r>
        <w:t>Osberg</w:t>
      </w:r>
      <w:proofErr w:type="spellEnd"/>
      <w:r>
        <w:t>) is 38% correlated with GDP. Considering that the MPI may be considered as being initiated by powerful stakeholders, the analysis is thereby reinforced. However, it is worth recalling that the indicators’ divergence from GDP has only been observed in cross section. An analysis of time series could show that a close correlation between rankings by GDP and by an alternative indicator in a specific year might be just temporary. Hence, it would be necessary to compare trends (the two indicators over time), in order to ascertain whether they are converging or diverging compared to GDP. The surroundings of the publication of the index could be studied too. For instance, Human Development Reports that included HDI had a large impact on some countries’ policies (</w:t>
      </w:r>
      <w:proofErr w:type="spellStart"/>
      <w:r>
        <w:t>Haq</w:t>
      </w:r>
      <w:proofErr w:type="spellEnd"/>
      <w:r>
        <w:t xml:space="preserve">, 1995). </w:t>
      </w:r>
    </w:p>
  </w:footnote>
  <w:footnote w:id="39">
    <w:p w14:paraId="27597169" w14:textId="77777777" w:rsidR="0000351E" w:rsidRPr="004E28D5" w:rsidRDefault="0000351E" w:rsidP="00DE659D">
      <w:pPr>
        <w:pStyle w:val="Notedebasdepage"/>
        <w:rPr>
          <w:lang w:val="fr-BE"/>
        </w:rPr>
      </w:pPr>
      <w:r>
        <w:rPr>
          <w:rStyle w:val="Appelnotedebasdep"/>
        </w:rPr>
        <w:footnoteRef/>
      </w:r>
      <w:r w:rsidRPr="004E28D5">
        <w:rPr>
          <w:lang w:val="fr-BE"/>
        </w:rPr>
        <w:t xml:space="preserve"> A cet égard il peut sembler étonnant que l’ONU soit l’organe qui ait avalisé les </w:t>
      </w:r>
      <w:r>
        <w:rPr>
          <w:lang w:val="fr-BE"/>
        </w:rPr>
        <w:t>ODD</w:t>
      </w:r>
      <w:r w:rsidRPr="004E28D5">
        <w:rPr>
          <w:lang w:val="fr-BE"/>
        </w:rPr>
        <w:t xml:space="preserve">, dont le contenu semble faire référence à une vision de la transition plus ambitieuse. Il convient toutefois de mentionner le fait que les </w:t>
      </w:r>
      <w:r>
        <w:rPr>
          <w:lang w:val="fr-BE"/>
        </w:rPr>
        <w:t>ODD</w:t>
      </w:r>
      <w:r w:rsidRPr="004E28D5">
        <w:rPr>
          <w:lang w:val="fr-BE"/>
        </w:rPr>
        <w:t xml:space="preserve"> ne cons</w:t>
      </w:r>
      <w:r>
        <w:rPr>
          <w:lang w:val="fr-BE"/>
        </w:rPr>
        <w:t>t</w:t>
      </w:r>
      <w:r w:rsidRPr="004E28D5">
        <w:rPr>
          <w:lang w:val="fr-BE"/>
        </w:rPr>
        <w:t>ituent pas un indicateur synthétique (et n’auraient probablement pas été acceptés tels quels s’ils pouvaient aboutir à un classement) et que leur caractère n’est qu’indicatif.</w:t>
      </w:r>
      <w:r>
        <w:rPr>
          <w:lang w:val="fr-BE"/>
        </w:rPr>
        <w:t xml:space="preserve"> Les enjeux politiques qui les entourent se manifestent essentiellement au moment de leur implémentation, ce qui s’opère loin du niveau onusien.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32C36" w14:textId="2E2ADDE9" w:rsidR="0000351E" w:rsidRPr="002B0AD1" w:rsidRDefault="0000351E" w:rsidP="002B0AD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45849923"/>
      <w:docPartObj>
        <w:docPartGallery w:val="Page Numbers (Top of Page)"/>
        <w:docPartUnique/>
      </w:docPartObj>
    </w:sdtPr>
    <w:sdtContent>
      <w:p w14:paraId="2CA725AA" w14:textId="364B71A5" w:rsidR="00FE6DF0" w:rsidRDefault="00FE6DF0">
        <w:pPr>
          <w:pStyle w:val="En-tte"/>
          <w:jc w:val="center"/>
        </w:pPr>
        <w:r>
          <w:fldChar w:fldCharType="begin"/>
        </w:r>
        <w:r>
          <w:instrText>PAGE   \* MERGEFORMAT</w:instrText>
        </w:r>
        <w:r>
          <w:fldChar w:fldCharType="separate"/>
        </w:r>
        <w:r>
          <w:rPr>
            <w:lang w:val="fr-FR"/>
          </w:rPr>
          <w:t>2</w:t>
        </w:r>
        <w:r>
          <w:fldChar w:fldCharType="end"/>
        </w:r>
      </w:p>
    </w:sdtContent>
  </w:sdt>
  <w:p w14:paraId="72DA41E3" w14:textId="77777777" w:rsidR="0000351E" w:rsidRDefault="0000351E">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5802362"/>
      <w:docPartObj>
        <w:docPartGallery w:val="Page Numbers (Top of Page)"/>
        <w:docPartUnique/>
      </w:docPartObj>
    </w:sdtPr>
    <w:sdtContent>
      <w:p w14:paraId="60501E98" w14:textId="6A2782C5" w:rsidR="0000351E" w:rsidRDefault="0000351E">
        <w:pPr>
          <w:pStyle w:val="En-tte"/>
          <w:jc w:val="right"/>
        </w:pPr>
        <w:r>
          <w:fldChar w:fldCharType="begin"/>
        </w:r>
        <w:r>
          <w:instrText>PAGE   \* MERGEFORMAT</w:instrText>
        </w:r>
        <w:r>
          <w:fldChar w:fldCharType="separate"/>
        </w:r>
        <w:r>
          <w:rPr>
            <w:lang w:val="fr-FR"/>
          </w:rPr>
          <w:t>2</w:t>
        </w:r>
        <w:r>
          <w:fldChar w:fldCharType="end"/>
        </w:r>
      </w:p>
    </w:sdtContent>
  </w:sdt>
  <w:p w14:paraId="74C3DD8F" w14:textId="77777777" w:rsidR="0000351E" w:rsidRPr="002B0AD1" w:rsidRDefault="0000351E" w:rsidP="002B0AD1">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8A2539" w14:textId="46C01640" w:rsidR="0000351E" w:rsidRPr="002B0AD1" w:rsidRDefault="0000351E" w:rsidP="002B0AD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D232E"/>
    <w:multiLevelType w:val="hybridMultilevel"/>
    <w:tmpl w:val="D12E8A1C"/>
    <w:lvl w:ilvl="0" w:tplc="C0284D1E">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79516DD"/>
    <w:multiLevelType w:val="hybridMultilevel"/>
    <w:tmpl w:val="D6364DE2"/>
    <w:lvl w:ilvl="0" w:tplc="35882138">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2" w15:restartNumberingAfterBreak="0">
    <w:nsid w:val="13FD0EA1"/>
    <w:multiLevelType w:val="hybridMultilevel"/>
    <w:tmpl w:val="244E2D04"/>
    <w:lvl w:ilvl="0" w:tplc="112072EC">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14386DFD"/>
    <w:multiLevelType w:val="hybridMultilevel"/>
    <w:tmpl w:val="5582E3E6"/>
    <w:lvl w:ilvl="0" w:tplc="939AE186">
      <w:start w:val="1"/>
      <w:numFmt w:val="decimal"/>
      <w:lvlText w:val="(%1)"/>
      <w:lvlJc w:val="left"/>
      <w:pPr>
        <w:ind w:left="587" w:hanging="360"/>
      </w:pPr>
      <w:rPr>
        <w:rFonts w:hint="default"/>
      </w:rPr>
    </w:lvl>
    <w:lvl w:ilvl="1" w:tplc="080C0019" w:tentative="1">
      <w:start w:val="1"/>
      <w:numFmt w:val="lowerLetter"/>
      <w:lvlText w:val="%2."/>
      <w:lvlJc w:val="left"/>
      <w:pPr>
        <w:ind w:left="1307" w:hanging="360"/>
      </w:pPr>
    </w:lvl>
    <w:lvl w:ilvl="2" w:tplc="080C001B" w:tentative="1">
      <w:start w:val="1"/>
      <w:numFmt w:val="lowerRoman"/>
      <w:lvlText w:val="%3."/>
      <w:lvlJc w:val="right"/>
      <w:pPr>
        <w:ind w:left="2027" w:hanging="180"/>
      </w:pPr>
    </w:lvl>
    <w:lvl w:ilvl="3" w:tplc="080C000F" w:tentative="1">
      <w:start w:val="1"/>
      <w:numFmt w:val="decimal"/>
      <w:lvlText w:val="%4."/>
      <w:lvlJc w:val="left"/>
      <w:pPr>
        <w:ind w:left="2747" w:hanging="360"/>
      </w:pPr>
    </w:lvl>
    <w:lvl w:ilvl="4" w:tplc="080C0019" w:tentative="1">
      <w:start w:val="1"/>
      <w:numFmt w:val="lowerLetter"/>
      <w:lvlText w:val="%5."/>
      <w:lvlJc w:val="left"/>
      <w:pPr>
        <w:ind w:left="3467" w:hanging="360"/>
      </w:pPr>
    </w:lvl>
    <w:lvl w:ilvl="5" w:tplc="080C001B" w:tentative="1">
      <w:start w:val="1"/>
      <w:numFmt w:val="lowerRoman"/>
      <w:lvlText w:val="%6."/>
      <w:lvlJc w:val="right"/>
      <w:pPr>
        <w:ind w:left="4187" w:hanging="180"/>
      </w:pPr>
    </w:lvl>
    <w:lvl w:ilvl="6" w:tplc="080C000F" w:tentative="1">
      <w:start w:val="1"/>
      <w:numFmt w:val="decimal"/>
      <w:lvlText w:val="%7."/>
      <w:lvlJc w:val="left"/>
      <w:pPr>
        <w:ind w:left="4907" w:hanging="360"/>
      </w:pPr>
    </w:lvl>
    <w:lvl w:ilvl="7" w:tplc="080C0019" w:tentative="1">
      <w:start w:val="1"/>
      <w:numFmt w:val="lowerLetter"/>
      <w:lvlText w:val="%8."/>
      <w:lvlJc w:val="left"/>
      <w:pPr>
        <w:ind w:left="5627" w:hanging="360"/>
      </w:pPr>
    </w:lvl>
    <w:lvl w:ilvl="8" w:tplc="080C001B" w:tentative="1">
      <w:start w:val="1"/>
      <w:numFmt w:val="lowerRoman"/>
      <w:lvlText w:val="%9."/>
      <w:lvlJc w:val="right"/>
      <w:pPr>
        <w:ind w:left="6347" w:hanging="180"/>
      </w:pPr>
    </w:lvl>
  </w:abstractNum>
  <w:abstractNum w:abstractNumId="4" w15:restartNumberingAfterBreak="0">
    <w:nsid w:val="1AE90E85"/>
    <w:multiLevelType w:val="hybridMultilevel"/>
    <w:tmpl w:val="819E2628"/>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F9956BC"/>
    <w:multiLevelType w:val="hybridMultilevel"/>
    <w:tmpl w:val="B978C630"/>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ECF6E75"/>
    <w:multiLevelType w:val="hybridMultilevel"/>
    <w:tmpl w:val="866C72E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300327A5"/>
    <w:multiLevelType w:val="multilevel"/>
    <w:tmpl w:val="40F8F0B0"/>
    <w:lvl w:ilvl="0">
      <w:start w:val="1"/>
      <w:numFmt w:val="decimal"/>
      <w:pStyle w:val="Titre2"/>
      <w:lvlText w:val="%1."/>
      <w:lvlJc w:val="left"/>
      <w:pPr>
        <w:ind w:left="360" w:hanging="360"/>
      </w:pPr>
    </w:lvl>
    <w:lvl w:ilvl="1">
      <w:start w:val="1"/>
      <w:numFmt w:val="decimal"/>
      <w:pStyle w:val="Titre3"/>
      <w:lvlText w:val="%1.%2."/>
      <w:lvlJc w:val="left"/>
      <w:pPr>
        <w:ind w:left="792" w:hanging="432"/>
      </w:pPr>
    </w:lvl>
    <w:lvl w:ilvl="2">
      <w:start w:val="1"/>
      <w:numFmt w:val="decimal"/>
      <w:pStyle w:val="Titre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0212DA6"/>
    <w:multiLevelType w:val="hybridMultilevel"/>
    <w:tmpl w:val="45BC8ABE"/>
    <w:lvl w:ilvl="0" w:tplc="14B85D36">
      <w:start w:val="1"/>
      <w:numFmt w:val="decimal"/>
      <w:lvlText w:val="(%1)"/>
      <w:lvlJc w:val="left"/>
      <w:pPr>
        <w:ind w:left="587" w:hanging="360"/>
      </w:pPr>
      <w:rPr>
        <w:rFonts w:hint="default"/>
      </w:rPr>
    </w:lvl>
    <w:lvl w:ilvl="1" w:tplc="080C0019" w:tentative="1">
      <w:start w:val="1"/>
      <w:numFmt w:val="lowerLetter"/>
      <w:lvlText w:val="%2."/>
      <w:lvlJc w:val="left"/>
      <w:pPr>
        <w:ind w:left="1307" w:hanging="360"/>
      </w:pPr>
    </w:lvl>
    <w:lvl w:ilvl="2" w:tplc="080C001B" w:tentative="1">
      <w:start w:val="1"/>
      <w:numFmt w:val="lowerRoman"/>
      <w:lvlText w:val="%3."/>
      <w:lvlJc w:val="right"/>
      <w:pPr>
        <w:ind w:left="2027" w:hanging="180"/>
      </w:pPr>
    </w:lvl>
    <w:lvl w:ilvl="3" w:tplc="080C000F" w:tentative="1">
      <w:start w:val="1"/>
      <w:numFmt w:val="decimal"/>
      <w:lvlText w:val="%4."/>
      <w:lvlJc w:val="left"/>
      <w:pPr>
        <w:ind w:left="2747" w:hanging="360"/>
      </w:pPr>
    </w:lvl>
    <w:lvl w:ilvl="4" w:tplc="080C0019" w:tentative="1">
      <w:start w:val="1"/>
      <w:numFmt w:val="lowerLetter"/>
      <w:lvlText w:val="%5."/>
      <w:lvlJc w:val="left"/>
      <w:pPr>
        <w:ind w:left="3467" w:hanging="360"/>
      </w:pPr>
    </w:lvl>
    <w:lvl w:ilvl="5" w:tplc="080C001B" w:tentative="1">
      <w:start w:val="1"/>
      <w:numFmt w:val="lowerRoman"/>
      <w:lvlText w:val="%6."/>
      <w:lvlJc w:val="right"/>
      <w:pPr>
        <w:ind w:left="4187" w:hanging="180"/>
      </w:pPr>
    </w:lvl>
    <w:lvl w:ilvl="6" w:tplc="080C000F" w:tentative="1">
      <w:start w:val="1"/>
      <w:numFmt w:val="decimal"/>
      <w:lvlText w:val="%7."/>
      <w:lvlJc w:val="left"/>
      <w:pPr>
        <w:ind w:left="4907" w:hanging="360"/>
      </w:pPr>
    </w:lvl>
    <w:lvl w:ilvl="7" w:tplc="080C0019" w:tentative="1">
      <w:start w:val="1"/>
      <w:numFmt w:val="lowerLetter"/>
      <w:lvlText w:val="%8."/>
      <w:lvlJc w:val="left"/>
      <w:pPr>
        <w:ind w:left="5627" w:hanging="360"/>
      </w:pPr>
    </w:lvl>
    <w:lvl w:ilvl="8" w:tplc="080C001B" w:tentative="1">
      <w:start w:val="1"/>
      <w:numFmt w:val="lowerRoman"/>
      <w:lvlText w:val="%9."/>
      <w:lvlJc w:val="right"/>
      <w:pPr>
        <w:ind w:left="6347" w:hanging="180"/>
      </w:pPr>
    </w:lvl>
  </w:abstractNum>
  <w:abstractNum w:abstractNumId="9" w15:restartNumberingAfterBreak="0">
    <w:nsid w:val="334D3B6F"/>
    <w:multiLevelType w:val="hybridMultilevel"/>
    <w:tmpl w:val="378A358C"/>
    <w:lvl w:ilvl="0" w:tplc="EE70C63A">
      <w:start w:val="1"/>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3ABC6EE5"/>
    <w:multiLevelType w:val="hybridMultilevel"/>
    <w:tmpl w:val="9D2E70B6"/>
    <w:lvl w:ilvl="0" w:tplc="2EB67D84">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3D8B4BE5"/>
    <w:multiLevelType w:val="hybridMultilevel"/>
    <w:tmpl w:val="E6DAF3E6"/>
    <w:lvl w:ilvl="0" w:tplc="0262DD50">
      <w:numFmt w:val="bullet"/>
      <w:lvlText w:val="-"/>
      <w:lvlJc w:val="left"/>
      <w:pPr>
        <w:ind w:left="720" w:hanging="360"/>
      </w:pPr>
      <w:rPr>
        <w:rFonts w:ascii="Calibri" w:eastAsia="Calibr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42806D81"/>
    <w:multiLevelType w:val="hybridMultilevel"/>
    <w:tmpl w:val="6E5C1E2A"/>
    <w:lvl w:ilvl="0" w:tplc="E410C38C">
      <w:start w:val="1"/>
      <w:numFmt w:val="bullet"/>
      <w:lvlText w:val="-"/>
      <w:lvlJc w:val="left"/>
      <w:pPr>
        <w:ind w:left="587" w:hanging="360"/>
      </w:pPr>
      <w:rPr>
        <w:rFonts w:ascii="Times New Roman" w:eastAsia="Times New Roman" w:hAnsi="Times New Roman" w:cs="Times New Roman" w:hint="default"/>
      </w:rPr>
    </w:lvl>
    <w:lvl w:ilvl="1" w:tplc="080C0003" w:tentative="1">
      <w:start w:val="1"/>
      <w:numFmt w:val="bullet"/>
      <w:lvlText w:val="o"/>
      <w:lvlJc w:val="left"/>
      <w:pPr>
        <w:ind w:left="1307" w:hanging="360"/>
      </w:pPr>
      <w:rPr>
        <w:rFonts w:ascii="Courier New" w:hAnsi="Courier New" w:cs="Courier New" w:hint="default"/>
      </w:rPr>
    </w:lvl>
    <w:lvl w:ilvl="2" w:tplc="080C0005" w:tentative="1">
      <w:start w:val="1"/>
      <w:numFmt w:val="bullet"/>
      <w:lvlText w:val=""/>
      <w:lvlJc w:val="left"/>
      <w:pPr>
        <w:ind w:left="2027" w:hanging="360"/>
      </w:pPr>
      <w:rPr>
        <w:rFonts w:ascii="Wingdings" w:hAnsi="Wingdings" w:hint="default"/>
      </w:rPr>
    </w:lvl>
    <w:lvl w:ilvl="3" w:tplc="080C0001" w:tentative="1">
      <w:start w:val="1"/>
      <w:numFmt w:val="bullet"/>
      <w:lvlText w:val=""/>
      <w:lvlJc w:val="left"/>
      <w:pPr>
        <w:ind w:left="2747" w:hanging="360"/>
      </w:pPr>
      <w:rPr>
        <w:rFonts w:ascii="Symbol" w:hAnsi="Symbol" w:hint="default"/>
      </w:rPr>
    </w:lvl>
    <w:lvl w:ilvl="4" w:tplc="080C0003" w:tentative="1">
      <w:start w:val="1"/>
      <w:numFmt w:val="bullet"/>
      <w:lvlText w:val="o"/>
      <w:lvlJc w:val="left"/>
      <w:pPr>
        <w:ind w:left="3467" w:hanging="360"/>
      </w:pPr>
      <w:rPr>
        <w:rFonts w:ascii="Courier New" w:hAnsi="Courier New" w:cs="Courier New" w:hint="default"/>
      </w:rPr>
    </w:lvl>
    <w:lvl w:ilvl="5" w:tplc="080C0005" w:tentative="1">
      <w:start w:val="1"/>
      <w:numFmt w:val="bullet"/>
      <w:lvlText w:val=""/>
      <w:lvlJc w:val="left"/>
      <w:pPr>
        <w:ind w:left="4187" w:hanging="360"/>
      </w:pPr>
      <w:rPr>
        <w:rFonts w:ascii="Wingdings" w:hAnsi="Wingdings" w:hint="default"/>
      </w:rPr>
    </w:lvl>
    <w:lvl w:ilvl="6" w:tplc="080C0001" w:tentative="1">
      <w:start w:val="1"/>
      <w:numFmt w:val="bullet"/>
      <w:lvlText w:val=""/>
      <w:lvlJc w:val="left"/>
      <w:pPr>
        <w:ind w:left="4907" w:hanging="360"/>
      </w:pPr>
      <w:rPr>
        <w:rFonts w:ascii="Symbol" w:hAnsi="Symbol" w:hint="default"/>
      </w:rPr>
    </w:lvl>
    <w:lvl w:ilvl="7" w:tplc="080C0003" w:tentative="1">
      <w:start w:val="1"/>
      <w:numFmt w:val="bullet"/>
      <w:lvlText w:val="o"/>
      <w:lvlJc w:val="left"/>
      <w:pPr>
        <w:ind w:left="5627" w:hanging="360"/>
      </w:pPr>
      <w:rPr>
        <w:rFonts w:ascii="Courier New" w:hAnsi="Courier New" w:cs="Courier New" w:hint="default"/>
      </w:rPr>
    </w:lvl>
    <w:lvl w:ilvl="8" w:tplc="080C0005" w:tentative="1">
      <w:start w:val="1"/>
      <w:numFmt w:val="bullet"/>
      <w:lvlText w:val=""/>
      <w:lvlJc w:val="left"/>
      <w:pPr>
        <w:ind w:left="6347" w:hanging="360"/>
      </w:pPr>
      <w:rPr>
        <w:rFonts w:ascii="Wingdings" w:hAnsi="Wingdings" w:hint="default"/>
      </w:rPr>
    </w:lvl>
  </w:abstractNum>
  <w:abstractNum w:abstractNumId="13" w15:restartNumberingAfterBreak="0">
    <w:nsid w:val="42834F5B"/>
    <w:multiLevelType w:val="hybridMultilevel"/>
    <w:tmpl w:val="B4C46A84"/>
    <w:lvl w:ilvl="0" w:tplc="CD8020DE">
      <w:start w:val="1"/>
      <w:numFmt w:val="lowerLetter"/>
      <w:lvlText w:val="%1."/>
      <w:lvlJc w:val="left"/>
      <w:pPr>
        <w:ind w:left="1068" w:hanging="360"/>
      </w:pPr>
      <w:rPr>
        <w:rFonts w:hint="default"/>
      </w:rPr>
    </w:lvl>
    <w:lvl w:ilvl="1" w:tplc="080C0019">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14" w15:restartNumberingAfterBreak="0">
    <w:nsid w:val="46C81849"/>
    <w:multiLevelType w:val="hybridMultilevel"/>
    <w:tmpl w:val="DD664BAC"/>
    <w:lvl w:ilvl="0" w:tplc="05002C24">
      <w:start w:val="1"/>
      <w:numFmt w:val="bullet"/>
      <w:lvlText w:val=""/>
      <w:lvlJc w:val="left"/>
      <w:pPr>
        <w:ind w:left="947" w:hanging="360"/>
      </w:pPr>
      <w:rPr>
        <w:rFonts w:ascii="Wingdings" w:eastAsia="Times New Roman" w:hAnsi="Wingdings" w:cs="Times New Roman" w:hint="default"/>
      </w:rPr>
    </w:lvl>
    <w:lvl w:ilvl="1" w:tplc="080C0003" w:tentative="1">
      <w:start w:val="1"/>
      <w:numFmt w:val="bullet"/>
      <w:lvlText w:val="o"/>
      <w:lvlJc w:val="left"/>
      <w:pPr>
        <w:ind w:left="1667" w:hanging="360"/>
      </w:pPr>
      <w:rPr>
        <w:rFonts w:ascii="Courier New" w:hAnsi="Courier New" w:cs="Courier New" w:hint="default"/>
      </w:rPr>
    </w:lvl>
    <w:lvl w:ilvl="2" w:tplc="080C0005" w:tentative="1">
      <w:start w:val="1"/>
      <w:numFmt w:val="bullet"/>
      <w:lvlText w:val=""/>
      <w:lvlJc w:val="left"/>
      <w:pPr>
        <w:ind w:left="2387" w:hanging="360"/>
      </w:pPr>
      <w:rPr>
        <w:rFonts w:ascii="Wingdings" w:hAnsi="Wingdings" w:hint="default"/>
      </w:rPr>
    </w:lvl>
    <w:lvl w:ilvl="3" w:tplc="080C0001" w:tentative="1">
      <w:start w:val="1"/>
      <w:numFmt w:val="bullet"/>
      <w:lvlText w:val=""/>
      <w:lvlJc w:val="left"/>
      <w:pPr>
        <w:ind w:left="3107" w:hanging="360"/>
      </w:pPr>
      <w:rPr>
        <w:rFonts w:ascii="Symbol" w:hAnsi="Symbol" w:hint="default"/>
      </w:rPr>
    </w:lvl>
    <w:lvl w:ilvl="4" w:tplc="080C0003" w:tentative="1">
      <w:start w:val="1"/>
      <w:numFmt w:val="bullet"/>
      <w:lvlText w:val="o"/>
      <w:lvlJc w:val="left"/>
      <w:pPr>
        <w:ind w:left="3827" w:hanging="360"/>
      </w:pPr>
      <w:rPr>
        <w:rFonts w:ascii="Courier New" w:hAnsi="Courier New" w:cs="Courier New" w:hint="default"/>
      </w:rPr>
    </w:lvl>
    <w:lvl w:ilvl="5" w:tplc="080C0005" w:tentative="1">
      <w:start w:val="1"/>
      <w:numFmt w:val="bullet"/>
      <w:lvlText w:val=""/>
      <w:lvlJc w:val="left"/>
      <w:pPr>
        <w:ind w:left="4547" w:hanging="360"/>
      </w:pPr>
      <w:rPr>
        <w:rFonts w:ascii="Wingdings" w:hAnsi="Wingdings" w:hint="default"/>
      </w:rPr>
    </w:lvl>
    <w:lvl w:ilvl="6" w:tplc="080C0001" w:tentative="1">
      <w:start w:val="1"/>
      <w:numFmt w:val="bullet"/>
      <w:lvlText w:val=""/>
      <w:lvlJc w:val="left"/>
      <w:pPr>
        <w:ind w:left="5267" w:hanging="360"/>
      </w:pPr>
      <w:rPr>
        <w:rFonts w:ascii="Symbol" w:hAnsi="Symbol" w:hint="default"/>
      </w:rPr>
    </w:lvl>
    <w:lvl w:ilvl="7" w:tplc="080C0003" w:tentative="1">
      <w:start w:val="1"/>
      <w:numFmt w:val="bullet"/>
      <w:lvlText w:val="o"/>
      <w:lvlJc w:val="left"/>
      <w:pPr>
        <w:ind w:left="5987" w:hanging="360"/>
      </w:pPr>
      <w:rPr>
        <w:rFonts w:ascii="Courier New" w:hAnsi="Courier New" w:cs="Courier New" w:hint="default"/>
      </w:rPr>
    </w:lvl>
    <w:lvl w:ilvl="8" w:tplc="080C0005" w:tentative="1">
      <w:start w:val="1"/>
      <w:numFmt w:val="bullet"/>
      <w:lvlText w:val=""/>
      <w:lvlJc w:val="left"/>
      <w:pPr>
        <w:ind w:left="6707" w:hanging="360"/>
      </w:pPr>
      <w:rPr>
        <w:rFonts w:ascii="Wingdings" w:hAnsi="Wingdings" w:hint="default"/>
      </w:rPr>
    </w:lvl>
  </w:abstractNum>
  <w:abstractNum w:abstractNumId="15" w15:restartNumberingAfterBreak="0">
    <w:nsid w:val="475C53A1"/>
    <w:multiLevelType w:val="hybridMultilevel"/>
    <w:tmpl w:val="7880592A"/>
    <w:lvl w:ilvl="0" w:tplc="324A95C0">
      <w:start w:val="3"/>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16" w15:restartNumberingAfterBreak="0">
    <w:nsid w:val="480D6356"/>
    <w:multiLevelType w:val="hybridMultilevel"/>
    <w:tmpl w:val="F280D860"/>
    <w:lvl w:ilvl="0" w:tplc="F4AACAD6">
      <w:start w:val="2"/>
      <w:numFmt w:val="bullet"/>
      <w:lvlText w:val=""/>
      <w:lvlJc w:val="left"/>
      <w:pPr>
        <w:ind w:left="587" w:hanging="360"/>
      </w:pPr>
      <w:rPr>
        <w:rFonts w:ascii="Wingdings" w:eastAsia="Times New Roman" w:hAnsi="Wingdings" w:cs="Times New Roman" w:hint="default"/>
      </w:rPr>
    </w:lvl>
    <w:lvl w:ilvl="1" w:tplc="080C0003" w:tentative="1">
      <w:start w:val="1"/>
      <w:numFmt w:val="bullet"/>
      <w:lvlText w:val="o"/>
      <w:lvlJc w:val="left"/>
      <w:pPr>
        <w:ind w:left="1307" w:hanging="360"/>
      </w:pPr>
      <w:rPr>
        <w:rFonts w:ascii="Courier New" w:hAnsi="Courier New" w:cs="Courier New" w:hint="default"/>
      </w:rPr>
    </w:lvl>
    <w:lvl w:ilvl="2" w:tplc="080C0005" w:tentative="1">
      <w:start w:val="1"/>
      <w:numFmt w:val="bullet"/>
      <w:lvlText w:val=""/>
      <w:lvlJc w:val="left"/>
      <w:pPr>
        <w:ind w:left="2027" w:hanging="360"/>
      </w:pPr>
      <w:rPr>
        <w:rFonts w:ascii="Wingdings" w:hAnsi="Wingdings" w:hint="default"/>
      </w:rPr>
    </w:lvl>
    <w:lvl w:ilvl="3" w:tplc="080C0001" w:tentative="1">
      <w:start w:val="1"/>
      <w:numFmt w:val="bullet"/>
      <w:lvlText w:val=""/>
      <w:lvlJc w:val="left"/>
      <w:pPr>
        <w:ind w:left="2747" w:hanging="360"/>
      </w:pPr>
      <w:rPr>
        <w:rFonts w:ascii="Symbol" w:hAnsi="Symbol" w:hint="default"/>
      </w:rPr>
    </w:lvl>
    <w:lvl w:ilvl="4" w:tplc="080C0003" w:tentative="1">
      <w:start w:val="1"/>
      <w:numFmt w:val="bullet"/>
      <w:lvlText w:val="o"/>
      <w:lvlJc w:val="left"/>
      <w:pPr>
        <w:ind w:left="3467" w:hanging="360"/>
      </w:pPr>
      <w:rPr>
        <w:rFonts w:ascii="Courier New" w:hAnsi="Courier New" w:cs="Courier New" w:hint="default"/>
      </w:rPr>
    </w:lvl>
    <w:lvl w:ilvl="5" w:tplc="080C0005" w:tentative="1">
      <w:start w:val="1"/>
      <w:numFmt w:val="bullet"/>
      <w:lvlText w:val=""/>
      <w:lvlJc w:val="left"/>
      <w:pPr>
        <w:ind w:left="4187" w:hanging="360"/>
      </w:pPr>
      <w:rPr>
        <w:rFonts w:ascii="Wingdings" w:hAnsi="Wingdings" w:hint="default"/>
      </w:rPr>
    </w:lvl>
    <w:lvl w:ilvl="6" w:tplc="080C0001" w:tentative="1">
      <w:start w:val="1"/>
      <w:numFmt w:val="bullet"/>
      <w:lvlText w:val=""/>
      <w:lvlJc w:val="left"/>
      <w:pPr>
        <w:ind w:left="4907" w:hanging="360"/>
      </w:pPr>
      <w:rPr>
        <w:rFonts w:ascii="Symbol" w:hAnsi="Symbol" w:hint="default"/>
      </w:rPr>
    </w:lvl>
    <w:lvl w:ilvl="7" w:tplc="080C0003" w:tentative="1">
      <w:start w:val="1"/>
      <w:numFmt w:val="bullet"/>
      <w:lvlText w:val="o"/>
      <w:lvlJc w:val="left"/>
      <w:pPr>
        <w:ind w:left="5627" w:hanging="360"/>
      </w:pPr>
      <w:rPr>
        <w:rFonts w:ascii="Courier New" w:hAnsi="Courier New" w:cs="Courier New" w:hint="default"/>
      </w:rPr>
    </w:lvl>
    <w:lvl w:ilvl="8" w:tplc="080C0005" w:tentative="1">
      <w:start w:val="1"/>
      <w:numFmt w:val="bullet"/>
      <w:lvlText w:val=""/>
      <w:lvlJc w:val="left"/>
      <w:pPr>
        <w:ind w:left="6347" w:hanging="360"/>
      </w:pPr>
      <w:rPr>
        <w:rFonts w:ascii="Wingdings" w:hAnsi="Wingdings" w:hint="default"/>
      </w:rPr>
    </w:lvl>
  </w:abstractNum>
  <w:abstractNum w:abstractNumId="17" w15:restartNumberingAfterBreak="0">
    <w:nsid w:val="498F35AB"/>
    <w:multiLevelType w:val="hybridMultilevel"/>
    <w:tmpl w:val="D8B061C4"/>
    <w:lvl w:ilvl="0" w:tplc="BC12A8BC">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4B3B6A68"/>
    <w:multiLevelType w:val="hybridMultilevel"/>
    <w:tmpl w:val="DB1EB154"/>
    <w:lvl w:ilvl="0" w:tplc="265C1486">
      <w:start w:val="3"/>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15:restartNumberingAfterBreak="0">
    <w:nsid w:val="4C632460"/>
    <w:multiLevelType w:val="hybridMultilevel"/>
    <w:tmpl w:val="9EF4605A"/>
    <w:lvl w:ilvl="0" w:tplc="A36C0790">
      <w:start w:val="1"/>
      <w:numFmt w:val="bullet"/>
      <w:lvlText w:val=""/>
      <w:lvlJc w:val="left"/>
      <w:pPr>
        <w:ind w:left="947" w:hanging="360"/>
      </w:pPr>
      <w:rPr>
        <w:rFonts w:ascii="Wingdings" w:eastAsia="Times New Roman" w:hAnsi="Wingdings" w:cs="Times New Roman" w:hint="default"/>
      </w:rPr>
    </w:lvl>
    <w:lvl w:ilvl="1" w:tplc="080C0003" w:tentative="1">
      <w:start w:val="1"/>
      <w:numFmt w:val="bullet"/>
      <w:lvlText w:val="o"/>
      <w:lvlJc w:val="left"/>
      <w:pPr>
        <w:ind w:left="1667" w:hanging="360"/>
      </w:pPr>
      <w:rPr>
        <w:rFonts w:ascii="Courier New" w:hAnsi="Courier New" w:cs="Courier New" w:hint="default"/>
      </w:rPr>
    </w:lvl>
    <w:lvl w:ilvl="2" w:tplc="080C0005" w:tentative="1">
      <w:start w:val="1"/>
      <w:numFmt w:val="bullet"/>
      <w:lvlText w:val=""/>
      <w:lvlJc w:val="left"/>
      <w:pPr>
        <w:ind w:left="2387" w:hanging="360"/>
      </w:pPr>
      <w:rPr>
        <w:rFonts w:ascii="Wingdings" w:hAnsi="Wingdings" w:hint="default"/>
      </w:rPr>
    </w:lvl>
    <w:lvl w:ilvl="3" w:tplc="080C0001" w:tentative="1">
      <w:start w:val="1"/>
      <w:numFmt w:val="bullet"/>
      <w:lvlText w:val=""/>
      <w:lvlJc w:val="left"/>
      <w:pPr>
        <w:ind w:left="3107" w:hanging="360"/>
      </w:pPr>
      <w:rPr>
        <w:rFonts w:ascii="Symbol" w:hAnsi="Symbol" w:hint="default"/>
      </w:rPr>
    </w:lvl>
    <w:lvl w:ilvl="4" w:tplc="080C0003" w:tentative="1">
      <w:start w:val="1"/>
      <w:numFmt w:val="bullet"/>
      <w:lvlText w:val="o"/>
      <w:lvlJc w:val="left"/>
      <w:pPr>
        <w:ind w:left="3827" w:hanging="360"/>
      </w:pPr>
      <w:rPr>
        <w:rFonts w:ascii="Courier New" w:hAnsi="Courier New" w:cs="Courier New" w:hint="default"/>
      </w:rPr>
    </w:lvl>
    <w:lvl w:ilvl="5" w:tplc="080C0005" w:tentative="1">
      <w:start w:val="1"/>
      <w:numFmt w:val="bullet"/>
      <w:lvlText w:val=""/>
      <w:lvlJc w:val="left"/>
      <w:pPr>
        <w:ind w:left="4547" w:hanging="360"/>
      </w:pPr>
      <w:rPr>
        <w:rFonts w:ascii="Wingdings" w:hAnsi="Wingdings" w:hint="default"/>
      </w:rPr>
    </w:lvl>
    <w:lvl w:ilvl="6" w:tplc="080C0001" w:tentative="1">
      <w:start w:val="1"/>
      <w:numFmt w:val="bullet"/>
      <w:lvlText w:val=""/>
      <w:lvlJc w:val="left"/>
      <w:pPr>
        <w:ind w:left="5267" w:hanging="360"/>
      </w:pPr>
      <w:rPr>
        <w:rFonts w:ascii="Symbol" w:hAnsi="Symbol" w:hint="default"/>
      </w:rPr>
    </w:lvl>
    <w:lvl w:ilvl="7" w:tplc="080C0003" w:tentative="1">
      <w:start w:val="1"/>
      <w:numFmt w:val="bullet"/>
      <w:lvlText w:val="o"/>
      <w:lvlJc w:val="left"/>
      <w:pPr>
        <w:ind w:left="5987" w:hanging="360"/>
      </w:pPr>
      <w:rPr>
        <w:rFonts w:ascii="Courier New" w:hAnsi="Courier New" w:cs="Courier New" w:hint="default"/>
      </w:rPr>
    </w:lvl>
    <w:lvl w:ilvl="8" w:tplc="080C0005" w:tentative="1">
      <w:start w:val="1"/>
      <w:numFmt w:val="bullet"/>
      <w:lvlText w:val=""/>
      <w:lvlJc w:val="left"/>
      <w:pPr>
        <w:ind w:left="6707" w:hanging="360"/>
      </w:pPr>
      <w:rPr>
        <w:rFonts w:ascii="Wingdings" w:hAnsi="Wingdings" w:hint="default"/>
      </w:rPr>
    </w:lvl>
  </w:abstractNum>
  <w:abstractNum w:abstractNumId="20" w15:restartNumberingAfterBreak="0">
    <w:nsid w:val="4D2B1D65"/>
    <w:multiLevelType w:val="hybridMultilevel"/>
    <w:tmpl w:val="6C182DEC"/>
    <w:lvl w:ilvl="0" w:tplc="9BA6CCE0">
      <w:numFmt w:val="bullet"/>
      <w:lvlText w:val="-"/>
      <w:lvlJc w:val="left"/>
      <w:pPr>
        <w:ind w:left="587" w:hanging="360"/>
      </w:pPr>
      <w:rPr>
        <w:rFonts w:ascii="Times New Roman" w:eastAsia="Times New Roman" w:hAnsi="Times New Roman" w:cs="Times New Roman" w:hint="default"/>
      </w:rPr>
    </w:lvl>
    <w:lvl w:ilvl="1" w:tplc="080C0003" w:tentative="1">
      <w:start w:val="1"/>
      <w:numFmt w:val="bullet"/>
      <w:lvlText w:val="o"/>
      <w:lvlJc w:val="left"/>
      <w:pPr>
        <w:ind w:left="1307" w:hanging="360"/>
      </w:pPr>
      <w:rPr>
        <w:rFonts w:ascii="Courier New" w:hAnsi="Courier New" w:cs="Courier New" w:hint="default"/>
      </w:rPr>
    </w:lvl>
    <w:lvl w:ilvl="2" w:tplc="080C0005" w:tentative="1">
      <w:start w:val="1"/>
      <w:numFmt w:val="bullet"/>
      <w:lvlText w:val=""/>
      <w:lvlJc w:val="left"/>
      <w:pPr>
        <w:ind w:left="2027" w:hanging="360"/>
      </w:pPr>
      <w:rPr>
        <w:rFonts w:ascii="Wingdings" w:hAnsi="Wingdings" w:hint="default"/>
      </w:rPr>
    </w:lvl>
    <w:lvl w:ilvl="3" w:tplc="080C0001" w:tentative="1">
      <w:start w:val="1"/>
      <w:numFmt w:val="bullet"/>
      <w:lvlText w:val=""/>
      <w:lvlJc w:val="left"/>
      <w:pPr>
        <w:ind w:left="2747" w:hanging="360"/>
      </w:pPr>
      <w:rPr>
        <w:rFonts w:ascii="Symbol" w:hAnsi="Symbol" w:hint="default"/>
      </w:rPr>
    </w:lvl>
    <w:lvl w:ilvl="4" w:tplc="080C0003" w:tentative="1">
      <w:start w:val="1"/>
      <w:numFmt w:val="bullet"/>
      <w:lvlText w:val="o"/>
      <w:lvlJc w:val="left"/>
      <w:pPr>
        <w:ind w:left="3467" w:hanging="360"/>
      </w:pPr>
      <w:rPr>
        <w:rFonts w:ascii="Courier New" w:hAnsi="Courier New" w:cs="Courier New" w:hint="default"/>
      </w:rPr>
    </w:lvl>
    <w:lvl w:ilvl="5" w:tplc="080C0005" w:tentative="1">
      <w:start w:val="1"/>
      <w:numFmt w:val="bullet"/>
      <w:lvlText w:val=""/>
      <w:lvlJc w:val="left"/>
      <w:pPr>
        <w:ind w:left="4187" w:hanging="360"/>
      </w:pPr>
      <w:rPr>
        <w:rFonts w:ascii="Wingdings" w:hAnsi="Wingdings" w:hint="default"/>
      </w:rPr>
    </w:lvl>
    <w:lvl w:ilvl="6" w:tplc="080C0001" w:tentative="1">
      <w:start w:val="1"/>
      <w:numFmt w:val="bullet"/>
      <w:lvlText w:val=""/>
      <w:lvlJc w:val="left"/>
      <w:pPr>
        <w:ind w:left="4907" w:hanging="360"/>
      </w:pPr>
      <w:rPr>
        <w:rFonts w:ascii="Symbol" w:hAnsi="Symbol" w:hint="default"/>
      </w:rPr>
    </w:lvl>
    <w:lvl w:ilvl="7" w:tplc="080C0003" w:tentative="1">
      <w:start w:val="1"/>
      <w:numFmt w:val="bullet"/>
      <w:lvlText w:val="o"/>
      <w:lvlJc w:val="left"/>
      <w:pPr>
        <w:ind w:left="5627" w:hanging="360"/>
      </w:pPr>
      <w:rPr>
        <w:rFonts w:ascii="Courier New" w:hAnsi="Courier New" w:cs="Courier New" w:hint="default"/>
      </w:rPr>
    </w:lvl>
    <w:lvl w:ilvl="8" w:tplc="080C0005" w:tentative="1">
      <w:start w:val="1"/>
      <w:numFmt w:val="bullet"/>
      <w:lvlText w:val=""/>
      <w:lvlJc w:val="left"/>
      <w:pPr>
        <w:ind w:left="6347" w:hanging="360"/>
      </w:pPr>
      <w:rPr>
        <w:rFonts w:ascii="Wingdings" w:hAnsi="Wingdings" w:hint="default"/>
      </w:rPr>
    </w:lvl>
  </w:abstractNum>
  <w:abstractNum w:abstractNumId="21" w15:restartNumberingAfterBreak="0">
    <w:nsid w:val="4FC177C7"/>
    <w:multiLevelType w:val="hybridMultilevel"/>
    <w:tmpl w:val="5EB25968"/>
    <w:lvl w:ilvl="0" w:tplc="080C0011">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504D60BD"/>
    <w:multiLevelType w:val="hybridMultilevel"/>
    <w:tmpl w:val="A3407EBC"/>
    <w:lvl w:ilvl="0" w:tplc="F6408542">
      <w:start w:val="1"/>
      <w:numFmt w:val="bullet"/>
      <w:lvlText w:val="-"/>
      <w:lvlJc w:val="left"/>
      <w:pPr>
        <w:ind w:left="587" w:hanging="360"/>
      </w:pPr>
      <w:rPr>
        <w:rFonts w:ascii="Times New Roman" w:eastAsia="Times New Roman" w:hAnsi="Times New Roman" w:cs="Times New Roman" w:hint="default"/>
      </w:rPr>
    </w:lvl>
    <w:lvl w:ilvl="1" w:tplc="080C0003" w:tentative="1">
      <w:start w:val="1"/>
      <w:numFmt w:val="bullet"/>
      <w:lvlText w:val="o"/>
      <w:lvlJc w:val="left"/>
      <w:pPr>
        <w:ind w:left="1307" w:hanging="360"/>
      </w:pPr>
      <w:rPr>
        <w:rFonts w:ascii="Courier New" w:hAnsi="Courier New" w:cs="Courier New" w:hint="default"/>
      </w:rPr>
    </w:lvl>
    <w:lvl w:ilvl="2" w:tplc="080C0005" w:tentative="1">
      <w:start w:val="1"/>
      <w:numFmt w:val="bullet"/>
      <w:lvlText w:val=""/>
      <w:lvlJc w:val="left"/>
      <w:pPr>
        <w:ind w:left="2027" w:hanging="360"/>
      </w:pPr>
      <w:rPr>
        <w:rFonts w:ascii="Wingdings" w:hAnsi="Wingdings" w:hint="default"/>
      </w:rPr>
    </w:lvl>
    <w:lvl w:ilvl="3" w:tplc="080C0001" w:tentative="1">
      <w:start w:val="1"/>
      <w:numFmt w:val="bullet"/>
      <w:lvlText w:val=""/>
      <w:lvlJc w:val="left"/>
      <w:pPr>
        <w:ind w:left="2747" w:hanging="360"/>
      </w:pPr>
      <w:rPr>
        <w:rFonts w:ascii="Symbol" w:hAnsi="Symbol" w:hint="default"/>
      </w:rPr>
    </w:lvl>
    <w:lvl w:ilvl="4" w:tplc="080C0003" w:tentative="1">
      <w:start w:val="1"/>
      <w:numFmt w:val="bullet"/>
      <w:lvlText w:val="o"/>
      <w:lvlJc w:val="left"/>
      <w:pPr>
        <w:ind w:left="3467" w:hanging="360"/>
      </w:pPr>
      <w:rPr>
        <w:rFonts w:ascii="Courier New" w:hAnsi="Courier New" w:cs="Courier New" w:hint="default"/>
      </w:rPr>
    </w:lvl>
    <w:lvl w:ilvl="5" w:tplc="080C0005" w:tentative="1">
      <w:start w:val="1"/>
      <w:numFmt w:val="bullet"/>
      <w:lvlText w:val=""/>
      <w:lvlJc w:val="left"/>
      <w:pPr>
        <w:ind w:left="4187" w:hanging="360"/>
      </w:pPr>
      <w:rPr>
        <w:rFonts w:ascii="Wingdings" w:hAnsi="Wingdings" w:hint="default"/>
      </w:rPr>
    </w:lvl>
    <w:lvl w:ilvl="6" w:tplc="080C0001" w:tentative="1">
      <w:start w:val="1"/>
      <w:numFmt w:val="bullet"/>
      <w:lvlText w:val=""/>
      <w:lvlJc w:val="left"/>
      <w:pPr>
        <w:ind w:left="4907" w:hanging="360"/>
      </w:pPr>
      <w:rPr>
        <w:rFonts w:ascii="Symbol" w:hAnsi="Symbol" w:hint="default"/>
      </w:rPr>
    </w:lvl>
    <w:lvl w:ilvl="7" w:tplc="080C0003" w:tentative="1">
      <w:start w:val="1"/>
      <w:numFmt w:val="bullet"/>
      <w:lvlText w:val="o"/>
      <w:lvlJc w:val="left"/>
      <w:pPr>
        <w:ind w:left="5627" w:hanging="360"/>
      </w:pPr>
      <w:rPr>
        <w:rFonts w:ascii="Courier New" w:hAnsi="Courier New" w:cs="Courier New" w:hint="default"/>
      </w:rPr>
    </w:lvl>
    <w:lvl w:ilvl="8" w:tplc="080C0005" w:tentative="1">
      <w:start w:val="1"/>
      <w:numFmt w:val="bullet"/>
      <w:lvlText w:val=""/>
      <w:lvlJc w:val="left"/>
      <w:pPr>
        <w:ind w:left="6347" w:hanging="360"/>
      </w:pPr>
      <w:rPr>
        <w:rFonts w:ascii="Wingdings" w:hAnsi="Wingdings" w:hint="default"/>
      </w:rPr>
    </w:lvl>
  </w:abstractNum>
  <w:abstractNum w:abstractNumId="23" w15:restartNumberingAfterBreak="0">
    <w:nsid w:val="517D7224"/>
    <w:multiLevelType w:val="hybridMultilevel"/>
    <w:tmpl w:val="A25E8FE2"/>
    <w:lvl w:ilvl="0" w:tplc="C7AA7DD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37F756F"/>
    <w:multiLevelType w:val="hybridMultilevel"/>
    <w:tmpl w:val="AB6AB72E"/>
    <w:lvl w:ilvl="0" w:tplc="B4525D96">
      <w:start w:val="3"/>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539F3957"/>
    <w:multiLevelType w:val="hybridMultilevel"/>
    <w:tmpl w:val="0A62AB6E"/>
    <w:lvl w:ilvl="0" w:tplc="E60AA964">
      <w:start w:val="1"/>
      <w:numFmt w:val="bullet"/>
      <w:lvlText w:val="-"/>
      <w:lvlJc w:val="left"/>
      <w:pPr>
        <w:ind w:left="587" w:hanging="360"/>
      </w:pPr>
      <w:rPr>
        <w:rFonts w:ascii="Times New Roman" w:eastAsia="Times New Roman" w:hAnsi="Times New Roman" w:cs="Times New Roman" w:hint="default"/>
      </w:rPr>
    </w:lvl>
    <w:lvl w:ilvl="1" w:tplc="080C0003" w:tentative="1">
      <w:start w:val="1"/>
      <w:numFmt w:val="bullet"/>
      <w:lvlText w:val="o"/>
      <w:lvlJc w:val="left"/>
      <w:pPr>
        <w:ind w:left="1307" w:hanging="360"/>
      </w:pPr>
      <w:rPr>
        <w:rFonts w:ascii="Courier New" w:hAnsi="Courier New" w:cs="Courier New" w:hint="default"/>
      </w:rPr>
    </w:lvl>
    <w:lvl w:ilvl="2" w:tplc="080C0005" w:tentative="1">
      <w:start w:val="1"/>
      <w:numFmt w:val="bullet"/>
      <w:lvlText w:val=""/>
      <w:lvlJc w:val="left"/>
      <w:pPr>
        <w:ind w:left="2027" w:hanging="360"/>
      </w:pPr>
      <w:rPr>
        <w:rFonts w:ascii="Wingdings" w:hAnsi="Wingdings" w:hint="default"/>
      </w:rPr>
    </w:lvl>
    <w:lvl w:ilvl="3" w:tplc="080C0001" w:tentative="1">
      <w:start w:val="1"/>
      <w:numFmt w:val="bullet"/>
      <w:lvlText w:val=""/>
      <w:lvlJc w:val="left"/>
      <w:pPr>
        <w:ind w:left="2747" w:hanging="360"/>
      </w:pPr>
      <w:rPr>
        <w:rFonts w:ascii="Symbol" w:hAnsi="Symbol" w:hint="default"/>
      </w:rPr>
    </w:lvl>
    <w:lvl w:ilvl="4" w:tplc="080C0003" w:tentative="1">
      <w:start w:val="1"/>
      <w:numFmt w:val="bullet"/>
      <w:lvlText w:val="o"/>
      <w:lvlJc w:val="left"/>
      <w:pPr>
        <w:ind w:left="3467" w:hanging="360"/>
      </w:pPr>
      <w:rPr>
        <w:rFonts w:ascii="Courier New" w:hAnsi="Courier New" w:cs="Courier New" w:hint="default"/>
      </w:rPr>
    </w:lvl>
    <w:lvl w:ilvl="5" w:tplc="080C0005" w:tentative="1">
      <w:start w:val="1"/>
      <w:numFmt w:val="bullet"/>
      <w:lvlText w:val=""/>
      <w:lvlJc w:val="left"/>
      <w:pPr>
        <w:ind w:left="4187" w:hanging="360"/>
      </w:pPr>
      <w:rPr>
        <w:rFonts w:ascii="Wingdings" w:hAnsi="Wingdings" w:hint="default"/>
      </w:rPr>
    </w:lvl>
    <w:lvl w:ilvl="6" w:tplc="080C0001" w:tentative="1">
      <w:start w:val="1"/>
      <w:numFmt w:val="bullet"/>
      <w:lvlText w:val=""/>
      <w:lvlJc w:val="left"/>
      <w:pPr>
        <w:ind w:left="4907" w:hanging="360"/>
      </w:pPr>
      <w:rPr>
        <w:rFonts w:ascii="Symbol" w:hAnsi="Symbol" w:hint="default"/>
      </w:rPr>
    </w:lvl>
    <w:lvl w:ilvl="7" w:tplc="080C0003" w:tentative="1">
      <w:start w:val="1"/>
      <w:numFmt w:val="bullet"/>
      <w:lvlText w:val="o"/>
      <w:lvlJc w:val="left"/>
      <w:pPr>
        <w:ind w:left="5627" w:hanging="360"/>
      </w:pPr>
      <w:rPr>
        <w:rFonts w:ascii="Courier New" w:hAnsi="Courier New" w:cs="Courier New" w:hint="default"/>
      </w:rPr>
    </w:lvl>
    <w:lvl w:ilvl="8" w:tplc="080C0005" w:tentative="1">
      <w:start w:val="1"/>
      <w:numFmt w:val="bullet"/>
      <w:lvlText w:val=""/>
      <w:lvlJc w:val="left"/>
      <w:pPr>
        <w:ind w:left="6347" w:hanging="360"/>
      </w:pPr>
      <w:rPr>
        <w:rFonts w:ascii="Wingdings" w:hAnsi="Wingdings" w:hint="default"/>
      </w:rPr>
    </w:lvl>
  </w:abstractNum>
  <w:abstractNum w:abstractNumId="26" w15:restartNumberingAfterBreak="0">
    <w:nsid w:val="553401AB"/>
    <w:multiLevelType w:val="hybridMultilevel"/>
    <w:tmpl w:val="32B8154A"/>
    <w:lvl w:ilvl="0" w:tplc="89FE6C4C">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57AD4428"/>
    <w:multiLevelType w:val="hybridMultilevel"/>
    <w:tmpl w:val="99A02E14"/>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5A3612BB"/>
    <w:multiLevelType w:val="hybridMultilevel"/>
    <w:tmpl w:val="85EAEC4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9" w15:restartNumberingAfterBreak="0">
    <w:nsid w:val="607F3782"/>
    <w:multiLevelType w:val="hybridMultilevel"/>
    <w:tmpl w:val="99A02E14"/>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15:restartNumberingAfterBreak="0">
    <w:nsid w:val="62C85387"/>
    <w:multiLevelType w:val="hybridMultilevel"/>
    <w:tmpl w:val="CB6EEAB6"/>
    <w:lvl w:ilvl="0" w:tplc="5B0648EA">
      <w:start w:val="1"/>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30D3200"/>
    <w:multiLevelType w:val="hybridMultilevel"/>
    <w:tmpl w:val="FBF8ED5C"/>
    <w:lvl w:ilvl="0" w:tplc="B8EA64BC">
      <w:numFmt w:val="bullet"/>
      <w:lvlText w:val=""/>
      <w:lvlJc w:val="left"/>
      <w:pPr>
        <w:ind w:left="587" w:hanging="360"/>
      </w:pPr>
      <w:rPr>
        <w:rFonts w:ascii="Wingdings" w:eastAsia="Times New Roman" w:hAnsi="Wingdings" w:cs="Times New Roman" w:hint="default"/>
      </w:rPr>
    </w:lvl>
    <w:lvl w:ilvl="1" w:tplc="040C0003" w:tentative="1">
      <w:start w:val="1"/>
      <w:numFmt w:val="bullet"/>
      <w:lvlText w:val="o"/>
      <w:lvlJc w:val="left"/>
      <w:pPr>
        <w:ind w:left="1307" w:hanging="360"/>
      </w:pPr>
      <w:rPr>
        <w:rFonts w:ascii="Courier New" w:hAnsi="Courier New" w:cs="Courier New" w:hint="default"/>
      </w:rPr>
    </w:lvl>
    <w:lvl w:ilvl="2" w:tplc="040C0005" w:tentative="1">
      <w:start w:val="1"/>
      <w:numFmt w:val="bullet"/>
      <w:lvlText w:val=""/>
      <w:lvlJc w:val="left"/>
      <w:pPr>
        <w:ind w:left="2027" w:hanging="360"/>
      </w:pPr>
      <w:rPr>
        <w:rFonts w:ascii="Wingdings" w:hAnsi="Wingdings" w:hint="default"/>
      </w:rPr>
    </w:lvl>
    <w:lvl w:ilvl="3" w:tplc="040C0001" w:tentative="1">
      <w:start w:val="1"/>
      <w:numFmt w:val="bullet"/>
      <w:lvlText w:val=""/>
      <w:lvlJc w:val="left"/>
      <w:pPr>
        <w:ind w:left="2747" w:hanging="360"/>
      </w:pPr>
      <w:rPr>
        <w:rFonts w:ascii="Symbol" w:hAnsi="Symbol" w:hint="default"/>
      </w:rPr>
    </w:lvl>
    <w:lvl w:ilvl="4" w:tplc="040C0003" w:tentative="1">
      <w:start w:val="1"/>
      <w:numFmt w:val="bullet"/>
      <w:lvlText w:val="o"/>
      <w:lvlJc w:val="left"/>
      <w:pPr>
        <w:ind w:left="3467" w:hanging="360"/>
      </w:pPr>
      <w:rPr>
        <w:rFonts w:ascii="Courier New" w:hAnsi="Courier New" w:cs="Courier New" w:hint="default"/>
      </w:rPr>
    </w:lvl>
    <w:lvl w:ilvl="5" w:tplc="040C0005" w:tentative="1">
      <w:start w:val="1"/>
      <w:numFmt w:val="bullet"/>
      <w:lvlText w:val=""/>
      <w:lvlJc w:val="left"/>
      <w:pPr>
        <w:ind w:left="4187" w:hanging="360"/>
      </w:pPr>
      <w:rPr>
        <w:rFonts w:ascii="Wingdings" w:hAnsi="Wingdings" w:hint="default"/>
      </w:rPr>
    </w:lvl>
    <w:lvl w:ilvl="6" w:tplc="040C0001" w:tentative="1">
      <w:start w:val="1"/>
      <w:numFmt w:val="bullet"/>
      <w:lvlText w:val=""/>
      <w:lvlJc w:val="left"/>
      <w:pPr>
        <w:ind w:left="4907" w:hanging="360"/>
      </w:pPr>
      <w:rPr>
        <w:rFonts w:ascii="Symbol" w:hAnsi="Symbol" w:hint="default"/>
      </w:rPr>
    </w:lvl>
    <w:lvl w:ilvl="7" w:tplc="040C0003" w:tentative="1">
      <w:start w:val="1"/>
      <w:numFmt w:val="bullet"/>
      <w:lvlText w:val="o"/>
      <w:lvlJc w:val="left"/>
      <w:pPr>
        <w:ind w:left="5627" w:hanging="360"/>
      </w:pPr>
      <w:rPr>
        <w:rFonts w:ascii="Courier New" w:hAnsi="Courier New" w:cs="Courier New" w:hint="default"/>
      </w:rPr>
    </w:lvl>
    <w:lvl w:ilvl="8" w:tplc="040C0005" w:tentative="1">
      <w:start w:val="1"/>
      <w:numFmt w:val="bullet"/>
      <w:lvlText w:val=""/>
      <w:lvlJc w:val="left"/>
      <w:pPr>
        <w:ind w:left="6347" w:hanging="360"/>
      </w:pPr>
      <w:rPr>
        <w:rFonts w:ascii="Wingdings" w:hAnsi="Wingdings" w:hint="default"/>
      </w:rPr>
    </w:lvl>
  </w:abstractNum>
  <w:abstractNum w:abstractNumId="32" w15:restartNumberingAfterBreak="0">
    <w:nsid w:val="70E14984"/>
    <w:multiLevelType w:val="hybridMultilevel"/>
    <w:tmpl w:val="9DDEF664"/>
    <w:lvl w:ilvl="0" w:tplc="0B68EBAA">
      <w:start w:val="1"/>
      <w:numFmt w:val="decimal"/>
      <w:lvlText w:val="(%1)"/>
      <w:lvlJc w:val="left"/>
      <w:pPr>
        <w:ind w:left="587" w:hanging="360"/>
      </w:pPr>
      <w:rPr>
        <w:rFonts w:hint="default"/>
      </w:rPr>
    </w:lvl>
    <w:lvl w:ilvl="1" w:tplc="080C0019" w:tentative="1">
      <w:start w:val="1"/>
      <w:numFmt w:val="lowerLetter"/>
      <w:lvlText w:val="%2."/>
      <w:lvlJc w:val="left"/>
      <w:pPr>
        <w:ind w:left="1307" w:hanging="360"/>
      </w:pPr>
    </w:lvl>
    <w:lvl w:ilvl="2" w:tplc="080C001B" w:tentative="1">
      <w:start w:val="1"/>
      <w:numFmt w:val="lowerRoman"/>
      <w:lvlText w:val="%3."/>
      <w:lvlJc w:val="right"/>
      <w:pPr>
        <w:ind w:left="2027" w:hanging="180"/>
      </w:pPr>
    </w:lvl>
    <w:lvl w:ilvl="3" w:tplc="080C000F" w:tentative="1">
      <w:start w:val="1"/>
      <w:numFmt w:val="decimal"/>
      <w:lvlText w:val="%4."/>
      <w:lvlJc w:val="left"/>
      <w:pPr>
        <w:ind w:left="2747" w:hanging="360"/>
      </w:pPr>
    </w:lvl>
    <w:lvl w:ilvl="4" w:tplc="080C0019" w:tentative="1">
      <w:start w:val="1"/>
      <w:numFmt w:val="lowerLetter"/>
      <w:lvlText w:val="%5."/>
      <w:lvlJc w:val="left"/>
      <w:pPr>
        <w:ind w:left="3467" w:hanging="360"/>
      </w:pPr>
    </w:lvl>
    <w:lvl w:ilvl="5" w:tplc="080C001B" w:tentative="1">
      <w:start w:val="1"/>
      <w:numFmt w:val="lowerRoman"/>
      <w:lvlText w:val="%6."/>
      <w:lvlJc w:val="right"/>
      <w:pPr>
        <w:ind w:left="4187" w:hanging="180"/>
      </w:pPr>
    </w:lvl>
    <w:lvl w:ilvl="6" w:tplc="080C000F" w:tentative="1">
      <w:start w:val="1"/>
      <w:numFmt w:val="decimal"/>
      <w:lvlText w:val="%7."/>
      <w:lvlJc w:val="left"/>
      <w:pPr>
        <w:ind w:left="4907" w:hanging="360"/>
      </w:pPr>
    </w:lvl>
    <w:lvl w:ilvl="7" w:tplc="080C0019" w:tentative="1">
      <w:start w:val="1"/>
      <w:numFmt w:val="lowerLetter"/>
      <w:lvlText w:val="%8."/>
      <w:lvlJc w:val="left"/>
      <w:pPr>
        <w:ind w:left="5627" w:hanging="360"/>
      </w:pPr>
    </w:lvl>
    <w:lvl w:ilvl="8" w:tplc="080C001B" w:tentative="1">
      <w:start w:val="1"/>
      <w:numFmt w:val="lowerRoman"/>
      <w:lvlText w:val="%9."/>
      <w:lvlJc w:val="right"/>
      <w:pPr>
        <w:ind w:left="6347" w:hanging="180"/>
      </w:pPr>
    </w:lvl>
  </w:abstractNum>
  <w:abstractNum w:abstractNumId="33" w15:restartNumberingAfterBreak="0">
    <w:nsid w:val="74215712"/>
    <w:multiLevelType w:val="multilevel"/>
    <w:tmpl w:val="3976A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4B4D42"/>
    <w:multiLevelType w:val="hybridMultilevel"/>
    <w:tmpl w:val="3FAC2F3E"/>
    <w:lvl w:ilvl="0" w:tplc="73FAA7C8">
      <w:start w:val="1"/>
      <w:numFmt w:val="decimal"/>
      <w:lvlText w:val="(%1)"/>
      <w:lvlJc w:val="left"/>
      <w:pPr>
        <w:ind w:left="587" w:hanging="360"/>
      </w:pPr>
      <w:rPr>
        <w:rFonts w:hint="default"/>
      </w:rPr>
    </w:lvl>
    <w:lvl w:ilvl="1" w:tplc="080C0019" w:tentative="1">
      <w:start w:val="1"/>
      <w:numFmt w:val="lowerLetter"/>
      <w:lvlText w:val="%2."/>
      <w:lvlJc w:val="left"/>
      <w:pPr>
        <w:ind w:left="1307" w:hanging="360"/>
      </w:pPr>
    </w:lvl>
    <w:lvl w:ilvl="2" w:tplc="080C001B" w:tentative="1">
      <w:start w:val="1"/>
      <w:numFmt w:val="lowerRoman"/>
      <w:lvlText w:val="%3."/>
      <w:lvlJc w:val="right"/>
      <w:pPr>
        <w:ind w:left="2027" w:hanging="180"/>
      </w:pPr>
    </w:lvl>
    <w:lvl w:ilvl="3" w:tplc="080C000F" w:tentative="1">
      <w:start w:val="1"/>
      <w:numFmt w:val="decimal"/>
      <w:lvlText w:val="%4."/>
      <w:lvlJc w:val="left"/>
      <w:pPr>
        <w:ind w:left="2747" w:hanging="360"/>
      </w:pPr>
    </w:lvl>
    <w:lvl w:ilvl="4" w:tplc="080C0019" w:tentative="1">
      <w:start w:val="1"/>
      <w:numFmt w:val="lowerLetter"/>
      <w:lvlText w:val="%5."/>
      <w:lvlJc w:val="left"/>
      <w:pPr>
        <w:ind w:left="3467" w:hanging="360"/>
      </w:pPr>
    </w:lvl>
    <w:lvl w:ilvl="5" w:tplc="080C001B" w:tentative="1">
      <w:start w:val="1"/>
      <w:numFmt w:val="lowerRoman"/>
      <w:lvlText w:val="%6."/>
      <w:lvlJc w:val="right"/>
      <w:pPr>
        <w:ind w:left="4187" w:hanging="180"/>
      </w:pPr>
    </w:lvl>
    <w:lvl w:ilvl="6" w:tplc="080C000F" w:tentative="1">
      <w:start w:val="1"/>
      <w:numFmt w:val="decimal"/>
      <w:lvlText w:val="%7."/>
      <w:lvlJc w:val="left"/>
      <w:pPr>
        <w:ind w:left="4907" w:hanging="360"/>
      </w:pPr>
    </w:lvl>
    <w:lvl w:ilvl="7" w:tplc="080C0019" w:tentative="1">
      <w:start w:val="1"/>
      <w:numFmt w:val="lowerLetter"/>
      <w:lvlText w:val="%8."/>
      <w:lvlJc w:val="left"/>
      <w:pPr>
        <w:ind w:left="5627" w:hanging="360"/>
      </w:pPr>
    </w:lvl>
    <w:lvl w:ilvl="8" w:tplc="080C001B" w:tentative="1">
      <w:start w:val="1"/>
      <w:numFmt w:val="lowerRoman"/>
      <w:lvlText w:val="%9."/>
      <w:lvlJc w:val="right"/>
      <w:pPr>
        <w:ind w:left="6347" w:hanging="180"/>
      </w:pPr>
    </w:lvl>
  </w:abstractNum>
  <w:num w:numId="1">
    <w:abstractNumId w:val="7"/>
  </w:num>
  <w:num w:numId="2">
    <w:abstractNumId w:val="33"/>
  </w:num>
  <w:num w:numId="3">
    <w:abstractNumId w:val="2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3"/>
    <w:lvlOverride w:ilvl="0">
      <w:startOverride w:val="1"/>
    </w:lvlOverride>
  </w:num>
  <w:num w:numId="10">
    <w:abstractNumId w:val="25"/>
  </w:num>
  <w:num w:numId="11">
    <w:abstractNumId w:val="5"/>
  </w:num>
  <w:num w:numId="12">
    <w:abstractNumId w:val="21"/>
  </w:num>
  <w:num w:numId="13">
    <w:abstractNumId w:val="29"/>
  </w:num>
  <w:num w:numId="14">
    <w:abstractNumId w:val="6"/>
  </w:num>
  <w:num w:numId="15">
    <w:abstractNumId w:val="11"/>
  </w:num>
  <w:num w:numId="16">
    <w:abstractNumId w:val="26"/>
  </w:num>
  <w:num w:numId="17">
    <w:abstractNumId w:val="20"/>
  </w:num>
  <w:num w:numId="18">
    <w:abstractNumId w:val="0"/>
  </w:num>
  <w:num w:numId="19">
    <w:abstractNumId w:val="24"/>
  </w:num>
  <w:num w:numId="20">
    <w:abstractNumId w:val="3"/>
  </w:num>
  <w:num w:numId="21">
    <w:abstractNumId w:val="9"/>
  </w:num>
  <w:num w:numId="22">
    <w:abstractNumId w:val="12"/>
  </w:num>
  <w:num w:numId="23">
    <w:abstractNumId w:val="22"/>
  </w:num>
  <w:num w:numId="24">
    <w:abstractNumId w:val="15"/>
  </w:num>
  <w:num w:numId="25">
    <w:abstractNumId w:val="34"/>
  </w:num>
  <w:num w:numId="26">
    <w:abstractNumId w:val="19"/>
  </w:num>
  <w:num w:numId="27">
    <w:abstractNumId w:val="14"/>
  </w:num>
  <w:num w:numId="28">
    <w:abstractNumId w:val="32"/>
  </w:num>
  <w:num w:numId="29">
    <w:abstractNumId w:val="8"/>
  </w:num>
  <w:num w:numId="30">
    <w:abstractNumId w:val="2"/>
  </w:num>
  <w:num w:numId="31">
    <w:abstractNumId w:val="16"/>
  </w:num>
  <w:num w:numId="32">
    <w:abstractNumId w:val="18"/>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0"/>
  </w:num>
  <w:num w:numId="35">
    <w:abstractNumId w:val="23"/>
  </w:num>
  <w:num w:numId="36">
    <w:abstractNumId w:val="31"/>
  </w:num>
  <w:num w:numId="37">
    <w:abstractNumId w:val="4"/>
  </w:num>
  <w:num w:numId="38">
    <w:abstractNumId w:val="28"/>
  </w:num>
  <w:num w:numId="39">
    <w:abstractNumId w:val="17"/>
  </w:num>
  <w:num w:numId="40">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nl-BE"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fr-BE" w:vendorID="64" w:dllVersion="4096" w:nlCheck="1" w:checkStyle="0"/>
  <w:proofState w:spelling="clean"/>
  <w:doNotTrackFormattin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sTA0trAwMje3NLIwtTRT0lEKTi0uzszPAykwNDCtBQCXzP/DLgAAAA=="/>
  </w:docVars>
  <w:rsids>
    <w:rsidRoot w:val="00152B66"/>
    <w:rsid w:val="000003BE"/>
    <w:rsid w:val="000012B5"/>
    <w:rsid w:val="00001A50"/>
    <w:rsid w:val="00002E81"/>
    <w:rsid w:val="0000351E"/>
    <w:rsid w:val="00005567"/>
    <w:rsid w:val="000100C1"/>
    <w:rsid w:val="00010842"/>
    <w:rsid w:val="000114B8"/>
    <w:rsid w:val="00011D22"/>
    <w:rsid w:val="000134D4"/>
    <w:rsid w:val="00013EE1"/>
    <w:rsid w:val="000140D5"/>
    <w:rsid w:val="000147ED"/>
    <w:rsid w:val="0001562A"/>
    <w:rsid w:val="000164C7"/>
    <w:rsid w:val="000168E9"/>
    <w:rsid w:val="00016A98"/>
    <w:rsid w:val="0002260B"/>
    <w:rsid w:val="000232AE"/>
    <w:rsid w:val="000234C0"/>
    <w:rsid w:val="00024111"/>
    <w:rsid w:val="000252DD"/>
    <w:rsid w:val="00026F91"/>
    <w:rsid w:val="00027047"/>
    <w:rsid w:val="000276CA"/>
    <w:rsid w:val="00027C7A"/>
    <w:rsid w:val="000300D5"/>
    <w:rsid w:val="00030A70"/>
    <w:rsid w:val="000314A1"/>
    <w:rsid w:val="0003203E"/>
    <w:rsid w:val="00032D2D"/>
    <w:rsid w:val="0003605F"/>
    <w:rsid w:val="000361BC"/>
    <w:rsid w:val="000366A2"/>
    <w:rsid w:val="00036FC3"/>
    <w:rsid w:val="00037F13"/>
    <w:rsid w:val="000416EA"/>
    <w:rsid w:val="0004202B"/>
    <w:rsid w:val="00042A6A"/>
    <w:rsid w:val="00042DCC"/>
    <w:rsid w:val="00042FBE"/>
    <w:rsid w:val="00043AB8"/>
    <w:rsid w:val="00044FC2"/>
    <w:rsid w:val="0004576F"/>
    <w:rsid w:val="00046204"/>
    <w:rsid w:val="00046339"/>
    <w:rsid w:val="00050D48"/>
    <w:rsid w:val="0005195E"/>
    <w:rsid w:val="00052B2D"/>
    <w:rsid w:val="00052F76"/>
    <w:rsid w:val="0005375F"/>
    <w:rsid w:val="00053B05"/>
    <w:rsid w:val="00054600"/>
    <w:rsid w:val="00054BC1"/>
    <w:rsid w:val="00056B5D"/>
    <w:rsid w:val="00057126"/>
    <w:rsid w:val="000601C4"/>
    <w:rsid w:val="00060DA3"/>
    <w:rsid w:val="00062859"/>
    <w:rsid w:val="00063E95"/>
    <w:rsid w:val="00065347"/>
    <w:rsid w:val="00065AFF"/>
    <w:rsid w:val="00066226"/>
    <w:rsid w:val="0006639D"/>
    <w:rsid w:val="00066407"/>
    <w:rsid w:val="00067809"/>
    <w:rsid w:val="00070713"/>
    <w:rsid w:val="00071A06"/>
    <w:rsid w:val="00071A7C"/>
    <w:rsid w:val="00071C25"/>
    <w:rsid w:val="0007222A"/>
    <w:rsid w:val="00072B4D"/>
    <w:rsid w:val="0007315D"/>
    <w:rsid w:val="000742CB"/>
    <w:rsid w:val="000745E7"/>
    <w:rsid w:val="00074EAD"/>
    <w:rsid w:val="00075E2C"/>
    <w:rsid w:val="00076283"/>
    <w:rsid w:val="00076AF6"/>
    <w:rsid w:val="00077C1A"/>
    <w:rsid w:val="0008145B"/>
    <w:rsid w:val="00081E61"/>
    <w:rsid w:val="000844ED"/>
    <w:rsid w:val="00084767"/>
    <w:rsid w:val="0008554E"/>
    <w:rsid w:val="0008684B"/>
    <w:rsid w:val="000872BA"/>
    <w:rsid w:val="00087850"/>
    <w:rsid w:val="00087BE8"/>
    <w:rsid w:val="00087EAB"/>
    <w:rsid w:val="00090551"/>
    <w:rsid w:val="0009092B"/>
    <w:rsid w:val="0009171F"/>
    <w:rsid w:val="00094121"/>
    <w:rsid w:val="000946C9"/>
    <w:rsid w:val="00094941"/>
    <w:rsid w:val="0009516B"/>
    <w:rsid w:val="00096783"/>
    <w:rsid w:val="000A0FBD"/>
    <w:rsid w:val="000A24BC"/>
    <w:rsid w:val="000A7B77"/>
    <w:rsid w:val="000B3F5C"/>
    <w:rsid w:val="000B5B5E"/>
    <w:rsid w:val="000B7F8C"/>
    <w:rsid w:val="000C0E5A"/>
    <w:rsid w:val="000C11AC"/>
    <w:rsid w:val="000C1D3A"/>
    <w:rsid w:val="000C243A"/>
    <w:rsid w:val="000C245C"/>
    <w:rsid w:val="000C28F5"/>
    <w:rsid w:val="000C2969"/>
    <w:rsid w:val="000C296C"/>
    <w:rsid w:val="000C2CEE"/>
    <w:rsid w:val="000C4D24"/>
    <w:rsid w:val="000C4DE2"/>
    <w:rsid w:val="000C5469"/>
    <w:rsid w:val="000C7363"/>
    <w:rsid w:val="000D0672"/>
    <w:rsid w:val="000D1135"/>
    <w:rsid w:val="000D1B4A"/>
    <w:rsid w:val="000D25C9"/>
    <w:rsid w:val="000D476D"/>
    <w:rsid w:val="000D4E12"/>
    <w:rsid w:val="000D55DA"/>
    <w:rsid w:val="000D7CBB"/>
    <w:rsid w:val="000D7D96"/>
    <w:rsid w:val="000E0999"/>
    <w:rsid w:val="000E19CF"/>
    <w:rsid w:val="000E2511"/>
    <w:rsid w:val="000E3BFB"/>
    <w:rsid w:val="000E5787"/>
    <w:rsid w:val="000E57E3"/>
    <w:rsid w:val="000E5E22"/>
    <w:rsid w:val="000F2332"/>
    <w:rsid w:val="000F2AD9"/>
    <w:rsid w:val="000F44D6"/>
    <w:rsid w:val="000F549F"/>
    <w:rsid w:val="000F5F5C"/>
    <w:rsid w:val="000F6D13"/>
    <w:rsid w:val="000F6F2F"/>
    <w:rsid w:val="000F77CD"/>
    <w:rsid w:val="000F7839"/>
    <w:rsid w:val="001008CF"/>
    <w:rsid w:val="001018D6"/>
    <w:rsid w:val="0010296A"/>
    <w:rsid w:val="00102DA1"/>
    <w:rsid w:val="00103195"/>
    <w:rsid w:val="00103DF6"/>
    <w:rsid w:val="001041DE"/>
    <w:rsid w:val="0010435F"/>
    <w:rsid w:val="001050BA"/>
    <w:rsid w:val="001051A0"/>
    <w:rsid w:val="001061BE"/>
    <w:rsid w:val="0010704D"/>
    <w:rsid w:val="00107D3A"/>
    <w:rsid w:val="00110122"/>
    <w:rsid w:val="001104E0"/>
    <w:rsid w:val="00110A8F"/>
    <w:rsid w:val="0011279D"/>
    <w:rsid w:val="00112890"/>
    <w:rsid w:val="00112D40"/>
    <w:rsid w:val="00113575"/>
    <w:rsid w:val="001138C6"/>
    <w:rsid w:val="00113A64"/>
    <w:rsid w:val="0011423F"/>
    <w:rsid w:val="00114C1A"/>
    <w:rsid w:val="00115BDD"/>
    <w:rsid w:val="00116BEC"/>
    <w:rsid w:val="0011717D"/>
    <w:rsid w:val="0011757A"/>
    <w:rsid w:val="00117822"/>
    <w:rsid w:val="0012058A"/>
    <w:rsid w:val="00120F39"/>
    <w:rsid w:val="001219DC"/>
    <w:rsid w:val="001234C8"/>
    <w:rsid w:val="0012371B"/>
    <w:rsid w:val="00123821"/>
    <w:rsid w:val="001239AC"/>
    <w:rsid w:val="001249CE"/>
    <w:rsid w:val="00124D7F"/>
    <w:rsid w:val="00125DF7"/>
    <w:rsid w:val="00126B20"/>
    <w:rsid w:val="001307A1"/>
    <w:rsid w:val="00130FFD"/>
    <w:rsid w:val="0013402D"/>
    <w:rsid w:val="00134CD2"/>
    <w:rsid w:val="00137B27"/>
    <w:rsid w:val="00137CAA"/>
    <w:rsid w:val="00140075"/>
    <w:rsid w:val="001411B2"/>
    <w:rsid w:val="00143667"/>
    <w:rsid w:val="00145302"/>
    <w:rsid w:val="001460D6"/>
    <w:rsid w:val="00150022"/>
    <w:rsid w:val="00151BED"/>
    <w:rsid w:val="00152B2A"/>
    <w:rsid w:val="00152B66"/>
    <w:rsid w:val="00154D34"/>
    <w:rsid w:val="00154E98"/>
    <w:rsid w:val="00155D57"/>
    <w:rsid w:val="0015635E"/>
    <w:rsid w:val="00156CC8"/>
    <w:rsid w:val="00157565"/>
    <w:rsid w:val="00161085"/>
    <w:rsid w:val="0016194B"/>
    <w:rsid w:val="0016197F"/>
    <w:rsid w:val="00162237"/>
    <w:rsid w:val="001646F1"/>
    <w:rsid w:val="00165F58"/>
    <w:rsid w:val="0016772C"/>
    <w:rsid w:val="001677FA"/>
    <w:rsid w:val="00167CC3"/>
    <w:rsid w:val="00170F1C"/>
    <w:rsid w:val="00172F8B"/>
    <w:rsid w:val="001733F6"/>
    <w:rsid w:val="001744F9"/>
    <w:rsid w:val="001754D9"/>
    <w:rsid w:val="00175EDC"/>
    <w:rsid w:val="00176855"/>
    <w:rsid w:val="0017688C"/>
    <w:rsid w:val="001810CF"/>
    <w:rsid w:val="00181D1D"/>
    <w:rsid w:val="00182249"/>
    <w:rsid w:val="00184A5C"/>
    <w:rsid w:val="001856C7"/>
    <w:rsid w:val="00186463"/>
    <w:rsid w:val="00190B3A"/>
    <w:rsid w:val="00190E11"/>
    <w:rsid w:val="0019111A"/>
    <w:rsid w:val="00191763"/>
    <w:rsid w:val="001929E7"/>
    <w:rsid w:val="00193067"/>
    <w:rsid w:val="0019356A"/>
    <w:rsid w:val="0019483A"/>
    <w:rsid w:val="00194D9C"/>
    <w:rsid w:val="00197D19"/>
    <w:rsid w:val="00197F4F"/>
    <w:rsid w:val="001A2735"/>
    <w:rsid w:val="001A2DCE"/>
    <w:rsid w:val="001A31F5"/>
    <w:rsid w:val="001A41C0"/>
    <w:rsid w:val="001A5E6F"/>
    <w:rsid w:val="001A6F2F"/>
    <w:rsid w:val="001B092D"/>
    <w:rsid w:val="001B0FCB"/>
    <w:rsid w:val="001B104C"/>
    <w:rsid w:val="001B1EDC"/>
    <w:rsid w:val="001B2899"/>
    <w:rsid w:val="001B28DA"/>
    <w:rsid w:val="001B29AC"/>
    <w:rsid w:val="001B3FBD"/>
    <w:rsid w:val="001B472A"/>
    <w:rsid w:val="001B4863"/>
    <w:rsid w:val="001B692E"/>
    <w:rsid w:val="001C2F27"/>
    <w:rsid w:val="001C4142"/>
    <w:rsid w:val="001C6DE5"/>
    <w:rsid w:val="001C7008"/>
    <w:rsid w:val="001D148E"/>
    <w:rsid w:val="001D1792"/>
    <w:rsid w:val="001D1798"/>
    <w:rsid w:val="001D2533"/>
    <w:rsid w:val="001D3622"/>
    <w:rsid w:val="001D4FC5"/>
    <w:rsid w:val="001D5346"/>
    <w:rsid w:val="001D5F43"/>
    <w:rsid w:val="001D71ED"/>
    <w:rsid w:val="001E0C09"/>
    <w:rsid w:val="001E165C"/>
    <w:rsid w:val="001E1ACB"/>
    <w:rsid w:val="001E2C21"/>
    <w:rsid w:val="001E5966"/>
    <w:rsid w:val="001E6299"/>
    <w:rsid w:val="001E63E4"/>
    <w:rsid w:val="001F001A"/>
    <w:rsid w:val="001F5BF2"/>
    <w:rsid w:val="001F6903"/>
    <w:rsid w:val="001F760D"/>
    <w:rsid w:val="002003F1"/>
    <w:rsid w:val="00201341"/>
    <w:rsid w:val="00201535"/>
    <w:rsid w:val="0020199D"/>
    <w:rsid w:val="00201B42"/>
    <w:rsid w:val="002042F9"/>
    <w:rsid w:val="00204D93"/>
    <w:rsid w:val="00205027"/>
    <w:rsid w:val="00206AD3"/>
    <w:rsid w:val="00206C04"/>
    <w:rsid w:val="00210421"/>
    <w:rsid w:val="002105D4"/>
    <w:rsid w:val="00212AD7"/>
    <w:rsid w:val="00212C0B"/>
    <w:rsid w:val="002133F0"/>
    <w:rsid w:val="00214ADB"/>
    <w:rsid w:val="002150F6"/>
    <w:rsid w:val="00216375"/>
    <w:rsid w:val="00216465"/>
    <w:rsid w:val="00220EF1"/>
    <w:rsid w:val="0022114A"/>
    <w:rsid w:val="0022196B"/>
    <w:rsid w:val="00222032"/>
    <w:rsid w:val="002220AB"/>
    <w:rsid w:val="0022221D"/>
    <w:rsid w:val="002223B0"/>
    <w:rsid w:val="00224878"/>
    <w:rsid w:val="0022543B"/>
    <w:rsid w:val="0023107F"/>
    <w:rsid w:val="00233075"/>
    <w:rsid w:val="002338DF"/>
    <w:rsid w:val="00234958"/>
    <w:rsid w:val="00234F43"/>
    <w:rsid w:val="002372A0"/>
    <w:rsid w:val="00237EF1"/>
    <w:rsid w:val="002417F8"/>
    <w:rsid w:val="002427DC"/>
    <w:rsid w:val="002429AD"/>
    <w:rsid w:val="002432B8"/>
    <w:rsid w:val="002442CD"/>
    <w:rsid w:val="002449B9"/>
    <w:rsid w:val="002457B7"/>
    <w:rsid w:val="0024661D"/>
    <w:rsid w:val="0025045B"/>
    <w:rsid w:val="00250D17"/>
    <w:rsid w:val="0025126C"/>
    <w:rsid w:val="00252141"/>
    <w:rsid w:val="00253492"/>
    <w:rsid w:val="00254A86"/>
    <w:rsid w:val="00254ADA"/>
    <w:rsid w:val="00254E08"/>
    <w:rsid w:val="00255519"/>
    <w:rsid w:val="0025667A"/>
    <w:rsid w:val="00256C73"/>
    <w:rsid w:val="00256CFE"/>
    <w:rsid w:val="00256E97"/>
    <w:rsid w:val="00257877"/>
    <w:rsid w:val="00260211"/>
    <w:rsid w:val="002603AA"/>
    <w:rsid w:val="00261659"/>
    <w:rsid w:val="00261A6E"/>
    <w:rsid w:val="00261D34"/>
    <w:rsid w:val="00262125"/>
    <w:rsid w:val="00263849"/>
    <w:rsid w:val="00263FE0"/>
    <w:rsid w:val="002642FE"/>
    <w:rsid w:val="00264CAC"/>
    <w:rsid w:val="00264F81"/>
    <w:rsid w:val="00265D12"/>
    <w:rsid w:val="00266EE0"/>
    <w:rsid w:val="002675CF"/>
    <w:rsid w:val="00267704"/>
    <w:rsid w:val="002712E1"/>
    <w:rsid w:val="002729AF"/>
    <w:rsid w:val="00273DE3"/>
    <w:rsid w:val="0027634D"/>
    <w:rsid w:val="00277777"/>
    <w:rsid w:val="00277791"/>
    <w:rsid w:val="00277E8C"/>
    <w:rsid w:val="00281784"/>
    <w:rsid w:val="0028185F"/>
    <w:rsid w:val="00281AE4"/>
    <w:rsid w:val="00281D91"/>
    <w:rsid w:val="002840F6"/>
    <w:rsid w:val="002860BA"/>
    <w:rsid w:val="00286AED"/>
    <w:rsid w:val="00287681"/>
    <w:rsid w:val="0029018E"/>
    <w:rsid w:val="00292BBC"/>
    <w:rsid w:val="00293780"/>
    <w:rsid w:val="00293EE0"/>
    <w:rsid w:val="00294B5C"/>
    <w:rsid w:val="00295D14"/>
    <w:rsid w:val="00297012"/>
    <w:rsid w:val="00297879"/>
    <w:rsid w:val="002979DF"/>
    <w:rsid w:val="00297D5D"/>
    <w:rsid w:val="00297F10"/>
    <w:rsid w:val="002A1914"/>
    <w:rsid w:val="002A354E"/>
    <w:rsid w:val="002A37A2"/>
    <w:rsid w:val="002B00CE"/>
    <w:rsid w:val="002B01F2"/>
    <w:rsid w:val="002B0AD1"/>
    <w:rsid w:val="002B1457"/>
    <w:rsid w:val="002B20BF"/>
    <w:rsid w:val="002B2886"/>
    <w:rsid w:val="002B43C1"/>
    <w:rsid w:val="002B5541"/>
    <w:rsid w:val="002B7953"/>
    <w:rsid w:val="002B797C"/>
    <w:rsid w:val="002C083B"/>
    <w:rsid w:val="002C0E12"/>
    <w:rsid w:val="002C0F7F"/>
    <w:rsid w:val="002C25C7"/>
    <w:rsid w:val="002C2687"/>
    <w:rsid w:val="002C2A12"/>
    <w:rsid w:val="002C3081"/>
    <w:rsid w:val="002C3FDB"/>
    <w:rsid w:val="002C548D"/>
    <w:rsid w:val="002C65F5"/>
    <w:rsid w:val="002C73AC"/>
    <w:rsid w:val="002C773B"/>
    <w:rsid w:val="002D209D"/>
    <w:rsid w:val="002D6475"/>
    <w:rsid w:val="002D6A6C"/>
    <w:rsid w:val="002D6A78"/>
    <w:rsid w:val="002D706A"/>
    <w:rsid w:val="002E00C5"/>
    <w:rsid w:val="002E039F"/>
    <w:rsid w:val="002E05D7"/>
    <w:rsid w:val="002E2463"/>
    <w:rsid w:val="002E2DE8"/>
    <w:rsid w:val="002E3429"/>
    <w:rsid w:val="002E3DCD"/>
    <w:rsid w:val="002E4D9E"/>
    <w:rsid w:val="002E555A"/>
    <w:rsid w:val="002E5710"/>
    <w:rsid w:val="002E5C0E"/>
    <w:rsid w:val="002E678B"/>
    <w:rsid w:val="002E69C7"/>
    <w:rsid w:val="002E6EF3"/>
    <w:rsid w:val="002E70A2"/>
    <w:rsid w:val="002E7801"/>
    <w:rsid w:val="002F07AF"/>
    <w:rsid w:val="002F0825"/>
    <w:rsid w:val="002F09B7"/>
    <w:rsid w:val="002F1B5C"/>
    <w:rsid w:val="002F2AAA"/>
    <w:rsid w:val="002F4BF2"/>
    <w:rsid w:val="002F7F37"/>
    <w:rsid w:val="00302D1E"/>
    <w:rsid w:val="00302F79"/>
    <w:rsid w:val="003046B5"/>
    <w:rsid w:val="00304E23"/>
    <w:rsid w:val="00305A0D"/>
    <w:rsid w:val="003101CF"/>
    <w:rsid w:val="00310BA2"/>
    <w:rsid w:val="00312A35"/>
    <w:rsid w:val="00313B90"/>
    <w:rsid w:val="00315802"/>
    <w:rsid w:val="0031583C"/>
    <w:rsid w:val="00316548"/>
    <w:rsid w:val="00317324"/>
    <w:rsid w:val="00317394"/>
    <w:rsid w:val="00321218"/>
    <w:rsid w:val="00322EC4"/>
    <w:rsid w:val="003235C7"/>
    <w:rsid w:val="0032465C"/>
    <w:rsid w:val="003248BE"/>
    <w:rsid w:val="00325BB1"/>
    <w:rsid w:val="00327009"/>
    <w:rsid w:val="00327273"/>
    <w:rsid w:val="00327E32"/>
    <w:rsid w:val="00331160"/>
    <w:rsid w:val="003311BB"/>
    <w:rsid w:val="0033283B"/>
    <w:rsid w:val="00332AB9"/>
    <w:rsid w:val="0033593A"/>
    <w:rsid w:val="003368E5"/>
    <w:rsid w:val="00337784"/>
    <w:rsid w:val="00341515"/>
    <w:rsid w:val="00341ABC"/>
    <w:rsid w:val="00342E2F"/>
    <w:rsid w:val="00343BD3"/>
    <w:rsid w:val="00344705"/>
    <w:rsid w:val="00345934"/>
    <w:rsid w:val="00345B71"/>
    <w:rsid w:val="0034694F"/>
    <w:rsid w:val="00346A1E"/>
    <w:rsid w:val="00346FF2"/>
    <w:rsid w:val="0035304C"/>
    <w:rsid w:val="00354F2C"/>
    <w:rsid w:val="00354FDE"/>
    <w:rsid w:val="00355C37"/>
    <w:rsid w:val="00356BE4"/>
    <w:rsid w:val="003603FD"/>
    <w:rsid w:val="00361BDF"/>
    <w:rsid w:val="00361F11"/>
    <w:rsid w:val="003645F1"/>
    <w:rsid w:val="00366D24"/>
    <w:rsid w:val="00366D8A"/>
    <w:rsid w:val="003675C5"/>
    <w:rsid w:val="003715E4"/>
    <w:rsid w:val="003716B6"/>
    <w:rsid w:val="0037448B"/>
    <w:rsid w:val="00376305"/>
    <w:rsid w:val="00377DBC"/>
    <w:rsid w:val="00380E24"/>
    <w:rsid w:val="00381326"/>
    <w:rsid w:val="00382FCD"/>
    <w:rsid w:val="003832B3"/>
    <w:rsid w:val="00383D24"/>
    <w:rsid w:val="00384CC9"/>
    <w:rsid w:val="00384FC9"/>
    <w:rsid w:val="00385AA7"/>
    <w:rsid w:val="0038771F"/>
    <w:rsid w:val="00390BBF"/>
    <w:rsid w:val="00391675"/>
    <w:rsid w:val="00391CEF"/>
    <w:rsid w:val="00391FE0"/>
    <w:rsid w:val="00393080"/>
    <w:rsid w:val="00393C7C"/>
    <w:rsid w:val="00393CD7"/>
    <w:rsid w:val="00393FCF"/>
    <w:rsid w:val="0039485E"/>
    <w:rsid w:val="00395ECD"/>
    <w:rsid w:val="0039750C"/>
    <w:rsid w:val="00397F1E"/>
    <w:rsid w:val="003A1985"/>
    <w:rsid w:val="003A59E6"/>
    <w:rsid w:val="003A7205"/>
    <w:rsid w:val="003A7843"/>
    <w:rsid w:val="003A7869"/>
    <w:rsid w:val="003A7D5E"/>
    <w:rsid w:val="003B14E3"/>
    <w:rsid w:val="003B1D7D"/>
    <w:rsid w:val="003B2E78"/>
    <w:rsid w:val="003B31C1"/>
    <w:rsid w:val="003B3D82"/>
    <w:rsid w:val="003B5180"/>
    <w:rsid w:val="003B6C83"/>
    <w:rsid w:val="003C1BB4"/>
    <w:rsid w:val="003C4375"/>
    <w:rsid w:val="003C45EE"/>
    <w:rsid w:val="003C49C9"/>
    <w:rsid w:val="003C5032"/>
    <w:rsid w:val="003C5706"/>
    <w:rsid w:val="003C6A68"/>
    <w:rsid w:val="003D2018"/>
    <w:rsid w:val="003D2624"/>
    <w:rsid w:val="003D2986"/>
    <w:rsid w:val="003D3994"/>
    <w:rsid w:val="003D49E2"/>
    <w:rsid w:val="003D50E9"/>
    <w:rsid w:val="003D6096"/>
    <w:rsid w:val="003D6F49"/>
    <w:rsid w:val="003D71B1"/>
    <w:rsid w:val="003D7548"/>
    <w:rsid w:val="003D76E9"/>
    <w:rsid w:val="003E0A24"/>
    <w:rsid w:val="003E31D3"/>
    <w:rsid w:val="003E3786"/>
    <w:rsid w:val="003E3C94"/>
    <w:rsid w:val="003E4283"/>
    <w:rsid w:val="003E64CB"/>
    <w:rsid w:val="003E6586"/>
    <w:rsid w:val="003E6664"/>
    <w:rsid w:val="003F1768"/>
    <w:rsid w:val="003F1ABA"/>
    <w:rsid w:val="003F239F"/>
    <w:rsid w:val="003F2A33"/>
    <w:rsid w:val="003F32D3"/>
    <w:rsid w:val="003F49DF"/>
    <w:rsid w:val="003F6579"/>
    <w:rsid w:val="00402E6E"/>
    <w:rsid w:val="00403550"/>
    <w:rsid w:val="0040503B"/>
    <w:rsid w:val="004055F4"/>
    <w:rsid w:val="00405B05"/>
    <w:rsid w:val="00406404"/>
    <w:rsid w:val="0040774E"/>
    <w:rsid w:val="00407915"/>
    <w:rsid w:val="004113DE"/>
    <w:rsid w:val="00412A4A"/>
    <w:rsid w:val="00412DB9"/>
    <w:rsid w:val="004136A2"/>
    <w:rsid w:val="00414115"/>
    <w:rsid w:val="00414561"/>
    <w:rsid w:val="00414BCB"/>
    <w:rsid w:val="00416D2B"/>
    <w:rsid w:val="004171C6"/>
    <w:rsid w:val="00422484"/>
    <w:rsid w:val="004225B5"/>
    <w:rsid w:val="0042294E"/>
    <w:rsid w:val="00422F15"/>
    <w:rsid w:val="004237ED"/>
    <w:rsid w:val="00423B33"/>
    <w:rsid w:val="004256C7"/>
    <w:rsid w:val="00425998"/>
    <w:rsid w:val="004260C0"/>
    <w:rsid w:val="00430776"/>
    <w:rsid w:val="00431505"/>
    <w:rsid w:val="004319CB"/>
    <w:rsid w:val="00431B31"/>
    <w:rsid w:val="00434381"/>
    <w:rsid w:val="00436458"/>
    <w:rsid w:val="004367C4"/>
    <w:rsid w:val="00436C38"/>
    <w:rsid w:val="00440BC0"/>
    <w:rsid w:val="00441451"/>
    <w:rsid w:val="00441CF5"/>
    <w:rsid w:val="00442877"/>
    <w:rsid w:val="004432EA"/>
    <w:rsid w:val="004436DC"/>
    <w:rsid w:val="00443D4A"/>
    <w:rsid w:val="004459DC"/>
    <w:rsid w:val="004460DD"/>
    <w:rsid w:val="00447257"/>
    <w:rsid w:val="004474E7"/>
    <w:rsid w:val="004514D0"/>
    <w:rsid w:val="00451670"/>
    <w:rsid w:val="0045446A"/>
    <w:rsid w:val="00454E20"/>
    <w:rsid w:val="00455B7A"/>
    <w:rsid w:val="0045673B"/>
    <w:rsid w:val="00457364"/>
    <w:rsid w:val="004617E9"/>
    <w:rsid w:val="004619F1"/>
    <w:rsid w:val="0046361A"/>
    <w:rsid w:val="00463835"/>
    <w:rsid w:val="00463861"/>
    <w:rsid w:val="00464586"/>
    <w:rsid w:val="0046603E"/>
    <w:rsid w:val="004663B9"/>
    <w:rsid w:val="00466F73"/>
    <w:rsid w:val="00467D55"/>
    <w:rsid w:val="00470985"/>
    <w:rsid w:val="0047399E"/>
    <w:rsid w:val="00473F75"/>
    <w:rsid w:val="00474BD6"/>
    <w:rsid w:val="00474CC9"/>
    <w:rsid w:val="00476D69"/>
    <w:rsid w:val="00477202"/>
    <w:rsid w:val="00477BDF"/>
    <w:rsid w:val="004804E4"/>
    <w:rsid w:val="004812C6"/>
    <w:rsid w:val="0048146B"/>
    <w:rsid w:val="00481E57"/>
    <w:rsid w:val="004820C3"/>
    <w:rsid w:val="0048212A"/>
    <w:rsid w:val="00482235"/>
    <w:rsid w:val="00482E84"/>
    <w:rsid w:val="00483C88"/>
    <w:rsid w:val="00484B4A"/>
    <w:rsid w:val="00486EB3"/>
    <w:rsid w:val="00487F6A"/>
    <w:rsid w:val="00490E1A"/>
    <w:rsid w:val="004911B7"/>
    <w:rsid w:val="00492024"/>
    <w:rsid w:val="00493174"/>
    <w:rsid w:val="00495BCD"/>
    <w:rsid w:val="00495F49"/>
    <w:rsid w:val="004A2514"/>
    <w:rsid w:val="004A26ED"/>
    <w:rsid w:val="004A5379"/>
    <w:rsid w:val="004B0078"/>
    <w:rsid w:val="004B1029"/>
    <w:rsid w:val="004B333D"/>
    <w:rsid w:val="004B4A49"/>
    <w:rsid w:val="004B5939"/>
    <w:rsid w:val="004B623C"/>
    <w:rsid w:val="004B63C5"/>
    <w:rsid w:val="004B6CE6"/>
    <w:rsid w:val="004B72AB"/>
    <w:rsid w:val="004B7D2F"/>
    <w:rsid w:val="004C0BDD"/>
    <w:rsid w:val="004C2E68"/>
    <w:rsid w:val="004C3EC6"/>
    <w:rsid w:val="004C3FFC"/>
    <w:rsid w:val="004C4012"/>
    <w:rsid w:val="004C6511"/>
    <w:rsid w:val="004C6ACD"/>
    <w:rsid w:val="004C70DF"/>
    <w:rsid w:val="004C722F"/>
    <w:rsid w:val="004C7EC2"/>
    <w:rsid w:val="004D1AE7"/>
    <w:rsid w:val="004D315E"/>
    <w:rsid w:val="004D32CB"/>
    <w:rsid w:val="004D36B6"/>
    <w:rsid w:val="004D5685"/>
    <w:rsid w:val="004D5D24"/>
    <w:rsid w:val="004E174B"/>
    <w:rsid w:val="004E472B"/>
    <w:rsid w:val="004E4F05"/>
    <w:rsid w:val="004E5667"/>
    <w:rsid w:val="004E7152"/>
    <w:rsid w:val="004F1CD2"/>
    <w:rsid w:val="004F242C"/>
    <w:rsid w:val="004F2F86"/>
    <w:rsid w:val="004F499B"/>
    <w:rsid w:val="004F52FC"/>
    <w:rsid w:val="004F69F2"/>
    <w:rsid w:val="004F743B"/>
    <w:rsid w:val="0050078E"/>
    <w:rsid w:val="005014D2"/>
    <w:rsid w:val="00502DF3"/>
    <w:rsid w:val="00503F7B"/>
    <w:rsid w:val="00505BF6"/>
    <w:rsid w:val="00507955"/>
    <w:rsid w:val="005110C3"/>
    <w:rsid w:val="00512E9A"/>
    <w:rsid w:val="005132E0"/>
    <w:rsid w:val="00513808"/>
    <w:rsid w:val="00513A45"/>
    <w:rsid w:val="00513B09"/>
    <w:rsid w:val="00513C84"/>
    <w:rsid w:val="00513F75"/>
    <w:rsid w:val="005160F1"/>
    <w:rsid w:val="00517775"/>
    <w:rsid w:val="00517A50"/>
    <w:rsid w:val="00517EDE"/>
    <w:rsid w:val="005216BE"/>
    <w:rsid w:val="00522607"/>
    <w:rsid w:val="0052342D"/>
    <w:rsid w:val="005237B1"/>
    <w:rsid w:val="00523CCC"/>
    <w:rsid w:val="00524E26"/>
    <w:rsid w:val="00527E20"/>
    <w:rsid w:val="00530126"/>
    <w:rsid w:val="00530576"/>
    <w:rsid w:val="0053283C"/>
    <w:rsid w:val="00532956"/>
    <w:rsid w:val="00536BD1"/>
    <w:rsid w:val="00537075"/>
    <w:rsid w:val="0054254B"/>
    <w:rsid w:val="0054262E"/>
    <w:rsid w:val="005434AD"/>
    <w:rsid w:val="00543F9F"/>
    <w:rsid w:val="0054400A"/>
    <w:rsid w:val="005448D8"/>
    <w:rsid w:val="0054508B"/>
    <w:rsid w:val="00545E7E"/>
    <w:rsid w:val="00546EA1"/>
    <w:rsid w:val="005470D6"/>
    <w:rsid w:val="0054739D"/>
    <w:rsid w:val="0055121D"/>
    <w:rsid w:val="0055157D"/>
    <w:rsid w:val="0055200D"/>
    <w:rsid w:val="005530B2"/>
    <w:rsid w:val="00560150"/>
    <w:rsid w:val="00560A21"/>
    <w:rsid w:val="00562D38"/>
    <w:rsid w:val="00562F91"/>
    <w:rsid w:val="00564958"/>
    <w:rsid w:val="00567BA6"/>
    <w:rsid w:val="005704C8"/>
    <w:rsid w:val="00572E9E"/>
    <w:rsid w:val="00574414"/>
    <w:rsid w:val="005757B3"/>
    <w:rsid w:val="005766CB"/>
    <w:rsid w:val="00576AE0"/>
    <w:rsid w:val="005774D0"/>
    <w:rsid w:val="005774D8"/>
    <w:rsid w:val="0058193A"/>
    <w:rsid w:val="00581CDA"/>
    <w:rsid w:val="00582613"/>
    <w:rsid w:val="005835EB"/>
    <w:rsid w:val="005856D2"/>
    <w:rsid w:val="00585C2F"/>
    <w:rsid w:val="00587B3E"/>
    <w:rsid w:val="00591891"/>
    <w:rsid w:val="00591B01"/>
    <w:rsid w:val="005926C5"/>
    <w:rsid w:val="00592ECA"/>
    <w:rsid w:val="00593869"/>
    <w:rsid w:val="00594717"/>
    <w:rsid w:val="00594D12"/>
    <w:rsid w:val="00596DCB"/>
    <w:rsid w:val="00597AFC"/>
    <w:rsid w:val="00597E3F"/>
    <w:rsid w:val="005A0FB7"/>
    <w:rsid w:val="005A17C0"/>
    <w:rsid w:val="005A204A"/>
    <w:rsid w:val="005A24C6"/>
    <w:rsid w:val="005A4073"/>
    <w:rsid w:val="005A5442"/>
    <w:rsid w:val="005A63C8"/>
    <w:rsid w:val="005A640A"/>
    <w:rsid w:val="005A6439"/>
    <w:rsid w:val="005A6D32"/>
    <w:rsid w:val="005A6EDF"/>
    <w:rsid w:val="005A7F95"/>
    <w:rsid w:val="005B0A54"/>
    <w:rsid w:val="005B0E72"/>
    <w:rsid w:val="005B2472"/>
    <w:rsid w:val="005B3531"/>
    <w:rsid w:val="005B35FE"/>
    <w:rsid w:val="005B7319"/>
    <w:rsid w:val="005C0BCD"/>
    <w:rsid w:val="005C1B80"/>
    <w:rsid w:val="005C30D2"/>
    <w:rsid w:val="005C3C63"/>
    <w:rsid w:val="005C635C"/>
    <w:rsid w:val="005C6AA4"/>
    <w:rsid w:val="005D0201"/>
    <w:rsid w:val="005D2733"/>
    <w:rsid w:val="005D2D21"/>
    <w:rsid w:val="005D444B"/>
    <w:rsid w:val="005D54FC"/>
    <w:rsid w:val="005D586F"/>
    <w:rsid w:val="005D63DF"/>
    <w:rsid w:val="005D6811"/>
    <w:rsid w:val="005D6B2F"/>
    <w:rsid w:val="005D7DC2"/>
    <w:rsid w:val="005D7DD0"/>
    <w:rsid w:val="005E0565"/>
    <w:rsid w:val="005E17CA"/>
    <w:rsid w:val="005E442B"/>
    <w:rsid w:val="005E4CDD"/>
    <w:rsid w:val="005E4FBA"/>
    <w:rsid w:val="005E6207"/>
    <w:rsid w:val="005F09DD"/>
    <w:rsid w:val="005F1ADB"/>
    <w:rsid w:val="005F2190"/>
    <w:rsid w:val="005F3D6B"/>
    <w:rsid w:val="005F4FE0"/>
    <w:rsid w:val="005F5756"/>
    <w:rsid w:val="005F5B43"/>
    <w:rsid w:val="005F6C79"/>
    <w:rsid w:val="005F6D89"/>
    <w:rsid w:val="005F73CC"/>
    <w:rsid w:val="00600A8D"/>
    <w:rsid w:val="006016C4"/>
    <w:rsid w:val="0060246F"/>
    <w:rsid w:val="0060394A"/>
    <w:rsid w:val="00603C10"/>
    <w:rsid w:val="00604583"/>
    <w:rsid w:val="006100CF"/>
    <w:rsid w:val="006108E3"/>
    <w:rsid w:val="00610F83"/>
    <w:rsid w:val="00611462"/>
    <w:rsid w:val="00612A14"/>
    <w:rsid w:val="00616DA2"/>
    <w:rsid w:val="0061727D"/>
    <w:rsid w:val="006204F4"/>
    <w:rsid w:val="0062056D"/>
    <w:rsid w:val="006234CC"/>
    <w:rsid w:val="00624AD3"/>
    <w:rsid w:val="00624B98"/>
    <w:rsid w:val="00624C98"/>
    <w:rsid w:val="00624F3D"/>
    <w:rsid w:val="00627F3B"/>
    <w:rsid w:val="00627F62"/>
    <w:rsid w:val="00630629"/>
    <w:rsid w:val="0063100E"/>
    <w:rsid w:val="00631672"/>
    <w:rsid w:val="00633A05"/>
    <w:rsid w:val="00633F9D"/>
    <w:rsid w:val="00634299"/>
    <w:rsid w:val="00636BFA"/>
    <w:rsid w:val="00640026"/>
    <w:rsid w:val="006403BC"/>
    <w:rsid w:val="00640CC7"/>
    <w:rsid w:val="00641C3F"/>
    <w:rsid w:val="006426FB"/>
    <w:rsid w:val="00644847"/>
    <w:rsid w:val="00646547"/>
    <w:rsid w:val="006466B9"/>
    <w:rsid w:val="00646F26"/>
    <w:rsid w:val="00646F3C"/>
    <w:rsid w:val="00647E15"/>
    <w:rsid w:val="0065035F"/>
    <w:rsid w:val="0065080C"/>
    <w:rsid w:val="0065210B"/>
    <w:rsid w:val="0065450B"/>
    <w:rsid w:val="006545E5"/>
    <w:rsid w:val="00654A1A"/>
    <w:rsid w:val="00654F9F"/>
    <w:rsid w:val="006575B4"/>
    <w:rsid w:val="006603C0"/>
    <w:rsid w:val="00660F7F"/>
    <w:rsid w:val="00661639"/>
    <w:rsid w:val="00661864"/>
    <w:rsid w:val="00661FB2"/>
    <w:rsid w:val="0066366D"/>
    <w:rsid w:val="00663875"/>
    <w:rsid w:val="006640E8"/>
    <w:rsid w:val="006640ED"/>
    <w:rsid w:val="006658CA"/>
    <w:rsid w:val="00665B62"/>
    <w:rsid w:val="00666191"/>
    <w:rsid w:val="0066678A"/>
    <w:rsid w:val="00666C17"/>
    <w:rsid w:val="00666C4C"/>
    <w:rsid w:val="00666E29"/>
    <w:rsid w:val="00670A68"/>
    <w:rsid w:val="0067161F"/>
    <w:rsid w:val="00673BBA"/>
    <w:rsid w:val="006750F2"/>
    <w:rsid w:val="00675B03"/>
    <w:rsid w:val="006768F6"/>
    <w:rsid w:val="00677E4D"/>
    <w:rsid w:val="00677EC5"/>
    <w:rsid w:val="0068020C"/>
    <w:rsid w:val="00680B3E"/>
    <w:rsid w:val="006815E1"/>
    <w:rsid w:val="006816EB"/>
    <w:rsid w:val="00681C8D"/>
    <w:rsid w:val="0068331E"/>
    <w:rsid w:val="00683946"/>
    <w:rsid w:val="00683D6B"/>
    <w:rsid w:val="00684EF2"/>
    <w:rsid w:val="006852AE"/>
    <w:rsid w:val="00690196"/>
    <w:rsid w:val="00690BA1"/>
    <w:rsid w:val="006917A8"/>
    <w:rsid w:val="00691DC3"/>
    <w:rsid w:val="00692A5E"/>
    <w:rsid w:val="00692C2F"/>
    <w:rsid w:val="00695F27"/>
    <w:rsid w:val="0069788B"/>
    <w:rsid w:val="00697A53"/>
    <w:rsid w:val="006A0CF5"/>
    <w:rsid w:val="006A13C9"/>
    <w:rsid w:val="006A1849"/>
    <w:rsid w:val="006A1ACD"/>
    <w:rsid w:val="006A31B9"/>
    <w:rsid w:val="006A4873"/>
    <w:rsid w:val="006A4E70"/>
    <w:rsid w:val="006A57C2"/>
    <w:rsid w:val="006A6E59"/>
    <w:rsid w:val="006A7AB1"/>
    <w:rsid w:val="006A7D4D"/>
    <w:rsid w:val="006B0324"/>
    <w:rsid w:val="006B4663"/>
    <w:rsid w:val="006B4687"/>
    <w:rsid w:val="006B5D8C"/>
    <w:rsid w:val="006C151B"/>
    <w:rsid w:val="006C3A3C"/>
    <w:rsid w:val="006C3FD3"/>
    <w:rsid w:val="006C51C7"/>
    <w:rsid w:val="006C56EC"/>
    <w:rsid w:val="006C7C5B"/>
    <w:rsid w:val="006D0B5F"/>
    <w:rsid w:val="006D2122"/>
    <w:rsid w:val="006D2276"/>
    <w:rsid w:val="006D2E8C"/>
    <w:rsid w:val="006D30BD"/>
    <w:rsid w:val="006D417A"/>
    <w:rsid w:val="006D43DF"/>
    <w:rsid w:val="006D6984"/>
    <w:rsid w:val="006D6A12"/>
    <w:rsid w:val="006D6FDB"/>
    <w:rsid w:val="006E047E"/>
    <w:rsid w:val="006E0DCD"/>
    <w:rsid w:val="006E16A3"/>
    <w:rsid w:val="006E1A14"/>
    <w:rsid w:val="006E1AC9"/>
    <w:rsid w:val="006E1B03"/>
    <w:rsid w:val="006E2837"/>
    <w:rsid w:val="006E6AAE"/>
    <w:rsid w:val="006E6B04"/>
    <w:rsid w:val="006E72A3"/>
    <w:rsid w:val="006E75A0"/>
    <w:rsid w:val="006F3A98"/>
    <w:rsid w:val="006F5446"/>
    <w:rsid w:val="006F5C5E"/>
    <w:rsid w:val="0070028F"/>
    <w:rsid w:val="0070096C"/>
    <w:rsid w:val="00701622"/>
    <w:rsid w:val="007018E0"/>
    <w:rsid w:val="00703D5C"/>
    <w:rsid w:val="0070460C"/>
    <w:rsid w:val="00704640"/>
    <w:rsid w:val="007060D6"/>
    <w:rsid w:val="007073DE"/>
    <w:rsid w:val="007126A3"/>
    <w:rsid w:val="00712788"/>
    <w:rsid w:val="0071293B"/>
    <w:rsid w:val="00712CB4"/>
    <w:rsid w:val="00712E83"/>
    <w:rsid w:val="007133E8"/>
    <w:rsid w:val="00713401"/>
    <w:rsid w:val="00714DD4"/>
    <w:rsid w:val="007165E2"/>
    <w:rsid w:val="00720491"/>
    <w:rsid w:val="0072093C"/>
    <w:rsid w:val="0072100C"/>
    <w:rsid w:val="007210F2"/>
    <w:rsid w:val="007255D3"/>
    <w:rsid w:val="00726175"/>
    <w:rsid w:val="00730738"/>
    <w:rsid w:val="007311F9"/>
    <w:rsid w:val="00731BDA"/>
    <w:rsid w:val="00733541"/>
    <w:rsid w:val="00733B5E"/>
    <w:rsid w:val="007360EA"/>
    <w:rsid w:val="00736715"/>
    <w:rsid w:val="00737A16"/>
    <w:rsid w:val="00737B9C"/>
    <w:rsid w:val="00737F6D"/>
    <w:rsid w:val="00737FE3"/>
    <w:rsid w:val="00744E4B"/>
    <w:rsid w:val="00745A90"/>
    <w:rsid w:val="00745B0B"/>
    <w:rsid w:val="00745E95"/>
    <w:rsid w:val="00746A4B"/>
    <w:rsid w:val="00746CB0"/>
    <w:rsid w:val="00750BF5"/>
    <w:rsid w:val="00750DAA"/>
    <w:rsid w:val="007523F5"/>
    <w:rsid w:val="00752F39"/>
    <w:rsid w:val="007552FC"/>
    <w:rsid w:val="00755EF7"/>
    <w:rsid w:val="00760A08"/>
    <w:rsid w:val="00760DC7"/>
    <w:rsid w:val="00764961"/>
    <w:rsid w:val="00764FC5"/>
    <w:rsid w:val="00765EA8"/>
    <w:rsid w:val="007661F0"/>
    <w:rsid w:val="0077189A"/>
    <w:rsid w:val="00771E02"/>
    <w:rsid w:val="007729EA"/>
    <w:rsid w:val="0077497A"/>
    <w:rsid w:val="00774CA8"/>
    <w:rsid w:val="00777DE8"/>
    <w:rsid w:val="007815DD"/>
    <w:rsid w:val="00783363"/>
    <w:rsid w:val="0078492D"/>
    <w:rsid w:val="00785D5D"/>
    <w:rsid w:val="00786F8D"/>
    <w:rsid w:val="00787C8E"/>
    <w:rsid w:val="00790A50"/>
    <w:rsid w:val="00790F9A"/>
    <w:rsid w:val="00791485"/>
    <w:rsid w:val="00791559"/>
    <w:rsid w:val="007917B7"/>
    <w:rsid w:val="00792A9B"/>
    <w:rsid w:val="007931BE"/>
    <w:rsid w:val="00793355"/>
    <w:rsid w:val="007939EF"/>
    <w:rsid w:val="00794A55"/>
    <w:rsid w:val="00794FC0"/>
    <w:rsid w:val="007953AB"/>
    <w:rsid w:val="007969D3"/>
    <w:rsid w:val="007A1FE5"/>
    <w:rsid w:val="007A3031"/>
    <w:rsid w:val="007A4756"/>
    <w:rsid w:val="007A64A3"/>
    <w:rsid w:val="007A6CFF"/>
    <w:rsid w:val="007A72B5"/>
    <w:rsid w:val="007A75C4"/>
    <w:rsid w:val="007B015E"/>
    <w:rsid w:val="007B1816"/>
    <w:rsid w:val="007B26CC"/>
    <w:rsid w:val="007B2701"/>
    <w:rsid w:val="007B2856"/>
    <w:rsid w:val="007B305F"/>
    <w:rsid w:val="007B36E2"/>
    <w:rsid w:val="007B3782"/>
    <w:rsid w:val="007B3DCF"/>
    <w:rsid w:val="007B3E47"/>
    <w:rsid w:val="007B55F8"/>
    <w:rsid w:val="007B7938"/>
    <w:rsid w:val="007C0DDE"/>
    <w:rsid w:val="007C1C6E"/>
    <w:rsid w:val="007C33B5"/>
    <w:rsid w:val="007C7115"/>
    <w:rsid w:val="007C7E0B"/>
    <w:rsid w:val="007D00AF"/>
    <w:rsid w:val="007D0392"/>
    <w:rsid w:val="007D09A1"/>
    <w:rsid w:val="007D1C1C"/>
    <w:rsid w:val="007D6379"/>
    <w:rsid w:val="007D78D7"/>
    <w:rsid w:val="007D7C97"/>
    <w:rsid w:val="007E00F1"/>
    <w:rsid w:val="007E18AC"/>
    <w:rsid w:val="007E2951"/>
    <w:rsid w:val="007E29DC"/>
    <w:rsid w:val="007E2AEE"/>
    <w:rsid w:val="007E3C7B"/>
    <w:rsid w:val="007E5618"/>
    <w:rsid w:val="007E5A1D"/>
    <w:rsid w:val="007E5C34"/>
    <w:rsid w:val="007F105C"/>
    <w:rsid w:val="007F2504"/>
    <w:rsid w:val="007F3E3E"/>
    <w:rsid w:val="007F6968"/>
    <w:rsid w:val="00800368"/>
    <w:rsid w:val="00800613"/>
    <w:rsid w:val="008007D9"/>
    <w:rsid w:val="00800AE7"/>
    <w:rsid w:val="00801702"/>
    <w:rsid w:val="00802A29"/>
    <w:rsid w:val="00803029"/>
    <w:rsid w:val="00803501"/>
    <w:rsid w:val="00803A29"/>
    <w:rsid w:val="00805F63"/>
    <w:rsid w:val="00806AA1"/>
    <w:rsid w:val="0080732D"/>
    <w:rsid w:val="00807BFB"/>
    <w:rsid w:val="0081016B"/>
    <w:rsid w:val="00810573"/>
    <w:rsid w:val="008120D2"/>
    <w:rsid w:val="008132FE"/>
    <w:rsid w:val="00813570"/>
    <w:rsid w:val="00817A2C"/>
    <w:rsid w:val="008215E1"/>
    <w:rsid w:val="00821628"/>
    <w:rsid w:val="00821AA0"/>
    <w:rsid w:val="0082290D"/>
    <w:rsid w:val="00823085"/>
    <w:rsid w:val="00824DDD"/>
    <w:rsid w:val="00825DF9"/>
    <w:rsid w:val="00830592"/>
    <w:rsid w:val="00831623"/>
    <w:rsid w:val="00832CBA"/>
    <w:rsid w:val="00835271"/>
    <w:rsid w:val="00837109"/>
    <w:rsid w:val="008372F1"/>
    <w:rsid w:val="00837E32"/>
    <w:rsid w:val="008400C3"/>
    <w:rsid w:val="00840D25"/>
    <w:rsid w:val="0084135F"/>
    <w:rsid w:val="00841894"/>
    <w:rsid w:val="00842FAB"/>
    <w:rsid w:val="008434B7"/>
    <w:rsid w:val="008438C0"/>
    <w:rsid w:val="008448FF"/>
    <w:rsid w:val="008457D7"/>
    <w:rsid w:val="008473B7"/>
    <w:rsid w:val="0085094A"/>
    <w:rsid w:val="00851102"/>
    <w:rsid w:val="00852036"/>
    <w:rsid w:val="00853153"/>
    <w:rsid w:val="00853734"/>
    <w:rsid w:val="0085390E"/>
    <w:rsid w:val="008539C4"/>
    <w:rsid w:val="00854E79"/>
    <w:rsid w:val="00855026"/>
    <w:rsid w:val="00857B27"/>
    <w:rsid w:val="00860420"/>
    <w:rsid w:val="00860640"/>
    <w:rsid w:val="00860C44"/>
    <w:rsid w:val="00860CF7"/>
    <w:rsid w:val="00860FF0"/>
    <w:rsid w:val="0086253A"/>
    <w:rsid w:val="00862D0B"/>
    <w:rsid w:val="0086349E"/>
    <w:rsid w:val="008638F9"/>
    <w:rsid w:val="00863A1F"/>
    <w:rsid w:val="00864EEB"/>
    <w:rsid w:val="00864FC3"/>
    <w:rsid w:val="00865322"/>
    <w:rsid w:val="0086545B"/>
    <w:rsid w:val="008704FF"/>
    <w:rsid w:val="008708CE"/>
    <w:rsid w:val="00870E40"/>
    <w:rsid w:val="0087176F"/>
    <w:rsid w:val="00871FA8"/>
    <w:rsid w:val="008721C1"/>
    <w:rsid w:val="00872877"/>
    <w:rsid w:val="00873C06"/>
    <w:rsid w:val="00874A6C"/>
    <w:rsid w:val="008756B5"/>
    <w:rsid w:val="008757D2"/>
    <w:rsid w:val="008763A8"/>
    <w:rsid w:val="0087654B"/>
    <w:rsid w:val="00876E91"/>
    <w:rsid w:val="00880E0B"/>
    <w:rsid w:val="0088206D"/>
    <w:rsid w:val="00883F50"/>
    <w:rsid w:val="00884B82"/>
    <w:rsid w:val="00885C4F"/>
    <w:rsid w:val="00886900"/>
    <w:rsid w:val="00890CF8"/>
    <w:rsid w:val="00892482"/>
    <w:rsid w:val="008930E8"/>
    <w:rsid w:val="00893A3F"/>
    <w:rsid w:val="00894701"/>
    <w:rsid w:val="00896C51"/>
    <w:rsid w:val="008A1243"/>
    <w:rsid w:val="008A1788"/>
    <w:rsid w:val="008A24BF"/>
    <w:rsid w:val="008A2B69"/>
    <w:rsid w:val="008A514E"/>
    <w:rsid w:val="008A769E"/>
    <w:rsid w:val="008A7A53"/>
    <w:rsid w:val="008A7BFC"/>
    <w:rsid w:val="008A7D12"/>
    <w:rsid w:val="008B0B43"/>
    <w:rsid w:val="008B0BE7"/>
    <w:rsid w:val="008B0CB4"/>
    <w:rsid w:val="008B137C"/>
    <w:rsid w:val="008B1664"/>
    <w:rsid w:val="008B2DCE"/>
    <w:rsid w:val="008B316D"/>
    <w:rsid w:val="008B3800"/>
    <w:rsid w:val="008B3E08"/>
    <w:rsid w:val="008B5D0E"/>
    <w:rsid w:val="008B741C"/>
    <w:rsid w:val="008C1283"/>
    <w:rsid w:val="008C1663"/>
    <w:rsid w:val="008C1AF6"/>
    <w:rsid w:val="008C1DCE"/>
    <w:rsid w:val="008C3487"/>
    <w:rsid w:val="008C384A"/>
    <w:rsid w:val="008C4534"/>
    <w:rsid w:val="008D17F7"/>
    <w:rsid w:val="008D1857"/>
    <w:rsid w:val="008D27FA"/>
    <w:rsid w:val="008D5139"/>
    <w:rsid w:val="008D5A93"/>
    <w:rsid w:val="008D678C"/>
    <w:rsid w:val="008D6F1F"/>
    <w:rsid w:val="008E2407"/>
    <w:rsid w:val="008E2E20"/>
    <w:rsid w:val="008E439D"/>
    <w:rsid w:val="008E4665"/>
    <w:rsid w:val="008E538E"/>
    <w:rsid w:val="008E5C12"/>
    <w:rsid w:val="008E5E2A"/>
    <w:rsid w:val="008E6BBA"/>
    <w:rsid w:val="008F0762"/>
    <w:rsid w:val="008F19DA"/>
    <w:rsid w:val="008F1A75"/>
    <w:rsid w:val="008F26AD"/>
    <w:rsid w:val="008F29EE"/>
    <w:rsid w:val="008F2BB7"/>
    <w:rsid w:val="008F46DD"/>
    <w:rsid w:val="008F4BCA"/>
    <w:rsid w:val="008F4CAB"/>
    <w:rsid w:val="008F7627"/>
    <w:rsid w:val="008F7F60"/>
    <w:rsid w:val="00900917"/>
    <w:rsid w:val="00900A5E"/>
    <w:rsid w:val="00901DD6"/>
    <w:rsid w:val="00902BF3"/>
    <w:rsid w:val="009034A9"/>
    <w:rsid w:val="00903E4A"/>
    <w:rsid w:val="00903EA7"/>
    <w:rsid w:val="009041DB"/>
    <w:rsid w:val="009042D1"/>
    <w:rsid w:val="00905B08"/>
    <w:rsid w:val="009068A2"/>
    <w:rsid w:val="00907569"/>
    <w:rsid w:val="00907D55"/>
    <w:rsid w:val="00907EA5"/>
    <w:rsid w:val="00911DE1"/>
    <w:rsid w:val="009128E4"/>
    <w:rsid w:val="00912DF2"/>
    <w:rsid w:val="0091300D"/>
    <w:rsid w:val="00913B2D"/>
    <w:rsid w:val="009140EE"/>
    <w:rsid w:val="00914717"/>
    <w:rsid w:val="009159F6"/>
    <w:rsid w:val="00916CBC"/>
    <w:rsid w:val="00917252"/>
    <w:rsid w:val="00917E09"/>
    <w:rsid w:val="009205CE"/>
    <w:rsid w:val="00920B00"/>
    <w:rsid w:val="00921812"/>
    <w:rsid w:val="0092230A"/>
    <w:rsid w:val="009229FE"/>
    <w:rsid w:val="00922C4B"/>
    <w:rsid w:val="009231D8"/>
    <w:rsid w:val="00924C62"/>
    <w:rsid w:val="00924D4B"/>
    <w:rsid w:val="0092513B"/>
    <w:rsid w:val="009252AA"/>
    <w:rsid w:val="009256F9"/>
    <w:rsid w:val="00926016"/>
    <w:rsid w:val="0092641E"/>
    <w:rsid w:val="00932DCA"/>
    <w:rsid w:val="0093356A"/>
    <w:rsid w:val="00934460"/>
    <w:rsid w:val="00934AE7"/>
    <w:rsid w:val="00934C8D"/>
    <w:rsid w:val="00937605"/>
    <w:rsid w:val="0094281D"/>
    <w:rsid w:val="009429B9"/>
    <w:rsid w:val="0094338C"/>
    <w:rsid w:val="0094393C"/>
    <w:rsid w:val="009439C9"/>
    <w:rsid w:val="00944E3A"/>
    <w:rsid w:val="00946CCB"/>
    <w:rsid w:val="009502E3"/>
    <w:rsid w:val="00951627"/>
    <w:rsid w:val="00951AA7"/>
    <w:rsid w:val="009539EF"/>
    <w:rsid w:val="009549AC"/>
    <w:rsid w:val="0095589B"/>
    <w:rsid w:val="00955A5B"/>
    <w:rsid w:val="009560A4"/>
    <w:rsid w:val="00956887"/>
    <w:rsid w:val="0096183E"/>
    <w:rsid w:val="00962BE3"/>
    <w:rsid w:val="009633E8"/>
    <w:rsid w:val="009635AA"/>
    <w:rsid w:val="00963817"/>
    <w:rsid w:val="0096401F"/>
    <w:rsid w:val="00966A97"/>
    <w:rsid w:val="00966B9E"/>
    <w:rsid w:val="00966FB7"/>
    <w:rsid w:val="0096780C"/>
    <w:rsid w:val="00967AE7"/>
    <w:rsid w:val="00970178"/>
    <w:rsid w:val="00971D75"/>
    <w:rsid w:val="00972A40"/>
    <w:rsid w:val="0097463E"/>
    <w:rsid w:val="00976C1E"/>
    <w:rsid w:val="00976C77"/>
    <w:rsid w:val="00976F05"/>
    <w:rsid w:val="00977685"/>
    <w:rsid w:val="00977BC6"/>
    <w:rsid w:val="0098055A"/>
    <w:rsid w:val="00980615"/>
    <w:rsid w:val="00981AF8"/>
    <w:rsid w:val="00982890"/>
    <w:rsid w:val="00982CB3"/>
    <w:rsid w:val="009853DC"/>
    <w:rsid w:val="00986A48"/>
    <w:rsid w:val="00987DB1"/>
    <w:rsid w:val="00990893"/>
    <w:rsid w:val="00990D5E"/>
    <w:rsid w:val="00991093"/>
    <w:rsid w:val="00991428"/>
    <w:rsid w:val="00992684"/>
    <w:rsid w:val="00992F37"/>
    <w:rsid w:val="0099783A"/>
    <w:rsid w:val="00997DF9"/>
    <w:rsid w:val="00997ED7"/>
    <w:rsid w:val="00997FEA"/>
    <w:rsid w:val="009A2661"/>
    <w:rsid w:val="009A2753"/>
    <w:rsid w:val="009A2DBC"/>
    <w:rsid w:val="009A327B"/>
    <w:rsid w:val="009A3CB9"/>
    <w:rsid w:val="009A5738"/>
    <w:rsid w:val="009A5C96"/>
    <w:rsid w:val="009A6B1C"/>
    <w:rsid w:val="009A7A01"/>
    <w:rsid w:val="009A7DB3"/>
    <w:rsid w:val="009B3518"/>
    <w:rsid w:val="009B421F"/>
    <w:rsid w:val="009B4234"/>
    <w:rsid w:val="009B4418"/>
    <w:rsid w:val="009B53F4"/>
    <w:rsid w:val="009B5450"/>
    <w:rsid w:val="009B55D9"/>
    <w:rsid w:val="009B5D9E"/>
    <w:rsid w:val="009B6728"/>
    <w:rsid w:val="009B6864"/>
    <w:rsid w:val="009B71BE"/>
    <w:rsid w:val="009C02C4"/>
    <w:rsid w:val="009C1A2C"/>
    <w:rsid w:val="009C23F2"/>
    <w:rsid w:val="009C2E9E"/>
    <w:rsid w:val="009C4B2E"/>
    <w:rsid w:val="009C4C4C"/>
    <w:rsid w:val="009C6834"/>
    <w:rsid w:val="009C6E56"/>
    <w:rsid w:val="009D1404"/>
    <w:rsid w:val="009D168C"/>
    <w:rsid w:val="009D20E8"/>
    <w:rsid w:val="009D3061"/>
    <w:rsid w:val="009D3ABF"/>
    <w:rsid w:val="009D3DA1"/>
    <w:rsid w:val="009D427A"/>
    <w:rsid w:val="009D4CC1"/>
    <w:rsid w:val="009D4FB7"/>
    <w:rsid w:val="009D5E5E"/>
    <w:rsid w:val="009D5F16"/>
    <w:rsid w:val="009E3AED"/>
    <w:rsid w:val="009E4934"/>
    <w:rsid w:val="009E5325"/>
    <w:rsid w:val="009E64B5"/>
    <w:rsid w:val="009E7EC3"/>
    <w:rsid w:val="009F0787"/>
    <w:rsid w:val="009F1A23"/>
    <w:rsid w:val="009F3133"/>
    <w:rsid w:val="009F490C"/>
    <w:rsid w:val="009F50CD"/>
    <w:rsid w:val="009F515E"/>
    <w:rsid w:val="009F57FD"/>
    <w:rsid w:val="009F6213"/>
    <w:rsid w:val="009F6317"/>
    <w:rsid w:val="00A005DE"/>
    <w:rsid w:val="00A00D40"/>
    <w:rsid w:val="00A01660"/>
    <w:rsid w:val="00A033B1"/>
    <w:rsid w:val="00A05085"/>
    <w:rsid w:val="00A050C0"/>
    <w:rsid w:val="00A0576E"/>
    <w:rsid w:val="00A07A8C"/>
    <w:rsid w:val="00A07AEE"/>
    <w:rsid w:val="00A07C94"/>
    <w:rsid w:val="00A07CD8"/>
    <w:rsid w:val="00A1063D"/>
    <w:rsid w:val="00A10A2A"/>
    <w:rsid w:val="00A10B36"/>
    <w:rsid w:val="00A11937"/>
    <w:rsid w:val="00A12950"/>
    <w:rsid w:val="00A12FCC"/>
    <w:rsid w:val="00A133EC"/>
    <w:rsid w:val="00A145DB"/>
    <w:rsid w:val="00A14EEC"/>
    <w:rsid w:val="00A15EA7"/>
    <w:rsid w:val="00A20508"/>
    <w:rsid w:val="00A20599"/>
    <w:rsid w:val="00A2096F"/>
    <w:rsid w:val="00A212C1"/>
    <w:rsid w:val="00A21F58"/>
    <w:rsid w:val="00A24A13"/>
    <w:rsid w:val="00A260C4"/>
    <w:rsid w:val="00A27AB9"/>
    <w:rsid w:val="00A27EBB"/>
    <w:rsid w:val="00A3003B"/>
    <w:rsid w:val="00A300A0"/>
    <w:rsid w:val="00A310DF"/>
    <w:rsid w:val="00A32D4F"/>
    <w:rsid w:val="00A33AAC"/>
    <w:rsid w:val="00A33D88"/>
    <w:rsid w:val="00A344F3"/>
    <w:rsid w:val="00A344FF"/>
    <w:rsid w:val="00A3669B"/>
    <w:rsid w:val="00A367A8"/>
    <w:rsid w:val="00A37F8A"/>
    <w:rsid w:val="00A37F99"/>
    <w:rsid w:val="00A40EA8"/>
    <w:rsid w:val="00A4134D"/>
    <w:rsid w:val="00A43E8A"/>
    <w:rsid w:val="00A44AA6"/>
    <w:rsid w:val="00A45607"/>
    <w:rsid w:val="00A4663E"/>
    <w:rsid w:val="00A515B3"/>
    <w:rsid w:val="00A516C7"/>
    <w:rsid w:val="00A51DAA"/>
    <w:rsid w:val="00A543D7"/>
    <w:rsid w:val="00A555ED"/>
    <w:rsid w:val="00A55A55"/>
    <w:rsid w:val="00A60EA2"/>
    <w:rsid w:val="00A63FBA"/>
    <w:rsid w:val="00A645FE"/>
    <w:rsid w:val="00A720BD"/>
    <w:rsid w:val="00A753BA"/>
    <w:rsid w:val="00A75D97"/>
    <w:rsid w:val="00A7658F"/>
    <w:rsid w:val="00A76B75"/>
    <w:rsid w:val="00A76CE7"/>
    <w:rsid w:val="00A7776B"/>
    <w:rsid w:val="00A80A99"/>
    <w:rsid w:val="00A8265A"/>
    <w:rsid w:val="00A83B15"/>
    <w:rsid w:val="00A847F0"/>
    <w:rsid w:val="00A85633"/>
    <w:rsid w:val="00A85769"/>
    <w:rsid w:val="00A85ABF"/>
    <w:rsid w:val="00A87D4B"/>
    <w:rsid w:val="00A87D54"/>
    <w:rsid w:val="00A9028C"/>
    <w:rsid w:val="00A9079E"/>
    <w:rsid w:val="00A92109"/>
    <w:rsid w:val="00A92E64"/>
    <w:rsid w:val="00A932A3"/>
    <w:rsid w:val="00A94007"/>
    <w:rsid w:val="00A9494F"/>
    <w:rsid w:val="00A9748F"/>
    <w:rsid w:val="00A97694"/>
    <w:rsid w:val="00A97DD5"/>
    <w:rsid w:val="00AA16A8"/>
    <w:rsid w:val="00AA413F"/>
    <w:rsid w:val="00AA7336"/>
    <w:rsid w:val="00AA797E"/>
    <w:rsid w:val="00AB0144"/>
    <w:rsid w:val="00AB0B72"/>
    <w:rsid w:val="00AB0CCF"/>
    <w:rsid w:val="00AB50BD"/>
    <w:rsid w:val="00AB568B"/>
    <w:rsid w:val="00AB7F18"/>
    <w:rsid w:val="00AC075D"/>
    <w:rsid w:val="00AC354E"/>
    <w:rsid w:val="00AC5801"/>
    <w:rsid w:val="00AC5FDD"/>
    <w:rsid w:val="00AC7083"/>
    <w:rsid w:val="00AC79D6"/>
    <w:rsid w:val="00AC7B92"/>
    <w:rsid w:val="00AC7FB5"/>
    <w:rsid w:val="00AD13B0"/>
    <w:rsid w:val="00AD2437"/>
    <w:rsid w:val="00AD2F36"/>
    <w:rsid w:val="00AD3393"/>
    <w:rsid w:val="00AD37E0"/>
    <w:rsid w:val="00AD3C95"/>
    <w:rsid w:val="00AD57F3"/>
    <w:rsid w:val="00AD7EAD"/>
    <w:rsid w:val="00AE01DC"/>
    <w:rsid w:val="00AE3E93"/>
    <w:rsid w:val="00AE4618"/>
    <w:rsid w:val="00AE5B40"/>
    <w:rsid w:val="00AE6931"/>
    <w:rsid w:val="00AE7971"/>
    <w:rsid w:val="00AF0296"/>
    <w:rsid w:val="00AF02D6"/>
    <w:rsid w:val="00AF0C75"/>
    <w:rsid w:val="00AF19ED"/>
    <w:rsid w:val="00AF26F6"/>
    <w:rsid w:val="00AF27F7"/>
    <w:rsid w:val="00AF283B"/>
    <w:rsid w:val="00AF3FD7"/>
    <w:rsid w:val="00AF4EA1"/>
    <w:rsid w:val="00AF646C"/>
    <w:rsid w:val="00AF66EA"/>
    <w:rsid w:val="00AF7112"/>
    <w:rsid w:val="00B00445"/>
    <w:rsid w:val="00B0172F"/>
    <w:rsid w:val="00B052D0"/>
    <w:rsid w:val="00B06E49"/>
    <w:rsid w:val="00B07B53"/>
    <w:rsid w:val="00B07E62"/>
    <w:rsid w:val="00B100B4"/>
    <w:rsid w:val="00B1067E"/>
    <w:rsid w:val="00B121B8"/>
    <w:rsid w:val="00B13001"/>
    <w:rsid w:val="00B13793"/>
    <w:rsid w:val="00B149F1"/>
    <w:rsid w:val="00B1540C"/>
    <w:rsid w:val="00B17930"/>
    <w:rsid w:val="00B2093B"/>
    <w:rsid w:val="00B22353"/>
    <w:rsid w:val="00B22F72"/>
    <w:rsid w:val="00B236F1"/>
    <w:rsid w:val="00B24BF9"/>
    <w:rsid w:val="00B2554D"/>
    <w:rsid w:val="00B25FCB"/>
    <w:rsid w:val="00B2636E"/>
    <w:rsid w:val="00B3046B"/>
    <w:rsid w:val="00B3056D"/>
    <w:rsid w:val="00B3058B"/>
    <w:rsid w:val="00B31B3E"/>
    <w:rsid w:val="00B325D1"/>
    <w:rsid w:val="00B32BB4"/>
    <w:rsid w:val="00B34989"/>
    <w:rsid w:val="00B34BEE"/>
    <w:rsid w:val="00B3723D"/>
    <w:rsid w:val="00B41271"/>
    <w:rsid w:val="00B4166A"/>
    <w:rsid w:val="00B43442"/>
    <w:rsid w:val="00B45FDB"/>
    <w:rsid w:val="00B46CD1"/>
    <w:rsid w:val="00B470EC"/>
    <w:rsid w:val="00B50881"/>
    <w:rsid w:val="00B5127D"/>
    <w:rsid w:val="00B520E0"/>
    <w:rsid w:val="00B52451"/>
    <w:rsid w:val="00B52DBE"/>
    <w:rsid w:val="00B569E8"/>
    <w:rsid w:val="00B56D90"/>
    <w:rsid w:val="00B57C40"/>
    <w:rsid w:val="00B60C5E"/>
    <w:rsid w:val="00B613E8"/>
    <w:rsid w:val="00B625AB"/>
    <w:rsid w:val="00B6328F"/>
    <w:rsid w:val="00B639BE"/>
    <w:rsid w:val="00B64CAF"/>
    <w:rsid w:val="00B658AE"/>
    <w:rsid w:val="00B66218"/>
    <w:rsid w:val="00B709DE"/>
    <w:rsid w:val="00B70CCC"/>
    <w:rsid w:val="00B717C8"/>
    <w:rsid w:val="00B71E56"/>
    <w:rsid w:val="00B722EB"/>
    <w:rsid w:val="00B74A10"/>
    <w:rsid w:val="00B75983"/>
    <w:rsid w:val="00B75C99"/>
    <w:rsid w:val="00B766ED"/>
    <w:rsid w:val="00B76FAD"/>
    <w:rsid w:val="00B804FB"/>
    <w:rsid w:val="00B80C7D"/>
    <w:rsid w:val="00B81CB7"/>
    <w:rsid w:val="00B84D52"/>
    <w:rsid w:val="00B84DE5"/>
    <w:rsid w:val="00B8533E"/>
    <w:rsid w:val="00B85B8C"/>
    <w:rsid w:val="00B86D51"/>
    <w:rsid w:val="00B91BEC"/>
    <w:rsid w:val="00B932A9"/>
    <w:rsid w:val="00B93CAD"/>
    <w:rsid w:val="00B9435C"/>
    <w:rsid w:val="00B94B4E"/>
    <w:rsid w:val="00B967E7"/>
    <w:rsid w:val="00B96CA1"/>
    <w:rsid w:val="00BA05A1"/>
    <w:rsid w:val="00BA1B4C"/>
    <w:rsid w:val="00BA1B6D"/>
    <w:rsid w:val="00BA2CC4"/>
    <w:rsid w:val="00BA3E3B"/>
    <w:rsid w:val="00BA4829"/>
    <w:rsid w:val="00BA4B38"/>
    <w:rsid w:val="00BB0E36"/>
    <w:rsid w:val="00BB16BC"/>
    <w:rsid w:val="00BB1BE3"/>
    <w:rsid w:val="00BB29B2"/>
    <w:rsid w:val="00BB3FB9"/>
    <w:rsid w:val="00BB44F4"/>
    <w:rsid w:val="00BB5352"/>
    <w:rsid w:val="00BB6133"/>
    <w:rsid w:val="00BB6C46"/>
    <w:rsid w:val="00BC0029"/>
    <w:rsid w:val="00BC1233"/>
    <w:rsid w:val="00BC1842"/>
    <w:rsid w:val="00BC277D"/>
    <w:rsid w:val="00BC3056"/>
    <w:rsid w:val="00BC33E0"/>
    <w:rsid w:val="00BC3A3B"/>
    <w:rsid w:val="00BC5D9D"/>
    <w:rsid w:val="00BC6473"/>
    <w:rsid w:val="00BC6B9E"/>
    <w:rsid w:val="00BC7205"/>
    <w:rsid w:val="00BD006A"/>
    <w:rsid w:val="00BD4EC4"/>
    <w:rsid w:val="00BD5F54"/>
    <w:rsid w:val="00BD6A2D"/>
    <w:rsid w:val="00BE0DE9"/>
    <w:rsid w:val="00BE1CDC"/>
    <w:rsid w:val="00BE2648"/>
    <w:rsid w:val="00BE344F"/>
    <w:rsid w:val="00BE3579"/>
    <w:rsid w:val="00BE38D7"/>
    <w:rsid w:val="00BE4688"/>
    <w:rsid w:val="00BE4CA3"/>
    <w:rsid w:val="00BE5DC6"/>
    <w:rsid w:val="00BE65FB"/>
    <w:rsid w:val="00BE6605"/>
    <w:rsid w:val="00BE6A79"/>
    <w:rsid w:val="00BF1056"/>
    <w:rsid w:val="00BF1077"/>
    <w:rsid w:val="00BF1BF0"/>
    <w:rsid w:val="00BF2BB5"/>
    <w:rsid w:val="00BF3DF2"/>
    <w:rsid w:val="00BF4590"/>
    <w:rsid w:val="00BF4F61"/>
    <w:rsid w:val="00BF577D"/>
    <w:rsid w:val="00BF7B15"/>
    <w:rsid w:val="00C00D4B"/>
    <w:rsid w:val="00C01587"/>
    <w:rsid w:val="00C0195B"/>
    <w:rsid w:val="00C02EE2"/>
    <w:rsid w:val="00C109FD"/>
    <w:rsid w:val="00C10A43"/>
    <w:rsid w:val="00C14142"/>
    <w:rsid w:val="00C141AF"/>
    <w:rsid w:val="00C1603C"/>
    <w:rsid w:val="00C169E2"/>
    <w:rsid w:val="00C169FA"/>
    <w:rsid w:val="00C16C09"/>
    <w:rsid w:val="00C17D40"/>
    <w:rsid w:val="00C2041F"/>
    <w:rsid w:val="00C207BC"/>
    <w:rsid w:val="00C216AC"/>
    <w:rsid w:val="00C22977"/>
    <w:rsid w:val="00C23914"/>
    <w:rsid w:val="00C25898"/>
    <w:rsid w:val="00C2658C"/>
    <w:rsid w:val="00C318F7"/>
    <w:rsid w:val="00C32059"/>
    <w:rsid w:val="00C3243E"/>
    <w:rsid w:val="00C333C4"/>
    <w:rsid w:val="00C3344C"/>
    <w:rsid w:val="00C34625"/>
    <w:rsid w:val="00C36309"/>
    <w:rsid w:val="00C36666"/>
    <w:rsid w:val="00C36B82"/>
    <w:rsid w:val="00C37561"/>
    <w:rsid w:val="00C375A7"/>
    <w:rsid w:val="00C37F0E"/>
    <w:rsid w:val="00C40290"/>
    <w:rsid w:val="00C41EAF"/>
    <w:rsid w:val="00C42C2B"/>
    <w:rsid w:val="00C43487"/>
    <w:rsid w:val="00C43EF3"/>
    <w:rsid w:val="00C456F2"/>
    <w:rsid w:val="00C468F5"/>
    <w:rsid w:val="00C4793F"/>
    <w:rsid w:val="00C50A0A"/>
    <w:rsid w:val="00C50C11"/>
    <w:rsid w:val="00C52024"/>
    <w:rsid w:val="00C52E03"/>
    <w:rsid w:val="00C54033"/>
    <w:rsid w:val="00C54ABC"/>
    <w:rsid w:val="00C55CA3"/>
    <w:rsid w:val="00C570B3"/>
    <w:rsid w:val="00C612CC"/>
    <w:rsid w:val="00C619C5"/>
    <w:rsid w:val="00C61B80"/>
    <w:rsid w:val="00C61F52"/>
    <w:rsid w:val="00C61FBA"/>
    <w:rsid w:val="00C62390"/>
    <w:rsid w:val="00C6267A"/>
    <w:rsid w:val="00C62EFE"/>
    <w:rsid w:val="00C641BF"/>
    <w:rsid w:val="00C64D54"/>
    <w:rsid w:val="00C66BD5"/>
    <w:rsid w:val="00C6773F"/>
    <w:rsid w:val="00C702CC"/>
    <w:rsid w:val="00C70B82"/>
    <w:rsid w:val="00C70E4F"/>
    <w:rsid w:val="00C712FA"/>
    <w:rsid w:val="00C7307B"/>
    <w:rsid w:val="00C733CF"/>
    <w:rsid w:val="00C74386"/>
    <w:rsid w:val="00C770CD"/>
    <w:rsid w:val="00C77452"/>
    <w:rsid w:val="00C812A0"/>
    <w:rsid w:val="00C8230A"/>
    <w:rsid w:val="00C824F7"/>
    <w:rsid w:val="00C825B2"/>
    <w:rsid w:val="00C86903"/>
    <w:rsid w:val="00C87754"/>
    <w:rsid w:val="00C87CC6"/>
    <w:rsid w:val="00C93DD2"/>
    <w:rsid w:val="00C9500C"/>
    <w:rsid w:val="00C9519A"/>
    <w:rsid w:val="00C956A3"/>
    <w:rsid w:val="00C96B6C"/>
    <w:rsid w:val="00C97885"/>
    <w:rsid w:val="00CA096B"/>
    <w:rsid w:val="00CA0AD1"/>
    <w:rsid w:val="00CA0DD3"/>
    <w:rsid w:val="00CA1665"/>
    <w:rsid w:val="00CA219E"/>
    <w:rsid w:val="00CA2BA7"/>
    <w:rsid w:val="00CA3802"/>
    <w:rsid w:val="00CA39DA"/>
    <w:rsid w:val="00CA4898"/>
    <w:rsid w:val="00CA7C83"/>
    <w:rsid w:val="00CB22AF"/>
    <w:rsid w:val="00CB3303"/>
    <w:rsid w:val="00CB57D6"/>
    <w:rsid w:val="00CB5FD6"/>
    <w:rsid w:val="00CB7071"/>
    <w:rsid w:val="00CC136E"/>
    <w:rsid w:val="00CC143F"/>
    <w:rsid w:val="00CC3A1F"/>
    <w:rsid w:val="00CC6622"/>
    <w:rsid w:val="00CD0650"/>
    <w:rsid w:val="00CD2C80"/>
    <w:rsid w:val="00CD36C8"/>
    <w:rsid w:val="00CD58AB"/>
    <w:rsid w:val="00CD651A"/>
    <w:rsid w:val="00CD7256"/>
    <w:rsid w:val="00CD7588"/>
    <w:rsid w:val="00CE073B"/>
    <w:rsid w:val="00CE0B42"/>
    <w:rsid w:val="00CE0FE2"/>
    <w:rsid w:val="00CE1257"/>
    <w:rsid w:val="00CE22C8"/>
    <w:rsid w:val="00CE2C3F"/>
    <w:rsid w:val="00CE3E1E"/>
    <w:rsid w:val="00CE4043"/>
    <w:rsid w:val="00CE6F9C"/>
    <w:rsid w:val="00CE7357"/>
    <w:rsid w:val="00CF04BE"/>
    <w:rsid w:val="00CF0E4A"/>
    <w:rsid w:val="00CF1218"/>
    <w:rsid w:val="00CF1BE3"/>
    <w:rsid w:val="00CF3C59"/>
    <w:rsid w:val="00CF4231"/>
    <w:rsid w:val="00CF52ED"/>
    <w:rsid w:val="00CF6477"/>
    <w:rsid w:val="00CF66F2"/>
    <w:rsid w:val="00CF79F2"/>
    <w:rsid w:val="00D01424"/>
    <w:rsid w:val="00D04D5E"/>
    <w:rsid w:val="00D05883"/>
    <w:rsid w:val="00D0598A"/>
    <w:rsid w:val="00D07C35"/>
    <w:rsid w:val="00D07CD8"/>
    <w:rsid w:val="00D103DC"/>
    <w:rsid w:val="00D129BB"/>
    <w:rsid w:val="00D13236"/>
    <w:rsid w:val="00D138DD"/>
    <w:rsid w:val="00D13DE3"/>
    <w:rsid w:val="00D143FD"/>
    <w:rsid w:val="00D1500F"/>
    <w:rsid w:val="00D15BE2"/>
    <w:rsid w:val="00D173FC"/>
    <w:rsid w:val="00D21C39"/>
    <w:rsid w:val="00D22F14"/>
    <w:rsid w:val="00D23B83"/>
    <w:rsid w:val="00D23B94"/>
    <w:rsid w:val="00D23C41"/>
    <w:rsid w:val="00D23EF1"/>
    <w:rsid w:val="00D259FC"/>
    <w:rsid w:val="00D30489"/>
    <w:rsid w:val="00D3175D"/>
    <w:rsid w:val="00D31831"/>
    <w:rsid w:val="00D36610"/>
    <w:rsid w:val="00D36949"/>
    <w:rsid w:val="00D3740A"/>
    <w:rsid w:val="00D374FB"/>
    <w:rsid w:val="00D37531"/>
    <w:rsid w:val="00D37A59"/>
    <w:rsid w:val="00D37BD3"/>
    <w:rsid w:val="00D40507"/>
    <w:rsid w:val="00D40D08"/>
    <w:rsid w:val="00D41E14"/>
    <w:rsid w:val="00D4320F"/>
    <w:rsid w:val="00D4329A"/>
    <w:rsid w:val="00D440C7"/>
    <w:rsid w:val="00D45850"/>
    <w:rsid w:val="00D46217"/>
    <w:rsid w:val="00D4662E"/>
    <w:rsid w:val="00D50A5F"/>
    <w:rsid w:val="00D51A72"/>
    <w:rsid w:val="00D51DD9"/>
    <w:rsid w:val="00D520CC"/>
    <w:rsid w:val="00D52BBB"/>
    <w:rsid w:val="00D56357"/>
    <w:rsid w:val="00D572B6"/>
    <w:rsid w:val="00D60BBF"/>
    <w:rsid w:val="00D60C5F"/>
    <w:rsid w:val="00D61B46"/>
    <w:rsid w:val="00D66029"/>
    <w:rsid w:val="00D6768D"/>
    <w:rsid w:val="00D7076F"/>
    <w:rsid w:val="00D7182E"/>
    <w:rsid w:val="00D72649"/>
    <w:rsid w:val="00D7308E"/>
    <w:rsid w:val="00D733FC"/>
    <w:rsid w:val="00D75856"/>
    <w:rsid w:val="00D7586A"/>
    <w:rsid w:val="00D76072"/>
    <w:rsid w:val="00D767A7"/>
    <w:rsid w:val="00D8038D"/>
    <w:rsid w:val="00D80B06"/>
    <w:rsid w:val="00D80E45"/>
    <w:rsid w:val="00D81A2B"/>
    <w:rsid w:val="00D81F19"/>
    <w:rsid w:val="00D82360"/>
    <w:rsid w:val="00D83F70"/>
    <w:rsid w:val="00D849BA"/>
    <w:rsid w:val="00D84ECA"/>
    <w:rsid w:val="00D8571F"/>
    <w:rsid w:val="00D85B05"/>
    <w:rsid w:val="00D85B84"/>
    <w:rsid w:val="00D862E1"/>
    <w:rsid w:val="00D864A4"/>
    <w:rsid w:val="00D87FFE"/>
    <w:rsid w:val="00D90850"/>
    <w:rsid w:val="00D90F53"/>
    <w:rsid w:val="00D940D8"/>
    <w:rsid w:val="00D9464C"/>
    <w:rsid w:val="00D96F41"/>
    <w:rsid w:val="00DA00D4"/>
    <w:rsid w:val="00DA01A0"/>
    <w:rsid w:val="00DA116F"/>
    <w:rsid w:val="00DA19E8"/>
    <w:rsid w:val="00DA2318"/>
    <w:rsid w:val="00DA3814"/>
    <w:rsid w:val="00DA3876"/>
    <w:rsid w:val="00DA477E"/>
    <w:rsid w:val="00DA54F9"/>
    <w:rsid w:val="00DA57B5"/>
    <w:rsid w:val="00DA684F"/>
    <w:rsid w:val="00DA6A23"/>
    <w:rsid w:val="00DB0E2D"/>
    <w:rsid w:val="00DB0F74"/>
    <w:rsid w:val="00DB15B3"/>
    <w:rsid w:val="00DB1C17"/>
    <w:rsid w:val="00DB4821"/>
    <w:rsid w:val="00DB578E"/>
    <w:rsid w:val="00DB58B9"/>
    <w:rsid w:val="00DC084C"/>
    <w:rsid w:val="00DC14B4"/>
    <w:rsid w:val="00DC2299"/>
    <w:rsid w:val="00DC2973"/>
    <w:rsid w:val="00DC2C7A"/>
    <w:rsid w:val="00DC316B"/>
    <w:rsid w:val="00DC371C"/>
    <w:rsid w:val="00DC48EE"/>
    <w:rsid w:val="00DC6FB4"/>
    <w:rsid w:val="00DD1076"/>
    <w:rsid w:val="00DD2542"/>
    <w:rsid w:val="00DD5433"/>
    <w:rsid w:val="00DD5771"/>
    <w:rsid w:val="00DD5A19"/>
    <w:rsid w:val="00DD62E8"/>
    <w:rsid w:val="00DD7BC9"/>
    <w:rsid w:val="00DE0C09"/>
    <w:rsid w:val="00DE15E6"/>
    <w:rsid w:val="00DE1795"/>
    <w:rsid w:val="00DE1A12"/>
    <w:rsid w:val="00DE28DF"/>
    <w:rsid w:val="00DE31FE"/>
    <w:rsid w:val="00DE410C"/>
    <w:rsid w:val="00DE4372"/>
    <w:rsid w:val="00DE480F"/>
    <w:rsid w:val="00DE5C23"/>
    <w:rsid w:val="00DE659D"/>
    <w:rsid w:val="00DE6CF4"/>
    <w:rsid w:val="00DE786F"/>
    <w:rsid w:val="00DE7D6E"/>
    <w:rsid w:val="00DF0B34"/>
    <w:rsid w:val="00DF197F"/>
    <w:rsid w:val="00DF1D4D"/>
    <w:rsid w:val="00DF4479"/>
    <w:rsid w:val="00DF4607"/>
    <w:rsid w:val="00DF4614"/>
    <w:rsid w:val="00DF568B"/>
    <w:rsid w:val="00DF5EB6"/>
    <w:rsid w:val="00E0004D"/>
    <w:rsid w:val="00E00170"/>
    <w:rsid w:val="00E00C14"/>
    <w:rsid w:val="00E024C1"/>
    <w:rsid w:val="00E1164A"/>
    <w:rsid w:val="00E12295"/>
    <w:rsid w:val="00E1269A"/>
    <w:rsid w:val="00E12C2A"/>
    <w:rsid w:val="00E13574"/>
    <w:rsid w:val="00E13697"/>
    <w:rsid w:val="00E14074"/>
    <w:rsid w:val="00E16546"/>
    <w:rsid w:val="00E16F3C"/>
    <w:rsid w:val="00E17DEB"/>
    <w:rsid w:val="00E21221"/>
    <w:rsid w:val="00E21A04"/>
    <w:rsid w:val="00E21C93"/>
    <w:rsid w:val="00E21D4A"/>
    <w:rsid w:val="00E232C4"/>
    <w:rsid w:val="00E23C79"/>
    <w:rsid w:val="00E249B6"/>
    <w:rsid w:val="00E24BB4"/>
    <w:rsid w:val="00E2504A"/>
    <w:rsid w:val="00E26854"/>
    <w:rsid w:val="00E27767"/>
    <w:rsid w:val="00E31E32"/>
    <w:rsid w:val="00E325E0"/>
    <w:rsid w:val="00E33224"/>
    <w:rsid w:val="00E34FA6"/>
    <w:rsid w:val="00E357DD"/>
    <w:rsid w:val="00E36A20"/>
    <w:rsid w:val="00E40636"/>
    <w:rsid w:val="00E409B8"/>
    <w:rsid w:val="00E40A35"/>
    <w:rsid w:val="00E40E82"/>
    <w:rsid w:val="00E455D6"/>
    <w:rsid w:val="00E46137"/>
    <w:rsid w:val="00E46949"/>
    <w:rsid w:val="00E471BB"/>
    <w:rsid w:val="00E5067E"/>
    <w:rsid w:val="00E50CC9"/>
    <w:rsid w:val="00E51FFE"/>
    <w:rsid w:val="00E527D0"/>
    <w:rsid w:val="00E53281"/>
    <w:rsid w:val="00E54F28"/>
    <w:rsid w:val="00E55207"/>
    <w:rsid w:val="00E559C2"/>
    <w:rsid w:val="00E601D4"/>
    <w:rsid w:val="00E602E0"/>
    <w:rsid w:val="00E604A9"/>
    <w:rsid w:val="00E6055B"/>
    <w:rsid w:val="00E612D6"/>
    <w:rsid w:val="00E61A68"/>
    <w:rsid w:val="00E62AE6"/>
    <w:rsid w:val="00E63664"/>
    <w:rsid w:val="00E667B3"/>
    <w:rsid w:val="00E7028B"/>
    <w:rsid w:val="00E703BA"/>
    <w:rsid w:val="00E70C7E"/>
    <w:rsid w:val="00E711E9"/>
    <w:rsid w:val="00E71448"/>
    <w:rsid w:val="00E731F2"/>
    <w:rsid w:val="00E739BD"/>
    <w:rsid w:val="00E745AD"/>
    <w:rsid w:val="00E758D3"/>
    <w:rsid w:val="00E763CB"/>
    <w:rsid w:val="00E76DF3"/>
    <w:rsid w:val="00E76E99"/>
    <w:rsid w:val="00E80AEB"/>
    <w:rsid w:val="00E812B0"/>
    <w:rsid w:val="00E835FF"/>
    <w:rsid w:val="00E836D2"/>
    <w:rsid w:val="00E84023"/>
    <w:rsid w:val="00E913CE"/>
    <w:rsid w:val="00E924CD"/>
    <w:rsid w:val="00E924CF"/>
    <w:rsid w:val="00E931B8"/>
    <w:rsid w:val="00E93648"/>
    <w:rsid w:val="00E95F8C"/>
    <w:rsid w:val="00E978D2"/>
    <w:rsid w:val="00EA0449"/>
    <w:rsid w:val="00EA074C"/>
    <w:rsid w:val="00EA1EBD"/>
    <w:rsid w:val="00EA2006"/>
    <w:rsid w:val="00EA20D3"/>
    <w:rsid w:val="00EA37E9"/>
    <w:rsid w:val="00EA3979"/>
    <w:rsid w:val="00EA43C2"/>
    <w:rsid w:val="00EA5C12"/>
    <w:rsid w:val="00EA787D"/>
    <w:rsid w:val="00EB102A"/>
    <w:rsid w:val="00EB2202"/>
    <w:rsid w:val="00EB3A57"/>
    <w:rsid w:val="00EB3AFF"/>
    <w:rsid w:val="00EB3CD8"/>
    <w:rsid w:val="00EB5E94"/>
    <w:rsid w:val="00EB77DF"/>
    <w:rsid w:val="00EB784F"/>
    <w:rsid w:val="00EC0B2C"/>
    <w:rsid w:val="00EC222E"/>
    <w:rsid w:val="00EC29A6"/>
    <w:rsid w:val="00EC2A50"/>
    <w:rsid w:val="00EC2B52"/>
    <w:rsid w:val="00EC3811"/>
    <w:rsid w:val="00EC634E"/>
    <w:rsid w:val="00EC7507"/>
    <w:rsid w:val="00EC750E"/>
    <w:rsid w:val="00EC7823"/>
    <w:rsid w:val="00ED219A"/>
    <w:rsid w:val="00ED2A60"/>
    <w:rsid w:val="00ED2A8A"/>
    <w:rsid w:val="00ED354B"/>
    <w:rsid w:val="00ED3E03"/>
    <w:rsid w:val="00ED4A04"/>
    <w:rsid w:val="00ED5E1D"/>
    <w:rsid w:val="00ED7CF7"/>
    <w:rsid w:val="00EE08B2"/>
    <w:rsid w:val="00EE1435"/>
    <w:rsid w:val="00EE2276"/>
    <w:rsid w:val="00EE2662"/>
    <w:rsid w:val="00EE2E7F"/>
    <w:rsid w:val="00EE417F"/>
    <w:rsid w:val="00EE430B"/>
    <w:rsid w:val="00EE56CD"/>
    <w:rsid w:val="00EF0F8A"/>
    <w:rsid w:val="00EF2746"/>
    <w:rsid w:val="00EF4964"/>
    <w:rsid w:val="00EF681F"/>
    <w:rsid w:val="00F01D4B"/>
    <w:rsid w:val="00F01FB7"/>
    <w:rsid w:val="00F024F1"/>
    <w:rsid w:val="00F02817"/>
    <w:rsid w:val="00F046E4"/>
    <w:rsid w:val="00F04D90"/>
    <w:rsid w:val="00F05FDA"/>
    <w:rsid w:val="00F0687C"/>
    <w:rsid w:val="00F07EA4"/>
    <w:rsid w:val="00F1099B"/>
    <w:rsid w:val="00F10BDD"/>
    <w:rsid w:val="00F11B1A"/>
    <w:rsid w:val="00F12256"/>
    <w:rsid w:val="00F1231F"/>
    <w:rsid w:val="00F12E7D"/>
    <w:rsid w:val="00F14732"/>
    <w:rsid w:val="00F15C33"/>
    <w:rsid w:val="00F174F3"/>
    <w:rsid w:val="00F17652"/>
    <w:rsid w:val="00F17C8A"/>
    <w:rsid w:val="00F205C3"/>
    <w:rsid w:val="00F206C0"/>
    <w:rsid w:val="00F210F2"/>
    <w:rsid w:val="00F211B7"/>
    <w:rsid w:val="00F231F6"/>
    <w:rsid w:val="00F266B1"/>
    <w:rsid w:val="00F27CEC"/>
    <w:rsid w:val="00F3085A"/>
    <w:rsid w:val="00F308C9"/>
    <w:rsid w:val="00F31BAA"/>
    <w:rsid w:val="00F32656"/>
    <w:rsid w:val="00F344E6"/>
    <w:rsid w:val="00F369CE"/>
    <w:rsid w:val="00F37008"/>
    <w:rsid w:val="00F37280"/>
    <w:rsid w:val="00F37E94"/>
    <w:rsid w:val="00F40119"/>
    <w:rsid w:val="00F41AD7"/>
    <w:rsid w:val="00F41CAE"/>
    <w:rsid w:val="00F42448"/>
    <w:rsid w:val="00F426D0"/>
    <w:rsid w:val="00F43FC2"/>
    <w:rsid w:val="00F455CF"/>
    <w:rsid w:val="00F47699"/>
    <w:rsid w:val="00F479D9"/>
    <w:rsid w:val="00F501B8"/>
    <w:rsid w:val="00F506CB"/>
    <w:rsid w:val="00F519BF"/>
    <w:rsid w:val="00F525AA"/>
    <w:rsid w:val="00F52858"/>
    <w:rsid w:val="00F54D2C"/>
    <w:rsid w:val="00F5560F"/>
    <w:rsid w:val="00F55E14"/>
    <w:rsid w:val="00F6270D"/>
    <w:rsid w:val="00F6360D"/>
    <w:rsid w:val="00F63E8A"/>
    <w:rsid w:val="00F66605"/>
    <w:rsid w:val="00F669E2"/>
    <w:rsid w:val="00F676A6"/>
    <w:rsid w:val="00F70A0E"/>
    <w:rsid w:val="00F70B86"/>
    <w:rsid w:val="00F72436"/>
    <w:rsid w:val="00F73147"/>
    <w:rsid w:val="00F74B95"/>
    <w:rsid w:val="00F75863"/>
    <w:rsid w:val="00F81450"/>
    <w:rsid w:val="00F822EB"/>
    <w:rsid w:val="00F82D5D"/>
    <w:rsid w:val="00F8326B"/>
    <w:rsid w:val="00F847E6"/>
    <w:rsid w:val="00F84C61"/>
    <w:rsid w:val="00F8600E"/>
    <w:rsid w:val="00F874D3"/>
    <w:rsid w:val="00F92563"/>
    <w:rsid w:val="00F94C30"/>
    <w:rsid w:val="00F9514A"/>
    <w:rsid w:val="00F9595E"/>
    <w:rsid w:val="00F96A4B"/>
    <w:rsid w:val="00F97339"/>
    <w:rsid w:val="00F975C2"/>
    <w:rsid w:val="00F978B5"/>
    <w:rsid w:val="00FA0036"/>
    <w:rsid w:val="00FA1C2C"/>
    <w:rsid w:val="00FA2077"/>
    <w:rsid w:val="00FA2BE5"/>
    <w:rsid w:val="00FA2DA5"/>
    <w:rsid w:val="00FA2EBE"/>
    <w:rsid w:val="00FA302A"/>
    <w:rsid w:val="00FA369F"/>
    <w:rsid w:val="00FA3AAF"/>
    <w:rsid w:val="00FA57CC"/>
    <w:rsid w:val="00FA5B68"/>
    <w:rsid w:val="00FA63A7"/>
    <w:rsid w:val="00FA6447"/>
    <w:rsid w:val="00FA6C32"/>
    <w:rsid w:val="00FA75B0"/>
    <w:rsid w:val="00FB0A9F"/>
    <w:rsid w:val="00FB18BC"/>
    <w:rsid w:val="00FB262E"/>
    <w:rsid w:val="00FB40A8"/>
    <w:rsid w:val="00FB4EB6"/>
    <w:rsid w:val="00FB62FA"/>
    <w:rsid w:val="00FB72A1"/>
    <w:rsid w:val="00FC1566"/>
    <w:rsid w:val="00FC159D"/>
    <w:rsid w:val="00FC2D34"/>
    <w:rsid w:val="00FC43D2"/>
    <w:rsid w:val="00FC4AB6"/>
    <w:rsid w:val="00FC543C"/>
    <w:rsid w:val="00FC6A2A"/>
    <w:rsid w:val="00FD0DF7"/>
    <w:rsid w:val="00FD2C65"/>
    <w:rsid w:val="00FD4322"/>
    <w:rsid w:val="00FD4729"/>
    <w:rsid w:val="00FD4969"/>
    <w:rsid w:val="00FD56C8"/>
    <w:rsid w:val="00FD6197"/>
    <w:rsid w:val="00FE0537"/>
    <w:rsid w:val="00FE0B1E"/>
    <w:rsid w:val="00FE3BFA"/>
    <w:rsid w:val="00FE52D1"/>
    <w:rsid w:val="00FE609E"/>
    <w:rsid w:val="00FE634A"/>
    <w:rsid w:val="00FE6DF0"/>
    <w:rsid w:val="00FF0BDE"/>
    <w:rsid w:val="00FF0E16"/>
    <w:rsid w:val="00FF1B9F"/>
    <w:rsid w:val="00FF1BD8"/>
    <w:rsid w:val="00FF3928"/>
    <w:rsid w:val="00FF492B"/>
    <w:rsid w:val="00FF52F7"/>
    <w:rsid w:val="00FF5953"/>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AF54BF"/>
  <w15:chartTrackingRefBased/>
  <w15:docId w15:val="{9D877BA2-4D38-4A53-AD32-98EFA71E2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46339"/>
    <w:pPr>
      <w:spacing w:line="276" w:lineRule="auto"/>
      <w:ind w:firstLine="284"/>
      <w:jc w:val="both"/>
    </w:pPr>
    <w:rPr>
      <w:rFonts w:ascii="Garamond" w:hAnsi="Garamond"/>
      <w:sz w:val="28"/>
      <w:lang w:val="en-GB"/>
    </w:rPr>
  </w:style>
  <w:style w:type="paragraph" w:styleId="Titre1">
    <w:name w:val="heading 1"/>
    <w:basedOn w:val="Normal"/>
    <w:next w:val="Normal"/>
    <w:link w:val="Titre1Car"/>
    <w:uiPriority w:val="9"/>
    <w:qFormat/>
    <w:rsid w:val="00D81F19"/>
    <w:pPr>
      <w:ind w:firstLine="0"/>
      <w:jc w:val="left"/>
      <w:outlineLvl w:val="0"/>
    </w:pPr>
    <w:rPr>
      <w:smallCaps/>
      <w:sz w:val="56"/>
      <w:lang w:val="en-US"/>
    </w:rPr>
  </w:style>
  <w:style w:type="paragraph" w:styleId="Titre2">
    <w:name w:val="heading 2"/>
    <w:basedOn w:val="Paragraphedeliste"/>
    <w:next w:val="Normal"/>
    <w:link w:val="Titre2Car"/>
    <w:unhideWhenUsed/>
    <w:qFormat/>
    <w:rsid w:val="00D572B6"/>
    <w:pPr>
      <w:numPr>
        <w:numId w:val="1"/>
      </w:numPr>
      <w:outlineLvl w:val="1"/>
    </w:pPr>
    <w:rPr>
      <w:sz w:val="32"/>
    </w:rPr>
  </w:style>
  <w:style w:type="paragraph" w:styleId="Titre3">
    <w:name w:val="heading 3"/>
    <w:basedOn w:val="Paragraphedeliste"/>
    <w:next w:val="Normal"/>
    <w:link w:val="Titre3Car"/>
    <w:uiPriority w:val="9"/>
    <w:unhideWhenUsed/>
    <w:qFormat/>
    <w:rsid w:val="00366D8A"/>
    <w:pPr>
      <w:numPr>
        <w:ilvl w:val="1"/>
        <w:numId w:val="1"/>
      </w:numPr>
      <w:outlineLvl w:val="2"/>
    </w:pPr>
  </w:style>
  <w:style w:type="paragraph" w:styleId="Titre4">
    <w:name w:val="heading 4"/>
    <w:basedOn w:val="Titre3"/>
    <w:next w:val="Normal"/>
    <w:link w:val="Titre4Car"/>
    <w:uiPriority w:val="9"/>
    <w:unhideWhenUsed/>
    <w:qFormat/>
    <w:rsid w:val="00366D8A"/>
    <w:pPr>
      <w:numPr>
        <w:ilvl w:val="2"/>
      </w:numPr>
      <w:outlineLvl w:val="3"/>
    </w:pPr>
    <w:rPr>
      <w:i/>
    </w:rPr>
  </w:style>
  <w:style w:type="paragraph" w:styleId="Titre5">
    <w:name w:val="heading 5"/>
    <w:basedOn w:val="Normal"/>
    <w:next w:val="Normal"/>
    <w:link w:val="Titre5Car"/>
    <w:unhideWhenUsed/>
    <w:qFormat/>
    <w:rsid w:val="00567BA6"/>
    <w:pPr>
      <w:keepNext/>
      <w:keepLines/>
      <w:spacing w:before="40" w:after="0"/>
      <w:ind w:left="1008" w:hanging="1008"/>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nhideWhenUsed/>
    <w:qFormat/>
    <w:rsid w:val="00567BA6"/>
    <w:pPr>
      <w:keepNext/>
      <w:keepLines/>
      <w:spacing w:before="40" w:after="0"/>
      <w:ind w:left="1152" w:hanging="1152"/>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semiHidden/>
    <w:unhideWhenUsed/>
    <w:qFormat/>
    <w:rsid w:val="00567BA6"/>
    <w:pPr>
      <w:keepNext/>
      <w:keepLines/>
      <w:spacing w:before="40" w:after="0"/>
      <w:ind w:left="1296" w:hanging="1296"/>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iPriority w:val="9"/>
    <w:semiHidden/>
    <w:unhideWhenUsed/>
    <w:qFormat/>
    <w:rsid w:val="00567BA6"/>
    <w:pPr>
      <w:keepNext/>
      <w:keepLines/>
      <w:spacing w:before="40" w:after="0"/>
      <w:ind w:left="1440" w:hanging="14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567BA6"/>
    <w:pPr>
      <w:keepNext/>
      <w:keepLines/>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qFormat/>
    <w:rsid w:val="00D81F19"/>
    <w:rPr>
      <w:rFonts w:ascii="Garamond" w:hAnsi="Garamond"/>
      <w:smallCaps/>
      <w:sz w:val="56"/>
      <w:lang w:val="en-US"/>
    </w:rPr>
  </w:style>
  <w:style w:type="paragraph" w:styleId="Paragraphedeliste">
    <w:name w:val="List Paragraph"/>
    <w:basedOn w:val="Normal"/>
    <w:uiPriority w:val="34"/>
    <w:qFormat/>
    <w:rsid w:val="001810CF"/>
    <w:pPr>
      <w:ind w:left="720"/>
      <w:contextualSpacing/>
    </w:pPr>
  </w:style>
  <w:style w:type="character" w:customStyle="1" w:styleId="Titre2Car">
    <w:name w:val="Titre 2 Car"/>
    <w:basedOn w:val="Policepardfaut"/>
    <w:link w:val="Titre2"/>
    <w:qFormat/>
    <w:rsid w:val="00D572B6"/>
    <w:rPr>
      <w:rFonts w:ascii="Garamond" w:hAnsi="Garamond"/>
      <w:sz w:val="32"/>
      <w:lang w:val="en-GB"/>
    </w:rPr>
  </w:style>
  <w:style w:type="character" w:customStyle="1" w:styleId="Titre3Car">
    <w:name w:val="Titre 3 Car"/>
    <w:basedOn w:val="Policepardfaut"/>
    <w:link w:val="Titre3"/>
    <w:uiPriority w:val="9"/>
    <w:qFormat/>
    <w:rsid w:val="00366D8A"/>
    <w:rPr>
      <w:rFonts w:ascii="Garamond" w:hAnsi="Garamond"/>
      <w:sz w:val="28"/>
      <w:lang w:val="en-GB"/>
    </w:rPr>
  </w:style>
  <w:style w:type="character" w:customStyle="1" w:styleId="Titre4Car">
    <w:name w:val="Titre 4 Car"/>
    <w:basedOn w:val="Policepardfaut"/>
    <w:link w:val="Titre4"/>
    <w:uiPriority w:val="9"/>
    <w:qFormat/>
    <w:rsid w:val="00366D8A"/>
    <w:rPr>
      <w:rFonts w:ascii="Garamond" w:hAnsi="Garamond"/>
      <w:i/>
      <w:sz w:val="28"/>
      <w:lang w:val="en-GB"/>
    </w:rPr>
  </w:style>
  <w:style w:type="character" w:customStyle="1" w:styleId="Titre5Car">
    <w:name w:val="Titre 5 Car"/>
    <w:basedOn w:val="Policepardfaut"/>
    <w:link w:val="Titre5"/>
    <w:uiPriority w:val="9"/>
    <w:rsid w:val="00567BA6"/>
    <w:rPr>
      <w:rFonts w:asciiTheme="majorHAnsi" w:eastAsiaTheme="majorEastAsia" w:hAnsiTheme="majorHAnsi" w:cstheme="majorBidi"/>
      <w:color w:val="2E74B5" w:themeColor="accent1" w:themeShade="BF"/>
      <w:sz w:val="24"/>
      <w:lang w:val="en-GB"/>
    </w:rPr>
  </w:style>
  <w:style w:type="character" w:customStyle="1" w:styleId="Titre6Car">
    <w:name w:val="Titre 6 Car"/>
    <w:basedOn w:val="Policepardfaut"/>
    <w:link w:val="Titre6"/>
    <w:uiPriority w:val="9"/>
    <w:semiHidden/>
    <w:rsid w:val="00567BA6"/>
    <w:rPr>
      <w:rFonts w:asciiTheme="majorHAnsi" w:eastAsiaTheme="majorEastAsia" w:hAnsiTheme="majorHAnsi" w:cstheme="majorBidi"/>
      <w:color w:val="1F4D78" w:themeColor="accent1" w:themeShade="7F"/>
      <w:sz w:val="24"/>
      <w:lang w:val="en-GB"/>
    </w:rPr>
  </w:style>
  <w:style w:type="character" w:customStyle="1" w:styleId="Titre7Car">
    <w:name w:val="Titre 7 Car"/>
    <w:basedOn w:val="Policepardfaut"/>
    <w:link w:val="Titre7"/>
    <w:uiPriority w:val="9"/>
    <w:semiHidden/>
    <w:rsid w:val="00567BA6"/>
    <w:rPr>
      <w:rFonts w:asciiTheme="majorHAnsi" w:eastAsiaTheme="majorEastAsia" w:hAnsiTheme="majorHAnsi" w:cstheme="majorBidi"/>
      <w:i/>
      <w:iCs/>
      <w:color w:val="1F4D78" w:themeColor="accent1" w:themeShade="7F"/>
      <w:sz w:val="24"/>
      <w:lang w:val="en-GB"/>
    </w:rPr>
  </w:style>
  <w:style w:type="character" w:customStyle="1" w:styleId="Titre8Car">
    <w:name w:val="Titre 8 Car"/>
    <w:basedOn w:val="Policepardfaut"/>
    <w:link w:val="Titre8"/>
    <w:uiPriority w:val="9"/>
    <w:semiHidden/>
    <w:rsid w:val="00567BA6"/>
    <w:rPr>
      <w:rFonts w:asciiTheme="majorHAnsi" w:eastAsiaTheme="majorEastAsia" w:hAnsiTheme="majorHAnsi" w:cstheme="majorBidi"/>
      <w:color w:val="272727" w:themeColor="text1" w:themeTint="D8"/>
      <w:sz w:val="21"/>
      <w:szCs w:val="21"/>
      <w:lang w:val="en-GB"/>
    </w:rPr>
  </w:style>
  <w:style w:type="character" w:customStyle="1" w:styleId="Titre9Car">
    <w:name w:val="Titre 9 Car"/>
    <w:basedOn w:val="Policepardfaut"/>
    <w:link w:val="Titre9"/>
    <w:uiPriority w:val="9"/>
    <w:semiHidden/>
    <w:rsid w:val="00567BA6"/>
    <w:rPr>
      <w:rFonts w:asciiTheme="majorHAnsi" w:eastAsiaTheme="majorEastAsia" w:hAnsiTheme="majorHAnsi" w:cstheme="majorBidi"/>
      <w:i/>
      <w:iCs/>
      <w:color w:val="272727" w:themeColor="text1" w:themeTint="D8"/>
      <w:sz w:val="21"/>
      <w:szCs w:val="21"/>
      <w:lang w:val="en-GB"/>
    </w:rPr>
  </w:style>
  <w:style w:type="paragraph" w:styleId="Titre">
    <w:name w:val="Title"/>
    <w:basedOn w:val="Titre1"/>
    <w:next w:val="Normal"/>
    <w:link w:val="TitreCar"/>
    <w:qFormat/>
    <w:rsid w:val="00C25898"/>
    <w:pPr>
      <w:jc w:val="center"/>
    </w:pPr>
    <w:rPr>
      <w:sz w:val="48"/>
    </w:rPr>
  </w:style>
  <w:style w:type="character" w:customStyle="1" w:styleId="TitreCar">
    <w:name w:val="Titre Car"/>
    <w:basedOn w:val="Policepardfaut"/>
    <w:link w:val="Titre"/>
    <w:rsid w:val="00C25898"/>
    <w:rPr>
      <w:rFonts w:ascii="Garamond" w:hAnsi="Garamond"/>
      <w:smallCaps/>
      <w:sz w:val="48"/>
      <w:lang w:val="en-US"/>
    </w:rPr>
  </w:style>
  <w:style w:type="paragraph" w:styleId="Sansinterligne">
    <w:name w:val="No Spacing"/>
    <w:uiPriority w:val="1"/>
    <w:qFormat/>
    <w:rsid w:val="00D01424"/>
    <w:pPr>
      <w:spacing w:after="0" w:line="240" w:lineRule="auto"/>
      <w:jc w:val="both"/>
    </w:pPr>
    <w:rPr>
      <w:rFonts w:ascii="Times New Roman" w:hAnsi="Times New Roman" w:cs="Times New Roman"/>
      <w:lang w:val="en-GB"/>
    </w:rPr>
  </w:style>
  <w:style w:type="paragraph" w:styleId="En-tte">
    <w:name w:val="header"/>
    <w:basedOn w:val="Normal"/>
    <w:link w:val="En-tteCar"/>
    <w:uiPriority w:val="99"/>
    <w:unhideWhenUsed/>
    <w:rsid w:val="00AF02D6"/>
    <w:pPr>
      <w:tabs>
        <w:tab w:val="center" w:pos="4536"/>
        <w:tab w:val="right" w:pos="9072"/>
      </w:tabs>
      <w:spacing w:after="0" w:line="240" w:lineRule="auto"/>
    </w:pPr>
  </w:style>
  <w:style w:type="character" w:customStyle="1" w:styleId="En-tteCar">
    <w:name w:val="En-tête Car"/>
    <w:basedOn w:val="Policepardfaut"/>
    <w:link w:val="En-tte"/>
    <w:uiPriority w:val="99"/>
    <w:qFormat/>
    <w:rsid w:val="00AF02D6"/>
    <w:rPr>
      <w:rFonts w:ascii="Garamond" w:hAnsi="Garamond"/>
      <w:sz w:val="24"/>
    </w:rPr>
  </w:style>
  <w:style w:type="paragraph" w:styleId="Pieddepage">
    <w:name w:val="footer"/>
    <w:basedOn w:val="Normal"/>
    <w:link w:val="PieddepageCar"/>
    <w:uiPriority w:val="99"/>
    <w:unhideWhenUsed/>
    <w:rsid w:val="00AF02D6"/>
    <w:pPr>
      <w:tabs>
        <w:tab w:val="center" w:pos="4536"/>
        <w:tab w:val="right" w:pos="9072"/>
      </w:tabs>
      <w:spacing w:after="0" w:line="240" w:lineRule="auto"/>
    </w:pPr>
  </w:style>
  <w:style w:type="character" w:customStyle="1" w:styleId="PieddepageCar">
    <w:name w:val="Pied de page Car"/>
    <w:basedOn w:val="Policepardfaut"/>
    <w:link w:val="Pieddepage"/>
    <w:uiPriority w:val="99"/>
    <w:qFormat/>
    <w:rsid w:val="00AF02D6"/>
    <w:rPr>
      <w:rFonts w:ascii="Garamond" w:hAnsi="Garamond"/>
      <w:sz w:val="24"/>
    </w:rPr>
  </w:style>
  <w:style w:type="character" w:styleId="Textedelespacerserv">
    <w:name w:val="Placeholder Text"/>
    <w:basedOn w:val="Policepardfaut"/>
    <w:uiPriority w:val="99"/>
    <w:semiHidden/>
    <w:rsid w:val="00081E61"/>
    <w:rPr>
      <w:color w:val="808080"/>
    </w:rPr>
  </w:style>
  <w:style w:type="paragraph" w:styleId="En-ttedetabledesmatires">
    <w:name w:val="TOC Heading"/>
    <w:basedOn w:val="Titre1"/>
    <w:next w:val="Normal"/>
    <w:uiPriority w:val="39"/>
    <w:unhideWhenUsed/>
    <w:qFormat/>
    <w:rsid w:val="00AD57F3"/>
    <w:pPr>
      <w:spacing w:line="259" w:lineRule="auto"/>
      <w:outlineLvl w:val="9"/>
    </w:pPr>
    <w:rPr>
      <w:rFonts w:asciiTheme="majorHAnsi" w:hAnsiTheme="majorHAnsi"/>
      <w:smallCaps w:val="0"/>
      <w:color w:val="2E74B5" w:themeColor="accent1" w:themeShade="BF"/>
      <w:lang w:eastAsia="fr-BE"/>
    </w:rPr>
  </w:style>
  <w:style w:type="paragraph" w:styleId="TM1">
    <w:name w:val="toc 1"/>
    <w:basedOn w:val="Normal"/>
    <w:next w:val="Normal"/>
    <w:autoRedefine/>
    <w:uiPriority w:val="39"/>
    <w:unhideWhenUsed/>
    <w:rsid w:val="00DD2542"/>
    <w:pPr>
      <w:tabs>
        <w:tab w:val="right" w:leader="dot" w:pos="7360"/>
      </w:tabs>
      <w:spacing w:before="120" w:after="120"/>
      <w:ind w:left="284" w:firstLine="0"/>
      <w:jc w:val="left"/>
    </w:pPr>
    <w:rPr>
      <w:rFonts w:cstheme="minorHAnsi"/>
      <w:b/>
      <w:bCs/>
      <w:caps/>
      <w:szCs w:val="20"/>
    </w:rPr>
  </w:style>
  <w:style w:type="paragraph" w:styleId="TM3">
    <w:name w:val="toc 3"/>
    <w:basedOn w:val="Normal"/>
    <w:next w:val="Normal"/>
    <w:autoRedefine/>
    <w:uiPriority w:val="39"/>
    <w:unhideWhenUsed/>
    <w:rsid w:val="00AD57F3"/>
    <w:pPr>
      <w:spacing w:after="0"/>
      <w:ind w:left="480"/>
      <w:jc w:val="left"/>
    </w:pPr>
    <w:rPr>
      <w:rFonts w:cstheme="minorHAnsi"/>
      <w:i/>
      <w:iCs/>
      <w:sz w:val="22"/>
      <w:szCs w:val="20"/>
    </w:rPr>
  </w:style>
  <w:style w:type="character" w:styleId="Lienhypertexte">
    <w:name w:val="Hyperlink"/>
    <w:basedOn w:val="Policepardfaut"/>
    <w:uiPriority w:val="99"/>
    <w:unhideWhenUsed/>
    <w:rsid w:val="00AD57F3"/>
    <w:rPr>
      <w:color w:val="0563C1" w:themeColor="hyperlink"/>
      <w:u w:val="single"/>
    </w:rPr>
  </w:style>
  <w:style w:type="paragraph" w:styleId="TM2">
    <w:name w:val="toc 2"/>
    <w:basedOn w:val="Normal"/>
    <w:next w:val="Normal"/>
    <w:autoRedefine/>
    <w:uiPriority w:val="39"/>
    <w:unhideWhenUsed/>
    <w:rsid w:val="00AD57F3"/>
    <w:pPr>
      <w:spacing w:after="0"/>
      <w:ind w:left="240"/>
      <w:jc w:val="left"/>
    </w:pPr>
    <w:rPr>
      <w:rFonts w:cstheme="minorHAnsi"/>
      <w:smallCaps/>
      <w:sz w:val="22"/>
      <w:szCs w:val="20"/>
    </w:rPr>
  </w:style>
  <w:style w:type="paragraph" w:styleId="TM4">
    <w:name w:val="toc 4"/>
    <w:basedOn w:val="Normal"/>
    <w:next w:val="Normal"/>
    <w:autoRedefine/>
    <w:uiPriority w:val="39"/>
    <w:unhideWhenUsed/>
    <w:rsid w:val="00AD57F3"/>
    <w:pPr>
      <w:spacing w:after="0"/>
      <w:ind w:left="720"/>
      <w:jc w:val="left"/>
    </w:pPr>
    <w:rPr>
      <w:rFonts w:cstheme="minorHAnsi"/>
      <w:sz w:val="20"/>
      <w:szCs w:val="18"/>
    </w:rPr>
  </w:style>
  <w:style w:type="paragraph" w:styleId="TM5">
    <w:name w:val="toc 5"/>
    <w:basedOn w:val="Normal"/>
    <w:next w:val="Normal"/>
    <w:autoRedefine/>
    <w:uiPriority w:val="39"/>
    <w:unhideWhenUsed/>
    <w:rsid w:val="00AD57F3"/>
    <w:pPr>
      <w:spacing w:after="0"/>
      <w:ind w:left="960"/>
      <w:jc w:val="left"/>
    </w:pPr>
    <w:rPr>
      <w:rFonts w:asciiTheme="minorHAnsi" w:hAnsiTheme="minorHAnsi" w:cstheme="minorHAnsi"/>
      <w:sz w:val="18"/>
      <w:szCs w:val="18"/>
    </w:rPr>
  </w:style>
  <w:style w:type="paragraph" w:styleId="TM6">
    <w:name w:val="toc 6"/>
    <w:basedOn w:val="Normal"/>
    <w:next w:val="Normal"/>
    <w:autoRedefine/>
    <w:uiPriority w:val="39"/>
    <w:unhideWhenUsed/>
    <w:rsid w:val="00AD57F3"/>
    <w:pPr>
      <w:spacing w:after="0"/>
      <w:ind w:left="1200"/>
      <w:jc w:val="left"/>
    </w:pPr>
    <w:rPr>
      <w:rFonts w:asciiTheme="minorHAnsi" w:hAnsiTheme="minorHAnsi" w:cstheme="minorHAnsi"/>
      <w:sz w:val="18"/>
      <w:szCs w:val="18"/>
    </w:rPr>
  </w:style>
  <w:style w:type="paragraph" w:styleId="TM7">
    <w:name w:val="toc 7"/>
    <w:basedOn w:val="Normal"/>
    <w:next w:val="Normal"/>
    <w:autoRedefine/>
    <w:uiPriority w:val="39"/>
    <w:unhideWhenUsed/>
    <w:rsid w:val="00AD57F3"/>
    <w:pPr>
      <w:spacing w:after="0"/>
      <w:ind w:left="1440"/>
      <w:jc w:val="left"/>
    </w:pPr>
    <w:rPr>
      <w:rFonts w:asciiTheme="minorHAnsi" w:hAnsiTheme="minorHAnsi" w:cstheme="minorHAnsi"/>
      <w:sz w:val="18"/>
      <w:szCs w:val="18"/>
    </w:rPr>
  </w:style>
  <w:style w:type="paragraph" w:styleId="TM8">
    <w:name w:val="toc 8"/>
    <w:basedOn w:val="Normal"/>
    <w:next w:val="Normal"/>
    <w:autoRedefine/>
    <w:uiPriority w:val="39"/>
    <w:unhideWhenUsed/>
    <w:rsid w:val="00AD57F3"/>
    <w:pPr>
      <w:spacing w:after="0"/>
      <w:ind w:left="1680"/>
      <w:jc w:val="left"/>
    </w:pPr>
    <w:rPr>
      <w:rFonts w:asciiTheme="minorHAnsi" w:hAnsiTheme="minorHAnsi" w:cstheme="minorHAnsi"/>
      <w:sz w:val="18"/>
      <w:szCs w:val="18"/>
    </w:rPr>
  </w:style>
  <w:style w:type="paragraph" w:styleId="TM9">
    <w:name w:val="toc 9"/>
    <w:basedOn w:val="Normal"/>
    <w:next w:val="Normal"/>
    <w:autoRedefine/>
    <w:uiPriority w:val="39"/>
    <w:unhideWhenUsed/>
    <w:rsid w:val="00AD57F3"/>
    <w:pPr>
      <w:spacing w:after="0"/>
      <w:ind w:left="1920"/>
      <w:jc w:val="left"/>
    </w:pPr>
    <w:rPr>
      <w:rFonts w:asciiTheme="minorHAnsi" w:hAnsiTheme="minorHAnsi" w:cstheme="minorHAnsi"/>
      <w:sz w:val="18"/>
      <w:szCs w:val="18"/>
    </w:rPr>
  </w:style>
  <w:style w:type="paragraph" w:styleId="Bibliographie">
    <w:name w:val="Bibliography"/>
    <w:basedOn w:val="Normal"/>
    <w:next w:val="Normal"/>
    <w:uiPriority w:val="37"/>
    <w:unhideWhenUsed/>
    <w:rsid w:val="00414115"/>
    <w:pPr>
      <w:spacing w:after="0" w:line="240" w:lineRule="auto"/>
      <w:ind w:left="720" w:hanging="720"/>
    </w:pPr>
  </w:style>
  <w:style w:type="paragraph" w:styleId="Notedebasdepage">
    <w:name w:val="footnote text"/>
    <w:basedOn w:val="Normal"/>
    <w:link w:val="NotedebasdepageCar"/>
    <w:autoRedefine/>
    <w:uiPriority w:val="99"/>
    <w:unhideWhenUsed/>
    <w:qFormat/>
    <w:rsid w:val="00840D25"/>
    <w:pPr>
      <w:spacing w:after="0" w:line="240" w:lineRule="auto"/>
      <w:ind w:firstLine="0"/>
    </w:pPr>
    <w:rPr>
      <w:sz w:val="22"/>
      <w:szCs w:val="20"/>
    </w:rPr>
  </w:style>
  <w:style w:type="character" w:customStyle="1" w:styleId="NotedebasdepageCar">
    <w:name w:val="Note de bas de page Car"/>
    <w:basedOn w:val="Policepardfaut"/>
    <w:link w:val="Notedebasdepage"/>
    <w:uiPriority w:val="99"/>
    <w:qFormat/>
    <w:rsid w:val="00840D25"/>
    <w:rPr>
      <w:rFonts w:ascii="Garamond" w:hAnsi="Garamond"/>
      <w:szCs w:val="20"/>
      <w:lang w:val="en-GB"/>
    </w:rPr>
  </w:style>
  <w:style w:type="character" w:styleId="Appelnotedebasdep">
    <w:name w:val="footnote reference"/>
    <w:basedOn w:val="Policepardfaut"/>
    <w:uiPriority w:val="99"/>
    <w:unhideWhenUsed/>
    <w:rsid w:val="00414115"/>
    <w:rPr>
      <w:vertAlign w:val="superscript"/>
    </w:rPr>
  </w:style>
  <w:style w:type="character" w:styleId="Accentuation">
    <w:name w:val="Emphasis"/>
    <w:uiPriority w:val="20"/>
    <w:qFormat/>
    <w:rsid w:val="0042294E"/>
    <w:rPr>
      <w:lang w:val="fr-BE"/>
    </w:rPr>
  </w:style>
  <w:style w:type="character" w:styleId="Marquedecommentaire">
    <w:name w:val="annotation reference"/>
    <w:basedOn w:val="Policepardfaut"/>
    <w:uiPriority w:val="99"/>
    <w:semiHidden/>
    <w:unhideWhenUsed/>
    <w:qFormat/>
    <w:rsid w:val="00414115"/>
    <w:rPr>
      <w:sz w:val="16"/>
      <w:szCs w:val="16"/>
    </w:rPr>
  </w:style>
  <w:style w:type="paragraph" w:styleId="Commentaire">
    <w:name w:val="annotation text"/>
    <w:basedOn w:val="Normal"/>
    <w:link w:val="CommentaireCar"/>
    <w:uiPriority w:val="99"/>
    <w:unhideWhenUsed/>
    <w:qFormat/>
    <w:rsid w:val="00414115"/>
    <w:pPr>
      <w:spacing w:line="240" w:lineRule="auto"/>
      <w:ind w:firstLine="0"/>
    </w:pPr>
    <w:rPr>
      <w:sz w:val="20"/>
      <w:szCs w:val="20"/>
    </w:rPr>
  </w:style>
  <w:style w:type="character" w:customStyle="1" w:styleId="CommentaireCar">
    <w:name w:val="Commentaire Car"/>
    <w:basedOn w:val="Policepardfaut"/>
    <w:link w:val="Commentaire"/>
    <w:uiPriority w:val="99"/>
    <w:qFormat/>
    <w:rsid w:val="00414115"/>
    <w:rPr>
      <w:rFonts w:ascii="Garamond" w:hAnsi="Garamond"/>
      <w:sz w:val="20"/>
      <w:szCs w:val="20"/>
      <w:lang w:val="en-GB"/>
    </w:rPr>
  </w:style>
  <w:style w:type="paragraph" w:styleId="Textedebulles">
    <w:name w:val="Balloon Text"/>
    <w:basedOn w:val="Normal"/>
    <w:link w:val="TextedebullesCar"/>
    <w:uiPriority w:val="99"/>
    <w:semiHidden/>
    <w:unhideWhenUsed/>
    <w:qFormat/>
    <w:rsid w:val="0041411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qFormat/>
    <w:rsid w:val="00414115"/>
    <w:rPr>
      <w:rFonts w:ascii="Segoe UI" w:hAnsi="Segoe UI" w:cs="Segoe UI"/>
      <w:sz w:val="18"/>
      <w:szCs w:val="18"/>
      <w:lang w:val="en-GB"/>
    </w:rPr>
  </w:style>
  <w:style w:type="paragraph" w:styleId="Citation">
    <w:name w:val="Quote"/>
    <w:basedOn w:val="Normal"/>
    <w:next w:val="Normal"/>
    <w:link w:val="CitationCar"/>
    <w:uiPriority w:val="29"/>
    <w:qFormat/>
    <w:rsid w:val="00046339"/>
    <w:pPr>
      <w:ind w:left="1843" w:firstLine="0"/>
    </w:pPr>
    <w:rPr>
      <w:sz w:val="24"/>
    </w:rPr>
  </w:style>
  <w:style w:type="character" w:customStyle="1" w:styleId="CitationCar">
    <w:name w:val="Citation Car"/>
    <w:basedOn w:val="Policepardfaut"/>
    <w:link w:val="Citation"/>
    <w:uiPriority w:val="29"/>
    <w:rsid w:val="00046339"/>
    <w:rPr>
      <w:rFonts w:ascii="Garamond" w:hAnsi="Garamond"/>
      <w:sz w:val="24"/>
      <w:lang w:val="en-GB"/>
    </w:rPr>
  </w:style>
  <w:style w:type="table" w:styleId="Grilledutableau">
    <w:name w:val="Table Grid"/>
    <w:basedOn w:val="TableauNormal"/>
    <w:uiPriority w:val="39"/>
    <w:rsid w:val="00567BA6"/>
    <w:pPr>
      <w:spacing w:after="0" w:line="240" w:lineRule="auto"/>
    </w:pPr>
    <w:rPr>
      <w:rFonts w:eastAsiaTheme="minorEastAsia"/>
      <w:sz w:val="24"/>
      <w:szCs w:val="24"/>
      <w:lang w:val="fr-CH"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bjetducommentaire">
    <w:name w:val="annotation subject"/>
    <w:basedOn w:val="Commentaire"/>
    <w:next w:val="Commentaire"/>
    <w:link w:val="ObjetducommentaireCar"/>
    <w:uiPriority w:val="99"/>
    <w:semiHidden/>
    <w:unhideWhenUsed/>
    <w:qFormat/>
    <w:rsid w:val="00567BA6"/>
    <w:pPr>
      <w:ind w:firstLine="680"/>
    </w:pPr>
    <w:rPr>
      <w:rFonts w:ascii="Times New Roman" w:hAnsi="Times New Roman" w:cs="Times New Roman"/>
      <w:b/>
      <w:bCs/>
    </w:rPr>
  </w:style>
  <w:style w:type="character" w:customStyle="1" w:styleId="ObjetducommentaireCar">
    <w:name w:val="Objet du commentaire Car"/>
    <w:basedOn w:val="CommentaireCar"/>
    <w:link w:val="Objetducommentaire"/>
    <w:uiPriority w:val="99"/>
    <w:semiHidden/>
    <w:qFormat/>
    <w:rsid w:val="00567BA6"/>
    <w:rPr>
      <w:rFonts w:ascii="Times New Roman" w:hAnsi="Times New Roman" w:cs="Times New Roman"/>
      <w:b/>
      <w:bCs/>
      <w:sz w:val="20"/>
      <w:szCs w:val="20"/>
      <w:lang w:val="en-GB"/>
    </w:rPr>
  </w:style>
  <w:style w:type="paragraph" w:styleId="Lgende">
    <w:name w:val="caption"/>
    <w:basedOn w:val="Normal"/>
    <w:next w:val="Normal"/>
    <w:unhideWhenUsed/>
    <w:qFormat/>
    <w:rsid w:val="00567BA6"/>
    <w:pPr>
      <w:spacing w:after="200" w:line="240" w:lineRule="auto"/>
      <w:ind w:firstLine="680"/>
    </w:pPr>
    <w:rPr>
      <w:rFonts w:ascii="Times New Roman" w:hAnsi="Times New Roman" w:cs="Times New Roman"/>
      <w:i/>
      <w:iCs/>
      <w:color w:val="44546A" w:themeColor="text2"/>
      <w:sz w:val="18"/>
      <w:szCs w:val="18"/>
    </w:rPr>
  </w:style>
  <w:style w:type="character" w:styleId="Appeldenotedefin">
    <w:name w:val="endnote reference"/>
    <w:basedOn w:val="Policepardfaut"/>
    <w:uiPriority w:val="99"/>
    <w:semiHidden/>
    <w:unhideWhenUsed/>
    <w:rsid w:val="00A20599"/>
    <w:rPr>
      <w:vertAlign w:val="superscript"/>
    </w:rPr>
  </w:style>
  <w:style w:type="paragraph" w:customStyle="1" w:styleId="textbox">
    <w:name w:val="textbox"/>
    <w:basedOn w:val="Normal"/>
    <w:rsid w:val="00990D5E"/>
    <w:pPr>
      <w:spacing w:before="100" w:beforeAutospacing="1" w:after="100" w:afterAutospacing="1" w:line="240" w:lineRule="auto"/>
      <w:ind w:firstLine="0"/>
      <w:jc w:val="left"/>
    </w:pPr>
    <w:rPr>
      <w:rFonts w:ascii="Times New Roman" w:eastAsia="Times New Roman" w:hAnsi="Times New Roman" w:cs="Times New Roman"/>
      <w:szCs w:val="24"/>
      <w:lang w:val="fr-BE" w:eastAsia="fr-BE"/>
    </w:rPr>
  </w:style>
  <w:style w:type="character" w:customStyle="1" w:styleId="authorsname">
    <w:name w:val="authors__name"/>
    <w:basedOn w:val="Policepardfaut"/>
    <w:rsid w:val="00990D5E"/>
  </w:style>
  <w:style w:type="paragraph" w:styleId="Index1">
    <w:name w:val="index 1"/>
    <w:basedOn w:val="Normal"/>
    <w:next w:val="Normal"/>
    <w:link w:val="Index1Car"/>
    <w:autoRedefine/>
    <w:uiPriority w:val="99"/>
    <w:unhideWhenUsed/>
    <w:rsid w:val="003B2E78"/>
    <w:pPr>
      <w:spacing w:after="0" w:line="240" w:lineRule="auto"/>
      <w:ind w:left="240" w:hanging="240"/>
    </w:pPr>
  </w:style>
  <w:style w:type="paragraph" w:styleId="Index2">
    <w:name w:val="index 2"/>
    <w:basedOn w:val="Normal"/>
    <w:next w:val="Normal"/>
    <w:autoRedefine/>
    <w:uiPriority w:val="99"/>
    <w:unhideWhenUsed/>
    <w:rsid w:val="00A15EA7"/>
    <w:pPr>
      <w:spacing w:after="0" w:line="240" w:lineRule="auto"/>
      <w:ind w:left="480" w:hanging="240"/>
    </w:pPr>
  </w:style>
  <w:style w:type="paragraph" w:styleId="Index3">
    <w:name w:val="index 3"/>
    <w:basedOn w:val="Normal"/>
    <w:next w:val="Normal"/>
    <w:autoRedefine/>
    <w:uiPriority w:val="99"/>
    <w:unhideWhenUsed/>
    <w:rsid w:val="00A15EA7"/>
    <w:pPr>
      <w:spacing w:after="0" w:line="240" w:lineRule="auto"/>
      <w:ind w:left="720" w:hanging="240"/>
    </w:pPr>
  </w:style>
  <w:style w:type="paragraph" w:styleId="Sous-titre">
    <w:name w:val="Subtitle"/>
    <w:basedOn w:val="Normal"/>
    <w:next w:val="Normal"/>
    <w:link w:val="Sous-titreCar"/>
    <w:rsid w:val="00255519"/>
    <w:pPr>
      <w:keepNext/>
      <w:keepLines/>
      <w:spacing w:after="320"/>
      <w:ind w:firstLine="0"/>
      <w:contextualSpacing/>
    </w:pPr>
    <w:rPr>
      <w:rFonts w:ascii="Times New Roman" w:eastAsia="Times New Roman" w:hAnsi="Times New Roman" w:cs="Times New Roman"/>
      <w:color w:val="666666"/>
      <w:sz w:val="30"/>
      <w:szCs w:val="30"/>
      <w:lang w:val="en-US" w:eastAsia="fr-BE"/>
    </w:rPr>
  </w:style>
  <w:style w:type="character" w:customStyle="1" w:styleId="Sous-titreCar">
    <w:name w:val="Sous-titre Car"/>
    <w:basedOn w:val="Policepardfaut"/>
    <w:link w:val="Sous-titre"/>
    <w:rsid w:val="00255519"/>
    <w:rPr>
      <w:rFonts w:ascii="Times New Roman" w:eastAsia="Times New Roman" w:hAnsi="Times New Roman" w:cs="Times New Roman"/>
      <w:color w:val="666666"/>
      <w:sz w:val="30"/>
      <w:szCs w:val="30"/>
      <w:lang w:val="en-US" w:eastAsia="fr-BE"/>
    </w:rPr>
  </w:style>
  <w:style w:type="character" w:customStyle="1" w:styleId="Index1Car">
    <w:name w:val="Index 1 Car"/>
    <w:basedOn w:val="Policepardfaut"/>
    <w:link w:val="Index1"/>
    <w:uiPriority w:val="99"/>
    <w:rsid w:val="003B2E78"/>
    <w:rPr>
      <w:rFonts w:ascii="Garamond" w:hAnsi="Garamond"/>
      <w:sz w:val="24"/>
      <w:lang w:val="en-GB"/>
    </w:rPr>
  </w:style>
  <w:style w:type="paragraph" w:styleId="Titreindex">
    <w:name w:val="index heading"/>
    <w:basedOn w:val="Normal"/>
    <w:next w:val="Index1"/>
    <w:uiPriority w:val="99"/>
    <w:unhideWhenUsed/>
    <w:rsid w:val="00F92563"/>
    <w:rPr>
      <w:rFonts w:asciiTheme="majorHAnsi" w:eastAsiaTheme="majorEastAsia" w:hAnsiTheme="majorHAnsi" w:cstheme="majorBidi"/>
      <w:b/>
      <w:bCs/>
    </w:rPr>
  </w:style>
  <w:style w:type="character" w:styleId="Accentuationlgre">
    <w:name w:val="Subtle Emphasis"/>
    <w:uiPriority w:val="19"/>
    <w:qFormat/>
    <w:rsid w:val="00712E83"/>
    <w:rPr>
      <w:rFonts w:ascii="Palatino Linotype" w:hAnsi="Palatino Linotype"/>
      <w:i/>
      <w:sz w:val="28"/>
    </w:rPr>
  </w:style>
  <w:style w:type="paragraph" w:customStyle="1" w:styleId="TableofContents">
    <w:name w:val="Table of Contents"/>
    <w:basedOn w:val="Normal"/>
    <w:link w:val="TableofContentsCar"/>
    <w:qFormat/>
    <w:rsid w:val="00C10A43"/>
    <w:rPr>
      <w:smallCaps/>
      <w:sz w:val="48"/>
    </w:rPr>
  </w:style>
  <w:style w:type="character" w:customStyle="1" w:styleId="TableofContentsCar">
    <w:name w:val="Table of Contents Car"/>
    <w:basedOn w:val="Policepardfaut"/>
    <w:link w:val="TableofContents"/>
    <w:rsid w:val="00C10A43"/>
    <w:rPr>
      <w:rFonts w:ascii="Garamond" w:hAnsi="Garamond"/>
      <w:smallCaps/>
      <w:sz w:val="48"/>
      <w:lang w:val="en-GB"/>
    </w:rPr>
  </w:style>
  <w:style w:type="paragraph" w:styleId="Tabledesillustrations">
    <w:name w:val="table of figures"/>
    <w:basedOn w:val="Normal"/>
    <w:next w:val="Normal"/>
    <w:uiPriority w:val="99"/>
    <w:unhideWhenUsed/>
    <w:rsid w:val="0019356A"/>
    <w:pPr>
      <w:spacing w:after="0"/>
    </w:pPr>
  </w:style>
  <w:style w:type="character" w:styleId="Lienhypertextesuivivisit">
    <w:name w:val="FollowedHyperlink"/>
    <w:basedOn w:val="Policepardfaut"/>
    <w:uiPriority w:val="99"/>
    <w:semiHidden/>
    <w:unhideWhenUsed/>
    <w:rsid w:val="005A6D32"/>
    <w:rPr>
      <w:color w:val="954F72" w:themeColor="followedHyperlink"/>
      <w:u w:val="single"/>
    </w:rPr>
  </w:style>
  <w:style w:type="paragraph" w:styleId="Rvision">
    <w:name w:val="Revision"/>
    <w:hidden/>
    <w:uiPriority w:val="99"/>
    <w:semiHidden/>
    <w:rsid w:val="001050BA"/>
    <w:pPr>
      <w:spacing w:after="0" w:line="240" w:lineRule="auto"/>
    </w:pPr>
    <w:rPr>
      <w:rFonts w:ascii="Garamond" w:hAnsi="Garamond"/>
      <w:sz w:val="24"/>
      <w:lang w:val="en-GB"/>
    </w:rPr>
  </w:style>
  <w:style w:type="paragraph" w:customStyle="1" w:styleId="Default">
    <w:name w:val="Default"/>
    <w:rsid w:val="00256E97"/>
    <w:pPr>
      <w:autoSpaceDE w:val="0"/>
      <w:autoSpaceDN w:val="0"/>
      <w:adjustRightInd w:val="0"/>
      <w:spacing w:after="0" w:line="240" w:lineRule="auto"/>
    </w:pPr>
    <w:rPr>
      <w:rFonts w:ascii="Garamond" w:hAnsi="Garamond" w:cs="Times New Roman"/>
      <w:color w:val="000000"/>
      <w:sz w:val="24"/>
      <w:szCs w:val="24"/>
    </w:rPr>
  </w:style>
  <w:style w:type="paragraph" w:styleId="NormalWeb">
    <w:name w:val="Normal (Web)"/>
    <w:basedOn w:val="Normal"/>
    <w:uiPriority w:val="99"/>
    <w:semiHidden/>
    <w:unhideWhenUsed/>
    <w:qFormat/>
    <w:rsid w:val="00DE659D"/>
    <w:pPr>
      <w:spacing w:before="100" w:beforeAutospacing="1" w:after="100" w:afterAutospacing="1" w:line="240" w:lineRule="auto"/>
      <w:ind w:firstLine="0"/>
      <w:jc w:val="left"/>
    </w:pPr>
    <w:rPr>
      <w:rFonts w:ascii="Times New Roman" w:eastAsia="Times New Roman" w:hAnsi="Times New Roman" w:cs="Times New Roman"/>
      <w:sz w:val="24"/>
      <w:szCs w:val="24"/>
      <w:lang w:val="hu-HU" w:eastAsia="hu-HU"/>
    </w:rPr>
  </w:style>
  <w:style w:type="table" w:customStyle="1" w:styleId="Tableausimple51">
    <w:name w:val="Tableau simple 51"/>
    <w:basedOn w:val="TableauNormal"/>
    <w:uiPriority w:val="99"/>
    <w:rsid w:val="00DE659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Premierpara">
    <w:name w:val="Premier para"/>
    <w:basedOn w:val="Normal"/>
    <w:link w:val="PremierparaCar"/>
    <w:qFormat/>
    <w:rsid w:val="00DE659D"/>
    <w:pPr>
      <w:spacing w:after="0" w:line="240" w:lineRule="auto"/>
      <w:ind w:firstLine="0"/>
    </w:pPr>
    <w:rPr>
      <w:rFonts w:ascii="Times New Roman" w:eastAsia="Times New Roman" w:hAnsi="Times New Roman" w:cs="Times New Roman"/>
      <w:color w:val="000000"/>
      <w:sz w:val="22"/>
      <w:lang w:val="hu-HU" w:eastAsia="hu-HU"/>
    </w:rPr>
  </w:style>
  <w:style w:type="character" w:customStyle="1" w:styleId="PremierparaCar">
    <w:name w:val="Premier para Car"/>
    <w:basedOn w:val="Policepardfaut"/>
    <w:link w:val="Premierpara"/>
    <w:qFormat/>
    <w:rsid w:val="00DE659D"/>
    <w:rPr>
      <w:rFonts w:ascii="Times New Roman" w:eastAsia="Times New Roman" w:hAnsi="Times New Roman" w:cs="Times New Roman"/>
      <w:color w:val="000000"/>
      <w:lang w:val="hu-HU" w:eastAsia="hu-HU"/>
    </w:rPr>
  </w:style>
  <w:style w:type="paragraph" w:customStyle="1" w:styleId="2mepara">
    <w:name w:val="2ème para"/>
    <w:basedOn w:val="Normal"/>
    <w:link w:val="2meparaCar"/>
    <w:qFormat/>
    <w:rsid w:val="00DE659D"/>
    <w:pPr>
      <w:spacing w:after="0" w:line="240" w:lineRule="auto"/>
      <w:ind w:firstLine="227"/>
    </w:pPr>
    <w:rPr>
      <w:rFonts w:ascii="Times New Roman" w:eastAsia="Times New Roman" w:hAnsi="Times New Roman" w:cs="Times New Roman"/>
      <w:color w:val="000000"/>
      <w:sz w:val="22"/>
      <w:lang w:val="hu-HU" w:eastAsia="hu-HU"/>
    </w:rPr>
  </w:style>
  <w:style w:type="character" w:customStyle="1" w:styleId="2meparaCar">
    <w:name w:val="2ème para Car"/>
    <w:basedOn w:val="Policepardfaut"/>
    <w:link w:val="2mepara"/>
    <w:qFormat/>
    <w:rsid w:val="00DE659D"/>
    <w:rPr>
      <w:rFonts w:ascii="Times New Roman" w:eastAsia="Times New Roman" w:hAnsi="Times New Roman" w:cs="Times New Roman"/>
      <w:color w:val="000000"/>
      <w:lang w:val="hu-HU" w:eastAsia="hu-HU"/>
    </w:rPr>
  </w:style>
  <w:style w:type="table" w:customStyle="1" w:styleId="Tableausimple41">
    <w:name w:val="Tableau simple 41"/>
    <w:basedOn w:val="TableauNormal"/>
    <w:uiPriority w:val="44"/>
    <w:rsid w:val="00DE659D"/>
    <w:pPr>
      <w:spacing w:after="0" w:line="240" w:lineRule="auto"/>
    </w:pPr>
    <w:rPr>
      <w:lang w:val="hu-HU"/>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simple21">
    <w:name w:val="Tableau simple 21"/>
    <w:basedOn w:val="TableauNormal"/>
    <w:uiPriority w:val="42"/>
    <w:rsid w:val="00DE659D"/>
    <w:pPr>
      <w:spacing w:after="0" w:line="240" w:lineRule="auto"/>
    </w:pPr>
    <w:rPr>
      <w:lang w:val="hu-HU"/>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ausimple52">
    <w:name w:val="Tableau simple 52"/>
    <w:basedOn w:val="TableauNormal"/>
    <w:uiPriority w:val="45"/>
    <w:rsid w:val="00DE659D"/>
    <w:pPr>
      <w:spacing w:after="0" w:line="240" w:lineRule="auto"/>
    </w:pPr>
    <w:rPr>
      <w:lang w:val="hu-H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simple4">
    <w:name w:val="Plain Table 4"/>
    <w:basedOn w:val="TableauNormal"/>
    <w:uiPriority w:val="44"/>
    <w:rsid w:val="00DE659D"/>
    <w:pPr>
      <w:spacing w:after="0" w:line="240" w:lineRule="auto"/>
    </w:pPr>
    <w:rPr>
      <w:lang w:val="hu-HU"/>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1">
    <w:name w:val="Plain Table 1"/>
    <w:basedOn w:val="TableauNormal"/>
    <w:uiPriority w:val="99"/>
    <w:rsid w:val="00DE659D"/>
    <w:pPr>
      <w:spacing w:after="0" w:line="240" w:lineRule="auto"/>
    </w:pPr>
    <w:rPr>
      <w:lang w:val="hu-H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99"/>
    <w:rsid w:val="00DE659D"/>
    <w:pPr>
      <w:spacing w:after="0" w:line="240" w:lineRule="auto"/>
    </w:pPr>
    <w:rPr>
      <w:lang w:val="hu-HU"/>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Grille1Clair-Accentuation3">
    <w:name w:val="Grid Table 1 Light Accent 3"/>
    <w:basedOn w:val="TableauNormal"/>
    <w:uiPriority w:val="46"/>
    <w:rsid w:val="00DE659D"/>
    <w:pPr>
      <w:spacing w:after="0" w:line="240" w:lineRule="auto"/>
    </w:pPr>
    <w:rPr>
      <w:lang w:val="hu-HU"/>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customStyle="1" w:styleId="ls7">
    <w:name w:val="ls7"/>
    <w:basedOn w:val="Policepardfaut"/>
    <w:rsid w:val="00DE659D"/>
  </w:style>
  <w:style w:type="character" w:customStyle="1" w:styleId="ff4">
    <w:name w:val="ff4"/>
    <w:basedOn w:val="Policepardfaut"/>
    <w:rsid w:val="00DE659D"/>
  </w:style>
  <w:style w:type="character" w:customStyle="1" w:styleId="ff2">
    <w:name w:val="ff2"/>
    <w:basedOn w:val="Policepardfaut"/>
    <w:rsid w:val="00DE659D"/>
  </w:style>
  <w:style w:type="character" w:customStyle="1" w:styleId="ws3">
    <w:name w:val="ws3"/>
    <w:basedOn w:val="Policepardfaut"/>
    <w:rsid w:val="00DE659D"/>
  </w:style>
  <w:style w:type="character" w:customStyle="1" w:styleId="html-italic">
    <w:name w:val="html-italic"/>
    <w:basedOn w:val="Policepardfaut"/>
    <w:rsid w:val="00DE659D"/>
  </w:style>
  <w:style w:type="character" w:customStyle="1" w:styleId="citationref">
    <w:name w:val="citationref"/>
    <w:basedOn w:val="Policepardfaut"/>
    <w:rsid w:val="00DE659D"/>
  </w:style>
  <w:style w:type="character" w:styleId="lev">
    <w:name w:val="Strong"/>
    <w:basedOn w:val="Policepardfaut"/>
    <w:uiPriority w:val="22"/>
    <w:qFormat/>
    <w:rsid w:val="00DE659D"/>
    <w:rPr>
      <w:b/>
      <w:bCs/>
    </w:rPr>
  </w:style>
  <w:style w:type="character" w:customStyle="1" w:styleId="A18">
    <w:name w:val="A18"/>
    <w:uiPriority w:val="99"/>
    <w:rsid w:val="00DE659D"/>
    <w:rPr>
      <w:rFonts w:cs="Akzidenz-Grotesk GSK Regular"/>
      <w:color w:val="000000"/>
    </w:rPr>
  </w:style>
  <w:style w:type="character" w:styleId="Mentionnonrsolue">
    <w:name w:val="Unresolved Mention"/>
    <w:basedOn w:val="Policepardfaut"/>
    <w:uiPriority w:val="99"/>
    <w:semiHidden/>
    <w:unhideWhenUsed/>
    <w:rsid w:val="00DE659D"/>
    <w:rPr>
      <w:color w:val="605E5C"/>
      <w:shd w:val="clear" w:color="auto" w:fill="E1DFDD"/>
    </w:rPr>
  </w:style>
  <w:style w:type="paragraph" w:styleId="Notedefin">
    <w:name w:val="endnote text"/>
    <w:basedOn w:val="Normal"/>
    <w:link w:val="NotedefinCar"/>
    <w:uiPriority w:val="99"/>
    <w:semiHidden/>
    <w:unhideWhenUsed/>
    <w:rsid w:val="00DE659D"/>
    <w:pPr>
      <w:spacing w:after="0" w:line="240" w:lineRule="auto"/>
      <w:ind w:firstLine="0"/>
      <w:jc w:val="left"/>
    </w:pPr>
    <w:rPr>
      <w:rFonts w:asciiTheme="minorHAnsi" w:hAnsiTheme="minorHAnsi"/>
      <w:sz w:val="20"/>
      <w:szCs w:val="20"/>
      <w:lang w:val="hu-HU"/>
    </w:rPr>
  </w:style>
  <w:style w:type="character" w:customStyle="1" w:styleId="NotedefinCar">
    <w:name w:val="Note de fin Car"/>
    <w:basedOn w:val="Policepardfaut"/>
    <w:link w:val="Notedefin"/>
    <w:uiPriority w:val="99"/>
    <w:semiHidden/>
    <w:qFormat/>
    <w:rsid w:val="00DE659D"/>
    <w:rPr>
      <w:sz w:val="20"/>
      <w:szCs w:val="20"/>
      <w:lang w:val="hu-HU"/>
    </w:rPr>
  </w:style>
  <w:style w:type="character" w:customStyle="1" w:styleId="Ancladenotaalpie">
    <w:name w:val="Ancla de nota al pie"/>
    <w:rsid w:val="00DE659D"/>
    <w:rPr>
      <w:vertAlign w:val="superscript"/>
    </w:rPr>
  </w:style>
  <w:style w:type="character" w:customStyle="1" w:styleId="FootnoteCharacters">
    <w:name w:val="Footnote Characters"/>
    <w:basedOn w:val="Policepardfaut"/>
    <w:uiPriority w:val="99"/>
    <w:unhideWhenUsed/>
    <w:qFormat/>
    <w:rsid w:val="00DE659D"/>
    <w:rPr>
      <w:vertAlign w:val="superscript"/>
    </w:rPr>
  </w:style>
  <w:style w:type="character" w:customStyle="1" w:styleId="Ancladenotafinal">
    <w:name w:val="Ancla de nota final"/>
    <w:rsid w:val="00DE659D"/>
    <w:rPr>
      <w:vertAlign w:val="superscript"/>
    </w:rPr>
  </w:style>
  <w:style w:type="character" w:customStyle="1" w:styleId="ListLabel1">
    <w:name w:val="ListLabel 1"/>
    <w:qFormat/>
    <w:rsid w:val="00DE659D"/>
    <w:rPr>
      <w:sz w:val="20"/>
    </w:rPr>
  </w:style>
  <w:style w:type="character" w:customStyle="1" w:styleId="ListLabel2">
    <w:name w:val="ListLabel 2"/>
    <w:qFormat/>
    <w:rsid w:val="00DE659D"/>
    <w:rPr>
      <w:sz w:val="20"/>
    </w:rPr>
  </w:style>
  <w:style w:type="character" w:customStyle="1" w:styleId="ListLabel3">
    <w:name w:val="ListLabel 3"/>
    <w:qFormat/>
    <w:rsid w:val="00DE659D"/>
    <w:rPr>
      <w:sz w:val="20"/>
    </w:rPr>
  </w:style>
  <w:style w:type="character" w:customStyle="1" w:styleId="ListLabel4">
    <w:name w:val="ListLabel 4"/>
    <w:qFormat/>
    <w:rsid w:val="00DE659D"/>
    <w:rPr>
      <w:sz w:val="20"/>
    </w:rPr>
  </w:style>
  <w:style w:type="character" w:customStyle="1" w:styleId="ListLabel5">
    <w:name w:val="ListLabel 5"/>
    <w:qFormat/>
    <w:rsid w:val="00DE659D"/>
    <w:rPr>
      <w:sz w:val="20"/>
    </w:rPr>
  </w:style>
  <w:style w:type="character" w:customStyle="1" w:styleId="ListLabel6">
    <w:name w:val="ListLabel 6"/>
    <w:qFormat/>
    <w:rsid w:val="00DE659D"/>
    <w:rPr>
      <w:sz w:val="20"/>
    </w:rPr>
  </w:style>
  <w:style w:type="character" w:customStyle="1" w:styleId="ListLabel7">
    <w:name w:val="ListLabel 7"/>
    <w:qFormat/>
    <w:rsid w:val="00DE659D"/>
    <w:rPr>
      <w:sz w:val="20"/>
    </w:rPr>
  </w:style>
  <w:style w:type="character" w:customStyle="1" w:styleId="ListLabel8">
    <w:name w:val="ListLabel 8"/>
    <w:qFormat/>
    <w:rsid w:val="00DE659D"/>
    <w:rPr>
      <w:sz w:val="20"/>
    </w:rPr>
  </w:style>
  <w:style w:type="character" w:customStyle="1" w:styleId="ListLabel9">
    <w:name w:val="ListLabel 9"/>
    <w:qFormat/>
    <w:rsid w:val="00DE659D"/>
    <w:rPr>
      <w:sz w:val="20"/>
    </w:rPr>
  </w:style>
  <w:style w:type="character" w:customStyle="1" w:styleId="ListLabel10">
    <w:name w:val="ListLabel 10"/>
    <w:qFormat/>
    <w:rsid w:val="00DE659D"/>
    <w:rPr>
      <w:rFonts w:eastAsia="Calibri"/>
    </w:rPr>
  </w:style>
  <w:style w:type="character" w:customStyle="1" w:styleId="ListLabel11">
    <w:name w:val="ListLabel 11"/>
    <w:qFormat/>
    <w:rsid w:val="00DE659D"/>
    <w:rPr>
      <w:rFonts w:cs="Courier New"/>
    </w:rPr>
  </w:style>
  <w:style w:type="character" w:customStyle="1" w:styleId="ListLabel12">
    <w:name w:val="ListLabel 12"/>
    <w:qFormat/>
    <w:rsid w:val="00DE659D"/>
    <w:rPr>
      <w:rFonts w:cs="Courier New"/>
    </w:rPr>
  </w:style>
  <w:style w:type="character" w:customStyle="1" w:styleId="ListLabel13">
    <w:name w:val="ListLabel 13"/>
    <w:qFormat/>
    <w:rsid w:val="00DE659D"/>
    <w:rPr>
      <w:rFonts w:cs="Courier New"/>
    </w:rPr>
  </w:style>
  <w:style w:type="character" w:customStyle="1" w:styleId="ListLabel14">
    <w:name w:val="ListLabel 14"/>
    <w:qFormat/>
    <w:rsid w:val="00DE659D"/>
    <w:rPr>
      <w:rFonts w:eastAsia="Times New Roman" w:cs="Times New Roman"/>
    </w:rPr>
  </w:style>
  <w:style w:type="character" w:customStyle="1" w:styleId="ListLabel15">
    <w:name w:val="ListLabel 15"/>
    <w:qFormat/>
    <w:rsid w:val="00DE659D"/>
    <w:rPr>
      <w:rFonts w:cs="Courier New"/>
    </w:rPr>
  </w:style>
  <w:style w:type="character" w:customStyle="1" w:styleId="ListLabel16">
    <w:name w:val="ListLabel 16"/>
    <w:qFormat/>
    <w:rsid w:val="00DE659D"/>
    <w:rPr>
      <w:rFonts w:cs="Courier New"/>
    </w:rPr>
  </w:style>
  <w:style w:type="character" w:customStyle="1" w:styleId="ListLabel17">
    <w:name w:val="ListLabel 17"/>
    <w:qFormat/>
    <w:rsid w:val="00DE659D"/>
    <w:rPr>
      <w:rFonts w:cs="Courier New"/>
    </w:rPr>
  </w:style>
  <w:style w:type="character" w:customStyle="1" w:styleId="ListLabel18">
    <w:name w:val="ListLabel 18"/>
    <w:qFormat/>
    <w:rsid w:val="00DE659D"/>
    <w:rPr>
      <w:rFonts w:eastAsia="Times New Roman" w:cs="Times New Roman"/>
    </w:rPr>
  </w:style>
  <w:style w:type="character" w:customStyle="1" w:styleId="ListLabel19">
    <w:name w:val="ListLabel 19"/>
    <w:qFormat/>
    <w:rsid w:val="00DE659D"/>
    <w:rPr>
      <w:rFonts w:cs="Courier New"/>
    </w:rPr>
  </w:style>
  <w:style w:type="character" w:customStyle="1" w:styleId="ListLabel20">
    <w:name w:val="ListLabel 20"/>
    <w:qFormat/>
    <w:rsid w:val="00DE659D"/>
    <w:rPr>
      <w:rFonts w:cs="Courier New"/>
    </w:rPr>
  </w:style>
  <w:style w:type="character" w:customStyle="1" w:styleId="ListLabel21">
    <w:name w:val="ListLabel 21"/>
    <w:qFormat/>
    <w:rsid w:val="00DE659D"/>
    <w:rPr>
      <w:rFonts w:cs="Courier New"/>
    </w:rPr>
  </w:style>
  <w:style w:type="character" w:customStyle="1" w:styleId="Caracteresdenotaalpie">
    <w:name w:val="Caracteres de nota al pie"/>
    <w:qFormat/>
    <w:rsid w:val="00DE659D"/>
  </w:style>
  <w:style w:type="character" w:customStyle="1" w:styleId="Caracteresdenotafinal">
    <w:name w:val="Caracteres de nota final"/>
    <w:qFormat/>
    <w:rsid w:val="00DE659D"/>
  </w:style>
  <w:style w:type="paragraph" w:customStyle="1" w:styleId="Ttulo">
    <w:name w:val="Título"/>
    <w:basedOn w:val="Normal"/>
    <w:next w:val="Corpsdetexte"/>
    <w:qFormat/>
    <w:rsid w:val="00DE659D"/>
    <w:pPr>
      <w:keepNext/>
      <w:spacing w:before="240" w:after="120" w:line="259" w:lineRule="auto"/>
      <w:ind w:firstLine="0"/>
      <w:jc w:val="left"/>
    </w:pPr>
    <w:rPr>
      <w:rFonts w:ascii="Liberation Sans" w:eastAsia="Microsoft YaHei" w:hAnsi="Liberation Sans" w:cs="Arial"/>
      <w:szCs w:val="28"/>
      <w:lang w:val="hu-HU"/>
    </w:rPr>
  </w:style>
  <w:style w:type="paragraph" w:styleId="Corpsdetexte">
    <w:name w:val="Body Text"/>
    <w:basedOn w:val="Normal"/>
    <w:link w:val="CorpsdetexteCar"/>
    <w:rsid w:val="00DE659D"/>
    <w:pPr>
      <w:spacing w:after="140"/>
      <w:ind w:firstLine="0"/>
      <w:jc w:val="left"/>
    </w:pPr>
    <w:rPr>
      <w:rFonts w:asciiTheme="minorHAnsi" w:hAnsiTheme="minorHAnsi"/>
      <w:sz w:val="22"/>
      <w:lang w:val="hu-HU"/>
    </w:rPr>
  </w:style>
  <w:style w:type="character" w:customStyle="1" w:styleId="CorpsdetexteCar">
    <w:name w:val="Corps de texte Car"/>
    <w:basedOn w:val="Policepardfaut"/>
    <w:link w:val="Corpsdetexte"/>
    <w:rsid w:val="00DE659D"/>
    <w:rPr>
      <w:lang w:val="hu-HU"/>
    </w:rPr>
  </w:style>
  <w:style w:type="paragraph" w:styleId="Liste">
    <w:name w:val="List"/>
    <w:basedOn w:val="Corpsdetexte"/>
    <w:rsid w:val="00DE659D"/>
    <w:rPr>
      <w:rFonts w:cs="Arial"/>
    </w:rPr>
  </w:style>
  <w:style w:type="paragraph" w:customStyle="1" w:styleId="ndice">
    <w:name w:val="Índice"/>
    <w:basedOn w:val="Normal"/>
    <w:qFormat/>
    <w:rsid w:val="00DE659D"/>
    <w:pPr>
      <w:suppressLineNumbers/>
      <w:spacing w:line="259" w:lineRule="auto"/>
      <w:ind w:firstLine="0"/>
      <w:jc w:val="left"/>
    </w:pPr>
    <w:rPr>
      <w:rFonts w:asciiTheme="minorHAnsi" w:hAnsiTheme="minorHAnsi" w:cs="Arial"/>
      <w:sz w:val="22"/>
      <w:lang w:val="hu-HU"/>
    </w:rPr>
  </w:style>
  <w:style w:type="character" w:styleId="Accentuationintense">
    <w:name w:val="Intense Emphasis"/>
    <w:basedOn w:val="Policepardfaut"/>
    <w:uiPriority w:val="21"/>
    <w:qFormat/>
    <w:rsid w:val="00DE659D"/>
    <w:rPr>
      <w:b/>
      <w:bCs/>
      <w:i/>
      <w:iCs/>
      <w:color w:val="5B9BD5" w:themeColor="accent1"/>
    </w:rPr>
  </w:style>
  <w:style w:type="table" w:customStyle="1" w:styleId="TableauGrille1Clair-Accentuation31">
    <w:name w:val="Tableau Grille 1 Clair - Accentuation 31"/>
    <w:basedOn w:val="TableauNormal"/>
    <w:next w:val="TableauGrille1Clair-Accentuation3"/>
    <w:uiPriority w:val="46"/>
    <w:rsid w:val="00DE659D"/>
    <w:pPr>
      <w:spacing w:after="0" w:line="240" w:lineRule="auto"/>
    </w:pPr>
    <w:rPr>
      <w:lang w:val="hu-HU"/>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Ttulo1">
    <w:name w:val="Título1"/>
    <w:basedOn w:val="Normal"/>
    <w:next w:val="Corpsdetexte"/>
    <w:qFormat/>
    <w:rsid w:val="00DE659D"/>
    <w:pPr>
      <w:keepNext/>
      <w:spacing w:before="240" w:after="120" w:line="259" w:lineRule="auto"/>
      <w:ind w:firstLine="0"/>
      <w:jc w:val="left"/>
    </w:pPr>
    <w:rPr>
      <w:rFonts w:ascii="Liberation Sans" w:eastAsia="Microsoft YaHei" w:hAnsi="Liberation Sans" w:cs="Arial"/>
      <w:szCs w:val="28"/>
      <w:lang w:val="hu-HU"/>
    </w:rPr>
  </w:style>
  <w:style w:type="table" w:styleId="Grilledetableauclaire">
    <w:name w:val="Grid Table Light"/>
    <w:basedOn w:val="TableauNormal"/>
    <w:uiPriority w:val="40"/>
    <w:rsid w:val="008638F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03129">
      <w:bodyDiv w:val="1"/>
      <w:marLeft w:val="0"/>
      <w:marRight w:val="0"/>
      <w:marTop w:val="0"/>
      <w:marBottom w:val="0"/>
      <w:divBdr>
        <w:top w:val="none" w:sz="0" w:space="0" w:color="auto"/>
        <w:left w:val="none" w:sz="0" w:space="0" w:color="auto"/>
        <w:bottom w:val="none" w:sz="0" w:space="0" w:color="auto"/>
        <w:right w:val="none" w:sz="0" w:space="0" w:color="auto"/>
      </w:divBdr>
    </w:div>
    <w:div w:id="80046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cait.wri.org/" TargetMode="Externa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emerald.com/insight/content/doi/10.1108/IJRDM-08-2018-0156/full/html"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plan.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plan.b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indicators.be" TargetMode="External"/><Relationship Id="rId2" Type="http://schemas.openxmlformats.org/officeDocument/2006/relationships/hyperlink" Target="http://www.institut-economiepositive.com/leconomie-positive/" TargetMode="External"/><Relationship Id="rId1" Type="http://schemas.openxmlformats.org/officeDocument/2006/relationships/hyperlink" Target="https://www.ecogood.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B2E603-7963-4E66-B704-B1AF423FD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192</Pages>
  <Words>52299</Words>
  <Characters>287649</Characters>
  <Application>Microsoft Office Word</Application>
  <DocSecurity>0</DocSecurity>
  <Lines>2397</Lines>
  <Paragraphs>678</Paragraphs>
  <ScaleCrop>false</ScaleCrop>
  <HeadingPairs>
    <vt:vector size="2" baseType="variant">
      <vt:variant>
        <vt:lpstr>Titre</vt:lpstr>
      </vt:variant>
      <vt:variant>
        <vt:i4>1</vt:i4>
      </vt:variant>
    </vt:vector>
  </HeadingPairs>
  <TitlesOfParts>
    <vt:vector size="1" baseType="lpstr">
      <vt:lpstr>A compass for a socio-ecological transformation</vt:lpstr>
    </vt:vector>
  </TitlesOfParts>
  <Company>Université Catholique de Louvain</Company>
  <LinksUpToDate>false</LinksUpToDate>
  <CharactersWithSpaces>339270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compass for a socio-ecological transformation</dc:title>
  <dc:subject/>
  <dc:creator>Olivier Malay</dc:creator>
  <cp:keywords/>
  <dc:description/>
  <cp:lastModifiedBy>Olivier Malay</cp:lastModifiedBy>
  <cp:revision>4</cp:revision>
  <cp:lastPrinted>2020-09-20T15:04:00Z</cp:lastPrinted>
  <dcterms:created xsi:type="dcterms:W3CDTF">2020-09-20T15:00:00Z</dcterms:created>
  <dcterms:modified xsi:type="dcterms:W3CDTF">2020-09-20T15:30:00Z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id="etQberqo"/&gt;&lt;style id="http://www.zotero.org/styles/chicago-author-date" locale="en-GB" hasBibliography="1" bibliographyStyleHasBeenSet="1"/&gt;&lt;prefs&gt;&lt;pref name="fieldType" value="Field"/&gt;&lt;pref name</vt:lpwstr>
  </property>
  <property fmtid="{D5CDD505-2E9C-101B-9397-08002B2CF9AE}" pid="3" name="ZOTERO_PREF_2">
    <vt:lpwstr>="automaticJournalAbbreviations" value="true"/&gt;&lt;pref name="dontAskDelayCitationUpdates" value="true"/&gt;&lt;/prefs&gt;&lt;/data&gt;</vt:lpwstr>
  </property>
</Properties>
</file>