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405E4F" w14:textId="2F0C44E8" w:rsidR="00E24839" w:rsidRPr="00AE3054" w:rsidRDefault="00AE3054" w:rsidP="00BA0FB6">
      <w:pPr>
        <w:jc w:val="both"/>
        <w:rPr>
          <w:u w:val="single"/>
        </w:rPr>
      </w:pPr>
      <w:commentRangeStart w:id="0"/>
      <w:commentRangeStart w:id="1"/>
      <w:r w:rsidRPr="00AE3054">
        <w:rPr>
          <w:u w:val="single"/>
        </w:rPr>
        <w:t>Finance Verte</w:t>
      </w:r>
      <w:commentRangeEnd w:id="0"/>
      <w:r w:rsidR="00320A2E">
        <w:rPr>
          <w:rStyle w:val="Marquedecommentaire"/>
        </w:rPr>
        <w:commentReference w:id="0"/>
      </w:r>
      <w:commentRangeEnd w:id="1"/>
      <w:r w:rsidR="00BC2F73">
        <w:rPr>
          <w:rStyle w:val="Marquedecommentaire"/>
        </w:rPr>
        <w:commentReference w:id="1"/>
      </w:r>
    </w:p>
    <w:p w14:paraId="45377CFF" w14:textId="0C22638A" w:rsidR="00AE3054" w:rsidRDefault="00AE3054" w:rsidP="00BA0FB6">
      <w:pPr>
        <w:jc w:val="both"/>
      </w:pPr>
      <w:r w:rsidRPr="009F07CD">
        <w:rPr>
          <w:highlight w:val="yellow"/>
        </w:rPr>
        <w:t xml:space="preserve">Clément Fontan, professeur en politiques </w:t>
      </w:r>
      <w:commentRangeStart w:id="2"/>
      <w:commentRangeStart w:id="3"/>
      <w:r w:rsidRPr="009F07CD">
        <w:rPr>
          <w:highlight w:val="yellow"/>
        </w:rPr>
        <w:t>économiques</w:t>
      </w:r>
      <w:commentRangeEnd w:id="2"/>
      <w:r w:rsidR="002624E6">
        <w:rPr>
          <w:rStyle w:val="Marquedecommentaire"/>
        </w:rPr>
        <w:commentReference w:id="2"/>
      </w:r>
      <w:commentRangeEnd w:id="3"/>
      <w:r w:rsidR="009F2870">
        <w:rPr>
          <w:rStyle w:val="Marquedecommentaire"/>
        </w:rPr>
        <w:commentReference w:id="3"/>
      </w:r>
      <w:r w:rsidRPr="009F07CD">
        <w:rPr>
          <w:highlight w:val="yellow"/>
        </w:rPr>
        <w:t xml:space="preserve"> européennes, </w:t>
      </w:r>
      <w:proofErr w:type="spellStart"/>
      <w:r w:rsidRPr="009F07CD">
        <w:rPr>
          <w:highlight w:val="yellow"/>
        </w:rPr>
        <w:t>UcLouvain</w:t>
      </w:r>
      <w:proofErr w:type="spellEnd"/>
    </w:p>
    <w:p w14:paraId="30CFB535" w14:textId="53065B58" w:rsidR="00AE3054" w:rsidRDefault="00AE3054" w:rsidP="00BA0FB6">
      <w:pPr>
        <w:jc w:val="both"/>
      </w:pPr>
      <w:r>
        <w:t>Nb de caractères du texte avec espace: 8402.</w:t>
      </w:r>
    </w:p>
    <w:p w14:paraId="0FABB3CF" w14:textId="77777777" w:rsidR="00643076" w:rsidRDefault="00643076" w:rsidP="00BA0FB6">
      <w:pPr>
        <w:jc w:val="both"/>
      </w:pPr>
      <w:commentRangeStart w:id="4"/>
    </w:p>
    <w:p w14:paraId="68F82336" w14:textId="608729C2" w:rsidR="00643076" w:rsidRDefault="00643076" w:rsidP="00BA0FB6">
      <w:pPr>
        <w:jc w:val="both"/>
      </w:pPr>
      <w:r>
        <w:t xml:space="preserve">Inclure : renvois aux notices connexes (voir liste des entrées du dictionnaire) </w:t>
      </w:r>
      <w:commentRangeEnd w:id="4"/>
      <w:r w:rsidR="009F2870">
        <w:rPr>
          <w:rStyle w:val="Marquedecommentaire"/>
        </w:rPr>
        <w:commentReference w:id="4"/>
      </w:r>
    </w:p>
    <w:p w14:paraId="4B0558EE" w14:textId="2DFA635F" w:rsidR="00572E89" w:rsidRDefault="00647533" w:rsidP="00BA0FB6">
      <w:pPr>
        <w:jc w:val="both"/>
      </w:pPr>
      <w:r>
        <w:t>Depuis la signature des accords de Paris en 2015</w:t>
      </w:r>
      <w:r w:rsidR="00B76EB7">
        <w:t xml:space="preserve">, </w:t>
      </w:r>
      <w:r w:rsidR="00B340DE">
        <w:t>le montant total de</w:t>
      </w:r>
      <w:r w:rsidR="0060163E">
        <w:t xml:space="preserve">s investissements </w:t>
      </w:r>
      <w:r w:rsidR="002754B1">
        <w:t>financiers</w:t>
      </w:r>
      <w:r w:rsidR="00B340DE">
        <w:t xml:space="preserve"> </w:t>
      </w:r>
      <w:r w:rsidR="005B423C">
        <w:t xml:space="preserve">en faveur des activités fossiles s’est élevé </w:t>
      </w:r>
      <w:r w:rsidR="00B340DE">
        <w:t xml:space="preserve">à près de </w:t>
      </w:r>
      <w:r w:rsidR="002754B1">
        <w:t>12</w:t>
      </w:r>
      <w:r w:rsidR="00B340DE">
        <w:t xml:space="preserve"> trillions de dollars</w:t>
      </w:r>
      <w:r w:rsidR="00A96F23">
        <w:t xml:space="preserve">, </w:t>
      </w:r>
      <w:r w:rsidR="007B1B3D">
        <w:t>reflétant l</w:t>
      </w:r>
      <w:r w:rsidR="00BB23FD" w:rsidRPr="00BB23FD">
        <w:t xml:space="preserve">es liens historiques étroits entre les secteurs financier et extractif depuis le </w:t>
      </w:r>
      <w:r w:rsidR="00643076" w:rsidRPr="00BB23FD">
        <w:t>XIX</w:t>
      </w:r>
      <w:r w:rsidR="00643076">
        <w:rPr>
          <w:vertAlign w:val="superscript"/>
        </w:rPr>
        <w:t>ème</w:t>
      </w:r>
      <w:r w:rsidR="00643076" w:rsidRPr="00BB23FD">
        <w:t xml:space="preserve"> </w:t>
      </w:r>
      <w:r w:rsidR="00BB23FD" w:rsidRPr="00BB23FD">
        <w:t>siècle</w:t>
      </w:r>
      <w:r w:rsidR="00065BFC">
        <w:t xml:space="preserve">. </w:t>
      </w:r>
      <w:r>
        <w:t>Face à ce bilan,</w:t>
      </w:r>
      <w:r w:rsidR="00B42038">
        <w:t xml:space="preserve"> il faut comprendre la finance verte non comme un état de fait réalisé</w:t>
      </w:r>
      <w:r w:rsidR="0021522A">
        <w:t xml:space="preserve"> mais plutôt comme une série d’initiatives privées et publiques visant à réorienter les investissements financiers des activités fossiles aux activités </w:t>
      </w:r>
      <w:r w:rsidR="002A3879">
        <w:t>renouvelable</w:t>
      </w:r>
      <w:r w:rsidR="00643076">
        <w:t>s</w:t>
      </w:r>
      <w:r w:rsidR="0021522A">
        <w:t xml:space="preserve">. </w:t>
      </w:r>
    </w:p>
    <w:p w14:paraId="6FE99745" w14:textId="77777777" w:rsidR="00C67490" w:rsidRDefault="00347B2A" w:rsidP="00BA0FB6">
      <w:pPr>
        <w:jc w:val="both"/>
      </w:pPr>
      <w:r>
        <w:t>En effet, l</w:t>
      </w:r>
      <w:r w:rsidR="007E0576" w:rsidRPr="007E0576">
        <w:t>e financement historique de l’extractivisme fossile a d'abord suscité des controverses sporadiques, notamment après des catastrophes comme le naufrage de l'Exxon Valdez en 1997, qui a conduit à l’émergence des premières coalitions d'investisseurs pour la responsabilité environnementale aux États-Unis</w:t>
      </w:r>
      <w:r w:rsidR="00513706">
        <w:t>.</w:t>
      </w:r>
      <w:r w:rsidR="003C5172">
        <w:t xml:space="preserve"> </w:t>
      </w:r>
      <w:r w:rsidR="007E0576" w:rsidRPr="007E0576">
        <w:t xml:space="preserve">Ces réseaux privés se sont ensuite institutionnalisés, lançant des initiatives comme la </w:t>
      </w:r>
      <w:r w:rsidR="007E0576" w:rsidRPr="0067165C">
        <w:rPr>
          <w:i/>
          <w:iCs/>
        </w:rPr>
        <w:t xml:space="preserve">Global </w:t>
      </w:r>
      <w:proofErr w:type="spellStart"/>
      <w:r w:rsidR="007E0576" w:rsidRPr="0067165C">
        <w:rPr>
          <w:i/>
          <w:iCs/>
        </w:rPr>
        <w:t>Reporting</w:t>
      </w:r>
      <w:proofErr w:type="spellEnd"/>
      <w:r w:rsidR="007E0576" w:rsidRPr="0067165C">
        <w:rPr>
          <w:i/>
          <w:iCs/>
        </w:rPr>
        <w:t xml:space="preserve"> Initiative</w:t>
      </w:r>
      <w:r w:rsidR="007E0576" w:rsidRPr="007E0576">
        <w:t xml:space="preserve"> pour intégrer des normes </w:t>
      </w:r>
      <w:r w:rsidR="005A70E4">
        <w:t xml:space="preserve">« environnementales, sociales et </w:t>
      </w:r>
      <w:r w:rsidR="004B5717">
        <w:t>de gouvernance (ESG)</w:t>
      </w:r>
      <w:r w:rsidR="00075802">
        <w:t xml:space="preserve"> </w:t>
      </w:r>
      <w:r w:rsidR="004B5717">
        <w:t xml:space="preserve">» dans les pratiques financières. </w:t>
      </w:r>
    </w:p>
    <w:p w14:paraId="1C6EAC40" w14:textId="3E586EAC" w:rsidR="00CA4356" w:rsidRDefault="00CA4356" w:rsidP="00BA0FB6">
      <w:pPr>
        <w:jc w:val="both"/>
      </w:pPr>
      <w:r>
        <w:t>La création de nouvelles banques éthiques et environnementales, les offres d’investissement verts par les banques traditionnelles et les demandes de verdissement des fonds de pension par leurs épargnants sont autant d’exemples de cette dynamique,</w:t>
      </w:r>
      <w:r w:rsidR="00C558D5">
        <w:t xml:space="preserve"> </w:t>
      </w:r>
      <w:r>
        <w:t xml:space="preserve">qui ne concerne cependant qu’une partie largement minoritaire des portefeuilles financiers. </w:t>
      </w:r>
      <w:r w:rsidR="00403692" w:rsidRPr="00403692">
        <w:t xml:space="preserve">Depuis les accords de Paris en 2015, ces initiatives se sont multipliées, gagnant le soutien et </w:t>
      </w:r>
      <w:r w:rsidR="00D35BD6">
        <w:t>l’engagement</w:t>
      </w:r>
      <w:r w:rsidR="00D35BD6" w:rsidRPr="00403692">
        <w:t xml:space="preserve"> </w:t>
      </w:r>
      <w:r w:rsidR="00403692" w:rsidRPr="00403692">
        <w:t>de nombreux acteurs financiers publics</w:t>
      </w:r>
      <w:r w:rsidR="00403692">
        <w:t>.</w:t>
      </w:r>
    </w:p>
    <w:p w14:paraId="784CD9E3" w14:textId="48B7ECA7" w:rsidR="00C13ED1" w:rsidRDefault="00BB43F4" w:rsidP="00BA0FB6">
      <w:pPr>
        <w:jc w:val="both"/>
      </w:pPr>
      <w:r>
        <w:t>Pourtant</w:t>
      </w:r>
      <w:r w:rsidR="00DE2E25">
        <w:t xml:space="preserve">, le financement des </w:t>
      </w:r>
      <w:r w:rsidR="00C13ED1">
        <w:t>activités</w:t>
      </w:r>
      <w:r w:rsidR="00DE2E25">
        <w:t xml:space="preserve"> fossiles ne se tarit pas</w:t>
      </w:r>
      <w:r w:rsidR="00D35BD6">
        <w:t>,</w:t>
      </w:r>
      <w:r w:rsidR="00DE2E25">
        <w:t xml:space="preserve"> tandis que l’allocation de ressources financières </w:t>
      </w:r>
      <w:r w:rsidR="00A14CCB">
        <w:t xml:space="preserve">aux investissements visant le verdissement de l’économie reste </w:t>
      </w:r>
      <w:r w:rsidR="00C13ED1">
        <w:t>largement</w:t>
      </w:r>
      <w:r w:rsidR="00A14CCB">
        <w:t xml:space="preserve"> insuffisant</w:t>
      </w:r>
      <w:r w:rsidR="00C13ED1">
        <w:t>e</w:t>
      </w:r>
      <w:r w:rsidR="00A14CCB">
        <w:t xml:space="preserve"> pour tenir </w:t>
      </w:r>
      <w:r w:rsidR="00424646">
        <w:t>c</w:t>
      </w:r>
      <w:r w:rsidR="00C13ED1">
        <w:t xml:space="preserve">es engagements </w:t>
      </w:r>
      <w:r w:rsidR="00BA0FB6">
        <w:t>internationaux</w:t>
      </w:r>
      <w:r w:rsidR="00424646">
        <w:t xml:space="preserve">. </w:t>
      </w:r>
      <w:r w:rsidR="00C13ED1">
        <w:t>Afin d’apporter des explications à ce paradoxe, cette entrée revien</w:t>
      </w:r>
      <w:r w:rsidR="00A15D2B">
        <w:t xml:space="preserve">t </w:t>
      </w:r>
      <w:r w:rsidR="00C13ED1">
        <w:t xml:space="preserve">d’abord sur </w:t>
      </w:r>
      <w:r w:rsidR="00EF792F">
        <w:t xml:space="preserve">les origines </w:t>
      </w:r>
      <w:r w:rsidR="00722081">
        <w:t xml:space="preserve">et </w:t>
      </w:r>
      <w:r w:rsidR="00C13ED1">
        <w:t>l</w:t>
      </w:r>
      <w:r w:rsidR="00A15D2B">
        <w:t>’ambigüité sémantique du</w:t>
      </w:r>
      <w:r w:rsidR="00C13ED1">
        <w:t xml:space="preserve"> concept de finance verte,</w:t>
      </w:r>
      <w:r w:rsidR="00A15D2B">
        <w:t xml:space="preserve"> </w:t>
      </w:r>
      <w:r w:rsidR="00722081">
        <w:t xml:space="preserve">les facteurs </w:t>
      </w:r>
      <w:r w:rsidR="00F776E3">
        <w:t xml:space="preserve">du paramétrage des instruments qui y sont associés </w:t>
      </w:r>
      <w:r w:rsidR="00674D12">
        <w:t>et apporte</w:t>
      </w:r>
      <w:r w:rsidR="000C524B">
        <w:t xml:space="preserve"> des explications à l</w:t>
      </w:r>
      <w:r w:rsidR="00F776E3">
        <w:t>eur</w:t>
      </w:r>
      <w:r w:rsidR="000C524B">
        <w:t xml:space="preserve"> portée limitée</w:t>
      </w:r>
      <w:r w:rsidR="00F776E3">
        <w:t xml:space="preserve">. </w:t>
      </w:r>
    </w:p>
    <w:p w14:paraId="5700694D" w14:textId="20D81A5C" w:rsidR="0025034B" w:rsidRDefault="001456B5" w:rsidP="00BA0FB6">
      <w:pPr>
        <w:jc w:val="both"/>
        <w:rPr>
          <w:b/>
          <w:bCs/>
        </w:rPr>
      </w:pPr>
      <w:r>
        <w:rPr>
          <w:b/>
          <w:bCs/>
        </w:rPr>
        <w:t xml:space="preserve">Trajectoires différenciées et </w:t>
      </w:r>
      <w:r w:rsidR="00E006B8" w:rsidRPr="00E006B8">
        <w:rPr>
          <w:b/>
          <w:bCs/>
        </w:rPr>
        <w:t>ambigüité</w:t>
      </w:r>
      <w:r w:rsidR="00EF792F" w:rsidRPr="00E006B8">
        <w:rPr>
          <w:b/>
          <w:bCs/>
        </w:rPr>
        <w:t xml:space="preserve"> </w:t>
      </w:r>
      <w:r w:rsidR="00510543">
        <w:rPr>
          <w:b/>
          <w:bCs/>
        </w:rPr>
        <w:t>sémantique</w:t>
      </w:r>
      <w:r w:rsidR="003F7149">
        <w:rPr>
          <w:b/>
          <w:bCs/>
        </w:rPr>
        <w:t xml:space="preserve"> </w:t>
      </w:r>
      <w:r w:rsidR="00EF792F" w:rsidRPr="00E006B8">
        <w:rPr>
          <w:b/>
          <w:bCs/>
        </w:rPr>
        <w:t xml:space="preserve">de la </w:t>
      </w:r>
      <w:r w:rsidR="00E006B8" w:rsidRPr="00E006B8">
        <w:rPr>
          <w:b/>
          <w:bCs/>
        </w:rPr>
        <w:t>finance</w:t>
      </w:r>
      <w:r w:rsidR="00EF792F" w:rsidRPr="00E006B8">
        <w:rPr>
          <w:b/>
          <w:bCs/>
        </w:rPr>
        <w:t xml:space="preserve"> verte. </w:t>
      </w:r>
    </w:p>
    <w:p w14:paraId="64378BB1" w14:textId="22E2E66D" w:rsidR="001456B5" w:rsidRPr="00755553" w:rsidRDefault="00644560" w:rsidP="00BA0FB6">
      <w:pPr>
        <w:jc w:val="both"/>
      </w:pPr>
      <w:r w:rsidRPr="00644560">
        <w:t xml:space="preserve">Les premières initiatives de finance verte ont émergé en Asie </w:t>
      </w:r>
      <w:r w:rsidR="00424646">
        <w:t>au milieu</w:t>
      </w:r>
      <w:r w:rsidRPr="00644560">
        <w:t xml:space="preserve"> des années 2000 pour deux raisons</w:t>
      </w:r>
      <w:r w:rsidR="00FF2853">
        <w:t>.</w:t>
      </w:r>
      <w:r w:rsidR="006941AB">
        <w:t xml:space="preserve"> D’</w:t>
      </w:r>
      <w:r w:rsidR="00531EB2">
        <w:t>une part</w:t>
      </w:r>
      <w:r w:rsidR="006941AB">
        <w:t xml:space="preserve">, </w:t>
      </w:r>
      <w:r w:rsidR="00A3767E">
        <w:t xml:space="preserve">dans la majorité des pays </w:t>
      </w:r>
      <w:r w:rsidR="002951ED">
        <w:t xml:space="preserve">de cette région, les autorités </w:t>
      </w:r>
      <w:r w:rsidR="00284877">
        <w:t>financières</w:t>
      </w:r>
      <w:r w:rsidR="002951ED">
        <w:t xml:space="preserve"> </w:t>
      </w:r>
      <w:r w:rsidR="00674D12">
        <w:t>disposent</w:t>
      </w:r>
      <w:r w:rsidR="002951ED">
        <w:t xml:space="preserve"> d’un mandat visant à </w:t>
      </w:r>
      <w:r w:rsidR="00284877">
        <w:t>soutenir l</w:t>
      </w:r>
      <w:r w:rsidR="00802943">
        <w:t>a stratégie économique de leurs gouvernement</w:t>
      </w:r>
      <w:r w:rsidR="00531EB2">
        <w:t>s</w:t>
      </w:r>
      <w:r w:rsidR="00802943">
        <w:t xml:space="preserve">. </w:t>
      </w:r>
      <w:r w:rsidR="00284877">
        <w:t>De ce</w:t>
      </w:r>
      <w:r w:rsidR="00802943">
        <w:t xml:space="preserve"> point de vue, rajouter des objectifs </w:t>
      </w:r>
      <w:r w:rsidR="003627C0">
        <w:t xml:space="preserve">verts dans leur périmètre </w:t>
      </w:r>
      <w:r w:rsidR="003627C0">
        <w:lastRenderedPageBreak/>
        <w:t xml:space="preserve">d’opérations ne représentait pas un changement </w:t>
      </w:r>
      <w:r w:rsidR="00674D12">
        <w:t xml:space="preserve">paradigmatique </w:t>
      </w:r>
      <w:r w:rsidR="003627C0">
        <w:t>fondamental (</w:t>
      </w:r>
      <w:proofErr w:type="spellStart"/>
      <w:r w:rsidR="005965E7">
        <w:t>Dikau</w:t>
      </w:r>
      <w:proofErr w:type="spellEnd"/>
      <w:r w:rsidR="00FD2E42">
        <w:t xml:space="preserve"> &amp; </w:t>
      </w:r>
      <w:proofErr w:type="spellStart"/>
      <w:r w:rsidR="00FD2E42">
        <w:t>Volz</w:t>
      </w:r>
      <w:proofErr w:type="spellEnd"/>
      <w:r w:rsidR="00FD2E42">
        <w:t xml:space="preserve"> 202</w:t>
      </w:r>
      <w:r w:rsidR="000F7E59">
        <w:t>3</w:t>
      </w:r>
      <w:r w:rsidR="003627C0">
        <w:t xml:space="preserve">). </w:t>
      </w:r>
      <w:r w:rsidR="00531EB2">
        <w:t>D’autre part, l</w:t>
      </w:r>
      <w:r w:rsidR="00755553">
        <w:t xml:space="preserve">e verdissement de secteurs industriels tels que le transport ou l’énergie a été perçu comme une opportunité stratégique par certains de ces pays, tels que la Chine, </w:t>
      </w:r>
      <w:r w:rsidR="00E55207">
        <w:t>pour atteindre une position dominante dans les futurs secteurs clés de la chaine de valeur mondiale</w:t>
      </w:r>
      <w:r w:rsidR="00A852ED">
        <w:t>.</w:t>
      </w:r>
      <w:r w:rsidR="007036E1">
        <w:t xml:space="preserve"> </w:t>
      </w:r>
    </w:p>
    <w:p w14:paraId="5CB403A2" w14:textId="0CADCCF0" w:rsidR="00157E12" w:rsidRDefault="00E55207" w:rsidP="00BA0FB6">
      <w:pPr>
        <w:jc w:val="both"/>
      </w:pPr>
      <w:r>
        <w:t>L’</w:t>
      </w:r>
      <w:r w:rsidR="007D12CB">
        <w:t>émergence</w:t>
      </w:r>
      <w:r>
        <w:t xml:space="preserve"> de la finance verte dans l</w:t>
      </w:r>
      <w:r w:rsidR="0025158D">
        <w:t>’</w:t>
      </w:r>
      <w:r w:rsidR="00457199">
        <w:t>espace</w:t>
      </w:r>
      <w:r w:rsidR="0025158D">
        <w:t xml:space="preserve"> occidental a été plus</w:t>
      </w:r>
      <w:r w:rsidR="00DC30FA">
        <w:t xml:space="preserve"> lent et limité</w:t>
      </w:r>
      <w:r w:rsidR="00A852ED">
        <w:t xml:space="preserve"> (</w:t>
      </w:r>
      <w:proofErr w:type="spellStart"/>
      <w:r w:rsidR="00A852ED">
        <w:t>Chiapello</w:t>
      </w:r>
      <w:proofErr w:type="spellEnd"/>
      <w:r w:rsidR="00A852ED">
        <w:t xml:space="preserve"> 2021)</w:t>
      </w:r>
      <w:r w:rsidR="007D12CB">
        <w:t xml:space="preserve">. </w:t>
      </w:r>
      <w:r w:rsidR="00EF792F">
        <w:t>En</w:t>
      </w:r>
      <w:r w:rsidR="005A7EC5">
        <w:t xml:space="preserve"> 2015, Mark </w:t>
      </w:r>
      <w:proofErr w:type="spellStart"/>
      <w:r w:rsidR="005A7EC5">
        <w:t>Carney</w:t>
      </w:r>
      <w:proofErr w:type="spellEnd"/>
      <w:r w:rsidR="005A7EC5">
        <w:t xml:space="preserve">, alors </w:t>
      </w:r>
      <w:r w:rsidR="00BD3477">
        <w:t>gouverneur</w:t>
      </w:r>
      <w:r w:rsidR="005A7EC5">
        <w:t xml:space="preserve"> de la Banque d’</w:t>
      </w:r>
      <w:r w:rsidR="00BD3477">
        <w:t xml:space="preserve">Angleterre, </w:t>
      </w:r>
      <w:r w:rsidR="004A042A">
        <w:t>pronon</w:t>
      </w:r>
      <w:r w:rsidR="00D35BD6">
        <w:t>ce</w:t>
      </w:r>
      <w:r w:rsidR="00BD3477">
        <w:t xml:space="preserve"> un discours</w:t>
      </w:r>
      <w:r w:rsidR="007D3974">
        <w:t xml:space="preserve"> </w:t>
      </w:r>
      <w:r w:rsidR="00674D12">
        <w:t xml:space="preserve">célèbre </w:t>
      </w:r>
      <w:r w:rsidR="007D3974">
        <w:t xml:space="preserve">cadrant </w:t>
      </w:r>
      <w:r w:rsidR="00674D12">
        <w:t>la question environnementale</w:t>
      </w:r>
      <w:r w:rsidR="00D62ACC">
        <w:t xml:space="preserve"> comme une défaillance de marché</w:t>
      </w:r>
      <w:r w:rsidR="00674D12">
        <w:t xml:space="preserve"> à laquelle</w:t>
      </w:r>
      <w:r w:rsidR="001F1189">
        <w:t xml:space="preserve"> les autorités régulatrices </w:t>
      </w:r>
      <w:r w:rsidR="00674D12">
        <w:t>doivent répondre</w:t>
      </w:r>
      <w:r w:rsidR="001F1189">
        <w:t xml:space="preserve"> en incitant les</w:t>
      </w:r>
      <w:r w:rsidR="0075043B">
        <w:t xml:space="preserve"> </w:t>
      </w:r>
      <w:r w:rsidR="001F1189">
        <w:t xml:space="preserve">acteurs privés </w:t>
      </w:r>
      <w:r w:rsidR="00254AD6">
        <w:t>à</w:t>
      </w:r>
      <w:r w:rsidR="0075043B">
        <w:t xml:space="preserve"> </w:t>
      </w:r>
      <w:r w:rsidR="003B5A60">
        <w:t xml:space="preserve">diminuer leurs expositions aussi bien aux risques </w:t>
      </w:r>
      <w:r w:rsidR="0045082C">
        <w:t>climatiques directs (</w:t>
      </w:r>
      <w:r w:rsidR="00AB5110">
        <w:t>pertes liées</w:t>
      </w:r>
      <w:r w:rsidR="00254AD6">
        <w:t xml:space="preserve"> à des catastrophes climatiques) que ceux liées aux nouvelles normes</w:t>
      </w:r>
      <w:r w:rsidR="005A5E13">
        <w:t xml:space="preserve"> </w:t>
      </w:r>
      <w:r w:rsidR="00AB5110">
        <w:t>environnementales</w:t>
      </w:r>
      <w:r w:rsidR="005A5E13">
        <w:t xml:space="preserve"> (</w:t>
      </w:r>
      <w:r w:rsidR="00DC30FA">
        <w:t xml:space="preserve">potentielle </w:t>
      </w:r>
      <w:r w:rsidR="005A5E13">
        <w:t xml:space="preserve">interdiction des véhicules à moteur </w:t>
      </w:r>
      <w:r w:rsidR="00AB5110">
        <w:t>thermique</w:t>
      </w:r>
      <w:r w:rsidR="005A5E13">
        <w:t>)</w:t>
      </w:r>
      <w:r w:rsidR="00621858">
        <w:t xml:space="preserve">. </w:t>
      </w:r>
    </w:p>
    <w:p w14:paraId="5991C6C1" w14:textId="59C74831" w:rsidR="00BB41F4" w:rsidRDefault="00644560" w:rsidP="00BA0FB6">
      <w:pPr>
        <w:jc w:val="both"/>
      </w:pPr>
      <w:r w:rsidRPr="00644560">
        <w:t>Il souligne toutefois que les régulateurs ne devraient pas activement réorienter les flux financiers des activités polluantes vers des activités durables, car cela dépasse leur mandat</w:t>
      </w:r>
      <w:r w:rsidR="004F7E7B">
        <w:t xml:space="preserve">. </w:t>
      </w:r>
      <w:r w:rsidR="00C50601">
        <w:t>En d’autres mots, l</w:t>
      </w:r>
      <w:r w:rsidR="004F7E7B">
        <w:t xml:space="preserve">a finance verte </w:t>
      </w:r>
      <w:r w:rsidR="00DC30FA">
        <w:t>en Europe et en Amérique du Nord</w:t>
      </w:r>
      <w:r w:rsidR="004F7E7B">
        <w:t xml:space="preserve"> </w:t>
      </w:r>
      <w:r w:rsidR="00C50601">
        <w:t xml:space="preserve">a </w:t>
      </w:r>
      <w:r w:rsidR="00F13C82">
        <w:t xml:space="preserve">d’abord eu </w:t>
      </w:r>
      <w:r w:rsidR="00C50601">
        <w:t xml:space="preserve">pour but principal </w:t>
      </w:r>
      <w:r w:rsidR="003E3AF6">
        <w:t xml:space="preserve">d’assurer la stabilité financière face </w:t>
      </w:r>
      <w:r w:rsidR="00F13C82">
        <w:t xml:space="preserve">aux risques </w:t>
      </w:r>
      <w:r w:rsidR="008412FB">
        <w:t>climatiques</w:t>
      </w:r>
      <w:r w:rsidR="004A5C89">
        <w:t xml:space="preserve"> (</w:t>
      </w:r>
      <w:r w:rsidR="002501A7">
        <w:t xml:space="preserve">la </w:t>
      </w:r>
      <w:r w:rsidR="002862B0">
        <w:t>matérialité</w:t>
      </w:r>
      <w:r w:rsidR="000868AD">
        <w:t xml:space="preserve"> financière</w:t>
      </w:r>
      <w:r w:rsidR="004A5C89">
        <w:t>)</w:t>
      </w:r>
      <w:r w:rsidR="003E3AF6">
        <w:t xml:space="preserve"> plutôt que </w:t>
      </w:r>
      <w:r w:rsidR="00623536">
        <w:t xml:space="preserve">d’assurer la stabilité climatique planétaire en </w:t>
      </w:r>
      <w:r w:rsidR="001439ED">
        <w:t>réorientant</w:t>
      </w:r>
      <w:r w:rsidR="00623536">
        <w:t xml:space="preserve"> activement et de manière contraignante les </w:t>
      </w:r>
      <w:r w:rsidR="00F13C82">
        <w:t>investissements</w:t>
      </w:r>
      <w:r w:rsidR="00844F0D">
        <w:t xml:space="preserve"> </w:t>
      </w:r>
      <w:r w:rsidR="00623536">
        <w:t>financiers</w:t>
      </w:r>
      <w:r w:rsidR="004A5C89">
        <w:t xml:space="preserve"> (</w:t>
      </w:r>
      <w:r w:rsidR="002501A7">
        <w:t xml:space="preserve">la </w:t>
      </w:r>
      <w:r w:rsidR="002862B0">
        <w:t>matérialité environnementale)</w:t>
      </w:r>
      <w:r w:rsidR="00623536">
        <w:t xml:space="preserve">. </w:t>
      </w:r>
    </w:p>
    <w:p w14:paraId="52194882" w14:textId="18C397DD" w:rsidR="00BB41F4" w:rsidRPr="00CC53E4" w:rsidRDefault="00186623" w:rsidP="00BA0FB6">
      <w:pPr>
        <w:jc w:val="both"/>
        <w:rPr>
          <w:b/>
          <w:bCs/>
        </w:rPr>
      </w:pPr>
      <w:r>
        <w:rPr>
          <w:b/>
          <w:bCs/>
        </w:rPr>
        <w:t>Le p</w:t>
      </w:r>
      <w:r w:rsidR="00E26674" w:rsidRPr="00CC53E4">
        <w:rPr>
          <w:b/>
          <w:bCs/>
        </w:rPr>
        <w:t>aramé</w:t>
      </w:r>
      <w:r w:rsidR="00CC53E4" w:rsidRPr="00CC53E4">
        <w:rPr>
          <w:b/>
          <w:bCs/>
        </w:rPr>
        <w:t>trage de la finance verte</w:t>
      </w:r>
      <w:r w:rsidR="000C48B9">
        <w:rPr>
          <w:b/>
          <w:bCs/>
        </w:rPr>
        <w:t xml:space="preserve"> </w:t>
      </w:r>
    </w:p>
    <w:p w14:paraId="777CBD28" w14:textId="3F7FE70A" w:rsidR="00BA3948" w:rsidRDefault="00CC53E4" w:rsidP="00BA0FB6">
      <w:pPr>
        <w:jc w:val="both"/>
      </w:pPr>
      <w:r>
        <w:t>Le paramétrage des instruments de finance</w:t>
      </w:r>
      <w:r w:rsidR="00D05060">
        <w:t xml:space="preserve"> verte </w:t>
      </w:r>
      <w:r w:rsidR="00DC0FC4">
        <w:t xml:space="preserve">découle de </w:t>
      </w:r>
      <w:r w:rsidR="00D05060">
        <w:t>leurs sources de légitimation</w:t>
      </w:r>
      <w:r w:rsidR="00DC0FC4">
        <w:t xml:space="preserve">, du </w:t>
      </w:r>
      <w:r w:rsidR="00611664">
        <w:t xml:space="preserve">périmètre du mandat des </w:t>
      </w:r>
      <w:r w:rsidR="005C7661">
        <w:t>autorités</w:t>
      </w:r>
      <w:r w:rsidR="00611664">
        <w:t xml:space="preserve"> qui les déploient </w:t>
      </w:r>
      <w:r w:rsidR="00DC0FC4">
        <w:t>et</w:t>
      </w:r>
      <w:r w:rsidR="00C972F6">
        <w:t xml:space="preserve"> du degré d’interventionnisme étatique dans l</w:t>
      </w:r>
      <w:r w:rsidR="00CA4356">
        <w:t>e</w:t>
      </w:r>
      <w:r w:rsidR="00C972F6">
        <w:t>s mécanismes de marché</w:t>
      </w:r>
      <w:r w:rsidR="00BA3948">
        <w:t xml:space="preserve"> (Baer et al, 2021)</w:t>
      </w:r>
      <w:r w:rsidR="005C7661">
        <w:t xml:space="preserve">. </w:t>
      </w:r>
      <w:commentRangeStart w:id="5"/>
      <w:r w:rsidR="004F7E7B">
        <w:t>Ainsi</w:t>
      </w:r>
      <w:r w:rsidR="005C7661">
        <w:t xml:space="preserve"> </w:t>
      </w:r>
      <w:r w:rsidR="00E50A94">
        <w:t xml:space="preserve">les autorités financières chinoises, qui </w:t>
      </w:r>
      <w:r w:rsidR="00FF67D3">
        <w:t>disposent d’</w:t>
      </w:r>
      <w:r w:rsidR="00E50A94">
        <w:t xml:space="preserve">un mandat clair de soutien aux objectifs gouvernementaux, ont </w:t>
      </w:r>
      <w:r w:rsidR="002862B0">
        <w:t>intégré une matérialité environnementale en déployant</w:t>
      </w:r>
      <w:r w:rsidR="00E50A94">
        <w:t xml:space="preserve"> des lignes de crédit </w:t>
      </w:r>
      <w:r w:rsidR="00FF67D3">
        <w:t>favorisant</w:t>
      </w:r>
      <w:r w:rsidR="00E50A94">
        <w:t xml:space="preserve"> leurs industries vertes</w:t>
      </w:r>
      <w:r w:rsidR="00A32B19">
        <w:t xml:space="preserve"> et pénalisant </w:t>
      </w:r>
      <w:r w:rsidR="00FA625B">
        <w:t>les</w:t>
      </w:r>
      <w:r w:rsidR="00A32B19">
        <w:t xml:space="preserve"> polluantes</w:t>
      </w:r>
      <w:r w:rsidR="00E50A94">
        <w:t xml:space="preserve">. </w:t>
      </w:r>
      <w:r w:rsidR="00BA3948">
        <w:t>De la même manière, la</w:t>
      </w:r>
      <w:r w:rsidR="00E86B26">
        <w:t xml:space="preserve"> proximité entre </w:t>
      </w:r>
      <w:r w:rsidR="00FA625B">
        <w:t>le gouvernement Orban et</w:t>
      </w:r>
      <w:r w:rsidR="00E86B26">
        <w:t xml:space="preserve"> </w:t>
      </w:r>
      <w:r w:rsidR="00FA625B">
        <w:t>les</w:t>
      </w:r>
      <w:r w:rsidR="00E86B26">
        <w:t xml:space="preserve"> autorités régulatrices en Hongrie a permis à ce pays d’être </w:t>
      </w:r>
      <w:r w:rsidR="00FD2E42">
        <w:t>précurseur</w:t>
      </w:r>
      <w:r w:rsidR="00E86B26">
        <w:t xml:space="preserve"> en matière de finance verte en Europe (</w:t>
      </w:r>
      <w:proofErr w:type="spellStart"/>
      <w:r w:rsidR="00E86B26">
        <w:t>P</w:t>
      </w:r>
      <w:r w:rsidR="00057CCC">
        <w:t>iroska</w:t>
      </w:r>
      <w:proofErr w:type="spellEnd"/>
      <w:r w:rsidR="00057CCC">
        <w:t xml:space="preserve"> 2021)</w:t>
      </w:r>
      <w:r w:rsidR="00601CF1">
        <w:t>.</w:t>
      </w:r>
      <w:commentRangeEnd w:id="5"/>
      <w:r w:rsidR="00601CF1">
        <w:rPr>
          <w:rStyle w:val="Marquedecommentaire"/>
        </w:rPr>
        <w:commentReference w:id="5"/>
      </w:r>
    </w:p>
    <w:p w14:paraId="7FEA8640" w14:textId="04C37668" w:rsidR="002B05FC" w:rsidRDefault="006D1994" w:rsidP="00AB48DB">
      <w:pPr>
        <w:jc w:val="both"/>
      </w:pPr>
      <w:r>
        <w:t xml:space="preserve">Par contraste, les </w:t>
      </w:r>
      <w:r w:rsidR="006B1022">
        <w:t xml:space="preserve">mandats et la légitimité des autorités financières de </w:t>
      </w:r>
      <w:r w:rsidR="009342B3">
        <w:t>l’UE</w:t>
      </w:r>
      <w:r w:rsidR="006B1022">
        <w:t xml:space="preserve"> sont </w:t>
      </w:r>
      <w:r w:rsidR="0048111C">
        <w:t xml:space="preserve">fortement marquées par le </w:t>
      </w:r>
      <w:r w:rsidR="006B1022">
        <w:t>tournant du marché des années 1980</w:t>
      </w:r>
      <w:r w:rsidR="00C972F6">
        <w:t xml:space="preserve"> qui leur imposa un arrêt du soutien aux </w:t>
      </w:r>
      <w:r w:rsidR="009F2870">
        <w:t xml:space="preserve">politiques </w:t>
      </w:r>
      <w:r w:rsidR="00C558D5">
        <w:t>économiques gouvernementales</w:t>
      </w:r>
      <w:r w:rsidR="00AB48DB">
        <w:t xml:space="preserve"> et un redéploiement de leur rôle comme garant du bon fonctionnement des mécanismes de marché.</w:t>
      </w:r>
      <w:r w:rsidR="00C558D5">
        <w:t xml:space="preserve"> </w:t>
      </w:r>
      <w:r w:rsidR="00E208E8">
        <w:t>L</w:t>
      </w:r>
      <w:r w:rsidR="001A6F60">
        <w:t>e</w:t>
      </w:r>
      <w:r w:rsidR="006636FD">
        <w:t xml:space="preserve">s mesures de finance verte ont </w:t>
      </w:r>
      <w:r w:rsidR="000C587B">
        <w:t>ainsi</w:t>
      </w:r>
      <w:r w:rsidR="006636FD">
        <w:t xml:space="preserve"> visé une meilleure </w:t>
      </w:r>
      <w:r w:rsidR="00F42BE6">
        <w:t xml:space="preserve">transparence </w:t>
      </w:r>
      <w:r w:rsidR="006636FD">
        <w:t>des produits financiers vi</w:t>
      </w:r>
      <w:r w:rsidR="006C363A">
        <w:t>a la mise en œuvre d’une Taxonomie</w:t>
      </w:r>
      <w:r w:rsidR="00F42BE6">
        <w:t xml:space="preserve"> </w:t>
      </w:r>
      <w:r w:rsidR="006C363A">
        <w:t xml:space="preserve">définissant </w:t>
      </w:r>
      <w:r w:rsidR="00CE255E">
        <w:t xml:space="preserve">ce qu’est </w:t>
      </w:r>
      <w:r w:rsidR="0077421E">
        <w:t>une activité économique</w:t>
      </w:r>
      <w:r w:rsidR="00CE255E">
        <w:t xml:space="preserve"> </w:t>
      </w:r>
      <w:r w:rsidR="0077421E">
        <w:t>soutenable</w:t>
      </w:r>
      <w:r w:rsidR="0025046C">
        <w:t xml:space="preserve"> ou une</w:t>
      </w:r>
      <w:r w:rsidR="0025046C" w:rsidRPr="0025046C">
        <w:t xml:space="preserve"> </w:t>
      </w:r>
      <w:r w:rsidR="0025046C">
        <w:t>uniformisation des standards et</w:t>
      </w:r>
      <w:r w:rsidR="000C587B">
        <w:t xml:space="preserve"> un</w:t>
      </w:r>
      <w:r w:rsidR="0025046C">
        <w:t xml:space="preserve"> meilleur contrôle de la matérialité financière via</w:t>
      </w:r>
      <w:r w:rsidR="00AE68C2">
        <w:t xml:space="preserve"> des </w:t>
      </w:r>
      <w:r w:rsidR="00AA6BBA">
        <w:rPr>
          <w:i/>
          <w:iCs/>
        </w:rPr>
        <w:t>stress tests</w:t>
      </w:r>
      <w:r w:rsidR="00E208E8">
        <w:rPr>
          <w:i/>
          <w:iCs/>
        </w:rPr>
        <w:t xml:space="preserve"> </w:t>
      </w:r>
      <w:r w:rsidR="00E208E8">
        <w:t>climatiques</w:t>
      </w:r>
      <w:r w:rsidR="00F42BE6">
        <w:t xml:space="preserve"> </w:t>
      </w:r>
      <w:r w:rsidR="0025046C">
        <w:t xml:space="preserve">et </w:t>
      </w:r>
      <w:r w:rsidR="00E208E8">
        <w:t xml:space="preserve">des normes de </w:t>
      </w:r>
      <w:proofErr w:type="spellStart"/>
      <w:r w:rsidR="00E208E8" w:rsidRPr="00C67490">
        <w:rPr>
          <w:i/>
          <w:iCs/>
        </w:rPr>
        <w:t>reporting</w:t>
      </w:r>
      <w:proofErr w:type="spellEnd"/>
      <w:r w:rsidR="0025046C">
        <w:t xml:space="preserve"> renforcées. </w:t>
      </w:r>
    </w:p>
    <w:p w14:paraId="518B95FA" w14:textId="4E039E06" w:rsidR="005D059A" w:rsidRDefault="00E927E3" w:rsidP="002965E8">
      <w:pPr>
        <w:jc w:val="both"/>
      </w:pPr>
      <w:r w:rsidRPr="00E927E3">
        <w:lastRenderedPageBreak/>
        <w:t>Le rôle des autorités politiques est crucial dans la définition de la finance verte</w:t>
      </w:r>
      <w:r w:rsidR="003F7149">
        <w:t xml:space="preserve">. Ainsi, l’annonce du </w:t>
      </w:r>
      <w:r w:rsidR="003F7149" w:rsidRPr="00C558D5">
        <w:rPr>
          <w:i/>
          <w:iCs/>
        </w:rPr>
        <w:t>Green Deal</w:t>
      </w:r>
      <w:r w:rsidR="003F7149">
        <w:t xml:space="preserve"> par la Commission </w:t>
      </w:r>
      <w:r w:rsidR="009342B3">
        <w:t>e</w:t>
      </w:r>
      <w:r w:rsidR="003F7149">
        <w:t>uropéenne en 2018 a permis aux autorités régulatrices d’adopter le principe de double matérialité</w:t>
      </w:r>
      <w:r w:rsidR="00601CF1">
        <w:t xml:space="preserve"> (financière et </w:t>
      </w:r>
      <w:proofErr w:type="gramStart"/>
      <w:r w:rsidR="00601CF1">
        <w:t>environnementale )</w:t>
      </w:r>
      <w:proofErr w:type="gramEnd"/>
      <w:r w:rsidR="003F7149">
        <w:t xml:space="preserve"> </w:t>
      </w:r>
      <w:r w:rsidR="00157E12">
        <w:t xml:space="preserve">pour les normes de </w:t>
      </w:r>
      <w:proofErr w:type="spellStart"/>
      <w:r w:rsidR="00157E12" w:rsidRPr="0067165C">
        <w:rPr>
          <w:i/>
          <w:iCs/>
        </w:rPr>
        <w:t>reporting</w:t>
      </w:r>
      <w:proofErr w:type="spellEnd"/>
      <w:r w:rsidR="00157E12">
        <w:t xml:space="preserve"> privé mais aussi pour les autorités publiques. Par exemple, </w:t>
      </w:r>
      <w:r w:rsidR="00D1475C">
        <w:t>la Banque Européenne d’Investissement</w:t>
      </w:r>
      <w:r w:rsidR="00AC545F">
        <w:t xml:space="preserve"> a </w:t>
      </w:r>
      <w:r w:rsidR="00391255">
        <w:t>annoncé</w:t>
      </w:r>
      <w:r w:rsidR="00AC545F">
        <w:t xml:space="preserve"> </w:t>
      </w:r>
      <w:r w:rsidR="003D7CF4">
        <w:t>devenir</w:t>
      </w:r>
      <w:r w:rsidR="00AC545F">
        <w:t xml:space="preserve"> </w:t>
      </w:r>
      <w:r w:rsidR="00A518EB">
        <w:t xml:space="preserve">une banque du </w:t>
      </w:r>
      <w:r w:rsidR="003D7CF4">
        <w:t>climat</w:t>
      </w:r>
      <w:r w:rsidR="00A518EB">
        <w:t xml:space="preserve"> en augmentant la part de</w:t>
      </w:r>
      <w:r w:rsidR="003D7CF4">
        <w:t>s projets verts dans son portefeuille d’investissement</w:t>
      </w:r>
      <w:r w:rsidR="00033D62">
        <w:t xml:space="preserve"> tels que l’électrification du transport fluvial ou la création de circuits courts alimentaires entre producteur et distributeurs)</w:t>
      </w:r>
      <w:r w:rsidR="003D7CF4">
        <w:t>.</w:t>
      </w:r>
      <w:r w:rsidR="00283736">
        <w:t xml:space="preserve"> </w:t>
      </w:r>
      <w:r w:rsidR="00B02278">
        <w:t>Inversement,</w:t>
      </w:r>
      <w:r w:rsidR="009342B3">
        <w:t xml:space="preserve"> bien que le personnel des autorités régulatrices </w:t>
      </w:r>
      <w:r w:rsidR="00601CF1">
        <w:t>étasuniennes</w:t>
      </w:r>
      <w:r w:rsidR="00D86781">
        <w:t xml:space="preserve"> soit aussi en faveur de la finance verte, </w:t>
      </w:r>
      <w:r w:rsidR="00D35BD6">
        <w:t>les positions climatosceptiques des Républicains</w:t>
      </w:r>
      <w:r w:rsidR="00157221">
        <w:t xml:space="preserve"> sur les questions environnementales aux Etats-Unis </w:t>
      </w:r>
      <w:r w:rsidR="00283736">
        <w:t>a</w:t>
      </w:r>
      <w:r w:rsidR="00157221">
        <w:t xml:space="preserve"> </w:t>
      </w:r>
      <w:r w:rsidR="008707B7">
        <w:t>freiné l’adoption de normes similaires</w:t>
      </w:r>
      <w:r w:rsidR="007270E3">
        <w:t>.</w:t>
      </w:r>
    </w:p>
    <w:p w14:paraId="69445833" w14:textId="7B7D275D" w:rsidR="00157E12" w:rsidRDefault="00722081" w:rsidP="002965E8">
      <w:pPr>
        <w:jc w:val="both"/>
        <w:rPr>
          <w:b/>
          <w:bCs/>
        </w:rPr>
      </w:pPr>
      <w:r w:rsidRPr="007273C3">
        <w:rPr>
          <w:b/>
          <w:bCs/>
        </w:rPr>
        <w:t>Résistance</w:t>
      </w:r>
      <w:r w:rsidR="009C5521" w:rsidRPr="007273C3">
        <w:rPr>
          <w:b/>
          <w:bCs/>
        </w:rPr>
        <w:t xml:space="preserve"> fossile et reflux de la finance verte</w:t>
      </w:r>
    </w:p>
    <w:p w14:paraId="7B65DF52" w14:textId="61A19B14" w:rsidR="007273C3" w:rsidRDefault="009E2F9A" w:rsidP="00175685">
      <w:pPr>
        <w:jc w:val="both"/>
      </w:pPr>
      <w:r>
        <w:t>L’</w:t>
      </w:r>
      <w:r w:rsidR="00194453">
        <w:t>introduction</w:t>
      </w:r>
      <w:r>
        <w:t xml:space="preserve"> </w:t>
      </w:r>
      <w:r w:rsidR="000921B4">
        <w:t>de la matérialité</w:t>
      </w:r>
      <w:r w:rsidR="00D86781">
        <w:t xml:space="preserve"> environnementale dans l’UE, et la multiplication des produits ESG aux Etats Unis ont </w:t>
      </w:r>
      <w:r w:rsidR="00CD00DB">
        <w:t>engendré une résistance croissante</w:t>
      </w:r>
      <w:r w:rsidR="00BA56F7">
        <w:t xml:space="preserve"> de l’industrie </w:t>
      </w:r>
      <w:proofErr w:type="gramStart"/>
      <w:r w:rsidR="00BA56F7">
        <w:t>fossil</w:t>
      </w:r>
      <w:r w:rsidR="00194453">
        <w:t>e</w:t>
      </w:r>
      <w:r w:rsidR="00033D62">
        <w:t xml:space="preserve"> </w:t>
      </w:r>
      <w:r w:rsidR="00194453">
        <w:t xml:space="preserve"> qui</w:t>
      </w:r>
      <w:proofErr w:type="gramEnd"/>
      <w:r w:rsidR="00194453">
        <w:t xml:space="preserve"> craint notamment la création de « listes rouges » pouvant les couper de leurs financements</w:t>
      </w:r>
      <w:r w:rsidR="005D2512">
        <w:t>(</w:t>
      </w:r>
      <w:proofErr w:type="spellStart"/>
      <w:r w:rsidR="005D2512">
        <w:t>Alst</w:t>
      </w:r>
      <w:r w:rsidR="00763ABB">
        <w:t>h</w:t>
      </w:r>
      <w:r w:rsidR="005D2512">
        <w:t>r</w:t>
      </w:r>
      <w:r w:rsidR="00763ABB">
        <w:t>ö</w:t>
      </w:r>
      <w:r w:rsidR="005D2512">
        <w:t>m</w:t>
      </w:r>
      <w:proofErr w:type="spellEnd"/>
      <w:r w:rsidR="005D2512">
        <w:t xml:space="preserve"> &amp;</w:t>
      </w:r>
      <w:r w:rsidR="00763ABB" w:rsidRPr="00763ABB">
        <w:t xml:space="preserve"> </w:t>
      </w:r>
      <w:proofErr w:type="spellStart"/>
      <w:r w:rsidR="00763ABB" w:rsidRPr="00763ABB">
        <w:t>Monciardini</w:t>
      </w:r>
      <w:proofErr w:type="spellEnd"/>
      <w:r w:rsidR="00763ABB">
        <w:t>, 2022)</w:t>
      </w:r>
      <w:r w:rsidR="00194453">
        <w:t xml:space="preserve">. En effet, du point de vue des régulateurs et de certains acteurs financiers privés comme les assureurs, </w:t>
      </w:r>
      <w:r w:rsidR="007270E3">
        <w:t xml:space="preserve">qui cherchent avant tout à mesurer </w:t>
      </w:r>
      <w:r w:rsidR="00175685">
        <w:t>la matérialité</w:t>
      </w:r>
      <w:r w:rsidR="007270E3">
        <w:t xml:space="preserve"> des risques environnementaux et financiers</w:t>
      </w:r>
      <w:r w:rsidR="007270E3" w:rsidRPr="007270E3">
        <w:t xml:space="preserve"> </w:t>
      </w:r>
      <w:r w:rsidR="00175685">
        <w:t>auxquels sont exposés l</w:t>
      </w:r>
      <w:r w:rsidR="007270E3">
        <w:t>es entités régulées ou leurs</w:t>
      </w:r>
      <w:r w:rsidR="00175685">
        <w:t xml:space="preserve"> clients</w:t>
      </w:r>
      <w:r w:rsidR="007270E3">
        <w:t xml:space="preserve">, il est plus utile </w:t>
      </w:r>
      <w:r w:rsidR="00175685">
        <w:t>de disposer d’une liste</w:t>
      </w:r>
      <w:r w:rsidR="009F2870">
        <w:t xml:space="preserve"> rouge</w:t>
      </w:r>
      <w:r w:rsidR="00175685">
        <w:t xml:space="preserve"> identifiant les activités pénalisées (financement d’une mine de charbon en Pologne) que </w:t>
      </w:r>
      <w:r w:rsidR="009F2870">
        <w:t xml:space="preserve">d’une liste verte définissant </w:t>
      </w:r>
      <w:r w:rsidR="00175685">
        <w:t>celles qui sont valorisées (financement d’une usine de batteries électriques en Hongrie).</w:t>
      </w:r>
      <w:r w:rsidR="005D2512">
        <w:t xml:space="preserve">. </w:t>
      </w:r>
      <w:commentRangeStart w:id="6"/>
      <w:r w:rsidR="005D2512">
        <w:t>Pour les ONG, l’interdiction de</w:t>
      </w:r>
      <w:r w:rsidR="00763ABB">
        <w:t xml:space="preserve"> financement fossile permet moins de risques de greenwashing que </w:t>
      </w:r>
      <w:r w:rsidR="003F02A4">
        <w:t>des</w:t>
      </w:r>
      <w:r w:rsidR="00AF70F3">
        <w:t xml:space="preserve"> nouvelles catégories d’investissement vertes. </w:t>
      </w:r>
      <w:r w:rsidR="005D2512">
        <w:t xml:space="preserve"> </w:t>
      </w:r>
      <w:commentRangeEnd w:id="6"/>
      <w:r w:rsidR="00601CF1">
        <w:rPr>
          <w:rStyle w:val="Marquedecommentaire"/>
        </w:rPr>
        <w:commentReference w:id="6"/>
      </w:r>
    </w:p>
    <w:p w14:paraId="3A35322D" w14:textId="0FC73E83" w:rsidR="003F02A4" w:rsidRDefault="003C2A1C" w:rsidP="002965E8">
      <w:pPr>
        <w:jc w:val="both"/>
      </w:pPr>
      <w:r>
        <w:t xml:space="preserve">Face à ce risque, les </w:t>
      </w:r>
      <w:r w:rsidR="00977FA8">
        <w:t>multinationales fossiles</w:t>
      </w:r>
      <w:r w:rsidR="005C7A08">
        <w:t>, qui bénéficient d’u</w:t>
      </w:r>
      <w:r w:rsidR="001E50FE">
        <w:t xml:space="preserve">ne </w:t>
      </w:r>
      <w:r>
        <w:t>forte</w:t>
      </w:r>
      <w:r w:rsidR="001E50FE">
        <w:t xml:space="preserve"> capacité </w:t>
      </w:r>
      <w:r>
        <w:t>financière</w:t>
      </w:r>
      <w:r w:rsidR="001E50FE">
        <w:t xml:space="preserve"> et qui </w:t>
      </w:r>
      <w:r w:rsidR="005C7A08">
        <w:t xml:space="preserve">parviennent à obtenir le support au plus haut niveau de leurs </w:t>
      </w:r>
      <w:r w:rsidR="00F868FD">
        <w:t>autori</w:t>
      </w:r>
      <w:r w:rsidR="00F75DEA">
        <w:t>t</w:t>
      </w:r>
      <w:r w:rsidR="00F868FD">
        <w:t>é</w:t>
      </w:r>
      <w:r w:rsidR="001C5116">
        <w:t>s</w:t>
      </w:r>
      <w:r w:rsidR="005C7A08">
        <w:t xml:space="preserve"> </w:t>
      </w:r>
      <w:r w:rsidR="007E6BCF">
        <w:t>politiques</w:t>
      </w:r>
      <w:r w:rsidR="005C7A08">
        <w:t xml:space="preserve"> nationales</w:t>
      </w:r>
      <w:r>
        <w:t>, ont intensifié leur lobbying</w:t>
      </w:r>
      <w:r w:rsidR="007E6BCF">
        <w:t xml:space="preserve">. Aux </w:t>
      </w:r>
      <w:r w:rsidR="00703B69">
        <w:t xml:space="preserve">Etats-Unis, le succès de cette campagne </w:t>
      </w:r>
      <w:r w:rsidR="00F75DEA">
        <w:t>fossile</w:t>
      </w:r>
      <w:r w:rsidR="009F2870">
        <w:t xml:space="preserve"> et l’élection de Donald Trump</w:t>
      </w:r>
      <w:r w:rsidR="00703B69">
        <w:t xml:space="preserve"> </w:t>
      </w:r>
      <w:r w:rsidR="009F2870">
        <w:t>ont</w:t>
      </w:r>
      <w:r w:rsidR="003F02A4">
        <w:t xml:space="preserve"> mené a</w:t>
      </w:r>
      <w:r w:rsidR="001C5116">
        <w:t xml:space="preserve">u </w:t>
      </w:r>
      <w:r w:rsidR="00296B02">
        <w:t xml:space="preserve">retrait </w:t>
      </w:r>
      <w:r w:rsidR="00137547">
        <w:t>d’investisseurs privés américains de coalition</w:t>
      </w:r>
      <w:r w:rsidR="001C5116">
        <w:t>s</w:t>
      </w:r>
      <w:r w:rsidR="00137547">
        <w:t xml:space="preserve"> environnementales internationales </w:t>
      </w:r>
      <w:r w:rsidR="009D3FDA">
        <w:t xml:space="preserve">et </w:t>
      </w:r>
      <w:r w:rsidR="003F02A4">
        <w:t>à</w:t>
      </w:r>
      <w:r w:rsidR="00E77BF3">
        <w:t xml:space="preserve"> la diminution de volumes d’investissements vers les produits ESG. </w:t>
      </w:r>
    </w:p>
    <w:p w14:paraId="08E81515" w14:textId="36911F35" w:rsidR="00AB48DB" w:rsidRDefault="00E77BF3" w:rsidP="002965E8">
      <w:pPr>
        <w:jc w:val="both"/>
      </w:pPr>
      <w:r>
        <w:t xml:space="preserve">Dans l’UE, </w:t>
      </w:r>
      <w:r w:rsidR="00F868FD">
        <w:t xml:space="preserve">la Commission </w:t>
      </w:r>
      <w:r w:rsidR="00FD400E">
        <w:t xml:space="preserve">Van Der </w:t>
      </w:r>
      <w:proofErr w:type="spellStart"/>
      <w:r w:rsidR="00FD400E">
        <w:t>Leyen</w:t>
      </w:r>
      <w:proofErr w:type="spellEnd"/>
      <w:r w:rsidR="001C5116">
        <w:t xml:space="preserve"> </w:t>
      </w:r>
      <w:r w:rsidR="00EC4087">
        <w:t>a utilisé des instruments législati</w:t>
      </w:r>
      <w:r w:rsidR="00B918B1">
        <w:t>f</w:t>
      </w:r>
      <w:r w:rsidR="00EC4087">
        <w:t xml:space="preserve">s secondaires, les actes délégués, pour </w:t>
      </w:r>
      <w:r w:rsidR="00EC1B77">
        <w:t>affaiblir la portée de</w:t>
      </w:r>
      <w:r w:rsidR="00FD400E">
        <w:t>s mesures adoptées au début de sa législature. Ainsi,</w:t>
      </w:r>
      <w:r w:rsidR="00B56D92">
        <w:t xml:space="preserve"> les actes délégués afférant à la Taxonomie verte</w:t>
      </w:r>
      <w:r w:rsidR="00BF3D84">
        <w:t xml:space="preserve"> </w:t>
      </w:r>
      <w:r w:rsidR="004B387F">
        <w:t>qualifient la</w:t>
      </w:r>
      <w:r w:rsidR="003D143E">
        <w:t xml:space="preserve"> production d’</w:t>
      </w:r>
      <w:r w:rsidR="00BF536A">
        <w:t xml:space="preserve">électricité </w:t>
      </w:r>
      <w:r w:rsidR="003D143E">
        <w:t xml:space="preserve">par la </w:t>
      </w:r>
      <w:r w:rsidR="00BF536A">
        <w:t>combustion</w:t>
      </w:r>
      <w:r w:rsidR="003D143E">
        <w:t xml:space="preserve"> de gaz ou d </w:t>
      </w:r>
      <w:commentRangeStart w:id="7"/>
      <w:r w:rsidR="003D143E">
        <w:t>’</w:t>
      </w:r>
      <w:r w:rsidR="00BF536A">
        <w:t>é</w:t>
      </w:r>
      <w:r w:rsidR="003D143E">
        <w:t>nergie</w:t>
      </w:r>
      <w:commentRangeEnd w:id="7"/>
      <w:r w:rsidR="00D35BD6">
        <w:rPr>
          <w:rStyle w:val="Marquedecommentaire"/>
        </w:rPr>
        <w:commentReference w:id="7"/>
      </w:r>
      <w:r w:rsidR="003D143E">
        <w:t xml:space="preserve"> nucléaire </w:t>
      </w:r>
      <w:r w:rsidR="00BF536A">
        <w:t>de soutenable</w:t>
      </w:r>
      <w:r w:rsidR="001C5116">
        <w:t xml:space="preserve">, </w:t>
      </w:r>
      <w:r w:rsidR="00BF536A">
        <w:t>suivant certains critères</w:t>
      </w:r>
      <w:r w:rsidR="001C5116">
        <w:t xml:space="preserve">, </w:t>
      </w:r>
      <w:r w:rsidR="00BF536A">
        <w:t>tandis que les normes de soutenabilité pour le transport aérien, le fret maritime</w:t>
      </w:r>
      <w:r w:rsidR="00B56D92">
        <w:t>, l’agriculture ou la gestion des forêts ont été largement édulcorées</w:t>
      </w:r>
      <w:r w:rsidR="004B387F">
        <w:t xml:space="preserve"> (Fontan, 2025).</w:t>
      </w:r>
      <w:r w:rsidR="00B56D92">
        <w:t xml:space="preserve"> </w:t>
      </w:r>
      <w:commentRangeStart w:id="8"/>
      <w:r w:rsidR="00AB48DB">
        <w:t xml:space="preserve">Par ailleurs, dès le début de </w:t>
      </w:r>
      <w:r w:rsidR="00033D62">
        <w:t xml:space="preserve">son </w:t>
      </w:r>
      <w:r w:rsidR="00AB48DB">
        <w:t xml:space="preserve">second mandat </w:t>
      </w:r>
      <w:r w:rsidR="00AB48DB">
        <w:t>à la tête de la Commission Européenne</w:t>
      </w:r>
      <w:r w:rsidR="00AB48DB">
        <w:t xml:space="preserve"> en 2025, </w:t>
      </w:r>
      <w:r w:rsidR="00033D62">
        <w:t>la priorité d’</w:t>
      </w:r>
      <w:r w:rsidR="00AB48DB">
        <w:t xml:space="preserve">Ursula Van der </w:t>
      </w:r>
      <w:proofErr w:type="spellStart"/>
      <w:r w:rsidR="00AB48DB">
        <w:t>Leyen</w:t>
      </w:r>
      <w:proofErr w:type="spellEnd"/>
      <w:r w:rsidR="00AB48DB">
        <w:t xml:space="preserve"> </w:t>
      </w:r>
      <w:r w:rsidR="00033D62">
        <w:t xml:space="preserve">consiste à </w:t>
      </w:r>
      <w:r w:rsidR="00AB48DB">
        <w:t xml:space="preserve">détricoter les mesures </w:t>
      </w:r>
      <w:r w:rsidR="00AB48DB">
        <w:lastRenderedPageBreak/>
        <w:t xml:space="preserve">associées au </w:t>
      </w:r>
      <w:r w:rsidR="00AB48DB" w:rsidRPr="00BC2F73">
        <w:rPr>
          <w:i/>
          <w:iCs/>
        </w:rPr>
        <w:t>Green Deal</w:t>
      </w:r>
      <w:r w:rsidR="00AB48DB">
        <w:t xml:space="preserve"> de son premier mandat, au nom de la simplification administrative et de la compétitivité des entreprises. </w:t>
      </w:r>
      <w:commentRangeEnd w:id="8"/>
      <w:r w:rsidR="007270E3">
        <w:rPr>
          <w:rStyle w:val="Marquedecommentaire"/>
        </w:rPr>
        <w:commentReference w:id="8"/>
      </w:r>
    </w:p>
    <w:p w14:paraId="050496AC" w14:textId="642DEDC2" w:rsidR="00E33A4A" w:rsidRDefault="00D665EB" w:rsidP="002965E8">
      <w:pPr>
        <w:jc w:val="both"/>
      </w:pPr>
      <w:r>
        <w:t>Bien qu’ils soient récents, l</w:t>
      </w:r>
      <w:r w:rsidR="00811530">
        <w:t xml:space="preserve">a résistance fossile et </w:t>
      </w:r>
      <w:r w:rsidR="001C5116">
        <w:t>la dilution des régulations</w:t>
      </w:r>
      <w:r w:rsidR="00811530">
        <w:t xml:space="preserve"> </w:t>
      </w:r>
      <w:r w:rsidR="00AE3755">
        <w:t>ont déjà eu un impact sur l’écosystème politique de la finance verte</w:t>
      </w:r>
      <w:r w:rsidR="004B387F">
        <w:t xml:space="preserve">.  </w:t>
      </w:r>
      <w:r w:rsidR="00057709">
        <w:t xml:space="preserve">Les ONG </w:t>
      </w:r>
      <w:r w:rsidR="00880A65">
        <w:t>de plaidoyer,</w:t>
      </w:r>
      <w:r w:rsidR="003F02A4">
        <w:t xml:space="preserve"> </w:t>
      </w:r>
      <w:r w:rsidR="00880A65">
        <w:t xml:space="preserve">comme Greenpeace ou </w:t>
      </w:r>
      <w:proofErr w:type="spellStart"/>
      <w:r w:rsidR="003F02A4">
        <w:t>Birdlife</w:t>
      </w:r>
      <w:proofErr w:type="spellEnd"/>
      <w:r w:rsidR="00880A65">
        <w:t>,</w:t>
      </w:r>
      <w:r w:rsidR="003F02A4">
        <w:t xml:space="preserve"> ne</w:t>
      </w:r>
      <w:r w:rsidR="00480FF3">
        <w:t xml:space="preserve"> </w:t>
      </w:r>
      <w:r w:rsidR="00CB3D9E">
        <w:t>participent</w:t>
      </w:r>
      <w:r w:rsidR="00480FF3">
        <w:t xml:space="preserve"> plus activement à la </w:t>
      </w:r>
      <w:r w:rsidR="004B387F">
        <w:t>gouvernance de</w:t>
      </w:r>
      <w:r w:rsidR="00480FF3">
        <w:t xml:space="preserve"> la Taxonomie et on</w:t>
      </w:r>
      <w:r w:rsidR="00CB3D9E">
        <w:t>t</w:t>
      </w:r>
      <w:r w:rsidR="00480FF3">
        <w:t xml:space="preserve"> été remplacée</w:t>
      </w:r>
      <w:r w:rsidR="000921B4">
        <w:t>s</w:t>
      </w:r>
      <w:r w:rsidR="00480FF3">
        <w:t xml:space="preserve"> par des </w:t>
      </w:r>
      <w:proofErr w:type="spellStart"/>
      <w:r w:rsidR="00480FF3">
        <w:t>think</w:t>
      </w:r>
      <w:proofErr w:type="spellEnd"/>
      <w:r w:rsidR="00480FF3">
        <w:t xml:space="preserve"> tanks </w:t>
      </w:r>
      <w:r w:rsidR="00CB3D9E">
        <w:t>spécialisés</w:t>
      </w:r>
      <w:r w:rsidR="00480FF3">
        <w:t xml:space="preserve"> sur l</w:t>
      </w:r>
      <w:r w:rsidR="00CB3D9E">
        <w:t xml:space="preserve">es normes de </w:t>
      </w:r>
      <w:proofErr w:type="spellStart"/>
      <w:r w:rsidR="00CB3D9E" w:rsidRPr="00C67490">
        <w:rPr>
          <w:i/>
          <w:iCs/>
        </w:rPr>
        <w:t>reporting</w:t>
      </w:r>
      <w:proofErr w:type="spellEnd"/>
      <w:r w:rsidR="00CB3D9E">
        <w:t xml:space="preserve"> </w:t>
      </w:r>
      <w:commentRangeStart w:id="9"/>
      <w:commentRangeStart w:id="10"/>
      <w:r w:rsidR="00E33A4A">
        <w:t>environnemental</w:t>
      </w:r>
      <w:commentRangeEnd w:id="9"/>
      <w:r w:rsidR="00320A2E">
        <w:rPr>
          <w:rStyle w:val="Marquedecommentaire"/>
        </w:rPr>
        <w:commentReference w:id="9"/>
      </w:r>
      <w:commentRangeEnd w:id="10"/>
      <w:r w:rsidR="00033D62">
        <w:rPr>
          <w:rStyle w:val="Marquedecommentaire"/>
        </w:rPr>
        <w:commentReference w:id="10"/>
      </w:r>
      <w:r w:rsidR="00CB3D9E">
        <w:t>.</w:t>
      </w:r>
      <w:r w:rsidR="00175685">
        <w:t xml:space="preserve"> Dit autrement, cet écosystème se reforme autour de groupes d’intérêt ayant une vision plus technique et dépolitisée de la finance verte, excluant ainsi les groupes aux identités plus militantes. </w:t>
      </w:r>
    </w:p>
    <w:p w14:paraId="0996221F" w14:textId="51071BDE" w:rsidR="00580A7C" w:rsidRDefault="00CB3D9E" w:rsidP="002965E8">
      <w:pPr>
        <w:jc w:val="both"/>
      </w:pPr>
      <w:r>
        <w:t xml:space="preserve">Quant à la capacité de ces normes à réorienter les investissements privés et publics des activités fossiles aux activités </w:t>
      </w:r>
      <w:r w:rsidR="00051753">
        <w:t>soutenables</w:t>
      </w:r>
      <w:r>
        <w:t xml:space="preserve">, </w:t>
      </w:r>
      <w:r w:rsidR="00051753">
        <w:t xml:space="preserve">elle restera sans doute illusoire sans un fort soutien politique, qui tend à s’affaiblir au gré des </w:t>
      </w:r>
      <w:commentRangeStart w:id="11"/>
      <w:r w:rsidR="00175685">
        <w:t>victoires électorales des partis conservateurs et d’extrême droite</w:t>
      </w:r>
      <w:r w:rsidR="00051753">
        <w:t xml:space="preserve">. </w:t>
      </w:r>
      <w:commentRangeEnd w:id="11"/>
      <w:r w:rsidR="00175685">
        <w:rPr>
          <w:rStyle w:val="Marquedecommentaire"/>
        </w:rPr>
        <w:commentReference w:id="11"/>
      </w:r>
    </w:p>
    <w:p w14:paraId="7697E26F" w14:textId="77777777" w:rsidR="00CA06FC" w:rsidRDefault="00CA06FC" w:rsidP="002965E8">
      <w:pPr>
        <w:jc w:val="both"/>
      </w:pPr>
    </w:p>
    <w:p w14:paraId="4D2CF82C" w14:textId="203F2AB9" w:rsidR="00A13270" w:rsidRPr="00CA06FC" w:rsidRDefault="000C17C8" w:rsidP="00BA0FB6">
      <w:pPr>
        <w:jc w:val="both"/>
        <w:rPr>
          <w:u w:val="single"/>
        </w:rPr>
      </w:pPr>
      <w:commentRangeStart w:id="12"/>
      <w:commentRangeStart w:id="13"/>
      <w:r w:rsidRPr="00CA06FC">
        <w:rPr>
          <w:u w:val="single"/>
        </w:rPr>
        <w:t>Bibliographie</w:t>
      </w:r>
      <w:commentRangeEnd w:id="12"/>
      <w:r w:rsidR="00643076">
        <w:rPr>
          <w:rStyle w:val="Marquedecommentaire"/>
        </w:rPr>
        <w:commentReference w:id="12"/>
      </w:r>
      <w:commentRangeEnd w:id="13"/>
      <w:r w:rsidR="007270E3">
        <w:rPr>
          <w:rStyle w:val="Marquedecommentaire"/>
        </w:rPr>
        <w:commentReference w:id="13"/>
      </w:r>
    </w:p>
    <w:p w14:paraId="7D369791" w14:textId="77777777" w:rsidR="0071750B" w:rsidRPr="0071750B" w:rsidRDefault="0071750B" w:rsidP="0071750B">
      <w:pPr>
        <w:spacing w:after="0" w:line="480" w:lineRule="auto"/>
        <w:ind w:hanging="480"/>
        <w:rPr>
          <w:rFonts w:ascii="Times New Roman" w:eastAsia="Times New Roman" w:hAnsi="Times New Roman" w:cs="Times New Roman"/>
          <w:kern w:val="0"/>
          <w:lang w:val="en-US" w:eastAsia="fr-BE"/>
          <w14:ligatures w14:val="none"/>
        </w:rPr>
      </w:pPr>
      <w:r w:rsidRPr="0071750B">
        <w:rPr>
          <w:rFonts w:ascii="Times New Roman" w:eastAsia="Times New Roman" w:hAnsi="Times New Roman" w:cs="Times New Roman"/>
          <w:kern w:val="0"/>
          <w:lang w:val="en-US" w:eastAsia="fr-BE"/>
          <w14:ligatures w14:val="none"/>
        </w:rPr>
        <w:t xml:space="preserve">Ahlström, H., &amp; </w:t>
      </w:r>
      <w:proofErr w:type="spellStart"/>
      <w:r w:rsidRPr="0071750B">
        <w:rPr>
          <w:rFonts w:ascii="Times New Roman" w:eastAsia="Times New Roman" w:hAnsi="Times New Roman" w:cs="Times New Roman"/>
          <w:kern w:val="0"/>
          <w:lang w:val="en-US" w:eastAsia="fr-BE"/>
          <w14:ligatures w14:val="none"/>
        </w:rPr>
        <w:t>Monciardini</w:t>
      </w:r>
      <w:proofErr w:type="spellEnd"/>
      <w:r w:rsidRPr="0071750B">
        <w:rPr>
          <w:rFonts w:ascii="Times New Roman" w:eastAsia="Times New Roman" w:hAnsi="Times New Roman" w:cs="Times New Roman"/>
          <w:kern w:val="0"/>
          <w:lang w:val="en-US" w:eastAsia="fr-BE"/>
          <w14:ligatures w14:val="none"/>
        </w:rPr>
        <w:t xml:space="preserve">, D. (2022). The Regulatory Dynamics of Sustainable </w:t>
      </w:r>
      <w:proofErr w:type="gramStart"/>
      <w:r w:rsidRPr="0071750B">
        <w:rPr>
          <w:rFonts w:ascii="Times New Roman" w:eastAsia="Times New Roman" w:hAnsi="Times New Roman" w:cs="Times New Roman"/>
          <w:kern w:val="0"/>
          <w:lang w:val="en-US" w:eastAsia="fr-BE"/>
          <w14:ligatures w14:val="none"/>
        </w:rPr>
        <w:t>Finance</w:t>
      </w:r>
      <w:r w:rsidRPr="0071750B">
        <w:rPr>
          <w:rFonts w:ascii="Arial" w:eastAsia="Times New Roman" w:hAnsi="Arial" w:cs="Arial"/>
          <w:kern w:val="0"/>
          <w:lang w:val="en-US" w:eastAsia="fr-BE"/>
          <w14:ligatures w14:val="none"/>
        </w:rPr>
        <w:t> </w:t>
      </w:r>
      <w:r w:rsidRPr="0071750B">
        <w:rPr>
          <w:rFonts w:ascii="Times New Roman" w:eastAsia="Times New Roman" w:hAnsi="Times New Roman" w:cs="Times New Roman"/>
          <w:kern w:val="0"/>
          <w:lang w:val="en-US" w:eastAsia="fr-BE"/>
          <w14:ligatures w14:val="none"/>
        </w:rPr>
        <w:t>:</w:t>
      </w:r>
      <w:proofErr w:type="gramEnd"/>
      <w:r w:rsidRPr="0071750B">
        <w:rPr>
          <w:rFonts w:ascii="Times New Roman" w:eastAsia="Times New Roman" w:hAnsi="Times New Roman" w:cs="Times New Roman"/>
          <w:kern w:val="0"/>
          <w:lang w:val="en-US" w:eastAsia="fr-BE"/>
          <w14:ligatures w14:val="none"/>
        </w:rPr>
        <w:t xml:space="preserve"> Paradoxical Success and Limitations of EU Reforms. </w:t>
      </w:r>
      <w:r w:rsidRPr="0071750B">
        <w:rPr>
          <w:rFonts w:ascii="Times New Roman" w:eastAsia="Times New Roman" w:hAnsi="Times New Roman" w:cs="Times New Roman"/>
          <w:i/>
          <w:iCs/>
          <w:kern w:val="0"/>
          <w:lang w:val="en-US" w:eastAsia="fr-BE"/>
          <w14:ligatures w14:val="none"/>
        </w:rPr>
        <w:t>Journal of Business Ethics</w:t>
      </w:r>
      <w:r w:rsidRPr="0071750B">
        <w:rPr>
          <w:rFonts w:ascii="Times New Roman" w:eastAsia="Times New Roman" w:hAnsi="Times New Roman" w:cs="Times New Roman"/>
          <w:kern w:val="0"/>
          <w:lang w:val="en-US" w:eastAsia="fr-BE"/>
          <w14:ligatures w14:val="none"/>
        </w:rPr>
        <w:t xml:space="preserve">, </w:t>
      </w:r>
      <w:r w:rsidRPr="0071750B">
        <w:rPr>
          <w:rFonts w:ascii="Times New Roman" w:eastAsia="Times New Roman" w:hAnsi="Times New Roman" w:cs="Times New Roman"/>
          <w:i/>
          <w:iCs/>
          <w:kern w:val="0"/>
          <w:lang w:val="en-US" w:eastAsia="fr-BE"/>
          <w14:ligatures w14:val="none"/>
        </w:rPr>
        <w:t>177</w:t>
      </w:r>
      <w:r w:rsidRPr="0071750B">
        <w:rPr>
          <w:rFonts w:ascii="Times New Roman" w:eastAsia="Times New Roman" w:hAnsi="Times New Roman" w:cs="Times New Roman"/>
          <w:kern w:val="0"/>
          <w:lang w:val="en-US" w:eastAsia="fr-BE"/>
          <w14:ligatures w14:val="none"/>
        </w:rPr>
        <w:t>(1), 193</w:t>
      </w:r>
      <w:r w:rsidRPr="0071750B">
        <w:rPr>
          <w:rFonts w:ascii="Times New Roman" w:eastAsia="Times New Roman" w:hAnsi="Times New Roman" w:cs="Times New Roman"/>
          <w:kern w:val="0"/>
          <w:lang w:val="en-US" w:eastAsia="fr-BE"/>
          <w14:ligatures w14:val="none"/>
        </w:rPr>
        <w:noBreakHyphen/>
        <w:t xml:space="preserve">212. </w:t>
      </w:r>
      <w:hyperlink r:id="rId11" w:history="1">
        <w:r w:rsidRPr="0071750B">
          <w:rPr>
            <w:rFonts w:ascii="Times New Roman" w:eastAsia="Times New Roman" w:hAnsi="Times New Roman" w:cs="Times New Roman"/>
            <w:color w:val="0000FF"/>
            <w:kern w:val="0"/>
            <w:u w:val="single"/>
            <w:lang w:val="en-US" w:eastAsia="fr-BE"/>
            <w14:ligatures w14:val="none"/>
          </w:rPr>
          <w:t>https://doi.org/10.1007/s10551-021-04763-x</w:t>
        </w:r>
      </w:hyperlink>
    </w:p>
    <w:p w14:paraId="4435CF96" w14:textId="77777777" w:rsidR="00CB2664" w:rsidRPr="00CB2664" w:rsidRDefault="00CB2664" w:rsidP="00CB2664">
      <w:pPr>
        <w:spacing w:after="0" w:line="480" w:lineRule="auto"/>
        <w:ind w:hanging="480"/>
        <w:rPr>
          <w:rFonts w:ascii="Times New Roman" w:eastAsia="Times New Roman" w:hAnsi="Times New Roman" w:cs="Times New Roman"/>
          <w:kern w:val="0"/>
          <w:lang w:eastAsia="fr-BE"/>
          <w14:ligatures w14:val="none"/>
        </w:rPr>
      </w:pPr>
      <w:r w:rsidRPr="00643076">
        <w:rPr>
          <w:rFonts w:ascii="Times New Roman" w:eastAsia="Times New Roman" w:hAnsi="Times New Roman" w:cs="Times New Roman"/>
          <w:kern w:val="0"/>
          <w:lang w:val="es-ES_tradnl" w:eastAsia="fr-BE"/>
          <w14:ligatures w14:val="none"/>
        </w:rPr>
        <w:t xml:space="preserve">Baer, M., </w:t>
      </w:r>
      <w:proofErr w:type="spellStart"/>
      <w:r w:rsidRPr="00643076">
        <w:rPr>
          <w:rFonts w:ascii="Times New Roman" w:eastAsia="Times New Roman" w:hAnsi="Times New Roman" w:cs="Times New Roman"/>
          <w:kern w:val="0"/>
          <w:lang w:val="es-ES_tradnl" w:eastAsia="fr-BE"/>
          <w14:ligatures w14:val="none"/>
        </w:rPr>
        <w:t>Campiglio</w:t>
      </w:r>
      <w:proofErr w:type="spellEnd"/>
      <w:r w:rsidRPr="00643076">
        <w:rPr>
          <w:rFonts w:ascii="Times New Roman" w:eastAsia="Times New Roman" w:hAnsi="Times New Roman" w:cs="Times New Roman"/>
          <w:kern w:val="0"/>
          <w:lang w:val="es-ES_tradnl" w:eastAsia="fr-BE"/>
          <w14:ligatures w14:val="none"/>
        </w:rPr>
        <w:t xml:space="preserve">, E., &amp; Deyris, J. (2021). </w:t>
      </w:r>
      <w:r w:rsidRPr="00CB2664">
        <w:rPr>
          <w:rFonts w:ascii="Times New Roman" w:eastAsia="Times New Roman" w:hAnsi="Times New Roman" w:cs="Times New Roman"/>
          <w:kern w:val="0"/>
          <w:lang w:val="en-US" w:eastAsia="fr-BE"/>
          <w14:ligatures w14:val="none"/>
        </w:rPr>
        <w:t xml:space="preserve">It takes two to </w:t>
      </w:r>
      <w:proofErr w:type="gramStart"/>
      <w:r w:rsidRPr="00CB2664">
        <w:rPr>
          <w:rFonts w:ascii="Times New Roman" w:eastAsia="Times New Roman" w:hAnsi="Times New Roman" w:cs="Times New Roman"/>
          <w:kern w:val="0"/>
          <w:lang w:val="en-US" w:eastAsia="fr-BE"/>
          <w14:ligatures w14:val="none"/>
        </w:rPr>
        <w:t>dance :</w:t>
      </w:r>
      <w:proofErr w:type="gramEnd"/>
      <w:r w:rsidRPr="00CB2664">
        <w:rPr>
          <w:rFonts w:ascii="Times New Roman" w:eastAsia="Times New Roman" w:hAnsi="Times New Roman" w:cs="Times New Roman"/>
          <w:kern w:val="0"/>
          <w:lang w:val="en-US" w:eastAsia="fr-BE"/>
          <w14:ligatures w14:val="none"/>
        </w:rPr>
        <w:t xml:space="preserve"> Institutional dynamics and climate-related financial policies. </w:t>
      </w:r>
      <w:proofErr w:type="spellStart"/>
      <w:r w:rsidRPr="00CB2664">
        <w:rPr>
          <w:rFonts w:ascii="Times New Roman" w:eastAsia="Times New Roman" w:hAnsi="Times New Roman" w:cs="Times New Roman"/>
          <w:i/>
          <w:iCs/>
          <w:kern w:val="0"/>
          <w:lang w:eastAsia="fr-BE"/>
          <w14:ligatures w14:val="none"/>
        </w:rPr>
        <w:t>Ecological</w:t>
      </w:r>
      <w:proofErr w:type="spellEnd"/>
      <w:r w:rsidRPr="00CB2664">
        <w:rPr>
          <w:rFonts w:ascii="Times New Roman" w:eastAsia="Times New Roman" w:hAnsi="Times New Roman" w:cs="Times New Roman"/>
          <w:i/>
          <w:iCs/>
          <w:kern w:val="0"/>
          <w:lang w:eastAsia="fr-BE"/>
          <w14:ligatures w14:val="none"/>
        </w:rPr>
        <w:t xml:space="preserve"> </w:t>
      </w:r>
      <w:proofErr w:type="spellStart"/>
      <w:r w:rsidRPr="00CB2664">
        <w:rPr>
          <w:rFonts w:ascii="Times New Roman" w:eastAsia="Times New Roman" w:hAnsi="Times New Roman" w:cs="Times New Roman"/>
          <w:i/>
          <w:iCs/>
          <w:kern w:val="0"/>
          <w:lang w:eastAsia="fr-BE"/>
          <w14:ligatures w14:val="none"/>
        </w:rPr>
        <w:t>Economics</w:t>
      </w:r>
      <w:proofErr w:type="spellEnd"/>
      <w:r w:rsidRPr="00CB2664">
        <w:rPr>
          <w:rFonts w:ascii="Times New Roman" w:eastAsia="Times New Roman" w:hAnsi="Times New Roman" w:cs="Times New Roman"/>
          <w:kern w:val="0"/>
          <w:lang w:eastAsia="fr-BE"/>
          <w14:ligatures w14:val="none"/>
        </w:rPr>
        <w:t xml:space="preserve">, </w:t>
      </w:r>
      <w:r w:rsidRPr="00CB2664">
        <w:rPr>
          <w:rFonts w:ascii="Times New Roman" w:eastAsia="Times New Roman" w:hAnsi="Times New Roman" w:cs="Times New Roman"/>
          <w:i/>
          <w:iCs/>
          <w:kern w:val="0"/>
          <w:lang w:eastAsia="fr-BE"/>
          <w14:ligatures w14:val="none"/>
        </w:rPr>
        <w:t>190</w:t>
      </w:r>
      <w:r w:rsidRPr="00CB2664">
        <w:rPr>
          <w:rFonts w:ascii="Times New Roman" w:eastAsia="Times New Roman" w:hAnsi="Times New Roman" w:cs="Times New Roman"/>
          <w:kern w:val="0"/>
          <w:lang w:eastAsia="fr-BE"/>
          <w14:ligatures w14:val="none"/>
        </w:rPr>
        <w:t>, 107210.</w:t>
      </w:r>
    </w:p>
    <w:p w14:paraId="630ABE24" w14:textId="7B03B927" w:rsidR="0071750B" w:rsidRPr="0071750B" w:rsidRDefault="0071750B" w:rsidP="0071750B">
      <w:pPr>
        <w:spacing w:after="0" w:line="480" w:lineRule="auto"/>
        <w:ind w:hanging="480"/>
        <w:rPr>
          <w:rFonts w:ascii="Times New Roman" w:eastAsia="Times New Roman" w:hAnsi="Times New Roman" w:cs="Times New Roman"/>
          <w:kern w:val="0"/>
          <w:lang w:eastAsia="fr-BE"/>
          <w14:ligatures w14:val="none"/>
        </w:rPr>
      </w:pPr>
      <w:proofErr w:type="spellStart"/>
      <w:r w:rsidRPr="0071750B">
        <w:rPr>
          <w:rFonts w:ascii="Times New Roman" w:eastAsia="Times New Roman" w:hAnsi="Times New Roman" w:cs="Times New Roman"/>
          <w:kern w:val="0"/>
          <w:lang w:eastAsia="fr-BE"/>
          <w14:ligatures w14:val="none"/>
        </w:rPr>
        <w:t>Chiapello</w:t>
      </w:r>
      <w:proofErr w:type="spellEnd"/>
      <w:r w:rsidRPr="0071750B">
        <w:rPr>
          <w:rFonts w:ascii="Times New Roman" w:eastAsia="Times New Roman" w:hAnsi="Times New Roman" w:cs="Times New Roman"/>
          <w:kern w:val="0"/>
          <w:lang w:eastAsia="fr-BE"/>
          <w14:ligatures w14:val="none"/>
        </w:rPr>
        <w:t xml:space="preserve">, È. (2021). La financiarisation de la politique climatique dans l’impasse. In </w:t>
      </w:r>
      <w:r w:rsidRPr="0071750B">
        <w:rPr>
          <w:rFonts w:ascii="Times New Roman" w:eastAsia="Times New Roman" w:hAnsi="Times New Roman" w:cs="Times New Roman"/>
          <w:i/>
          <w:iCs/>
          <w:kern w:val="0"/>
          <w:lang w:eastAsia="fr-BE"/>
          <w14:ligatures w14:val="none"/>
        </w:rPr>
        <w:t>Faire l’économie de l’environnement</w:t>
      </w:r>
      <w:r w:rsidR="00CA06FC">
        <w:rPr>
          <w:rFonts w:ascii="Times New Roman" w:eastAsia="Times New Roman" w:hAnsi="Times New Roman" w:cs="Times New Roman"/>
          <w:i/>
          <w:iCs/>
          <w:kern w:val="0"/>
          <w:lang w:eastAsia="fr-BE"/>
          <w14:ligatures w14:val="none"/>
        </w:rPr>
        <w:t>,</w:t>
      </w:r>
      <w:r w:rsidRPr="0071750B">
        <w:rPr>
          <w:rFonts w:ascii="Times New Roman" w:eastAsia="Times New Roman" w:hAnsi="Times New Roman" w:cs="Times New Roman"/>
          <w:kern w:val="0"/>
          <w:lang w:eastAsia="fr-BE"/>
          <w14:ligatures w14:val="none"/>
        </w:rPr>
        <w:t xml:space="preserve"> Presses des Mines</w:t>
      </w:r>
      <w:r w:rsidR="00CA06FC">
        <w:rPr>
          <w:rFonts w:ascii="Times New Roman" w:eastAsia="Times New Roman" w:hAnsi="Times New Roman" w:cs="Times New Roman"/>
          <w:kern w:val="0"/>
          <w:lang w:eastAsia="fr-BE"/>
          <w14:ligatures w14:val="none"/>
        </w:rPr>
        <w:t>,</w:t>
      </w:r>
      <w:r w:rsidRPr="0071750B">
        <w:rPr>
          <w:rFonts w:ascii="Times New Roman" w:eastAsia="Times New Roman" w:hAnsi="Times New Roman" w:cs="Times New Roman"/>
          <w:kern w:val="0"/>
          <w:lang w:eastAsia="fr-BE"/>
          <w14:ligatures w14:val="none"/>
        </w:rPr>
        <w:t xml:space="preserve"> Paris</w:t>
      </w:r>
      <w:r w:rsidR="00CA06FC">
        <w:rPr>
          <w:rFonts w:ascii="Times New Roman" w:eastAsia="Times New Roman" w:hAnsi="Times New Roman" w:cs="Times New Roman"/>
          <w:kern w:val="0"/>
          <w:lang w:eastAsia="fr-BE"/>
          <w14:ligatures w14:val="none"/>
        </w:rPr>
        <w:t>,</w:t>
      </w:r>
      <w:r w:rsidRPr="0071750B">
        <w:rPr>
          <w:rFonts w:ascii="Times New Roman" w:eastAsia="Times New Roman" w:hAnsi="Times New Roman" w:cs="Times New Roman"/>
          <w:kern w:val="0"/>
          <w:lang w:eastAsia="fr-BE"/>
          <w14:ligatures w14:val="none"/>
        </w:rPr>
        <w:t xml:space="preserve"> </w:t>
      </w:r>
      <w:r w:rsidR="00CA06FC" w:rsidRPr="0071750B">
        <w:rPr>
          <w:rFonts w:ascii="Times New Roman" w:eastAsia="Times New Roman" w:hAnsi="Times New Roman" w:cs="Times New Roman"/>
          <w:kern w:val="0"/>
          <w:lang w:eastAsia="fr-BE"/>
          <w14:ligatures w14:val="none"/>
        </w:rPr>
        <w:t>39</w:t>
      </w:r>
      <w:r w:rsidR="00CA06FC" w:rsidRPr="0071750B">
        <w:rPr>
          <w:rFonts w:ascii="Times New Roman" w:eastAsia="Times New Roman" w:hAnsi="Times New Roman" w:cs="Times New Roman"/>
          <w:kern w:val="0"/>
          <w:lang w:eastAsia="fr-BE"/>
          <w14:ligatures w14:val="none"/>
        </w:rPr>
        <w:noBreakHyphen/>
        <w:t>58).</w:t>
      </w:r>
    </w:p>
    <w:p w14:paraId="1C96BC11" w14:textId="58E3044E" w:rsidR="0071750B" w:rsidRPr="0071750B" w:rsidRDefault="0071750B" w:rsidP="0071750B">
      <w:pPr>
        <w:spacing w:after="0" w:line="480" w:lineRule="auto"/>
        <w:ind w:hanging="480"/>
        <w:rPr>
          <w:rFonts w:ascii="Times New Roman" w:eastAsia="Times New Roman" w:hAnsi="Times New Roman" w:cs="Times New Roman"/>
          <w:kern w:val="0"/>
          <w:lang w:val="en-US" w:eastAsia="fr-BE"/>
          <w14:ligatures w14:val="none"/>
        </w:rPr>
      </w:pPr>
      <w:proofErr w:type="spellStart"/>
      <w:r w:rsidRPr="0071750B">
        <w:rPr>
          <w:rFonts w:ascii="Times New Roman" w:eastAsia="Times New Roman" w:hAnsi="Times New Roman" w:cs="Times New Roman"/>
          <w:kern w:val="0"/>
          <w:lang w:val="en-US" w:eastAsia="fr-BE"/>
          <w14:ligatures w14:val="none"/>
        </w:rPr>
        <w:t>Dikau</w:t>
      </w:r>
      <w:proofErr w:type="spellEnd"/>
      <w:r w:rsidRPr="0071750B">
        <w:rPr>
          <w:rFonts w:ascii="Times New Roman" w:eastAsia="Times New Roman" w:hAnsi="Times New Roman" w:cs="Times New Roman"/>
          <w:kern w:val="0"/>
          <w:lang w:val="en-US" w:eastAsia="fr-BE"/>
          <w14:ligatures w14:val="none"/>
        </w:rPr>
        <w:t xml:space="preserve">, S., &amp; Volz, U. (2023). Out of the window? Green monetary policy in China: window guidance and the promotion of sustainable lending and investment. </w:t>
      </w:r>
      <w:r w:rsidRPr="0071750B">
        <w:rPr>
          <w:rFonts w:ascii="Times New Roman" w:eastAsia="Times New Roman" w:hAnsi="Times New Roman" w:cs="Times New Roman"/>
          <w:i/>
          <w:iCs/>
          <w:kern w:val="0"/>
          <w:lang w:val="en-US" w:eastAsia="fr-BE"/>
          <w14:ligatures w14:val="none"/>
        </w:rPr>
        <w:t>Climate Policy</w:t>
      </w:r>
      <w:r w:rsidRPr="0071750B">
        <w:rPr>
          <w:rFonts w:ascii="Times New Roman" w:eastAsia="Times New Roman" w:hAnsi="Times New Roman" w:cs="Times New Roman"/>
          <w:kern w:val="0"/>
          <w:lang w:val="en-US" w:eastAsia="fr-BE"/>
          <w14:ligatures w14:val="none"/>
        </w:rPr>
        <w:t xml:space="preserve">, </w:t>
      </w:r>
      <w:r w:rsidRPr="0071750B">
        <w:rPr>
          <w:rFonts w:ascii="Times New Roman" w:eastAsia="Times New Roman" w:hAnsi="Times New Roman" w:cs="Times New Roman"/>
          <w:i/>
          <w:iCs/>
          <w:kern w:val="0"/>
          <w:lang w:val="en-US" w:eastAsia="fr-BE"/>
          <w14:ligatures w14:val="none"/>
        </w:rPr>
        <w:t>23</w:t>
      </w:r>
      <w:r w:rsidRPr="0071750B">
        <w:rPr>
          <w:rFonts w:ascii="Times New Roman" w:eastAsia="Times New Roman" w:hAnsi="Times New Roman" w:cs="Times New Roman"/>
          <w:kern w:val="0"/>
          <w:lang w:val="en-US" w:eastAsia="fr-BE"/>
          <w14:ligatures w14:val="none"/>
        </w:rPr>
        <w:t>(1), 122</w:t>
      </w:r>
      <w:r w:rsidRPr="0071750B">
        <w:rPr>
          <w:rFonts w:ascii="Times New Roman" w:eastAsia="Times New Roman" w:hAnsi="Times New Roman" w:cs="Times New Roman"/>
          <w:kern w:val="0"/>
          <w:lang w:val="en-US" w:eastAsia="fr-BE"/>
          <w14:ligatures w14:val="none"/>
        </w:rPr>
        <w:noBreakHyphen/>
        <w:t xml:space="preserve">137. </w:t>
      </w:r>
    </w:p>
    <w:p w14:paraId="5DB9A281" w14:textId="0FA88FD9" w:rsidR="0071750B" w:rsidRPr="0071750B" w:rsidRDefault="0071750B" w:rsidP="0071750B">
      <w:pPr>
        <w:spacing w:after="0" w:line="480" w:lineRule="auto"/>
        <w:ind w:hanging="480"/>
        <w:rPr>
          <w:rFonts w:ascii="Times New Roman" w:eastAsia="Times New Roman" w:hAnsi="Times New Roman" w:cs="Times New Roman"/>
          <w:kern w:val="0"/>
          <w:lang w:val="en-US" w:eastAsia="fr-BE"/>
          <w14:ligatures w14:val="none"/>
        </w:rPr>
      </w:pPr>
      <w:r w:rsidRPr="0071750B">
        <w:rPr>
          <w:rFonts w:ascii="Times New Roman" w:eastAsia="Times New Roman" w:hAnsi="Times New Roman" w:cs="Times New Roman"/>
          <w:kern w:val="0"/>
          <w:lang w:val="en-US" w:eastAsia="fr-BE"/>
          <w14:ligatures w14:val="none"/>
        </w:rPr>
        <w:t xml:space="preserve">Fontan, C. (2025). The EU taxonomy as a battleground. </w:t>
      </w:r>
      <w:r w:rsidRPr="0071750B">
        <w:rPr>
          <w:rFonts w:ascii="Times New Roman" w:eastAsia="Times New Roman" w:hAnsi="Times New Roman" w:cs="Times New Roman"/>
          <w:i/>
          <w:iCs/>
          <w:kern w:val="0"/>
          <w:lang w:val="en-US" w:eastAsia="fr-BE"/>
          <w14:ligatures w14:val="none"/>
        </w:rPr>
        <w:t>Journal of European Public Policy</w:t>
      </w:r>
      <w:r>
        <w:rPr>
          <w:rFonts w:ascii="Times New Roman" w:eastAsia="Times New Roman" w:hAnsi="Times New Roman" w:cs="Times New Roman"/>
          <w:kern w:val="0"/>
          <w:lang w:val="en-US" w:eastAsia="fr-BE"/>
          <w14:ligatures w14:val="none"/>
        </w:rPr>
        <w:t xml:space="preserve">, sous </w:t>
      </w:r>
      <w:proofErr w:type="spellStart"/>
      <w:r>
        <w:rPr>
          <w:rFonts w:ascii="Times New Roman" w:eastAsia="Times New Roman" w:hAnsi="Times New Roman" w:cs="Times New Roman"/>
          <w:kern w:val="0"/>
          <w:lang w:val="en-US" w:eastAsia="fr-BE"/>
          <w14:ligatures w14:val="none"/>
        </w:rPr>
        <w:t>presse</w:t>
      </w:r>
      <w:proofErr w:type="spellEnd"/>
      <w:r>
        <w:rPr>
          <w:rFonts w:ascii="Times New Roman" w:eastAsia="Times New Roman" w:hAnsi="Times New Roman" w:cs="Times New Roman"/>
          <w:kern w:val="0"/>
          <w:lang w:val="en-US" w:eastAsia="fr-BE"/>
          <w14:ligatures w14:val="none"/>
        </w:rPr>
        <w:t>.</w:t>
      </w:r>
    </w:p>
    <w:p w14:paraId="20729556" w14:textId="461DCD44" w:rsidR="005B1F47" w:rsidRPr="00BC2F73" w:rsidRDefault="0071750B" w:rsidP="00BC2F73">
      <w:pPr>
        <w:spacing w:after="0" w:line="480" w:lineRule="auto"/>
        <w:ind w:hanging="480"/>
        <w:rPr>
          <w:rFonts w:ascii="Times New Roman" w:eastAsia="Times New Roman" w:hAnsi="Times New Roman" w:cs="Times New Roman"/>
          <w:kern w:val="0"/>
          <w:lang w:val="en-US" w:eastAsia="fr-BE"/>
          <w14:ligatures w14:val="none"/>
        </w:rPr>
      </w:pPr>
      <w:r w:rsidRPr="0071750B">
        <w:rPr>
          <w:rFonts w:ascii="Times New Roman" w:eastAsia="Times New Roman" w:hAnsi="Times New Roman" w:cs="Times New Roman"/>
          <w:kern w:val="0"/>
          <w:lang w:val="en-US" w:eastAsia="fr-BE"/>
          <w14:ligatures w14:val="none"/>
        </w:rPr>
        <w:t xml:space="preserve">Piroska, D. (2022). Financial nationalism and </w:t>
      </w:r>
      <w:proofErr w:type="gramStart"/>
      <w:r w:rsidRPr="0071750B">
        <w:rPr>
          <w:rFonts w:ascii="Times New Roman" w:eastAsia="Times New Roman" w:hAnsi="Times New Roman" w:cs="Times New Roman"/>
          <w:kern w:val="0"/>
          <w:lang w:val="en-US" w:eastAsia="fr-BE"/>
          <w14:ligatures w14:val="none"/>
        </w:rPr>
        <w:t>democracy :</w:t>
      </w:r>
      <w:proofErr w:type="gramEnd"/>
      <w:r w:rsidRPr="0071750B">
        <w:rPr>
          <w:rFonts w:ascii="Times New Roman" w:eastAsia="Times New Roman" w:hAnsi="Times New Roman" w:cs="Times New Roman"/>
          <w:kern w:val="0"/>
          <w:lang w:val="en-US" w:eastAsia="fr-BE"/>
          <w14:ligatures w14:val="none"/>
        </w:rPr>
        <w:t xml:space="preserve"> Evaluating financial nationalism in light of post-crisis theories of financial power in Hungary. In </w:t>
      </w:r>
      <w:r w:rsidRPr="0071750B">
        <w:rPr>
          <w:rFonts w:ascii="Times New Roman" w:eastAsia="Times New Roman" w:hAnsi="Times New Roman" w:cs="Times New Roman"/>
          <w:i/>
          <w:iCs/>
          <w:kern w:val="0"/>
          <w:lang w:val="en-US" w:eastAsia="fr-BE"/>
          <w14:ligatures w14:val="none"/>
        </w:rPr>
        <w:t>Handbook of Economic Nationalism</w:t>
      </w:r>
      <w:r w:rsidRPr="0071750B">
        <w:rPr>
          <w:rFonts w:ascii="Times New Roman" w:eastAsia="Times New Roman" w:hAnsi="Times New Roman" w:cs="Times New Roman"/>
          <w:kern w:val="0"/>
          <w:lang w:val="en-US" w:eastAsia="fr-BE"/>
          <w14:ligatures w14:val="none"/>
        </w:rPr>
        <w:t xml:space="preserve"> (Edgar Elgar). </w:t>
      </w:r>
      <w:hyperlink r:id="rId12" w:history="1">
        <w:r w:rsidRPr="0071750B">
          <w:rPr>
            <w:rFonts w:ascii="Times New Roman" w:eastAsia="Times New Roman" w:hAnsi="Times New Roman" w:cs="Times New Roman"/>
            <w:color w:val="0000FF"/>
            <w:kern w:val="0"/>
            <w:u w:val="single"/>
            <w:lang w:val="en-US" w:eastAsia="fr-BE"/>
            <w14:ligatures w14:val="none"/>
          </w:rPr>
          <w:t>https://papers.ssrn.com/sol3/papers.cfm?abstract_id=3846022</w:t>
        </w:r>
      </w:hyperlink>
    </w:p>
    <w:sectPr w:rsidR="005B1F47" w:rsidRPr="00BC2F73">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uteur" w:initials="A">
    <w:p w14:paraId="2DBC9063" w14:textId="368D38FB" w:rsidR="00320A2E" w:rsidRDefault="00320A2E">
      <w:pPr>
        <w:pStyle w:val="Commentaire"/>
      </w:pPr>
      <w:r>
        <w:rPr>
          <w:rStyle w:val="Marquedecommentaire"/>
        </w:rPr>
        <w:annotationRef/>
      </w:r>
      <w:r>
        <w:t xml:space="preserve">Notice claire et qui demande peu de modifications (seulement quelques questions de formulations, à rendre un peu plus claires pour un public large). Notice qui rentre tout à fait dans les attendus du dictionnaire </w:t>
      </w:r>
    </w:p>
  </w:comment>
  <w:comment w:id="1" w:author="Clément Fontan" w:date="2025-03-19T15:50:00Z" w:initials="CF">
    <w:p w14:paraId="15768955" w14:textId="77777777" w:rsidR="00BC2F73" w:rsidRDefault="00BC2F73" w:rsidP="00BC2F73">
      <w:pPr>
        <w:pStyle w:val="Commentaire"/>
      </w:pPr>
      <w:r>
        <w:rPr>
          <w:rStyle w:val="Marquedecommentaire"/>
        </w:rPr>
        <w:annotationRef/>
      </w:r>
      <w:r>
        <w:t>Cool, merci</w:t>
      </w:r>
    </w:p>
  </w:comment>
  <w:comment w:id="2" w:author="Auteur" w:initials="A">
    <w:p w14:paraId="5CAC0225" w14:textId="6A89CF36" w:rsidR="002624E6" w:rsidRDefault="002624E6" w:rsidP="002624E6">
      <w:pPr>
        <w:pStyle w:val="Commentaire"/>
      </w:pPr>
      <w:r>
        <w:rPr>
          <w:rStyle w:val="Marquedecommentaire"/>
        </w:rPr>
        <w:annotationRef/>
      </w:r>
      <w:r>
        <w:t>Très clair et complet. On aimerait bien quelques lignes sur (la dimension microscopique) des banques alternatives ou plus généralement les choix des investisseurs / consommateurs en produits financiers à l’aune des nouvelles valeurs</w:t>
      </w:r>
    </w:p>
  </w:comment>
  <w:comment w:id="3" w:author="Clément Fontan" w:date="2025-03-19T15:36:00Z" w:initials="CF">
    <w:p w14:paraId="46D80905" w14:textId="77777777" w:rsidR="009F2870" w:rsidRDefault="009F2870" w:rsidP="009F2870">
      <w:pPr>
        <w:pStyle w:val="Commentaire"/>
      </w:pPr>
      <w:r>
        <w:rPr>
          <w:rStyle w:val="Marquedecommentaire"/>
        </w:rPr>
        <w:annotationRef/>
      </w:r>
      <w:r>
        <w:t xml:space="preserve">Ok, mais comme la fiche se concentre davantage sur les efforts de réglementation publique de la finance verte, je propose de le faire rapidement en intro, aussi pour contraster le faible volume des banques alternative par rapport au plus fort volume de l’investissement fossile. </w:t>
      </w:r>
    </w:p>
  </w:comment>
  <w:comment w:id="4" w:author="Clément Fontan" w:date="2025-03-19T15:30:00Z" w:initials="CF">
    <w:p w14:paraId="45689BF2" w14:textId="28E86C27" w:rsidR="009F2870" w:rsidRDefault="009F2870" w:rsidP="009F2870">
      <w:pPr>
        <w:pStyle w:val="Commentaire"/>
      </w:pPr>
      <w:r>
        <w:rPr>
          <w:rStyle w:val="Marquedecommentaire"/>
        </w:rPr>
        <w:annotationRef/>
      </w:r>
      <w:r>
        <w:t xml:space="preserve">Qui doit le faire? Moi ou les coordianteurs. ice.s? </w:t>
      </w:r>
    </w:p>
  </w:comment>
  <w:comment w:id="5" w:author="Auteur" w:initials="A">
    <w:p w14:paraId="73A0C80E" w14:textId="3BD57E8D" w:rsidR="00601CF1" w:rsidRDefault="00601CF1">
      <w:pPr>
        <w:pStyle w:val="Commentaire"/>
      </w:pPr>
      <w:r>
        <w:rPr>
          <w:rStyle w:val="Marquedecommentaire"/>
        </w:rPr>
        <w:annotationRef/>
      </w:r>
      <w:r>
        <w:t xml:space="preserve">Intéressant car on n’attendait pas nécessairement ces deux pays dans l’avant-garde en finance verte </w:t>
      </w:r>
    </w:p>
  </w:comment>
  <w:comment w:id="6" w:author="Auteur" w:initials="A">
    <w:p w14:paraId="1A42A552" w14:textId="70A9F14A" w:rsidR="00601CF1" w:rsidRDefault="00601CF1">
      <w:pPr>
        <w:pStyle w:val="Commentaire"/>
      </w:pPr>
      <w:r>
        <w:rPr>
          <w:rStyle w:val="Marquedecommentaire"/>
        </w:rPr>
        <w:annotationRef/>
      </w:r>
      <w:r>
        <w:t xml:space="preserve">Ok, là c’est clair </w:t>
      </w:r>
    </w:p>
  </w:comment>
  <w:comment w:id="7" w:author="Auteur" w:initials="A">
    <w:p w14:paraId="3DC2574B" w14:textId="77777777" w:rsidR="00D35BD6" w:rsidRDefault="00D35BD6" w:rsidP="00D35BD6">
      <w:pPr>
        <w:pStyle w:val="Commentaire"/>
      </w:pPr>
      <w:r>
        <w:rPr>
          <w:rStyle w:val="Marquedecommentaire"/>
        </w:rPr>
        <w:annotationRef/>
      </w:r>
      <w:r>
        <w:t>C’est ici que ces cas tangents apparaissent. Faire remonter ou faire le lien</w:t>
      </w:r>
    </w:p>
  </w:comment>
  <w:comment w:id="8" w:author="Clément Fontan" w:date="2025-03-19T15:17:00Z" w:initials="CF">
    <w:p w14:paraId="2AFA1807" w14:textId="77777777" w:rsidR="007270E3" w:rsidRDefault="007270E3" w:rsidP="007270E3">
      <w:pPr>
        <w:pStyle w:val="Commentaire"/>
      </w:pPr>
      <w:r>
        <w:rPr>
          <w:rStyle w:val="Marquedecommentaire"/>
        </w:rPr>
        <w:annotationRef/>
      </w:r>
      <w:r>
        <w:t>update</w:t>
      </w:r>
    </w:p>
  </w:comment>
  <w:comment w:id="9" w:author="Auteur" w:initials="A">
    <w:p w14:paraId="31CF207B" w14:textId="3C5825FB" w:rsidR="00320A2E" w:rsidRDefault="00320A2E">
      <w:pPr>
        <w:pStyle w:val="Commentaire"/>
      </w:pPr>
      <w:r>
        <w:rPr>
          <w:rStyle w:val="Marquedecommentaire"/>
        </w:rPr>
        <w:annotationRef/>
      </w:r>
      <w:r>
        <w:t>Qu’en déduit -on ? Que c’est un espace de contestation délaissé ou trop technique/dépolitisé ?</w:t>
      </w:r>
    </w:p>
  </w:comment>
  <w:comment w:id="10" w:author="Clément Fontan" w:date="2025-03-19T14:54:00Z" w:initials="CF">
    <w:p w14:paraId="5F7C3300" w14:textId="77777777" w:rsidR="00033D62" w:rsidRDefault="00033D62" w:rsidP="00033D62">
      <w:pPr>
        <w:pStyle w:val="Commentaire"/>
      </w:pPr>
      <w:r>
        <w:rPr>
          <w:rStyle w:val="Marquedecommentaire"/>
        </w:rPr>
        <w:annotationRef/>
      </w:r>
      <w:r>
        <w:t>Oui, je rajoute</w:t>
      </w:r>
    </w:p>
  </w:comment>
  <w:comment w:id="11" w:author="Clément Fontan" w:date="2025-03-19T15:19:00Z" w:initials="CF">
    <w:p w14:paraId="64ADDC2E" w14:textId="77777777" w:rsidR="00175685" w:rsidRDefault="00175685" w:rsidP="00175685">
      <w:pPr>
        <w:pStyle w:val="Commentaire"/>
      </w:pPr>
      <w:r>
        <w:rPr>
          <w:rStyle w:val="Marquedecommentaire"/>
        </w:rPr>
        <w:annotationRef/>
      </w:r>
      <w:r>
        <w:t>Renversons la culpabilité</w:t>
      </w:r>
    </w:p>
  </w:comment>
  <w:comment w:id="12" w:author="Auteur" w:initials="A">
    <w:p w14:paraId="7691ADE6" w14:textId="55B1DA9D" w:rsidR="00643076" w:rsidRDefault="00643076">
      <w:pPr>
        <w:pStyle w:val="Commentaire"/>
      </w:pPr>
      <w:r>
        <w:rPr>
          <w:rStyle w:val="Marquedecommentaire"/>
        </w:rPr>
        <w:annotationRef/>
      </w:r>
      <w:r>
        <w:t>Il faudrait réduire le nombre de références qui sont de 6 max pour les entrées de 8000 signes….</w:t>
      </w:r>
    </w:p>
  </w:comment>
  <w:comment w:id="13" w:author="Clément Fontan" w:date="2025-03-19T15:16:00Z" w:initials="CF">
    <w:p w14:paraId="754A90BC" w14:textId="77777777" w:rsidR="007270E3" w:rsidRDefault="007270E3" w:rsidP="007270E3">
      <w:pPr>
        <w:pStyle w:val="Commentaire"/>
      </w:pPr>
      <w:r>
        <w:rPr>
          <w:rStyle w:val="Marquedecommentaire"/>
        </w:rPr>
        <w:annotationRef/>
      </w:r>
      <w:r>
        <w:t>ok</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DBC9063" w15:done="0"/>
  <w15:commentEx w15:paraId="15768955" w15:paraIdParent="2DBC9063" w15:done="0"/>
  <w15:commentEx w15:paraId="5CAC0225" w15:done="0"/>
  <w15:commentEx w15:paraId="46D80905" w15:paraIdParent="5CAC0225" w15:done="0"/>
  <w15:commentEx w15:paraId="45689BF2" w15:done="0"/>
  <w15:commentEx w15:paraId="73A0C80E" w15:done="0"/>
  <w15:commentEx w15:paraId="1A42A552" w15:done="0"/>
  <w15:commentEx w15:paraId="3DC2574B" w15:done="0"/>
  <w15:commentEx w15:paraId="2AFA1807" w15:done="0"/>
  <w15:commentEx w15:paraId="31CF207B" w15:done="0"/>
  <w15:commentEx w15:paraId="5F7C3300" w15:paraIdParent="31CF207B" w15:done="0"/>
  <w15:commentEx w15:paraId="64ADDC2E" w15:done="0"/>
  <w15:commentEx w15:paraId="7691ADE6" w15:done="0"/>
  <w15:commentEx w15:paraId="754A90BC" w15:paraIdParent="7691ADE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E5891B7" w16cex:dateUtc="2025-03-19T14:50:00Z"/>
  <w16cex:commentExtensible w16cex:durableId="4F08E5DB" w16cex:dateUtc="2025-03-19T14:36:00Z"/>
  <w16cex:commentExtensible w16cex:durableId="6249D43A" w16cex:dateUtc="2025-03-19T14:30:00Z"/>
  <w16cex:commentExtensible w16cex:durableId="087276F6" w16cex:dateUtc="2025-03-19T14:17:00Z"/>
  <w16cex:commentExtensible w16cex:durableId="66669E61" w16cex:dateUtc="2025-03-19T13:54:00Z"/>
  <w16cex:commentExtensible w16cex:durableId="3ED14587" w16cex:dateUtc="2025-03-19T14:19:00Z"/>
  <w16cex:commentExtensible w16cex:durableId="0FF838C1" w16cex:dateUtc="2025-03-19T14:1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DBC9063" w16cid:durableId="3AA289DC"/>
  <w16cid:commentId w16cid:paraId="15768955" w16cid:durableId="0E5891B7"/>
  <w16cid:commentId w16cid:paraId="5CAC0225" w16cid:durableId="62A09862"/>
  <w16cid:commentId w16cid:paraId="46D80905" w16cid:durableId="4F08E5DB"/>
  <w16cid:commentId w16cid:paraId="45689BF2" w16cid:durableId="6249D43A"/>
  <w16cid:commentId w16cid:paraId="73A0C80E" w16cid:durableId="47CA6A96"/>
  <w16cid:commentId w16cid:paraId="1A42A552" w16cid:durableId="53CDA075"/>
  <w16cid:commentId w16cid:paraId="3DC2574B" w16cid:durableId="3C5D9546"/>
  <w16cid:commentId w16cid:paraId="2AFA1807" w16cid:durableId="087276F6"/>
  <w16cid:commentId w16cid:paraId="31CF207B" w16cid:durableId="1161D576"/>
  <w16cid:commentId w16cid:paraId="5F7C3300" w16cid:durableId="66669E61"/>
  <w16cid:commentId w16cid:paraId="64ADDC2E" w16cid:durableId="3ED14587"/>
  <w16cid:commentId w16cid:paraId="7691ADE6" w16cid:durableId="0F55EAAD"/>
  <w16cid:commentId w16cid:paraId="754A90BC" w16cid:durableId="0FF838C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FBCF15" w14:textId="77777777" w:rsidR="001B364F" w:rsidRDefault="001B364F" w:rsidP="00533129">
      <w:pPr>
        <w:spacing w:after="0" w:line="240" w:lineRule="auto"/>
      </w:pPr>
      <w:r>
        <w:separator/>
      </w:r>
    </w:p>
  </w:endnote>
  <w:endnote w:type="continuationSeparator" w:id="0">
    <w:p w14:paraId="7916CBCF" w14:textId="77777777" w:rsidR="001B364F" w:rsidRDefault="001B364F" w:rsidP="005331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F8E76A" w14:textId="77777777" w:rsidR="001B364F" w:rsidRDefault="001B364F" w:rsidP="00533129">
      <w:pPr>
        <w:spacing w:after="0" w:line="240" w:lineRule="auto"/>
      </w:pPr>
      <w:r>
        <w:separator/>
      </w:r>
    </w:p>
  </w:footnote>
  <w:footnote w:type="continuationSeparator" w:id="0">
    <w:p w14:paraId="20E978D3" w14:textId="77777777" w:rsidR="001B364F" w:rsidRDefault="001B364F" w:rsidP="00533129">
      <w:pPr>
        <w:spacing w:after="0" w:line="240" w:lineRule="auto"/>
      </w:pPr>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lément Fontan">
    <w15:presenceInfo w15:providerId="AD" w15:userId="S::clement.fontan@uclouvain.be::290a8e8a-6ccb-43c4-8da8-a9ee181c72e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4839"/>
    <w:rsid w:val="00001CEC"/>
    <w:rsid w:val="00006CB1"/>
    <w:rsid w:val="00013679"/>
    <w:rsid w:val="00014051"/>
    <w:rsid w:val="00014CED"/>
    <w:rsid w:val="00016BF8"/>
    <w:rsid w:val="00020D9A"/>
    <w:rsid w:val="00033D62"/>
    <w:rsid w:val="000440DD"/>
    <w:rsid w:val="00051753"/>
    <w:rsid w:val="000517C2"/>
    <w:rsid w:val="00057709"/>
    <w:rsid w:val="00057CCC"/>
    <w:rsid w:val="00063E91"/>
    <w:rsid w:val="00065BFC"/>
    <w:rsid w:val="00075543"/>
    <w:rsid w:val="00075802"/>
    <w:rsid w:val="00081996"/>
    <w:rsid w:val="000868AD"/>
    <w:rsid w:val="000921B4"/>
    <w:rsid w:val="000A5CB0"/>
    <w:rsid w:val="000C17C8"/>
    <w:rsid w:val="000C1DB1"/>
    <w:rsid w:val="000C48B9"/>
    <w:rsid w:val="000C524B"/>
    <w:rsid w:val="000C587B"/>
    <w:rsid w:val="000D7E2F"/>
    <w:rsid w:val="000F7E59"/>
    <w:rsid w:val="001275D6"/>
    <w:rsid w:val="00131F9A"/>
    <w:rsid w:val="00134EA5"/>
    <w:rsid w:val="00137547"/>
    <w:rsid w:val="00142B27"/>
    <w:rsid w:val="001439ED"/>
    <w:rsid w:val="001456B5"/>
    <w:rsid w:val="00157221"/>
    <w:rsid w:val="00157E12"/>
    <w:rsid w:val="001650DB"/>
    <w:rsid w:val="00175685"/>
    <w:rsid w:val="00186623"/>
    <w:rsid w:val="00194453"/>
    <w:rsid w:val="001A6F60"/>
    <w:rsid w:val="001B2EAA"/>
    <w:rsid w:val="001B364F"/>
    <w:rsid w:val="001C088C"/>
    <w:rsid w:val="001C1BB5"/>
    <w:rsid w:val="001C5116"/>
    <w:rsid w:val="001D3C7C"/>
    <w:rsid w:val="001E50FE"/>
    <w:rsid w:val="001E5F6A"/>
    <w:rsid w:val="001F1189"/>
    <w:rsid w:val="001F14AD"/>
    <w:rsid w:val="001F442B"/>
    <w:rsid w:val="0021522A"/>
    <w:rsid w:val="002210EE"/>
    <w:rsid w:val="002426EE"/>
    <w:rsid w:val="002442C1"/>
    <w:rsid w:val="002501A7"/>
    <w:rsid w:val="0025034B"/>
    <w:rsid w:val="0025046C"/>
    <w:rsid w:val="00250A64"/>
    <w:rsid w:val="00250BEF"/>
    <w:rsid w:val="0025158D"/>
    <w:rsid w:val="00254AD6"/>
    <w:rsid w:val="002624E6"/>
    <w:rsid w:val="00266830"/>
    <w:rsid w:val="00267399"/>
    <w:rsid w:val="002754B1"/>
    <w:rsid w:val="00275E3B"/>
    <w:rsid w:val="00283736"/>
    <w:rsid w:val="00284877"/>
    <w:rsid w:val="002862B0"/>
    <w:rsid w:val="002951ED"/>
    <w:rsid w:val="002965E8"/>
    <w:rsid w:val="00296B02"/>
    <w:rsid w:val="002A3879"/>
    <w:rsid w:val="002B05FC"/>
    <w:rsid w:val="002B2EF4"/>
    <w:rsid w:val="00305266"/>
    <w:rsid w:val="00314A0B"/>
    <w:rsid w:val="00315653"/>
    <w:rsid w:val="00320A2E"/>
    <w:rsid w:val="00323CD9"/>
    <w:rsid w:val="00337ACF"/>
    <w:rsid w:val="00347B2A"/>
    <w:rsid w:val="003627C0"/>
    <w:rsid w:val="00373713"/>
    <w:rsid w:val="00380D34"/>
    <w:rsid w:val="003873C2"/>
    <w:rsid w:val="00391255"/>
    <w:rsid w:val="003B247A"/>
    <w:rsid w:val="003B5A60"/>
    <w:rsid w:val="003C038B"/>
    <w:rsid w:val="003C2A1C"/>
    <w:rsid w:val="003C5172"/>
    <w:rsid w:val="003C6680"/>
    <w:rsid w:val="003D143E"/>
    <w:rsid w:val="003D7CF4"/>
    <w:rsid w:val="003E3AF6"/>
    <w:rsid w:val="003E4456"/>
    <w:rsid w:val="003F02A4"/>
    <w:rsid w:val="003F7149"/>
    <w:rsid w:val="00403692"/>
    <w:rsid w:val="0041532E"/>
    <w:rsid w:val="00423F63"/>
    <w:rsid w:val="00424646"/>
    <w:rsid w:val="00424D16"/>
    <w:rsid w:val="0044256C"/>
    <w:rsid w:val="0045082C"/>
    <w:rsid w:val="004539DC"/>
    <w:rsid w:val="00457199"/>
    <w:rsid w:val="00467CB1"/>
    <w:rsid w:val="0047030F"/>
    <w:rsid w:val="00480C7E"/>
    <w:rsid w:val="00480FF3"/>
    <w:rsid w:val="0048111C"/>
    <w:rsid w:val="00481B5F"/>
    <w:rsid w:val="004865B4"/>
    <w:rsid w:val="004945EF"/>
    <w:rsid w:val="004968E7"/>
    <w:rsid w:val="004A042A"/>
    <w:rsid w:val="004A5C89"/>
    <w:rsid w:val="004B387F"/>
    <w:rsid w:val="004B5717"/>
    <w:rsid w:val="004E0170"/>
    <w:rsid w:val="004F2D49"/>
    <w:rsid w:val="004F7E7B"/>
    <w:rsid w:val="005041F5"/>
    <w:rsid w:val="00510360"/>
    <w:rsid w:val="00510543"/>
    <w:rsid w:val="00513706"/>
    <w:rsid w:val="00531EB2"/>
    <w:rsid w:val="00533129"/>
    <w:rsid w:val="005449B2"/>
    <w:rsid w:val="00571F05"/>
    <w:rsid w:val="00572E89"/>
    <w:rsid w:val="00580A7C"/>
    <w:rsid w:val="005965E7"/>
    <w:rsid w:val="005A538E"/>
    <w:rsid w:val="005A5E13"/>
    <w:rsid w:val="005A70E4"/>
    <w:rsid w:val="005A7EC5"/>
    <w:rsid w:val="005B1F47"/>
    <w:rsid w:val="005B423C"/>
    <w:rsid w:val="005C7661"/>
    <w:rsid w:val="005C7A08"/>
    <w:rsid w:val="005D059A"/>
    <w:rsid w:val="005D2512"/>
    <w:rsid w:val="005D7385"/>
    <w:rsid w:val="005D7F68"/>
    <w:rsid w:val="005E03E3"/>
    <w:rsid w:val="005E15D3"/>
    <w:rsid w:val="0060163E"/>
    <w:rsid w:val="00601CF1"/>
    <w:rsid w:val="00611664"/>
    <w:rsid w:val="0061605A"/>
    <w:rsid w:val="00621858"/>
    <w:rsid w:val="00623536"/>
    <w:rsid w:val="006269E7"/>
    <w:rsid w:val="00643076"/>
    <w:rsid w:val="00644560"/>
    <w:rsid w:val="00647533"/>
    <w:rsid w:val="006636FD"/>
    <w:rsid w:val="0067165C"/>
    <w:rsid w:val="00674D12"/>
    <w:rsid w:val="00677C91"/>
    <w:rsid w:val="00691001"/>
    <w:rsid w:val="006941AB"/>
    <w:rsid w:val="006A1296"/>
    <w:rsid w:val="006B1022"/>
    <w:rsid w:val="006C363A"/>
    <w:rsid w:val="006C74C2"/>
    <w:rsid w:val="006D1994"/>
    <w:rsid w:val="006F0F19"/>
    <w:rsid w:val="006F2C7F"/>
    <w:rsid w:val="006F4BC2"/>
    <w:rsid w:val="007036E1"/>
    <w:rsid w:val="00703B69"/>
    <w:rsid w:val="007140A6"/>
    <w:rsid w:val="00716105"/>
    <w:rsid w:val="0071750B"/>
    <w:rsid w:val="00722081"/>
    <w:rsid w:val="007270E3"/>
    <w:rsid w:val="007273C3"/>
    <w:rsid w:val="007411CB"/>
    <w:rsid w:val="0075043B"/>
    <w:rsid w:val="00755553"/>
    <w:rsid w:val="00763ABB"/>
    <w:rsid w:val="00766E90"/>
    <w:rsid w:val="0077421E"/>
    <w:rsid w:val="007866A0"/>
    <w:rsid w:val="00796766"/>
    <w:rsid w:val="007A3DDB"/>
    <w:rsid w:val="007A6672"/>
    <w:rsid w:val="007B1B3D"/>
    <w:rsid w:val="007B3BB3"/>
    <w:rsid w:val="007C6C3B"/>
    <w:rsid w:val="007D12CB"/>
    <w:rsid w:val="007D3974"/>
    <w:rsid w:val="007D74B6"/>
    <w:rsid w:val="007E0576"/>
    <w:rsid w:val="007E1D1F"/>
    <w:rsid w:val="007E3CCA"/>
    <w:rsid w:val="007E6BCF"/>
    <w:rsid w:val="007F50E8"/>
    <w:rsid w:val="00802943"/>
    <w:rsid w:val="00811530"/>
    <w:rsid w:val="00821823"/>
    <w:rsid w:val="008235CF"/>
    <w:rsid w:val="00832006"/>
    <w:rsid w:val="0083355C"/>
    <w:rsid w:val="008412FB"/>
    <w:rsid w:val="00844F0D"/>
    <w:rsid w:val="008701C0"/>
    <w:rsid w:val="008707B7"/>
    <w:rsid w:val="00880A65"/>
    <w:rsid w:val="0089626A"/>
    <w:rsid w:val="0089736A"/>
    <w:rsid w:val="008A3BE8"/>
    <w:rsid w:val="008C4E5E"/>
    <w:rsid w:val="008F4CE7"/>
    <w:rsid w:val="0092046C"/>
    <w:rsid w:val="00922791"/>
    <w:rsid w:val="00924CF9"/>
    <w:rsid w:val="009342B3"/>
    <w:rsid w:val="0093631E"/>
    <w:rsid w:val="00936C2F"/>
    <w:rsid w:val="009707A6"/>
    <w:rsid w:val="00977FA8"/>
    <w:rsid w:val="009A0B55"/>
    <w:rsid w:val="009A2E9F"/>
    <w:rsid w:val="009C5521"/>
    <w:rsid w:val="009D318F"/>
    <w:rsid w:val="009D3FDA"/>
    <w:rsid w:val="009E2101"/>
    <w:rsid w:val="009E2F9A"/>
    <w:rsid w:val="009F07CD"/>
    <w:rsid w:val="009F2870"/>
    <w:rsid w:val="00A03F14"/>
    <w:rsid w:val="00A13270"/>
    <w:rsid w:val="00A14CCB"/>
    <w:rsid w:val="00A15D2B"/>
    <w:rsid w:val="00A1697E"/>
    <w:rsid w:val="00A2133E"/>
    <w:rsid w:val="00A32B19"/>
    <w:rsid w:val="00A34254"/>
    <w:rsid w:val="00A3767E"/>
    <w:rsid w:val="00A43987"/>
    <w:rsid w:val="00A518EB"/>
    <w:rsid w:val="00A52FA0"/>
    <w:rsid w:val="00A852ED"/>
    <w:rsid w:val="00A90A5B"/>
    <w:rsid w:val="00A96DBF"/>
    <w:rsid w:val="00A96F23"/>
    <w:rsid w:val="00AA6BBA"/>
    <w:rsid w:val="00AB28CD"/>
    <w:rsid w:val="00AB48DB"/>
    <w:rsid w:val="00AB5110"/>
    <w:rsid w:val="00AC0522"/>
    <w:rsid w:val="00AC545F"/>
    <w:rsid w:val="00AD72A8"/>
    <w:rsid w:val="00AE3054"/>
    <w:rsid w:val="00AE3755"/>
    <w:rsid w:val="00AE68C2"/>
    <w:rsid w:val="00AF70F3"/>
    <w:rsid w:val="00B02278"/>
    <w:rsid w:val="00B1217E"/>
    <w:rsid w:val="00B32852"/>
    <w:rsid w:val="00B340DE"/>
    <w:rsid w:val="00B42038"/>
    <w:rsid w:val="00B56D92"/>
    <w:rsid w:val="00B6080F"/>
    <w:rsid w:val="00B76EB7"/>
    <w:rsid w:val="00B8178E"/>
    <w:rsid w:val="00B82827"/>
    <w:rsid w:val="00B8317B"/>
    <w:rsid w:val="00B83230"/>
    <w:rsid w:val="00B918B1"/>
    <w:rsid w:val="00BA0FB6"/>
    <w:rsid w:val="00BA3948"/>
    <w:rsid w:val="00BA56F7"/>
    <w:rsid w:val="00BB23FD"/>
    <w:rsid w:val="00BB41F4"/>
    <w:rsid w:val="00BB43F4"/>
    <w:rsid w:val="00BC2F73"/>
    <w:rsid w:val="00BC6493"/>
    <w:rsid w:val="00BD3477"/>
    <w:rsid w:val="00BD4A75"/>
    <w:rsid w:val="00BD55D5"/>
    <w:rsid w:val="00BE4DF1"/>
    <w:rsid w:val="00BF060A"/>
    <w:rsid w:val="00BF3D84"/>
    <w:rsid w:val="00BF536A"/>
    <w:rsid w:val="00C07813"/>
    <w:rsid w:val="00C11108"/>
    <w:rsid w:val="00C13ED1"/>
    <w:rsid w:val="00C2670E"/>
    <w:rsid w:val="00C30871"/>
    <w:rsid w:val="00C50601"/>
    <w:rsid w:val="00C532DD"/>
    <w:rsid w:val="00C5532E"/>
    <w:rsid w:val="00C558D5"/>
    <w:rsid w:val="00C67490"/>
    <w:rsid w:val="00C972F6"/>
    <w:rsid w:val="00CA06FC"/>
    <w:rsid w:val="00CA37CD"/>
    <w:rsid w:val="00CA4356"/>
    <w:rsid w:val="00CA4D5B"/>
    <w:rsid w:val="00CB2664"/>
    <w:rsid w:val="00CB3D9E"/>
    <w:rsid w:val="00CC53E4"/>
    <w:rsid w:val="00CD00DB"/>
    <w:rsid w:val="00CD168F"/>
    <w:rsid w:val="00CD17A4"/>
    <w:rsid w:val="00CE255E"/>
    <w:rsid w:val="00CE7829"/>
    <w:rsid w:val="00CE783B"/>
    <w:rsid w:val="00D05060"/>
    <w:rsid w:val="00D05C9E"/>
    <w:rsid w:val="00D1475C"/>
    <w:rsid w:val="00D14C0A"/>
    <w:rsid w:val="00D23192"/>
    <w:rsid w:val="00D232E2"/>
    <w:rsid w:val="00D35BD6"/>
    <w:rsid w:val="00D42B0C"/>
    <w:rsid w:val="00D62ACC"/>
    <w:rsid w:val="00D63846"/>
    <w:rsid w:val="00D665EB"/>
    <w:rsid w:val="00D72C51"/>
    <w:rsid w:val="00D8080B"/>
    <w:rsid w:val="00D86781"/>
    <w:rsid w:val="00D876EB"/>
    <w:rsid w:val="00DB0A13"/>
    <w:rsid w:val="00DB6614"/>
    <w:rsid w:val="00DC0FC4"/>
    <w:rsid w:val="00DC30FA"/>
    <w:rsid w:val="00DC3B6D"/>
    <w:rsid w:val="00DD4966"/>
    <w:rsid w:val="00DD6C92"/>
    <w:rsid w:val="00DE2E25"/>
    <w:rsid w:val="00E006B8"/>
    <w:rsid w:val="00E11FA1"/>
    <w:rsid w:val="00E208E8"/>
    <w:rsid w:val="00E24839"/>
    <w:rsid w:val="00E26674"/>
    <w:rsid w:val="00E33A4A"/>
    <w:rsid w:val="00E4199D"/>
    <w:rsid w:val="00E46412"/>
    <w:rsid w:val="00E50A94"/>
    <w:rsid w:val="00E55207"/>
    <w:rsid w:val="00E60BBC"/>
    <w:rsid w:val="00E740CC"/>
    <w:rsid w:val="00E7436D"/>
    <w:rsid w:val="00E75CB6"/>
    <w:rsid w:val="00E77BF3"/>
    <w:rsid w:val="00E85A29"/>
    <w:rsid w:val="00E86B26"/>
    <w:rsid w:val="00E921D4"/>
    <w:rsid w:val="00E927E3"/>
    <w:rsid w:val="00EC1B77"/>
    <w:rsid w:val="00EC35CF"/>
    <w:rsid w:val="00EC4087"/>
    <w:rsid w:val="00ED285A"/>
    <w:rsid w:val="00EE250F"/>
    <w:rsid w:val="00EE50D1"/>
    <w:rsid w:val="00EE7E0D"/>
    <w:rsid w:val="00EF792F"/>
    <w:rsid w:val="00F13C82"/>
    <w:rsid w:val="00F42BE6"/>
    <w:rsid w:val="00F75DEA"/>
    <w:rsid w:val="00F776E3"/>
    <w:rsid w:val="00F77E40"/>
    <w:rsid w:val="00F840DF"/>
    <w:rsid w:val="00F868FD"/>
    <w:rsid w:val="00F96001"/>
    <w:rsid w:val="00FA58DA"/>
    <w:rsid w:val="00FA625B"/>
    <w:rsid w:val="00FA630B"/>
    <w:rsid w:val="00FB0D94"/>
    <w:rsid w:val="00FC2EF2"/>
    <w:rsid w:val="00FD2E42"/>
    <w:rsid w:val="00FD400E"/>
    <w:rsid w:val="00FF2853"/>
    <w:rsid w:val="00FF67D3"/>
  </w:rsids>
  <m:mathPr>
    <m:mathFont m:val="Cambria Math"/>
    <m:brkBin m:val="before"/>
    <m:brkBinSub m:val="--"/>
    <m:smallFrac m:val="0"/>
    <m:dispDef/>
    <m:lMargin m:val="0"/>
    <m:rMargin m:val="0"/>
    <m:defJc m:val="centerGroup"/>
    <m:wrapIndent m:val="1440"/>
    <m:intLim m:val="subSup"/>
    <m:naryLim m:val="undOvr"/>
  </m:mathPr>
  <w:themeFontLang w:val="fr-BE"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322718"/>
  <w15:chartTrackingRefBased/>
  <w15:docId w15:val="{84A45D91-2F8E-4674-9183-9D6470549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E248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E248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E24839"/>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E24839"/>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E24839"/>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E24839"/>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E24839"/>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E24839"/>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E24839"/>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E24839"/>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E24839"/>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E24839"/>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E24839"/>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E24839"/>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E24839"/>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E24839"/>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E24839"/>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E24839"/>
    <w:rPr>
      <w:rFonts w:eastAsiaTheme="majorEastAsia" w:cstheme="majorBidi"/>
      <w:color w:val="272727" w:themeColor="text1" w:themeTint="D8"/>
    </w:rPr>
  </w:style>
  <w:style w:type="paragraph" w:styleId="Titre">
    <w:name w:val="Title"/>
    <w:basedOn w:val="Normal"/>
    <w:next w:val="Normal"/>
    <w:link w:val="TitreCar"/>
    <w:uiPriority w:val="10"/>
    <w:qFormat/>
    <w:rsid w:val="00E248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E24839"/>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E24839"/>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E24839"/>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E24839"/>
    <w:pPr>
      <w:spacing w:before="160"/>
      <w:jc w:val="center"/>
    </w:pPr>
    <w:rPr>
      <w:i/>
      <w:iCs/>
      <w:color w:val="404040" w:themeColor="text1" w:themeTint="BF"/>
    </w:rPr>
  </w:style>
  <w:style w:type="character" w:customStyle="1" w:styleId="CitationCar">
    <w:name w:val="Citation Car"/>
    <w:basedOn w:val="Policepardfaut"/>
    <w:link w:val="Citation"/>
    <w:uiPriority w:val="29"/>
    <w:rsid w:val="00E24839"/>
    <w:rPr>
      <w:i/>
      <w:iCs/>
      <w:color w:val="404040" w:themeColor="text1" w:themeTint="BF"/>
    </w:rPr>
  </w:style>
  <w:style w:type="paragraph" w:styleId="Paragraphedeliste">
    <w:name w:val="List Paragraph"/>
    <w:basedOn w:val="Normal"/>
    <w:uiPriority w:val="34"/>
    <w:qFormat/>
    <w:rsid w:val="00E24839"/>
    <w:pPr>
      <w:ind w:left="720"/>
      <w:contextualSpacing/>
    </w:pPr>
  </w:style>
  <w:style w:type="character" w:styleId="Accentuationintense">
    <w:name w:val="Intense Emphasis"/>
    <w:basedOn w:val="Policepardfaut"/>
    <w:uiPriority w:val="21"/>
    <w:qFormat/>
    <w:rsid w:val="00E24839"/>
    <w:rPr>
      <w:i/>
      <w:iCs/>
      <w:color w:val="0F4761" w:themeColor="accent1" w:themeShade="BF"/>
    </w:rPr>
  </w:style>
  <w:style w:type="paragraph" w:styleId="Citationintense">
    <w:name w:val="Intense Quote"/>
    <w:basedOn w:val="Normal"/>
    <w:next w:val="Normal"/>
    <w:link w:val="CitationintenseCar"/>
    <w:uiPriority w:val="30"/>
    <w:qFormat/>
    <w:rsid w:val="00E248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E24839"/>
    <w:rPr>
      <w:i/>
      <w:iCs/>
      <w:color w:val="0F4761" w:themeColor="accent1" w:themeShade="BF"/>
    </w:rPr>
  </w:style>
  <w:style w:type="character" w:styleId="Rfrenceintense">
    <w:name w:val="Intense Reference"/>
    <w:basedOn w:val="Policepardfaut"/>
    <w:uiPriority w:val="32"/>
    <w:qFormat/>
    <w:rsid w:val="00E24839"/>
    <w:rPr>
      <w:b/>
      <w:bCs/>
      <w:smallCaps/>
      <w:color w:val="0F4761" w:themeColor="accent1" w:themeShade="BF"/>
      <w:spacing w:val="5"/>
    </w:rPr>
  </w:style>
  <w:style w:type="character" w:styleId="Marquedecommentaire">
    <w:name w:val="annotation reference"/>
    <w:basedOn w:val="Policepardfaut"/>
    <w:uiPriority w:val="99"/>
    <w:semiHidden/>
    <w:unhideWhenUsed/>
    <w:rsid w:val="00821823"/>
    <w:rPr>
      <w:sz w:val="16"/>
      <w:szCs w:val="16"/>
    </w:rPr>
  </w:style>
  <w:style w:type="paragraph" w:styleId="Commentaire">
    <w:name w:val="annotation text"/>
    <w:basedOn w:val="Normal"/>
    <w:link w:val="CommentaireCar"/>
    <w:uiPriority w:val="99"/>
    <w:unhideWhenUsed/>
    <w:rsid w:val="00821823"/>
    <w:pPr>
      <w:spacing w:line="240" w:lineRule="auto"/>
    </w:pPr>
    <w:rPr>
      <w:sz w:val="20"/>
      <w:szCs w:val="20"/>
    </w:rPr>
  </w:style>
  <w:style w:type="character" w:customStyle="1" w:styleId="CommentaireCar">
    <w:name w:val="Commentaire Car"/>
    <w:basedOn w:val="Policepardfaut"/>
    <w:link w:val="Commentaire"/>
    <w:uiPriority w:val="99"/>
    <w:rsid w:val="00821823"/>
    <w:rPr>
      <w:sz w:val="20"/>
      <w:szCs w:val="20"/>
    </w:rPr>
  </w:style>
  <w:style w:type="paragraph" w:styleId="Objetducommentaire">
    <w:name w:val="annotation subject"/>
    <w:basedOn w:val="Commentaire"/>
    <w:next w:val="Commentaire"/>
    <w:link w:val="ObjetducommentaireCar"/>
    <w:uiPriority w:val="99"/>
    <w:semiHidden/>
    <w:unhideWhenUsed/>
    <w:rsid w:val="00821823"/>
    <w:rPr>
      <w:b/>
      <w:bCs/>
    </w:rPr>
  </w:style>
  <w:style w:type="character" w:customStyle="1" w:styleId="ObjetducommentaireCar">
    <w:name w:val="Objet du commentaire Car"/>
    <w:basedOn w:val="CommentaireCar"/>
    <w:link w:val="Objetducommentaire"/>
    <w:uiPriority w:val="99"/>
    <w:semiHidden/>
    <w:rsid w:val="00821823"/>
    <w:rPr>
      <w:b/>
      <w:bCs/>
      <w:sz w:val="20"/>
      <w:szCs w:val="20"/>
    </w:rPr>
  </w:style>
  <w:style w:type="paragraph" w:styleId="Rvision">
    <w:name w:val="Revision"/>
    <w:hidden/>
    <w:uiPriority w:val="99"/>
    <w:semiHidden/>
    <w:rsid w:val="00821823"/>
    <w:pPr>
      <w:spacing w:after="0" w:line="240" w:lineRule="auto"/>
    </w:pPr>
  </w:style>
  <w:style w:type="character" w:styleId="Lienhypertexte">
    <w:name w:val="Hyperlink"/>
    <w:basedOn w:val="Policepardfaut"/>
    <w:uiPriority w:val="99"/>
    <w:semiHidden/>
    <w:unhideWhenUsed/>
    <w:rsid w:val="0071750B"/>
    <w:rPr>
      <w:color w:val="0000FF"/>
      <w:u w:val="single"/>
    </w:rPr>
  </w:style>
  <w:style w:type="paragraph" w:styleId="En-tte">
    <w:name w:val="header"/>
    <w:basedOn w:val="Normal"/>
    <w:link w:val="En-tteCar"/>
    <w:uiPriority w:val="99"/>
    <w:unhideWhenUsed/>
    <w:rsid w:val="00533129"/>
    <w:pPr>
      <w:tabs>
        <w:tab w:val="center" w:pos="4536"/>
        <w:tab w:val="right" w:pos="9072"/>
      </w:tabs>
      <w:spacing w:after="0" w:line="240" w:lineRule="auto"/>
    </w:pPr>
  </w:style>
  <w:style w:type="character" w:customStyle="1" w:styleId="En-tteCar">
    <w:name w:val="En-tête Car"/>
    <w:basedOn w:val="Policepardfaut"/>
    <w:link w:val="En-tte"/>
    <w:uiPriority w:val="99"/>
    <w:rsid w:val="00533129"/>
  </w:style>
  <w:style w:type="paragraph" w:styleId="Pieddepage">
    <w:name w:val="footer"/>
    <w:basedOn w:val="Normal"/>
    <w:link w:val="PieddepageCar"/>
    <w:uiPriority w:val="99"/>
    <w:unhideWhenUsed/>
    <w:rsid w:val="0053312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331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5580029">
      <w:bodyDiv w:val="1"/>
      <w:marLeft w:val="0"/>
      <w:marRight w:val="0"/>
      <w:marTop w:val="0"/>
      <w:marBottom w:val="0"/>
      <w:divBdr>
        <w:top w:val="none" w:sz="0" w:space="0" w:color="auto"/>
        <w:left w:val="none" w:sz="0" w:space="0" w:color="auto"/>
        <w:bottom w:val="none" w:sz="0" w:space="0" w:color="auto"/>
        <w:right w:val="none" w:sz="0" w:space="0" w:color="auto"/>
      </w:divBdr>
      <w:divsChild>
        <w:div w:id="1270428988">
          <w:marLeft w:val="480"/>
          <w:marRight w:val="0"/>
          <w:marTop w:val="0"/>
          <w:marBottom w:val="0"/>
          <w:divBdr>
            <w:top w:val="none" w:sz="0" w:space="0" w:color="auto"/>
            <w:left w:val="none" w:sz="0" w:space="0" w:color="auto"/>
            <w:bottom w:val="none" w:sz="0" w:space="0" w:color="auto"/>
            <w:right w:val="none" w:sz="0" w:space="0" w:color="auto"/>
          </w:divBdr>
          <w:divsChild>
            <w:div w:id="191387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218287">
      <w:bodyDiv w:val="1"/>
      <w:marLeft w:val="0"/>
      <w:marRight w:val="0"/>
      <w:marTop w:val="0"/>
      <w:marBottom w:val="0"/>
      <w:divBdr>
        <w:top w:val="none" w:sz="0" w:space="0" w:color="auto"/>
        <w:left w:val="none" w:sz="0" w:space="0" w:color="auto"/>
        <w:bottom w:val="none" w:sz="0" w:space="0" w:color="auto"/>
        <w:right w:val="none" w:sz="0" w:space="0" w:color="auto"/>
      </w:divBdr>
      <w:divsChild>
        <w:div w:id="167646465">
          <w:marLeft w:val="480"/>
          <w:marRight w:val="0"/>
          <w:marTop w:val="0"/>
          <w:marBottom w:val="0"/>
          <w:divBdr>
            <w:top w:val="none" w:sz="0" w:space="0" w:color="auto"/>
            <w:left w:val="none" w:sz="0" w:space="0" w:color="auto"/>
            <w:bottom w:val="none" w:sz="0" w:space="0" w:color="auto"/>
            <w:right w:val="none" w:sz="0" w:space="0" w:color="auto"/>
          </w:divBdr>
          <w:divsChild>
            <w:div w:id="299072274">
              <w:marLeft w:val="0"/>
              <w:marRight w:val="0"/>
              <w:marTop w:val="0"/>
              <w:marBottom w:val="0"/>
              <w:divBdr>
                <w:top w:val="none" w:sz="0" w:space="0" w:color="auto"/>
                <w:left w:val="none" w:sz="0" w:space="0" w:color="auto"/>
                <w:bottom w:val="none" w:sz="0" w:space="0" w:color="auto"/>
                <w:right w:val="none" w:sz="0" w:space="0" w:color="auto"/>
              </w:divBdr>
            </w:div>
            <w:div w:id="160975682">
              <w:marLeft w:val="0"/>
              <w:marRight w:val="0"/>
              <w:marTop w:val="0"/>
              <w:marBottom w:val="0"/>
              <w:divBdr>
                <w:top w:val="none" w:sz="0" w:space="0" w:color="auto"/>
                <w:left w:val="none" w:sz="0" w:space="0" w:color="auto"/>
                <w:bottom w:val="none" w:sz="0" w:space="0" w:color="auto"/>
                <w:right w:val="none" w:sz="0" w:space="0" w:color="auto"/>
              </w:divBdr>
            </w:div>
            <w:div w:id="1060131977">
              <w:marLeft w:val="0"/>
              <w:marRight w:val="0"/>
              <w:marTop w:val="0"/>
              <w:marBottom w:val="0"/>
              <w:divBdr>
                <w:top w:val="none" w:sz="0" w:space="0" w:color="auto"/>
                <w:left w:val="none" w:sz="0" w:space="0" w:color="auto"/>
                <w:bottom w:val="none" w:sz="0" w:space="0" w:color="auto"/>
                <w:right w:val="none" w:sz="0" w:space="0" w:color="auto"/>
              </w:divBdr>
            </w:div>
            <w:div w:id="619385077">
              <w:marLeft w:val="0"/>
              <w:marRight w:val="0"/>
              <w:marTop w:val="0"/>
              <w:marBottom w:val="0"/>
              <w:divBdr>
                <w:top w:val="none" w:sz="0" w:space="0" w:color="auto"/>
                <w:left w:val="none" w:sz="0" w:space="0" w:color="auto"/>
                <w:bottom w:val="none" w:sz="0" w:space="0" w:color="auto"/>
                <w:right w:val="none" w:sz="0" w:space="0" w:color="auto"/>
              </w:divBdr>
            </w:div>
            <w:div w:id="335765704">
              <w:marLeft w:val="0"/>
              <w:marRight w:val="0"/>
              <w:marTop w:val="0"/>
              <w:marBottom w:val="0"/>
              <w:divBdr>
                <w:top w:val="none" w:sz="0" w:space="0" w:color="auto"/>
                <w:left w:val="none" w:sz="0" w:space="0" w:color="auto"/>
                <w:bottom w:val="none" w:sz="0" w:space="0" w:color="auto"/>
                <w:right w:val="none" w:sz="0" w:space="0" w:color="auto"/>
              </w:divBdr>
            </w:div>
            <w:div w:id="1961959618">
              <w:marLeft w:val="0"/>
              <w:marRight w:val="0"/>
              <w:marTop w:val="0"/>
              <w:marBottom w:val="0"/>
              <w:divBdr>
                <w:top w:val="none" w:sz="0" w:space="0" w:color="auto"/>
                <w:left w:val="none" w:sz="0" w:space="0" w:color="auto"/>
                <w:bottom w:val="none" w:sz="0" w:space="0" w:color="auto"/>
                <w:right w:val="none" w:sz="0" w:space="0" w:color="auto"/>
              </w:divBdr>
            </w:div>
            <w:div w:id="1305088123">
              <w:marLeft w:val="0"/>
              <w:marRight w:val="0"/>
              <w:marTop w:val="0"/>
              <w:marBottom w:val="0"/>
              <w:divBdr>
                <w:top w:val="none" w:sz="0" w:space="0" w:color="auto"/>
                <w:left w:val="none" w:sz="0" w:space="0" w:color="auto"/>
                <w:bottom w:val="none" w:sz="0" w:space="0" w:color="auto"/>
                <w:right w:val="none" w:sz="0" w:space="0" w:color="auto"/>
              </w:divBdr>
            </w:div>
            <w:div w:id="150196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1203610">
      <w:bodyDiv w:val="1"/>
      <w:marLeft w:val="0"/>
      <w:marRight w:val="0"/>
      <w:marTop w:val="0"/>
      <w:marBottom w:val="0"/>
      <w:divBdr>
        <w:top w:val="none" w:sz="0" w:space="0" w:color="auto"/>
        <w:left w:val="none" w:sz="0" w:space="0" w:color="auto"/>
        <w:bottom w:val="none" w:sz="0" w:space="0" w:color="auto"/>
        <w:right w:val="none" w:sz="0" w:space="0" w:color="auto"/>
      </w:divBdr>
      <w:divsChild>
        <w:div w:id="280495397">
          <w:marLeft w:val="480"/>
          <w:marRight w:val="0"/>
          <w:marTop w:val="0"/>
          <w:marBottom w:val="0"/>
          <w:divBdr>
            <w:top w:val="none" w:sz="0" w:space="0" w:color="auto"/>
            <w:left w:val="none" w:sz="0" w:space="0" w:color="auto"/>
            <w:bottom w:val="none" w:sz="0" w:space="0" w:color="auto"/>
            <w:right w:val="none" w:sz="0" w:space="0" w:color="auto"/>
          </w:divBdr>
          <w:divsChild>
            <w:div w:id="23286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yperlink" Target="https://papers.ssrn.com/sol3/papers.cfm?abstract_id=3846022"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doi.org/10.1007/s10551-021-04763-x" TargetMode="External"/><Relationship Id="rId5" Type="http://schemas.openxmlformats.org/officeDocument/2006/relationships/footnotes" Target="footnotes.xml"/><Relationship Id="rId15" Type="http://schemas.openxmlformats.org/officeDocument/2006/relationships/theme" Target="theme/theme1.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 Id="rId14" Type="http://schemas.microsoft.com/office/2011/relationships/people" Target="peop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03A546-6C51-4E39-BEBB-A522D894B1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1691</Words>
  <Characters>9306</Characters>
  <Application>Microsoft Office Word</Application>
  <DocSecurity>0</DocSecurity>
  <Lines>77</Lines>
  <Paragraphs>21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Clément Fontan</dc:creator>
  <cp:keywords/>
  <dc:description/>
  <cp:lastModifiedBy>Clément Fontan</cp:lastModifiedBy>
  <cp:revision>4</cp:revision>
  <dcterms:created xsi:type="dcterms:W3CDTF">2025-03-19T14:49:00Z</dcterms:created>
  <dcterms:modified xsi:type="dcterms:W3CDTF">2025-03-19T14:51:00Z</dcterms:modified>
</cp:coreProperties>
</file>