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D6169" w14:textId="2BF88B03" w:rsidR="009542B4" w:rsidRDefault="009542B4" w:rsidP="00421FA6">
      <w:pPr>
        <w:ind w:left="1410" w:hanging="1410"/>
        <w:rPr>
          <w:lang w:val="fr-FR"/>
        </w:rPr>
      </w:pPr>
      <w:r w:rsidRPr="009542B4">
        <w:rPr>
          <w:i/>
          <w:lang w:val="fr-FR"/>
        </w:rPr>
        <w:t>Titre</w:t>
      </w:r>
      <w:r>
        <w:rPr>
          <w:lang w:val="fr-FR"/>
        </w:rPr>
        <w:t xml:space="preserve"> : </w:t>
      </w:r>
      <w:r>
        <w:rPr>
          <w:lang w:val="fr-FR"/>
        </w:rPr>
        <w:tab/>
      </w:r>
      <w:r>
        <w:rPr>
          <w:lang w:val="fr-FR"/>
        </w:rPr>
        <w:tab/>
      </w:r>
      <w:r w:rsidR="000D6C77">
        <w:rPr>
          <w:b/>
          <w:lang w:val="fr-FR"/>
        </w:rPr>
        <w:t xml:space="preserve">La </w:t>
      </w:r>
      <w:r w:rsidR="00421FA6">
        <w:rPr>
          <w:b/>
          <w:lang w:val="fr-FR"/>
        </w:rPr>
        <w:t xml:space="preserve">neutralité comme réponse restrictive de l’employeur aux </w:t>
      </w:r>
      <w:r w:rsidR="000D6C77">
        <w:rPr>
          <w:b/>
          <w:lang w:val="fr-FR"/>
        </w:rPr>
        <w:t>expressions</w:t>
      </w:r>
      <w:r w:rsidRPr="00F17007">
        <w:rPr>
          <w:b/>
          <w:lang w:val="fr-FR"/>
        </w:rPr>
        <w:t xml:space="preserve"> religieuses des travailleurs</w:t>
      </w:r>
      <w:bookmarkStart w:id="0" w:name="_GoBack"/>
      <w:bookmarkEnd w:id="0"/>
    </w:p>
    <w:p w14:paraId="665ED4A1" w14:textId="77777777" w:rsidR="009542B4" w:rsidRDefault="009542B4" w:rsidP="005559D6">
      <w:pPr>
        <w:rPr>
          <w:lang w:val="fr-FR"/>
        </w:rPr>
      </w:pPr>
      <w:r w:rsidRPr="009542B4">
        <w:rPr>
          <w:i/>
          <w:lang w:val="fr-FR"/>
        </w:rPr>
        <w:t>Sous-titre</w:t>
      </w:r>
      <w:r>
        <w:rPr>
          <w:lang w:val="fr-FR"/>
        </w:rPr>
        <w:t xml:space="preserve"> : </w:t>
      </w:r>
      <w:r>
        <w:rPr>
          <w:lang w:val="fr-FR"/>
        </w:rPr>
        <w:tab/>
        <w:t>Quatre figures de l’entreprise neutre</w:t>
      </w:r>
    </w:p>
    <w:p w14:paraId="5F101C5F" w14:textId="77777777" w:rsidR="009542B4" w:rsidRDefault="009542B4" w:rsidP="005559D6">
      <w:pPr>
        <w:rPr>
          <w:lang w:val="fr-FR"/>
        </w:rPr>
      </w:pPr>
      <w:r w:rsidRPr="009542B4">
        <w:rPr>
          <w:i/>
          <w:lang w:val="fr-FR"/>
        </w:rPr>
        <w:t>Auteur</w:t>
      </w:r>
      <w:r>
        <w:rPr>
          <w:lang w:val="fr-FR"/>
        </w:rPr>
        <w:t xml:space="preserve"> : </w:t>
      </w:r>
      <w:r>
        <w:rPr>
          <w:lang w:val="fr-FR"/>
        </w:rPr>
        <w:tab/>
      </w:r>
      <w:r w:rsidRPr="00F17007">
        <w:rPr>
          <w:b/>
          <w:lang w:val="fr-FR"/>
        </w:rPr>
        <w:t>Léopold Vanbellingen</w:t>
      </w:r>
    </w:p>
    <w:p w14:paraId="081D5A55" w14:textId="159B92D8" w:rsidR="00D75879" w:rsidRDefault="009542B4" w:rsidP="005559D6">
      <w:pPr>
        <w:rPr>
          <w:lang w:val="fr-FR"/>
        </w:rPr>
      </w:pPr>
      <w:r w:rsidRPr="009542B4">
        <w:rPr>
          <w:i/>
          <w:lang w:val="fr-FR"/>
        </w:rPr>
        <w:t>Fonction </w:t>
      </w:r>
      <w:r>
        <w:rPr>
          <w:lang w:val="fr-FR"/>
        </w:rPr>
        <w:t xml:space="preserve">: </w:t>
      </w:r>
      <w:r>
        <w:rPr>
          <w:lang w:val="fr-FR"/>
        </w:rPr>
        <w:tab/>
        <w:t>Chercheur postdoctoral à la Chaire de droit des religions de l’UCLouvain</w:t>
      </w:r>
    </w:p>
    <w:p w14:paraId="691F1EFB" w14:textId="77777777" w:rsidR="009542B4" w:rsidRDefault="009542B4" w:rsidP="005559D6">
      <w:pPr>
        <w:rPr>
          <w:highlight w:val="yellow"/>
          <w:lang w:val="fr-FR"/>
        </w:rPr>
      </w:pPr>
    </w:p>
    <w:p w14:paraId="69F4748C" w14:textId="2D1FA799" w:rsidR="009542B4" w:rsidRDefault="009542B4" w:rsidP="005559D6">
      <w:pPr>
        <w:rPr>
          <w:lang w:val="fr-FR"/>
        </w:rPr>
      </w:pPr>
      <w:r w:rsidRPr="005A16F0">
        <w:rPr>
          <w:i/>
          <w:lang w:val="fr-FR"/>
        </w:rPr>
        <w:t>Résumé</w:t>
      </w:r>
      <w:r w:rsidR="005A16F0">
        <w:rPr>
          <w:lang w:val="fr-FR"/>
        </w:rPr>
        <w:t xml:space="preserve"> </w:t>
      </w:r>
      <w:r w:rsidRPr="005A16F0">
        <w:rPr>
          <w:lang w:val="fr-FR"/>
        </w:rPr>
        <w:t>:</w:t>
      </w:r>
    </w:p>
    <w:p w14:paraId="270AA914" w14:textId="5817A5A5" w:rsidR="008F70AD" w:rsidRDefault="003D4BA7" w:rsidP="008F70AD">
      <w:r>
        <w:rPr>
          <w:lang w:val="fr-FR"/>
        </w:rPr>
        <w:t>Le présent article</w:t>
      </w:r>
      <w:r w:rsidR="008F70AD">
        <w:t xml:space="preserve"> analyse la neutralité</w:t>
      </w:r>
      <w:r w:rsidR="002E5A88">
        <w:t xml:space="preserve"> </w:t>
      </w:r>
      <w:r w:rsidR="008F70AD">
        <w:t>de l'entreprise privée</w:t>
      </w:r>
      <w:r w:rsidR="002E5A88">
        <w:t xml:space="preserve"> comme</w:t>
      </w:r>
      <w:r w:rsidR="008F70AD">
        <w:t xml:space="preserve"> fondement d'une restriction générale des expressions religieuses </w:t>
      </w:r>
      <w:r w:rsidR="002E5A88">
        <w:t>des travailleurs</w:t>
      </w:r>
      <w:r w:rsidR="008F70AD">
        <w:t xml:space="preserve">. </w:t>
      </w:r>
      <w:r>
        <w:t>Il</w:t>
      </w:r>
      <w:r w:rsidR="002E5A88">
        <w:t xml:space="preserve"> s’interroge</w:t>
      </w:r>
      <w:r w:rsidR="008F70AD">
        <w:t xml:space="preserve"> sur la compatibilité </w:t>
      </w:r>
      <w:r w:rsidR="002E5A88">
        <w:t>de cette</w:t>
      </w:r>
      <w:r w:rsidR="008F70AD">
        <w:t xml:space="preserve"> neutralité restrictive avec le droit européen de la liberté de religion et de la non-discrimination des travailleurs.</w:t>
      </w:r>
    </w:p>
    <w:p w14:paraId="6291D881" w14:textId="2B8C0081" w:rsidR="008F70AD" w:rsidRDefault="003D4BA7" w:rsidP="008F70AD">
      <w:r>
        <w:t>L’article</w:t>
      </w:r>
      <w:r w:rsidR="008F70AD">
        <w:t xml:space="preserve"> </w:t>
      </w:r>
      <w:r w:rsidR="002E5A88">
        <w:t xml:space="preserve">cherche </w:t>
      </w:r>
      <w:r w:rsidR="008F70AD">
        <w:t xml:space="preserve">à comprendre les motivations et </w:t>
      </w:r>
      <w:r w:rsidR="002E5A88">
        <w:t xml:space="preserve">les conséquences </w:t>
      </w:r>
      <w:r w:rsidR="008F70AD">
        <w:t xml:space="preserve">du recours </w:t>
      </w:r>
      <w:r w:rsidR="00293A12">
        <w:t xml:space="preserve">par certains employeurs privés </w:t>
      </w:r>
      <w:r w:rsidR="008F70AD">
        <w:t xml:space="preserve">à </w:t>
      </w:r>
      <w:r w:rsidR="00293A12">
        <w:t xml:space="preserve">l’idée de </w:t>
      </w:r>
      <w:r w:rsidR="008F70AD">
        <w:t>neutralité religieuse</w:t>
      </w:r>
      <w:r w:rsidR="00293A12">
        <w:t>, originellement rattachée à la sphère de l’État.</w:t>
      </w:r>
    </w:p>
    <w:p w14:paraId="102BA7E8" w14:textId="118563FE" w:rsidR="008F70AD" w:rsidRDefault="008055A3" w:rsidP="008F70AD">
      <w:r>
        <w:t xml:space="preserve">La première partie </w:t>
      </w:r>
      <w:r w:rsidR="008F70AD">
        <w:t>réinterrog</w:t>
      </w:r>
      <w:r>
        <w:t>e</w:t>
      </w:r>
      <w:r w:rsidR="008F70AD">
        <w:t xml:space="preserve"> les concepts</w:t>
      </w:r>
      <w:r>
        <w:t xml:space="preserve"> centraux de</w:t>
      </w:r>
      <w:r w:rsidR="008F70AD">
        <w:t xml:space="preserve"> neutralité, religion et </w:t>
      </w:r>
      <w:r>
        <w:t>d</w:t>
      </w:r>
      <w:r w:rsidR="008F70AD">
        <w:t>’entreprise.</w:t>
      </w:r>
    </w:p>
    <w:p w14:paraId="6228183E" w14:textId="5A7C7897" w:rsidR="009542B4" w:rsidRPr="008F70AD" w:rsidRDefault="008F70AD" w:rsidP="008F70AD">
      <w:r>
        <w:t xml:space="preserve">La seconde partie </w:t>
      </w:r>
      <w:r w:rsidR="00822B6F">
        <w:t>propose une classification des entreprises neutres en quatre catégories</w:t>
      </w:r>
      <w:r>
        <w:t xml:space="preserve">, </w:t>
      </w:r>
      <w:r w:rsidR="001969D7">
        <w:t>selon que le recours à la neutralité religieuse est instrumental ou idéologique, interne ou externe</w:t>
      </w:r>
      <w:r w:rsidR="001969D7" w:rsidDel="00BE16E1">
        <w:t xml:space="preserve"> </w:t>
      </w:r>
      <w:r w:rsidR="001969D7">
        <w:t>à l’entreprise</w:t>
      </w:r>
      <w:r>
        <w:t xml:space="preserve">. Nous </w:t>
      </w:r>
      <w:r w:rsidR="00293A12">
        <w:t>montrons</w:t>
      </w:r>
      <w:r>
        <w:t xml:space="preserve"> qu’à chaque figure de l’entreprise neutre correspond une réponse spécifique quant à la légitimité et à la proportionnalité des restrictions fondées sur la neutralité, du point de vue du droit européen de la liberté et de la non-discrimination religieuses.</w:t>
      </w:r>
    </w:p>
    <w:p w14:paraId="3736E641" w14:textId="43AC7D82" w:rsidR="009542B4" w:rsidRPr="005A16F0" w:rsidRDefault="009542B4" w:rsidP="005559D6">
      <w:pPr>
        <w:rPr>
          <w:i/>
          <w:iCs/>
          <w:lang w:val="nl-BE"/>
        </w:rPr>
      </w:pPr>
      <w:r w:rsidRPr="005A16F0">
        <w:rPr>
          <w:i/>
          <w:iCs/>
          <w:lang w:val="nl-BE"/>
        </w:rPr>
        <w:t>Samenvatting:</w:t>
      </w:r>
    </w:p>
    <w:p w14:paraId="20E542A2" w14:textId="7CAF3B56" w:rsidR="005A16F0" w:rsidRPr="005A16F0" w:rsidRDefault="005A16F0" w:rsidP="005A16F0">
      <w:pPr>
        <w:rPr>
          <w:lang w:val="nl-BE"/>
        </w:rPr>
      </w:pPr>
      <w:r w:rsidRPr="005A16F0">
        <w:rPr>
          <w:lang w:val="nl-BE"/>
        </w:rPr>
        <w:t xml:space="preserve">Deze bijdrage analyseert de neutraliteit </w:t>
      </w:r>
      <w:r w:rsidR="00AB0797">
        <w:rPr>
          <w:lang w:val="nl-BE"/>
        </w:rPr>
        <w:t>van de onderneming</w:t>
      </w:r>
      <w:r w:rsidRPr="005A16F0">
        <w:rPr>
          <w:lang w:val="nl-BE"/>
        </w:rPr>
        <w:t xml:space="preserve"> als basis voor een algemene beperking van religieuze uitingen </w:t>
      </w:r>
      <w:r w:rsidR="00AB0797">
        <w:rPr>
          <w:lang w:val="nl-BE"/>
        </w:rPr>
        <w:t>van werknemers</w:t>
      </w:r>
      <w:r w:rsidRPr="005A16F0">
        <w:rPr>
          <w:lang w:val="nl-BE"/>
        </w:rPr>
        <w:t xml:space="preserve">. De vraag is of </w:t>
      </w:r>
      <w:r w:rsidR="00AB0797">
        <w:rPr>
          <w:lang w:val="nl-BE"/>
        </w:rPr>
        <w:t>deze</w:t>
      </w:r>
      <w:r w:rsidRPr="005A16F0">
        <w:rPr>
          <w:lang w:val="nl-BE"/>
        </w:rPr>
        <w:t xml:space="preserve"> restrictieve neutraliteit verenigbaar is met </w:t>
      </w:r>
      <w:r w:rsidR="00FF61EE">
        <w:rPr>
          <w:lang w:val="nl-BE"/>
        </w:rPr>
        <w:t>het</w:t>
      </w:r>
      <w:r w:rsidR="00FF61EE" w:rsidRPr="005A16F0">
        <w:rPr>
          <w:lang w:val="nl-BE"/>
        </w:rPr>
        <w:t xml:space="preserve"> </w:t>
      </w:r>
      <w:r w:rsidRPr="005A16F0">
        <w:rPr>
          <w:lang w:val="nl-BE"/>
        </w:rPr>
        <w:t xml:space="preserve">Europese </w:t>
      </w:r>
      <w:r w:rsidR="00205E0C">
        <w:rPr>
          <w:lang w:val="nl-BE"/>
        </w:rPr>
        <w:t xml:space="preserve">juridisch kader </w:t>
      </w:r>
      <w:r w:rsidRPr="005A16F0">
        <w:rPr>
          <w:lang w:val="nl-BE"/>
        </w:rPr>
        <w:t>inzake vrijheid van godsdienst en non-discriminatie van werknemers.</w:t>
      </w:r>
    </w:p>
    <w:p w14:paraId="1639F72D" w14:textId="2ED76742" w:rsidR="005A16F0" w:rsidRPr="005A16F0" w:rsidRDefault="005A16F0" w:rsidP="005A16F0">
      <w:pPr>
        <w:rPr>
          <w:lang w:val="nl-BE"/>
        </w:rPr>
      </w:pPr>
      <w:r w:rsidRPr="005A16F0">
        <w:rPr>
          <w:lang w:val="nl-BE"/>
        </w:rPr>
        <w:t>In deze bijdrage worden de beweegredenen van sommige werkgevers geanalyseerd om zich te beroepen op het idee van religieuze neutraliteit, dat oorspronkelijk aan de staatssfeer was gekoppeld.</w:t>
      </w:r>
    </w:p>
    <w:p w14:paraId="48CC4746" w14:textId="1BBD89EC" w:rsidR="005A16F0" w:rsidRPr="005A16F0" w:rsidRDefault="00AB0797" w:rsidP="005A16F0">
      <w:pPr>
        <w:rPr>
          <w:lang w:val="nl-BE"/>
        </w:rPr>
      </w:pPr>
      <w:r>
        <w:rPr>
          <w:lang w:val="nl-BE"/>
        </w:rPr>
        <w:t xml:space="preserve">Het eerste deel </w:t>
      </w:r>
      <w:r w:rsidR="00B33C8F">
        <w:rPr>
          <w:lang w:val="nl-BE"/>
        </w:rPr>
        <w:t xml:space="preserve">onderzoekt </w:t>
      </w:r>
      <w:r w:rsidR="005A16F0" w:rsidRPr="005A16F0">
        <w:rPr>
          <w:lang w:val="nl-BE"/>
        </w:rPr>
        <w:t>de begrippen die aan de basis van deze tendens liggen: neutraliteit, godsdienst en de onderneming.</w:t>
      </w:r>
    </w:p>
    <w:p w14:paraId="5FD71EAC" w14:textId="5160F588" w:rsidR="005A16F0" w:rsidRPr="005A16F0" w:rsidRDefault="005A16F0" w:rsidP="005A16F0">
      <w:pPr>
        <w:rPr>
          <w:lang w:val="nl-BE"/>
        </w:rPr>
      </w:pPr>
      <w:r w:rsidRPr="005A16F0">
        <w:rPr>
          <w:lang w:val="nl-BE"/>
        </w:rPr>
        <w:t>Het tweede deel bestaat uit een voorgestelde categorisering van neutrale bedrijven, rekening houdend met de afwisselend interne of externe, en instrumentele of ideologische dimensies van het gebruik van religieuze neutraliteit. Wij tonen aan dat elk model van de neutrale onderneming een specifiek antwoord biedt op de legitimiteit en evenredigheid van beperkingen op basis van neutraliteit, vanuit het oogpunt van het Europees recht inzake godsdienstvrijheid en non-discriminatie</w:t>
      </w:r>
      <w:r w:rsidR="00696816">
        <w:rPr>
          <w:lang w:val="nl-BE"/>
        </w:rPr>
        <w:t>.</w:t>
      </w:r>
    </w:p>
    <w:p w14:paraId="4749D476" w14:textId="77777777" w:rsidR="005559D6" w:rsidRPr="00FF61EE" w:rsidRDefault="005559D6" w:rsidP="005559D6">
      <w:pPr>
        <w:rPr>
          <w:rFonts w:eastAsiaTheme="majorEastAsia" w:cstheme="majorBidi"/>
          <w:szCs w:val="32"/>
          <w:lang w:val="nl-BE"/>
        </w:rPr>
      </w:pPr>
      <w:r w:rsidRPr="00FF61EE">
        <w:rPr>
          <w:lang w:val="nl-BE"/>
        </w:rPr>
        <w:br w:type="page"/>
      </w:r>
    </w:p>
    <w:p w14:paraId="7180D85F" w14:textId="4E967298" w:rsidR="00436706" w:rsidRDefault="00436706" w:rsidP="00533A85">
      <w:pPr>
        <w:pStyle w:val="Titre1"/>
        <w:numPr>
          <w:ilvl w:val="0"/>
          <w:numId w:val="0"/>
        </w:numPr>
      </w:pPr>
      <w:r>
        <w:lastRenderedPageBreak/>
        <w:t>Introduction</w:t>
      </w:r>
      <w:r w:rsidR="00715CDC">
        <w:rPr>
          <w:rStyle w:val="Appelnotedebasdep"/>
        </w:rPr>
        <w:footnoteReference w:id="2"/>
      </w:r>
    </w:p>
    <w:p w14:paraId="58777540" w14:textId="7497BD8D" w:rsidR="004901DA" w:rsidRDefault="000139EB" w:rsidP="00960BD9">
      <w:pPr>
        <w:pStyle w:val="Paragraphedeliste"/>
      </w:pPr>
      <w:r>
        <w:t>L</w:t>
      </w:r>
      <w:r w:rsidR="004901DA" w:rsidRPr="004901DA">
        <w:t xml:space="preserve">a </w:t>
      </w:r>
      <w:r w:rsidR="004901DA" w:rsidRPr="002B750E">
        <w:t>question</w:t>
      </w:r>
      <w:r w:rsidR="004901DA" w:rsidRPr="004901DA">
        <w:t xml:space="preserve"> de l’expression des convictions sur le lieu de travail </w:t>
      </w:r>
      <w:r w:rsidR="00D914D5">
        <w:t xml:space="preserve">est de plus en plus présente et sensible ces dernières années en Europe, </w:t>
      </w:r>
      <w:r w:rsidR="004901DA" w:rsidRPr="004901DA">
        <w:t xml:space="preserve">tant sur le terrain des entreprises que dans </w:t>
      </w:r>
      <w:r w:rsidR="00CE14E2">
        <w:t>ses</w:t>
      </w:r>
      <w:r w:rsidR="00CE14E2" w:rsidRPr="004901DA">
        <w:t xml:space="preserve"> </w:t>
      </w:r>
      <w:r w:rsidR="004901DA" w:rsidRPr="004901DA">
        <w:t xml:space="preserve">répercussions </w:t>
      </w:r>
      <w:r w:rsidR="00CE14E2">
        <w:t>jurisprudentielles</w:t>
      </w:r>
      <w:r w:rsidR="00CE14E2" w:rsidRPr="004901DA">
        <w:t xml:space="preserve"> </w:t>
      </w:r>
      <w:r w:rsidR="004901DA" w:rsidRPr="004901DA">
        <w:t>et médiatiques.</w:t>
      </w:r>
    </w:p>
    <w:p w14:paraId="1501EB92" w14:textId="6434AE95" w:rsidR="00195926" w:rsidRDefault="00195926" w:rsidP="00960BD9">
      <w:pPr>
        <w:pStyle w:val="Paragraphedeliste"/>
      </w:pPr>
      <w:r>
        <w:t>En</w:t>
      </w:r>
      <w:r w:rsidR="00B45C59" w:rsidRPr="00B45C59">
        <w:t xml:space="preserve"> droit positif, </w:t>
      </w:r>
      <w:r>
        <w:t>cette</w:t>
      </w:r>
      <w:r w:rsidRPr="00B45C59">
        <w:t xml:space="preserve"> </w:t>
      </w:r>
      <w:r w:rsidR="009458ED">
        <w:t>problématique</w:t>
      </w:r>
      <w:r w:rsidR="00B45C59" w:rsidRPr="00B45C59">
        <w:t xml:space="preserve"> s’inscrit avant tout dans un cadre de référence européen.</w:t>
      </w:r>
    </w:p>
    <w:p w14:paraId="0563165C" w14:textId="71039401" w:rsidR="00B45C59" w:rsidRPr="00B45C59" w:rsidRDefault="00195926" w:rsidP="008D517D">
      <w:r>
        <w:t>L</w:t>
      </w:r>
      <w:r w:rsidR="00B45C59" w:rsidRPr="00B45C59">
        <w:t xml:space="preserve">e droit de </w:t>
      </w:r>
      <w:r w:rsidR="001F546E" w:rsidRPr="001F546E">
        <w:t>l’Union européenne (UE)</w:t>
      </w:r>
      <w:r w:rsidR="00B45C59" w:rsidRPr="00B45C59">
        <w:t xml:space="preserve">, principalement la </w:t>
      </w:r>
      <w:r w:rsidR="00AD2CE9">
        <w:t>d</w:t>
      </w:r>
      <w:r w:rsidR="00B45C59" w:rsidRPr="00B45C59">
        <w:t>irective 2000/78</w:t>
      </w:r>
      <w:r w:rsidR="00B0746E">
        <w:t>/CE</w:t>
      </w:r>
      <w:r w:rsidR="00B45C59" w:rsidRPr="00B45C59">
        <w:t xml:space="preserve"> pour l’égalité en matière d’emploi, interprété</w:t>
      </w:r>
      <w:r>
        <w:t>e</w:t>
      </w:r>
      <w:r w:rsidR="00B45C59" w:rsidRPr="00B45C59">
        <w:t xml:space="preserve"> prioritairement par la Cour de justice de l’UE (CJUE), </w:t>
      </w:r>
      <w:r>
        <w:t xml:space="preserve">interdit </w:t>
      </w:r>
      <w:r w:rsidR="00B45C59" w:rsidRPr="00B45C59">
        <w:t>la discrimination – directe ou indirecte – pour motif religieux dans l’accès à l’emploi et les conditions de travail, dans le secteur public et privé.</w:t>
      </w:r>
    </w:p>
    <w:p w14:paraId="455D6EE9" w14:textId="0CFEBB59" w:rsidR="00B45C59" w:rsidRPr="00B45C59" w:rsidRDefault="00195926" w:rsidP="00B45C59">
      <w:r>
        <w:t>La</w:t>
      </w:r>
      <w:r w:rsidR="00B45C59" w:rsidRPr="00B45C59">
        <w:t xml:space="preserve"> jurisprudence </w:t>
      </w:r>
      <w:r>
        <w:t>de</w:t>
      </w:r>
      <w:r w:rsidR="00B45C59" w:rsidRPr="00B45C59">
        <w:t xml:space="preserve"> la Cour européenne des droits de l’homme (CourEDH)</w:t>
      </w:r>
      <w:r w:rsidR="003B4A9A">
        <w:t>, interprétant les articles 9 et 14 de</w:t>
      </w:r>
      <w:r w:rsidR="00B45C59" w:rsidRPr="00B45C59">
        <w:t xml:space="preserve"> la </w:t>
      </w:r>
      <w:r w:rsidR="001F546E">
        <w:t>Convention européenne des droits de l’homme (CEDH)</w:t>
      </w:r>
      <w:r w:rsidR="00B45C59" w:rsidRPr="00B45C59">
        <w:t xml:space="preserve">, </w:t>
      </w:r>
      <w:r w:rsidR="003B4A9A">
        <w:t>éclaire</w:t>
      </w:r>
      <w:r w:rsidR="00B45C59" w:rsidRPr="00B45C59">
        <w:t xml:space="preserve"> les droits </w:t>
      </w:r>
      <w:r w:rsidR="00106798">
        <w:t>nationaux</w:t>
      </w:r>
      <w:r w:rsidR="00B45C59" w:rsidRPr="00B45C59">
        <w:t xml:space="preserve"> sur l’interprétation des notions de liberté de religion et </w:t>
      </w:r>
      <w:r w:rsidR="00F802B4">
        <w:t>(</w:t>
      </w:r>
      <w:r w:rsidR="00B45C59" w:rsidRPr="00B45C59">
        <w:t>plus secondairement</w:t>
      </w:r>
      <w:r w:rsidR="00F802B4">
        <w:t>)</w:t>
      </w:r>
      <w:r w:rsidR="00B45C59" w:rsidRPr="00B45C59">
        <w:t xml:space="preserve"> de non-discrimination </w:t>
      </w:r>
      <w:r w:rsidR="00F802B4">
        <w:t>au</w:t>
      </w:r>
      <w:r w:rsidR="00B45C59" w:rsidRPr="00B45C59">
        <w:t xml:space="preserve"> travail.</w:t>
      </w:r>
    </w:p>
    <w:p w14:paraId="2C74AFEC" w14:textId="6CF15F09" w:rsidR="00B45C59" w:rsidRPr="00B45C59" w:rsidRDefault="00B45C59" w:rsidP="00B45C59">
      <w:r w:rsidRPr="00B45C59">
        <w:t>Le droit européen autorise</w:t>
      </w:r>
      <w:r w:rsidR="00FF7319">
        <w:t xml:space="preserve"> </w:t>
      </w:r>
      <w:r w:rsidRPr="00B45C59">
        <w:t>des restrictions à ces deux droits fondamentaux dans le cadre professionnel</w:t>
      </w:r>
      <w:r w:rsidR="00FF7319">
        <w:t>,</w:t>
      </w:r>
      <w:r w:rsidR="00FF7319" w:rsidRPr="00B45C59">
        <w:t xml:space="preserve"> sous certaines conditions</w:t>
      </w:r>
      <w:r w:rsidRPr="00B45C59">
        <w:t>.</w:t>
      </w:r>
    </w:p>
    <w:p w14:paraId="138DAAF5" w14:textId="417B0132" w:rsidR="00B45C59" w:rsidRPr="00B45C59" w:rsidRDefault="00B45C59" w:rsidP="00B45C59">
      <w:r w:rsidRPr="00B45C59">
        <w:t xml:space="preserve">Ce cadre européen est reconnu et appliqué – sans pour autant être précisé – dans les ordres juridiques </w:t>
      </w:r>
      <w:r w:rsidR="00084608">
        <w:t>internes</w:t>
      </w:r>
      <w:r w:rsidRPr="00B45C59">
        <w:t xml:space="preserve">, </w:t>
      </w:r>
      <w:r w:rsidR="00193B29">
        <w:t>parfois</w:t>
      </w:r>
      <w:r w:rsidR="00193B29" w:rsidRPr="00B45C59">
        <w:t xml:space="preserve"> </w:t>
      </w:r>
      <w:r w:rsidRPr="00B45C59">
        <w:t xml:space="preserve">au niveau législatif via certaines dispositions </w:t>
      </w:r>
      <w:r w:rsidR="00193B29">
        <w:t>en</w:t>
      </w:r>
      <w:r w:rsidR="00193B29" w:rsidRPr="00B45C59">
        <w:t xml:space="preserve"> </w:t>
      </w:r>
      <w:r w:rsidRPr="00B45C59">
        <w:t>droit du travail</w:t>
      </w:r>
      <w:r w:rsidRPr="00B45C59">
        <w:rPr>
          <w:vertAlign w:val="superscript"/>
        </w:rPr>
        <w:footnoteReference w:id="3"/>
      </w:r>
      <w:r w:rsidRPr="00B45C59">
        <w:t xml:space="preserve">, </w:t>
      </w:r>
      <w:r w:rsidR="00193B29">
        <w:t>plus souvent</w:t>
      </w:r>
      <w:r w:rsidR="00D47BC4">
        <w:t xml:space="preserve"> par la jurisprudence</w:t>
      </w:r>
      <w:r w:rsidRPr="00B45C59">
        <w:t>.</w:t>
      </w:r>
    </w:p>
    <w:p w14:paraId="05DCCC4B" w14:textId="12A66E8E" w:rsidR="00E32F8C" w:rsidRDefault="00A52784" w:rsidP="00D463ED">
      <w:r>
        <w:t>À cet égard, la</w:t>
      </w:r>
      <w:r w:rsidR="00B45C59" w:rsidRPr="00B45C59">
        <w:t xml:space="preserve"> jurisprudence de la CourEDH et</w:t>
      </w:r>
      <w:r w:rsidR="00667DE0">
        <w:t xml:space="preserve"> </w:t>
      </w:r>
      <w:r w:rsidR="00B45C59" w:rsidRPr="00B45C59">
        <w:t xml:space="preserve">de la CJUE, longtemps fort réduite, </w:t>
      </w:r>
      <w:r w:rsidR="00667DE0">
        <w:t>se développe sensiblement ces dernières années – spécialement celle de la CJUE</w:t>
      </w:r>
      <w:r w:rsidR="00E32F8C">
        <w:t>.</w:t>
      </w:r>
    </w:p>
    <w:p w14:paraId="58EED114" w14:textId="0E9F7E88" w:rsidR="00D463ED" w:rsidRDefault="00E32F8C" w:rsidP="00D463ED">
      <w:r>
        <w:t xml:space="preserve">Plus largement, </w:t>
      </w:r>
      <w:r w:rsidR="005D3E1D">
        <w:t xml:space="preserve">le contentieux, judiciaire ou non, </w:t>
      </w:r>
      <w:r w:rsidR="0041758F">
        <w:t>s’est</w:t>
      </w:r>
      <w:r w:rsidR="005D3E1D">
        <w:t xml:space="preserve"> développ</w:t>
      </w:r>
      <w:r w:rsidR="00683195">
        <w:t>é depuis vingt ans</w:t>
      </w:r>
      <w:r w:rsidR="0041758F" w:rsidRPr="00C115AF">
        <w:rPr>
          <w:rStyle w:val="Appelnotedebasdep"/>
        </w:rPr>
        <w:footnoteReference w:id="4"/>
      </w:r>
      <w:r w:rsidR="00A927D0">
        <w:t xml:space="preserve">, </w:t>
      </w:r>
      <w:r w:rsidR="00D463ED">
        <w:t>tant au niveau européen</w:t>
      </w:r>
      <w:r w:rsidR="00D463ED">
        <w:rPr>
          <w:rStyle w:val="Appelnotedebasdep"/>
        </w:rPr>
        <w:footnoteReference w:id="5"/>
      </w:r>
      <w:r w:rsidR="00D463ED">
        <w:t xml:space="preserve"> </w:t>
      </w:r>
      <w:r w:rsidR="00A927D0">
        <w:t>qu’en Belgique</w:t>
      </w:r>
      <w:r w:rsidR="00D463ED">
        <w:rPr>
          <w:rStyle w:val="Appelnotedebasdep"/>
        </w:rPr>
        <w:footnoteReference w:id="6"/>
      </w:r>
      <w:r w:rsidR="00D463ED">
        <w:t xml:space="preserve"> et </w:t>
      </w:r>
      <w:r w:rsidR="00A927D0">
        <w:t>en France</w:t>
      </w:r>
      <w:r w:rsidR="00D463ED">
        <w:rPr>
          <w:rStyle w:val="Appelnotedebasdep"/>
        </w:rPr>
        <w:footnoteReference w:id="7"/>
      </w:r>
      <w:r w:rsidR="00D463ED" w:rsidRPr="00C115AF">
        <w:t>.</w:t>
      </w:r>
      <w:r w:rsidR="00D463ED">
        <w:t xml:space="preserve"> </w:t>
      </w:r>
    </w:p>
    <w:p w14:paraId="5CD7D217" w14:textId="2504FB98" w:rsidR="00D463ED" w:rsidRDefault="00A820DD" w:rsidP="00960BD9">
      <w:pPr>
        <w:pStyle w:val="Paragraphedeliste"/>
      </w:pPr>
      <w:r>
        <w:t xml:space="preserve">Nous retiendrons </w:t>
      </w:r>
      <w:r w:rsidR="00D463ED">
        <w:t xml:space="preserve">deux tendances </w:t>
      </w:r>
      <w:r w:rsidR="00410794">
        <w:t xml:space="preserve">à </w:t>
      </w:r>
      <w:r>
        <w:t>l’origine de cette évolution</w:t>
      </w:r>
      <w:r w:rsidR="00D463ED">
        <w:rPr>
          <w:rStyle w:val="Appelnotedebasdep"/>
        </w:rPr>
        <w:footnoteReference w:id="8"/>
      </w:r>
      <w:r w:rsidR="004515D7">
        <w:t>.</w:t>
      </w:r>
      <w:r w:rsidR="00D463ED">
        <w:t xml:space="preserve"> </w:t>
      </w:r>
      <w:r w:rsidR="00410794">
        <w:t>La première est</w:t>
      </w:r>
      <w:r w:rsidR="00D463ED">
        <w:t xml:space="preserve"> la montée en puissance des expressions ou demandes à caractère religieux de citoyens de confession musulmane, </w:t>
      </w:r>
      <w:r w:rsidR="00D463ED">
        <w:lastRenderedPageBreak/>
        <w:t>dans l’entreprise et ailleurs, à la faveur notamment des vagues de migration des dernières décennies</w:t>
      </w:r>
      <w:r w:rsidR="00D463ED">
        <w:rPr>
          <w:rStyle w:val="Appelnotedebasdep"/>
        </w:rPr>
        <w:footnoteReference w:id="9"/>
      </w:r>
      <w:r w:rsidR="00D463ED">
        <w:t>, dont le port du foulard constitue l’illustration emblématique et récurrente. Cette visibilité</w:t>
      </w:r>
      <w:r w:rsidR="00D463ED">
        <w:fldChar w:fldCharType="begin"/>
      </w:r>
      <w:r w:rsidR="00D463ED">
        <w:instrText xml:space="preserve"> XE "</w:instrText>
      </w:r>
      <w:r w:rsidR="00D463ED">
        <w:rPr>
          <w:rFonts w:eastAsia="Times New Roman" w:cs="Calibri"/>
          <w:color w:val="000000"/>
          <w:lang w:eastAsia="fr-BE"/>
        </w:rPr>
        <w:instrText>Visibilité"</w:instrText>
      </w:r>
      <w:r w:rsidR="00D463ED">
        <w:instrText xml:space="preserve"> </w:instrText>
      </w:r>
      <w:r w:rsidR="00D463ED">
        <w:fldChar w:fldCharType="end"/>
      </w:r>
      <w:r w:rsidR="00D463ED">
        <w:t xml:space="preserve"> accrue de la religion islamique s’inscrit, du reste, dans un mouvement plus large de diversification – et, simultanément, de sécularisation – du paysage convictionnel des sociétés belge et française. </w:t>
      </w:r>
      <w:r w:rsidR="003615BC">
        <w:t>En</w:t>
      </w:r>
      <w:r w:rsidR="00D463ED">
        <w:t xml:space="preserve"> même temps, l’on note une subjectivisation de la croyance, désormais moins liée à des religions institutionnelles – et, le cas échéant, </w:t>
      </w:r>
      <w:r w:rsidR="00542AE5">
        <w:t>« </w:t>
      </w:r>
      <w:proofErr w:type="spellStart"/>
      <w:r w:rsidR="00D463ED" w:rsidRPr="00542AE5">
        <w:t>pilarisées</w:t>
      </w:r>
      <w:proofErr w:type="spellEnd"/>
      <w:r w:rsidR="00542AE5">
        <w:t> »</w:t>
      </w:r>
      <w:r w:rsidR="00D463ED">
        <w:t xml:space="preserve"> – qu’à une spiritualité individuelle</w:t>
      </w:r>
      <w:r w:rsidR="00D463ED">
        <w:rPr>
          <w:rStyle w:val="Appelnotedebasdep"/>
        </w:rPr>
        <w:footnoteReference w:id="10"/>
      </w:r>
      <w:r w:rsidR="00B548A0">
        <w:t>.</w:t>
      </w:r>
    </w:p>
    <w:p w14:paraId="5EA3B6C9" w14:textId="28C24492" w:rsidR="00D463ED" w:rsidRDefault="00D463ED" w:rsidP="00D463ED">
      <w:r>
        <w:t xml:space="preserve">En deuxième lieu, ce mouvement de subjectivisation fait écho à la « personnalisation » de la relation de travail, celle-ci requérant que soit prise en compte, au sein de l’entreprise, l’identité individuelle du travailleur – </w:t>
      </w:r>
      <w:r w:rsidR="00600BFB">
        <w:t>y</w:t>
      </w:r>
      <w:r>
        <w:t xml:space="preserve"> compris ses éventuelles convictions religieuses. Conjuguée à l’importance fondamentale reconnue respectivement à l’entreprise</w:t>
      </w:r>
      <w:r>
        <w:rPr>
          <w:rStyle w:val="Appelnotedebasdep"/>
        </w:rPr>
        <w:footnoteReference w:id="11"/>
      </w:r>
      <w:r>
        <w:t>, en tant qu’acteur sociétal, et au travail, en tant que moyen d’intégration sociétale et d’accomplissement personnel, cette personnalisation conduit à l’apparition récurrente de « frottements »</w:t>
      </w:r>
      <w:r>
        <w:rPr>
          <w:rStyle w:val="Appelnotedebasdep"/>
        </w:rPr>
        <w:footnoteReference w:id="12"/>
      </w:r>
      <w:r>
        <w:t xml:space="preserve"> entre le monde </w:t>
      </w:r>
      <w:r w:rsidRPr="008D517D">
        <w:t>a priori</w:t>
      </w:r>
      <w:r w:rsidRPr="00972B7E">
        <w:t xml:space="preserve"> </w:t>
      </w:r>
      <w:r>
        <w:t>profane de l’entreprise et la sphère convictionnelle du travailleur.</w:t>
      </w:r>
    </w:p>
    <w:p w14:paraId="79DA07D1" w14:textId="4A360924" w:rsidR="004901DA" w:rsidRDefault="004901DA" w:rsidP="00960BD9">
      <w:pPr>
        <w:pStyle w:val="Paragraphedeliste"/>
      </w:pPr>
      <w:r w:rsidRPr="004901DA">
        <w:t xml:space="preserve">Cette présence renouvelée de la religion dans l’entreprise a récemment </w:t>
      </w:r>
      <w:r w:rsidR="00515675">
        <w:t>conduit</w:t>
      </w:r>
      <w:r w:rsidR="00515675" w:rsidRPr="004901DA">
        <w:t xml:space="preserve"> </w:t>
      </w:r>
      <w:r w:rsidRPr="004901DA">
        <w:t xml:space="preserve">certains employeurs, en Belgique et en France, à </w:t>
      </w:r>
      <w:r w:rsidR="00515675">
        <w:t xml:space="preserve">adopter </w:t>
      </w:r>
      <w:r w:rsidRPr="004901DA">
        <w:t xml:space="preserve">une politique générale et explicite de </w:t>
      </w:r>
      <w:r w:rsidRPr="008D517D">
        <w:rPr>
          <w:iCs/>
        </w:rPr>
        <w:t>neutralité</w:t>
      </w:r>
      <w:r w:rsidRPr="004901DA">
        <w:t xml:space="preserve">, dans l’objectif de </w:t>
      </w:r>
      <w:r w:rsidRPr="008D517D">
        <w:t>restreindre</w:t>
      </w:r>
      <w:r w:rsidRPr="004901DA">
        <w:t xml:space="preserve"> l’expression religieuse des employés sur le lieu de travail.</w:t>
      </w:r>
      <w:r w:rsidR="00867F90" w:rsidRPr="00867F90">
        <w:rPr>
          <w:color w:val="7F7F7F" w:themeColor="text1" w:themeTint="80"/>
        </w:rPr>
        <w:t xml:space="preserve"> </w:t>
      </w:r>
      <w:r w:rsidR="00867F90">
        <w:t>La</w:t>
      </w:r>
      <w:r w:rsidR="00867F90" w:rsidRPr="00867F90">
        <w:t xml:space="preserve"> mise en place d’une </w:t>
      </w:r>
      <w:r w:rsidR="00867F90">
        <w:t xml:space="preserve">telle </w:t>
      </w:r>
      <w:r w:rsidR="00867F90" w:rsidRPr="00867F90">
        <w:t xml:space="preserve">politique </w:t>
      </w:r>
      <w:r w:rsidR="00867F90">
        <w:t>anticipative</w:t>
      </w:r>
      <w:r w:rsidR="00867F90" w:rsidRPr="00867F90">
        <w:t xml:space="preserve"> </w:t>
      </w:r>
      <w:r w:rsidR="00867F90">
        <w:t>de neutralité apparaît comme une réponse à l’</w:t>
      </w:r>
      <w:r w:rsidR="00867F90" w:rsidRPr="00867F90">
        <w:t>insécurité juridique</w:t>
      </w:r>
      <w:r w:rsidR="006A16EB">
        <w:t xml:space="preserve"> résultant des</w:t>
      </w:r>
      <w:r w:rsidR="00867F90">
        <w:t xml:space="preserve"> deux tendances mentionnées plus haut, conjuguée</w:t>
      </w:r>
      <w:r w:rsidR="006A16EB">
        <w:t>s à l’appréciation</w:t>
      </w:r>
      <w:r w:rsidR="00867F90">
        <w:t xml:space="preserve"> casuistique des cours et tribunaux.</w:t>
      </w:r>
    </w:p>
    <w:p w14:paraId="0CA21DB3" w14:textId="7DA22DDA" w:rsidR="00FF5D4A" w:rsidRPr="00FF5D4A" w:rsidRDefault="00FF5D4A" w:rsidP="00FF5D4A">
      <w:r>
        <w:t xml:space="preserve">Différentes </w:t>
      </w:r>
      <w:r w:rsidRPr="008D517D">
        <w:t>affaires</w:t>
      </w:r>
      <w:r w:rsidRPr="007411A9">
        <w:rPr>
          <w:rStyle w:val="Appelnotedebasdep"/>
        </w:rPr>
        <w:footnoteReference w:id="13"/>
      </w:r>
      <w:r w:rsidRPr="007411A9">
        <w:t>,</w:t>
      </w:r>
      <w:r>
        <w:t xml:space="preserve"> belges et françaises</w:t>
      </w:r>
      <w:r w:rsidR="00974DDC">
        <w:t xml:space="preserve"> dans leur grande majorité</w:t>
      </w:r>
      <w:r>
        <w:t>,</w:t>
      </w:r>
      <w:r w:rsidR="00F4323B">
        <w:t xml:space="preserve"> </w:t>
      </w:r>
      <w:r w:rsidR="00515675">
        <w:t>sont</w:t>
      </w:r>
      <w:r>
        <w:t xml:space="preserve"> emblématiques de c</w:t>
      </w:r>
      <w:r w:rsidR="006A16EB">
        <w:t>e phénomène</w:t>
      </w:r>
      <w:r>
        <w:t xml:space="preserve">. </w:t>
      </w:r>
      <w:r w:rsidR="00515675">
        <w:t>Elles ont toutes pour origine le</w:t>
      </w:r>
      <w:r w:rsidR="00F4323B">
        <w:t xml:space="preserve"> licenciement d’une employée en raison du port du foulard islamique, jugé contraire à la politique de neutralité de l’entreprise. </w:t>
      </w:r>
      <w:r w:rsidR="00EA628F">
        <w:t>L’affaire</w:t>
      </w:r>
      <w:r>
        <w:t xml:space="preserve"> française </w:t>
      </w:r>
      <w:r>
        <w:rPr>
          <w:i/>
          <w:iCs/>
        </w:rPr>
        <w:t>Baby Loup</w:t>
      </w:r>
      <w:r w:rsidR="00397A2C">
        <w:t xml:space="preserve"> concerne le licenciement d’une emp</w:t>
      </w:r>
      <w:r w:rsidR="008407E5">
        <w:t>loyée de cr</w:t>
      </w:r>
      <w:r w:rsidR="00C75A2B">
        <w:t>èche</w:t>
      </w:r>
      <w:r>
        <w:t>, en décembre 2008, fondé sur l’incompatibilité du port du foulard islamique par la travailleuse avec les règles de neutralité et de laïcité inscrites dans le règlement intérieur</w:t>
      </w:r>
      <w:r>
        <w:rPr>
          <w:rStyle w:val="Appelnotedebasdep"/>
        </w:rPr>
        <w:footnoteReference w:id="14"/>
      </w:r>
      <w:r>
        <w:t xml:space="preserve">. </w:t>
      </w:r>
      <w:r w:rsidR="002550C0">
        <w:t>En Belgique</w:t>
      </w:r>
      <w:r>
        <w:t xml:space="preserve">, </w:t>
      </w:r>
      <w:r w:rsidR="00F4323B">
        <w:t>l’on évoquera en particulier</w:t>
      </w:r>
      <w:r>
        <w:t xml:space="preserve"> les </w:t>
      </w:r>
      <w:r w:rsidR="00F4323B">
        <w:t>décisions rendues au sujet</w:t>
      </w:r>
      <w:r>
        <w:t xml:space="preserve"> de la librairie </w:t>
      </w:r>
      <w:r>
        <w:rPr>
          <w:i/>
          <w:iCs/>
        </w:rPr>
        <w:t>Club</w:t>
      </w:r>
      <w:r w:rsidRPr="00256D2F">
        <w:fldChar w:fldCharType="begin"/>
      </w:r>
      <w:r w:rsidRPr="00256D2F">
        <w:instrText xml:space="preserve"> XE "</w:instrText>
      </w:r>
      <w:r w:rsidRPr="00256D2F">
        <w:rPr>
          <w:rFonts w:eastAsia="Times New Roman" w:cs="Calibri"/>
          <w:color w:val="000000"/>
          <w:lang w:eastAsia="fr-BE"/>
        </w:rPr>
        <w:instrText>Club (affaire)"</w:instrText>
      </w:r>
      <w:r w:rsidRPr="00256D2F">
        <w:instrText xml:space="preserve"> </w:instrText>
      </w:r>
      <w:r w:rsidRPr="00256D2F">
        <w:fldChar w:fldCharType="end"/>
      </w:r>
      <w:r w:rsidRPr="00256D2F">
        <w:rPr>
          <w:rStyle w:val="Appelnotedebasdep"/>
        </w:rPr>
        <w:footnoteReference w:id="15"/>
      </w:r>
      <w:r>
        <w:t xml:space="preserve">et de la chaîne de magasins </w:t>
      </w:r>
      <w:proofErr w:type="spellStart"/>
      <w:r>
        <w:rPr>
          <w:i/>
          <w:iCs/>
        </w:rPr>
        <w:t>Hema</w:t>
      </w:r>
      <w:proofErr w:type="spellEnd"/>
      <w:r w:rsidRPr="00256D2F">
        <w:fldChar w:fldCharType="begin"/>
      </w:r>
      <w:r w:rsidRPr="00256D2F">
        <w:instrText xml:space="preserve"> XE "</w:instrText>
      </w:r>
      <w:r w:rsidRPr="00256D2F">
        <w:rPr>
          <w:rFonts w:eastAsia="Times New Roman" w:cs="Calibri"/>
          <w:color w:val="000000"/>
          <w:lang w:eastAsia="fr-BE"/>
        </w:rPr>
        <w:instrText>Hema (affaire)"</w:instrText>
      </w:r>
      <w:r w:rsidRPr="00256D2F">
        <w:instrText xml:space="preserve"> </w:instrText>
      </w:r>
      <w:r w:rsidRPr="00256D2F">
        <w:fldChar w:fldCharType="end"/>
      </w:r>
      <w:r w:rsidRPr="00256D2F">
        <w:rPr>
          <w:rStyle w:val="Appelnotedebasdep"/>
        </w:rPr>
        <w:footnoteReference w:id="16"/>
      </w:r>
      <w:r w:rsidR="004515D7">
        <w:t>, mais aussi, dans le contexte</w:t>
      </w:r>
      <w:r w:rsidR="00B331B7">
        <w:t xml:space="preserve"> – distinct –</w:t>
      </w:r>
      <w:r w:rsidR="004515D7">
        <w:t xml:space="preserve"> des services publics, l’ordonnance relative à la </w:t>
      </w:r>
      <w:r w:rsidR="004515D7">
        <w:rPr>
          <w:i/>
          <w:iCs/>
        </w:rPr>
        <w:t>STIB</w:t>
      </w:r>
      <w:r w:rsidR="004515D7">
        <w:t xml:space="preserve">, </w:t>
      </w:r>
      <w:r w:rsidR="00B331B7">
        <w:t>organisme public bruxellois</w:t>
      </w:r>
      <w:r w:rsidR="004515D7">
        <w:t xml:space="preserve"> </w:t>
      </w:r>
      <w:r w:rsidR="00B331B7">
        <w:t>de transport public</w:t>
      </w:r>
      <w:r w:rsidR="00B331B7">
        <w:rPr>
          <w:rStyle w:val="Appelnotedebasdep"/>
        </w:rPr>
        <w:footnoteReference w:id="17"/>
      </w:r>
      <w:r w:rsidRPr="00256D2F">
        <w:t>.</w:t>
      </w:r>
      <w:r>
        <w:t xml:space="preserve"> </w:t>
      </w:r>
      <w:r>
        <w:lastRenderedPageBreak/>
        <w:t>Mentionnons enfin les affaires belg</w:t>
      </w:r>
      <w:r w:rsidR="002B46BC">
        <w:t xml:space="preserve">e et </w:t>
      </w:r>
      <w:r>
        <w:t>française</w:t>
      </w:r>
      <w:r w:rsidR="002B46BC">
        <w:t xml:space="preserve"> </w:t>
      </w:r>
      <w:proofErr w:type="spellStart"/>
      <w:r>
        <w:rPr>
          <w:i/>
        </w:rPr>
        <w:t>Achbita</w:t>
      </w:r>
      <w:proofErr w:type="spellEnd"/>
      <w:r w:rsidR="00C22228" w:rsidRPr="00C22228">
        <w:rPr>
          <w:rStyle w:val="Appelnotedebasdep"/>
        </w:rPr>
        <w:footnoteReference w:id="18"/>
      </w:r>
      <w:r>
        <w:rPr>
          <w:i/>
        </w:rPr>
        <w:t xml:space="preserve"> </w:t>
      </w:r>
      <w:r>
        <w:t xml:space="preserve">et </w:t>
      </w:r>
      <w:r>
        <w:rPr>
          <w:i/>
        </w:rPr>
        <w:t>Bougnaoui</w:t>
      </w:r>
      <w:r w:rsidR="00C22228" w:rsidRPr="00C22228">
        <w:rPr>
          <w:rStyle w:val="Appelnotedebasdep"/>
        </w:rPr>
        <w:footnoteReference w:id="19"/>
      </w:r>
      <w:r w:rsidRPr="00C22228">
        <w:t>,</w:t>
      </w:r>
      <w:r>
        <w:t xml:space="preserve"> ayant fait l’objet d’arrêts de la CJUE en mars 2017</w:t>
      </w:r>
      <w:r w:rsidR="00D75454">
        <w:t>. Ces derniers ont</w:t>
      </w:r>
      <w:r w:rsidR="00B85C10">
        <w:t>, depuis lors, été complétés</w:t>
      </w:r>
      <w:r>
        <w:t xml:space="preserve"> par </w:t>
      </w:r>
      <w:r w:rsidR="002B46BC">
        <w:t xml:space="preserve">les arrêts </w:t>
      </w:r>
      <w:r w:rsidR="002B46BC">
        <w:rPr>
          <w:i/>
        </w:rPr>
        <w:t>WABE</w:t>
      </w:r>
      <w:r w:rsidR="00193AD3" w:rsidRPr="00FF5D4A">
        <w:rPr>
          <w:rStyle w:val="Appelnotedebasdep"/>
        </w:rPr>
        <w:footnoteReference w:id="20"/>
      </w:r>
      <w:r w:rsidR="002B46BC">
        <w:rPr>
          <w:i/>
        </w:rPr>
        <w:t xml:space="preserve"> </w:t>
      </w:r>
      <w:r w:rsidR="002B46BC">
        <w:rPr>
          <w:iCs/>
        </w:rPr>
        <w:t xml:space="preserve">et </w:t>
      </w:r>
      <w:r w:rsidR="00394B67" w:rsidRPr="008D517D">
        <w:rPr>
          <w:i/>
        </w:rPr>
        <w:t>LF c. SCRL</w:t>
      </w:r>
      <w:r w:rsidR="00193AD3" w:rsidRPr="008D517D">
        <w:rPr>
          <w:rStyle w:val="Appelnotedebasdep"/>
          <w:iCs/>
        </w:rPr>
        <w:footnoteReference w:id="21"/>
      </w:r>
      <w:r w:rsidR="00394B67" w:rsidRPr="00193AD3">
        <w:rPr>
          <w:iCs/>
        </w:rPr>
        <w:t xml:space="preserve"> </w:t>
      </w:r>
      <w:r w:rsidR="00974DDC">
        <w:t xml:space="preserve">jugés </w:t>
      </w:r>
      <w:r>
        <w:t xml:space="preserve">par la même </w:t>
      </w:r>
      <w:r w:rsidR="00394B67">
        <w:t>c</w:t>
      </w:r>
      <w:r>
        <w:t xml:space="preserve">our </w:t>
      </w:r>
      <w:r w:rsidR="00F4323B">
        <w:t>en 2021</w:t>
      </w:r>
      <w:r w:rsidR="00394B67">
        <w:t xml:space="preserve"> et 2022</w:t>
      </w:r>
      <w:r w:rsidR="00E567A9">
        <w:t>, en réponse à des questions préjudicielles allemandes et belges</w:t>
      </w:r>
      <w:r w:rsidRPr="00FF5D4A">
        <w:t>.</w:t>
      </w:r>
    </w:p>
    <w:p w14:paraId="3C6AC886" w14:textId="6288AAA2" w:rsidR="004901DA" w:rsidRPr="004901DA" w:rsidRDefault="004901DA" w:rsidP="00AB17B5">
      <w:r w:rsidRPr="004901DA">
        <w:t xml:space="preserve">L’utilisation de la notion de neutralité </w:t>
      </w:r>
      <w:r w:rsidR="00D14BD2">
        <w:t>est</w:t>
      </w:r>
      <w:r w:rsidRPr="004901DA">
        <w:t xml:space="preserve"> relativement inédite dans le contexte de l’entreprise privée, celle-ci étant originellement </w:t>
      </w:r>
      <w:r w:rsidR="00BE19F5">
        <w:t>destinée</w:t>
      </w:r>
      <w:r w:rsidR="00BE19F5" w:rsidRPr="004901DA">
        <w:t xml:space="preserve"> </w:t>
      </w:r>
      <w:r w:rsidRPr="004901DA">
        <w:t xml:space="preserve">à la sphère de </w:t>
      </w:r>
      <w:r w:rsidR="00822DD4" w:rsidRPr="00822DD4">
        <w:t>l’État</w:t>
      </w:r>
      <w:r w:rsidRPr="004901DA">
        <w:t xml:space="preserve">, de l’administration et de ses fonctionnaires, en tant que corollaire du principe de laïcité. Sachant la difficulté avec laquelle est débattue la question du champ d’application de la neutralité dans le cadre de </w:t>
      </w:r>
      <w:r w:rsidR="00822DD4" w:rsidRPr="00822DD4">
        <w:t>l’État</w:t>
      </w:r>
      <w:r w:rsidRPr="004901DA">
        <w:t>, le sens spécifique à octroyer à cette neutralité privatisée semble tout aussi délicat, entre ouverture équitable à la diversité convictionnelle et censure générale du religieux.</w:t>
      </w:r>
    </w:p>
    <w:p w14:paraId="679B9039" w14:textId="01FF0018" w:rsidR="00FF5D4A" w:rsidRDefault="004901DA" w:rsidP="00AB17B5">
      <w:r w:rsidRPr="004901DA">
        <w:t>Dans la grande majorité des cas, c’est pourtant dans une démarche d’interdiction des signes et pratiques religieux de leurs employés que les employeurs font appel au vocable de neutralité. Seront ainsi exclues du lieu de travail diverses formes de manifestation religieuse, telles que, alternativement ou conjointement,</w:t>
      </w:r>
      <w:r w:rsidR="00E31118" w:rsidRPr="00E31118">
        <w:t xml:space="preserve"> </w:t>
      </w:r>
      <w:r w:rsidR="00E31118">
        <w:t>le port de signes vestimentaires ou corporels à caractère religieux, l’obtention d’un temps ou d’un lieu dédié à la pratique du culte – en particulier la prière</w:t>
      </w:r>
      <w:r w:rsidR="00E31118">
        <w:fldChar w:fldCharType="begin"/>
      </w:r>
      <w:r w:rsidR="00E31118">
        <w:instrText xml:space="preserve"> XE "</w:instrText>
      </w:r>
      <w:r w:rsidR="00E31118" w:rsidRPr="00821CE3">
        <w:rPr>
          <w:rFonts w:eastAsia="Times New Roman" w:cs="Calibri"/>
          <w:color w:val="000000"/>
          <w:lang w:eastAsia="fr-BE"/>
        </w:rPr>
        <w:instrText>Prière</w:instrText>
      </w:r>
      <w:r w:rsidR="00E31118">
        <w:rPr>
          <w:rFonts w:eastAsia="Times New Roman" w:cs="Calibri"/>
          <w:color w:val="000000"/>
          <w:lang w:eastAsia="fr-BE"/>
        </w:rPr>
        <w:instrText>"</w:instrText>
      </w:r>
      <w:r w:rsidR="00E31118">
        <w:instrText xml:space="preserve"> </w:instrText>
      </w:r>
      <w:r w:rsidR="00E31118">
        <w:fldChar w:fldCharType="end"/>
      </w:r>
      <w:r w:rsidR="00E31118">
        <w:t xml:space="preserve"> –, l’adaptation d’horaires</w:t>
      </w:r>
      <w:r w:rsidR="00E31118">
        <w:fldChar w:fldCharType="begin"/>
      </w:r>
      <w:r w:rsidR="00E31118">
        <w:instrText xml:space="preserve"> XE "</w:instrText>
      </w:r>
      <w:r w:rsidR="00E31118">
        <w:rPr>
          <w:rFonts w:eastAsia="Times New Roman" w:cs="Calibri"/>
          <w:color w:val="000000"/>
          <w:lang w:eastAsia="fr-BE"/>
        </w:rPr>
        <w:instrText>Horaires de travail"</w:instrText>
      </w:r>
      <w:r w:rsidR="00E31118">
        <w:instrText xml:space="preserve"> </w:instrText>
      </w:r>
      <w:r w:rsidR="00E31118">
        <w:fldChar w:fldCharType="end"/>
      </w:r>
      <w:r w:rsidR="00E31118">
        <w:t xml:space="preserve"> de travail ou la possibilité de prendre congé</w:t>
      </w:r>
      <w:r w:rsidR="00E31118">
        <w:fldChar w:fldCharType="begin"/>
      </w:r>
      <w:r w:rsidR="00E31118">
        <w:instrText xml:space="preserve"> XE "</w:instrText>
      </w:r>
      <w:r w:rsidR="00E31118" w:rsidRPr="00821CE3">
        <w:rPr>
          <w:rFonts w:eastAsia="Times New Roman" w:cs="Calibri"/>
          <w:color w:val="000000"/>
          <w:lang w:eastAsia="fr-BE"/>
        </w:rPr>
        <w:instrText>Congés</w:instrText>
      </w:r>
      <w:r w:rsidR="00E31118">
        <w:rPr>
          <w:rFonts w:eastAsia="Times New Roman" w:cs="Calibri"/>
          <w:color w:val="000000"/>
          <w:lang w:eastAsia="fr-BE"/>
        </w:rPr>
        <w:instrText>"</w:instrText>
      </w:r>
      <w:r w:rsidR="00E31118">
        <w:instrText xml:space="preserve"> </w:instrText>
      </w:r>
      <w:r w:rsidR="00E31118">
        <w:fldChar w:fldCharType="end"/>
      </w:r>
      <w:r w:rsidR="00E31118">
        <w:t xml:space="preserve"> afin de participer à un rite religieux, la prise en compte de prescrits religieux concernant l’alimentation ou le jeûne, </w:t>
      </w:r>
      <w:r w:rsidR="005505AF">
        <w:t>et</w:t>
      </w:r>
      <w:r w:rsidR="00E31118">
        <w:t xml:space="preserve"> le refus de certaines tâches jugées incompatibles avec les convictions du travailleur</w:t>
      </w:r>
      <w:r w:rsidR="00E31118">
        <w:rPr>
          <w:rStyle w:val="Appelnotedebasdep"/>
        </w:rPr>
        <w:footnoteReference w:id="22"/>
      </w:r>
      <w:r w:rsidR="00E31118">
        <w:t>.</w:t>
      </w:r>
    </w:p>
    <w:p w14:paraId="328FC7D2" w14:textId="2D20747E" w:rsidR="00A149AB" w:rsidRDefault="00FA6ABC" w:rsidP="00960BD9">
      <w:pPr>
        <w:pStyle w:val="Paragraphedeliste"/>
      </w:pPr>
      <w:r>
        <w:t>En droit</w:t>
      </w:r>
      <w:r w:rsidR="004901DA" w:rsidRPr="004901DA">
        <w:t xml:space="preserve">, </w:t>
      </w:r>
      <w:r>
        <w:t>la neutralité de l’entreprise</w:t>
      </w:r>
      <w:r w:rsidR="004901DA" w:rsidRPr="004901DA">
        <w:t xml:space="preserve"> </w:t>
      </w:r>
      <w:r w:rsidR="00B458AE">
        <w:t xml:space="preserve">comme </w:t>
      </w:r>
      <w:r w:rsidR="004901DA" w:rsidRPr="004901DA">
        <w:t xml:space="preserve">modèle de gestion du fait religieux sur le lieu de travail </w:t>
      </w:r>
      <w:r w:rsidR="00DB71DB">
        <w:t>entre potentiellement en tension avec le</w:t>
      </w:r>
      <w:r w:rsidR="004901DA" w:rsidRPr="004901DA">
        <w:t xml:space="preserve"> respect des droits individuels du travailleur. En particulier, l’application générale et indifférenciée d’une neutralité religieuse conçue comme barrière à toute manifestation religieuse sur le lieu de travail </w:t>
      </w:r>
      <w:r w:rsidR="00AF1172">
        <w:t>p</w:t>
      </w:r>
      <w:r w:rsidR="00DB71DB">
        <w:t>ose la question</w:t>
      </w:r>
      <w:r w:rsidR="004901DA" w:rsidRPr="004901DA">
        <w:t xml:space="preserve"> de sa compatibilité avec les droits européens et nationaux de la non-discrimination et de la liberté de religion, dont l’application et l’interprétation s</w:t>
      </w:r>
      <w:r w:rsidR="00923DAA">
        <w:t>’opèrent généralement</w:t>
      </w:r>
      <w:r w:rsidR="004901DA" w:rsidRPr="004901DA">
        <w:t xml:space="preserve"> au cas par cas. Dans leur appréciation de la légitimité et de la proportionnalité des restrictions à la liberté religieuse ou à la non-discrimination, les juridictions européennes, françaises et belges requièrent en effet habituellement une justification casuistique, ce qui met potentiellement en difficulté la validité d’une restriction générale de ces droits.</w:t>
      </w:r>
    </w:p>
    <w:p w14:paraId="5CC805FE" w14:textId="77777777" w:rsidR="004901DA" w:rsidRPr="004901DA" w:rsidRDefault="004901DA" w:rsidP="00AB17B5">
      <w:r w:rsidRPr="004901DA">
        <w:t>Comment, dans ces conditions, articuler de manière efficace et valide les droits individuels du travailleur avec l’intérêt de l’entreprise et de son employeur ?</w:t>
      </w:r>
    </w:p>
    <w:p w14:paraId="009ABE43" w14:textId="5121D532" w:rsidR="004901DA" w:rsidRDefault="004901DA" w:rsidP="00AB17B5">
      <w:r w:rsidRPr="004901DA">
        <w:t xml:space="preserve">En réalité, le sens et la légitimité donnés à l’idée d’entreprise neutre dépendent </w:t>
      </w:r>
      <w:r w:rsidR="00365C3F">
        <w:t>fondamentalement</w:t>
      </w:r>
      <w:r w:rsidRPr="004901DA">
        <w:t xml:space="preserve"> du type d’objectif poursuivi par l’employeur dans son invocation de la neutralité. En effet, selon la portée </w:t>
      </w:r>
      <w:r w:rsidRPr="004901DA">
        <w:lastRenderedPageBreak/>
        <w:t xml:space="preserve">et la finalité que l’employeur lui </w:t>
      </w:r>
      <w:r w:rsidR="00583958">
        <w:t>donne</w:t>
      </w:r>
      <w:r w:rsidRPr="004901DA">
        <w:t>, la politique de neutralité religieuse verra sa compatibilité avec le principe de non-discrimination et la liberté religieuse varier sensiblement.</w:t>
      </w:r>
    </w:p>
    <w:p w14:paraId="6DE5C5EB" w14:textId="2E3A38C2" w:rsidR="0084036D" w:rsidRDefault="00C14614" w:rsidP="00960BD9">
      <w:pPr>
        <w:pStyle w:val="Paragraphedeliste"/>
      </w:pPr>
      <w:r>
        <w:t>C</w:t>
      </w:r>
      <w:r w:rsidR="003D4BA7">
        <w:t>et article</w:t>
      </w:r>
      <w:r>
        <w:t xml:space="preserve"> propose d</w:t>
      </w:r>
      <w:r w:rsidR="00C2374A">
        <w:t xml:space="preserve">e classer les entreprises invoquant la neutralité en quatre types, </w:t>
      </w:r>
      <w:r w:rsidR="001008EF">
        <w:t>selon</w:t>
      </w:r>
      <w:r w:rsidR="00B64C31">
        <w:t xml:space="preserve"> deux critères</w:t>
      </w:r>
      <w:r w:rsidR="005F684C">
        <w:t xml:space="preserve"> liés</w:t>
      </w:r>
      <w:r w:rsidR="003A1396">
        <w:t xml:space="preserve"> aux objectifs poursuivis par </w:t>
      </w:r>
      <w:r w:rsidR="00C2374A">
        <w:t>l’employeur</w:t>
      </w:r>
      <w:r w:rsidR="003A1396">
        <w:t>.</w:t>
      </w:r>
    </w:p>
    <w:p w14:paraId="673AF445" w14:textId="4B34C831" w:rsidR="00EE101A" w:rsidRDefault="00A031DE" w:rsidP="00EE101A">
      <w:r w:rsidRPr="00CA3E7C">
        <w:t xml:space="preserve">Avant d’envisager plus abondamment ces quatre figures de </w:t>
      </w:r>
      <w:r w:rsidR="0084036D" w:rsidRPr="00CA3E7C">
        <w:t xml:space="preserve">l’entreprise neutre, </w:t>
      </w:r>
      <w:r w:rsidR="009675C5" w:rsidRPr="00CA3E7C">
        <w:t xml:space="preserve">nous </w:t>
      </w:r>
      <w:r w:rsidR="000B0C3A">
        <w:t>nous pencherons</w:t>
      </w:r>
      <w:r w:rsidR="00951F5E">
        <w:t xml:space="preserve"> d’abord</w:t>
      </w:r>
      <w:r w:rsidR="00710780" w:rsidRPr="00CA3E7C">
        <w:t xml:space="preserve"> sur </w:t>
      </w:r>
      <w:r w:rsidR="0084036D" w:rsidRPr="00CA3E7C">
        <w:t>les</w:t>
      </w:r>
      <w:r w:rsidR="00EE101A">
        <w:t xml:space="preserve"> trois</w:t>
      </w:r>
      <w:r w:rsidR="0084036D" w:rsidRPr="00CA3E7C">
        <w:t xml:space="preserve"> notions </w:t>
      </w:r>
      <w:r w:rsidR="00951F5E">
        <w:t>centrales de</w:t>
      </w:r>
      <w:r w:rsidR="0084036D" w:rsidRPr="00CA3E7C">
        <w:t xml:space="preserve"> neutralité</w:t>
      </w:r>
      <w:r w:rsidR="00710780" w:rsidRPr="00CA3E7C">
        <w:t xml:space="preserve">, </w:t>
      </w:r>
      <w:r w:rsidR="0084036D" w:rsidRPr="00CA3E7C">
        <w:t>religio</w:t>
      </w:r>
      <w:r w:rsidR="00710780" w:rsidRPr="00CA3E7C">
        <w:t>n</w:t>
      </w:r>
      <w:r w:rsidR="00CA3E7C">
        <w:t xml:space="preserve"> et </w:t>
      </w:r>
      <w:r w:rsidR="0084036D" w:rsidRPr="00CA3E7C">
        <w:t>entreprise</w:t>
      </w:r>
      <w:r w:rsidR="001A6F81">
        <w:t>, et les</w:t>
      </w:r>
      <w:r w:rsidR="00710780" w:rsidRPr="00CA3E7C">
        <w:t xml:space="preserve"> incertitudes sémantiques</w:t>
      </w:r>
      <w:r w:rsidR="00EE101A">
        <w:t xml:space="preserve"> et juridiques</w:t>
      </w:r>
      <w:r w:rsidR="00710780" w:rsidRPr="00CA3E7C">
        <w:t xml:space="preserve"> </w:t>
      </w:r>
      <w:r w:rsidR="001A6F81">
        <w:t>qu’elles</w:t>
      </w:r>
      <w:r w:rsidR="00CA3E7C" w:rsidRPr="00CA3E7C">
        <w:t xml:space="preserve"> soulèvent</w:t>
      </w:r>
      <w:r w:rsidR="00EE3F2D">
        <w:t xml:space="preserve"> (I).</w:t>
      </w:r>
      <w:r w:rsidR="00EE101A">
        <w:t xml:space="preserve"> </w:t>
      </w:r>
      <w:r w:rsidR="00B43317">
        <w:t>Ceci nous semble</w:t>
      </w:r>
      <w:r w:rsidR="00EE101A">
        <w:t xml:space="preserve"> indispensable </w:t>
      </w:r>
      <w:r w:rsidR="00B43317">
        <w:t xml:space="preserve">pour </w:t>
      </w:r>
      <w:r w:rsidR="00EE101A">
        <w:t>évaluer leur association concrète en seconde partie.</w:t>
      </w:r>
    </w:p>
    <w:p w14:paraId="355C4CDB" w14:textId="0CE9F6E1" w:rsidR="00EE101A" w:rsidRPr="002B750E" w:rsidRDefault="00EE101A" w:rsidP="00965AEE">
      <w:r>
        <w:t xml:space="preserve">Dans </w:t>
      </w:r>
      <w:r w:rsidR="00287259">
        <w:t xml:space="preserve">cette </w:t>
      </w:r>
      <w:r>
        <w:t xml:space="preserve">seconde partie, </w:t>
      </w:r>
      <w:r w:rsidR="00287259">
        <w:t>soutenu par</w:t>
      </w:r>
      <w:r>
        <w:t xml:space="preserve"> ces considérations conceptuelles</w:t>
      </w:r>
      <w:r w:rsidR="00287259">
        <w:t xml:space="preserve">, nous déploierons </w:t>
      </w:r>
      <w:r>
        <w:t xml:space="preserve">une analyse plus opérationnelle </w:t>
      </w:r>
      <w:r w:rsidR="008A739B">
        <w:t xml:space="preserve">du recours à </w:t>
      </w:r>
      <w:r>
        <w:t xml:space="preserve">une certaine forme de neutralité au sein de plusieurs entreprises privées belges et françaises. </w:t>
      </w:r>
      <w:r w:rsidR="008A739B">
        <w:t>Afin</w:t>
      </w:r>
      <w:r>
        <w:t xml:space="preserve"> d’évaluer la compatibilité de c</w:t>
      </w:r>
      <w:r w:rsidR="008A739B">
        <w:t>hacune de c</w:t>
      </w:r>
      <w:r>
        <w:t xml:space="preserve">es </w:t>
      </w:r>
      <w:r w:rsidR="001C64AC">
        <w:t>formes</w:t>
      </w:r>
      <w:r>
        <w:t xml:space="preserve"> avec le droit européen de la liberté et de la non-discrimination religieuses, nous mettrons sur pied une catégorisation double, fondée sur deux variables – instrumentale/idéologique et interne/externe – correspondant à la perspective dans laquelle s’inscrit l’invocation de la neutralité au sein de l’entreprise</w:t>
      </w:r>
      <w:r w:rsidR="00FC39A0">
        <w:t xml:space="preserve"> (II)</w:t>
      </w:r>
      <w:r>
        <w:t>.</w:t>
      </w:r>
      <w:r w:rsidR="00256D2F">
        <w:t xml:space="preserve"> </w:t>
      </w:r>
      <w:r w:rsidR="00256D2F" w:rsidRPr="00B601A0">
        <w:t>Chaque figure de l’entreprise neutre sera envisagée à partir d’une affaire</w:t>
      </w:r>
      <w:r w:rsidR="001C64AC" w:rsidRPr="00B601A0">
        <w:t xml:space="preserve"> </w:t>
      </w:r>
      <w:r w:rsidR="00256D2F" w:rsidRPr="00B601A0">
        <w:t>emblématique</w:t>
      </w:r>
      <w:r w:rsidR="001C64AC" w:rsidRPr="00B601A0">
        <w:t xml:space="preserve"> ou</w:t>
      </w:r>
      <w:r w:rsidR="00256D2F" w:rsidRPr="00B601A0">
        <w:t xml:space="preserve"> à tout le moins représentative à cet égard.</w:t>
      </w:r>
      <w:r w:rsidR="002B750E" w:rsidRPr="00B601A0">
        <w:t xml:space="preserve"> Un</w:t>
      </w:r>
      <w:r w:rsidR="00B864AA" w:rsidRPr="00B601A0">
        <w:t xml:space="preserve"> tel choix </w:t>
      </w:r>
      <w:r w:rsidR="002B750E" w:rsidRPr="00B601A0">
        <w:t>implique que nous n’épuiserons p</w:t>
      </w:r>
      <w:r w:rsidR="00E20960" w:rsidRPr="00B601A0">
        <w:t xml:space="preserve">as l’ensemble des questions </w:t>
      </w:r>
      <w:r w:rsidR="002B750E" w:rsidRPr="00B601A0">
        <w:t>relatives à</w:t>
      </w:r>
      <w:r w:rsidR="00E20960" w:rsidRPr="00B601A0">
        <w:t xml:space="preserve"> la légitimité et </w:t>
      </w:r>
      <w:r w:rsidR="002B750E" w:rsidRPr="00B601A0">
        <w:t xml:space="preserve">à la </w:t>
      </w:r>
      <w:r w:rsidR="00E20960" w:rsidRPr="00B601A0">
        <w:t>proportionnalité</w:t>
      </w:r>
      <w:r w:rsidRPr="00B601A0">
        <w:rPr>
          <w:b/>
          <w:bCs/>
          <w:i/>
          <w:iCs/>
        </w:rPr>
        <w:t xml:space="preserve"> </w:t>
      </w:r>
      <w:r w:rsidR="00B864AA" w:rsidRPr="00B601A0">
        <w:t>propres</w:t>
      </w:r>
      <w:r w:rsidR="002B750E" w:rsidRPr="00B601A0">
        <w:t xml:space="preserve"> </w:t>
      </w:r>
      <w:r w:rsidR="00B864AA" w:rsidRPr="00B601A0">
        <w:t xml:space="preserve">à </w:t>
      </w:r>
      <w:r w:rsidR="002B750E" w:rsidRPr="00B601A0">
        <w:t xml:space="preserve">chaque </w:t>
      </w:r>
      <w:r w:rsidR="00B864AA" w:rsidRPr="00B601A0">
        <w:t>modèle.</w:t>
      </w:r>
    </w:p>
    <w:p w14:paraId="48651B93" w14:textId="477D30A5" w:rsidR="00570E0D" w:rsidRDefault="00EE101A" w:rsidP="00EE101A">
      <w:r>
        <w:t xml:space="preserve">Nous conclurons </w:t>
      </w:r>
      <w:r w:rsidR="003D4BA7">
        <w:t>cet article</w:t>
      </w:r>
      <w:r>
        <w:t xml:space="preserve"> en </w:t>
      </w:r>
      <w:r w:rsidR="00631B16">
        <w:t>proposant un bilan de la confrontation entre l’application générale et indifférenciée de la neutralité dans l’entreprise privée et les exigences du</w:t>
      </w:r>
      <w:r>
        <w:t xml:space="preserve"> droit européen de la liberté et de la non-discrimination religieuses</w:t>
      </w:r>
      <w:r w:rsidR="00631B16">
        <w:t>.</w:t>
      </w:r>
    </w:p>
    <w:p w14:paraId="604A881C" w14:textId="0AA034CF" w:rsidR="00937F31" w:rsidRDefault="00BC1EDE" w:rsidP="00960BD9">
      <w:pPr>
        <w:pStyle w:val="Paragraphedeliste"/>
      </w:pPr>
      <w:r>
        <w:t>Les sources et le champ - matériel et spatial (géographique) – mobilisés dans la présente recherche sont les suivants</w:t>
      </w:r>
      <w:r w:rsidR="001E7B8E">
        <w:t>.</w:t>
      </w:r>
      <w:r w:rsidR="00635F17">
        <w:t xml:space="preserve"> </w:t>
      </w:r>
    </w:p>
    <w:p w14:paraId="6635C50C" w14:textId="17C47336" w:rsidR="00BB7CF3" w:rsidRDefault="00631B16" w:rsidP="004B1238">
      <w:r>
        <w:t>D’un point de vue</w:t>
      </w:r>
      <w:r w:rsidR="00404E6D">
        <w:t xml:space="preserve"> matériel, nous nous focaliserons sur l’entreprise privée, en particulier commerciale. </w:t>
      </w:r>
      <w:r w:rsidR="00BC1EDE">
        <w:t>Ce</w:t>
      </w:r>
      <w:r w:rsidR="005A76EF">
        <w:t xml:space="preserve"> choix</w:t>
      </w:r>
      <w:r w:rsidR="00635F17">
        <w:t xml:space="preserve"> est motivé </w:t>
      </w:r>
      <w:r w:rsidR="00F70BAB">
        <w:t>par les enjeux spécifiques</w:t>
      </w:r>
      <w:r w:rsidR="00FC50CD">
        <w:t xml:space="preserve"> et inédits</w:t>
      </w:r>
      <w:r w:rsidR="00F70BAB">
        <w:t xml:space="preserve"> que soulève l’invocation de la neutralité </w:t>
      </w:r>
      <w:r w:rsidR="0041154D">
        <w:t>dans l’entreprise</w:t>
      </w:r>
      <w:r w:rsidR="00FC50CD">
        <w:t xml:space="preserve">, </w:t>
      </w:r>
      <w:r w:rsidR="0041154D">
        <w:t>plutôt que dans</w:t>
      </w:r>
      <w:r w:rsidR="00FC50CD">
        <w:t xml:space="preserve"> la</w:t>
      </w:r>
      <w:r w:rsidR="00F70BAB">
        <w:t xml:space="preserve"> sphère</w:t>
      </w:r>
      <w:r w:rsidR="00FC50CD">
        <w:t xml:space="preserve"> de l’État.</w:t>
      </w:r>
      <w:r w:rsidR="001B5C60">
        <w:t xml:space="preserve"> </w:t>
      </w:r>
      <w:r w:rsidR="002A7803">
        <w:t>Seront ainsi pris en com</w:t>
      </w:r>
      <w:r w:rsidR="002A7803" w:rsidRPr="00937F31">
        <w:t>pte l</w:t>
      </w:r>
      <w:r w:rsidR="00937F31" w:rsidRPr="00937F31">
        <w:t>a</w:t>
      </w:r>
      <w:r w:rsidR="00AC06C3" w:rsidRPr="00937F31">
        <w:t xml:space="preserve"> liberté d’entreprise, </w:t>
      </w:r>
      <w:r w:rsidR="004B1238" w:rsidRPr="00937F31">
        <w:fldChar w:fldCharType="begin"/>
      </w:r>
      <w:r w:rsidR="004B1238" w:rsidRPr="00937F31">
        <w:instrText xml:space="preserve"> XE "</w:instrText>
      </w:r>
      <w:r w:rsidR="004B1238" w:rsidRPr="00937F31">
        <w:rPr>
          <w:rFonts w:eastAsia="Times New Roman" w:cs="Calibri"/>
          <w:color w:val="000000"/>
          <w:lang w:eastAsia="fr-BE"/>
        </w:rPr>
        <w:instrText>Horizontalisation"</w:instrText>
      </w:r>
      <w:r w:rsidR="004B1238" w:rsidRPr="00937F31">
        <w:instrText xml:space="preserve"> </w:instrText>
      </w:r>
      <w:r w:rsidR="004B1238" w:rsidRPr="00937F31">
        <w:fldChar w:fldCharType="end"/>
      </w:r>
      <w:r w:rsidR="004B1238" w:rsidRPr="00937F31">
        <w:fldChar w:fldCharType="begin"/>
      </w:r>
      <w:r w:rsidR="004B1238" w:rsidRPr="00937F31">
        <w:instrText xml:space="preserve"> XE "</w:instrText>
      </w:r>
      <w:r w:rsidR="004B1238" w:rsidRPr="00937F31">
        <w:rPr>
          <w:rFonts w:eastAsia="Times New Roman" w:cs="Calibri"/>
          <w:color w:val="000000"/>
          <w:lang w:eastAsia="fr-BE"/>
        </w:rPr>
        <w:instrText>Horizontalisation:Horizontalisation des droits"</w:instrText>
      </w:r>
      <w:r w:rsidR="004B1238" w:rsidRPr="00937F31">
        <w:instrText xml:space="preserve"> </w:instrText>
      </w:r>
      <w:r w:rsidR="004B1238" w:rsidRPr="00937F31">
        <w:fldChar w:fldCharType="end"/>
      </w:r>
      <w:r w:rsidR="004B1238" w:rsidRPr="00937F31">
        <w:t xml:space="preserve">la dimension économique de l’entreprise </w:t>
      </w:r>
      <w:r w:rsidR="000105F1">
        <w:t>et son</w:t>
      </w:r>
      <w:r w:rsidR="004B1238" w:rsidRPr="00937F31">
        <w:t xml:space="preserve"> rôle dans la mise en œuvre</w:t>
      </w:r>
      <w:r w:rsidR="00CE0B6D" w:rsidRPr="00937F31">
        <w:t xml:space="preserve"> horizontale</w:t>
      </w:r>
      <w:r w:rsidR="004B1238" w:rsidRPr="00937F31">
        <w:t xml:space="preserve"> des droits fondamentaux</w:t>
      </w:r>
      <w:r w:rsidR="00715CDC">
        <w:t>.</w:t>
      </w:r>
    </w:p>
    <w:p w14:paraId="7D634E08" w14:textId="4969724A" w:rsidR="004B1238" w:rsidRDefault="00145918" w:rsidP="00D37775">
      <w:r>
        <w:t>Par ailleurs</w:t>
      </w:r>
      <w:r w:rsidR="00BB7CF3" w:rsidRPr="00BB7CF3">
        <w:t xml:space="preserve">, </w:t>
      </w:r>
      <w:r w:rsidR="00E148D2">
        <w:t xml:space="preserve">nous </w:t>
      </w:r>
      <w:r w:rsidR="0067109A">
        <w:t xml:space="preserve">nous </w:t>
      </w:r>
      <w:r w:rsidR="004B1238" w:rsidRPr="00BB7CF3">
        <w:t>concentrerons</w:t>
      </w:r>
      <w:r w:rsidR="00E148D2">
        <w:t xml:space="preserve"> </w:t>
      </w:r>
      <w:r w:rsidR="004B1238" w:rsidRPr="00BB7CF3">
        <w:t>sur les affaires juridiques où est mobilisé</w:t>
      </w:r>
      <w:r w:rsidR="00E148D2">
        <w:t>e</w:t>
      </w:r>
      <w:r w:rsidR="00057E6B">
        <w:t>, au sein de l’entreprise,</w:t>
      </w:r>
      <w:r w:rsidR="004B1238" w:rsidRPr="00BB7CF3">
        <w:t xml:space="preserve"> </w:t>
      </w:r>
      <w:r w:rsidR="00057E6B">
        <w:t>l</w:t>
      </w:r>
      <w:r w:rsidR="00E148D2">
        <w:t>a</w:t>
      </w:r>
      <w:r w:rsidR="004B1238" w:rsidRPr="00BB7CF3">
        <w:t xml:space="preserve"> neutralité</w:t>
      </w:r>
      <w:r w:rsidR="00C652D6">
        <w:rPr>
          <w:rStyle w:val="Appelnotedebasdep"/>
        </w:rPr>
        <w:footnoteReference w:id="23"/>
      </w:r>
      <w:r w:rsidR="004B1238" w:rsidRPr="00BB7CF3">
        <w:t xml:space="preserve"> religieuse.</w:t>
      </w:r>
      <w:r>
        <w:t xml:space="preserve"> </w:t>
      </w:r>
      <w:r w:rsidRPr="002A0E30">
        <w:t xml:space="preserve">Seront </w:t>
      </w:r>
      <w:r w:rsidR="004B1238" w:rsidRPr="002A0E30">
        <w:t xml:space="preserve">prises en compte les affaires où l’employeur fait explicitement référence à la neutralité </w:t>
      </w:r>
      <w:r w:rsidR="000105F1">
        <w:t>et</w:t>
      </w:r>
      <w:r w:rsidR="004B1238" w:rsidRPr="002A0E30">
        <w:t>, dans une moindre mesure, celles où la neutralité apparaît en filigrane de la politique de l’entreprise</w:t>
      </w:r>
      <w:r w:rsidR="00C53B54">
        <w:t xml:space="preserve">, en particulier </w:t>
      </w:r>
      <w:r w:rsidR="00DB6F19">
        <w:t>dans le cas d’</w:t>
      </w:r>
      <w:r w:rsidR="004B1238" w:rsidRPr="002A0E30">
        <w:t xml:space="preserve">une politique de restriction générale et indifférenciée des expressions religieuses de ses </w:t>
      </w:r>
      <w:r w:rsidR="004B1238" w:rsidRPr="00D37775">
        <w:t>travailleurs</w:t>
      </w:r>
      <w:r w:rsidR="00715CDC" w:rsidRPr="00D37775">
        <w:rPr>
          <w:rStyle w:val="Appelnotedebasdep"/>
        </w:rPr>
        <w:footnoteReference w:id="24"/>
      </w:r>
      <w:r w:rsidR="00715CDC" w:rsidRPr="00D37775">
        <w:t>.</w:t>
      </w:r>
      <w:r w:rsidR="00D37775" w:rsidRPr="00D37775">
        <w:t xml:space="preserve"> </w:t>
      </w:r>
      <w:r w:rsidR="00DB6F19">
        <w:t>N</w:t>
      </w:r>
      <w:r w:rsidR="00D37775" w:rsidRPr="00D37775">
        <w:t xml:space="preserve">ous verrons que </w:t>
      </w:r>
      <w:r w:rsidR="00DB6F19">
        <w:t>cette neutralité</w:t>
      </w:r>
      <w:r w:rsidR="004B1238" w:rsidRPr="00D37775">
        <w:t xml:space="preserve"> peut </w:t>
      </w:r>
      <w:r w:rsidR="00DB6F19">
        <w:t>viser</w:t>
      </w:r>
      <w:r w:rsidR="0067109A">
        <w:t xml:space="preserve"> </w:t>
      </w:r>
      <w:r w:rsidR="004B1238" w:rsidRPr="00D37775">
        <w:t xml:space="preserve">non seulement les convictions religieuses au sens classique du terme, mais aussi les convictions philosophiques et politiques. Notre propos se concentrera sur les convictions religieuses au sens large – comme y invite le droit européen –, mais ne nous empêchera pas de </w:t>
      </w:r>
      <w:r w:rsidR="004B1238" w:rsidRPr="00D37775">
        <w:lastRenderedPageBreak/>
        <w:t xml:space="preserve">souligner les enjeux spécifiques </w:t>
      </w:r>
      <w:r w:rsidR="00012293">
        <w:t>de</w:t>
      </w:r>
      <w:r w:rsidR="004B1238" w:rsidRPr="00D37775">
        <w:t xml:space="preserve"> l’élargissement d’une telle neutralité d’entreprise aux convictions non religieuses.</w:t>
      </w:r>
    </w:p>
    <w:p w14:paraId="371EEB44" w14:textId="233D44FA" w:rsidR="004B1238" w:rsidRPr="006C0FCB" w:rsidRDefault="004B1238" w:rsidP="004B1238">
      <w:pPr>
        <w:rPr>
          <w:color w:val="7F7F7F" w:themeColor="text1" w:themeTint="80"/>
        </w:rPr>
      </w:pPr>
      <w:r w:rsidRPr="00D37775">
        <w:t xml:space="preserve">D’un point de vue géographique, notre analyse se </w:t>
      </w:r>
      <w:r w:rsidR="00B864AA">
        <w:t>focalisera</w:t>
      </w:r>
      <w:r w:rsidRPr="00D37775">
        <w:t xml:space="preserve"> sur </w:t>
      </w:r>
      <w:r w:rsidR="00012293" w:rsidRPr="00D37775">
        <w:t xml:space="preserve">la Belgique et la </w:t>
      </w:r>
      <w:r w:rsidR="00012293">
        <w:t xml:space="preserve">France, qui concentrent </w:t>
      </w:r>
      <w:r w:rsidR="00D90963">
        <w:t>la</w:t>
      </w:r>
      <w:r w:rsidRPr="00D37775">
        <w:t xml:space="preserve"> majorité des affaires portant sur la restriction des expressions religieuses des travailleurs au nom de la neutralité</w:t>
      </w:r>
      <w:r w:rsidR="006049EF">
        <w:rPr>
          <w:rStyle w:val="Appelnotedebasdep"/>
        </w:rPr>
        <w:footnoteReference w:id="25"/>
      </w:r>
      <w:r w:rsidR="002E7AD5">
        <w:t>, même si d’autres ordres juridiques européens</w:t>
      </w:r>
      <w:r w:rsidR="004B6F4D">
        <w:rPr>
          <w:rStyle w:val="Appelnotedebasdep"/>
        </w:rPr>
        <w:footnoteReference w:id="26"/>
      </w:r>
      <w:r w:rsidR="002E7AD5">
        <w:t>, tels que l’Allemagne</w:t>
      </w:r>
      <w:r w:rsidR="002E7AD5">
        <w:rPr>
          <w:rStyle w:val="Appelnotedebasdep"/>
        </w:rPr>
        <w:footnoteReference w:id="27"/>
      </w:r>
      <w:r w:rsidR="002E7AD5">
        <w:t xml:space="preserve"> ou les Pays-Bas</w:t>
      </w:r>
      <w:r w:rsidR="002E7AD5">
        <w:rPr>
          <w:rStyle w:val="Appelnotedebasdep"/>
        </w:rPr>
        <w:footnoteReference w:id="28"/>
      </w:r>
      <w:r w:rsidR="002E7AD5">
        <w:t>, n’en sont pas exempts</w:t>
      </w:r>
      <w:r w:rsidR="00B548A0">
        <w:t>.</w:t>
      </w:r>
    </w:p>
    <w:p w14:paraId="34044B24" w14:textId="008BE0FF" w:rsidR="004B1238" w:rsidRPr="00EE44B6" w:rsidRDefault="00BD3A9F" w:rsidP="00BD3A9F">
      <w:r w:rsidRPr="00EE44B6">
        <w:t>Sur le plan des sources, notre question de recherche portant sur la compatibilité de certaines neutralités d’entreprise avec le droit européen de la liberté et de la non-discrimination religieuses, nous appuierons prioritairement notre analyse sur le droit de la CEDH et de l’U</w:t>
      </w:r>
      <w:r w:rsidR="001F546E">
        <w:t>E</w:t>
      </w:r>
      <w:r w:rsidRPr="00EE44B6">
        <w:t xml:space="preserve"> – en particulier la </w:t>
      </w:r>
      <w:r w:rsidR="00972B7E">
        <w:t>directive</w:t>
      </w:r>
      <w:r w:rsidRPr="00EE44B6">
        <w:t xml:space="preserve"> 2000/78</w:t>
      </w:r>
      <w:r w:rsidR="00B0746E">
        <w:t>/CE</w:t>
      </w:r>
      <w:r w:rsidRPr="00EE44B6">
        <w:t xml:space="preserve"> </w:t>
      </w:r>
      <w:r w:rsidR="00631B16">
        <w:t xml:space="preserve">relative à l’égalité </w:t>
      </w:r>
      <w:r w:rsidRPr="00EE44B6">
        <w:t xml:space="preserve">en matière d’emploi –, et sur l’interprétation première qu’en donnent leurs juridictions respectives, la CourEDH et la CJUE. </w:t>
      </w:r>
      <w:r w:rsidR="00EE44B6" w:rsidRPr="00EE44B6">
        <w:t>La</w:t>
      </w:r>
      <w:r w:rsidR="004B1238" w:rsidRPr="00EE44B6">
        <w:t xml:space="preserve"> prise en compte des droits internes belge et français interviendra de manière subsidiaire par rapport au droit de la CEDH et de l’UE</w:t>
      </w:r>
      <w:r w:rsidR="00EE44B6" w:rsidRPr="00EE44B6">
        <w:t> : c</w:t>
      </w:r>
      <w:r w:rsidR="004B1238" w:rsidRPr="00EE44B6">
        <w:t>es droits nationaux seront essentiellement mobilisés aux fins d’éclairer l’intégration et la mise en œuvre du droit européen pertinent en la matière, en particulier par le biais jurisprudentiel.</w:t>
      </w:r>
    </w:p>
    <w:p w14:paraId="516AA0BC" w14:textId="2BAB30F2" w:rsidR="0058411E" w:rsidRDefault="0058411E" w:rsidP="008F46FF">
      <w:pPr>
        <w:pStyle w:val="Titre1"/>
        <w:numPr>
          <w:ilvl w:val="0"/>
          <w:numId w:val="7"/>
        </w:numPr>
      </w:pPr>
      <w:r>
        <w:t xml:space="preserve">Neutralité, religion et entreprise : incertitudes </w:t>
      </w:r>
      <w:r w:rsidR="002F1535">
        <w:t>conceptuelles</w:t>
      </w:r>
    </w:p>
    <w:p w14:paraId="3049197A" w14:textId="45F4ADE5" w:rsidR="00F614FA" w:rsidRDefault="00B77B5A" w:rsidP="008D517D">
      <w:pPr>
        <w:pStyle w:val="Paragraphedeliste"/>
      </w:pPr>
      <w:r>
        <w:t xml:space="preserve">Pour parvenir à déployer une analyse de compatibilité de l’entreprise dite « neutre » avec le droit européen de la liberté religieuse et de la non-discrimination, il convient au préalable de s’interroger sur le sens donné aux concepts au cœur de cet exercice : la neutralité (A), la religion (B) et l’entreprise (C). Il </w:t>
      </w:r>
      <w:r w:rsidRPr="004F571E">
        <w:t xml:space="preserve">s’agit </w:t>
      </w:r>
      <w:r>
        <w:t>en l’occurrence</w:t>
      </w:r>
      <w:r w:rsidRPr="004F571E">
        <w:t xml:space="preserve"> moins de clarifier véritablement</w:t>
      </w:r>
      <w:r>
        <w:t xml:space="preserve"> les notions que de relever les incertitudes sémantiques et conceptuelles qui naissent de leur association</w:t>
      </w:r>
      <w:r w:rsidR="00F614FA" w:rsidRPr="008A1033">
        <w:rPr>
          <w:rStyle w:val="Appelnotedebasdep"/>
        </w:rPr>
        <w:footnoteReference w:id="29"/>
      </w:r>
      <w:r>
        <w:t>.</w:t>
      </w:r>
    </w:p>
    <w:p w14:paraId="475F196A" w14:textId="0E204072" w:rsidR="0058411E" w:rsidRDefault="0058411E" w:rsidP="008F46FF">
      <w:pPr>
        <w:pStyle w:val="Titre2"/>
        <w:numPr>
          <w:ilvl w:val="0"/>
          <w:numId w:val="6"/>
        </w:numPr>
      </w:pPr>
      <w:r>
        <w:t>Neutralité</w:t>
      </w:r>
    </w:p>
    <w:p w14:paraId="3E0085FD" w14:textId="77A7D149" w:rsidR="008E2383" w:rsidRDefault="00267EDA" w:rsidP="00960BD9">
      <w:pPr>
        <w:pStyle w:val="Paragraphedeliste"/>
      </w:pPr>
      <w:r>
        <w:t>Eu égard a</w:t>
      </w:r>
      <w:r w:rsidR="008E2383" w:rsidRPr="00A72F68">
        <w:t>u concept de neutralité, l’enjeu consiste</w:t>
      </w:r>
      <w:r w:rsidR="002472EC">
        <w:t xml:space="preserve"> avant tout</w:t>
      </w:r>
      <w:r w:rsidR="008E2383" w:rsidRPr="00A72F68">
        <w:t xml:space="preserve"> à prendre </w:t>
      </w:r>
      <w:r w:rsidR="002472EC">
        <w:t>conscience d</w:t>
      </w:r>
      <w:r w:rsidR="008E2383" w:rsidRPr="00A72F68">
        <w:t xml:space="preserve">es </w:t>
      </w:r>
      <w:r w:rsidR="002472EC">
        <w:t>multiples</w:t>
      </w:r>
      <w:r w:rsidR="008E2383" w:rsidRPr="00A72F68">
        <w:t xml:space="preserve"> </w:t>
      </w:r>
      <w:r w:rsidR="002472EC">
        <w:t>incertitud</w:t>
      </w:r>
      <w:r w:rsidR="008E2383" w:rsidRPr="00A72F68">
        <w:t xml:space="preserve">es </w:t>
      </w:r>
      <w:r w:rsidR="00061E58">
        <w:t>naissant</w:t>
      </w:r>
      <w:r w:rsidR="002472EC">
        <w:t xml:space="preserve"> </w:t>
      </w:r>
      <w:r w:rsidR="00AF50A7">
        <w:t>du passage</w:t>
      </w:r>
      <w:r w:rsidR="002472EC">
        <w:t xml:space="preserve"> de </w:t>
      </w:r>
      <w:r w:rsidR="008E2383" w:rsidRPr="00A72F68">
        <w:t xml:space="preserve">la théorie de la neutralité </w:t>
      </w:r>
      <w:r w:rsidR="002472EC">
        <w:t>de l’État</w:t>
      </w:r>
      <w:r w:rsidR="008E2383" w:rsidRPr="00A72F68">
        <w:t xml:space="preserve"> vers la sphère de l’entreprise</w:t>
      </w:r>
      <w:r w:rsidR="00D60830">
        <w:t xml:space="preserve"> (1)</w:t>
      </w:r>
      <w:r w:rsidR="008E2383" w:rsidRPr="00A72F68">
        <w:t xml:space="preserve">. </w:t>
      </w:r>
      <w:r w:rsidR="00A3619B">
        <w:t>Nous</w:t>
      </w:r>
      <w:r w:rsidR="008E2383" w:rsidRPr="00A72F68">
        <w:t xml:space="preserve"> développ</w:t>
      </w:r>
      <w:r w:rsidR="00A3619B">
        <w:t>erons ensuite</w:t>
      </w:r>
      <w:r w:rsidR="008E2383" w:rsidRPr="00A72F68">
        <w:t xml:space="preserve"> l’idée d’une horizontalisation de la neutralité comme corollaire de l’horizontalisation des droits fondamentaux</w:t>
      </w:r>
      <w:r w:rsidR="00A72F68" w:rsidRPr="00A72F68">
        <w:t xml:space="preserve"> (2)</w:t>
      </w:r>
      <w:r w:rsidR="008E2383" w:rsidRPr="00A72F68">
        <w:t>.</w:t>
      </w:r>
    </w:p>
    <w:p w14:paraId="7D7BB6C9" w14:textId="77777777" w:rsidR="00B23093" w:rsidRPr="009620F8" w:rsidRDefault="00B23093" w:rsidP="008F46FF">
      <w:pPr>
        <w:pStyle w:val="Titre3"/>
        <w:numPr>
          <w:ilvl w:val="0"/>
          <w:numId w:val="10"/>
        </w:numPr>
      </w:pPr>
      <w:bookmarkStart w:id="1" w:name="_Toc56024020"/>
      <w:bookmarkStart w:id="2" w:name="_Toc64212485"/>
      <w:bookmarkStart w:id="3" w:name="_Toc72661657"/>
      <w:r w:rsidRPr="00A72F68">
        <w:lastRenderedPageBreak/>
        <w:t>Double indétermination de la neutralité de l’entreprise privée</w:t>
      </w:r>
      <w:bookmarkEnd w:id="1"/>
      <w:bookmarkEnd w:id="2"/>
      <w:bookmarkEnd w:id="3"/>
    </w:p>
    <w:p w14:paraId="000172AE" w14:textId="77777777" w:rsidR="00A72F68" w:rsidRDefault="00A72F68" w:rsidP="00960BD9">
      <w:pPr>
        <w:pStyle w:val="Paragraphedeliste"/>
      </w:pPr>
      <w:r>
        <w:t>La mobilisation du concept de neutralité religieuse au sein de l’entreprise privée suscite de sérieuses interrogations du point de vue de sa signification, pour deux raisons principales.</w:t>
      </w:r>
    </w:p>
    <w:p w14:paraId="27C67025" w14:textId="6EF2A3B3" w:rsidR="00013AB2" w:rsidRDefault="00013AB2" w:rsidP="00013AB2">
      <w:r w:rsidRPr="00260D96">
        <w:t>Le premier motif d’incertitude</w:t>
      </w:r>
      <w:r>
        <w:t xml:space="preserve"> porte sur le fait que la neutralité, et avec elle, la laïcité, ne concernent pas</w:t>
      </w:r>
      <w:r w:rsidR="00063124">
        <w:t xml:space="preserve"> prioritairement</w:t>
      </w:r>
      <w:r>
        <w:t xml:space="preserve"> le monde de l’entreprise, puisque ces deux concepts ont été</w:t>
      </w:r>
      <w:r w:rsidR="005F5D50">
        <w:t xml:space="preserve"> essentiellement</w:t>
      </w:r>
      <w:r>
        <w:t xml:space="preserve"> pensés et développés dans le cadre spécifique de l’État</w:t>
      </w:r>
      <w:r>
        <w:rPr>
          <w:rStyle w:val="Appelnotedebasdep"/>
        </w:rPr>
        <w:footnoteReference w:id="30"/>
      </w:r>
      <w:r w:rsidR="00B548A0">
        <w:t>.</w:t>
      </w:r>
      <w:r w:rsidR="00B43E67">
        <w:t xml:space="preserve"> Cet ancrage originel n’empêche toutefois </w:t>
      </w:r>
      <w:r w:rsidR="00FC2AAB">
        <w:t>pas en soi l’appropriation</w:t>
      </w:r>
      <w:r w:rsidR="00447EB1">
        <w:t>, voire la redéfinition</w:t>
      </w:r>
      <w:r w:rsidR="00447EB1">
        <w:rPr>
          <w:rStyle w:val="Appelnotedebasdep"/>
        </w:rPr>
        <w:footnoteReference w:id="31"/>
      </w:r>
      <w:r w:rsidR="00447EB1">
        <w:t>,</w:t>
      </w:r>
      <w:r w:rsidR="00FC2AAB">
        <w:t xml:space="preserve"> de ce concept par l’entreprise</w:t>
      </w:r>
      <w:r w:rsidR="00AC4FCC">
        <w:t xml:space="preserve"> privée</w:t>
      </w:r>
      <w:r w:rsidR="00FC2AAB">
        <w:t>.</w:t>
      </w:r>
    </w:p>
    <w:p w14:paraId="656BEF76" w14:textId="6D7EEA15" w:rsidR="006D63CC" w:rsidRDefault="006D63CC" w:rsidP="00013AB2">
      <w:r>
        <w:t xml:space="preserve">Dans le cadre de </w:t>
      </w:r>
      <w:r w:rsidR="003D4BA7">
        <w:t>cet article</w:t>
      </w:r>
      <w:r>
        <w:t>,</w:t>
      </w:r>
      <w:r w:rsidRPr="0074416F">
        <w:t xml:space="preserve"> </w:t>
      </w:r>
      <w:r w:rsidR="00EA7E48">
        <w:t>n</w:t>
      </w:r>
      <w:r w:rsidRPr="0074416F">
        <w:t xml:space="preserve">ous </w:t>
      </w:r>
      <w:r>
        <w:t>partirons</w:t>
      </w:r>
      <w:r w:rsidRPr="0074416F">
        <w:t xml:space="preserve"> d’une conception</w:t>
      </w:r>
      <w:r>
        <w:t xml:space="preserve"> </w:t>
      </w:r>
      <w:r w:rsidRPr="0074416F">
        <w:t>large de la laïcité</w:t>
      </w:r>
      <w:r w:rsidRPr="0074416F">
        <w:rPr>
          <w:vertAlign w:val="superscript"/>
        </w:rPr>
        <w:footnoteReference w:id="32"/>
      </w:r>
      <w:r w:rsidRPr="0074416F">
        <w:t>, vue comme u</w:t>
      </w:r>
      <w:r>
        <w:t xml:space="preserve">n </w:t>
      </w:r>
      <w:r w:rsidRPr="008D517D">
        <w:t>principe d’organisation des relations entre les convictions et institutions religieuses et l’État</w:t>
      </w:r>
      <w:r w:rsidRPr="00E76165">
        <w:rPr>
          <w:vertAlign w:val="superscript"/>
        </w:rPr>
        <w:footnoteReference w:id="33"/>
      </w:r>
      <w:r w:rsidRPr="0074416F">
        <w:t xml:space="preserve"> </w:t>
      </w:r>
      <w:r>
        <w:t>impliquant une relation d</w:t>
      </w:r>
      <w:proofErr w:type="gramStart"/>
      <w:r>
        <w:t>’«</w:t>
      </w:r>
      <w:proofErr w:type="gramEnd"/>
      <w:r>
        <w:t> indépendance réciproque »</w:t>
      </w:r>
      <w:r w:rsidRPr="00A246D5">
        <w:rPr>
          <w:vertAlign w:val="superscript"/>
        </w:rPr>
        <w:footnoteReference w:id="34"/>
      </w:r>
      <w:r>
        <w:t xml:space="preserve"> entre ceux-ci.</w:t>
      </w:r>
    </w:p>
    <w:p w14:paraId="623697B9" w14:textId="33C5A1B4" w:rsidR="006D63CC" w:rsidRPr="00E76165" w:rsidRDefault="006D63CC" w:rsidP="006D63CC">
      <w:r>
        <w:t>Quant au terme d</w:t>
      </w:r>
      <w:r w:rsidRPr="0074416F">
        <w:t>e neutralité</w:t>
      </w:r>
      <w:r>
        <w:t>, si celui-ci</w:t>
      </w:r>
      <w:r w:rsidRPr="0074416F">
        <w:t xml:space="preserve"> est effectivement largement utilisé pour désigner le modèle belge de régime des cultes, et pour distinguer ce dernier de son équivalant français, nous </w:t>
      </w:r>
      <w:r w:rsidR="0081560B">
        <w:t>le définirons à ce stade</w:t>
      </w:r>
      <w:r w:rsidR="00555809">
        <w:t xml:space="preserve"> (dans une perspective </w:t>
      </w:r>
      <w:r w:rsidR="00085241">
        <w:t>étatique)</w:t>
      </w:r>
      <w:r w:rsidR="00E76165">
        <w:t xml:space="preserve"> comme</w:t>
      </w:r>
      <w:r w:rsidRPr="0074416F">
        <w:t xml:space="preserve"> </w:t>
      </w:r>
      <w:r w:rsidRPr="00B329FC">
        <w:t xml:space="preserve">l’obligation pesant spécifiquement sur l’État </w:t>
      </w:r>
      <w:r w:rsidRPr="000E4282">
        <w:t>dans les relations qu’il entretient avec les croyances et institutions religieuses</w:t>
      </w:r>
      <w:r>
        <w:t xml:space="preserve">, à savoir le fait de </w:t>
      </w:r>
      <w:r w:rsidRPr="008D517D">
        <w:t>ne pas favoriser ni défavoriser un individu ou un groupe particulier, sur la base de sa conviction religieuse ou philosophique</w:t>
      </w:r>
      <w:r w:rsidRPr="00E76165">
        <w:t>.</w:t>
      </w:r>
    </w:p>
    <w:p w14:paraId="16047941" w14:textId="4B84D526" w:rsidR="00013AB2" w:rsidRDefault="00013AB2" w:rsidP="00013AB2">
      <w:r>
        <w:t>Envisagée sous l’angle originel de l’État, la neutralité vis-à-vis de la religion pose des difficultés d’application manifestes, tout en faisant l’objet d’un quasi-consensus du point de vue de sa pertinence.</w:t>
      </w:r>
      <w:r w:rsidR="00260D96">
        <w:t xml:space="preserve"> </w:t>
      </w:r>
      <w:r w:rsidR="009A7205">
        <w:t>Entre autres désaccords, pointons en particulier</w:t>
      </w:r>
      <w:r w:rsidR="00765EFD">
        <w:t xml:space="preserve"> l’exigence d’apparence de neutralité pouvant – ou non – être attendue des fonctionnaires, voire des personnes chargées de l’exécution d’un service public.</w:t>
      </w:r>
      <w:r w:rsidR="0044490F">
        <w:t xml:space="preserve"> </w:t>
      </w:r>
      <w:r>
        <w:t>La difficulté majeure revient à ce que la neutralité soit simultanément considérée, lorsqu’elle joue bien son rôle, comme le garant de la liberté et de la non-discrimination</w:t>
      </w:r>
      <w:r w:rsidRPr="00A809CE">
        <w:t xml:space="preserve"> </w:t>
      </w:r>
      <w:r>
        <w:t>religieuses, et, à l’inverse, lorsqu’elle est considérée comme mal appliquée, comme leur opposant, voire leur pourfendeur.</w:t>
      </w:r>
      <w:r w:rsidR="005674FF">
        <w:t xml:space="preserve"> En</w:t>
      </w:r>
      <w:r w:rsidR="009A317C">
        <w:t xml:space="preserve"> découle</w:t>
      </w:r>
      <w:r w:rsidR="00E21334">
        <w:t xml:space="preserve"> une déclinaison de neutralités </w:t>
      </w:r>
      <w:r w:rsidR="00E21334" w:rsidRPr="008D517D">
        <w:t>adjectivées</w:t>
      </w:r>
      <w:r w:rsidR="00F435DC">
        <w:t>,</w:t>
      </w:r>
      <w:r w:rsidR="00E21334">
        <w:t xml:space="preserve"> </w:t>
      </w:r>
      <w:r w:rsidR="00440AD0" w:rsidRPr="00440AD0">
        <w:t>fondé</w:t>
      </w:r>
      <w:r w:rsidR="00F435DC">
        <w:t>e</w:t>
      </w:r>
      <w:r w:rsidR="00440AD0" w:rsidRPr="00440AD0">
        <w:t xml:space="preserve">s sur les deux variables </w:t>
      </w:r>
      <w:r w:rsidR="00440AD0" w:rsidRPr="00440AD0">
        <w:lastRenderedPageBreak/>
        <w:t>que sont le degré d’ouverture à l’expression religieuse – neutralité inclusive et exclusive</w:t>
      </w:r>
      <w:r w:rsidR="00CF3FC5">
        <w:rPr>
          <w:rStyle w:val="Appelnotedebasdep"/>
          <w:iCs/>
        </w:rPr>
        <w:footnoteReference w:id="35"/>
      </w:r>
      <w:r w:rsidR="00F435DC">
        <w:t xml:space="preserve"> –</w:t>
      </w:r>
      <w:r w:rsidR="00440AD0" w:rsidRPr="00440AD0">
        <w:t xml:space="preserve"> </w:t>
      </w:r>
      <w:r w:rsidR="00E157BC">
        <w:t>et</w:t>
      </w:r>
      <w:r w:rsidR="00440AD0" w:rsidRPr="00440AD0">
        <w:t xml:space="preserve"> le degré d’intervention de l’État – neutralité active et passive</w:t>
      </w:r>
      <w:r w:rsidR="003E1A83" w:rsidRPr="0002450D">
        <w:rPr>
          <w:rStyle w:val="Appelnotedebasdep"/>
          <w:iCs/>
        </w:rPr>
        <w:footnoteReference w:id="36"/>
      </w:r>
      <w:r w:rsidR="003E1A83">
        <w:rPr>
          <w:iCs/>
        </w:rPr>
        <w:t>.</w:t>
      </w:r>
    </w:p>
    <w:p w14:paraId="19A23FE9" w14:textId="67FB5240" w:rsidR="00CE511B" w:rsidRDefault="00CE511B" w:rsidP="00CE511B">
      <w:r>
        <w:t>C’est dans ce contexte mouvant que se pose la question du caractère juridiquement mobilisable et « </w:t>
      </w:r>
      <w:proofErr w:type="spellStart"/>
      <w:r>
        <w:t>opérationnalisable</w:t>
      </w:r>
      <w:proofErr w:type="spellEnd"/>
      <w:r>
        <w:t> » de la neutralité dans l’entreprise privée.</w:t>
      </w:r>
    </w:p>
    <w:p w14:paraId="1DDC6DDA" w14:textId="1ECED84C" w:rsidR="00013AB2" w:rsidRDefault="00013AB2" w:rsidP="00013AB2">
      <w:r>
        <w:t>Comment envisager l’invocation des mêmes notions dans un contexte si différent ? S’agit-il de transposer mécaniquement – si cela est seulement possible – les enseignements tirés de l’application de la neutralité dans le cadre de l’État au contexte de l’entreprise</w:t>
      </w:r>
      <w:r w:rsidR="00260D96">
        <w:t xml:space="preserve"> ? </w:t>
      </w:r>
      <w:r w:rsidR="00CE511B">
        <w:t>Transposer la neutralité de l’État à l’entreprise ne fait-il cependant pas perdre son sens à la notion même de neutralité de l’État</w:t>
      </w:r>
      <w:r w:rsidR="003A19C9">
        <w:t xml:space="preserve"> </w:t>
      </w:r>
      <w:r w:rsidR="00CE511B">
        <w:t>?</w:t>
      </w:r>
      <w:r w:rsidR="00CE511B">
        <w:rPr>
          <w:rStyle w:val="Appelnotedebasdep"/>
        </w:rPr>
        <w:footnoteReference w:id="37"/>
      </w:r>
      <w:r w:rsidR="00CE511B">
        <w:t xml:space="preserve"> Par ailleurs, comment justifier l’invocation de la neutralité dans le contexte de l’entreprise et de ses travailleurs, là où la neutralité imposée à l’État et à ses agents vise avant tout à garantir la liberté religieuse et la non-discrimination des citoyens ?</w:t>
      </w:r>
      <w:r w:rsidR="00CE511B">
        <w:rPr>
          <w:rStyle w:val="Appelnotedebasdep"/>
        </w:rPr>
        <w:footnoteReference w:id="38"/>
      </w:r>
      <w:r w:rsidR="00CE511B">
        <w:t xml:space="preserve"> À </w:t>
      </w:r>
      <w:r w:rsidR="00A569BF">
        <w:t>notre estime</w:t>
      </w:r>
      <w:r w:rsidR="00CE511B">
        <w:t>, la liberté reconnue</w:t>
      </w:r>
      <w:r w:rsidR="0017368F">
        <w:t xml:space="preserve"> par l’État</w:t>
      </w:r>
      <w:r w:rsidR="009B5FA0">
        <w:t xml:space="preserve"> – à travers notamment </w:t>
      </w:r>
      <w:r w:rsidR="0017368F">
        <w:t xml:space="preserve">son obligation de </w:t>
      </w:r>
      <w:r w:rsidR="009B5FA0">
        <w:t>neutralité –</w:t>
      </w:r>
      <w:r w:rsidR="00CE511B">
        <w:t xml:space="preserve"> aux acteurs privé</w:t>
      </w:r>
      <w:r w:rsidR="009B5FA0">
        <w:t>s</w:t>
      </w:r>
      <w:r w:rsidR="00CE511B">
        <w:t xml:space="preserve"> tels que l’entreprise devrait pouvoir inclure </w:t>
      </w:r>
      <w:r w:rsidR="00155972">
        <w:t>la possibilité pour</w:t>
      </w:r>
      <w:r w:rsidR="00CE511B">
        <w:t xml:space="preserve"> ceux-ci </w:t>
      </w:r>
      <w:r w:rsidR="0017368F">
        <w:t>de se référer au concept de</w:t>
      </w:r>
      <w:r w:rsidR="00CE511B">
        <w:t xml:space="preserve"> neutralité</w:t>
      </w:r>
      <w:r w:rsidR="007F2816">
        <w:t xml:space="preserve"> </w:t>
      </w:r>
      <w:r w:rsidR="00EE6B46">
        <w:t>religieuse</w:t>
      </w:r>
      <w:r w:rsidR="008C040A">
        <w:t xml:space="preserve">, dans un sens autonome </w:t>
      </w:r>
      <w:r w:rsidR="00421FA6">
        <w:t>à l’égard de</w:t>
      </w:r>
      <w:r w:rsidR="008C040A">
        <w:t xml:space="preserve"> celui de la neutralité de l’État</w:t>
      </w:r>
      <w:r w:rsidR="00CE511B">
        <w:rPr>
          <w:rStyle w:val="Appelnotedebasdep"/>
        </w:rPr>
        <w:footnoteReference w:id="39"/>
      </w:r>
      <w:r w:rsidR="00B548A0">
        <w:t>.</w:t>
      </w:r>
    </w:p>
    <w:p w14:paraId="174A7718" w14:textId="44AEC2AD" w:rsidR="004E2807" w:rsidRPr="007874E3" w:rsidRDefault="004E2807" w:rsidP="00960BD9">
      <w:pPr>
        <w:pStyle w:val="Paragraphedeliste"/>
      </w:pPr>
      <w:r>
        <w:t xml:space="preserve">Le deuxième motif d’incertitude a trait a fait que </w:t>
      </w:r>
      <w:r w:rsidR="00260D96" w:rsidRPr="00260D96">
        <w:t xml:space="preserve">l’entreprise semble </w:t>
      </w:r>
      <w:r w:rsidR="00822DD4" w:rsidRPr="00822DD4">
        <w:rPr>
          <w:iCs/>
        </w:rPr>
        <w:t>à première vue</w:t>
      </w:r>
      <w:r w:rsidR="00260D96" w:rsidRPr="00822DD4">
        <w:rPr>
          <w:iCs/>
        </w:rPr>
        <w:t xml:space="preserve"> peu</w:t>
      </w:r>
      <w:r w:rsidR="00260D96" w:rsidRPr="00260D96">
        <w:t xml:space="preserve"> concernée par ces enjeux de religion, de neutralité et de laïcité, tant du point de vue de son activité que de sa finalité économique</w:t>
      </w:r>
      <w:r w:rsidR="00260D96" w:rsidRPr="00260D96">
        <w:rPr>
          <w:rStyle w:val="Appelnotedebasdep"/>
        </w:rPr>
        <w:footnoteReference w:id="40"/>
      </w:r>
      <w:r w:rsidR="00B548A0">
        <w:t>.</w:t>
      </w:r>
    </w:p>
    <w:p w14:paraId="31EE51B0" w14:textId="17D2ED54" w:rsidR="007874E3" w:rsidRPr="002F1535" w:rsidRDefault="007874E3" w:rsidP="007874E3">
      <w:r w:rsidRPr="007874E3">
        <w:t xml:space="preserve">Envisagée sous l’angle du droit, la relation qu’entretiennent la religion et l’entreprise présente en réalité une double dimension, correspondant à une </w:t>
      </w:r>
      <w:r w:rsidRPr="008D517D">
        <w:t>indifférence</w:t>
      </w:r>
      <w:r w:rsidRPr="007874E3">
        <w:t xml:space="preserve"> et à </w:t>
      </w:r>
      <w:proofErr w:type="gramStart"/>
      <w:r w:rsidRPr="007874E3">
        <w:t xml:space="preserve">une </w:t>
      </w:r>
      <w:r w:rsidRPr="008D517D">
        <w:t>considération mutuelles</w:t>
      </w:r>
      <w:proofErr w:type="gramEnd"/>
      <w:r w:rsidRPr="007874E3">
        <w:rPr>
          <w:rStyle w:val="Appelnotedebasdep"/>
        </w:rPr>
        <w:footnoteReference w:id="41"/>
      </w:r>
      <w:r w:rsidRPr="007874E3">
        <w:rPr>
          <w:i/>
          <w:iCs/>
        </w:rPr>
        <w:t xml:space="preserve">. </w:t>
      </w:r>
      <w:r w:rsidRPr="007874E3">
        <w:rPr>
          <w:iCs/>
        </w:rPr>
        <w:t>D</w:t>
      </w:r>
      <w:r w:rsidRPr="007874E3">
        <w:t xml:space="preserve">’une part, la religion ne fait </w:t>
      </w:r>
      <w:r w:rsidRPr="008D517D">
        <w:t>a priori</w:t>
      </w:r>
      <w:r w:rsidRPr="007874E3">
        <w:t xml:space="preserve"> pas partie de l’objet de la relation de travail. À de rares exceptions près – telles que l’entreprise de tendance</w:t>
      </w:r>
      <w:r w:rsidR="00447B75">
        <w:rPr>
          <w:rStyle w:val="Appelnotedebasdep"/>
        </w:rPr>
        <w:footnoteReference w:id="42"/>
      </w:r>
      <w:r w:rsidRPr="007874E3">
        <w:fldChar w:fldCharType="begin"/>
      </w:r>
      <w:r w:rsidRPr="007874E3">
        <w:instrText xml:space="preserve"> XE "</w:instrText>
      </w:r>
      <w:r w:rsidRPr="007874E3">
        <w:rPr>
          <w:rFonts w:eastAsia="Times New Roman" w:cs="Calibri"/>
          <w:lang w:eastAsia="fr-BE"/>
        </w:rPr>
        <w:instrText>Entreprise de tendance"</w:instrText>
      </w:r>
      <w:r w:rsidRPr="007874E3">
        <w:instrText xml:space="preserve"> </w:instrText>
      </w:r>
      <w:r w:rsidRPr="007874E3">
        <w:fldChar w:fldCharType="end"/>
      </w:r>
      <w:r w:rsidRPr="007874E3">
        <w:t xml:space="preserve"> –, le contrat unissant travailleur et employeur n’est pas censé s’attarder sur les convictions religieuses de l’une ou de l’autre partie.</w:t>
      </w:r>
      <w:r>
        <w:t xml:space="preserve"> </w:t>
      </w:r>
      <w:r w:rsidRPr="007874E3">
        <w:t xml:space="preserve">D’autre part, la liberté religieuse dont jouit le travailleur en tant que personne titulaire de droits fondamentaux ne s’évanouit pas aux portes de l’entreprise. Sauf justification légitime, l’employeur ne peut dès lors retirer par principe à </w:t>
      </w:r>
      <w:r w:rsidRPr="002F1535">
        <w:t>ses travailleurs la possibilité de manifester leurs convictions religieuses sur le lieu de travail.</w:t>
      </w:r>
    </w:p>
    <w:p w14:paraId="74581EBE" w14:textId="37708066" w:rsidR="00C5272B" w:rsidRPr="00C5272B" w:rsidRDefault="00C5272B" w:rsidP="00960BD9">
      <w:pPr>
        <w:pStyle w:val="Paragraphedeliste"/>
      </w:pPr>
      <w:r>
        <w:t>En tout état de cause, c</w:t>
      </w:r>
      <w:r w:rsidR="00260D96" w:rsidRPr="00260D96">
        <w:t>ette double</w:t>
      </w:r>
      <w:r w:rsidR="00013AB2" w:rsidRPr="00260D96">
        <w:t xml:space="preserve"> incertitude n’a pas empêché certaines entreprises privées, en particulier en Belgique et en France, de s’appuyer sur cette notion pour déployer une politique </w:t>
      </w:r>
      <w:r w:rsidR="00013AB2" w:rsidRPr="008D517D">
        <w:rPr>
          <w:iCs/>
        </w:rPr>
        <w:t>restrictive</w:t>
      </w:r>
      <w:r w:rsidR="00013AB2" w:rsidRPr="00260D96">
        <w:t xml:space="preserve"> de gestion des expressions religieuses sur le lieu de travail</w:t>
      </w:r>
      <w:r w:rsidR="00013AB2" w:rsidRPr="00C5272B">
        <w:t>.</w:t>
      </w:r>
      <w:r w:rsidRPr="00C5272B">
        <w:t xml:space="preserve"> La référence à la neutralité </w:t>
      </w:r>
      <w:r w:rsidRPr="00C5272B">
        <w:lastRenderedPageBreak/>
        <w:t>religieuse n’implique pourtant pas, par elle-même, la restriction des expressions convictionnelles</w:t>
      </w:r>
      <w:r w:rsidR="002D4A3B">
        <w:t xml:space="preserve"> </w:t>
      </w:r>
      <w:r w:rsidRPr="00C5272B">
        <w:t xml:space="preserve">– même si </w:t>
      </w:r>
      <w:r w:rsidRPr="00C5272B">
        <w:rPr>
          <w:i/>
          <w:iCs/>
        </w:rPr>
        <w:t>de facto</w:t>
      </w:r>
      <w:r w:rsidRPr="00C5272B">
        <w:t xml:space="preserve">, comme nous le verrons, l’écrasante majorité des faits d’invocation de la neutralité au sein de l’entreprise </w:t>
      </w:r>
      <w:r w:rsidR="00ED3343">
        <w:t xml:space="preserve">se rapporte à une </w:t>
      </w:r>
      <w:r w:rsidR="00B57AD1">
        <w:t xml:space="preserve">telle </w:t>
      </w:r>
      <w:r w:rsidR="00ED3343">
        <w:t xml:space="preserve">conception </w:t>
      </w:r>
      <w:r w:rsidRPr="00C5272B">
        <w:t>restrictive.</w:t>
      </w:r>
    </w:p>
    <w:p w14:paraId="00D4FE59" w14:textId="60AC351A" w:rsidR="00C5272B" w:rsidRPr="00013AB2" w:rsidRDefault="00B23093" w:rsidP="00C5272B">
      <w:r>
        <w:t>Enfin</w:t>
      </w:r>
      <w:r w:rsidR="00C5272B">
        <w:t>, eu égard à l’occurrence presque toujours conjointe des termes de neutralité et de laïcité dans les débats relatifs au fait religieux dans la société, il est intéressant de se pencher sur le choix fait par la plupart des entreprises concernées</w:t>
      </w:r>
      <w:r w:rsidR="00C5272B">
        <w:rPr>
          <w:rStyle w:val="Appelnotedebasdep"/>
        </w:rPr>
        <w:footnoteReference w:id="43"/>
      </w:r>
      <w:r w:rsidR="00C5272B">
        <w:t xml:space="preserve"> en faveur du vocable de neutralité, au détriment de celui de laïcité. </w:t>
      </w:r>
      <w:r w:rsidR="00C5272B" w:rsidRPr="00B601A0">
        <w:t xml:space="preserve">Si l’on se réfère à la distinction générale développée plus haut entre les notions de laïcité et de neutralité de l’État, la référence à la neutralité semble moins hasardeuse pour l’entreprise. En effet, la laïcité, prise en tant que principe organisateur du régime des cultes au sein d’un système juridique, semble difficilement transposable à l’entreprise. </w:t>
      </w:r>
      <w:r w:rsidR="00EA7E48" w:rsidRPr="00B601A0">
        <w:t>À cela s’ajoute le fait que, dans le contexte belge, la laïcité</w:t>
      </w:r>
      <w:r w:rsidR="000D0F10" w:rsidRPr="00B601A0">
        <w:t xml:space="preserve"> – dite « organisée » –</w:t>
      </w:r>
      <w:r w:rsidR="00EA7E48" w:rsidRPr="00B601A0">
        <w:t xml:space="preserve"> </w:t>
      </w:r>
      <w:r w:rsidR="000D0F10" w:rsidRPr="00B601A0">
        <w:t>désigne avant tout une « conception philosophique non confessionnelle »</w:t>
      </w:r>
      <w:r w:rsidR="000D0F10" w:rsidRPr="00B601A0">
        <w:rPr>
          <w:rStyle w:val="Appelnotedebasdep"/>
        </w:rPr>
        <w:footnoteReference w:id="44"/>
      </w:r>
      <w:r w:rsidR="000D0F10" w:rsidRPr="00B601A0">
        <w:t xml:space="preserve"> </w:t>
      </w:r>
      <w:r w:rsidR="00EA7E48" w:rsidRPr="00B601A0">
        <w:t>bénéfici</w:t>
      </w:r>
      <w:r w:rsidR="000D0F10" w:rsidRPr="00B601A0">
        <w:t>ant</w:t>
      </w:r>
      <w:r w:rsidR="00EA7E48" w:rsidRPr="00B601A0">
        <w:t xml:space="preserve"> d’une reconnaissance par le</w:t>
      </w:r>
      <w:r w:rsidR="000D0F10" w:rsidRPr="00B601A0">
        <w:t>s autorités</w:t>
      </w:r>
      <w:r w:rsidR="00EA7E48" w:rsidRPr="00B601A0">
        <w:t xml:space="preserve">, </w:t>
      </w:r>
      <w:r w:rsidR="00CE511B" w:rsidRPr="00B601A0">
        <w:t>au même titre que les six cultes reconnus</w:t>
      </w:r>
      <w:r w:rsidR="00EA7E48" w:rsidRPr="00B601A0">
        <w:t xml:space="preserve">. </w:t>
      </w:r>
      <w:r w:rsidR="00C5272B" w:rsidRPr="00B601A0">
        <w:t>Le vocable de neutralité semble à l’inverse plus passe-partout, du fait de sa plus grande « </w:t>
      </w:r>
      <w:proofErr w:type="spellStart"/>
      <w:r w:rsidR="00C5272B" w:rsidRPr="00B601A0">
        <w:t>exportabilité</w:t>
      </w:r>
      <w:proofErr w:type="spellEnd"/>
      <w:r w:rsidR="00C5272B" w:rsidRPr="00B601A0">
        <w:t> » en dehors du champ de l’État et de la laïcité</w:t>
      </w:r>
      <w:r w:rsidR="00C5272B" w:rsidRPr="00B601A0">
        <w:rPr>
          <w:rStyle w:val="Appelnotedebasdep"/>
        </w:rPr>
        <w:footnoteReference w:id="45"/>
      </w:r>
      <w:r w:rsidR="00B548A0" w:rsidRPr="00B601A0">
        <w:t>.</w:t>
      </w:r>
    </w:p>
    <w:p w14:paraId="6828EC14" w14:textId="74AF0486" w:rsidR="00EC0634" w:rsidRDefault="00F13DC7" w:rsidP="00D60830">
      <w:pPr>
        <w:pStyle w:val="Titre3"/>
      </w:pPr>
      <w:r>
        <w:t>H</w:t>
      </w:r>
      <w:r w:rsidR="001E2F5D" w:rsidRPr="009620F8">
        <w:t>orizontalisation de la neutralité</w:t>
      </w:r>
    </w:p>
    <w:p w14:paraId="570257A5" w14:textId="06CBA96C" w:rsidR="006765A0" w:rsidRPr="009A2601" w:rsidRDefault="009A2601" w:rsidP="00960BD9">
      <w:pPr>
        <w:pStyle w:val="Paragraphedeliste"/>
      </w:pPr>
      <w:r>
        <w:rPr>
          <w:lang w:val="fr-FR"/>
        </w:rPr>
        <w:t xml:space="preserve">Des lignes qui précèdent, il ressort que les </w:t>
      </w:r>
      <w:r w:rsidR="00785638">
        <w:rPr>
          <w:lang w:val="fr-FR"/>
        </w:rPr>
        <w:t>questionnements autour de l’invocation de la neutralité</w:t>
      </w:r>
      <w:r>
        <w:rPr>
          <w:lang w:val="fr-FR"/>
        </w:rPr>
        <w:t>, déjà nombreux s’agissant de la neutralité de l’État,</w:t>
      </w:r>
      <w:r w:rsidR="00785638">
        <w:rPr>
          <w:lang w:val="fr-FR"/>
        </w:rPr>
        <w:t xml:space="preserve"> </w:t>
      </w:r>
      <w:r w:rsidR="00785638" w:rsidRPr="009A2601">
        <w:rPr>
          <w:lang w:val="fr-FR"/>
        </w:rPr>
        <w:t xml:space="preserve">sont </w:t>
      </w:r>
      <w:r w:rsidR="00785638" w:rsidRPr="008C2D35">
        <w:t>a</w:t>
      </w:r>
      <w:r w:rsidR="00554C12" w:rsidRPr="008C2D35">
        <w:t>ccentués</w:t>
      </w:r>
      <w:r w:rsidR="001E2F5D" w:rsidRPr="009A2601">
        <w:t xml:space="preserve"> par le fait que la neutralité d’entreprise étudiée ici est mobilisée dans un contexte différent de sa sphère d’origine, et soulève ainsi de sérieuses questions quant au sens qui lui est attaché.</w:t>
      </w:r>
    </w:p>
    <w:p w14:paraId="0B0527D1" w14:textId="7F650D10" w:rsidR="001032B8" w:rsidRDefault="001E2F5D" w:rsidP="00125597">
      <w:r w:rsidRPr="009A2601">
        <w:t>Dans ce nouveau contexte, il s’agi</w:t>
      </w:r>
      <w:r w:rsidR="009A2601">
        <w:t>t</w:t>
      </w:r>
      <w:r w:rsidRPr="009A2601">
        <w:t xml:space="preserve"> de tenir compte, à travers le mouvement d’horizontalisation</w:t>
      </w:r>
      <w:r w:rsidRPr="009A2601">
        <w:fldChar w:fldCharType="begin"/>
      </w:r>
      <w:r w:rsidRPr="009A2601">
        <w:instrText xml:space="preserve"> XE "Horizontalisation" </w:instrText>
      </w:r>
      <w:r w:rsidRPr="009A2601">
        <w:fldChar w:fldCharType="end"/>
      </w:r>
      <w:r w:rsidRPr="009A2601">
        <w:t xml:space="preserve"> des droits</w:t>
      </w:r>
      <w:r w:rsidRPr="009A2601">
        <w:fldChar w:fldCharType="begin"/>
      </w:r>
      <w:r w:rsidRPr="009A2601">
        <w:instrText xml:space="preserve"> XE "Horizontalisation:Horizontalisation des droits" </w:instrText>
      </w:r>
      <w:r w:rsidRPr="009A2601">
        <w:fldChar w:fldCharType="end"/>
      </w:r>
      <w:r w:rsidRPr="009A2601">
        <w:t xml:space="preserve"> fondamentaux</w:t>
      </w:r>
      <w:r w:rsidR="00E01810">
        <w:rPr>
          <w:rStyle w:val="Appelnotedebasdep"/>
        </w:rPr>
        <w:footnoteReference w:id="46"/>
      </w:r>
      <w:r w:rsidRPr="009A2601">
        <w:t>, de l’invocation de droits fondamentaux par l’entreprise elle-même, en particulier de la liberté d’entreprise, à l’appui de cette neutralité.</w:t>
      </w:r>
    </w:p>
    <w:p w14:paraId="66164C0C" w14:textId="1F3C8EDB" w:rsidR="00165EAC" w:rsidRDefault="007D5695" w:rsidP="00960BD9">
      <w:pPr>
        <w:pStyle w:val="Paragraphedeliste"/>
      </w:pPr>
      <w:r>
        <w:t>L</w:t>
      </w:r>
      <w:r w:rsidR="00385F6B">
        <w:t xml:space="preserve">’enjeu consiste à </w:t>
      </w:r>
      <w:r w:rsidR="00AF7383">
        <w:t>examiner</w:t>
      </w:r>
      <w:r w:rsidR="00385F6B">
        <w:t xml:space="preserve"> </w:t>
      </w:r>
      <w:r w:rsidR="00AF7383">
        <w:t>dans quelle mesure</w:t>
      </w:r>
      <w:r w:rsidR="00165EAC">
        <w:t xml:space="preserve"> </w:t>
      </w:r>
      <w:r w:rsidR="00385F6B">
        <w:t xml:space="preserve">la référence à la neutralité par l’employeur n’apparaît pas comme un mouvement d’horizontalisation de la neutralité, en tant </w:t>
      </w:r>
      <w:r w:rsidR="00385F6B" w:rsidRPr="00273A41">
        <w:t>qu’</w:t>
      </w:r>
      <w:r w:rsidR="00385F6B" w:rsidRPr="008D517D">
        <w:t>effet miroir</w:t>
      </w:r>
      <w:r w:rsidR="00385F6B" w:rsidRPr="0022566B">
        <w:rPr>
          <w:i/>
          <w:iCs/>
        </w:rPr>
        <w:t xml:space="preserve"> </w:t>
      </w:r>
      <w:r w:rsidR="00385F6B">
        <w:t xml:space="preserve">de l’horizontalisation des droits </w:t>
      </w:r>
      <w:r w:rsidR="00455C79">
        <w:t>de l’homme</w:t>
      </w:r>
      <w:r w:rsidR="00385F6B">
        <w:t xml:space="preserve">. </w:t>
      </w:r>
      <w:r w:rsidR="00165EAC" w:rsidRPr="008D517D">
        <w:t>Par effet miroir</w:t>
      </w:r>
      <w:r w:rsidR="00165EAC" w:rsidRPr="00AF7383">
        <w:rPr>
          <w:i/>
          <w:iCs/>
        </w:rPr>
        <w:t xml:space="preserve">, </w:t>
      </w:r>
      <w:r w:rsidR="00165EAC" w:rsidRPr="008D517D">
        <w:t>nous</w:t>
      </w:r>
      <w:r w:rsidR="00165EAC">
        <w:t xml:space="preserve"> visons l’idée selon laquelle la </w:t>
      </w:r>
      <w:r w:rsidR="00165EAC" w:rsidRPr="008D517D">
        <w:rPr>
          <w:iCs/>
        </w:rPr>
        <w:t>privatisation</w:t>
      </w:r>
      <w:r w:rsidR="00165EAC" w:rsidRPr="008D517D">
        <w:rPr>
          <w:iCs/>
        </w:rPr>
        <w:fldChar w:fldCharType="begin"/>
      </w:r>
      <w:r w:rsidR="00165EAC" w:rsidRPr="008D517D">
        <w:rPr>
          <w:iCs/>
        </w:rPr>
        <w:instrText xml:space="preserve"> XE "</w:instrText>
      </w:r>
      <w:r w:rsidR="00165EAC" w:rsidRPr="00273A41">
        <w:rPr>
          <w:rFonts w:eastAsia="Times New Roman" w:cs="Calibri"/>
          <w:iCs/>
          <w:color w:val="000000"/>
          <w:lang w:eastAsia="fr-BE"/>
        </w:rPr>
        <w:instrText>Privatisation"</w:instrText>
      </w:r>
      <w:r w:rsidR="00165EAC" w:rsidRPr="008D517D">
        <w:rPr>
          <w:iCs/>
        </w:rPr>
        <w:instrText xml:space="preserve"> </w:instrText>
      </w:r>
      <w:r w:rsidR="00165EAC" w:rsidRPr="008D517D">
        <w:rPr>
          <w:iCs/>
        </w:rPr>
        <w:fldChar w:fldCharType="end"/>
      </w:r>
      <w:r w:rsidR="00165EAC">
        <w:t xml:space="preserve"> de la neutralité dans le chef de l’entreprise correspond à une forme d’horizontalisation analogue à l’application des droits fondamentaux entre particuliers. Au cœur de cette horizontalisation, figure en fait la question suivante : est-il possible d’étendre l’application des droits fondamentaux de la sphère publique vers l’entreprise privée sans transposer, dans le même temps, l’exigence de neutralité de l’État à l’entreprise ? À travers l’idée d’effet miroir, la transposition de l’application des droits fondamentaux des relations individu-État aux relations privées aurait pour corollaire cette invocation de la neutralité, non plus par l’État, mais par l’entreprise vis-à-vis des travailleurs.</w:t>
      </w:r>
    </w:p>
    <w:p w14:paraId="00705682" w14:textId="77777777" w:rsidR="00165EAC" w:rsidRPr="00740316" w:rsidRDefault="00165EAC" w:rsidP="00165EAC">
      <w:r>
        <w:lastRenderedPageBreak/>
        <w:t xml:space="preserve">La question du lien entre ces deux horizontalisations peut également être retournée : la neutralité </w:t>
      </w:r>
      <w:r w:rsidRPr="008D517D">
        <w:t>horizontalisée</w:t>
      </w:r>
      <w:r>
        <w:t xml:space="preserve"> n’est-elle pas envisageable que dans la seule mesure où elle s’accompagne d’une transposition des droits fondamentaux de la sphère publique vers l’entreprise ?</w:t>
      </w:r>
    </w:p>
    <w:p w14:paraId="0E19D3E8" w14:textId="71413422" w:rsidR="001A032B" w:rsidRDefault="00165EAC" w:rsidP="00165EAC">
      <w:r>
        <w:t xml:space="preserve">L’intérêt du recours à cette idée de </w:t>
      </w:r>
      <w:r w:rsidRPr="008D517D">
        <w:t>neutralité horizontalisée</w:t>
      </w:r>
      <w:r>
        <w:rPr>
          <w:i/>
        </w:rPr>
        <w:t xml:space="preserve"> </w:t>
      </w:r>
      <w:r>
        <w:t xml:space="preserve">consiste à nous interroger de manière méthodique sur les enjeux du passage de la neutralité de l’État vers l’entreprise, tant du point de vue du champ d’application que de la portée de cette neutralité. La confrontation </w:t>
      </w:r>
      <w:r w:rsidRPr="008D517D">
        <w:t>en miroir</w:t>
      </w:r>
      <w:r>
        <w:t xml:space="preserve"> de ces deux horizontalisations nous permet</w:t>
      </w:r>
      <w:r w:rsidR="001A032B">
        <w:t xml:space="preserve"> </w:t>
      </w:r>
      <w:r>
        <w:t xml:space="preserve">aussi d’envisager quel rapport cette neutralité </w:t>
      </w:r>
      <w:r w:rsidR="007D5695">
        <w:t xml:space="preserve">d’entreprise </w:t>
      </w:r>
      <w:r>
        <w:t>entretient avec les droits fondamentaux invoqués entre particuliers.</w:t>
      </w:r>
    </w:p>
    <w:p w14:paraId="70B36D26" w14:textId="2B592205" w:rsidR="00165EAC" w:rsidRDefault="00165EAC" w:rsidP="00165EAC">
      <w:r>
        <w:t xml:space="preserve">Nous retenons pour ce faire deux formes de </w:t>
      </w:r>
      <w:r w:rsidRPr="008D517D">
        <w:t>neutralité horizontalisée</w:t>
      </w:r>
      <w:r w:rsidR="00B67606">
        <w:rPr>
          <w:i/>
        </w:rPr>
        <w:t xml:space="preserve"> </w:t>
      </w:r>
      <w:r>
        <w:t xml:space="preserve">: la première </w:t>
      </w:r>
      <w:r w:rsidRPr="002E75FB">
        <w:rPr>
          <w:i/>
          <w:iCs/>
        </w:rPr>
        <w:t>transpose</w:t>
      </w:r>
      <w:r>
        <w:t xml:space="preserve"> de manière intacte le concept de neutralité de l’État au sein de l’entreprise, alors que la seconde prend à l’inverse explicitement distance avec la neutralité de l’État, à travers un mouvement de </w:t>
      </w:r>
      <w:r>
        <w:rPr>
          <w:i/>
          <w:iCs/>
        </w:rPr>
        <w:t>privatisation</w:t>
      </w:r>
      <w:r>
        <w:rPr>
          <w:i/>
          <w:iCs/>
        </w:rPr>
        <w:fldChar w:fldCharType="begin"/>
      </w:r>
      <w:r>
        <w:rPr>
          <w:i/>
          <w:iCs/>
        </w:rPr>
        <w:instrText xml:space="preserve"> XE "</w:instrText>
      </w:r>
      <w:r w:rsidRPr="00821CE3">
        <w:rPr>
          <w:rFonts w:eastAsia="Times New Roman" w:cs="Calibri"/>
          <w:color w:val="000000"/>
          <w:lang w:eastAsia="fr-BE"/>
        </w:rPr>
        <w:instrText>Privatisation</w:instrText>
      </w:r>
      <w:r>
        <w:rPr>
          <w:rFonts w:eastAsia="Times New Roman" w:cs="Calibri"/>
          <w:color w:val="000000"/>
          <w:lang w:eastAsia="fr-BE"/>
        </w:rPr>
        <w:instrText>"</w:instrText>
      </w:r>
      <w:r>
        <w:rPr>
          <w:i/>
          <w:iCs/>
        </w:rPr>
        <w:instrText xml:space="preserve"> </w:instrText>
      </w:r>
      <w:r>
        <w:rPr>
          <w:i/>
          <w:iCs/>
        </w:rPr>
        <w:fldChar w:fldCharType="end"/>
      </w:r>
      <w:r>
        <w:t xml:space="preserve"> de la notion de neutralité</w:t>
      </w:r>
      <w:r>
        <w:rPr>
          <w:rStyle w:val="Appelnotedebasdep"/>
        </w:rPr>
        <w:footnoteReference w:id="47"/>
      </w:r>
      <w:r w:rsidR="00B548A0">
        <w:t>.</w:t>
      </w:r>
    </w:p>
    <w:p w14:paraId="2608A6D0" w14:textId="694B9E9A" w:rsidR="003A610A" w:rsidRDefault="005A1DA6" w:rsidP="00960BD9">
      <w:pPr>
        <w:pStyle w:val="Paragraphedeliste"/>
      </w:pPr>
      <w:r>
        <w:t xml:space="preserve">Premièrement, </w:t>
      </w:r>
      <w:r w:rsidRPr="00243E89">
        <w:t>l</w:t>
      </w:r>
      <w:r w:rsidR="00771A6B" w:rsidRPr="00243E89">
        <w:t>’</w:t>
      </w:r>
      <w:r w:rsidR="00771A6B" w:rsidRPr="008D517D">
        <w:t>horizontalisation</w:t>
      </w:r>
      <w:r w:rsidR="00771A6B" w:rsidRPr="008D517D">
        <w:fldChar w:fldCharType="begin"/>
      </w:r>
      <w:r w:rsidR="00771A6B" w:rsidRPr="008D517D">
        <w:instrText xml:space="preserve"> XE "</w:instrText>
      </w:r>
      <w:r w:rsidR="00771A6B" w:rsidRPr="00243E89">
        <w:rPr>
          <w:rFonts w:eastAsia="Times New Roman" w:cs="Calibri"/>
          <w:color w:val="000000"/>
          <w:lang w:eastAsia="fr-BE"/>
        </w:rPr>
        <w:instrText>Horizontalisation"</w:instrText>
      </w:r>
      <w:r w:rsidR="00771A6B" w:rsidRPr="008D517D">
        <w:instrText xml:space="preserve"> </w:instrText>
      </w:r>
      <w:r w:rsidR="00771A6B" w:rsidRPr="008D517D">
        <w:fldChar w:fldCharType="end"/>
      </w:r>
      <w:r w:rsidR="00771A6B" w:rsidRPr="008D517D">
        <w:t>-transposition</w:t>
      </w:r>
      <w:r w:rsidR="00771A6B">
        <w:t xml:space="preserve"> s’entend comme une </w:t>
      </w:r>
      <w:r w:rsidR="00771A6B">
        <w:rPr>
          <w:i/>
        </w:rPr>
        <w:t>extension</w:t>
      </w:r>
      <w:r w:rsidR="00771A6B">
        <w:t xml:space="preserve"> du champ d’application de la neutralité de l’État, dont il est considéré qu’il convient de l’appliquer à la sphère des relations de travail au sein de l’entreprise. Cette volonté d’extension s’inscrit avant tout dans une tendance expansionniste plus globale de la neutralité de l’État au sein de la société</w:t>
      </w:r>
      <w:r w:rsidR="00386EBC">
        <w:t xml:space="preserve">. </w:t>
      </w:r>
      <w:r w:rsidR="0098654F">
        <w:t>Elle</w:t>
      </w:r>
      <w:r w:rsidR="00386EBC">
        <w:t xml:space="preserve"> </w:t>
      </w:r>
      <w:r w:rsidR="002D40D0">
        <w:t>traduit en ce sens</w:t>
      </w:r>
      <w:r w:rsidR="00F951E1">
        <w:t xml:space="preserve"> </w:t>
      </w:r>
      <w:r w:rsidR="002D40D0">
        <w:t xml:space="preserve">un </w:t>
      </w:r>
      <w:r w:rsidR="00F951E1">
        <w:t xml:space="preserve">double mouvement </w:t>
      </w:r>
      <w:r w:rsidR="000001BB">
        <w:t>d</w:t>
      </w:r>
      <w:r w:rsidR="00EF43B2">
        <w:t xml:space="preserve">e </w:t>
      </w:r>
      <w:r w:rsidR="00B56753" w:rsidRPr="008D517D">
        <w:rPr>
          <w:iCs/>
        </w:rPr>
        <w:t>privatisation</w:t>
      </w:r>
      <w:r w:rsidR="00B56753">
        <w:t xml:space="preserve"> des missions de service public ou d’intérêt général </w:t>
      </w:r>
      <w:r w:rsidR="000001BB" w:rsidRPr="00B56753">
        <w:t>d’un</w:t>
      </w:r>
      <w:r w:rsidR="000001BB">
        <w:rPr>
          <w:iCs/>
        </w:rPr>
        <w:t xml:space="preserve"> côté</w:t>
      </w:r>
      <w:r w:rsidR="000001BB">
        <w:rPr>
          <w:i/>
        </w:rPr>
        <w:fldChar w:fldCharType="begin"/>
      </w:r>
      <w:r w:rsidR="000001BB">
        <w:rPr>
          <w:i/>
        </w:rPr>
        <w:instrText xml:space="preserve"> XE "</w:instrText>
      </w:r>
      <w:r w:rsidR="000001BB" w:rsidRPr="00821CE3">
        <w:rPr>
          <w:rFonts w:eastAsia="Times New Roman" w:cs="Calibri"/>
          <w:color w:val="000000"/>
          <w:lang w:eastAsia="fr-BE"/>
        </w:rPr>
        <w:instrText>Privatisation</w:instrText>
      </w:r>
      <w:r w:rsidR="000001BB">
        <w:rPr>
          <w:rFonts w:eastAsia="Times New Roman" w:cs="Calibri"/>
          <w:color w:val="000000"/>
          <w:lang w:eastAsia="fr-BE"/>
        </w:rPr>
        <w:instrText>"</w:instrText>
      </w:r>
      <w:r w:rsidR="000001BB">
        <w:rPr>
          <w:i/>
        </w:rPr>
        <w:instrText xml:space="preserve"> </w:instrText>
      </w:r>
      <w:r w:rsidR="000001BB">
        <w:rPr>
          <w:i/>
        </w:rPr>
        <w:fldChar w:fldCharType="end"/>
      </w:r>
      <w:r w:rsidR="000001BB">
        <w:t>, et d</w:t>
      </w:r>
      <w:r w:rsidR="00386EBC">
        <w:t>’</w:t>
      </w:r>
      <w:r w:rsidR="000001BB">
        <w:t>extension de la sphère d’intervention publique</w:t>
      </w:r>
      <w:r w:rsidR="00386EBC">
        <w:t xml:space="preserve"> de l’autre</w:t>
      </w:r>
      <w:r w:rsidR="000001BB">
        <w:rPr>
          <w:rStyle w:val="Appelnotedebasdep"/>
        </w:rPr>
        <w:footnoteReference w:id="48"/>
      </w:r>
      <w:r w:rsidR="00771A6B">
        <w:t>.</w:t>
      </w:r>
      <w:r w:rsidR="003A610A">
        <w:t xml:space="preserve"> Selon cette approche, dès lors que l’entreprise prend en charge un rôle dévolu autrefois à l’État, lui-même soumis à l’exigence de neutralité, il est logique que cette neutralité soit conjointement transposée de l’État à l’entreprise.</w:t>
      </w:r>
    </w:p>
    <w:p w14:paraId="18B5502F" w14:textId="2A8BD93A" w:rsidR="003A610A" w:rsidRDefault="003A610A" w:rsidP="003A610A">
      <w:r>
        <w:t>Dans cette perspective, le sens et la portée attachés à la neutralité de l’État sont également transposés au contexte de l’entreprise.</w:t>
      </w:r>
      <w:r w:rsidR="003A78E0">
        <w:t xml:space="preserve"> </w:t>
      </w:r>
      <w:r>
        <w:t xml:space="preserve">L’invocation de la neutralité s’envisage donc, dans cette première hypothèse, moins comme une </w:t>
      </w:r>
      <w:r w:rsidRPr="005051CE">
        <w:t>faculté</w:t>
      </w:r>
      <w:r>
        <w:rPr>
          <w:i/>
        </w:rPr>
        <w:t xml:space="preserve"> </w:t>
      </w:r>
      <w:r>
        <w:t xml:space="preserve">de l’entreprise que comme une </w:t>
      </w:r>
      <w:r w:rsidRPr="008D517D">
        <w:t>obligation</w:t>
      </w:r>
      <w:r>
        <w:rPr>
          <w:i/>
        </w:rPr>
        <w:t xml:space="preserve"> </w:t>
      </w:r>
      <w:r>
        <w:t>dont elle est débitrice. Tant la liberté contractuelle entre personnes privées que la liberté d’entreprise cèdent ici le pas à d’autres exigences réputées plus fondamentales, traduites dans l’idée de neutralité.</w:t>
      </w:r>
    </w:p>
    <w:p w14:paraId="7ED1D9A3" w14:textId="79C3FD62" w:rsidR="003A610A" w:rsidRDefault="003A610A" w:rsidP="003A610A">
      <w:r>
        <w:t>La transposition de l’exigence de neutralité de l’État vers l’entreprise soulève rapidement une difficulté importante, liée aux nombreuses incertitudes entourant les implications concrètes qu’emporte la notion dans le champ de l’État.</w:t>
      </w:r>
    </w:p>
    <w:p w14:paraId="539735C1" w14:textId="6EDC9EA5" w:rsidR="003A610A" w:rsidRDefault="003A610A" w:rsidP="003A610A">
      <w:r>
        <w:t>Deux sous</w:t>
      </w:r>
      <w:r>
        <w:noBreakHyphen/>
        <w:t>hypothèses émergent alors quant au sens et à la portée de cette neutralité transposée. La première</w:t>
      </w:r>
      <w:r w:rsidR="000E607D">
        <w:t xml:space="preserve">, </w:t>
      </w:r>
      <w:r w:rsidR="000E607D" w:rsidRPr="008D517D">
        <w:rPr>
          <w:iCs/>
        </w:rPr>
        <w:t>égalitaire</w:t>
      </w:r>
      <w:r w:rsidR="000E607D">
        <w:t>,</w:t>
      </w:r>
      <w:r>
        <w:t xml:space="preserve"> met l’accent sur la non-discrimination</w:t>
      </w:r>
      <w:r w:rsidR="00935EB7">
        <w:t xml:space="preserve"> religieuse</w:t>
      </w:r>
      <w:r w:rsidR="008B5577">
        <w:t xml:space="preserve"> des travailleurs</w:t>
      </w:r>
      <w:r>
        <w:t xml:space="preserve"> comme objectif véritable de la neutralité d’entreprise,</w:t>
      </w:r>
      <w:r w:rsidR="00B134F9">
        <w:t xml:space="preserve"> opposable à l’employeur.</w:t>
      </w:r>
      <w:r>
        <w:t xml:space="preserve"> </w:t>
      </w:r>
      <w:r w:rsidR="00B134F9">
        <w:t>L</w:t>
      </w:r>
      <w:r>
        <w:t>a seconde</w:t>
      </w:r>
      <w:r w:rsidR="00B134F9">
        <w:t xml:space="preserve"> hypothèse</w:t>
      </w:r>
      <w:r>
        <w:t xml:space="preserve"> accorde à la neutralité d’entreprise une valeur en elle-même, dans une perspective </w:t>
      </w:r>
      <w:r w:rsidRPr="00825DD6">
        <w:rPr>
          <w:i/>
          <w:iCs/>
        </w:rPr>
        <w:t>narrative</w:t>
      </w:r>
      <w:bookmarkStart w:id="4" w:name="_Ref112888818"/>
      <w:r w:rsidR="00233F3D" w:rsidRPr="00FA6180">
        <w:rPr>
          <w:rStyle w:val="Appelnotedebasdep"/>
        </w:rPr>
        <w:footnoteReference w:id="49"/>
      </w:r>
      <w:bookmarkEnd w:id="4"/>
      <w:r w:rsidR="00935EB7" w:rsidRPr="00FA6180">
        <w:t xml:space="preserve">, opposable </w:t>
      </w:r>
      <w:r w:rsidR="00FA6180">
        <w:t xml:space="preserve">et applicable </w:t>
      </w:r>
      <w:r w:rsidR="00935EB7">
        <w:t>aux travailleurs</w:t>
      </w:r>
      <w:r>
        <w:t>.</w:t>
      </w:r>
    </w:p>
    <w:p w14:paraId="5521145D" w14:textId="53638D63" w:rsidR="000C7250" w:rsidRDefault="007E4220" w:rsidP="00960BD9">
      <w:pPr>
        <w:pStyle w:val="Paragraphedeliste"/>
      </w:pPr>
      <w:r>
        <w:t xml:space="preserve">La seconde hypothèse d’horizontalisation de la neutralité correspond à </w:t>
      </w:r>
      <w:r w:rsidRPr="008D517D">
        <w:rPr>
          <w:iCs/>
        </w:rPr>
        <w:t>l’horizontalisation</w:t>
      </w:r>
      <w:r w:rsidRPr="00BC3DC7">
        <w:rPr>
          <w:i/>
          <w:iCs/>
        </w:rPr>
        <w:t>-</w:t>
      </w:r>
      <w:r w:rsidRPr="008D517D">
        <w:rPr>
          <w:iCs/>
        </w:rPr>
        <w:t>privatisation</w:t>
      </w:r>
      <w:r>
        <w:t xml:space="preserve"> de la neutralité par l’entreprise</w:t>
      </w:r>
      <w:r w:rsidR="00DD44C2">
        <w:t xml:space="preserve">. </w:t>
      </w:r>
      <w:r w:rsidR="000C7250">
        <w:t>À l’opposé de l’horizontalisation</w:t>
      </w:r>
      <w:r w:rsidR="000C7250">
        <w:fldChar w:fldCharType="begin"/>
      </w:r>
      <w:r w:rsidR="000C7250">
        <w:instrText xml:space="preserve"> XE "</w:instrText>
      </w:r>
      <w:r w:rsidR="000C7250" w:rsidRPr="00821CE3">
        <w:rPr>
          <w:rFonts w:eastAsia="Times New Roman" w:cs="Calibri"/>
          <w:color w:val="000000"/>
          <w:lang w:eastAsia="fr-BE"/>
        </w:rPr>
        <w:instrText>Horizontalisation</w:instrText>
      </w:r>
      <w:r w:rsidR="000C7250">
        <w:rPr>
          <w:rFonts w:eastAsia="Times New Roman" w:cs="Calibri"/>
          <w:color w:val="000000"/>
          <w:lang w:eastAsia="fr-BE"/>
        </w:rPr>
        <w:instrText>"</w:instrText>
      </w:r>
      <w:r w:rsidR="000C7250">
        <w:instrText xml:space="preserve"> </w:instrText>
      </w:r>
      <w:r w:rsidR="000C7250">
        <w:fldChar w:fldCharType="end"/>
      </w:r>
      <w:r w:rsidR="000C7250">
        <w:t>-transposition</w:t>
      </w:r>
      <w:r w:rsidR="00DC621C">
        <w:t>,</w:t>
      </w:r>
      <w:r w:rsidR="000C7250">
        <w:t xml:space="preserve"> </w:t>
      </w:r>
      <w:r w:rsidR="00DC621C">
        <w:t>celle-ci</w:t>
      </w:r>
      <w:r w:rsidR="000C7250">
        <w:t xml:space="preserve"> </w:t>
      </w:r>
      <w:r w:rsidR="000C7250">
        <w:lastRenderedPageBreak/>
        <w:t xml:space="preserve">admet la légitimité de l’invocation de la neutralité dans l’entreprise précisément parce que cette neutralité d’entreprise est </w:t>
      </w:r>
      <w:r w:rsidR="000C7250" w:rsidRPr="008D517D">
        <w:t>différente</w:t>
      </w:r>
      <w:r w:rsidR="000C7250">
        <w:rPr>
          <w:i/>
        </w:rPr>
        <w:t xml:space="preserve"> </w:t>
      </w:r>
      <w:r w:rsidR="000C7250">
        <w:t>de la neutralité de l’État. Selon cette logique, dès lors que l’entreprise est vue comme une sphère privée distincte de la sphère publique de l’État, vouloir y appliquer un concept de neutralité propre à l’État serait absolument contraire à la …neutralité de l’État, cette dernière n’ayant pas vocation à s’appliquer au sein des relations privées.</w:t>
      </w:r>
    </w:p>
    <w:p w14:paraId="0362484B" w14:textId="64575214" w:rsidR="000C7250" w:rsidRDefault="000C7250" w:rsidP="000C7250">
      <w:r>
        <w:t>L’horizontalisation</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w:instrText>
      </w:r>
      <w:r>
        <w:instrText xml:space="preserve"> </w:instrText>
      </w:r>
      <w:r>
        <w:fldChar w:fldCharType="end"/>
      </w:r>
      <w:r>
        <w:t>-privatisation</w:t>
      </w:r>
      <w:r>
        <w:fldChar w:fldCharType="begin"/>
      </w:r>
      <w:r>
        <w:instrText xml:space="preserve"> XE "</w:instrText>
      </w:r>
      <w:r w:rsidRPr="00821CE3">
        <w:rPr>
          <w:rFonts w:eastAsia="Times New Roman" w:cs="Calibri"/>
          <w:color w:val="000000"/>
          <w:lang w:eastAsia="fr-BE"/>
        </w:rPr>
        <w:instrText>Privatisation</w:instrText>
      </w:r>
      <w:r>
        <w:rPr>
          <w:rFonts w:eastAsia="Times New Roman" w:cs="Calibri"/>
          <w:color w:val="000000"/>
          <w:lang w:eastAsia="fr-BE"/>
        </w:rPr>
        <w:instrText>"</w:instrText>
      </w:r>
      <w:r>
        <w:instrText xml:space="preserve"> </w:instrText>
      </w:r>
      <w:r>
        <w:fldChar w:fldCharType="end"/>
      </w:r>
      <w:r>
        <w:t xml:space="preserve"> de la neutralité correspond à un </w:t>
      </w:r>
      <w:r w:rsidRPr="008D517D">
        <w:t>choix</w:t>
      </w:r>
      <w:r>
        <w:t xml:space="preserve"> formulé par l’entreprise, et non à une obligation émanant du cadre juridique étatique, comme c’était le cas dans le modèle d’horizontalisation-transposition.</w:t>
      </w:r>
    </w:p>
    <w:p w14:paraId="597E160F" w14:textId="42F0CEB3" w:rsidR="000C7250" w:rsidRDefault="000C7250">
      <w:r>
        <w:t xml:space="preserve">L’invocation de la neutralité se conçoit avant tout ici dans une perspective de </w:t>
      </w:r>
      <w:r w:rsidRPr="008D517D">
        <w:t>restriction</w:t>
      </w:r>
      <w:r>
        <w:rPr>
          <w:i/>
        </w:rPr>
        <w:t xml:space="preserve"> </w:t>
      </w:r>
      <w:r>
        <w:t>de la liberté religieuse des travailleurs. Dans cette logique, c’est bien par l’effacement du religieux dans la sphère de l’entreprise que la neutralité se concrétise. Cette restriction des droits des travailleurs s’opère alors par le biais d’une renonciation conventionnelle</w:t>
      </w:r>
      <w:r>
        <w:fldChar w:fldCharType="begin"/>
      </w:r>
      <w:r>
        <w:instrText xml:space="preserve"> XE "</w:instrText>
      </w:r>
      <w:r w:rsidRPr="00821CE3">
        <w:rPr>
          <w:rFonts w:eastAsia="Times New Roman" w:cs="Calibri"/>
          <w:color w:val="000000"/>
          <w:lang w:eastAsia="fr-BE"/>
        </w:rPr>
        <w:instrText>Renonciation au droit</w:instrText>
      </w:r>
      <w:r>
        <w:rPr>
          <w:rFonts w:eastAsia="Times New Roman" w:cs="Calibri"/>
          <w:color w:val="000000"/>
          <w:lang w:eastAsia="fr-BE"/>
        </w:rPr>
        <w:instrText>"</w:instrText>
      </w:r>
      <w:r>
        <w:instrText xml:space="preserve"> </w:instrText>
      </w:r>
      <w:r>
        <w:fldChar w:fldCharType="end"/>
      </w:r>
      <w:r w:rsidR="007D5695">
        <w:t xml:space="preserve"> entre personnes privées, rendue possible par l’horizontalisation des droits</w:t>
      </w:r>
      <w:r w:rsidR="007D5695">
        <w:fldChar w:fldCharType="begin"/>
      </w:r>
      <w:r w:rsidR="007D5695">
        <w:instrText xml:space="preserve"> XE "</w:instrText>
      </w:r>
      <w:r w:rsidR="007D5695" w:rsidRPr="00821CE3">
        <w:rPr>
          <w:rFonts w:eastAsia="Times New Roman" w:cs="Calibri"/>
          <w:color w:val="000000"/>
          <w:lang w:eastAsia="fr-BE"/>
        </w:rPr>
        <w:instrText>Horizontalisation</w:instrText>
      </w:r>
      <w:r w:rsidR="007D5695">
        <w:rPr>
          <w:rFonts w:eastAsia="Times New Roman" w:cs="Calibri"/>
          <w:color w:val="000000"/>
          <w:lang w:eastAsia="fr-BE"/>
        </w:rPr>
        <w:instrText>:Horizontalisation des droits"</w:instrText>
      </w:r>
      <w:r w:rsidR="007D5695">
        <w:instrText xml:space="preserve"> </w:instrText>
      </w:r>
      <w:r w:rsidR="007D5695">
        <w:fldChar w:fldCharType="end"/>
      </w:r>
      <w:r w:rsidR="007D5695">
        <w:t xml:space="preserve"> fondamentaux</w:t>
      </w:r>
      <w:r>
        <w:t>. Tant l’employeur que le travailleur sont en effet considérés disposer chacun d’une égale liberté contractuelle et de droits fondamentaux</w:t>
      </w:r>
      <w:r>
        <w:rPr>
          <w:rStyle w:val="Appelnotedebasdep"/>
        </w:rPr>
        <w:footnoteReference w:id="50"/>
      </w:r>
      <w:r>
        <w:t>.</w:t>
      </w:r>
    </w:p>
    <w:p w14:paraId="36828D56" w14:textId="6D8A7405" w:rsidR="00FC0011" w:rsidRPr="00BC213C" w:rsidRDefault="00FC0011" w:rsidP="00165EAC">
      <w:r>
        <w:t>S’agissant de la validité d’une renonciation contractuelle par le travailleur à l’exercice de sa liberté religieuse dans la sphère de l’ent</w:t>
      </w:r>
      <w:r w:rsidR="00B12777">
        <w:t>r</w:t>
      </w:r>
      <w:r>
        <w:t xml:space="preserve">eprise, rappelons le revirement de jurisprudence opéré par la CourEDH, </w:t>
      </w:r>
      <w:r w:rsidR="00BC213C">
        <w:t xml:space="preserve">celle-ci considérant, depuis l’arrêt </w:t>
      </w:r>
      <w:proofErr w:type="spellStart"/>
      <w:r w:rsidR="00BC213C">
        <w:rPr>
          <w:i/>
          <w:iCs/>
        </w:rPr>
        <w:t>Eweida</w:t>
      </w:r>
      <w:proofErr w:type="spellEnd"/>
      <w:r w:rsidR="00BC213C">
        <w:rPr>
          <w:i/>
          <w:iCs/>
        </w:rPr>
        <w:t xml:space="preserve"> e.a. c. Royaume-Uni</w:t>
      </w:r>
      <w:r w:rsidR="00BC213C">
        <w:t xml:space="preserve"> rendu en 2015, </w:t>
      </w:r>
      <w:r w:rsidR="003B41F6">
        <w:t>que la</w:t>
      </w:r>
      <w:r w:rsidR="003B41F6" w:rsidRPr="005371BA">
        <w:t xml:space="preserve"> seule possibilité</w:t>
      </w:r>
      <w:r w:rsidR="003B41F6">
        <w:t xml:space="preserve"> de </w:t>
      </w:r>
      <w:r w:rsidR="003B41F6">
        <w:rPr>
          <w:rFonts w:cs="Times New Roman"/>
        </w:rPr>
        <w:t>changer</w:t>
      </w:r>
      <w:r w:rsidR="003B41F6" w:rsidRPr="00AA2996">
        <w:rPr>
          <w:rFonts w:cs="Times New Roman"/>
        </w:rPr>
        <w:t xml:space="preserve"> d'emploi ne suffit pas à tenir pour garantie la liberté religieuse du travailleur</w:t>
      </w:r>
      <w:r w:rsidR="003B41F6">
        <w:rPr>
          <w:rFonts w:cs="Times New Roman"/>
        </w:rPr>
        <w:t xml:space="preserve"> et à valider une </w:t>
      </w:r>
      <w:r w:rsidR="005C3E85">
        <w:rPr>
          <w:rFonts w:cs="Times New Roman"/>
        </w:rPr>
        <w:t>renonciation</w:t>
      </w:r>
      <w:r w:rsidR="003B41F6">
        <w:rPr>
          <w:rFonts w:cs="Times New Roman"/>
        </w:rPr>
        <w:t xml:space="preserve"> conventionnelle </w:t>
      </w:r>
      <w:r w:rsidR="005C3E85">
        <w:rPr>
          <w:rFonts w:cs="Times New Roman"/>
        </w:rPr>
        <w:t>en la matière</w:t>
      </w:r>
      <w:bookmarkStart w:id="5" w:name="_Ref121660162"/>
      <w:r w:rsidR="003B41F6" w:rsidRPr="00AA2996">
        <w:rPr>
          <w:rFonts w:eastAsia="Calibri" w:cs="Times New Roman"/>
          <w:vertAlign w:val="superscript"/>
        </w:rPr>
        <w:footnoteReference w:id="51"/>
      </w:r>
      <w:bookmarkEnd w:id="5"/>
      <w:r w:rsidR="003B41F6">
        <w:rPr>
          <w:rFonts w:cs="Times New Roman"/>
        </w:rPr>
        <w:t>.</w:t>
      </w:r>
    </w:p>
    <w:p w14:paraId="0A7B44CB" w14:textId="308A67B8" w:rsidR="000C7250" w:rsidRDefault="007F4A12" w:rsidP="00960BD9">
      <w:pPr>
        <w:pStyle w:val="Paragraphedeliste"/>
      </w:pPr>
      <w:r>
        <w:rPr>
          <w:i/>
        </w:rPr>
        <w:t xml:space="preserve">In </w:t>
      </w:r>
      <w:r w:rsidRPr="007F4A12">
        <w:rPr>
          <w:i/>
        </w:rPr>
        <w:t>fine</w:t>
      </w:r>
      <w:r>
        <w:rPr>
          <w:iCs/>
        </w:rPr>
        <w:t xml:space="preserve">, l’on remarque que, </w:t>
      </w:r>
      <w:r w:rsidR="00D23AF6" w:rsidRPr="007F4A12">
        <w:rPr>
          <w:iCs/>
        </w:rPr>
        <w:t>dans</w:t>
      </w:r>
      <w:r w:rsidR="00D23AF6">
        <w:t xml:space="preserve"> chacune de ces hypothèses d’horizontalisation, apparaît la possibilité d’une </w:t>
      </w:r>
      <w:r w:rsidR="00D23AF6" w:rsidRPr="008D517D">
        <w:t>idéologisation</w:t>
      </w:r>
      <w:r w:rsidR="00D23AF6" w:rsidRPr="008D517D">
        <w:fldChar w:fldCharType="begin"/>
      </w:r>
      <w:r w:rsidR="00D23AF6" w:rsidRPr="008D517D">
        <w:instrText xml:space="preserve"> XE "</w:instrText>
      </w:r>
      <w:r w:rsidR="00D23AF6" w:rsidRPr="00243E89">
        <w:rPr>
          <w:rFonts w:eastAsia="Times New Roman" w:cs="Calibri"/>
          <w:color w:val="000000"/>
          <w:lang w:eastAsia="fr-BE"/>
        </w:rPr>
        <w:instrText>Idéologisation"</w:instrText>
      </w:r>
      <w:r w:rsidR="00D23AF6" w:rsidRPr="008D517D">
        <w:instrText xml:space="preserve"> </w:instrText>
      </w:r>
      <w:r w:rsidR="00D23AF6" w:rsidRPr="008D517D">
        <w:fldChar w:fldCharType="end"/>
      </w:r>
      <w:r w:rsidR="00D23AF6">
        <w:t xml:space="preserve"> de la neutralité en entreprise. Cette idéologisation peut s’opérer </w:t>
      </w:r>
      <w:r w:rsidR="00D23AF6" w:rsidRPr="008D517D">
        <w:t>par le haut</w:t>
      </w:r>
      <w:r w:rsidR="00D23AF6">
        <w:t xml:space="preserve">, à travers l’imposition </w:t>
      </w:r>
      <w:r w:rsidR="00243E89">
        <w:t xml:space="preserve">de la </w:t>
      </w:r>
      <w:r w:rsidR="00D23AF6">
        <w:t xml:space="preserve">neutralité à la sphère publique au sens large, entreprise incluse. L’idéologisation </w:t>
      </w:r>
      <w:r w:rsidR="00D23AF6" w:rsidRPr="003F5EBF">
        <w:rPr>
          <w:i/>
        </w:rPr>
        <w:t>par le bas</w:t>
      </w:r>
      <w:r w:rsidR="00D23AF6">
        <w:t xml:space="preserve"> survient lorsque l’entreprise elle-même décide de s’emparer de la neutralité en tant que conviction propre, distincte de la neutralité de l’État.</w:t>
      </w:r>
    </w:p>
    <w:p w14:paraId="40EF52C1" w14:textId="2FF11194" w:rsidR="0058411E" w:rsidRDefault="0058411E" w:rsidP="0058411E">
      <w:pPr>
        <w:pStyle w:val="Titre2"/>
      </w:pPr>
      <w:r>
        <w:t>Religion</w:t>
      </w:r>
    </w:p>
    <w:p w14:paraId="007F7AC3" w14:textId="0930F42D" w:rsidR="00E71EC3" w:rsidRDefault="004261B4" w:rsidP="008D517D">
      <w:pPr>
        <w:pStyle w:val="Paragraphedeliste"/>
      </w:pPr>
      <w:r>
        <w:t xml:space="preserve">La neutralité de l’entreprise examinée ici portant spécifiquement sur </w:t>
      </w:r>
      <w:r w:rsidR="00E85F64">
        <w:t xml:space="preserve">les expressions </w:t>
      </w:r>
      <w:r w:rsidR="00E85F64" w:rsidRPr="00E85F64">
        <w:t>religieuses</w:t>
      </w:r>
      <w:r w:rsidR="007D4B7A">
        <w:rPr>
          <w:rStyle w:val="Appelnotedebasdep"/>
        </w:rPr>
        <w:footnoteReference w:id="52"/>
      </w:r>
      <w:r w:rsidR="00E85F64">
        <w:t xml:space="preserve"> du travailleur</w:t>
      </w:r>
      <w:r>
        <w:t xml:space="preserve">, </w:t>
      </w:r>
      <w:r w:rsidR="00E85F64">
        <w:t xml:space="preserve">il </w:t>
      </w:r>
      <w:r w:rsidR="00955C72">
        <w:t>convient d</w:t>
      </w:r>
      <w:r w:rsidR="004A6258">
        <w:t>e se pencher sur</w:t>
      </w:r>
      <w:r w:rsidR="00E85F64">
        <w:t xml:space="preserve"> la notion de religion</w:t>
      </w:r>
      <w:r w:rsidR="00243E89">
        <w:t xml:space="preserve"> </w:t>
      </w:r>
      <w:r w:rsidR="008044A5" w:rsidRPr="00433C77">
        <w:t xml:space="preserve">: à quelle acception de la religion les principes européens de liberté </w:t>
      </w:r>
      <w:r w:rsidR="008044A5">
        <w:t>e</w:t>
      </w:r>
      <w:r w:rsidR="008044A5" w:rsidRPr="00433C77">
        <w:t xml:space="preserve">t de non-discrimination </w:t>
      </w:r>
      <w:r w:rsidR="008044A5">
        <w:t>religieuses</w:t>
      </w:r>
      <w:r w:rsidR="008044A5" w:rsidRPr="00433C77">
        <w:t xml:space="preserve"> renvoient-ils ?</w:t>
      </w:r>
      <w:r w:rsidR="00E71EC3">
        <w:t xml:space="preserve"> </w:t>
      </w:r>
      <w:r w:rsidR="00243E89">
        <w:lastRenderedPageBreak/>
        <w:t xml:space="preserve">L’appréhension juridique de </w:t>
      </w:r>
      <w:r w:rsidR="00E71EC3">
        <w:t>la religion</w:t>
      </w:r>
      <w:r w:rsidR="00E71EC3">
        <w:rPr>
          <w:rStyle w:val="Appelnotedebasdep"/>
        </w:rPr>
        <w:footnoteReference w:id="53"/>
      </w:r>
      <w:r w:rsidR="00E71EC3">
        <w:t xml:space="preserve"> soulève </w:t>
      </w:r>
      <w:r w:rsidR="00243E89">
        <w:t xml:space="preserve">en effet </w:t>
      </w:r>
      <w:r w:rsidR="00E71EC3">
        <w:t xml:space="preserve">des enjeux </w:t>
      </w:r>
      <w:r w:rsidR="00243E89">
        <w:t>particuliers</w:t>
      </w:r>
      <w:r w:rsidR="00E71EC3">
        <w:t xml:space="preserve"> en comparaison d’autres libertés fondamentales ou d’autres critères de non-discrimination.</w:t>
      </w:r>
    </w:p>
    <w:p w14:paraId="645441E9" w14:textId="15BE97EB" w:rsidR="00E72B5D" w:rsidRDefault="008044A5" w:rsidP="008044A5">
      <w:r>
        <w:t xml:space="preserve">Parmi ces enjeux spécifiques, la question de la définition de la religion </w:t>
      </w:r>
      <w:r w:rsidR="00EC3667">
        <w:t>sera</w:t>
      </w:r>
      <w:r w:rsidR="00F22F3E">
        <w:t xml:space="preserve"> l’objet de notre premier point</w:t>
      </w:r>
      <w:r>
        <w:t xml:space="preserve"> (1)</w:t>
      </w:r>
      <w:r w:rsidR="00D67904">
        <w:t>.</w:t>
      </w:r>
      <w:r>
        <w:t xml:space="preserve"> </w:t>
      </w:r>
      <w:r w:rsidRPr="00B601A0">
        <w:t xml:space="preserve">La liberté spécifique reconnue par le droit vis-à-vis de la religion nous amènera à interroger le caractère précisément spécifique des convictions religieuses, en comparaison </w:t>
      </w:r>
      <w:r w:rsidR="007D4B7A" w:rsidRPr="00B601A0">
        <w:t>d’autres convictions</w:t>
      </w:r>
      <w:r w:rsidRPr="00B601A0">
        <w:t>.</w:t>
      </w:r>
      <w:r w:rsidR="00E72B5D" w:rsidRPr="00997CF3">
        <w:t xml:space="preserve"> Dans</w:t>
      </w:r>
      <w:r w:rsidR="00E72B5D">
        <w:t xml:space="preserve"> un deuxième temps</w:t>
      </w:r>
      <w:r w:rsidR="00E72B5D" w:rsidRPr="00E72B5D">
        <w:t xml:space="preserve">, nous </w:t>
      </w:r>
      <w:r w:rsidR="00243E89">
        <w:t>envisagerons les moyens de preuve permettant à l’individu d’attester l’effectivité de sa propre croyance religieuse</w:t>
      </w:r>
      <w:r w:rsidR="00E72B5D" w:rsidRPr="00E72B5D">
        <w:t xml:space="preserve"> </w:t>
      </w:r>
      <w:r w:rsidR="00E72B5D">
        <w:t>(2)</w:t>
      </w:r>
      <w:r w:rsidR="00E72B5D" w:rsidRPr="00E72B5D">
        <w:t xml:space="preserve">. </w:t>
      </w:r>
      <w:r w:rsidR="00CC25F6" w:rsidRPr="00B601A0">
        <w:t xml:space="preserve">Cette </w:t>
      </w:r>
      <w:r w:rsidR="00243E89" w:rsidRPr="00B601A0">
        <w:t>question entre en lien avec la conception subjective et individuelle de la religion prévalant aujourd’hui en droit</w:t>
      </w:r>
      <w:r w:rsidR="00787CA5" w:rsidRPr="00B601A0">
        <w:t>.</w:t>
      </w:r>
      <w:r w:rsidR="00C8060E" w:rsidRPr="00B601A0">
        <w:t xml:space="preserve"> </w:t>
      </w:r>
      <w:r w:rsidR="00787CA5" w:rsidRPr="00B601A0">
        <w:t>À cette occasion s</w:t>
      </w:r>
      <w:r w:rsidR="00E72B5D" w:rsidRPr="00B601A0">
        <w:t>era</w:t>
      </w:r>
      <w:r w:rsidR="009330A0" w:rsidRPr="00B601A0">
        <w:t xml:space="preserve"> également</w:t>
      </w:r>
      <w:r w:rsidR="00E72B5D" w:rsidRPr="00B601A0">
        <w:t xml:space="preserve"> souligné le paradoxe de la confrontation entre le droit individuel au secret des convictions et la neutralité</w:t>
      </w:r>
      <w:r w:rsidR="009330A0" w:rsidRPr="00B601A0">
        <w:t xml:space="preserve"> de l’État ou de</w:t>
      </w:r>
      <w:r w:rsidR="00C825D6" w:rsidRPr="00B601A0">
        <w:t xml:space="preserve"> l’entreprise</w:t>
      </w:r>
      <w:r w:rsidR="00E72B5D" w:rsidRPr="00B601A0">
        <w:t>.</w:t>
      </w:r>
    </w:p>
    <w:p w14:paraId="3E8C712B" w14:textId="0882E293" w:rsidR="001D4EBF" w:rsidRDefault="00D67904" w:rsidP="008F46FF">
      <w:pPr>
        <w:pStyle w:val="Titre3"/>
        <w:numPr>
          <w:ilvl w:val="0"/>
          <w:numId w:val="11"/>
        </w:numPr>
      </w:pPr>
      <w:r>
        <w:t>Définir la religion</w:t>
      </w:r>
    </w:p>
    <w:p w14:paraId="40E8A6E4" w14:textId="4BD6C326" w:rsidR="001D4EBF" w:rsidRDefault="001D4EBF" w:rsidP="00960BD9">
      <w:pPr>
        <w:pStyle w:val="Paragraphedeliste"/>
      </w:pPr>
      <w:r>
        <w:t xml:space="preserve">Le choix du terme de </w:t>
      </w:r>
      <w:r>
        <w:rPr>
          <w:i/>
          <w:iCs/>
        </w:rPr>
        <w:t>religion</w:t>
      </w:r>
      <w:r>
        <w:t xml:space="preserve"> correspond au libellé commun des deux instruments juridiques sur lesquels nous appuyons principalement notre analyse. Là où la CEDH vise en son article 9 la « liberté de pensée, de conscience</w:t>
      </w:r>
      <w:r>
        <w:fldChar w:fldCharType="begin"/>
      </w:r>
      <w:r>
        <w:instrText xml:space="preserve"> XE "</w:instrText>
      </w:r>
      <w:r w:rsidRPr="00821CE3">
        <w:rPr>
          <w:rFonts w:eastAsia="Times New Roman" w:cs="Calibri"/>
          <w:color w:val="000000"/>
          <w:lang w:eastAsia="fr-BE"/>
        </w:rPr>
        <w:instrText>Conscienc</w:instrText>
      </w:r>
      <w:r>
        <w:rPr>
          <w:rFonts w:eastAsia="Times New Roman" w:cs="Calibri"/>
          <w:color w:val="000000"/>
          <w:lang w:eastAsia="fr-BE"/>
        </w:rPr>
        <w:instrText>e"</w:instrText>
      </w:r>
      <w:r>
        <w:instrText xml:space="preserve"> </w:instrText>
      </w:r>
      <w:r>
        <w:fldChar w:fldCharType="end"/>
      </w:r>
      <w:r>
        <w:t xml:space="preserve"> et de religion »</w:t>
      </w:r>
      <w:r>
        <w:rPr>
          <w:rStyle w:val="Appelnotedebasdep"/>
        </w:rPr>
        <w:footnoteReference w:id="54"/>
      </w:r>
      <w:r>
        <w:t xml:space="preserve">, la </w:t>
      </w:r>
      <w:r w:rsidR="00972B7E">
        <w:t>directive</w:t>
      </w:r>
      <w:r>
        <w:t xml:space="preserve"> 2000/78</w:t>
      </w:r>
      <w:r w:rsidR="00B0746E">
        <w:t>/CE</w:t>
      </w:r>
      <w:r>
        <w:t xml:space="preserve"> prévoit quant à elle, parmi les critères de non-discrimination, « la religion ou les convictions »</w:t>
      </w:r>
      <w:r>
        <w:rPr>
          <w:rStyle w:val="Appelnotedebasdep"/>
        </w:rPr>
        <w:footnoteReference w:id="55"/>
      </w:r>
      <w:r>
        <w:t>.</w:t>
      </w:r>
    </w:p>
    <w:p w14:paraId="474C3473" w14:textId="31575DF7" w:rsidR="00286A39" w:rsidRDefault="00286A39" w:rsidP="00286A39">
      <w:r w:rsidRPr="00CC1CFC">
        <w:t xml:space="preserve">A </w:t>
      </w:r>
      <w:r>
        <w:t xml:space="preserve">lire ces instruments venant consacrer la liberté de religion et la non-discrimination religieuse, l’on réalise rapidement que ceux-ci omettent généralement de définir </w:t>
      </w:r>
      <w:r w:rsidRPr="008D517D">
        <w:rPr>
          <w:iCs/>
        </w:rPr>
        <w:t>l’objet-religion</w:t>
      </w:r>
      <w:r>
        <w:t xml:space="preserve"> qu’ils viennent pourtant de désigner en tant que source de droits fondamentaux</w:t>
      </w:r>
      <w:r>
        <w:rPr>
          <w:rStyle w:val="Appelnotedebasdep"/>
        </w:rPr>
        <w:footnoteReference w:id="56"/>
      </w:r>
      <w:r w:rsidR="00B548A0">
        <w:t>.</w:t>
      </w:r>
    </w:p>
    <w:p w14:paraId="4EFCA8F8" w14:textId="09096C2A" w:rsidR="00717824" w:rsidRDefault="00286A39" w:rsidP="00286A39">
      <w:r>
        <w:t>La raison d’une telle omission s’explique par la difficulté consistant à définir un concept si discuté sans enfermer sa consécration juridique dans une vision particularisante. L’enjeu de la définition des termes employés dans un instrument juridique n’est d’ailleurs pas propre au terme de religion : il est en quelque sorte inhérent à la discipline juridique et au rapport particulier que celle-ci entretient avec le langage naturel</w:t>
      </w:r>
      <w:r>
        <w:rPr>
          <w:rStyle w:val="Appelnotedebasdep"/>
        </w:rPr>
        <w:footnoteReference w:id="57"/>
      </w:r>
      <w:r w:rsidR="00B548A0">
        <w:t>.</w:t>
      </w:r>
      <w:r>
        <w:t xml:space="preserve"> Toutefois, cette difficulté se pose avec acuité s’agissant de la religion, tenant compte de l’exigence de neutralité.</w:t>
      </w:r>
    </w:p>
    <w:p w14:paraId="5743E3C9" w14:textId="264FAA9E" w:rsidR="00122D37" w:rsidRPr="005245B1" w:rsidRDefault="00243E89" w:rsidP="00122D37">
      <w:r>
        <w:t>La</w:t>
      </w:r>
      <w:r w:rsidR="00122D37">
        <w:t xml:space="preserve"> neutralité de l’État fait en effet naître une injonction contradictoire en la matière dans le chef de l’État. D’un côté, pour garantir sa neutralité – et donc</w:t>
      </w:r>
      <w:r w:rsidR="00122D37">
        <w:rPr>
          <w:i/>
          <w:iCs/>
        </w:rPr>
        <w:t>, in fine</w:t>
      </w:r>
      <w:r w:rsidR="00122D37">
        <w:t xml:space="preserve">, la liberté de religion –, l’État est censé s’abstenir d’exprimer un jugement de valeur sur les croyances ou pratiques qu’il considèrerait comme relevant ou non de la religion. D’un autre côté, la liberté de religion telle que reconnue et garantie par l’État, nécessite, pour être juridiquement applicable, que l’on s’entende – à tout le moins </w:t>
      </w:r>
      <w:r w:rsidR="00122D37">
        <w:rPr>
          <w:i/>
          <w:iCs/>
        </w:rPr>
        <w:t>a minima</w:t>
      </w:r>
      <w:r w:rsidR="00122D37">
        <w:t xml:space="preserve"> – sur l’objet de cette liberté </w:t>
      </w:r>
      <w:r w:rsidR="00122D37" w:rsidRPr="008D517D">
        <w:rPr>
          <w:iCs/>
        </w:rPr>
        <w:t>de religion</w:t>
      </w:r>
      <w:r w:rsidR="00122D37">
        <w:rPr>
          <w:rStyle w:val="Appelnotedebasdep"/>
        </w:rPr>
        <w:footnoteReference w:id="58"/>
      </w:r>
      <w:r w:rsidR="00B548A0">
        <w:t>.</w:t>
      </w:r>
    </w:p>
    <w:p w14:paraId="62867F5E" w14:textId="0B75E6BC" w:rsidR="00122D37" w:rsidRDefault="00122D37" w:rsidP="00122D37">
      <w:r>
        <w:lastRenderedPageBreak/>
        <w:t>Comment, dès lors, parvenir à un équilibre entre ces deux exigences antagonistes ? Il s’agit sans doute de reconnaître, que l’ambition d’une neutralité absolue dans la définition de la religion est,</w:t>
      </w:r>
      <w:r w:rsidRPr="00423CBB">
        <w:t xml:space="preserve"> </w:t>
      </w:r>
      <w:r>
        <w:t>à l’instar du choix posé en faveur des principes de laïcité et de neutralité de l’État, illusoire en cette matière</w:t>
      </w:r>
      <w:r w:rsidR="00BF017B">
        <w:rPr>
          <w:rStyle w:val="Appelnotedebasdep"/>
        </w:rPr>
        <w:footnoteReference w:id="59"/>
      </w:r>
      <w:r>
        <w:t>.</w:t>
      </w:r>
    </w:p>
    <w:p w14:paraId="6F04F019" w14:textId="43249D1F" w:rsidR="00C60E75" w:rsidRDefault="00C60E75" w:rsidP="00960BD9">
      <w:pPr>
        <w:pStyle w:val="Paragraphedeliste"/>
      </w:pPr>
      <w:r>
        <w:t xml:space="preserve">Nous nous concentrerons ici sur les réponses de la </w:t>
      </w:r>
      <w:r w:rsidRPr="00C60E75">
        <w:t>CourEDH</w:t>
      </w:r>
      <w:r>
        <w:t xml:space="preserve"> à cet égard, dont l’influence</w:t>
      </w:r>
      <w:r w:rsidRPr="00C60E75">
        <w:t xml:space="preserve"> se marque tant au niveau des juridictions nationales qu’au niveau de la CJUE</w:t>
      </w:r>
      <w:r w:rsidR="00BF017B">
        <w:rPr>
          <w:rStyle w:val="Appelnotedebasdep"/>
        </w:rPr>
        <w:footnoteReference w:id="60"/>
      </w:r>
      <w:r w:rsidR="00B548A0">
        <w:t>.</w:t>
      </w:r>
    </w:p>
    <w:p w14:paraId="3687A9F1" w14:textId="5205A513" w:rsidR="006F3EB0" w:rsidRDefault="00E95822" w:rsidP="006F3EB0">
      <w:r>
        <w:t xml:space="preserve">Dans son arrêt fondateur en la matière, rendu en 1993 dans l’affaire </w:t>
      </w:r>
      <w:proofErr w:type="spellStart"/>
      <w:r>
        <w:rPr>
          <w:i/>
          <w:iCs/>
        </w:rPr>
        <w:t>Kokkinakis</w:t>
      </w:r>
      <w:proofErr w:type="spellEnd"/>
      <w:r>
        <w:t>, la CourEDH</w:t>
      </w:r>
      <w:r w:rsidR="0001429E">
        <w:t>, tout en s’abstenant de définir la notion de religion,</w:t>
      </w:r>
      <w:r>
        <w:t xml:space="preserve"> </w:t>
      </w:r>
      <w:r w:rsidR="0001429E">
        <w:t xml:space="preserve">insiste </w:t>
      </w:r>
      <w:r>
        <w:t xml:space="preserve">sur l’importance fondamentale de </w:t>
      </w:r>
      <w:r w:rsidR="0001429E">
        <w:t>la</w:t>
      </w:r>
      <w:r>
        <w:t xml:space="preserve"> liberté</w:t>
      </w:r>
      <w:r w:rsidR="0001429E">
        <w:t xml:space="preserve"> </w:t>
      </w:r>
      <w:r w:rsidR="00ED42B3">
        <w:t>de</w:t>
      </w:r>
      <w:r w:rsidR="00BF017B">
        <w:t xml:space="preserve"> pensée, de conscience et de</w:t>
      </w:r>
      <w:r w:rsidR="00ED42B3">
        <w:t xml:space="preserve"> religion</w:t>
      </w:r>
      <w:r w:rsidR="0098717E">
        <w:t xml:space="preserve"> </w:t>
      </w:r>
      <w:r w:rsidR="005A2FC0">
        <w:t>en tant qu’assise d’une société démocratique</w:t>
      </w:r>
      <w:r w:rsidR="005A2FC0">
        <w:fldChar w:fldCharType="begin"/>
      </w:r>
      <w:r w:rsidR="005A2FC0">
        <w:instrText xml:space="preserve"> XE "</w:instrText>
      </w:r>
      <w:r w:rsidR="005A2FC0">
        <w:rPr>
          <w:rFonts w:eastAsia="Times New Roman" w:cs="Calibri"/>
          <w:color w:val="000000"/>
          <w:lang w:eastAsia="fr-BE"/>
        </w:rPr>
        <w:instrText>Démocratie"</w:instrText>
      </w:r>
      <w:r w:rsidR="005A2FC0">
        <w:instrText xml:space="preserve"> </w:instrText>
      </w:r>
      <w:r w:rsidR="005A2FC0">
        <w:fldChar w:fldCharType="end"/>
      </w:r>
      <w:r w:rsidR="005A2FC0">
        <w:t>, et sur le lien particulier que celle-ci entretient avec le concept de pluralisme</w:t>
      </w:r>
      <w:r w:rsidR="005A2FC0">
        <w:fldChar w:fldCharType="begin"/>
      </w:r>
      <w:r w:rsidR="005A2FC0">
        <w:instrText xml:space="preserve"> XE "</w:instrText>
      </w:r>
      <w:r w:rsidR="005A2FC0" w:rsidRPr="00821CE3">
        <w:rPr>
          <w:rFonts w:eastAsia="Times New Roman" w:cs="Calibri"/>
          <w:color w:val="000000"/>
          <w:lang w:eastAsia="fr-BE"/>
        </w:rPr>
        <w:instrText>Pluralisme</w:instrText>
      </w:r>
      <w:r w:rsidR="005A2FC0">
        <w:rPr>
          <w:rFonts w:eastAsia="Times New Roman" w:cs="Calibri"/>
          <w:color w:val="000000"/>
          <w:lang w:eastAsia="fr-BE"/>
        </w:rPr>
        <w:instrText>"</w:instrText>
      </w:r>
      <w:r w:rsidR="005A2FC0">
        <w:instrText xml:space="preserve"> </w:instrText>
      </w:r>
      <w:r w:rsidR="005A2FC0">
        <w:fldChar w:fldCharType="end"/>
      </w:r>
      <w:r>
        <w:rPr>
          <w:rStyle w:val="Appelnotedebasdep"/>
        </w:rPr>
        <w:footnoteReference w:id="61"/>
      </w:r>
      <w:r w:rsidR="00C027C5">
        <w:t>.</w:t>
      </w:r>
      <w:r w:rsidR="00E875CF">
        <w:t xml:space="preserve"> Dans l’arrêt </w:t>
      </w:r>
      <w:proofErr w:type="spellStart"/>
      <w:r w:rsidR="00AE2711">
        <w:rPr>
          <w:i/>
          <w:iCs/>
        </w:rPr>
        <w:t>Eweida</w:t>
      </w:r>
      <w:proofErr w:type="spellEnd"/>
      <w:r w:rsidR="00AE2711">
        <w:rPr>
          <w:i/>
          <w:iCs/>
        </w:rPr>
        <w:t xml:space="preserve"> e.a.</w:t>
      </w:r>
      <w:r w:rsidR="00AE2711">
        <w:t xml:space="preserve"> </w:t>
      </w:r>
      <w:r w:rsidR="00E875CF">
        <w:t>rendu deux décennies plus tard, la</w:t>
      </w:r>
      <w:r w:rsidR="00AE2711">
        <w:t xml:space="preserve"> Cour</w:t>
      </w:r>
      <w:r w:rsidR="00E875CF">
        <w:t xml:space="preserve"> précise </w:t>
      </w:r>
      <w:r w:rsidR="00AE2711">
        <w:t>que « [la] liberté religieuse relève avant tout de la pensée et de la conscience</w:t>
      </w:r>
      <w:r w:rsidR="00AE2711">
        <w:fldChar w:fldCharType="begin"/>
      </w:r>
      <w:r w:rsidR="00AE2711">
        <w:instrText xml:space="preserve"> XE "</w:instrText>
      </w:r>
      <w:r w:rsidR="00AE2711" w:rsidRPr="00821CE3">
        <w:rPr>
          <w:rFonts w:eastAsia="Times New Roman" w:cs="Calibri"/>
          <w:color w:val="000000"/>
          <w:lang w:eastAsia="fr-BE"/>
        </w:rPr>
        <w:instrText>Conscienc</w:instrText>
      </w:r>
      <w:r w:rsidR="00AE2711">
        <w:rPr>
          <w:rFonts w:eastAsia="Times New Roman" w:cs="Calibri"/>
          <w:color w:val="000000"/>
          <w:lang w:eastAsia="fr-BE"/>
        </w:rPr>
        <w:instrText>e"</w:instrText>
      </w:r>
      <w:r w:rsidR="00AE2711">
        <w:instrText xml:space="preserve"> </w:instrText>
      </w:r>
      <w:r w:rsidR="00AE2711">
        <w:fldChar w:fldCharType="end"/>
      </w:r>
      <w:r w:rsidR="00AE2711">
        <w:t xml:space="preserve"> de chacun »</w:t>
      </w:r>
      <w:r w:rsidR="00AE2711">
        <w:rPr>
          <w:rStyle w:val="Appelnotedebasdep"/>
        </w:rPr>
        <w:footnoteReference w:id="62"/>
      </w:r>
      <w:r w:rsidR="00AE2711">
        <w:t>.</w:t>
      </w:r>
      <w:r w:rsidR="00E875CF">
        <w:t xml:space="preserve"> C</w:t>
      </w:r>
      <w:r w:rsidR="006F3EB0">
        <w:t>ette conscience individuelle ne se rattache pour autant pas à n’importe quel type de convictions, celles-ci devant présenter « un degré suffisant de force, de sérieux, de cohérence et d’importance »</w:t>
      </w:r>
      <w:r w:rsidR="006F3EB0">
        <w:rPr>
          <w:rStyle w:val="Appelnotedebasdep"/>
        </w:rPr>
        <w:footnoteReference w:id="63"/>
      </w:r>
      <w:r w:rsidR="006F3EB0">
        <w:t>.</w:t>
      </w:r>
    </w:p>
    <w:p w14:paraId="02AE52BF" w14:textId="730A4A6C" w:rsidR="00147634" w:rsidRDefault="00147634" w:rsidP="00E95822">
      <w:r>
        <w:t>Ainsi, e</w:t>
      </w:r>
      <w:r w:rsidR="00D222F7">
        <w:t>n visant respectivement « la liberté de pensée, de conscience et de religion » et « la religion ou les convictions »</w:t>
      </w:r>
      <w:bookmarkStart w:id="7" w:name="_Ref48766922"/>
      <w:r w:rsidR="00926893">
        <w:rPr>
          <w:rStyle w:val="Appelnotedebasdep"/>
        </w:rPr>
        <w:footnoteReference w:id="64"/>
      </w:r>
      <w:bookmarkEnd w:id="7"/>
      <w:r w:rsidR="00926893">
        <w:t>, la CEDH</w:t>
      </w:r>
      <w:r w:rsidR="00473B12">
        <w:rPr>
          <w:rStyle w:val="Appelnotedebasdep"/>
        </w:rPr>
        <w:footnoteReference w:id="65"/>
      </w:r>
      <w:r w:rsidR="00473B12">
        <w:t xml:space="preserve"> </w:t>
      </w:r>
      <w:r w:rsidR="00926893">
        <w:t>et la Directive incluent</w:t>
      </w:r>
      <w:r>
        <w:t xml:space="preserve"> aussi</w:t>
      </w:r>
      <w:r w:rsidR="006F3EB0">
        <w:t xml:space="preserve"> </w:t>
      </w:r>
      <w:r w:rsidR="00926893">
        <w:t>dans leur champ</w:t>
      </w:r>
      <w:r w:rsidR="0078419C">
        <w:t xml:space="preserve"> de protection</w:t>
      </w:r>
      <w:r w:rsidR="00926893">
        <w:t xml:space="preserve"> </w:t>
      </w:r>
      <w:r w:rsidR="006F3EB0">
        <w:t>des</w:t>
      </w:r>
      <w:r w:rsidR="004277D8">
        <w:t xml:space="preserve"> convictions</w:t>
      </w:r>
      <w:r w:rsidR="00612002">
        <w:t xml:space="preserve"> </w:t>
      </w:r>
      <w:proofErr w:type="spellStart"/>
      <w:r w:rsidR="00612002">
        <w:t>areligieuses</w:t>
      </w:r>
      <w:proofErr w:type="spellEnd"/>
      <w:r w:rsidR="00612002">
        <w:t>, non religieuses ou</w:t>
      </w:r>
      <w:r w:rsidR="004277D8">
        <w:t xml:space="preserve"> ne se rapportant pas à une religion au sens commun, </w:t>
      </w:r>
      <w:r w:rsidR="0078419C">
        <w:t xml:space="preserve">mais </w:t>
      </w:r>
      <w:r w:rsidR="004F13C2">
        <w:t xml:space="preserve">qui n’en constituent pas moins </w:t>
      </w:r>
      <w:r w:rsidR="004F13C2" w:rsidRPr="00C73FFD">
        <w:t xml:space="preserve">des « convictions </w:t>
      </w:r>
      <w:r w:rsidR="00D327FB" w:rsidRPr="00C73FFD">
        <w:t>ultimes</w:t>
      </w:r>
      <w:r w:rsidR="004F13C2" w:rsidRPr="00C73FFD">
        <w:t> »</w:t>
      </w:r>
      <w:r w:rsidR="00D327FB" w:rsidRPr="00C73FFD">
        <w:rPr>
          <w:rStyle w:val="Appelnotedebasdep"/>
        </w:rPr>
        <w:t xml:space="preserve"> </w:t>
      </w:r>
      <w:r w:rsidR="00D327FB" w:rsidRPr="00C73FFD">
        <w:rPr>
          <w:rStyle w:val="Appelnotedebasdep"/>
        </w:rPr>
        <w:footnoteReference w:id="66"/>
      </w:r>
      <w:r w:rsidR="00C73FFD">
        <w:t>.</w:t>
      </w:r>
    </w:p>
    <w:p w14:paraId="3F6ADBEC" w14:textId="3B7A2DD5" w:rsidR="00E875CF" w:rsidRDefault="00E53BAA">
      <w:r>
        <w:lastRenderedPageBreak/>
        <w:t>L’importance particulière reconnue à ces convictions explique la protection spécifique dont celles-ci bénéficient, au titre de la liberté de religion</w:t>
      </w:r>
      <w:r w:rsidR="001F5331">
        <w:t xml:space="preserve">. Les </w:t>
      </w:r>
      <w:r>
        <w:t xml:space="preserve">convictions </w:t>
      </w:r>
      <w:r w:rsidR="001F5331">
        <w:t>« </w:t>
      </w:r>
      <w:r>
        <w:t>ordinaires</w:t>
      </w:r>
      <w:r w:rsidR="001F5331">
        <w:t> », en ce compris les opinions politiques,</w:t>
      </w:r>
      <w:r w:rsidR="00AD7CC6">
        <w:t xml:space="preserve"> ne bénéfici</w:t>
      </w:r>
      <w:r w:rsidR="001F5331">
        <w:t>e</w:t>
      </w:r>
      <w:r w:rsidR="00AD7CC6">
        <w:t>nt</w:t>
      </w:r>
      <w:r w:rsidR="001F5331">
        <w:t xml:space="preserve"> quant</w:t>
      </w:r>
      <w:r w:rsidR="00AD7CC6">
        <w:t xml:space="preserve"> </w:t>
      </w:r>
      <w:r w:rsidR="001F5331">
        <w:t xml:space="preserve">à elles </w:t>
      </w:r>
      <w:r w:rsidR="00AD7CC6">
        <w:t>que de la protection tirée de l’article 10 de la CEDH relative à la liberté d’expression</w:t>
      </w:r>
      <w:r w:rsidR="00C54138">
        <w:t>,</w:t>
      </w:r>
      <w:r w:rsidR="00F234B3">
        <w:t xml:space="preserve"> et </w:t>
      </w:r>
      <w:r w:rsidR="00C54138">
        <w:t>ne font par ailleurs</w:t>
      </w:r>
      <w:r w:rsidR="00F234B3">
        <w:t xml:space="preserve"> pas </w:t>
      </w:r>
      <w:r w:rsidR="00C54138">
        <w:t>partie d</w:t>
      </w:r>
      <w:r w:rsidR="001F5331">
        <w:t xml:space="preserve">es critères protégés par la </w:t>
      </w:r>
      <w:r w:rsidR="00972B7E">
        <w:t>directive</w:t>
      </w:r>
      <w:r w:rsidR="001F5331">
        <w:t xml:space="preserve"> 2000/78</w:t>
      </w:r>
      <w:bookmarkStart w:id="8" w:name="_Ref25313862"/>
      <w:r w:rsidR="00B0746E">
        <w:t>/CE</w:t>
      </w:r>
      <w:r w:rsidR="001F5331">
        <w:rPr>
          <w:rStyle w:val="Appelnotedebasdep"/>
        </w:rPr>
        <w:footnoteReference w:id="67"/>
      </w:r>
      <w:bookmarkEnd w:id="8"/>
      <w:r w:rsidR="001F5331">
        <w:t>.</w:t>
      </w:r>
      <w:r w:rsidR="00437617">
        <w:t xml:space="preserve"> Cette approche </w:t>
      </w:r>
      <w:r w:rsidR="003205D5">
        <w:t xml:space="preserve">est </w:t>
      </w:r>
      <w:proofErr w:type="gramStart"/>
      <w:r w:rsidR="003205D5">
        <w:t>du reste confirmée</w:t>
      </w:r>
      <w:proofErr w:type="gramEnd"/>
      <w:r w:rsidR="003205D5">
        <w:t xml:space="preserve"> par la CJUE dans l’arrêt </w:t>
      </w:r>
      <w:r w:rsidR="003205D5">
        <w:rPr>
          <w:i/>
        </w:rPr>
        <w:t>LF c. SCRL</w:t>
      </w:r>
      <w:r w:rsidR="003205D5" w:rsidRPr="008D517D">
        <w:rPr>
          <w:rStyle w:val="Appelnotedebasdep"/>
        </w:rPr>
        <w:footnoteReference w:id="68"/>
      </w:r>
      <w:r w:rsidR="003205D5" w:rsidRPr="003205D5">
        <w:t>.</w:t>
      </w:r>
    </w:p>
    <w:p w14:paraId="2F767D21" w14:textId="0E438BA3" w:rsidR="00434B8C" w:rsidRPr="004D162E" w:rsidRDefault="00E264E9" w:rsidP="00960BD9">
      <w:pPr>
        <w:pStyle w:val="Paragraphedeliste"/>
      </w:pPr>
      <w:r>
        <w:t xml:space="preserve">Rappelons par ailleurs la distinction cardinale établie </w:t>
      </w:r>
      <w:r w:rsidR="004D162E">
        <w:t xml:space="preserve">entre le </w:t>
      </w:r>
      <w:r w:rsidR="003E7811" w:rsidRPr="003E7811">
        <w:t>for interne (</w:t>
      </w:r>
      <w:r w:rsidR="003E7811" w:rsidRPr="003E7811">
        <w:rPr>
          <w:i/>
          <w:iCs/>
        </w:rPr>
        <w:t>forum</w:t>
      </w:r>
      <w:r w:rsidR="003E7811" w:rsidRPr="003E7811">
        <w:t xml:space="preserve"> </w:t>
      </w:r>
      <w:proofErr w:type="spellStart"/>
      <w:r w:rsidR="003E7811" w:rsidRPr="003E7811">
        <w:rPr>
          <w:i/>
          <w:iCs/>
        </w:rPr>
        <w:t>internum</w:t>
      </w:r>
      <w:proofErr w:type="spellEnd"/>
      <w:r w:rsidR="003E7811" w:rsidRPr="003E7811">
        <w:t>) et le for externe (</w:t>
      </w:r>
      <w:r w:rsidR="003E7811" w:rsidRPr="003E7811">
        <w:rPr>
          <w:i/>
          <w:iCs/>
        </w:rPr>
        <w:t xml:space="preserve">forum </w:t>
      </w:r>
      <w:proofErr w:type="spellStart"/>
      <w:r w:rsidR="003E7811" w:rsidRPr="003E7811">
        <w:rPr>
          <w:i/>
          <w:iCs/>
        </w:rPr>
        <w:t>externum</w:t>
      </w:r>
      <w:proofErr w:type="spellEnd"/>
      <w:r w:rsidR="003E7811" w:rsidRPr="003E7811">
        <w:t>)</w:t>
      </w:r>
      <w:r w:rsidR="003E7811">
        <w:t xml:space="preserve"> </w:t>
      </w:r>
      <w:r w:rsidR="002F18ED">
        <w:t>de la liberté de religion</w:t>
      </w:r>
      <w:r w:rsidR="008F24EE">
        <w:t xml:space="preserve">. L’enjeu de </w:t>
      </w:r>
      <w:r w:rsidR="004D162E" w:rsidRPr="004D162E">
        <w:t xml:space="preserve">cette distinction porte sur les restrictions admises par la CEDH au sujet de la liberté de religion. Là où le </w:t>
      </w:r>
      <w:r w:rsidR="004D162E" w:rsidRPr="004D162E">
        <w:rPr>
          <w:i/>
          <w:iCs/>
        </w:rPr>
        <w:t xml:space="preserve">forum </w:t>
      </w:r>
      <w:proofErr w:type="spellStart"/>
      <w:r w:rsidR="004D162E" w:rsidRPr="004D162E">
        <w:rPr>
          <w:i/>
          <w:iCs/>
        </w:rPr>
        <w:t>internum</w:t>
      </w:r>
      <w:proofErr w:type="spellEnd"/>
      <w:r w:rsidR="004D162E" w:rsidRPr="007F034E">
        <w:fldChar w:fldCharType="begin"/>
      </w:r>
      <w:r w:rsidR="004D162E" w:rsidRPr="007F034E">
        <w:instrText xml:space="preserve"> XE "Forum internum et Forum externum" </w:instrText>
      </w:r>
      <w:r w:rsidR="004D162E" w:rsidRPr="007F034E">
        <w:fldChar w:fldCharType="end"/>
      </w:r>
      <w:r w:rsidR="007F034E" w:rsidRPr="007F034E">
        <w:rPr>
          <w:rStyle w:val="Appelnotedebasdep"/>
        </w:rPr>
        <w:footnoteReference w:id="69"/>
      </w:r>
      <w:r w:rsidR="007F034E">
        <w:t xml:space="preserve"> </w:t>
      </w:r>
      <w:r w:rsidR="004D162E" w:rsidRPr="007F034E">
        <w:t>n</w:t>
      </w:r>
      <w:r w:rsidR="004D162E" w:rsidRPr="004D162E">
        <w:t xml:space="preserve">e peut se voir appliquer de restriction, les manifestations religieuses qui constituent le </w:t>
      </w:r>
      <w:r w:rsidR="004D162E" w:rsidRPr="004D162E">
        <w:rPr>
          <w:i/>
          <w:iCs/>
        </w:rPr>
        <w:t xml:space="preserve">forum </w:t>
      </w:r>
      <w:proofErr w:type="spellStart"/>
      <w:r w:rsidR="004D162E" w:rsidRPr="004D162E">
        <w:rPr>
          <w:i/>
          <w:iCs/>
        </w:rPr>
        <w:t>externum</w:t>
      </w:r>
      <w:proofErr w:type="spellEnd"/>
      <w:r w:rsidR="004D162E" w:rsidRPr="004D162E">
        <w:t xml:space="preserve"> de cette même liberté peuvent quant à elles faire l’objet de restrictions, sous réserve du respect des conditions énumérées au second paragraphe de l’article 9</w:t>
      </w:r>
      <w:r w:rsidR="009C5176">
        <w:rPr>
          <w:rStyle w:val="Appelnotedebasdep"/>
        </w:rPr>
        <w:footnoteReference w:id="70"/>
      </w:r>
      <w:r w:rsidR="009C5176">
        <w:t>.</w:t>
      </w:r>
    </w:p>
    <w:p w14:paraId="21B51D6B" w14:textId="660A96EB" w:rsidR="00665302" w:rsidRDefault="00530103" w:rsidP="00E95822">
      <w:r w:rsidRPr="00CB6A54">
        <w:t>Le for externe</w:t>
      </w:r>
      <w:r w:rsidR="00434B8C" w:rsidRPr="00CB6A54">
        <w:t xml:space="preserve"> dernier vise donc les manifestations de la croyance religieuse, sans pour autant qu’y soit englobé « tout acte inspiré, motivé ou influencé par elle »</w:t>
      </w:r>
      <w:r w:rsidR="00434B8C" w:rsidRPr="00CB6A54">
        <w:rPr>
          <w:rStyle w:val="Appelnotedebasdep"/>
        </w:rPr>
        <w:footnoteReference w:id="71"/>
      </w:r>
      <w:r w:rsidR="00434B8C" w:rsidRPr="00CB6A54">
        <w:t>.</w:t>
      </w:r>
      <w:r w:rsidR="00C654B6" w:rsidRPr="00CB6A54">
        <w:t xml:space="preserve"> </w:t>
      </w:r>
      <w:r w:rsidR="00463D35" w:rsidRPr="00CB6A54">
        <w:t>Reste en effet encore à démontrer l’existence d’un lien direct et suffisamment étroit entre la croyance et la manifestation.</w:t>
      </w:r>
      <w:r w:rsidR="005E4C8C" w:rsidRPr="00CB6A54">
        <w:t xml:space="preserve"> </w:t>
      </w:r>
      <w:r w:rsidR="002A5595" w:rsidRPr="00CB6A54">
        <w:t>De cette approche casuistique, il peut être difficile d’anticiper la réponse de la CourEDH concernant « l’existence d’un lien suffisamment étroit et direct » entre la manifestation et la conviction</w:t>
      </w:r>
      <w:r w:rsidR="002A5595" w:rsidRPr="00CB6A54">
        <w:rPr>
          <w:vertAlign w:val="superscript"/>
        </w:rPr>
        <w:footnoteReference w:id="72"/>
      </w:r>
      <w:r w:rsidR="00B548A0">
        <w:t>.</w:t>
      </w:r>
      <w:r w:rsidR="002A5595" w:rsidRPr="00CB6A54">
        <w:t xml:space="preserve"> </w:t>
      </w:r>
    </w:p>
    <w:p w14:paraId="3730C955" w14:textId="2B368D22" w:rsidR="00434B8C" w:rsidRDefault="002A5595" w:rsidP="00E95822">
      <w:r w:rsidRPr="00CB6A54">
        <w:t xml:space="preserve">Dans le contexte de l’entreprise, </w:t>
      </w:r>
      <w:r w:rsidR="00437617">
        <w:t xml:space="preserve">cette question peut renvoyer aux </w:t>
      </w:r>
      <w:r w:rsidR="00437617" w:rsidRPr="00CB6A54">
        <w:t>refus d’effectuer une tâche considérée par le travailleur comme contribuant à un acte que sa religion ou ses convictions réprouvent</w:t>
      </w:r>
      <w:r w:rsidR="00437617">
        <w:t xml:space="preserve">. Parmi ces </w:t>
      </w:r>
      <w:r w:rsidR="00437617" w:rsidRPr="00CB6A54">
        <w:t>« </w:t>
      </w:r>
      <w:proofErr w:type="spellStart"/>
      <w:r w:rsidR="00437617" w:rsidRPr="00CB6A54">
        <w:rPr>
          <w:i/>
          <w:iCs/>
        </w:rPr>
        <w:t>complicity-based</w:t>
      </w:r>
      <w:proofErr w:type="spellEnd"/>
      <w:r w:rsidR="00437617" w:rsidRPr="00CB6A54">
        <w:rPr>
          <w:i/>
          <w:iCs/>
        </w:rPr>
        <w:t xml:space="preserve"> conscience</w:t>
      </w:r>
      <w:r w:rsidR="00437617" w:rsidRPr="00CB6A54">
        <w:rPr>
          <w:i/>
          <w:iCs/>
        </w:rPr>
        <w:fldChar w:fldCharType="begin"/>
      </w:r>
      <w:r w:rsidR="00437617" w:rsidRPr="00CB6A54">
        <w:rPr>
          <w:i/>
          <w:iCs/>
        </w:rPr>
        <w:instrText xml:space="preserve"> XE "</w:instrText>
      </w:r>
      <w:r w:rsidR="00437617" w:rsidRPr="00CB6A54">
        <w:instrText>Conscience"</w:instrText>
      </w:r>
      <w:r w:rsidR="00437617" w:rsidRPr="00CB6A54">
        <w:rPr>
          <w:i/>
          <w:iCs/>
        </w:rPr>
        <w:instrText xml:space="preserve"> </w:instrText>
      </w:r>
      <w:r w:rsidR="00437617" w:rsidRPr="00CB6A54">
        <w:rPr>
          <w:i/>
          <w:iCs/>
        </w:rPr>
        <w:fldChar w:fldCharType="end"/>
      </w:r>
      <w:r w:rsidR="00437617" w:rsidRPr="00CB6A54">
        <w:rPr>
          <w:i/>
          <w:iCs/>
        </w:rPr>
        <w:t xml:space="preserve"> claims</w:t>
      </w:r>
      <w:r w:rsidR="00437617" w:rsidRPr="00CB6A54">
        <w:t> »</w:t>
      </w:r>
      <w:r w:rsidR="00437617" w:rsidRPr="00CB6A54">
        <w:rPr>
          <w:vertAlign w:val="superscript"/>
        </w:rPr>
        <w:footnoteReference w:id="73"/>
      </w:r>
      <w:r w:rsidR="00437617">
        <w:t>, c</w:t>
      </w:r>
      <w:r w:rsidRPr="00CB6A54">
        <w:t xml:space="preserve">itons notamment le </w:t>
      </w:r>
      <w:r w:rsidR="00437617">
        <w:t>fait</w:t>
      </w:r>
      <w:r w:rsidRPr="00CB6A54">
        <w:t xml:space="preserve"> de </w:t>
      </w:r>
      <w:r w:rsidR="00437617">
        <w:t>serrer la</w:t>
      </w:r>
      <w:r w:rsidRPr="00CB6A54">
        <w:t xml:space="preserve"> main d’une personne du sexe opposé</w:t>
      </w:r>
      <w:r w:rsidRPr="00CB6A54">
        <w:rPr>
          <w:vertAlign w:val="superscript"/>
        </w:rPr>
        <w:footnoteReference w:id="74"/>
      </w:r>
      <w:r w:rsidR="00437617">
        <w:t xml:space="preserve"> ou </w:t>
      </w:r>
      <w:r w:rsidR="00437617" w:rsidRPr="00CB6A54">
        <w:t>d’entrer en contact avec des produits alimentaires faisant l’objet d’un interdit religieux</w:t>
      </w:r>
      <w:r w:rsidR="00437617" w:rsidRPr="00CB6A54">
        <w:rPr>
          <w:vertAlign w:val="superscript"/>
        </w:rPr>
        <w:footnoteReference w:id="75"/>
      </w:r>
      <w:r w:rsidR="00437617">
        <w:t>.</w:t>
      </w:r>
      <w:r w:rsidRPr="00CB6A54">
        <w:t xml:space="preserve"> </w:t>
      </w:r>
      <w:r w:rsidR="00437617" w:rsidRPr="00CB6A54">
        <w:t xml:space="preserve">Ces différents exemples </w:t>
      </w:r>
      <w:r w:rsidRPr="00CB6A54">
        <w:t xml:space="preserve">ont trait à l’enjeu de la prise en compte du caractère religieux de pratiques qui ne constituent pas directement l’acte que la conscience réprouve, mais qui contribuent plus ou moins fortement à rendre celui-ci possible, et associent dès lors la personne croyante à sa réalisation. La question consiste à savoir dans quelle mesure la personne concernée est en mesure de prendre elle-même des dispositions lui permettant d’éviter une telle </w:t>
      </w:r>
      <w:r w:rsidRPr="00CB6A54">
        <w:lastRenderedPageBreak/>
        <w:t xml:space="preserve">interférence avec sa liberté de religion. Or, l’on sait que, depuis l’arrêt </w:t>
      </w:r>
      <w:proofErr w:type="spellStart"/>
      <w:r w:rsidRPr="00CB6A54">
        <w:rPr>
          <w:i/>
          <w:iCs/>
        </w:rPr>
        <w:t>Eweida</w:t>
      </w:r>
      <w:proofErr w:type="spellEnd"/>
      <w:r w:rsidRPr="00CB6A54">
        <w:rPr>
          <w:i/>
          <w:iCs/>
        </w:rPr>
        <w:t xml:space="preserve"> e.a.</w:t>
      </w:r>
      <w:r w:rsidRPr="00CB6A54">
        <w:t>, la faculté de démissionner n’est plus considérée comme la garantie de cette liberté.</w:t>
      </w:r>
      <w:r w:rsidR="00CB6A54">
        <w:t xml:space="preserve"> L’enjeu porte aussi sur le caractère central de la </w:t>
      </w:r>
      <w:r w:rsidR="0092448C">
        <w:t>tâche à laquelle il est objecté, au regard du contrat de travail.</w:t>
      </w:r>
    </w:p>
    <w:p w14:paraId="185F17E6" w14:textId="749C9D37" w:rsidR="005E4C8C" w:rsidRDefault="005E4C8C" w:rsidP="00960BD9">
      <w:pPr>
        <w:pStyle w:val="Paragraphedeliste"/>
      </w:pPr>
      <w:r>
        <w:t xml:space="preserve">Enfin, </w:t>
      </w:r>
      <w:r w:rsidR="00957FC1">
        <w:t>notons que</w:t>
      </w:r>
      <w:r w:rsidR="009F4731">
        <w:t>, sur le plan du droit,</w:t>
      </w:r>
      <w:r w:rsidR="00957FC1">
        <w:t xml:space="preserve"> la religion présente pour singularité d’être</w:t>
      </w:r>
      <w:r w:rsidR="00D34281">
        <w:t xml:space="preserve"> simultanément</w:t>
      </w:r>
      <w:r w:rsidR="00957FC1">
        <w:t xml:space="preserve"> protégée en tant que liberté fondamentale et </w:t>
      </w:r>
      <w:r w:rsidR="00D34281">
        <w:t>comme critère de non-discrimination. Ce</w:t>
      </w:r>
      <w:r w:rsidR="003070D6">
        <w:t xml:space="preserve"> double statut illustre </w:t>
      </w:r>
      <w:r w:rsidR="00D44B23">
        <w:t>l’</w:t>
      </w:r>
      <w:r w:rsidR="00D34281">
        <w:t>ambivalence</w:t>
      </w:r>
      <w:r w:rsidR="00D44B23">
        <w:t xml:space="preserve"> </w:t>
      </w:r>
      <w:r w:rsidR="009F4731">
        <w:t xml:space="preserve">de la religion, </w:t>
      </w:r>
      <w:r w:rsidR="00685B29">
        <w:t>en ce qu’elle peut être</w:t>
      </w:r>
      <w:r w:rsidR="00D046C6">
        <w:t xml:space="preserve"> alternativement</w:t>
      </w:r>
      <w:r w:rsidR="00685B29">
        <w:t xml:space="preserve"> appréhendée </w:t>
      </w:r>
      <w:r w:rsidR="00685B29" w:rsidRPr="00685B29">
        <w:t>comme</w:t>
      </w:r>
      <w:r w:rsidR="00685B29">
        <w:t xml:space="preserve"> une conviction</w:t>
      </w:r>
      <w:r w:rsidR="00685B29" w:rsidRPr="00685B29">
        <w:t xml:space="preserve"> choi</w:t>
      </w:r>
      <w:r w:rsidR="00685B29">
        <w:t>sie</w:t>
      </w:r>
      <w:r w:rsidR="00685B29" w:rsidRPr="00685B29">
        <w:t xml:space="preserve"> ou comme </w:t>
      </w:r>
      <w:r w:rsidR="00685B29">
        <w:t xml:space="preserve">une </w:t>
      </w:r>
      <w:r w:rsidR="00685B29" w:rsidRPr="00685B29">
        <w:t>caractéristique intrinsèque</w:t>
      </w:r>
      <w:r w:rsidR="00D046C6">
        <w:t xml:space="preserve"> de la personne.</w:t>
      </w:r>
    </w:p>
    <w:p w14:paraId="1B9BCB04" w14:textId="4956B11E" w:rsidR="007073B4" w:rsidRDefault="00E378EC" w:rsidP="00E378EC">
      <w:r>
        <w:t>Selon l’hypothèse adoptée, l’appréciation de la légitimité d’une restriction vis-à-vis de la conviction religieuse de la personne pourra varier sensiblement. Dans l’hypothèse où la religion est avant tout envisagée comme une conviction choisie</w:t>
      </w:r>
      <w:r w:rsidR="00377CED">
        <w:rPr>
          <w:rStyle w:val="Appelnotedebasdep"/>
        </w:rPr>
        <w:footnoteReference w:id="76"/>
      </w:r>
      <w:r>
        <w:t>, l’on sera plus facilement enclin à considérer qu’une demande de retenue dans l’expression des convictions revêt une certaine légitimité, dès lors que la personne peut effectivement laisser sa religion « au vestiaire ».</w:t>
      </w:r>
    </w:p>
    <w:p w14:paraId="4EC7732C" w14:textId="6A928375" w:rsidR="000163A5" w:rsidRDefault="00E378EC" w:rsidP="00E378EC">
      <w:r>
        <w:t>À l’inverse, dans l’hypothèse où la religion est perçue, à l’instar de la couleur de peau ou de l’âge, comme une caractéristique intrinsèque, une demande d’invisibilisation</w:t>
      </w:r>
      <w:r>
        <w:fldChar w:fldCharType="begin"/>
      </w:r>
      <w:r>
        <w:instrText xml:space="preserve"> XE "</w:instrText>
      </w:r>
      <w:r>
        <w:rPr>
          <w:rFonts w:eastAsia="Times New Roman" w:cs="Calibri"/>
          <w:color w:val="000000"/>
          <w:lang w:eastAsia="fr-BE"/>
        </w:rPr>
        <w:instrText>Visibilité"</w:instrText>
      </w:r>
      <w:r>
        <w:instrText xml:space="preserve"> </w:instrText>
      </w:r>
      <w:r>
        <w:fldChar w:fldCharType="end"/>
      </w:r>
      <w:r>
        <w:t xml:space="preserve"> de sa conviction sera considérée avec davantage de prudence</w:t>
      </w:r>
      <w:r w:rsidR="00377CED">
        <w:rPr>
          <w:rStyle w:val="Appelnotedebasdep"/>
        </w:rPr>
        <w:footnoteReference w:id="77"/>
      </w:r>
      <w:r>
        <w:t>.</w:t>
      </w:r>
      <w:r w:rsidR="00E5646F" w:rsidRPr="00E5646F">
        <w:t xml:space="preserve"> </w:t>
      </w:r>
      <w:r w:rsidR="009D19B5" w:rsidRPr="009D19B5">
        <w:t>D’une discussion ancrée dans la liberté de religion, l’on évolue ici vers une discussion sur le plan du droit de la non-discrimination</w:t>
      </w:r>
      <w:r w:rsidR="000163A5">
        <w:t xml:space="preserve">. </w:t>
      </w:r>
      <w:r w:rsidR="00656A4F">
        <w:t>Se pose alors la question d’une</w:t>
      </w:r>
      <w:r w:rsidR="00AA73AD">
        <w:t xml:space="preserve"> </w:t>
      </w:r>
      <w:r w:rsidR="00656A4F" w:rsidRPr="008D517D">
        <w:rPr>
          <w:iCs/>
        </w:rPr>
        <w:t>ethnicisation</w:t>
      </w:r>
      <w:r w:rsidR="00656A4F">
        <w:rPr>
          <w:i/>
          <w:iCs/>
        </w:rPr>
        <w:t xml:space="preserve"> </w:t>
      </w:r>
      <w:r w:rsidR="00AA73AD">
        <w:t xml:space="preserve">– ou racialisation – </w:t>
      </w:r>
      <w:r w:rsidR="00656A4F">
        <w:t>de la religion, revendiquée ou non, pouvant mener à une</w:t>
      </w:r>
      <w:r w:rsidR="00AA73AD">
        <w:t xml:space="preserve"> essentialisation de la personne sur la base de son </w:t>
      </w:r>
      <w:r w:rsidR="00AA73AD" w:rsidRPr="008D517D">
        <w:rPr>
          <w:iCs/>
        </w:rPr>
        <w:t>appartenance</w:t>
      </w:r>
      <w:r w:rsidR="00AA73AD" w:rsidRPr="00356B91">
        <w:t xml:space="preserve"> </w:t>
      </w:r>
      <w:r w:rsidR="00AA73AD" w:rsidRPr="008D517D">
        <w:rPr>
          <w:iCs/>
        </w:rPr>
        <w:t>religieuse</w:t>
      </w:r>
      <w:r w:rsidR="00AA73AD">
        <w:t>.</w:t>
      </w:r>
    </w:p>
    <w:p w14:paraId="5EF990F1" w14:textId="4205B44C" w:rsidR="00315F19" w:rsidRDefault="00E378EC" w:rsidP="000163A5">
      <w:r>
        <w:t>D’un point de vue juridique, l’on rappellera que la liberté de choix – et de changement – d’une religion constitue précisément une garantie intangible des conventions internationales, quels que soient les débats philosophiques en la matière. Précisons au demeurant que, si ce débat conceptuel se pose en des termes généralement antinomiques, l’on peut pourtant facilement envisager que la religion constitue en réalité à la fois un choix et une caractéristique indissociable de la personne</w:t>
      </w:r>
      <w:r>
        <w:rPr>
          <w:rStyle w:val="Appelnotedebasdep"/>
        </w:rPr>
        <w:footnoteReference w:id="78"/>
      </w:r>
      <w:r w:rsidR="00B548A0">
        <w:t>.</w:t>
      </w:r>
      <w:r>
        <w:t xml:space="preserve"> L’une ou l’autre approche dépendra en réalité de la situation rencontrée en l’espèce</w:t>
      </w:r>
      <w:r>
        <w:rPr>
          <w:rStyle w:val="Appelnotedebasdep"/>
        </w:rPr>
        <w:footnoteReference w:id="79"/>
      </w:r>
      <w:r w:rsidR="00B548A0">
        <w:t>.</w:t>
      </w:r>
    </w:p>
    <w:p w14:paraId="69E94C5D" w14:textId="325385A3" w:rsidR="008E0FC3" w:rsidRDefault="008E0FC3" w:rsidP="008E0FC3">
      <w:pPr>
        <w:pStyle w:val="Titre3"/>
      </w:pPr>
      <w:r>
        <w:t>Prouver la religion</w:t>
      </w:r>
    </w:p>
    <w:p w14:paraId="06755EE8" w14:textId="284CC187" w:rsidR="001D7436" w:rsidRDefault="008E0FC3" w:rsidP="00960BD9">
      <w:pPr>
        <w:pStyle w:val="Paragraphedeliste"/>
      </w:pPr>
      <w:r w:rsidRPr="00A550CB">
        <w:t>Un second défi majeur se pose dans l’appréhension juridique de la religion</w:t>
      </w:r>
      <w:r w:rsidR="00A550CB" w:rsidRPr="00A550CB">
        <w:t xml:space="preserve">, relatif à </w:t>
      </w:r>
      <w:r w:rsidR="00BB4D7D">
        <w:t>l’appréciation</w:t>
      </w:r>
      <w:r w:rsidR="00BB4D7D" w:rsidRPr="00A550CB">
        <w:t xml:space="preserve"> </w:t>
      </w:r>
      <w:r w:rsidRPr="008D517D">
        <w:t>juridictionnelle</w:t>
      </w:r>
      <w:r w:rsidRPr="00A550CB">
        <w:t xml:space="preserve"> de la religion</w:t>
      </w:r>
      <w:r w:rsidR="00A550CB" w:rsidRPr="00A550CB">
        <w:t>.</w:t>
      </w:r>
      <w:r w:rsidR="004F6D52">
        <w:t xml:space="preserve"> </w:t>
      </w:r>
      <w:r w:rsidR="00A550CB" w:rsidRPr="00A550CB">
        <w:t xml:space="preserve">L’on vise ici </w:t>
      </w:r>
      <w:r w:rsidRPr="00A550CB">
        <w:t>la méthode par laquelle les juges évaluent le caractère religieux des convictions invoquées</w:t>
      </w:r>
      <w:r w:rsidR="00A550CB" w:rsidRPr="00A550CB">
        <w:t xml:space="preserve"> à l’appui d’une demande, par exemple dans le contexte des relations de travail.</w:t>
      </w:r>
      <w:r w:rsidR="00A550CB">
        <w:t xml:space="preserve"> En tant que premier destinataire de ces demandes, l’employeur </w:t>
      </w:r>
      <w:r w:rsidR="00617343">
        <w:t>est d’ailleurs lui-même potentiellement confronté à la nécessité d’effectuer cette appréciation.</w:t>
      </w:r>
    </w:p>
    <w:p w14:paraId="0A924D17" w14:textId="09E0F255" w:rsidR="00A550CB" w:rsidRPr="00433C77" w:rsidRDefault="00BB4D7D" w:rsidP="00A550CB">
      <w:r>
        <w:lastRenderedPageBreak/>
        <w:t>Le premier point portera sur</w:t>
      </w:r>
      <w:r w:rsidR="00A550CB">
        <w:t xml:space="preserve"> la conception subjective et individuelle de la religion, désormais privilégiée par les juges européens </w:t>
      </w:r>
      <w:r w:rsidR="001D7436">
        <w:t>(a)</w:t>
      </w:r>
      <w:r w:rsidR="00A550CB">
        <w:t xml:space="preserve">. </w:t>
      </w:r>
      <w:r>
        <w:t>Notre second point envisagera</w:t>
      </w:r>
      <w:r w:rsidR="001D7436" w:rsidRPr="00617343">
        <w:t xml:space="preserve"> </w:t>
      </w:r>
      <w:r w:rsidR="001D7436">
        <w:t>l</w:t>
      </w:r>
      <w:r w:rsidR="001D7436" w:rsidRPr="00617343">
        <w:t>e rapport paradoxal qu’entretient la liberté de manifester sa religion avec le droit au secret des convictions</w:t>
      </w:r>
      <w:r w:rsidR="001D7436">
        <w:t xml:space="preserve"> (b)</w:t>
      </w:r>
      <w:r w:rsidR="001D7436" w:rsidRPr="00617343">
        <w:t>.</w:t>
      </w:r>
    </w:p>
    <w:p w14:paraId="2318E323" w14:textId="15BD5BEE" w:rsidR="00EF426C" w:rsidRDefault="00BB4D7D" w:rsidP="008F46FF">
      <w:pPr>
        <w:pStyle w:val="Titre4"/>
        <w:numPr>
          <w:ilvl w:val="0"/>
          <w:numId w:val="12"/>
        </w:numPr>
      </w:pPr>
      <w:r>
        <w:t>L’appréciation</w:t>
      </w:r>
      <w:r w:rsidRPr="00250AAB">
        <w:t xml:space="preserve"> </w:t>
      </w:r>
      <w:r w:rsidR="00B029DA">
        <w:t>subjective</w:t>
      </w:r>
      <w:r w:rsidR="00B029DA" w:rsidRPr="00250AAB">
        <w:t xml:space="preserve"> de la croyance religieuse</w:t>
      </w:r>
    </w:p>
    <w:p w14:paraId="0B67D45C" w14:textId="1D746672" w:rsidR="00B029DA" w:rsidRPr="00A71D0C" w:rsidRDefault="00B029DA" w:rsidP="00960BD9">
      <w:pPr>
        <w:pStyle w:val="Paragraphedeliste"/>
        <w:rPr>
          <w:lang w:val="fr-CA"/>
        </w:rPr>
      </w:pPr>
      <w:r w:rsidRPr="00A71D0C">
        <w:rPr>
          <w:lang w:val="fr-CA"/>
        </w:rPr>
        <w:t xml:space="preserve">Au sein des systèmes juridiques occidentaux, la liberté de religion des individus a été interprétée au fil du temps comme impliquant notamment que l’État ne puisse porter une évaluation sur la valeur ou le contenu de la croyance d’un citoyen. </w:t>
      </w:r>
      <w:r>
        <w:rPr>
          <w:lang w:val="fr-CA"/>
        </w:rPr>
        <w:t>L’on touche ici à l’articulation entre neutralité et liberté de religion, la neutralité étant à la fois une exigence et une condition de la liberté de religion.</w:t>
      </w:r>
    </w:p>
    <w:p w14:paraId="575CB14C" w14:textId="181C2335" w:rsidR="00B029DA" w:rsidRDefault="00B029DA" w:rsidP="00B029DA">
      <w:pPr>
        <w:rPr>
          <w:iCs/>
          <w:lang w:val="fr-CA"/>
        </w:rPr>
      </w:pPr>
      <w:r w:rsidRPr="00A71D0C">
        <w:rPr>
          <w:iCs/>
          <w:lang w:val="fr-CA"/>
        </w:rPr>
        <w:t xml:space="preserve">Dans un contexte </w:t>
      </w:r>
      <w:r>
        <w:rPr>
          <w:iCs/>
          <w:lang w:val="fr-CA"/>
        </w:rPr>
        <w:t>juridictionnel, suivant ce principe d’abstention</w:t>
      </w:r>
      <w:r w:rsidRPr="00A71D0C">
        <w:rPr>
          <w:iCs/>
          <w:lang w:val="fr-CA"/>
        </w:rPr>
        <w:t>, le juge étatique ne peut donc s’immiscer dans l’appréciation de la</w:t>
      </w:r>
      <w:r>
        <w:rPr>
          <w:iCs/>
          <w:lang w:val="fr-CA"/>
        </w:rPr>
        <w:t xml:space="preserve"> validité interne de la</w:t>
      </w:r>
      <w:r w:rsidRPr="00A71D0C">
        <w:rPr>
          <w:iCs/>
          <w:lang w:val="fr-CA"/>
        </w:rPr>
        <w:t xml:space="preserve"> prescription religieuse invoquée par un justiciable à l’appui de sa demande</w:t>
      </w:r>
      <w:r w:rsidRPr="00A71D0C">
        <w:rPr>
          <w:rFonts w:cs="Times New Roman"/>
          <w:iCs/>
          <w:vertAlign w:val="superscript"/>
          <w:lang w:val="fr-CA"/>
        </w:rPr>
        <w:footnoteReference w:id="80"/>
      </w:r>
      <w:r w:rsidR="007874E3">
        <w:rPr>
          <w:iCs/>
          <w:lang w:val="fr-CA"/>
        </w:rPr>
        <w:t>.</w:t>
      </w:r>
    </w:p>
    <w:p w14:paraId="3AF9A3DF" w14:textId="6E53BE99" w:rsidR="0089441F" w:rsidRDefault="0089441F" w:rsidP="0089441F">
      <w:pPr>
        <w:rPr>
          <w:rFonts w:cs="Times New Roman"/>
          <w:lang w:val="fr-CA"/>
        </w:rPr>
      </w:pPr>
      <w:bookmarkStart w:id="9" w:name="_Hlk29119867"/>
      <w:r w:rsidRPr="00433C77">
        <w:rPr>
          <w:lang w:val="fr-CA"/>
        </w:rPr>
        <w:t xml:space="preserve">Au fil des dernières décennies, les systèmes juridiques occidentaux ont </w:t>
      </w:r>
      <w:r>
        <w:rPr>
          <w:lang w:val="fr-CA"/>
        </w:rPr>
        <w:t xml:space="preserve">ainsi </w:t>
      </w:r>
      <w:r w:rsidRPr="00433C77">
        <w:rPr>
          <w:lang w:val="fr-CA"/>
        </w:rPr>
        <w:t xml:space="preserve">progressivement </w:t>
      </w:r>
      <w:r w:rsidR="00EC1B55">
        <w:rPr>
          <w:lang w:val="fr-CA"/>
        </w:rPr>
        <w:t>tourné</w:t>
      </w:r>
      <w:r w:rsidRPr="00433C77">
        <w:rPr>
          <w:lang w:val="fr-CA"/>
        </w:rPr>
        <w:t xml:space="preserve"> le dos à </w:t>
      </w:r>
      <w:r>
        <w:rPr>
          <w:lang w:val="fr-CA"/>
        </w:rPr>
        <w:t>la conception</w:t>
      </w:r>
      <w:r w:rsidRPr="00433C77">
        <w:rPr>
          <w:lang w:val="fr-CA"/>
        </w:rPr>
        <w:t xml:space="preserve"> objective</w:t>
      </w:r>
      <w:r w:rsidR="00EC1B55">
        <w:rPr>
          <w:lang w:val="fr-CA"/>
        </w:rPr>
        <w:t xml:space="preserve"> de la religion</w:t>
      </w:r>
      <w:r w:rsidRPr="00433C77">
        <w:rPr>
          <w:lang w:val="fr-CA"/>
        </w:rPr>
        <w:t>.</w:t>
      </w:r>
      <w:r w:rsidR="00EC1B55">
        <w:rPr>
          <w:rFonts w:cs="Times New Roman"/>
          <w:lang w:val="fr-CA"/>
        </w:rPr>
        <w:t xml:space="preserve"> </w:t>
      </w:r>
      <w:r w:rsidRPr="00433C77">
        <w:rPr>
          <w:rFonts w:cs="Times New Roman"/>
          <w:lang w:val="fr-CA"/>
        </w:rPr>
        <w:t>En requérant des juges qu’ils s’immiscent dans l’évaluation des convictions ou pratiques religieuses, la conception objective peut conduire les juges à déterminer le contenu d’une religion précise</w:t>
      </w:r>
      <w:r>
        <w:rPr>
          <w:rFonts w:cs="Times New Roman"/>
          <w:lang w:val="fr-CA"/>
        </w:rPr>
        <w:t xml:space="preserve"> – se faisant dès lors théologiens ou sociologues et non plus juges –</w:t>
      </w:r>
      <w:r w:rsidRPr="00433C77">
        <w:rPr>
          <w:rFonts w:cs="Times New Roman"/>
          <w:lang w:val="fr-CA"/>
        </w:rPr>
        <w:t xml:space="preserve">, voire à </w:t>
      </w:r>
      <w:r>
        <w:rPr>
          <w:rFonts w:cs="Times New Roman"/>
          <w:lang w:val="fr-CA"/>
        </w:rPr>
        <w:t>trancher</w:t>
      </w:r>
      <w:r w:rsidRPr="00433C77">
        <w:rPr>
          <w:rFonts w:cs="Times New Roman"/>
          <w:lang w:val="fr-CA"/>
        </w:rPr>
        <w:t xml:space="preserve"> </w:t>
      </w:r>
      <w:r>
        <w:rPr>
          <w:rFonts w:cs="Times New Roman"/>
          <w:lang w:val="fr-CA"/>
        </w:rPr>
        <w:t>l’insoluble</w:t>
      </w:r>
      <w:r w:rsidRPr="00433C77">
        <w:rPr>
          <w:rFonts w:cs="Times New Roman"/>
          <w:lang w:val="fr-CA"/>
        </w:rPr>
        <w:t xml:space="preserve"> question de la définition même de </w:t>
      </w:r>
      <w:r>
        <w:rPr>
          <w:rFonts w:cs="Times New Roman"/>
          <w:lang w:val="fr-CA"/>
        </w:rPr>
        <w:t xml:space="preserve">la </w:t>
      </w:r>
      <w:r w:rsidRPr="00433C77">
        <w:rPr>
          <w:rFonts w:cs="Times New Roman"/>
          <w:lang w:val="fr-CA"/>
        </w:rPr>
        <w:t>religion</w:t>
      </w:r>
      <w:r w:rsidRPr="00433C77">
        <w:rPr>
          <w:rFonts w:cs="Times New Roman"/>
          <w:vertAlign w:val="superscript"/>
          <w:lang w:val="fr-CA"/>
        </w:rPr>
        <w:footnoteReference w:id="81"/>
      </w:r>
      <w:r w:rsidRPr="00433C77">
        <w:rPr>
          <w:rFonts w:cs="Times New Roman"/>
          <w:lang w:val="fr-CA"/>
        </w:rPr>
        <w:t>.</w:t>
      </w:r>
    </w:p>
    <w:p w14:paraId="16107CFA" w14:textId="0E58F1CD" w:rsidR="0089441F" w:rsidRDefault="0089441F" w:rsidP="0089441F">
      <w:pPr>
        <w:rPr>
          <w:rFonts w:cs="Times New Roman"/>
          <w:lang w:val="fr-CA"/>
        </w:rPr>
      </w:pPr>
      <w:r w:rsidRPr="00433C77">
        <w:rPr>
          <w:rFonts w:cs="Times New Roman"/>
          <w:lang w:val="fr-CA"/>
        </w:rPr>
        <w:t>Afin d’éviter cet écueil, une conception subjective</w:t>
      </w:r>
      <w:r w:rsidR="00EC1B55">
        <w:rPr>
          <w:rFonts w:cs="Times New Roman"/>
          <w:lang w:val="fr-CA"/>
        </w:rPr>
        <w:t xml:space="preserve"> </w:t>
      </w:r>
      <w:r w:rsidRPr="00433C77">
        <w:rPr>
          <w:rFonts w:cs="Times New Roman"/>
          <w:lang w:val="fr-CA"/>
        </w:rPr>
        <w:t>de la liberté de religion prévaut désormais dans les ordres juridiques européens</w:t>
      </w:r>
      <w:r w:rsidR="00A85FF9">
        <w:rPr>
          <w:rStyle w:val="Appelnotedebasdep"/>
          <w:rFonts w:cs="Times New Roman"/>
          <w:lang w:val="fr-CA"/>
        </w:rPr>
        <w:footnoteReference w:id="82"/>
      </w:r>
      <w:r>
        <w:rPr>
          <w:rFonts w:cs="Times New Roman"/>
          <w:lang w:val="fr-CA"/>
        </w:rPr>
        <w:t>. L’appréciation juridictionnelle du caractère religieux de la pratique ou de la croyance passe alors par l’évaluation de la sincérité du requérant, afin de vérifier que ce dernier « vit » effectivement la religion qu’il invoque de manière personnelle et véritable</w:t>
      </w:r>
      <w:r>
        <w:rPr>
          <w:rStyle w:val="Appelnotedebasdep"/>
          <w:rFonts w:cs="Times New Roman"/>
          <w:lang w:val="fr-CA"/>
        </w:rPr>
        <w:footnoteReference w:id="83"/>
      </w:r>
      <w:r w:rsidR="007874E3">
        <w:rPr>
          <w:rFonts w:cs="Times New Roman"/>
          <w:lang w:val="fr-CA"/>
        </w:rPr>
        <w:t>.</w:t>
      </w:r>
    </w:p>
    <w:p w14:paraId="00F98ED0" w14:textId="73FB9912" w:rsidR="00EC1B55" w:rsidRDefault="00B029DA" w:rsidP="00960BD9">
      <w:pPr>
        <w:pStyle w:val="Paragraphedeliste"/>
        <w:rPr>
          <w:lang w:val="fr-CA"/>
        </w:rPr>
      </w:pPr>
      <w:bookmarkStart w:id="11" w:name="_Ref121676985"/>
      <w:r w:rsidRPr="00A71D0C">
        <w:rPr>
          <w:lang w:val="fr-CA"/>
        </w:rPr>
        <w:t xml:space="preserve">Dans ces conditions, </w:t>
      </w:r>
      <w:r w:rsidR="00EC1B55">
        <w:rPr>
          <w:lang w:val="fr-CA"/>
        </w:rPr>
        <w:t>deux</w:t>
      </w:r>
      <w:r w:rsidR="00EC1B55" w:rsidRPr="00A71D0C">
        <w:rPr>
          <w:lang w:val="fr-CA"/>
        </w:rPr>
        <w:t xml:space="preserve"> </w:t>
      </w:r>
      <w:r w:rsidRPr="00A71D0C">
        <w:rPr>
          <w:lang w:val="fr-CA"/>
        </w:rPr>
        <w:t>difficulté</w:t>
      </w:r>
      <w:r w:rsidR="00EC1B55">
        <w:rPr>
          <w:lang w:val="fr-CA"/>
        </w:rPr>
        <w:t>s</w:t>
      </w:r>
      <w:r w:rsidRPr="00A71D0C">
        <w:rPr>
          <w:lang w:val="fr-CA"/>
        </w:rPr>
        <w:t xml:space="preserve"> </w:t>
      </w:r>
      <w:r w:rsidR="00EC1B55" w:rsidRPr="00A71D0C">
        <w:rPr>
          <w:lang w:val="fr-CA"/>
        </w:rPr>
        <w:t>appara</w:t>
      </w:r>
      <w:r w:rsidR="00EC1B55">
        <w:rPr>
          <w:lang w:val="fr-CA"/>
        </w:rPr>
        <w:t>issent</w:t>
      </w:r>
      <w:r w:rsidR="00EC1B55" w:rsidRPr="00A71D0C" w:rsidDel="00EC1B55">
        <w:rPr>
          <w:lang w:val="fr-CA"/>
        </w:rPr>
        <w:t xml:space="preserve"> </w:t>
      </w:r>
      <w:r w:rsidRPr="00A71D0C">
        <w:rPr>
          <w:lang w:val="fr-CA"/>
        </w:rPr>
        <w:t>rapidement</w:t>
      </w:r>
      <w:r w:rsidR="00EC1B55">
        <w:rPr>
          <w:lang w:val="fr-CA"/>
        </w:rPr>
        <w:t>.</w:t>
      </w:r>
      <w:bookmarkEnd w:id="11"/>
    </w:p>
    <w:p w14:paraId="03A4EEDF" w14:textId="107BEDCC" w:rsidR="00B029DA" w:rsidRPr="00EC1B55" w:rsidRDefault="00EC1B55" w:rsidP="008D517D">
      <w:pPr>
        <w:rPr>
          <w:lang w:val="fr-CA"/>
        </w:rPr>
      </w:pPr>
      <w:r>
        <w:rPr>
          <w:lang w:val="fr-CA"/>
        </w:rPr>
        <w:t xml:space="preserve">Premièrement, </w:t>
      </w:r>
      <w:r w:rsidR="00B029DA" w:rsidRPr="00EC1B55">
        <w:rPr>
          <w:lang w:val="fr-CA"/>
        </w:rPr>
        <w:t>comment un tribunal peut-il apprécier le bien-fondé du lien effectué par le requérant entre la pratique revendiquée et la conviction religieuse qu’il invoque ? Comment parvenir à écarter les demandes basées sur une interprétation déraisonnable ou frauduleuse de la liberté de religion, sans intervenir dans l’évaluation de la conviction religieuse en question ?</w:t>
      </w:r>
      <w:r w:rsidR="00B029DA" w:rsidRPr="00A71D0C">
        <w:rPr>
          <w:rFonts w:cs="Times New Roman"/>
          <w:vertAlign w:val="superscript"/>
          <w:lang w:val="fr-CA"/>
        </w:rPr>
        <w:footnoteReference w:id="84"/>
      </w:r>
      <w:r w:rsidR="0089441F" w:rsidRPr="00EC1B55">
        <w:rPr>
          <w:lang w:val="fr-CA"/>
        </w:rPr>
        <w:t xml:space="preserve"> </w:t>
      </w:r>
      <w:r w:rsidR="00B029DA" w:rsidRPr="00EC1B55">
        <w:rPr>
          <w:lang w:val="fr-CA"/>
        </w:rPr>
        <w:t xml:space="preserve">L’enjeu consiste à empêcher que la liberté de religion se voit instrumentalisée de manière opportuniste </w:t>
      </w:r>
      <w:r w:rsidRPr="00EC1B55">
        <w:rPr>
          <w:lang w:val="fr-CA"/>
        </w:rPr>
        <w:t>afin d’obtenir</w:t>
      </w:r>
      <w:r w:rsidR="00B029DA" w:rsidRPr="00EC1B55">
        <w:rPr>
          <w:lang w:val="fr-CA"/>
        </w:rPr>
        <w:t xml:space="preserve"> un avantage illégitime</w:t>
      </w:r>
      <w:r w:rsidR="00B029DA" w:rsidRPr="00A71D0C">
        <w:rPr>
          <w:rFonts w:cs="Times New Roman"/>
          <w:vertAlign w:val="superscript"/>
          <w:lang w:val="fr-CA"/>
        </w:rPr>
        <w:footnoteReference w:id="85"/>
      </w:r>
      <w:r w:rsidR="00B029DA" w:rsidRPr="00EC1B55">
        <w:rPr>
          <w:lang w:val="fr-CA"/>
        </w:rPr>
        <w:t>.</w:t>
      </w:r>
    </w:p>
    <w:p w14:paraId="66E2D3EE" w14:textId="7D34566B" w:rsidR="00D05BBC" w:rsidRDefault="001229CF" w:rsidP="00D05BBC">
      <w:r>
        <w:t xml:space="preserve">Deuxièmement, la </w:t>
      </w:r>
      <w:r w:rsidR="00D05BBC">
        <w:t>conception subjective offre une forme de prime à la radicalité</w:t>
      </w:r>
      <w:r w:rsidR="00D05BBC">
        <w:fldChar w:fldCharType="begin"/>
      </w:r>
      <w:r w:rsidR="00D05BBC">
        <w:instrText xml:space="preserve"> XE "</w:instrText>
      </w:r>
      <w:r w:rsidR="00D05BBC">
        <w:rPr>
          <w:rFonts w:eastAsia="Times New Roman" w:cs="Calibri"/>
          <w:color w:val="000000"/>
          <w:lang w:eastAsia="fr-BE"/>
        </w:rPr>
        <w:instrText>Radicalisation"</w:instrText>
      </w:r>
      <w:r w:rsidR="00D05BBC">
        <w:instrText xml:space="preserve"> </w:instrText>
      </w:r>
      <w:r w:rsidR="00D05BBC">
        <w:fldChar w:fldCharType="end"/>
      </w:r>
      <w:r w:rsidR="00D05BBC">
        <w:t xml:space="preserve"> de la croyance. En effet, dès lors que la sincérité individuelle devient le critère central dont dépend le bénéfice de la </w:t>
      </w:r>
      <w:r w:rsidR="00D05BBC">
        <w:lastRenderedPageBreak/>
        <w:t xml:space="preserve">protection offerte par la liberté religieuse, </w:t>
      </w:r>
      <w:r>
        <w:t>un</w:t>
      </w:r>
      <w:r w:rsidR="00D05BBC">
        <w:t xml:space="preserve"> croyant « jusqu’au-boutiste », fondamentaliste ou radical, sera, dans </w:t>
      </w:r>
      <w:r>
        <w:t xml:space="preserve">une </w:t>
      </w:r>
      <w:r w:rsidR="00D05BBC">
        <w:t>logique exclusive</w:t>
      </w:r>
      <w:r>
        <w:t xml:space="preserve">ment </w:t>
      </w:r>
      <w:r w:rsidR="00D05BBC">
        <w:t>subjective, davantage récompensé que le croyant hésitant ou non absolument cohérent dans ses convictions et pratiques.</w:t>
      </w:r>
    </w:p>
    <w:p w14:paraId="5B90A7B7" w14:textId="77777777" w:rsidR="00A85FF9" w:rsidRDefault="00A85FF9" w:rsidP="00960BD9">
      <w:pPr>
        <w:pStyle w:val="Paragraphedeliste"/>
        <w:rPr>
          <w:lang w:val="fr-CA"/>
        </w:rPr>
      </w:pPr>
      <w:r w:rsidRPr="00B40B6D">
        <w:rPr>
          <w:lang w:val="fr-CA"/>
        </w:rPr>
        <w:t xml:space="preserve">Face aux risques et difficultés </w:t>
      </w:r>
      <w:r>
        <w:rPr>
          <w:lang w:val="fr-CA"/>
        </w:rPr>
        <w:t>de</w:t>
      </w:r>
      <w:r w:rsidRPr="00B40B6D">
        <w:rPr>
          <w:lang w:val="fr-CA"/>
        </w:rPr>
        <w:t xml:space="preserve"> </w:t>
      </w:r>
      <w:r>
        <w:rPr>
          <w:lang w:val="fr-CA"/>
        </w:rPr>
        <w:t>la conception subjective</w:t>
      </w:r>
      <w:r w:rsidRPr="00B40B6D">
        <w:rPr>
          <w:lang w:val="fr-CA"/>
        </w:rPr>
        <w:t xml:space="preserve">, nous observons deux types de mécanisme </w:t>
      </w:r>
      <w:r>
        <w:rPr>
          <w:lang w:val="fr-CA"/>
        </w:rPr>
        <w:t>d’ajustement</w:t>
      </w:r>
      <w:r w:rsidRPr="00B40B6D">
        <w:rPr>
          <w:lang w:val="fr-CA"/>
        </w:rPr>
        <w:t xml:space="preserve"> opérés par les juges. </w:t>
      </w:r>
    </w:p>
    <w:p w14:paraId="4536A421" w14:textId="710A4D2A" w:rsidR="00A85FF9" w:rsidRDefault="00A85FF9">
      <w:pPr>
        <w:rPr>
          <w:lang w:val="fr-CA"/>
        </w:rPr>
      </w:pPr>
      <w:r w:rsidRPr="00B40B6D">
        <w:rPr>
          <w:iCs/>
          <w:lang w:val="fr-CA"/>
        </w:rPr>
        <w:t xml:space="preserve">Le premier mécanisme revient à intégrer une </w:t>
      </w:r>
      <w:r>
        <w:rPr>
          <w:iCs/>
          <w:lang w:val="fr-CA"/>
        </w:rPr>
        <w:t xml:space="preserve">dose </w:t>
      </w:r>
      <w:r w:rsidRPr="00B40B6D">
        <w:rPr>
          <w:iCs/>
          <w:lang w:val="fr-CA"/>
        </w:rPr>
        <w:t xml:space="preserve">objective dans la conception subjective et </w:t>
      </w:r>
      <w:r>
        <w:rPr>
          <w:iCs/>
          <w:lang w:val="fr-CA"/>
        </w:rPr>
        <w:t>individuelle</w:t>
      </w:r>
      <w:r w:rsidRPr="00B40B6D">
        <w:rPr>
          <w:iCs/>
          <w:lang w:val="fr-CA"/>
        </w:rPr>
        <w:t xml:space="preserve"> de la religion</w:t>
      </w:r>
      <w:r w:rsidRPr="00B03CA5">
        <w:rPr>
          <w:i/>
          <w:lang w:val="fr-CA"/>
        </w:rPr>
        <w:t xml:space="preserve">. </w:t>
      </w:r>
      <w:r>
        <w:rPr>
          <w:lang w:val="fr-CA"/>
        </w:rPr>
        <w:t xml:space="preserve">Cette tendance </w:t>
      </w:r>
      <w:r w:rsidRPr="00433C77">
        <w:rPr>
          <w:lang w:val="fr-CA"/>
        </w:rPr>
        <w:t>revient à ce que, pour évaluer la sincérité du requérant, le juge s’appuie sur des éléments objectifs et collectifs</w:t>
      </w:r>
      <w:r w:rsidRPr="00433C77">
        <w:rPr>
          <w:vertAlign w:val="superscript"/>
          <w:lang w:val="fr-CA"/>
        </w:rPr>
        <w:footnoteReference w:id="86"/>
      </w:r>
      <w:r w:rsidRPr="00433C77">
        <w:rPr>
          <w:lang w:val="fr-CA"/>
        </w:rPr>
        <w:t>, tels que la consultation de la doctrine religieuse établie en la matière</w:t>
      </w:r>
      <w:r w:rsidR="002D0B3C">
        <w:rPr>
          <w:rStyle w:val="Appelnotedebasdep"/>
          <w:lang w:val="fr-CA"/>
        </w:rPr>
        <w:footnoteReference w:id="87"/>
      </w:r>
      <w:r w:rsidRPr="00433C77">
        <w:rPr>
          <w:lang w:val="fr-CA"/>
        </w:rPr>
        <w:t>, le témoignage d’un représentant ou d’une autorité religieuse ou encore l’analyse quantitative des pratiques suivies par les fidèles de la religion en question.</w:t>
      </w:r>
    </w:p>
    <w:p w14:paraId="1C98E20E" w14:textId="1EEC25DA" w:rsidR="0074362B" w:rsidRDefault="00A85FF9" w:rsidP="008E0FC3">
      <w:r w:rsidRPr="00B40B6D">
        <w:rPr>
          <w:iCs/>
          <w:lang w:val="fr-CA"/>
        </w:rPr>
        <w:t xml:space="preserve">En deuxième lieu, une certaine tendance se dessine quant à </w:t>
      </w:r>
      <w:r>
        <w:rPr>
          <w:iCs/>
          <w:lang w:val="fr-CA"/>
        </w:rPr>
        <w:t>un déplacement des</w:t>
      </w:r>
      <w:r w:rsidRPr="00B40B6D">
        <w:rPr>
          <w:iCs/>
          <w:lang w:val="fr-CA"/>
        </w:rPr>
        <w:t xml:space="preserve"> limitation</w:t>
      </w:r>
      <w:r>
        <w:rPr>
          <w:iCs/>
          <w:lang w:val="fr-CA"/>
        </w:rPr>
        <w:t xml:space="preserve">s portées à l’expression religieuse </w:t>
      </w:r>
      <w:r w:rsidRPr="00B40B6D">
        <w:rPr>
          <w:iCs/>
          <w:lang w:val="fr-CA"/>
        </w:rPr>
        <w:t>par les juges à un stade ultérieur de leur raisonnement juridique</w:t>
      </w:r>
      <w:r w:rsidR="001229CF">
        <w:rPr>
          <w:iCs/>
          <w:lang w:val="fr-CA"/>
        </w:rPr>
        <w:t xml:space="preserve"> : celles-ci </w:t>
      </w:r>
      <w:r w:rsidR="003E5944">
        <w:rPr>
          <w:lang w:val="fr-CA"/>
        </w:rPr>
        <w:t>intervien</w:t>
      </w:r>
      <w:r w:rsidR="001229CF">
        <w:rPr>
          <w:lang w:val="fr-CA"/>
        </w:rPr>
        <w:t>nen</w:t>
      </w:r>
      <w:r w:rsidR="003E5944">
        <w:rPr>
          <w:lang w:val="fr-CA"/>
        </w:rPr>
        <w:t>t</w:t>
      </w:r>
      <w:r w:rsidR="001229CF">
        <w:rPr>
          <w:lang w:val="fr-CA"/>
        </w:rPr>
        <w:t xml:space="preserve"> non plus </w:t>
      </w:r>
      <w:r w:rsidR="001229CF">
        <w:rPr>
          <w:iCs/>
          <w:lang w:val="fr-CA"/>
        </w:rPr>
        <w:t xml:space="preserve">au stade liminaire de l’appréciation des convictions, mais </w:t>
      </w:r>
      <w:r w:rsidR="003E5944">
        <w:rPr>
          <w:lang w:val="fr-CA"/>
        </w:rPr>
        <w:t>à travers</w:t>
      </w:r>
      <w:r w:rsidR="003E5944" w:rsidRPr="00433C77">
        <w:rPr>
          <w:lang w:val="fr-CA"/>
        </w:rPr>
        <w:t xml:space="preserve"> la relativisation de l’atteinte </w:t>
      </w:r>
      <w:r w:rsidR="001229CF">
        <w:rPr>
          <w:lang w:val="fr-CA"/>
        </w:rPr>
        <w:t>à la liberté de religion</w:t>
      </w:r>
      <w:r w:rsidR="009071FB">
        <w:rPr>
          <w:rStyle w:val="Appelnotedebasdep"/>
          <w:lang w:val="fr-CA"/>
        </w:rPr>
        <w:footnoteReference w:id="88"/>
      </w:r>
      <w:r w:rsidR="004F6D52">
        <w:rPr>
          <w:lang w:val="fr-CA"/>
        </w:rPr>
        <w:t>.</w:t>
      </w:r>
      <w:bookmarkEnd w:id="9"/>
    </w:p>
    <w:p w14:paraId="1304301C" w14:textId="7B4667BF" w:rsidR="0074362B" w:rsidRDefault="00B029DA" w:rsidP="00B029DA">
      <w:pPr>
        <w:pStyle w:val="Titre4"/>
      </w:pPr>
      <w:r w:rsidRPr="00825567">
        <w:t xml:space="preserve">Le </w:t>
      </w:r>
      <w:r>
        <w:t xml:space="preserve">double paradoxe du </w:t>
      </w:r>
      <w:r w:rsidRPr="00825567">
        <w:t>droit au secret</w:t>
      </w:r>
      <w:r>
        <w:fldChar w:fldCharType="begin"/>
      </w:r>
      <w:r>
        <w:instrText xml:space="preserve"> XE "</w:instrText>
      </w:r>
      <w:r w:rsidRPr="00821CE3">
        <w:rPr>
          <w:rFonts w:eastAsia="Times New Roman" w:cs="Calibri"/>
          <w:color w:val="000000"/>
          <w:lang w:eastAsia="fr-BE"/>
        </w:rPr>
        <w:instrText>Secret des convictions</w:instrText>
      </w:r>
      <w:r>
        <w:rPr>
          <w:rFonts w:eastAsia="Times New Roman" w:cs="Calibri"/>
          <w:color w:val="000000"/>
          <w:lang w:eastAsia="fr-BE"/>
        </w:rPr>
        <w:instrText>"</w:instrText>
      </w:r>
      <w:r>
        <w:instrText xml:space="preserve"> </w:instrText>
      </w:r>
      <w:r>
        <w:fldChar w:fldCharType="end"/>
      </w:r>
      <w:r w:rsidRPr="00825567">
        <w:t xml:space="preserve"> des convictions </w:t>
      </w:r>
      <w:r>
        <w:t xml:space="preserve">et de </w:t>
      </w:r>
      <w:r w:rsidRPr="00825567">
        <w:t>la neutralité</w:t>
      </w:r>
    </w:p>
    <w:p w14:paraId="5480A86A" w14:textId="53FB15E9" w:rsidR="004F6D52" w:rsidRDefault="004F6D52" w:rsidP="00960BD9">
      <w:pPr>
        <w:pStyle w:val="Paragraphedeliste"/>
      </w:pPr>
      <w:r>
        <w:t xml:space="preserve">Ce second point vise à </w:t>
      </w:r>
      <w:r w:rsidR="00740013">
        <w:t>pointer</w:t>
      </w:r>
      <w:r>
        <w:t xml:space="preserve"> l’existence d’un paradoxe </w:t>
      </w:r>
      <w:r w:rsidR="00740013">
        <w:t>au sein même de</w:t>
      </w:r>
      <w:r>
        <w:t xml:space="preserve"> </w:t>
      </w:r>
      <w:r w:rsidR="00740013">
        <w:t xml:space="preserve">la </w:t>
      </w:r>
      <w:r>
        <w:t>démarche procédurale</w:t>
      </w:r>
      <w:r w:rsidR="00740013">
        <w:t xml:space="preserve"> du droit face à la religion</w:t>
      </w:r>
      <w:r>
        <w:t xml:space="preserve">. </w:t>
      </w:r>
      <w:r w:rsidR="00740013">
        <w:t>Ceci tient</w:t>
      </w:r>
      <w:r>
        <w:t xml:space="preserve"> de la double dimension des convictions religieuses, à la fois privées et individuelles, mais aussi publiques et interpersonnelles. De cette dualité de la religion, ressort une double contradiction.</w:t>
      </w:r>
    </w:p>
    <w:p w14:paraId="6D1E3F0F" w14:textId="06874FD8" w:rsidR="004F6D52" w:rsidRDefault="004F6D52" w:rsidP="004F6D52">
      <w:r>
        <w:t>Premièrement, la liberté religieuse s’entend notamment du droit de chaque individu à ne pas révéler ni se voir imposer ses convictions, notamment de la part de l’État. D</w:t>
      </w:r>
      <w:r w:rsidRPr="00433C77">
        <w:t xml:space="preserve">ans son volet négatif, </w:t>
      </w:r>
      <w:r>
        <w:t>la</w:t>
      </w:r>
      <w:r w:rsidRPr="00433C77">
        <w:t xml:space="preserve"> liberté de religion comprend</w:t>
      </w:r>
      <w:r>
        <w:t xml:space="preserve"> en effet</w:t>
      </w:r>
      <w:r w:rsidRPr="00433C77">
        <w:t xml:space="preserve"> le droit individuel au silence des convictions</w:t>
      </w:r>
      <w:r>
        <w:fldChar w:fldCharType="begin"/>
      </w:r>
      <w:r>
        <w:instrText xml:space="preserve"> XE "</w:instrText>
      </w:r>
      <w:r w:rsidRPr="001D7436">
        <w:rPr>
          <w:rFonts w:eastAsia="Times New Roman" w:cs="Calibri"/>
          <w:color w:val="000000"/>
          <w:lang w:eastAsia="fr-BE"/>
        </w:rPr>
        <w:instrText>Secret des convictions"</w:instrText>
      </w:r>
      <w:r>
        <w:instrText xml:space="preserve"> </w:instrText>
      </w:r>
      <w:r>
        <w:fldChar w:fldCharType="end"/>
      </w:r>
      <w:r w:rsidRPr="00433C77">
        <w:t xml:space="preserve">. Celui-ci implique que tout individu n’est en principe pas tenu de révéler sa confession – ou son absence de confession – à </w:t>
      </w:r>
      <w:r>
        <w:t>l’État</w:t>
      </w:r>
      <w:r w:rsidRPr="00433C77">
        <w:t xml:space="preserve"> ou à son employeur, et que, inversement, ces derniers ne sont pas censés s’immiscer dans ce genre de questionnements. Mais à partir de quel moment l’individu – le travailleur en l’occurrence – est-il amené à devoir révéler le contenu de ses convictions pour se voir précisément reconnaître le respect de sa liberté de religion par l’institution concernée ?</w:t>
      </w:r>
      <w:r w:rsidRPr="004525BC">
        <w:t xml:space="preserve"> </w:t>
      </w:r>
      <w:r>
        <w:t>Face à une potentielle immixtion, la liberté religieuse doit paradoxalement, pour être garantie, être affirmée par l’individu concerné, ce qui met précisément à mal le droit au silence sur ses convictions</w:t>
      </w:r>
      <w:r>
        <w:rPr>
          <w:rStyle w:val="Appelnotedebasdep"/>
        </w:rPr>
        <w:footnoteReference w:id="89"/>
      </w:r>
      <w:r>
        <w:t>.</w:t>
      </w:r>
    </w:p>
    <w:p w14:paraId="0DE66EF7" w14:textId="63C6AE93" w:rsidR="00A35B4F" w:rsidRDefault="004F6D52" w:rsidP="00A35B4F">
      <w:r>
        <w:lastRenderedPageBreak/>
        <w:t>Deuxièmement, du point de vue de la neutralité de l’État ou de l’entreprise, un paradoxe similaire se déploie quant à l’application concrète de la neutralité. Dans sa dimension abstentionniste, la neutralité implique une absence d’appréciation de l’État ou de l’entreprise quant au contenu ou à la pertinence des convictions religieuses individuelles. Or, la neutralité nécessite, pour être effective, de s’accorder au préalable sur les convictions et pratiques considérées comme religieuses et dès lors concernées par cette neutralité</w:t>
      </w:r>
      <w:r w:rsidR="00626F70">
        <w:rPr>
          <w:rStyle w:val="Appelnotedebasdep"/>
        </w:rPr>
        <w:footnoteReference w:id="90"/>
      </w:r>
      <w:r w:rsidR="007874E3">
        <w:t>.</w:t>
      </w:r>
      <w:r w:rsidR="00626F70">
        <w:t xml:space="preserve"> </w:t>
      </w:r>
      <w:r>
        <w:t xml:space="preserve">Ce faisant, </w:t>
      </w:r>
      <w:r w:rsidR="00626F70">
        <w:t xml:space="preserve">en distinguant de manière discrétionnaire les pratiques et convictions considérées ou non comme religieuses, </w:t>
      </w:r>
      <w:r>
        <w:t xml:space="preserve">l’État ou l’entreprise </w:t>
      </w:r>
      <w:r w:rsidR="00626F70">
        <w:t>rompt</w:t>
      </w:r>
      <w:r>
        <w:t xml:space="preserve"> en quelque sorte dès le départ sa </w:t>
      </w:r>
      <w:r w:rsidR="00626F70">
        <w:t>prétention</w:t>
      </w:r>
      <w:r>
        <w:t xml:space="preserve"> de neutralit</w:t>
      </w:r>
      <w:r w:rsidR="00626F70">
        <w:t>é</w:t>
      </w:r>
      <w:r w:rsidR="00626F70">
        <w:rPr>
          <w:rStyle w:val="Appelnotedebasdep"/>
        </w:rPr>
        <w:footnoteReference w:id="91"/>
      </w:r>
      <w:r w:rsidR="00626F70">
        <w:t>.</w:t>
      </w:r>
    </w:p>
    <w:p w14:paraId="2872C1CB" w14:textId="150B85CE" w:rsidR="00626F70" w:rsidRPr="00B601A0" w:rsidRDefault="00626F70" w:rsidP="00960BD9">
      <w:pPr>
        <w:pStyle w:val="Paragraphedeliste"/>
      </w:pPr>
      <w:r w:rsidRPr="00B601A0">
        <w:t xml:space="preserve">L’un et l’autre de ces paradoxes renvoient en fin de compte à une double </w:t>
      </w:r>
      <w:r w:rsidR="007015D4" w:rsidRPr="00B601A0">
        <w:t>tension</w:t>
      </w:r>
      <w:r w:rsidRPr="00B601A0">
        <w:t xml:space="preserve"> sur le plan des manifestations religieuses. La première </w:t>
      </w:r>
      <w:r w:rsidR="007015D4" w:rsidRPr="00B601A0">
        <w:t xml:space="preserve">tension </w:t>
      </w:r>
      <w:r w:rsidRPr="00B601A0">
        <w:t xml:space="preserve">a trait </w:t>
      </w:r>
      <w:r w:rsidR="007015D4" w:rsidRPr="00B601A0">
        <w:t>à l’opposition entre la subjectivité présumée du religieux et l’objectivité supposée de la neutralité. En réalité, comme en témoigne</w:t>
      </w:r>
      <w:r w:rsidR="00421FA6">
        <w:t>nt</w:t>
      </w:r>
      <w:r w:rsidR="007015D4" w:rsidRPr="00B601A0">
        <w:t xml:space="preserve"> les diverses formes d’invocation de la neutralité restrictive au sein de l’entreprise</w:t>
      </w:r>
      <w:r w:rsidR="003630EF" w:rsidRPr="00B601A0">
        <w:t xml:space="preserve"> développées en seconde partie</w:t>
      </w:r>
      <w:r w:rsidR="007015D4" w:rsidRPr="00B601A0">
        <w:t xml:space="preserve">, la mise en œuvre de la neutralité revêt également une dimension </w:t>
      </w:r>
      <w:r w:rsidR="003630EF" w:rsidRPr="00B601A0">
        <w:t xml:space="preserve">proprement </w:t>
      </w:r>
      <w:r w:rsidR="007015D4" w:rsidRPr="00B601A0">
        <w:t>subjective. Cette neutralité subjectivée s’appuie d’ailleurs elle-même, paradoxalement, sur une objectivation de la manifestation religieuse, en considérant certaines expressions corporelles ou vestimentaires comme nécessairement religieuses – et donc non neutres –</w:t>
      </w:r>
      <w:r w:rsidR="003630EF" w:rsidRPr="00B601A0">
        <w:t>,</w:t>
      </w:r>
      <w:r w:rsidR="007015D4" w:rsidRPr="00B601A0">
        <w:t xml:space="preserve"> abstraction faite de l’intention poursuivie par la personne concernée. </w:t>
      </w:r>
      <w:r w:rsidR="00254531" w:rsidRPr="00B601A0">
        <w:t xml:space="preserve">Dans la lignée de cette première tension, apparaît une seconde tension </w:t>
      </w:r>
      <w:r w:rsidR="003630EF" w:rsidRPr="00B601A0">
        <w:t>entre</w:t>
      </w:r>
      <w:r w:rsidRPr="00B601A0">
        <w:t xml:space="preserve"> </w:t>
      </w:r>
      <w:r w:rsidR="003630EF" w:rsidRPr="00B601A0">
        <w:t>la</w:t>
      </w:r>
      <w:r w:rsidRPr="00B601A0">
        <w:t xml:space="preserve"> visibilité</w:t>
      </w:r>
      <w:r w:rsidR="003630EF" w:rsidRPr="00B601A0">
        <w:t xml:space="preserve"> objective</w:t>
      </w:r>
      <w:r w:rsidRPr="00B601A0">
        <w:fldChar w:fldCharType="begin"/>
      </w:r>
      <w:r w:rsidRPr="00B601A0">
        <w:instrText xml:space="preserve"> XE "</w:instrText>
      </w:r>
      <w:r w:rsidRPr="00B601A0">
        <w:rPr>
          <w:rFonts w:eastAsia="Times New Roman" w:cs="Calibri"/>
          <w:color w:val="000000"/>
          <w:lang w:eastAsia="fr-BE"/>
        </w:rPr>
        <w:instrText>Visibilité"</w:instrText>
      </w:r>
      <w:r w:rsidRPr="00B601A0">
        <w:instrText xml:space="preserve"> </w:instrText>
      </w:r>
      <w:r w:rsidRPr="00B601A0">
        <w:fldChar w:fldCharType="end"/>
      </w:r>
      <w:r w:rsidRPr="00B601A0">
        <w:t xml:space="preserve"> du religieux</w:t>
      </w:r>
      <w:r w:rsidR="003630EF" w:rsidRPr="00B601A0">
        <w:t xml:space="preserve"> et le </w:t>
      </w:r>
      <w:r w:rsidR="00254531" w:rsidRPr="00B601A0">
        <w:t>prosélytisme</w:t>
      </w:r>
      <w:r w:rsidR="003630EF" w:rsidRPr="00B601A0">
        <w:t>, réputé subjectif. Face à l’exigence de neutralité, l’on constate un mouvement d’objectivation du prosélytisme, à travers lequel est qualifié de prosélyte – et donc non neutre – non plus le comportement subjectif attaché au port d’un signe ou à une pratique, mais le signe ou la pratique en eux-mêmes</w:t>
      </w:r>
      <w:r w:rsidR="003630EF" w:rsidRPr="00B601A0">
        <w:rPr>
          <w:rStyle w:val="Appelnotedebasdep"/>
        </w:rPr>
        <w:footnoteReference w:id="92"/>
      </w:r>
      <w:r w:rsidR="007874E3" w:rsidRPr="00B601A0">
        <w:t>.</w:t>
      </w:r>
    </w:p>
    <w:p w14:paraId="51DDBDE6" w14:textId="0BDFDD23" w:rsidR="0058411E" w:rsidRDefault="0058411E" w:rsidP="0058411E">
      <w:pPr>
        <w:pStyle w:val="Titre2"/>
      </w:pPr>
      <w:r>
        <w:t>Entreprise</w:t>
      </w:r>
    </w:p>
    <w:p w14:paraId="78EF4E9C" w14:textId="34634BF0" w:rsidR="00BB02E0" w:rsidRDefault="00BB02E0" w:rsidP="00421FA6">
      <w:pPr>
        <w:pStyle w:val="Paragraphedeliste"/>
      </w:pPr>
      <w:r>
        <w:t>En ce qu’elle implique l’organisation des relations entre de nombreux acteurs aux facettes fort différentes et aux intérêts plus ou moins divergents – acteurs publics et privés, personnes physiques et morales, salariés et entrepreneurs – l’entreprise constitue indéniablement un terrain de jeu aux multiples obstacles. Comment circonscrire les sphères d’intervention et de légitimité de chacun de ces acteurs au sein de l’entreprise, lorsqu’il est question de la place des expressions religieuses individuelles sur le lieu de travail</w:t>
      </w:r>
      <w:r w:rsidR="00971EE2">
        <w:t xml:space="preserve"> </w:t>
      </w:r>
      <w:r>
        <w:t>?</w:t>
      </w:r>
    </w:p>
    <w:p w14:paraId="18DECC65" w14:textId="0880D38E" w:rsidR="00BB02E0" w:rsidRDefault="00BB02E0" w:rsidP="00BB02E0">
      <w:r>
        <w:t xml:space="preserve">En guise d’introduction à ces questions, </w:t>
      </w:r>
      <w:r w:rsidR="00A83062">
        <w:t>nous mettrons d’abord</w:t>
      </w:r>
      <w:r>
        <w:t xml:space="preserve"> en exergue certains enjeux-clés de la </w:t>
      </w:r>
      <w:r w:rsidRPr="008D517D">
        <w:t>théorie de l’entreprise</w:t>
      </w:r>
      <w:r w:rsidR="00F5117A">
        <w:t xml:space="preserve"> </w:t>
      </w:r>
      <w:r>
        <w:t>(1). Dans un deuxième temps, nous envisagerons la manière dont certaines caractéristiques concrètes de l’entreprise – telles que la taille, la dimension multinationale ou le secteur d’activité – peuvent influencer le positionnement de celle-ci vis-à-vis de la religion, y compris du point de vue de l’invocation d’un principe de neutralité (2).</w:t>
      </w:r>
    </w:p>
    <w:p w14:paraId="6020521C" w14:textId="5618D635" w:rsidR="00FD6AB1" w:rsidRDefault="00FD6AB1" w:rsidP="008F46FF">
      <w:pPr>
        <w:pStyle w:val="Titre3"/>
        <w:numPr>
          <w:ilvl w:val="0"/>
          <w:numId w:val="13"/>
        </w:numPr>
      </w:pPr>
      <w:bookmarkStart w:id="12" w:name="_Toc72661856"/>
      <w:r>
        <w:lastRenderedPageBreak/>
        <w:t>Théorie de l’entreprise, religion et neutralité</w:t>
      </w:r>
      <w:bookmarkEnd w:id="12"/>
    </w:p>
    <w:p w14:paraId="1EC9FF87" w14:textId="37003740" w:rsidR="00137CAD" w:rsidRDefault="00137CAD" w:rsidP="00960BD9">
      <w:pPr>
        <w:pStyle w:val="Paragraphedeliste"/>
      </w:pPr>
      <w:r w:rsidRPr="001D3A96">
        <w:t xml:space="preserve">Les lignes qui suivent visent à </w:t>
      </w:r>
      <w:r>
        <w:t>confronter deux modèles opposés de théorie de l’entreprise – la théorie du contra</w:t>
      </w:r>
      <w:r>
        <w:fldChar w:fldCharType="begin"/>
      </w:r>
      <w:r>
        <w:instrText xml:space="preserve"> XE "</w:instrText>
      </w:r>
      <w:r w:rsidRPr="00821CE3">
        <w:rPr>
          <w:rFonts w:eastAsia="Times New Roman" w:cs="Calibri"/>
          <w:color w:val="000000"/>
          <w:lang w:eastAsia="fr-BE"/>
        </w:rPr>
        <w:instrText>Théorie du contrat</w:instrText>
      </w:r>
      <w:r>
        <w:rPr>
          <w:rFonts w:eastAsia="Times New Roman" w:cs="Calibri"/>
          <w:color w:val="000000"/>
          <w:lang w:eastAsia="fr-BE"/>
        </w:rPr>
        <w:instrText>"</w:instrText>
      </w:r>
      <w:r>
        <w:instrText xml:space="preserve"> </w:instrText>
      </w:r>
      <w:r>
        <w:fldChar w:fldCharType="end"/>
      </w:r>
      <w:r>
        <w:t xml:space="preserve">t et de l’institution – à l’invocation d’un principe de neutralité au sein de l’entreprise. Selon la conception – </w:t>
      </w:r>
      <w:r w:rsidRPr="00E74ED6">
        <w:t>contractualiste</w:t>
      </w:r>
      <w:r w:rsidR="002365A2">
        <w:t xml:space="preserve"> (a)</w:t>
      </w:r>
      <w:r w:rsidRPr="00E74ED6">
        <w:fldChar w:fldCharType="begin"/>
      </w:r>
      <w:r w:rsidRPr="00E74ED6">
        <w:instrText xml:space="preserve"> XE "</w:instrText>
      </w:r>
      <w:r w:rsidRPr="00E74ED6">
        <w:rPr>
          <w:rFonts w:eastAsia="Times New Roman" w:cs="Calibri"/>
          <w:color w:val="000000"/>
          <w:lang w:eastAsia="fr-BE"/>
        </w:rPr>
        <w:instrText>Théorie du contrat"</w:instrText>
      </w:r>
      <w:r w:rsidRPr="00E74ED6">
        <w:instrText xml:space="preserve"> </w:instrText>
      </w:r>
      <w:r w:rsidRPr="00E74ED6">
        <w:fldChar w:fldCharType="end"/>
      </w:r>
      <w:r w:rsidRPr="00E74ED6">
        <w:t xml:space="preserve"> ou institutionnelle</w:t>
      </w:r>
      <w:r w:rsidR="002365A2">
        <w:t xml:space="preserve"> (b)</w:t>
      </w:r>
      <w:r w:rsidRPr="001B1295">
        <w:t xml:space="preserve"> – de</w:t>
      </w:r>
      <w:r>
        <w:t xml:space="preserve"> l’entreprise qui est retenue en l’occurrence</w:t>
      </w:r>
      <w:r w:rsidRPr="001D3A96">
        <w:t>, la pertinence, la légitimité et le sens donnés à l’invocation de la neutralité de l’entreprise varieront</w:t>
      </w:r>
      <w:r>
        <w:t xml:space="preserve"> </w:t>
      </w:r>
      <w:r w:rsidRPr="001D3A96">
        <w:t>sensiblement</w:t>
      </w:r>
      <w:r>
        <w:t>, du point de vue de son articulation avec les droits fondamentaux des travailleurs.</w:t>
      </w:r>
    </w:p>
    <w:p w14:paraId="7FB9B72D" w14:textId="77777777" w:rsidR="00FD6AB1" w:rsidRPr="001D3A96" w:rsidRDefault="00FD6AB1" w:rsidP="008F46FF">
      <w:pPr>
        <w:pStyle w:val="Titre4"/>
        <w:numPr>
          <w:ilvl w:val="0"/>
          <w:numId w:val="14"/>
        </w:numPr>
      </w:pPr>
      <w:bookmarkStart w:id="13" w:name="_Toc72661857"/>
      <w:r w:rsidRPr="001D3A96">
        <w:t>Théorie du contrat et neutralité religieuse</w:t>
      </w:r>
      <w:bookmarkEnd w:id="13"/>
    </w:p>
    <w:p w14:paraId="5F962132" w14:textId="667B8647" w:rsidR="002365A2" w:rsidRDefault="002365A2" w:rsidP="00960BD9">
      <w:pPr>
        <w:pStyle w:val="Paragraphedeliste"/>
      </w:pPr>
      <w:r>
        <w:t>Sous l’angle de la théorie du contrat, l’entreprise est envisagée avant tout comme un acteur individuel, reconnu comme personne morale, avec lequel les travailleurs entretiennent une relation contractuelle</w:t>
      </w:r>
      <w:r w:rsidR="00457877">
        <w:t xml:space="preserve"> en vertu des principes de libre consentement et d’égalité contractuelle</w:t>
      </w:r>
      <w:r w:rsidR="00457877">
        <w:rPr>
          <w:rStyle w:val="Appelnotedebasdep"/>
        </w:rPr>
        <w:footnoteReference w:id="93"/>
      </w:r>
      <w:r>
        <w:t>.</w:t>
      </w:r>
    </w:p>
    <w:p w14:paraId="12B53163" w14:textId="7055D0DC" w:rsidR="00FD6AB1" w:rsidRPr="001D3A96" w:rsidRDefault="00FD6AB1" w:rsidP="00FD6AB1">
      <w:r w:rsidRPr="001D3A96">
        <w:t xml:space="preserve">Dans </w:t>
      </w:r>
      <w:r w:rsidR="002365A2">
        <w:t>cette</w:t>
      </w:r>
      <w:r>
        <w:t xml:space="preserve"> première</w:t>
      </w:r>
      <w:r w:rsidRPr="001D3A96">
        <w:t xml:space="preserve"> perspective, l’invocation de la neutralité par une entreprise apparaît </w:t>
      </w:r>
      <w:r>
        <w:t>avant tout</w:t>
      </w:r>
      <w:r w:rsidRPr="001D3A96">
        <w:t xml:space="preserve"> comme le fruit de l’exercice de ses droits et libertés individuels</w:t>
      </w:r>
      <w:r>
        <w:t>, celle-ci étant considérée comme une personne juridique parmi d’autres</w:t>
      </w:r>
      <w:r w:rsidRPr="001D3A96">
        <w:t>.</w:t>
      </w:r>
      <w:r>
        <w:t xml:space="preserve"> Cette neutralité peut prendre appui sur la liberté contractuelle, ou, plus fondamentalement, sur </w:t>
      </w:r>
      <w:r w:rsidRPr="001D3A96">
        <w:t>la liberté d’entreprise, la liberté d’expression ou</w:t>
      </w:r>
      <w:r>
        <w:t xml:space="preserve"> </w:t>
      </w:r>
      <w:r w:rsidRPr="001D3A96">
        <w:t>la liberté de religion et de conviction</w:t>
      </w:r>
      <w:r>
        <w:t xml:space="preserve"> dont jouit l’entreprise. C</w:t>
      </w:r>
      <w:r w:rsidRPr="001D3A96">
        <w:t xml:space="preserve">e choix </w:t>
      </w:r>
      <w:r>
        <w:t xml:space="preserve">individuel </w:t>
      </w:r>
      <w:r w:rsidRPr="001D3A96">
        <w:t xml:space="preserve">de l’entreprise s’articule </w:t>
      </w:r>
      <w:r>
        <w:t xml:space="preserve">quoi qu’il en soit </w:t>
      </w:r>
      <w:r w:rsidRPr="001D3A96">
        <w:t>avec le respect des droits fondamentaux des personnes concernées.</w:t>
      </w:r>
    </w:p>
    <w:p w14:paraId="0ED97F3E" w14:textId="7EE2F9C5" w:rsidR="00FD6AB1" w:rsidRPr="001D3A96" w:rsidRDefault="000C3895" w:rsidP="00FD6AB1">
      <w:r>
        <w:t>L</w:t>
      </w:r>
      <w:r w:rsidR="00FD6AB1" w:rsidRPr="001D3A96">
        <w:t>a mention, au sein du contrat, de droits et obligations découlant de cette neutralité garantirait dès lors en principe une renonciation de l’autre partie à certains droits.</w:t>
      </w:r>
      <w:r w:rsidR="009A680E">
        <w:t xml:space="preserve"> </w:t>
      </w:r>
      <w:r w:rsidR="00FD6AB1" w:rsidRPr="001D3A96">
        <w:t>Pour la question qui nous occupe, en matière de relations de travail, il s’agira de l’acceptation par le travailleur de règles de conduite liées au principe de neutralité et mentionnées dans le contrat de travail ou dans les autres instruments liant l’employeur et le travailleur, tels que le règlement de travail. Sous cette approche, la renonciation contractuelle</w:t>
      </w:r>
      <w:r w:rsidR="00FD6AB1">
        <w:fldChar w:fldCharType="begin"/>
      </w:r>
      <w:r w:rsidR="00FD6AB1">
        <w:instrText xml:space="preserve"> XE "</w:instrText>
      </w:r>
      <w:r w:rsidR="00FD6AB1" w:rsidRPr="00821CE3">
        <w:rPr>
          <w:rFonts w:eastAsia="Times New Roman" w:cs="Calibri"/>
          <w:color w:val="000000"/>
          <w:lang w:eastAsia="fr-BE"/>
        </w:rPr>
        <w:instrText>Renonciation au droit</w:instrText>
      </w:r>
      <w:r w:rsidR="00FD6AB1">
        <w:rPr>
          <w:rFonts w:eastAsia="Times New Roman" w:cs="Calibri"/>
          <w:color w:val="000000"/>
          <w:lang w:eastAsia="fr-BE"/>
        </w:rPr>
        <w:instrText>"</w:instrText>
      </w:r>
      <w:r w:rsidR="00FD6AB1">
        <w:instrText xml:space="preserve"> </w:instrText>
      </w:r>
      <w:r w:rsidR="00FD6AB1">
        <w:fldChar w:fldCharType="end"/>
      </w:r>
      <w:r w:rsidR="00FD6AB1" w:rsidRPr="001D3A96">
        <w:t xml:space="preserve"> initiale du travailleur à certaines formes de jouissance de sa liberté religieuse ôte tout fondement à une contestation ultérieure des règles adoptées sur </w:t>
      </w:r>
      <w:r w:rsidR="00FD6AB1">
        <w:t xml:space="preserve">la </w:t>
      </w:r>
      <w:r w:rsidR="00FD6AB1" w:rsidRPr="001D3A96">
        <w:t>base du principe de neutralité.</w:t>
      </w:r>
    </w:p>
    <w:p w14:paraId="48F33109" w14:textId="40B5FCB6" w:rsidR="00FD6AB1" w:rsidRPr="001D3A96" w:rsidRDefault="00FD6AB1" w:rsidP="00A83062">
      <w:r w:rsidRPr="001D3A96">
        <w:t>Sous cet angle, les effets restrictifs de la neutralité de l’entreprise sur la liberté religieuse du travailleur seront considérés comme légitimes par principe, dans la mesure où il est renoncé provisoirement et de manière limitée à cette liberté dans le cadre du contrat de travail. À l’inverse, lorsque la discussion se déplace de la liberté religieuse vers l’égalité et la non-discrimination en matière religieuse, la légitimité de principe d’une différence de traitement considérée comme défavorable au travailleur semble moins évidente : un contrat de travail qui présenterait un caractère discriminatoire à l’égard du travailleur</w:t>
      </w:r>
      <w:r w:rsidR="009A680E">
        <w:t xml:space="preserve"> </w:t>
      </w:r>
      <w:r w:rsidRPr="001D3A96">
        <w:t>sera jugé contraire à l’ordre juridique étatique qui entoure cette relation contractuelle, sans qu’il soit tenu compte du fait que le travailleur a exprimé valablement sa volonté de s’engager de manière contraignante</w:t>
      </w:r>
      <w:r w:rsidRPr="001D3A96">
        <w:rPr>
          <w:rStyle w:val="Appelnotedebasdep"/>
        </w:rPr>
        <w:footnoteReference w:id="94"/>
      </w:r>
      <w:r w:rsidR="007874E3">
        <w:t>.</w:t>
      </w:r>
    </w:p>
    <w:p w14:paraId="34ACF2FF" w14:textId="377A21B2" w:rsidR="00FD6AB1" w:rsidRPr="001D3A96" w:rsidRDefault="00FD6AB1" w:rsidP="00960BD9">
      <w:pPr>
        <w:pStyle w:val="Paragraphedeliste"/>
      </w:pPr>
      <w:r w:rsidRPr="001D3A96">
        <w:t xml:space="preserve">L’on retrouve ici la tension potentielle entre la liberté et l’égalité dans les rapports d’emploi : s’agit-il d’accorder davantage de valeur au contrat de travail en tant que fruit de l’accord entre deux </w:t>
      </w:r>
      <w:r w:rsidRPr="001D3A96">
        <w:lastRenderedPageBreak/>
        <w:t xml:space="preserve">personnes exprimant librement leur volonté, dont le caractère </w:t>
      </w:r>
      <w:r w:rsidRPr="001D3A96">
        <w:rPr>
          <w:i/>
        </w:rPr>
        <w:t>intuitu personae</w:t>
      </w:r>
      <w:r w:rsidRPr="001D3A96">
        <w:t xml:space="preserve"> joue un rôle fondamental ? S’agit-il au contraire d’adopter une vision plus égalitaire que libérale, qui ne se satisfait pas de l’accord de volontés entre des individus spécifiques, mais qui, dans une approche davantage quantitative et moins centrée sur l’individualité, porte son attention sur les traitements inégaux </w:t>
      </w:r>
      <w:r>
        <w:t>de</w:t>
      </w:r>
      <w:r w:rsidRPr="001D3A96">
        <w:t xml:space="preserve"> relations contractuelles semblables</w:t>
      </w:r>
      <w:r>
        <w:t> ?</w:t>
      </w:r>
    </w:p>
    <w:p w14:paraId="297FEBFE" w14:textId="77777777" w:rsidR="00FD6AB1" w:rsidRDefault="00FD6AB1" w:rsidP="00FD6AB1">
      <w:pPr>
        <w:pStyle w:val="Titre4"/>
      </w:pPr>
      <w:bookmarkStart w:id="15" w:name="_Toc72661858"/>
      <w:r w:rsidRPr="001D3A96">
        <w:t>Théorie de l’institution et neutralité religieuse</w:t>
      </w:r>
      <w:bookmarkEnd w:id="15"/>
    </w:p>
    <w:p w14:paraId="7F61B273" w14:textId="67D4CFC6" w:rsidR="002365A2" w:rsidRDefault="002365A2" w:rsidP="00960BD9">
      <w:pPr>
        <w:pStyle w:val="Paragraphedeliste"/>
      </w:pPr>
      <w:r>
        <w:t>À l’inverse</w:t>
      </w:r>
      <w:r w:rsidR="00457877">
        <w:t xml:space="preserve"> de la théorie du contrat</w:t>
      </w:r>
      <w:r>
        <w:t>, la théorie de l’institution conçoit le travailleur comme un élément constitutif de la communauté de travail et, à ce titre, comme partie intégrante de l’identité collective de l’organisation</w:t>
      </w:r>
      <w:r>
        <w:rPr>
          <w:rStyle w:val="Appelnotedebasdep"/>
        </w:rPr>
        <w:footnoteReference w:id="95"/>
      </w:r>
      <w:r w:rsidR="007874E3">
        <w:t>.</w:t>
      </w:r>
      <w:r w:rsidR="00457877">
        <w:t xml:space="preserve"> </w:t>
      </w:r>
      <w:r w:rsidR="008C3F27">
        <w:t>Construction</w:t>
      </w:r>
      <w:r w:rsidR="008B4FD8">
        <w:t xml:space="preserve"> doctrinale</w:t>
      </w:r>
      <w:r w:rsidR="008C3F27">
        <w:t xml:space="preserve"> </w:t>
      </w:r>
      <w:r w:rsidR="00F23B33">
        <w:t xml:space="preserve">originellement franco-allemande, la théorie institutionnelle n’a néanmoins jamais fait l’objet d’une réception formelle </w:t>
      </w:r>
      <w:r w:rsidR="00391C11">
        <w:t>en droit</w:t>
      </w:r>
      <w:r w:rsidR="008B4FD8">
        <w:t xml:space="preserve"> positif, en particulier</w:t>
      </w:r>
      <w:r w:rsidR="00D366CE">
        <w:t xml:space="preserve"> dans le cas</w:t>
      </w:r>
      <w:r w:rsidR="00391C11">
        <w:t xml:space="preserve"> </w:t>
      </w:r>
      <w:r w:rsidR="00292454">
        <w:t>de la Belgique</w:t>
      </w:r>
      <w:r w:rsidR="00292454">
        <w:rPr>
          <w:rStyle w:val="Appelnotedebasdep"/>
        </w:rPr>
        <w:footnoteReference w:id="96"/>
      </w:r>
      <w:r w:rsidR="00292454">
        <w:t xml:space="preserve">. </w:t>
      </w:r>
      <w:r w:rsidR="00457877">
        <w:t>L’entreprise est</w:t>
      </w:r>
      <w:r w:rsidR="006635B1">
        <w:t xml:space="preserve"> ici</w:t>
      </w:r>
      <w:r w:rsidR="00457877">
        <w:t xml:space="preserve"> appréhendée avant tout comme un ordre juridique propre, partiellement indépendant de l’ordre juridique étatique</w:t>
      </w:r>
      <w:r w:rsidR="00457877" w:rsidRPr="00F836E1">
        <w:rPr>
          <w:rStyle w:val="Appelnotedebasdep"/>
          <w:iCs/>
        </w:rPr>
        <w:footnoteReference w:id="97"/>
      </w:r>
      <w:r w:rsidR="00457877">
        <w:t>.</w:t>
      </w:r>
    </w:p>
    <w:p w14:paraId="66296FFB" w14:textId="5D41A154" w:rsidR="00FD6AB1" w:rsidRPr="001D3A96" w:rsidRDefault="00FD6AB1" w:rsidP="006F1B19">
      <w:r>
        <w:t xml:space="preserve">Dans </w:t>
      </w:r>
      <w:r w:rsidR="002365A2">
        <w:t>cette</w:t>
      </w:r>
      <w:r>
        <w:t xml:space="preserve"> seconde perspective, </w:t>
      </w:r>
      <w:r w:rsidR="006F1B19">
        <w:t>dès</w:t>
      </w:r>
      <w:r w:rsidRPr="001D3A96">
        <w:t xml:space="preserve"> lors que l’entreprise est ici appréhendée comme un ordre juridique autonome, comparable, à certains égards et dans une certaine mesure, à un </w:t>
      </w:r>
      <w:r>
        <w:t>État</w:t>
      </w:r>
      <w:r w:rsidRPr="001D3A96">
        <w:t xml:space="preserve"> démocratique, la prise en compte du postulat relatif à l’exigence de neutralité de tout </w:t>
      </w:r>
      <w:r>
        <w:t>État</w:t>
      </w:r>
      <w:r w:rsidRPr="001D3A96">
        <w:t xml:space="preserve"> démocratique nous amène à considérer que l’entreprise est elle-même soumise, dans sa relation avec ses travailleurs, à une exigence de neutralité. La neutralité de l’entreprise est envisagée ici non comme une restriction des droits et libertés des travailleurs, mais, à l’inverse, comme une garantie du respect de leur liberté convictionnelle</w:t>
      </w:r>
      <w:r w:rsidR="00941CB1">
        <w:t>. Se dessine ainsi</w:t>
      </w:r>
      <w:r w:rsidR="00941CB1" w:rsidRPr="00941CB1">
        <w:t xml:space="preserve"> </w:t>
      </w:r>
      <w:r w:rsidR="00941CB1" w:rsidRPr="001D3A96">
        <w:t>une analogie entre la gestion du fait religieux par l’</w:t>
      </w:r>
      <w:r w:rsidR="00941CB1">
        <w:t>État</w:t>
      </w:r>
      <w:r w:rsidR="00941CB1" w:rsidRPr="001D3A96">
        <w:t xml:space="preserve"> vis-à-vis de ses citoyens et par l’employeur privé vis-à-vis de ses travailleurs</w:t>
      </w:r>
      <w:r w:rsidR="00941CB1" w:rsidRPr="001D3A96">
        <w:rPr>
          <w:rStyle w:val="Appelnotedebasdep"/>
        </w:rPr>
        <w:footnoteReference w:id="98"/>
      </w:r>
      <w:r w:rsidRPr="001D3A96">
        <w:t>.</w:t>
      </w:r>
    </w:p>
    <w:p w14:paraId="49729E29" w14:textId="6F579FFB" w:rsidR="00FD6AB1" w:rsidRPr="00E567F7" w:rsidRDefault="00FD6AB1" w:rsidP="00FD6AB1">
      <w:r>
        <w:t>L’on perçoit immédiatement dans quelle mesure le parallélisme ainsi établi entre l’entreprise et l’État du point de vue de la neutralité nous ramène à l’enjeu relatif aux diverses modalités de mise en œuvre concrète de la neutralité de l’État. Il s’agit toutefois moins, pour l’entreprise, de répercuter automatiquement les choix posés par l’État quant à la concrétisation de sa propre neutralité, que de décider, en tant qu’ordre juridique autonome, le modèle de neutralité que celle-ci souhaite mettre en œuvre en son sein.</w:t>
      </w:r>
    </w:p>
    <w:p w14:paraId="4D2A5F6A" w14:textId="77777777" w:rsidR="00FD6AB1" w:rsidRPr="001D3A96" w:rsidRDefault="00FD6AB1" w:rsidP="00960BD9">
      <w:pPr>
        <w:pStyle w:val="Paragraphedeliste"/>
      </w:pPr>
      <w:r w:rsidRPr="001D3A96">
        <w:lastRenderedPageBreak/>
        <w:t>En écho avec le raisonnement développé au point précédent, nous pouvons ici aussi mettre en relation l’appréhension juridique de l’invocation de la neutralité par l’entreprise avec la tension entre la liberté et l’égalité dans les rapports d’emploi.</w:t>
      </w:r>
    </w:p>
    <w:p w14:paraId="6D9B3B26" w14:textId="2517B692" w:rsidR="00FD6AB1" w:rsidRDefault="00FD6AB1" w:rsidP="00FD6AB1">
      <w:r w:rsidRPr="001D3A96">
        <w:t>En premier lieu, du point de vue de la liberté religieuse, dès lors que l’entreprise est considérée comme un ordre juridique autonome à l’image de l’État démocratique</w:t>
      </w:r>
      <w:r>
        <w:fldChar w:fldCharType="begin"/>
      </w:r>
      <w:r>
        <w:instrText xml:space="preserve"> XE "</w:instrText>
      </w:r>
      <w:r>
        <w:rPr>
          <w:rFonts w:eastAsia="Times New Roman" w:cs="Calibri"/>
          <w:color w:val="000000"/>
          <w:lang w:eastAsia="fr-BE"/>
        </w:rPr>
        <w:instrText>Démocratie"</w:instrText>
      </w:r>
      <w:r>
        <w:instrText xml:space="preserve"> </w:instrText>
      </w:r>
      <w:r>
        <w:fldChar w:fldCharType="end"/>
      </w:r>
      <w:r w:rsidRPr="001D3A96">
        <w:t>, les effets restrictifs d’une neutralité d’entreprise sur la liberté religieuse de certains travailleurs ne pourraient être admissibles que dans la mesure où ils s’avèreraient non seulement limités, mais également nécessaires pour garantir la liberté religieuse des travailleurs pris dans leur globalité.</w:t>
      </w:r>
    </w:p>
    <w:p w14:paraId="656CF598" w14:textId="0758D8F4" w:rsidR="00FD6AB1" w:rsidRDefault="00FD6AB1" w:rsidP="00FD6AB1">
      <w:r w:rsidRPr="001D3A96">
        <w:t xml:space="preserve">Du point de vue de la non-discrimination, une neutralité d’entreprise envisagée de manière similaire à une neutralité d’État, est moins susceptible d’être considérée comme aboutissant à des différences de traitement entre travailleurs sur la base de leur religion, même dans l’hypothèse où cette neutralité </w:t>
      </w:r>
      <w:r>
        <w:t>fonderait</w:t>
      </w:r>
      <w:r w:rsidRPr="001D3A96">
        <w:t xml:space="preserve"> une restriction des expressions religieuses. Dès lors que cette neutralité constitue une mesure d’application générale et indifférenciée, </w:t>
      </w:r>
      <w:r w:rsidR="007343E3">
        <w:t>l</w:t>
      </w:r>
      <w:r w:rsidRPr="001D3A96">
        <w:t>e fait que son choix porte sur un modèle entraînant certaines restrictions dans l’expression religieuse des travailleurs ne peut en théorie être jugé illégitime du point de vue de l’égalité des travailleurs, dans la mesure où ce choix est posé en toute autonomie dans le cadre de l’ordre juridique interne de l’entreprise</w:t>
      </w:r>
      <w:r>
        <w:rPr>
          <w:rStyle w:val="Appelnotedebasdep"/>
        </w:rPr>
        <w:footnoteReference w:id="99"/>
      </w:r>
      <w:r w:rsidR="007874E3">
        <w:t>.</w:t>
      </w:r>
    </w:p>
    <w:p w14:paraId="19CEE852" w14:textId="58209AB4" w:rsidR="00FD6AB1" w:rsidRPr="00AB1223" w:rsidRDefault="00FD6AB1" w:rsidP="00FD6AB1">
      <w:pPr>
        <w:pStyle w:val="Titre3"/>
      </w:pPr>
      <w:bookmarkStart w:id="17" w:name="_Toc72661869"/>
      <w:r>
        <w:t>Caractéristiques</w:t>
      </w:r>
      <w:r w:rsidRPr="00AB1223">
        <w:t xml:space="preserve"> d’entreprise, religion et neutralité</w:t>
      </w:r>
      <w:bookmarkEnd w:id="17"/>
    </w:p>
    <w:p w14:paraId="490A0A1F" w14:textId="41A35176" w:rsidR="00FD6AB1" w:rsidRDefault="00FD6AB1" w:rsidP="008D517D">
      <w:pPr>
        <w:pStyle w:val="Paragraphedeliste"/>
      </w:pPr>
      <w:r>
        <w:t>À la croisée de nos questionnements sur la théorie de l’entreprise et la définition des relations de travail, c’est finalement le modèle de l’entreprise qui se voit interrogé. Or, nous le verrons, la conception qui peut être faite du modèle économique et social de l’entreprise produit des répercussions évidentes quant à la manière dont peut être envisagée la gestion du fait religieux en son sein, y compris du point de vue de l’invocation de la neutralité.</w:t>
      </w:r>
    </w:p>
    <w:p w14:paraId="4E8D5274" w14:textId="77C85ABF" w:rsidR="00FD6AB1" w:rsidRDefault="00FD6AB1" w:rsidP="00FD6AB1">
      <w:r>
        <w:t xml:space="preserve">Nous entamerons ce panorama </w:t>
      </w:r>
      <w:r w:rsidR="0001739C">
        <w:t xml:space="preserve">à travers </w:t>
      </w:r>
      <w:r>
        <w:t>le cas de l’entreprise multinationale, en nous interrogeant sur la manière dont celle-ci articule son modèle de gestion du religieux avec les particularités sociétales et juridiques des pays au sein desquels elle est implantée (</w:t>
      </w:r>
      <w:r w:rsidR="00972B7E">
        <w:t>a</w:t>
      </w:r>
      <w:r>
        <w:t>).</w:t>
      </w:r>
      <w:r w:rsidR="0001739C">
        <w:t xml:space="preserve"> N</w:t>
      </w:r>
      <w:r>
        <w:t xml:space="preserve">ous </w:t>
      </w:r>
      <w:r w:rsidR="00C3467E">
        <w:t>apprécierons</w:t>
      </w:r>
      <w:r w:rsidR="0001739C">
        <w:t xml:space="preserve"> dans un deuxième temps</w:t>
      </w:r>
      <w:r>
        <w:t xml:space="preserve"> </w:t>
      </w:r>
      <w:r w:rsidR="00C3467E">
        <w:t xml:space="preserve">l’influence de </w:t>
      </w:r>
      <w:r>
        <w:t xml:space="preserve">la taille de l’entreprise sur les obligations de moyens pesant sur </w:t>
      </w:r>
      <w:r w:rsidR="00C3467E">
        <w:t xml:space="preserve">elle </w:t>
      </w:r>
      <w:r>
        <w:t>dans la prise en compte des expressions religieuses (</w:t>
      </w:r>
      <w:r w:rsidR="00972B7E">
        <w:t>b</w:t>
      </w:r>
      <w:r>
        <w:t xml:space="preserve">). Enfin, nous examinerons </w:t>
      </w:r>
      <w:r w:rsidR="00C3467E">
        <w:t xml:space="preserve">l’impact </w:t>
      </w:r>
      <w:r>
        <w:t>du secteur d’activité de l’entreprise sur la manière dont celle-ci se positionne en matière religieuse (</w:t>
      </w:r>
      <w:r w:rsidR="00972B7E">
        <w:t>c</w:t>
      </w:r>
      <w:r>
        <w:t>).</w:t>
      </w:r>
    </w:p>
    <w:p w14:paraId="71B57D69" w14:textId="77777777" w:rsidR="00FD6AB1" w:rsidRDefault="00FD6AB1" w:rsidP="008F46FF">
      <w:pPr>
        <w:pStyle w:val="Titre4"/>
        <w:numPr>
          <w:ilvl w:val="0"/>
          <w:numId w:val="16"/>
        </w:numPr>
      </w:pPr>
      <w:bookmarkStart w:id="18" w:name="_Toc72661874"/>
      <w:r>
        <w:t xml:space="preserve">L’entreprise multinationale : </w:t>
      </w:r>
      <w:proofErr w:type="spellStart"/>
      <w:r w:rsidRPr="008D517D">
        <w:rPr>
          <w:i w:val="0"/>
          <w:iCs w:val="0"/>
        </w:rPr>
        <w:t>cuius</w:t>
      </w:r>
      <w:proofErr w:type="spellEnd"/>
      <w:r w:rsidRPr="008D517D">
        <w:rPr>
          <w:i w:val="0"/>
          <w:iCs w:val="0"/>
        </w:rPr>
        <w:t xml:space="preserve"> </w:t>
      </w:r>
      <w:proofErr w:type="spellStart"/>
      <w:r w:rsidRPr="008D517D">
        <w:rPr>
          <w:i w:val="0"/>
          <w:iCs w:val="0"/>
        </w:rPr>
        <w:t>regio</w:t>
      </w:r>
      <w:proofErr w:type="spellEnd"/>
      <w:r w:rsidRPr="008D517D">
        <w:rPr>
          <w:i w:val="0"/>
          <w:iCs w:val="0"/>
        </w:rPr>
        <w:t xml:space="preserve">, </w:t>
      </w:r>
      <w:proofErr w:type="spellStart"/>
      <w:r w:rsidRPr="008D517D">
        <w:rPr>
          <w:i w:val="0"/>
          <w:iCs w:val="0"/>
        </w:rPr>
        <w:t>eius</w:t>
      </w:r>
      <w:proofErr w:type="spellEnd"/>
      <w:r w:rsidRPr="008D517D">
        <w:rPr>
          <w:i w:val="0"/>
          <w:iCs w:val="0"/>
        </w:rPr>
        <w:t xml:space="preserve"> </w:t>
      </w:r>
      <w:proofErr w:type="spellStart"/>
      <w:r w:rsidRPr="008D517D">
        <w:rPr>
          <w:i w:val="0"/>
          <w:iCs w:val="0"/>
        </w:rPr>
        <w:t>religio</w:t>
      </w:r>
      <w:proofErr w:type="spellEnd"/>
      <w:r>
        <w:t> ?</w:t>
      </w:r>
      <w:bookmarkEnd w:id="18"/>
    </w:p>
    <w:p w14:paraId="5A9906ED" w14:textId="04511932" w:rsidR="00FD6AB1" w:rsidRDefault="00FD6AB1" w:rsidP="00960BD9">
      <w:pPr>
        <w:pStyle w:val="Paragraphedeliste"/>
      </w:pPr>
      <w:r>
        <w:t xml:space="preserve">La </w:t>
      </w:r>
      <w:r w:rsidR="0001739C">
        <w:t>première</w:t>
      </w:r>
      <w:r>
        <w:t xml:space="preserve"> configuration envisagée quant aux rapports d’influence mutuelle entre les modèles d’entreprise et le fait religieux correspond au cas des entreprises multi- ou transnationales, dont la particularité première est d’être implantée dans plusieurs pays, et, par conséquent, dans plusieurs environnements de travail.</w:t>
      </w:r>
    </w:p>
    <w:p w14:paraId="3BAB8D96" w14:textId="4C1E5657" w:rsidR="00FD6AB1" w:rsidRDefault="00FD6AB1" w:rsidP="00FD6AB1">
      <w:r>
        <w:t xml:space="preserve">Quel impact </w:t>
      </w:r>
      <w:r w:rsidR="00496E73">
        <w:t xml:space="preserve">la </w:t>
      </w:r>
      <w:r>
        <w:t xml:space="preserve">présence simultanée de l’entreprise au sein de multiples sociétés et cultures peut-elle avoir sur la manière dont la multinationale envisage la gestion du fait religieux en son sein ? </w:t>
      </w:r>
      <w:r w:rsidRPr="00E00968">
        <w:t xml:space="preserve">Pour répondre à </w:t>
      </w:r>
      <w:r w:rsidR="00C3467E">
        <w:t>cette</w:t>
      </w:r>
      <w:r w:rsidR="00C3467E" w:rsidRPr="00E00968">
        <w:t xml:space="preserve"> </w:t>
      </w:r>
      <w:r w:rsidRPr="00E00968">
        <w:t>question, nous évoquerons divers exemples concrets, jurisprudentiels ou non, de corrélation entre la dimension transnationale d’une entreprise et ses choix en matière de gestion</w:t>
      </w:r>
      <w:r>
        <w:t xml:space="preserve"> du fait religieux en son sein.</w:t>
      </w:r>
    </w:p>
    <w:p w14:paraId="3F638504" w14:textId="35B86C2E" w:rsidR="00FD6AB1" w:rsidRDefault="00FD6AB1" w:rsidP="00960BD9">
      <w:pPr>
        <w:pStyle w:val="Paragraphedeliste"/>
      </w:pPr>
      <w:r>
        <w:lastRenderedPageBreak/>
        <w:t xml:space="preserve">Une première illustration manifeste de cet enjeu peut être trouvée dans les circonstances du litige opposant la chaîne de magasins </w:t>
      </w:r>
      <w:proofErr w:type="spellStart"/>
      <w:r w:rsidRPr="00BF50E9">
        <w:rPr>
          <w:i/>
          <w:iCs/>
        </w:rPr>
        <w:t>Hema</w:t>
      </w:r>
      <w:proofErr w:type="spellEnd"/>
      <w:r>
        <w:rPr>
          <w:i/>
          <w:iCs/>
        </w:rPr>
        <w:fldChar w:fldCharType="begin"/>
      </w:r>
      <w:r>
        <w:rPr>
          <w:i/>
          <w:iCs/>
        </w:rPr>
        <w:instrText xml:space="preserve"> XE "</w:instrText>
      </w:r>
      <w:r>
        <w:rPr>
          <w:rFonts w:eastAsia="Times New Roman" w:cs="Calibri"/>
          <w:i/>
          <w:iCs/>
          <w:color w:val="000000"/>
          <w:lang w:eastAsia="fr-BE"/>
        </w:rPr>
        <w:instrText xml:space="preserve">Hema </w:instrText>
      </w:r>
      <w:r>
        <w:rPr>
          <w:rFonts w:eastAsia="Times New Roman" w:cs="Calibri"/>
          <w:color w:val="000000"/>
          <w:lang w:eastAsia="fr-BE"/>
        </w:rPr>
        <w:instrText>(affaire)"</w:instrText>
      </w:r>
      <w:r>
        <w:rPr>
          <w:i/>
          <w:iCs/>
        </w:rPr>
        <w:instrText xml:space="preserve"> </w:instrText>
      </w:r>
      <w:r>
        <w:rPr>
          <w:i/>
          <w:iCs/>
        </w:rPr>
        <w:fldChar w:fldCharType="end"/>
      </w:r>
      <w:r>
        <w:t xml:space="preserve"> à une travailleuse désireuse de porter le foulard sur son lieu de travail. Le licenciement prononcé à son encontre, face à son refus de retirer ce signe religieux, sera sanctionné d’un constat de discrimination par le </w:t>
      </w:r>
      <w:r w:rsidR="003B07B8">
        <w:t xml:space="preserve">tribunal </w:t>
      </w:r>
      <w:r>
        <w:t>du travail de Tongres en janvier 2013</w:t>
      </w:r>
      <w:r>
        <w:rPr>
          <w:rStyle w:val="Appelnotedebasdep"/>
        </w:rPr>
        <w:footnoteReference w:id="100"/>
      </w:r>
      <w:r w:rsidR="007874E3">
        <w:t>.</w:t>
      </w:r>
      <w:r>
        <w:t xml:space="preserve"> Dans leur motivation, les juges insistent avant tout sur l’absence de politique de neutralité</w:t>
      </w:r>
      <w:r w:rsidR="0051190A">
        <w:t xml:space="preserve"> </w:t>
      </w:r>
      <w:r>
        <w:t>interdisant le port de signes religieux au moment des faits. Pour parvenir à cette conclusion, le jugement mentionne l’incohérence de l’entreprise à cet égard, celle-ci ayant dans un premier temps autorisé la salariée à porter ce signe religieux, avant de se raviser</w:t>
      </w:r>
      <w:r w:rsidR="00710B17">
        <w:rPr>
          <w:rStyle w:val="Appelnotedebasdep"/>
        </w:rPr>
        <w:footnoteReference w:id="101"/>
      </w:r>
      <w:r w:rsidR="00710B17">
        <w:t>.</w:t>
      </w:r>
      <w:r>
        <w:t xml:space="preserve"> Le premier communiqué</w:t>
      </w:r>
      <w:r w:rsidR="00D442FA">
        <w:t xml:space="preserve"> publié </w:t>
      </w:r>
      <w:r w:rsidR="00E84E07">
        <w:t xml:space="preserve">à cet égard </w:t>
      </w:r>
      <w:r w:rsidR="00D442FA">
        <w:t xml:space="preserve">par </w:t>
      </w:r>
      <w:proofErr w:type="spellStart"/>
      <w:r w:rsidR="00D442FA" w:rsidRPr="008D517D">
        <w:rPr>
          <w:i/>
          <w:iCs/>
        </w:rPr>
        <w:t>Hema</w:t>
      </w:r>
      <w:proofErr w:type="spellEnd"/>
      <w:r w:rsidRPr="008D517D">
        <w:rPr>
          <w:i/>
          <w:iCs/>
        </w:rPr>
        <w:t xml:space="preserve"> </w:t>
      </w:r>
      <w:r>
        <w:t>indique en substance que l’entreprise s’adapte à la culture et aux coutumes de chacun des pays où il est implanté, et que, là où les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de ses magasins situés aux Pays-Bas</w:t>
      </w:r>
      <w:r>
        <w:fldChar w:fldCharType="begin"/>
      </w:r>
      <w:r>
        <w:instrText xml:space="preserve"> XE "</w:instrText>
      </w:r>
      <w:r>
        <w:rPr>
          <w:rFonts w:eastAsia="Times New Roman" w:cs="Calibri"/>
          <w:color w:val="000000"/>
          <w:lang w:eastAsia="fr-BE"/>
        </w:rPr>
        <w:instrText>Pays-Bas"</w:instrText>
      </w:r>
      <w:r>
        <w:instrText xml:space="preserve"> </w:instrText>
      </w:r>
      <w:r>
        <w:fldChar w:fldCharType="end"/>
      </w:r>
      <w:r>
        <w:t xml:space="preserve"> ne semblent pas avoir de problème avec le port du foulard, tel n’est pas le cas en Belgique – ni même en France –, où « les clients attachent beaucoup d’importance à une image neutre et discrète à cet égard »</w:t>
      </w:r>
      <w:r>
        <w:rPr>
          <w:rStyle w:val="Appelnotedebasdep"/>
        </w:rPr>
        <w:footnoteReference w:id="102"/>
      </w:r>
      <w:r>
        <w:t xml:space="preserve">. Trois jours plus tard, face au constat que ce premier communiqué a en réalité davantage attisé la polémique qu’il n’a pu l’éteindre, </w:t>
      </w:r>
      <w:proofErr w:type="spellStart"/>
      <w:r w:rsidRPr="00BF50E9">
        <w:rPr>
          <w:i/>
          <w:iCs/>
        </w:rPr>
        <w:t>Hema</w:t>
      </w:r>
      <w:proofErr w:type="spellEnd"/>
      <w:r>
        <w:t xml:space="preserve"> explique avoir affiné la politique vestimentaire au sein des magasins de sa filiale belge, tenant compte du fait que cette politique « peut varier d’un pays à l’autre » et qu’il s’agira, en Belgique, de « transmettre une image neutre à ses clients »</w:t>
      </w:r>
      <w:r>
        <w:rPr>
          <w:rStyle w:val="Appelnotedebasdep"/>
        </w:rPr>
        <w:footnoteReference w:id="103"/>
      </w:r>
      <w:r w:rsidR="007874E3">
        <w:t>.</w:t>
      </w:r>
    </w:p>
    <w:p w14:paraId="30B575D2" w14:textId="71F53F6D" w:rsidR="00C85B36" w:rsidRPr="008D517D" w:rsidRDefault="00FD6AB1" w:rsidP="008D517D">
      <w:pPr>
        <w:rPr>
          <w:highlight w:val="darkYellow"/>
        </w:rPr>
      </w:pPr>
      <w:r>
        <w:fldChar w:fldCharType="begin"/>
      </w:r>
      <w:r>
        <w:instrText xml:space="preserve"> XE "</w:instrText>
      </w:r>
      <w:r w:rsidRPr="00821CE3">
        <w:rPr>
          <w:rFonts w:eastAsia="Times New Roman" w:cs="Calibri"/>
          <w:color w:val="000000"/>
          <w:lang w:eastAsia="fr-BE"/>
        </w:rPr>
        <w:instrText>Pays-Bas</w:instrText>
      </w:r>
      <w:r>
        <w:rPr>
          <w:rFonts w:eastAsia="Times New Roman" w:cs="Calibri"/>
          <w:color w:val="000000"/>
          <w:lang w:eastAsia="fr-BE"/>
        </w:rPr>
        <w:instrText>"</w:instrText>
      </w:r>
      <w:r>
        <w:instrText xml:space="preserve"> </w:instrText>
      </w:r>
      <w:r>
        <w:fldChar w:fldCharType="end"/>
      </w:r>
      <w:r>
        <w:t>En tout état de cause, ce litige illustre avec pertinence le défi que peut représenter le fait, pour une entreprise multinationale, de concevoir et mettre en œuvre une politique de gestion du fait religieux à la fois cohérente et globale, et, dans le même temps, adaptée aux réalités sociales et culturelles des pays en question.</w:t>
      </w:r>
    </w:p>
    <w:p w14:paraId="68BF3614" w14:textId="425FC77D" w:rsidR="00FD6AB1" w:rsidRDefault="00FD6AB1" w:rsidP="008D517D">
      <w:r>
        <w:t>A cette première articulation entre politique globale d’entreprise et adaptation au contexte local, se greffe une seconde exigence</w:t>
      </w:r>
      <w:r w:rsidR="00FE79F5">
        <w:t xml:space="preserve"> liée à</w:t>
      </w:r>
      <w:r>
        <w:t xml:space="preserve"> la prise en compte de la diversité culturelle et confessionnelle au sein même de chaque pays où l’entreprise multinationale est présente</w:t>
      </w:r>
      <w:r>
        <w:rPr>
          <w:rStyle w:val="Appelnotedebasdep"/>
        </w:rPr>
        <w:footnoteReference w:id="104"/>
      </w:r>
      <w:r w:rsidR="007874E3">
        <w:t>.</w:t>
      </w:r>
    </w:p>
    <w:p w14:paraId="0A8A9468" w14:textId="5E043CB6" w:rsidR="00FD6AB1" w:rsidRDefault="00FD6AB1" w:rsidP="00FD6AB1">
      <w:pPr>
        <w:tabs>
          <w:tab w:val="left" w:pos="4211"/>
        </w:tabs>
      </w:pPr>
      <w:r>
        <w:t xml:space="preserve">A cet égard, la situation de la </w:t>
      </w:r>
      <w:r w:rsidRPr="00FF2602">
        <w:rPr>
          <w:i/>
          <w:iCs/>
        </w:rPr>
        <w:t>RATP</w:t>
      </w:r>
      <w:r>
        <w:t xml:space="preserve"> (</w:t>
      </w:r>
      <w:r w:rsidRPr="000B64A7">
        <w:t>Régie autonome des transports parisiens</w:t>
      </w:r>
      <w:r>
        <w:t xml:space="preserve">) est particulièrement pertinente. En plus de son </w:t>
      </w:r>
      <w:r w:rsidR="00FE79F5">
        <w:t>implantation</w:t>
      </w:r>
      <w:r>
        <w:t xml:space="preserve"> parisienne, l’entreprise a développé, depuis 2002, des activités de transport public dans plusieurs villes à travers le monde. </w:t>
      </w:r>
      <w:r w:rsidR="00FE79F5">
        <w:t>L</w:t>
      </w:r>
      <w:r>
        <w:t>es effets de cette internationalisation se font également ressentir jusque dans la gestion concrète du fait religieux au sein de la régie parisienne</w:t>
      </w:r>
      <w:r w:rsidR="00FE79F5">
        <w:t xml:space="preserve">, </w:t>
      </w:r>
      <w:r>
        <w:t>lorsque les cadres de</w:t>
      </w:r>
      <w:r w:rsidR="00FE79F5">
        <w:t xml:space="preserve">s </w:t>
      </w:r>
      <w:r>
        <w:t>filiales</w:t>
      </w:r>
      <w:r w:rsidR="00FE79F5">
        <w:t xml:space="preserve"> étrangères</w:t>
      </w:r>
      <w:r>
        <w:t xml:space="preserve"> viennent se former en France, et sont confrontés à un régime de laïcité auquel ils ne sont </w:t>
      </w:r>
      <w:r w:rsidRPr="008D517D">
        <w:rPr>
          <w:iCs/>
        </w:rPr>
        <w:t>a priori</w:t>
      </w:r>
      <w:r>
        <w:t xml:space="preserve"> pas soumis. Il est ainsi permis de se demander dans quelle mesure cette « culture de la laïcité » influe sur les filiales étrangères du groupe, dans des environnements plutôt étrangers à ce concept</w:t>
      </w:r>
      <w:r>
        <w:rPr>
          <w:rStyle w:val="Appelnotedebasdep"/>
        </w:rPr>
        <w:footnoteReference w:id="105"/>
      </w:r>
      <w:r w:rsidR="007874E3">
        <w:t>.</w:t>
      </w:r>
      <w:r>
        <w:t xml:space="preserve"> Il n’empêche que, outre ces influences </w:t>
      </w:r>
      <w:r w:rsidR="00972B7E">
        <w:t>réciproques entre pays</w:t>
      </w:r>
      <w:r>
        <w:t xml:space="preserve">, l’enjeu se situe au premier chef au sein même des communautés de travail de la régie parisienne, dont une proportion substantielle comprend des travailleurs de confession musulmane – comme c’est d’ailleurs le cas à la </w:t>
      </w:r>
      <w:r w:rsidRPr="00FF2602">
        <w:rPr>
          <w:i/>
          <w:iCs/>
        </w:rPr>
        <w:t>STIB</w:t>
      </w:r>
      <w:r w:rsidR="000134F9" w:rsidRPr="00D86A51">
        <w:rPr>
          <w:rStyle w:val="Appelnotedebasdep"/>
        </w:rPr>
        <w:footnoteReference w:id="106"/>
      </w:r>
      <w:r>
        <w:t xml:space="preserve">, équivalent bruxellois de la </w:t>
      </w:r>
      <w:r w:rsidRPr="00FF2602">
        <w:rPr>
          <w:i/>
          <w:iCs/>
        </w:rPr>
        <w:t>RATP</w:t>
      </w:r>
      <w:r>
        <w:t xml:space="preserve">. </w:t>
      </w:r>
      <w:r w:rsidR="00325C0D">
        <w:t xml:space="preserve">L’insertion d’une clause de neutralité </w:t>
      </w:r>
      <w:r w:rsidR="0020474E">
        <w:t xml:space="preserve">dans </w:t>
      </w:r>
      <w:r w:rsidR="0020474E">
        <w:lastRenderedPageBreak/>
        <w:t>chaque contrat de travail</w:t>
      </w:r>
      <w:r w:rsidR="00F4040D" w:rsidRPr="00F4040D">
        <w:t xml:space="preserve"> </w:t>
      </w:r>
      <w:r w:rsidR="00F4040D">
        <w:t>dès 2005</w:t>
      </w:r>
      <w:r w:rsidR="00325C0D">
        <w:t xml:space="preserve">, </w:t>
      </w:r>
      <w:r w:rsidR="00100565">
        <w:t>suivie de</w:t>
      </w:r>
      <w:r w:rsidR="00325C0D">
        <w:t xml:space="preserve"> l</w:t>
      </w:r>
      <w:r>
        <w:t xml:space="preserve">a publication d’un guide pratique en 2013, intitulé « Laïcité et neutralité dans l’entreprise », </w:t>
      </w:r>
      <w:r w:rsidR="0020474E">
        <w:t>visaient l’un</w:t>
      </w:r>
      <w:r w:rsidR="00100565">
        <w:t>e</w:t>
      </w:r>
      <w:r w:rsidR="0020474E">
        <w:t xml:space="preserve"> et l’autre à</w:t>
      </w:r>
      <w:r>
        <w:t xml:space="preserve"> prévenir les comportements religieux </w:t>
      </w:r>
      <w:r w:rsidR="00100565">
        <w:t xml:space="preserve">jugés </w:t>
      </w:r>
      <w:r>
        <w:t>contraires à la neutralité et</w:t>
      </w:r>
      <w:r w:rsidR="0020474E">
        <w:t xml:space="preserve"> qui</w:t>
      </w:r>
      <w:r>
        <w:t xml:space="preserve"> nuiraient au bon fonctionnement</w:t>
      </w:r>
      <w:r>
        <w:fldChar w:fldCharType="begin"/>
      </w:r>
      <w: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instrText xml:space="preserve"> </w:instrText>
      </w:r>
      <w:r>
        <w:fldChar w:fldCharType="end"/>
      </w:r>
      <w:r>
        <w:t xml:space="preserve"> interne</w:t>
      </w:r>
      <w:r>
        <w:rPr>
          <w:rStyle w:val="Appelnotedebasdep"/>
        </w:rPr>
        <w:footnoteReference w:id="107"/>
      </w:r>
      <w:r w:rsidR="007874E3">
        <w:t>.</w:t>
      </w:r>
      <w:r>
        <w:t xml:space="preserve"> </w:t>
      </w:r>
      <w:r w:rsidR="00100565">
        <w:t xml:space="preserve">Cette stratégie </w:t>
      </w:r>
      <w:r>
        <w:t xml:space="preserve">n’a visiblement pas empêché le développement de certains comportements </w:t>
      </w:r>
      <w:r w:rsidR="00972B7E">
        <w:t>problématiques</w:t>
      </w:r>
      <w:r w:rsidR="00100565">
        <w:t>,</w:t>
      </w:r>
      <w:r>
        <w:t xml:space="preserve"> mis en lumière à l’occasion de la vague d’attentats qui a secoué Paris en 2015, dans laquelle était impliqué un ancien travailleur de la </w:t>
      </w:r>
      <w:r w:rsidRPr="00FF2602">
        <w:rPr>
          <w:i/>
          <w:iCs/>
        </w:rPr>
        <w:t>RATP</w:t>
      </w:r>
      <w:r>
        <w:t>. De nouvelles mesures de sensibilisation sont alors mises sur pied afin d’apporter « une aide concrète aux managers de proximité » sur ces questions d’expression religieuse</w:t>
      </w:r>
      <w:r>
        <w:rPr>
          <w:rStyle w:val="Appelnotedebasdep"/>
        </w:rPr>
        <w:footnoteReference w:id="108"/>
      </w:r>
      <w:r w:rsidR="007874E3">
        <w:t>.</w:t>
      </w:r>
    </w:p>
    <w:p w14:paraId="016C05EB" w14:textId="22125F5E" w:rsidR="00FD6AB1" w:rsidRDefault="00FD6AB1" w:rsidP="00FD6AB1">
      <w:pPr>
        <w:pStyle w:val="Titre4"/>
      </w:pPr>
      <w:bookmarkStart w:id="19" w:name="_Ref49084948"/>
      <w:bookmarkStart w:id="20" w:name="_Toc72661875"/>
      <w:r>
        <w:t>Neutralité religieuse</w:t>
      </w:r>
      <w:r w:rsidR="00997CF3">
        <w:t>, taille de l’entreprise</w:t>
      </w:r>
      <w:r>
        <w:t xml:space="preserve"> et obligation de moyens</w:t>
      </w:r>
      <w:bookmarkEnd w:id="19"/>
      <w:bookmarkEnd w:id="20"/>
    </w:p>
    <w:p w14:paraId="30BE2669" w14:textId="1288B693" w:rsidR="00FD6AB1" w:rsidRDefault="00FD6AB1" w:rsidP="008D517D">
      <w:pPr>
        <w:pStyle w:val="Paragraphedeliste"/>
      </w:pPr>
      <w:r>
        <w:t xml:space="preserve">Dans leur appréciation des politiques de gestion du fait religieux, il n’est pas rare que les instances judiciaires utilisent </w:t>
      </w:r>
      <w:r w:rsidR="003E5652">
        <w:t xml:space="preserve">le critère de la taille de l’entreprise </w:t>
      </w:r>
      <w:r>
        <w:t xml:space="preserve">comme indice d’adéquation de la politique menée avec le respect des droits individuels du travailleur. C’est particulièrement le cas au stade de l’examen de la proportionnalité d’une mesure de restriction. Dans ses conclusions relatives à l’affaire </w:t>
      </w:r>
      <w:r w:rsidRPr="003E5652">
        <w:rPr>
          <w:i/>
        </w:rPr>
        <w:t>Bougnaoui</w:t>
      </w:r>
      <w:r>
        <w:t xml:space="preserve"> devant la CJUE, l’avocat général </w:t>
      </w:r>
      <w:proofErr w:type="spellStart"/>
      <w:r>
        <w:t>Sharpston</w:t>
      </w:r>
      <w:proofErr w:type="spellEnd"/>
      <w:r>
        <w:t xml:space="preserve"> l’indique ainsi expressément :</w:t>
      </w:r>
    </w:p>
    <w:p w14:paraId="09D46586" w14:textId="7A3BBA6F" w:rsidR="00FD6AB1" w:rsidRDefault="00FD6AB1" w:rsidP="00FD6AB1">
      <w:pPr>
        <w:pStyle w:val="Citation1"/>
      </w:pPr>
      <w:r>
        <w:t>Ce qui est proportionné peut varier selon la taille de l’entreprise concernée. Plus grande est l’entreprise, plus il est probable qu’elle disposera des ressources nécessaires pour affecter avec souplesse ses travailleurs aux différentes tâches qui leur sont assignées. On peut donc attendre d’un employeur qui est une grande entreprise qu’il prenne plus de mesures pour parvenir à un aménagement raisonnable avec son personnel que d’un employeur qui est une entreprise petite ou moyenne</w:t>
      </w:r>
      <w:r>
        <w:rPr>
          <w:rStyle w:val="Appelnotedebasdep"/>
        </w:rPr>
        <w:footnoteReference w:id="109"/>
      </w:r>
      <w:r w:rsidR="007874E3">
        <w:t>.</w:t>
      </w:r>
    </w:p>
    <w:p w14:paraId="31C07BAE" w14:textId="5B9491A2" w:rsidR="00FD6AB1" w:rsidRDefault="00FD6AB1" w:rsidP="00FD6AB1">
      <w:r>
        <w:t xml:space="preserve">L’argument de Mme </w:t>
      </w:r>
      <w:proofErr w:type="spellStart"/>
      <w:r>
        <w:t>Sharpston</w:t>
      </w:r>
      <w:proofErr w:type="spellEnd"/>
      <w:r>
        <w:t xml:space="preserve"> peut être confronté à un point précis de l’arrêt rendu par la CJUE dans l’affaire </w:t>
      </w:r>
      <w:proofErr w:type="spellStart"/>
      <w:r>
        <w:rPr>
          <w:i/>
        </w:rPr>
        <w:t>Achbita</w:t>
      </w:r>
      <w:proofErr w:type="spellEnd"/>
      <w:r>
        <w:t xml:space="preserve">, elle-même étroitement liée à l’affaire </w:t>
      </w:r>
      <w:r>
        <w:rPr>
          <w:i/>
        </w:rPr>
        <w:t>Bougnaoui</w:t>
      </w:r>
      <w:r>
        <w:t>. Parmi les différentes pistes fournies par la CJUE quant à la manière dont doit être évaluée la proportionnalité d’une mesure d’interdiction générale des expressions convictionnelles basée sur une 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neutre, est mentionnée la possibilité de reclasser le travailleur désireux de porter un signe convictionnel dans une fonction en arrière-boutique, afin d’éviter le licenciement. La CJUE conditionne toutefois ce test à la prise en compte « des contraintes inhérentes à l’entreprise »</w:t>
      </w:r>
      <w:r>
        <w:rPr>
          <w:rStyle w:val="Appelnotedebasdep"/>
        </w:rPr>
        <w:footnoteReference w:id="110"/>
      </w:r>
      <w:r>
        <w:t xml:space="preserve">. Parmi ces contraintes potentielles, il est permis d’intégrer le critère de la taille de l’entreprise. Cette hypothèse se vérifie d’ailleurs de manière éloquente dans un arrêt de la Cour d’appel de Paris rendu le 25 novembre 2015. Comme dans les affaires </w:t>
      </w:r>
      <w:r>
        <w:rPr>
          <w:i/>
        </w:rPr>
        <w:t xml:space="preserve">Bougnaoui </w:t>
      </w:r>
      <w:r>
        <w:t xml:space="preserve">et </w:t>
      </w:r>
      <w:proofErr w:type="spellStart"/>
      <w:r w:rsidRPr="00A00840">
        <w:rPr>
          <w:i/>
        </w:rPr>
        <w:t>Achbita</w:t>
      </w:r>
      <w:proofErr w:type="spellEnd"/>
      <w:r>
        <w:t>, l</w:t>
      </w:r>
      <w:r w:rsidRPr="00A00840">
        <w:t>’affaire</w:t>
      </w:r>
      <w:r>
        <w:t xml:space="preserve"> porte sur la contestation du licenciement d’une employée, à la suite de son refus de ne pas porter de foulard islamique durant son travail. </w:t>
      </w:r>
      <w:r w:rsidR="00516F0C">
        <w:t>L</w:t>
      </w:r>
      <w:r>
        <w:t xml:space="preserve">’interdiction du port de signes religieux était ici aussi justifiée par l’image de neutralité que souhaitait renvoyer la banque </w:t>
      </w:r>
      <w:r w:rsidRPr="00E0328E">
        <w:rPr>
          <w:i/>
          <w:iCs/>
        </w:rPr>
        <w:t>LCL</w:t>
      </w:r>
      <w:r>
        <w:t xml:space="preserve"> à sa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La travailleuse ayant elle-même suggéré un reclassement interne vers une fonction sans contact visuel</w:t>
      </w:r>
      <w:r>
        <w:fldChar w:fldCharType="begin"/>
      </w:r>
      <w:r>
        <w:instrText xml:space="preserve"> XE "</w:instrText>
      </w:r>
      <w:r w:rsidRPr="00821CE3">
        <w:rPr>
          <w:rFonts w:eastAsia="Times New Roman" w:cs="Calibri"/>
          <w:color w:val="000000"/>
          <w:lang w:eastAsia="fr-BE"/>
        </w:rPr>
        <w:instrText>Visibilité</w:instrText>
      </w:r>
      <w:r>
        <w:rPr>
          <w:rFonts w:eastAsia="Times New Roman" w:cs="Calibri"/>
          <w:color w:val="000000"/>
          <w:lang w:eastAsia="fr-BE"/>
        </w:rPr>
        <w:instrText>:Contact visuel"</w:instrText>
      </w:r>
      <w:r>
        <w:instrText xml:space="preserve"> </w:instrText>
      </w:r>
      <w:r>
        <w:fldChar w:fldCharType="end"/>
      </w:r>
      <w:r>
        <w:t xml:space="preserve"> avec la clientèle, la Cour ne manque pas de souligner le caractère bancal de l’argumentation fournie par la banque pour prouver l’impossibilité de toute mobilité interne </w:t>
      </w:r>
      <w:r>
        <w:rPr>
          <w:i/>
        </w:rPr>
        <w:t xml:space="preserve">in </w:t>
      </w:r>
      <w:proofErr w:type="spellStart"/>
      <w:r>
        <w:rPr>
          <w:i/>
        </w:rPr>
        <w:lastRenderedPageBreak/>
        <w:t>casu</w:t>
      </w:r>
      <w:proofErr w:type="spellEnd"/>
      <w:r>
        <w:t>.</w:t>
      </w:r>
      <w:r>
        <w:rPr>
          <w:rStyle w:val="Appelnotedebasdep"/>
        </w:rPr>
        <w:footnoteReference w:id="111"/>
      </w:r>
      <w:r w:rsidR="00BF29DF">
        <w:t xml:space="preserve"> </w:t>
      </w:r>
      <w:r>
        <w:t>La circonstance selon laquelle l’entreprise emploie plusieurs centaines de collaborateurs dans la région concernée constitue ici un indice décisif quant à la possibilité de prévoir un reclassement interne et, partant, conduit la Cour à juger la mesure de licenciement disproportionnée au regard du droit à la non-discrimination.</w:t>
      </w:r>
    </w:p>
    <w:p w14:paraId="4055927F" w14:textId="3F7D36D2" w:rsidR="00FD6AB1" w:rsidRPr="00645B7B" w:rsidRDefault="00FD6AB1" w:rsidP="00FD6AB1">
      <w:r>
        <w:t xml:space="preserve">A l’inverse, citons l’arrêt rendu en assemblée plénière par la Cour de cassation </w:t>
      </w:r>
      <w:r w:rsidR="008C3674">
        <w:t xml:space="preserve">française </w:t>
      </w:r>
      <w:r>
        <w:t xml:space="preserve">dans l’affaire </w:t>
      </w:r>
      <w:r w:rsidRPr="00162DBF">
        <w:rPr>
          <w:i/>
          <w:iCs/>
        </w:rPr>
        <w:t>Baby Loup</w:t>
      </w:r>
      <w:r>
        <w:t xml:space="preserve">. Parmi les circonstances concrètes amenant </w:t>
      </w:r>
      <w:r>
        <w:rPr>
          <w:i/>
          <w:iCs/>
        </w:rPr>
        <w:t>in fine</w:t>
      </w:r>
      <w:r>
        <w:t xml:space="preserve"> la Cour à conclure au caractère justifié de l’atteinte à la liberté de religion de la personne licenciée en raison du port du foulard au sein de la crèche, </w:t>
      </w:r>
      <w:r w:rsidRPr="00645B7B">
        <w:t xml:space="preserve">figurent « les conditions de fonctionnement d’une association de </w:t>
      </w:r>
      <w:r w:rsidRPr="00645B7B">
        <w:rPr>
          <w:i/>
          <w:iCs/>
        </w:rPr>
        <w:t>dimension réduite, employant seulement dix-huit salariés</w:t>
      </w:r>
      <w:r w:rsidRPr="00645B7B">
        <w:t>, qui étaient ou pouvaient être en relation directe avec les enfants et leurs parents »</w:t>
      </w:r>
      <w:r>
        <w:rPr>
          <w:rStyle w:val="Appelnotedebasdep"/>
        </w:rPr>
        <w:footnoteReference w:id="112"/>
      </w:r>
      <w:r>
        <w:t>.</w:t>
      </w:r>
    </w:p>
    <w:p w14:paraId="2DE1F0E3" w14:textId="77777777" w:rsidR="00FD6AB1" w:rsidRDefault="00FD6AB1" w:rsidP="00FD6AB1">
      <w:pPr>
        <w:pStyle w:val="Titre4"/>
      </w:pPr>
      <w:bookmarkStart w:id="21" w:name="_Toc72661876"/>
      <w:r>
        <w:t>Secteur d’activité, culture d’entreprise et réponse au fait religieux</w:t>
      </w:r>
      <w:bookmarkEnd w:id="21"/>
    </w:p>
    <w:p w14:paraId="4FE2EF0F" w14:textId="77777777" w:rsidR="00FD6AB1" w:rsidRDefault="00FD6AB1" w:rsidP="00960BD9">
      <w:pPr>
        <w:pStyle w:val="Paragraphedeliste"/>
      </w:pPr>
      <w:r>
        <w:t>Les dernières variables corrélées à la gestion du fait religieux dans l’entreprise correspondent au secteur d’activité et à la culture d’entreprise présente au sein de chaque organisation.</w:t>
      </w:r>
    </w:p>
    <w:p w14:paraId="4FF9EDF0" w14:textId="6DA3CAEA" w:rsidR="00FD6AB1" w:rsidRDefault="00FD6AB1" w:rsidP="00960BD9">
      <w:pPr>
        <w:pStyle w:val="Paragraphedeliste"/>
      </w:pPr>
      <w:r>
        <w:t xml:space="preserve">A partir de leur étude de terrain relative aux réponses fournies par les entreprises françaises aux demandes d’expression religieuse de leurs employés, Géraldine Galindo et </w:t>
      </w:r>
      <w:proofErr w:type="spellStart"/>
      <w:r>
        <w:t>Hédia</w:t>
      </w:r>
      <w:proofErr w:type="spellEnd"/>
      <w:r>
        <w:t xml:space="preserve"> </w:t>
      </w:r>
      <w:proofErr w:type="spellStart"/>
      <w:r>
        <w:t>Zannad</w:t>
      </w:r>
      <w:proofErr w:type="spellEnd"/>
      <w:r>
        <w:t xml:space="preserve"> perçoivent une corrélation entre les types de réponse des employeurs et la structure organisationnelle de l’entreprise. Prenant appui sur une analyse de Michel </w:t>
      </w:r>
      <w:proofErr w:type="spellStart"/>
      <w:r>
        <w:t>Ferrary</w:t>
      </w:r>
      <w:proofErr w:type="spellEnd"/>
      <w:r>
        <w:rPr>
          <w:rStyle w:val="Appelnotedebasdep"/>
        </w:rPr>
        <w:footnoteReference w:id="113"/>
      </w:r>
      <w:r>
        <w:t>, les deux auteurs mettent en avant les liens entre « la structure du capital humain » au sein de l’entreprise et les réponses organisationnelles à la question religieuse. Quatre catégories d’entreprise sont identifiées sur cette base</w:t>
      </w:r>
      <w:r>
        <w:rPr>
          <w:rStyle w:val="Appelnotedebasdep"/>
        </w:rPr>
        <w:footnoteReference w:id="114"/>
      </w:r>
      <w:r>
        <w:t> :</w:t>
      </w:r>
    </w:p>
    <w:p w14:paraId="4229E1B6" w14:textId="3FAC75C2" w:rsidR="00FD6AB1" w:rsidRDefault="00FD6AB1" w:rsidP="00960BD9">
      <w:pPr>
        <w:pStyle w:val="Paragraphedeliste"/>
        <w:numPr>
          <w:ilvl w:val="0"/>
          <w:numId w:val="15"/>
        </w:numPr>
      </w:pPr>
      <w:r>
        <w:t>Les entreprises comprenant une masse salariale forte, avec des salaires bas et des travailleurs faiblement qualifiés, sont plus enclines à ignorer les demandes religieuses ou à laisser leurs managers de terrain les gérer au cas par cas. Les secteurs de la restauration ou de l’hôtellerie sont ainsi donnés en exemple.</w:t>
      </w:r>
    </w:p>
    <w:p w14:paraId="5BC4CE92" w14:textId="77777777" w:rsidR="00FD6AB1" w:rsidRDefault="00FD6AB1" w:rsidP="00960BD9">
      <w:pPr>
        <w:pStyle w:val="Paragraphedeliste"/>
        <w:numPr>
          <w:ilvl w:val="0"/>
          <w:numId w:val="15"/>
        </w:numPr>
      </w:pPr>
      <w:r>
        <w:t>Les entreprises intenses en capital technique, avec une précarisation forte de la relation de travail, comme dans le secteur automobile, sont également plus susceptibles de refuser les éventuelles revendications religieuses lorsqu’elles nuisent à l’organisation du travail.</w:t>
      </w:r>
    </w:p>
    <w:p w14:paraId="28358D82" w14:textId="77777777" w:rsidR="00FD6AB1" w:rsidRDefault="00FD6AB1" w:rsidP="00960BD9">
      <w:pPr>
        <w:pStyle w:val="Paragraphedeliste"/>
        <w:numPr>
          <w:ilvl w:val="0"/>
          <w:numId w:val="15"/>
        </w:numPr>
      </w:pPr>
      <w:r>
        <w:t>Les entreprises « intenses en connaissance », telles que le secteur financier, pour lesquelles les ressources humaines représentent un coût et une ressource importants, sont plus enclines à accueillir les requêtes de nature religieuse, par ailleurs moins courantes que chez les salariés peu qualifiés.</w:t>
      </w:r>
    </w:p>
    <w:p w14:paraId="29827F3B" w14:textId="77777777" w:rsidR="00FD6AB1" w:rsidRDefault="00FD6AB1" w:rsidP="00960BD9">
      <w:pPr>
        <w:pStyle w:val="Paragraphedeliste"/>
        <w:numPr>
          <w:ilvl w:val="0"/>
          <w:numId w:val="15"/>
        </w:numPr>
      </w:pPr>
      <w:r>
        <w:lastRenderedPageBreak/>
        <w:t>Les entreprises à forte valeur technologique, au sein desquelles la performance des travailleurs est fortement valorisée mais où la masse salariale est plus faible, répondent ici aussi plus facilement aux demandes religieuses. C’est le cas des entreprises du secteur tertiaire lié aux t</w:t>
      </w:r>
      <w:r w:rsidRPr="00340DA8">
        <w:t>echnologies de l'information et de la communication</w:t>
      </w:r>
      <w:r>
        <w:t>.</w:t>
      </w:r>
    </w:p>
    <w:p w14:paraId="0E57CD75" w14:textId="77777777" w:rsidR="00FD6AB1" w:rsidRDefault="00FD6AB1" w:rsidP="00FD6AB1">
      <w:r>
        <w:t>Selon les deux auteurs, cette typologie peut être synthétisée par le fait que « les entreprises cherchent donc davantage à répondre aux attentes de leurs actuels et futurs salariés, lorsque leurs salariés constituent une ressource stratégique et détiennent des compétences spécifiques et difficilement substituables »</w:t>
      </w:r>
      <w:r>
        <w:rPr>
          <w:rStyle w:val="Appelnotedebasdep"/>
        </w:rPr>
        <w:footnoteReference w:id="115"/>
      </w:r>
      <w:r>
        <w:t>.</w:t>
      </w:r>
    </w:p>
    <w:p w14:paraId="7BB441C8" w14:textId="493C7767" w:rsidR="00FD6AB1" w:rsidRDefault="00FD6AB1" w:rsidP="00960BD9">
      <w:pPr>
        <w:pStyle w:val="Paragraphedeliste"/>
      </w:pPr>
      <w:r>
        <w:t xml:space="preserve">Sur cette analyse par secteur d’activité, il est intéressant de juxtaposer le critère de la culture d’entreprise. Les contingences propres à chaque secteur d’activité ne suffisent en effet pas à expliquer le choix des employeurs de répondre favorablement ou non aux demandes de nature religieuse de leurs employés. Dans le cas français, Denis Maillard confronte par exemple les entreprises dites « traditionnelles », telles que le secteur de l’automobile ou de la construction, aux entreprises plus </w:t>
      </w:r>
      <w:r w:rsidR="001D25AF">
        <w:t>« </w:t>
      </w:r>
      <w:r>
        <w:t>idéologiques</w:t>
      </w:r>
      <w:r w:rsidR="001D25AF">
        <w:t> »</w:t>
      </w:r>
      <w:r>
        <w:t xml:space="preserve">. Les deux catégories partagent le fait d’être composées d’une main-d’œuvre diversifiée. Au sein des </w:t>
      </w:r>
      <w:r w:rsidR="001D25AF">
        <w:t>entreprises traditionnelles</w:t>
      </w:r>
      <w:r>
        <w:t>, la diversité culturelle et religieuse des travailleurs est une donnée fondamentale depuis plusieurs décennies, et les demandes religieuses sont accueillies avec pragmatisme</w:t>
      </w:r>
      <w:r w:rsidR="007874E3">
        <w:t>.</w:t>
      </w:r>
      <w:r>
        <w:t xml:space="preserve"> Pour les entreprises idéologiques, si la diversité est un fait plus récent dans le quotidien de ces organisations, celles-ci décident d’y apporter une réponse plus assumée, au-delà des nécessités organisationnelles. Qu’il s’agisse d’une politique d’ouverture à l’expression religieuse ou, à l’inverse, de fermeture, le choix idéologique est en l’occurrence entièrement revendiqué</w:t>
      </w:r>
      <w:r>
        <w:rPr>
          <w:rStyle w:val="Appelnotedebasdep"/>
        </w:rPr>
        <w:footnoteReference w:id="116"/>
      </w:r>
      <w:r w:rsidR="007874E3">
        <w:t>.</w:t>
      </w:r>
    </w:p>
    <w:p w14:paraId="05C5FEF4" w14:textId="2FBD89A7" w:rsidR="00B8602B" w:rsidRDefault="00B8602B" w:rsidP="00FD6AB1">
      <w:r>
        <w:t xml:space="preserve">L’on aperçoit déjà à ce stade le contraste pouvant existant entre une gestion instrumentale du fait religieux au sein de l’entreprise et une politique idéologique assumée par l’employeur. Cette opposition entre la visée instrumentale et la visée idéologique de la neutralité de l’entreprise privée fait précisément l’objet de la seconde partie de </w:t>
      </w:r>
      <w:r w:rsidR="003D4BA7">
        <w:t>cet article</w:t>
      </w:r>
      <w:r>
        <w:t>.</w:t>
      </w:r>
    </w:p>
    <w:p w14:paraId="784A3DA3" w14:textId="1C23A7E0" w:rsidR="0058411E" w:rsidRPr="00BA3B64" w:rsidRDefault="0058411E" w:rsidP="0058411E">
      <w:pPr>
        <w:pStyle w:val="Titre1"/>
      </w:pPr>
      <w:r w:rsidRPr="00BA3B64">
        <w:t>Quatre figures de l’entreprise neutre</w:t>
      </w:r>
    </w:p>
    <w:p w14:paraId="26E40CA4" w14:textId="5C10EF7D" w:rsidR="00673F0E" w:rsidRDefault="00673F0E" w:rsidP="008D517D">
      <w:pPr>
        <w:pStyle w:val="Paragraphedeliste"/>
      </w:pPr>
      <w:r>
        <w:t>La première partie nous a permis de prendre la mesure des interrogations conceptuelles entourant chacune des notions au cœur de notre question de recherche.</w:t>
      </w:r>
      <w:r w:rsidR="00F83F7D">
        <w:t xml:space="preserve"> </w:t>
      </w:r>
      <w:r>
        <w:t>En particulier, la neutralité et la religion, notions fondamentalement imbriquées, apparaissent particulièrement insaisissables d’un point de vue juridique, tant leur sens et leur portée font potentiellement l’objet de conceptions divergentes.</w:t>
      </w:r>
    </w:p>
    <w:p w14:paraId="0A66545F" w14:textId="3CEA9DD0" w:rsidR="00673F0E" w:rsidRDefault="00673F0E" w:rsidP="00673F0E">
      <w:r>
        <w:t xml:space="preserve">La présente partie a pour ambition de proposer une </w:t>
      </w:r>
      <w:r w:rsidRPr="008D517D">
        <w:t>catégorisation des acceptions possibles de l’entreprise neutre</w:t>
      </w:r>
      <w:r w:rsidRPr="006873D9">
        <w:rPr>
          <w:i/>
          <w:iCs/>
        </w:rPr>
        <w:t>,</w:t>
      </w:r>
      <w:r>
        <w:t xml:space="preserve"> afin de percevoir dans quelles hypothèses l’invocation de la neutralité par un employeur est susceptible d’influer sur le respect de</w:t>
      </w:r>
      <w:r w:rsidRPr="00EF436E">
        <w:t xml:space="preserve"> </w:t>
      </w:r>
      <w:r>
        <w:t xml:space="preserve">la non-discrimination et de la liberté de religion des employés. Le </w:t>
      </w:r>
      <w:r w:rsidRPr="008D517D">
        <w:t>postulat central</w:t>
      </w:r>
      <w:r>
        <w:t xml:space="preserve"> de </w:t>
      </w:r>
      <w:r w:rsidR="0026742E">
        <w:t>cet article</w:t>
      </w:r>
      <w:r>
        <w:t xml:space="preserve"> est en effet que les </w:t>
      </w:r>
      <w:r w:rsidRPr="008D517D">
        <w:t>conséquences juridiques</w:t>
      </w:r>
      <w:r>
        <w:t xml:space="preserve"> attachées à l’invocation de la </w:t>
      </w:r>
      <w:r w:rsidRPr="008D517D">
        <w:t>neutralité</w:t>
      </w:r>
      <w:r>
        <w:t xml:space="preserve"> dans l’entreprise privée doivent être envisagées en fonction des </w:t>
      </w:r>
      <w:r w:rsidRPr="008D517D">
        <w:t>divers</w:t>
      </w:r>
      <w:r w:rsidRPr="006873D9">
        <w:rPr>
          <w:i/>
          <w:iCs/>
        </w:rPr>
        <w:t xml:space="preserve"> </w:t>
      </w:r>
      <w:r w:rsidRPr="008D517D">
        <w:t>objectifs</w:t>
      </w:r>
      <w:r>
        <w:t xml:space="preserve"> potentiellement poursuivis par l’employeur dans sa </w:t>
      </w:r>
      <w:r w:rsidRPr="008D517D">
        <w:t>référence à la neutralité</w:t>
      </w:r>
      <w:r>
        <w:t>.</w:t>
      </w:r>
    </w:p>
    <w:p w14:paraId="4FC901AF" w14:textId="3E17417E" w:rsidR="00673F0E" w:rsidRPr="00673F0E" w:rsidRDefault="00673F0E" w:rsidP="00673F0E">
      <w:r>
        <w:t xml:space="preserve">Ces hypothèses de catégorisation sont développées tant à partir de la </w:t>
      </w:r>
      <w:r w:rsidRPr="008D517D">
        <w:t>jurisprudence</w:t>
      </w:r>
      <w:r>
        <w:t xml:space="preserve"> que de cas </w:t>
      </w:r>
      <w:r w:rsidRPr="008D517D">
        <w:t>pré</w:t>
      </w:r>
      <w:r w:rsidRPr="008D517D">
        <w:noBreakHyphen/>
        <w:t>judiciaires</w:t>
      </w:r>
      <w:r>
        <w:t xml:space="preserve"> ou </w:t>
      </w:r>
      <w:r w:rsidRPr="008D517D">
        <w:t>non</w:t>
      </w:r>
      <w:r w:rsidRPr="00FD7511">
        <w:rPr>
          <w:b/>
          <w:bCs/>
        </w:rPr>
        <w:t xml:space="preserve"> </w:t>
      </w:r>
      <w:r w:rsidRPr="008D517D">
        <w:t>juridictionnels</w:t>
      </w:r>
      <w:r>
        <w:t xml:space="preserve"> recensés auprès des agences publiques en charge de la lutte contre les discriminations, à l’instar d’</w:t>
      </w:r>
      <w:proofErr w:type="spellStart"/>
      <w:r w:rsidRPr="002251A6">
        <w:rPr>
          <w:iCs/>
        </w:rPr>
        <w:t>Unia</w:t>
      </w:r>
      <w:proofErr w:type="spellEnd"/>
      <w:r>
        <w:rPr>
          <w:i/>
        </w:rPr>
        <w:fldChar w:fldCharType="begin"/>
      </w:r>
      <w:r>
        <w:rPr>
          <w:i/>
        </w:rPr>
        <w:instrText xml:space="preserve"> XE "</w:instrText>
      </w:r>
      <w:r w:rsidRPr="00821CE3">
        <w:rPr>
          <w:rFonts w:eastAsia="Times New Roman" w:cs="Calibri"/>
          <w:i/>
          <w:iCs/>
          <w:color w:val="000000"/>
          <w:lang w:eastAsia="fr-BE"/>
        </w:rPr>
        <w:instrText>Unia</w:instrText>
      </w:r>
      <w:r>
        <w:rPr>
          <w:rFonts w:eastAsia="Times New Roman" w:cs="Calibri"/>
          <w:i/>
          <w:iCs/>
          <w:color w:val="000000"/>
          <w:lang w:eastAsia="fr-BE"/>
        </w:rPr>
        <w:instrText>"</w:instrText>
      </w:r>
      <w:r>
        <w:rPr>
          <w:i/>
        </w:rPr>
        <w:instrText xml:space="preserve"> </w:instrText>
      </w:r>
      <w:r>
        <w:rPr>
          <w:i/>
        </w:rPr>
        <w:fldChar w:fldCharType="end"/>
      </w:r>
      <w:r>
        <w:t xml:space="preserve"> (Centre interfédéral pour l’égalité des chances) en Belgique. Une attention particulière sera néanmoins accordée aux litiges ayant fait l’objet de jurisprudences désormais emblématiques en la matière : </w:t>
      </w:r>
      <w:r w:rsidR="00AE14D8" w:rsidRPr="00B601A0">
        <w:t xml:space="preserve">les affaires </w:t>
      </w:r>
      <w:r w:rsidRPr="00B601A0">
        <w:t>belge</w:t>
      </w:r>
      <w:r w:rsidR="00AE14D8" w:rsidRPr="00B601A0">
        <w:t>s</w:t>
      </w:r>
      <w:r w:rsidRPr="00B601A0">
        <w:t xml:space="preserve"> </w:t>
      </w:r>
      <w:proofErr w:type="spellStart"/>
      <w:r w:rsidRPr="00B601A0">
        <w:rPr>
          <w:i/>
        </w:rPr>
        <w:t>Achbita</w:t>
      </w:r>
      <w:proofErr w:type="spellEnd"/>
      <w:r w:rsidR="000C2DD6" w:rsidRPr="00B601A0">
        <w:rPr>
          <w:i/>
        </w:rPr>
        <w:t xml:space="preserve"> </w:t>
      </w:r>
      <w:r w:rsidR="000C2DD6" w:rsidRPr="00B601A0">
        <w:rPr>
          <w:iCs/>
        </w:rPr>
        <w:t xml:space="preserve">et </w:t>
      </w:r>
      <w:r w:rsidR="000C2DD6" w:rsidRPr="00B601A0">
        <w:rPr>
          <w:i/>
        </w:rPr>
        <w:t>LF c. SCRL</w:t>
      </w:r>
      <w:r w:rsidRPr="00B601A0">
        <w:t xml:space="preserve">, </w:t>
      </w:r>
      <w:r w:rsidRPr="00B601A0">
        <w:lastRenderedPageBreak/>
        <w:t xml:space="preserve">les affaires françaises </w:t>
      </w:r>
      <w:r w:rsidRPr="00B601A0">
        <w:rPr>
          <w:i/>
        </w:rPr>
        <w:t>Baby Loup</w:t>
      </w:r>
      <w:r w:rsidRPr="00B601A0">
        <w:t xml:space="preserve"> et </w:t>
      </w:r>
      <w:r w:rsidRPr="00B601A0">
        <w:rPr>
          <w:i/>
        </w:rPr>
        <w:t>Bougnaoui</w:t>
      </w:r>
      <w:r w:rsidRPr="00B601A0">
        <w:t>,</w:t>
      </w:r>
      <w:r w:rsidR="000C2DD6" w:rsidRPr="00B601A0">
        <w:t xml:space="preserve"> les affaires allemandes </w:t>
      </w:r>
      <w:r w:rsidR="000C2DD6" w:rsidRPr="00B601A0">
        <w:rPr>
          <w:i/>
          <w:iCs/>
        </w:rPr>
        <w:t xml:space="preserve">WABE </w:t>
      </w:r>
      <w:r w:rsidR="000C2DD6" w:rsidRPr="00B601A0">
        <w:t xml:space="preserve">et </w:t>
      </w:r>
      <w:r w:rsidR="000C2DD6" w:rsidRPr="00B601A0">
        <w:rPr>
          <w:i/>
          <w:iCs/>
        </w:rPr>
        <w:t>Müller,</w:t>
      </w:r>
      <w:r w:rsidRPr="00B601A0">
        <w:t xml:space="preserve"> ainsi que, dans une moindre mesure, l’affaire </w:t>
      </w:r>
      <w:proofErr w:type="spellStart"/>
      <w:r w:rsidRPr="00B601A0">
        <w:rPr>
          <w:i/>
        </w:rPr>
        <w:t>Eweida</w:t>
      </w:r>
      <w:proofErr w:type="spellEnd"/>
      <w:r w:rsidRPr="00B601A0">
        <w:rPr>
          <w:i/>
        </w:rPr>
        <w:t xml:space="preserve"> e.a. c. Royaume-Uni</w:t>
      </w:r>
      <w:r w:rsidRPr="00B601A0">
        <w:t>.</w:t>
      </w:r>
    </w:p>
    <w:p w14:paraId="01AC109F" w14:textId="15E139BC" w:rsidR="00FC39A0" w:rsidRDefault="00673F0E" w:rsidP="00083717">
      <w:r>
        <w:t>Face aux incohérences juridiques qui semblent se dégager de ces différents cas pratiques, l’exercice développé ici ambitionne de résoudre cette confusion apparente à travers une analyse systématique des tenants et aboutissants de chaque figure de l’entreprise neutre.</w:t>
      </w:r>
    </w:p>
    <w:p w14:paraId="401CA543" w14:textId="7FE03A68" w:rsidR="00673F0E" w:rsidRDefault="00673F0E" w:rsidP="00673F0E">
      <w:r>
        <w:t xml:space="preserve">Après avoir isolé successivement </w:t>
      </w:r>
      <w:r w:rsidRPr="008C6C9A">
        <w:t xml:space="preserve">deux orientations et deux lieux d’application de ce que diverses entreprises revendiquent comme « neutralité », nous avons observé que ces deux critères se croisaient. Pour chacune des deux catégories initiales (neutralité en tant </w:t>
      </w:r>
      <w:r w:rsidRPr="001B7886">
        <w:t>qu’</w:t>
      </w:r>
      <w:r w:rsidRPr="008D517D">
        <w:t>instrument</w:t>
      </w:r>
      <w:r w:rsidRPr="008C6C9A">
        <w:t xml:space="preserve"> ou en tant que </w:t>
      </w:r>
      <w:r w:rsidRPr="008D517D">
        <w:t>finalité</w:t>
      </w:r>
      <w:r w:rsidRPr="008C6C9A">
        <w:t xml:space="preserve">), un second critère (dimension </w:t>
      </w:r>
      <w:r w:rsidRPr="008D517D">
        <w:t>interne</w:t>
      </w:r>
      <w:r w:rsidRPr="008C6C9A">
        <w:rPr>
          <w:i/>
        </w:rPr>
        <w:t xml:space="preserve"> </w:t>
      </w:r>
      <w:r w:rsidRPr="008C6C9A">
        <w:t xml:space="preserve">ou </w:t>
      </w:r>
      <w:r w:rsidRPr="008D517D">
        <w:t>externe</w:t>
      </w:r>
      <w:r w:rsidRPr="008C6C9A">
        <w:t xml:space="preserve"> de la neutralité) vient subdiviser celles-ci en deux. </w:t>
      </w:r>
      <w:r w:rsidRPr="008D517D">
        <w:t>Quatre figures de l’entreprise neutre</w:t>
      </w:r>
      <w:r w:rsidRPr="008C6C9A">
        <w:t xml:space="preserve"> sont ainsi présentées au total.</w:t>
      </w:r>
    </w:p>
    <w:p w14:paraId="28EF0C20" w14:textId="1508DD98" w:rsidR="00FC39A0" w:rsidRDefault="00FC39A0" w:rsidP="008D517D">
      <w:pPr>
        <w:pStyle w:val="Paragraphedeliste"/>
      </w:pPr>
      <w:r w:rsidRPr="00F7640D">
        <w:t xml:space="preserve">Nous entamerons cette seconde partie par un </w:t>
      </w:r>
      <w:r w:rsidR="005F20BC" w:rsidRPr="00F7640D">
        <w:t>point introductif</w:t>
      </w:r>
      <w:r w:rsidRPr="00F7640D">
        <w:t xml:space="preserve"> visant à réinterroger </w:t>
      </w:r>
      <w:r w:rsidR="00E0331E" w:rsidRPr="00F7640D">
        <w:t xml:space="preserve">de manière globale </w:t>
      </w:r>
      <w:r w:rsidRPr="00F7640D">
        <w:t>les conditions de légalité, de légitimité et de proportionnalité des restrictions aux droits fondamentaux du travailleur à l’aune de l’invocation d’une neutralité générale et indifférenciée au sein de l’entreprise</w:t>
      </w:r>
      <w:r w:rsidR="00E0331E" w:rsidRPr="00F7640D">
        <w:t xml:space="preserve"> (</w:t>
      </w:r>
      <w:r w:rsidR="0004077A" w:rsidRPr="00F7640D">
        <w:t>A</w:t>
      </w:r>
      <w:r w:rsidR="00E0331E" w:rsidRPr="00F7640D">
        <w:t>)</w:t>
      </w:r>
      <w:r w:rsidRPr="00F7640D">
        <w:t>.</w:t>
      </w:r>
      <w:r w:rsidR="00E02535">
        <w:t xml:space="preserve"> </w:t>
      </w:r>
      <w:r w:rsidRPr="00F7640D">
        <w:t>Nous déploierons ensuite cette analyse de manière spécifique, pour chacun des quatre modèles d’entreprise neutre envisagés</w:t>
      </w:r>
      <w:r w:rsidR="00F7640D">
        <w:t>. Pour chaque modèle, la légitimité et la proportionnalité des restrictions fondées sur la neutralité d’entreprise seront évaluées à partir d’un exemple législatif ou jurisprudentiel représentatif à cet égard</w:t>
      </w:r>
      <w:r w:rsidRPr="00F7640D">
        <w:t>.</w:t>
      </w:r>
      <w:r w:rsidR="00C14515">
        <w:t xml:space="preserve"> Ce choix implique que </w:t>
      </w:r>
      <w:r w:rsidR="003D4BA7">
        <w:t>le présent article</w:t>
      </w:r>
      <w:r w:rsidR="00C14515">
        <w:t xml:space="preserve"> n’a pas la prétention de proposer une appréciation exhaustive de l’ensemble des litiges relatifs à l’invocation de la neutralité en entreprise.</w:t>
      </w:r>
    </w:p>
    <w:p w14:paraId="40B82FC8" w14:textId="2F5BFD48" w:rsidR="005F20BC" w:rsidRDefault="005F20BC" w:rsidP="005F20BC">
      <w:r>
        <w:t xml:space="preserve">Dans le deuxième point, </w:t>
      </w:r>
      <w:r w:rsidR="00C14515">
        <w:t>nous entamerons cette catégorisation en analysant</w:t>
      </w:r>
      <w:r>
        <w:t xml:space="preserve"> l’invocation de la neutralité en tant </w:t>
      </w:r>
      <w:r w:rsidRPr="006D01C5">
        <w:t>qu’</w:t>
      </w:r>
      <w:r w:rsidRPr="008D517D">
        <w:t>instrument</w:t>
      </w:r>
      <w:r>
        <w:t xml:space="preserve"> au service d’une politique d’entreprise (</w:t>
      </w:r>
      <w:r w:rsidR="0004077A">
        <w:t>B</w:t>
      </w:r>
      <w:r>
        <w:t xml:space="preserve">). La neutralité n’est </w:t>
      </w:r>
      <w:r w:rsidR="009B3DC8">
        <w:t>ici</w:t>
      </w:r>
      <w:r>
        <w:t xml:space="preserve"> pas invoquée en tant que finalité propre de l’entreprise, mais bien en tant qu’outil contribuant à la réalisation d’un objectif lui-même extérieur à l’idée de neutralité religieuse</w:t>
      </w:r>
      <w:r w:rsidR="00674159">
        <w:t xml:space="preserve"> : la </w:t>
      </w:r>
      <w:r w:rsidR="00674159" w:rsidRPr="005C3FE0">
        <w:t>gestion</w:t>
      </w:r>
      <w:r w:rsidR="00FB40A2">
        <w:t xml:space="preserve"> organisationnelle</w:t>
      </w:r>
      <w:r w:rsidR="00674159" w:rsidRPr="005C3FE0">
        <w:t xml:space="preserve"> interne de l’entreprise</w:t>
      </w:r>
      <w:r w:rsidR="009B3DC8">
        <w:t>,</w:t>
      </w:r>
      <w:r w:rsidR="00674159">
        <w:t xml:space="preserve"> ou son image de marque externe</w:t>
      </w:r>
      <w:r>
        <w:t xml:space="preserve">. À </w:t>
      </w:r>
      <w:r w:rsidR="00674159">
        <w:t xml:space="preserve">ces deux </w:t>
      </w:r>
      <w:r>
        <w:t>neutralité</w:t>
      </w:r>
      <w:r w:rsidR="00674159">
        <w:t>s</w:t>
      </w:r>
      <w:r>
        <w:t xml:space="preserve"> instrumentale</w:t>
      </w:r>
      <w:r w:rsidR="00674159">
        <w:t>s</w:t>
      </w:r>
      <w:r>
        <w:t xml:space="preserve"> correspondent </w:t>
      </w:r>
      <w:r w:rsidR="00674159">
        <w:t xml:space="preserve">ainsi les </w:t>
      </w:r>
      <w:r>
        <w:t>deux premières figures de l’entreprise neutre.</w:t>
      </w:r>
    </w:p>
    <w:p w14:paraId="55BBE18A" w14:textId="66D11E9A" w:rsidR="005F20BC" w:rsidRDefault="005F20BC" w:rsidP="00D038C8">
      <w:r w:rsidRPr="005F20BC">
        <w:t>Notre troisième point sera</w:t>
      </w:r>
      <w:r>
        <w:t xml:space="preserve"> consacré à l’invocation de la neutralité religieuse dans une perspective </w:t>
      </w:r>
      <w:r w:rsidRPr="008D517D">
        <w:t>idéologique</w:t>
      </w:r>
      <w:r>
        <w:rPr>
          <w:i/>
          <w:iCs/>
        </w:rPr>
        <w:t xml:space="preserve"> </w:t>
      </w:r>
      <w:r>
        <w:rPr>
          <w:iCs/>
        </w:rPr>
        <w:t>(</w:t>
      </w:r>
      <w:r w:rsidR="0004077A">
        <w:rPr>
          <w:iCs/>
        </w:rPr>
        <w:t>C</w:t>
      </w:r>
      <w:r>
        <w:rPr>
          <w:iCs/>
        </w:rPr>
        <w:t>)</w:t>
      </w:r>
      <w:r>
        <w:t xml:space="preserve">. La neutralité apparaît ici non comme un instrument mais comme un objectif à atteindre en soi pour l’entreprise. Les troisième et </w:t>
      </w:r>
      <w:proofErr w:type="gramStart"/>
      <w:r>
        <w:t>quatrième</w:t>
      </w:r>
      <w:r w:rsidR="00540FEC">
        <w:t xml:space="preserve"> </w:t>
      </w:r>
      <w:r>
        <w:t>figures</w:t>
      </w:r>
      <w:proofErr w:type="gramEnd"/>
      <w:r>
        <w:t xml:space="preserve"> de l’entreprise neutre correspondent précisément à cette neutralité idéologique</w:t>
      </w:r>
      <w:r w:rsidR="00D038C8">
        <w:t xml:space="preserve"> : la neutralité comme tendance convictionnelle de l’entreprise, d’une part, </w:t>
      </w:r>
      <w:r w:rsidRPr="008D517D">
        <w:t>l’extension de la neutralité de l’État à l’entreprise privée</w:t>
      </w:r>
      <w:r>
        <w:t xml:space="preserve">, </w:t>
      </w:r>
      <w:r w:rsidR="00D038C8">
        <w:t>d’autre part</w:t>
      </w:r>
      <w:r>
        <w:t>.</w:t>
      </w:r>
    </w:p>
    <w:p w14:paraId="5384AA45" w14:textId="6B239FD1" w:rsidR="003D3025" w:rsidRDefault="003D3025" w:rsidP="00960BD9">
      <w:pPr>
        <w:pStyle w:val="Paragraphedeliste"/>
      </w:pPr>
      <w:r>
        <w:t xml:space="preserve">Il importe de préciser que le rattachement d’une entreprise à l’un des quatre modèles développés ici n’est </w:t>
      </w:r>
      <w:r w:rsidRPr="008C6C9A">
        <w:t>pas à considérer comme nécessairement exclusif</w:t>
      </w:r>
      <w:r>
        <w:t>.</w:t>
      </w:r>
    </w:p>
    <w:p w14:paraId="1745588A" w14:textId="7CFE2987" w:rsidR="005833FB" w:rsidRDefault="00271AA2" w:rsidP="005833FB">
      <w:r>
        <w:t>Par ailleurs, l’</w:t>
      </w:r>
      <w:r w:rsidR="003D3025">
        <w:t>approche majoritairement restrictive</w:t>
      </w:r>
      <w:r>
        <w:t xml:space="preserve"> choisie par </w:t>
      </w:r>
      <w:r w:rsidR="002C2E8F">
        <w:t>les entreprises étudiées</w:t>
      </w:r>
      <w:r w:rsidR="003D3025">
        <w:t xml:space="preserve"> n’implique toutefois pas pour autant que l’invocation de la neutralité s’accompagne inévitablement d’une restriction potentielle des droits individuels des travailleurs</w:t>
      </w:r>
      <w:r w:rsidR="003049AC">
        <w:rPr>
          <w:rStyle w:val="Appelnotedebasdep"/>
        </w:rPr>
        <w:footnoteReference w:id="117"/>
      </w:r>
      <w:r w:rsidR="003D3025">
        <w:t xml:space="preserve">. </w:t>
      </w:r>
      <w:r w:rsidR="005833FB">
        <w:t xml:space="preserve">Inversement, si nous choisissons ici de </w:t>
      </w:r>
      <w:r w:rsidR="005833FB" w:rsidRPr="008D517D">
        <w:t>prendre au mot</w:t>
      </w:r>
      <w:r w:rsidR="005833FB">
        <w:t xml:space="preserve"> l’invocation de la neutralité par les employeurs en question, un tel choix n’implique toutefois pas que soit présupposé le caractère effectivement neutre de la politique de gestion des expressions religieuses mise en place au sein de l’entreprise concernée. </w:t>
      </w:r>
    </w:p>
    <w:p w14:paraId="604DC281" w14:textId="15D9E8FE" w:rsidR="003D3025" w:rsidRPr="00EE3C26" w:rsidRDefault="005833FB" w:rsidP="003D3025">
      <w:r>
        <w:t>Enfin</w:t>
      </w:r>
      <w:r w:rsidR="003D3025">
        <w:t xml:space="preserve">, il ne peut être déduit de l’invocation régulière de la neutralité par certaines entreprises comme fondement d’une restriction des expressions religieuses des travailleurs le fait que les entreprises n’invoquant pas la neutralité seraient </w:t>
      </w:r>
      <w:proofErr w:type="gramStart"/>
      <w:r w:rsidR="003D3025">
        <w:rPr>
          <w:i/>
          <w:iCs/>
        </w:rPr>
        <w:t>a</w:t>
      </w:r>
      <w:proofErr w:type="gramEnd"/>
      <w:r w:rsidR="003D3025">
        <w:rPr>
          <w:i/>
          <w:iCs/>
        </w:rPr>
        <w:t xml:space="preserve"> contrario</w:t>
      </w:r>
      <w:r w:rsidR="003D3025">
        <w:t xml:space="preserve"> réputées non neutres. Cette précision vaut également </w:t>
      </w:r>
      <w:r w:rsidR="003D3025">
        <w:lastRenderedPageBreak/>
        <w:t>s’agissant des entreprises autorisant quant à elles les expressions religieuses sur le lieu de travail, en référence – ou non – au même vocable de neutralité.</w:t>
      </w:r>
    </w:p>
    <w:p w14:paraId="2CB90C15" w14:textId="5F1E79AC" w:rsidR="00405B34" w:rsidRPr="00C81AB4" w:rsidRDefault="003D3025" w:rsidP="008D517D">
      <w:pPr>
        <w:pStyle w:val="Paragraphedeliste"/>
      </w:pPr>
      <w:r>
        <w:t xml:space="preserve">La question de la compatibilité entre ces formes de neutralité et les droits </w:t>
      </w:r>
      <w:r w:rsidRPr="008C6C9A">
        <w:t xml:space="preserve">fondamentaux </w:t>
      </w:r>
      <w:r w:rsidR="004A6FC9">
        <w:t xml:space="preserve">du travailleur </w:t>
      </w:r>
      <w:r w:rsidRPr="008C6C9A">
        <w:t>précités se pose, tant au niveau de la CEDH que du droit de l’UE, à travers les critères de</w:t>
      </w:r>
      <w:r w:rsidR="00F475A7">
        <w:t xml:space="preserve"> </w:t>
      </w:r>
      <w:r w:rsidR="00F475A7" w:rsidRPr="008D517D">
        <w:t>légalité</w:t>
      </w:r>
      <w:r w:rsidR="00F475A7">
        <w:t>, de</w:t>
      </w:r>
      <w:r w:rsidRPr="008C6C9A">
        <w:t xml:space="preserve"> </w:t>
      </w:r>
      <w:r w:rsidRPr="008D517D">
        <w:t>légitimité</w:t>
      </w:r>
      <w:r w:rsidRPr="008C6C9A">
        <w:t xml:space="preserve"> et de </w:t>
      </w:r>
      <w:r w:rsidRPr="008D517D">
        <w:t>proportionnalité</w:t>
      </w:r>
      <w:r w:rsidRPr="008C6C9A">
        <w:t xml:space="preserve"> de la restriction. Les conditions d’application et d’interprétation de ces </w:t>
      </w:r>
      <w:r w:rsidR="00F475A7">
        <w:t>trois</w:t>
      </w:r>
      <w:r w:rsidRPr="008C6C9A">
        <w:t xml:space="preserve"> critères varient certainement selon</w:t>
      </w:r>
      <w:r>
        <w:t xml:space="preserve"> que l’on se situe sur le plan de la liberté de religion ou sur celui de la non-discrimination</w:t>
      </w:r>
      <w:r>
        <w:rPr>
          <w:rStyle w:val="Appelnotedebasdep"/>
        </w:rPr>
        <w:footnoteReference w:id="118"/>
      </w:r>
      <w:r>
        <w:t>, de la CEDH ou de la Directive. Il n’en reste pas moins que les raisonnements applicables à la première de ces deux libertés fondamentales sont à tout le moins pertinents, sinon transposables, à la seconde, et vice-versa</w:t>
      </w:r>
      <w:r>
        <w:rPr>
          <w:rStyle w:val="Appelnotedebasdep"/>
        </w:rPr>
        <w:footnoteReference w:id="119"/>
      </w:r>
      <w:r w:rsidR="00254124">
        <w:t>.</w:t>
      </w:r>
      <w:r>
        <w:t xml:space="preserve"> </w:t>
      </w:r>
      <w:r w:rsidRPr="00B601A0">
        <w:t>Par ailleurs, au contraire d’autres contextes, notre focalisation sur la sphère de l’entreprise nécessite que soit prise en compte la liberté d’entreprise en tant que droit fondamental spécifiquement applicable en la matière.</w:t>
      </w:r>
    </w:p>
    <w:p w14:paraId="0FA2704B" w14:textId="5A0FA687" w:rsidR="0058411E" w:rsidRDefault="0058411E" w:rsidP="008F46FF">
      <w:pPr>
        <w:pStyle w:val="Titre2"/>
        <w:numPr>
          <w:ilvl w:val="0"/>
          <w:numId w:val="4"/>
        </w:numPr>
      </w:pPr>
      <w:r>
        <w:t>Légalité, légitimité et proportionnalité de la neutralité d’entreprise</w:t>
      </w:r>
    </w:p>
    <w:p w14:paraId="4A682DF8" w14:textId="2F2E952D" w:rsidR="00B422EB" w:rsidRDefault="0004077A" w:rsidP="00960BD9">
      <w:pPr>
        <w:pStyle w:val="Paragraphedeliste"/>
        <w:rPr>
          <w:lang w:val="fr-FR"/>
        </w:rPr>
      </w:pPr>
      <w:r>
        <w:rPr>
          <w:lang w:val="fr-FR"/>
        </w:rPr>
        <w:t>Les paragraphes qui précèdent</w:t>
      </w:r>
      <w:r w:rsidRPr="0004077A">
        <w:rPr>
          <w:lang w:val="fr-FR"/>
        </w:rPr>
        <w:t xml:space="preserve"> </w:t>
      </w:r>
      <w:r>
        <w:rPr>
          <w:lang w:val="fr-FR"/>
        </w:rPr>
        <w:t xml:space="preserve">nous ayant permis d’introduire </w:t>
      </w:r>
      <w:r w:rsidR="00B83AFC">
        <w:rPr>
          <w:lang w:val="fr-FR"/>
        </w:rPr>
        <w:t>la typologie développée</w:t>
      </w:r>
      <w:r>
        <w:rPr>
          <w:lang w:val="fr-FR"/>
        </w:rPr>
        <w:t xml:space="preserve"> aux points suivants</w:t>
      </w:r>
      <w:r w:rsidRPr="0004077A">
        <w:rPr>
          <w:lang w:val="fr-FR"/>
        </w:rPr>
        <w:t>, il convient à présent de dresser un aperçu général de l’application des conditions de légalité (1), de légitimité et de proportionnalité (2) à la neutralité d’entreprise, dans sa dimension restrictive sur le plan des droits fondamentaux</w:t>
      </w:r>
      <w:r>
        <w:rPr>
          <w:lang w:val="fr-FR"/>
        </w:rPr>
        <w:t>.</w:t>
      </w:r>
    </w:p>
    <w:p w14:paraId="7ECA0955" w14:textId="38D87545" w:rsidR="0004077A" w:rsidRDefault="0004077A" w:rsidP="008F46FF">
      <w:pPr>
        <w:pStyle w:val="Titre3"/>
        <w:numPr>
          <w:ilvl w:val="0"/>
          <w:numId w:val="17"/>
        </w:numPr>
      </w:pPr>
      <w:r>
        <w:t>Légalité</w:t>
      </w:r>
    </w:p>
    <w:p w14:paraId="35BBE797" w14:textId="2D341F6A" w:rsidR="0004077A" w:rsidRDefault="0004077A" w:rsidP="00960BD9">
      <w:pPr>
        <w:pStyle w:val="Paragraphedeliste"/>
      </w:pPr>
      <w:r>
        <w:t>Se pencher sur la conformité de la neutralité d’entreprise à la condition de légalité</w:t>
      </w:r>
      <w:r>
        <w:rPr>
          <w:rStyle w:val="Appelnotedebasdep"/>
        </w:rPr>
        <w:footnoteReference w:id="120"/>
      </w:r>
      <w:r>
        <w:t xml:space="preserve"> implique de s’interroger en premier lieu sur la portée de cette exigence</w:t>
      </w:r>
      <w:r w:rsidR="00F2064A">
        <w:t xml:space="preserve"> (a)</w:t>
      </w:r>
      <w:r>
        <w:t>, afin d’envisager, dans un second temps, les formes de neutralité d’entreprise qui y satisferaient ou non</w:t>
      </w:r>
      <w:r w:rsidR="00F2064A">
        <w:t xml:space="preserve"> (b)</w:t>
      </w:r>
      <w:r>
        <w:t>.</w:t>
      </w:r>
    </w:p>
    <w:p w14:paraId="7B1AF353" w14:textId="3A9068DA" w:rsidR="0004077A" w:rsidRDefault="0004077A" w:rsidP="0004077A">
      <w:r w:rsidRPr="00696816">
        <w:t xml:space="preserve">Précisons d’emblée que cette condition de légalité ne sera examinée que dans le cadre de cette première partie – au contraire des conditions de légitimité et de proportionnalité – du fait du </w:t>
      </w:r>
      <w:r w:rsidR="00696816">
        <w:t>nombre réduit</w:t>
      </w:r>
      <w:r w:rsidRPr="00696816">
        <w:t xml:space="preserve"> de questions spécifiques qu’elle soulève eu égard à chaque catégorie de neutralité d’entreprise.</w:t>
      </w:r>
    </w:p>
    <w:p w14:paraId="73E6BC27" w14:textId="49B6FB55" w:rsidR="00F2064A" w:rsidRDefault="00F2064A" w:rsidP="008F46FF">
      <w:pPr>
        <w:pStyle w:val="Titre4"/>
        <w:numPr>
          <w:ilvl w:val="0"/>
          <w:numId w:val="18"/>
        </w:numPr>
      </w:pPr>
      <w:r w:rsidRPr="00F2064A">
        <w:t>Cadre juridique de l’UE et de la CEDH</w:t>
      </w:r>
    </w:p>
    <w:p w14:paraId="1A357816" w14:textId="720EEDDE" w:rsidR="001C50C0" w:rsidRDefault="0004077A" w:rsidP="00960BD9">
      <w:pPr>
        <w:pStyle w:val="Paragraphedeliste"/>
        <w:rPr>
          <w:lang w:val="fr-FR"/>
        </w:rPr>
      </w:pPr>
      <w:r w:rsidRPr="0004077A">
        <w:rPr>
          <w:lang w:val="fr-FR"/>
        </w:rPr>
        <w:t xml:space="preserve">Là où l’article 9 de la CEDH dispose que toute restriction à la liberté de manifester sa religion doit « être prévue par la loi », la </w:t>
      </w:r>
      <w:r w:rsidR="00972B7E">
        <w:rPr>
          <w:lang w:val="fr-FR"/>
        </w:rPr>
        <w:t>directive</w:t>
      </w:r>
      <w:r w:rsidRPr="0004077A">
        <w:rPr>
          <w:lang w:val="fr-FR"/>
        </w:rPr>
        <w:t xml:space="preserve"> 2000/78</w:t>
      </w:r>
      <w:r w:rsidR="00B0746E">
        <w:t>/CE</w:t>
      </w:r>
      <w:r w:rsidRPr="0004077A">
        <w:rPr>
          <w:lang w:val="fr-FR"/>
        </w:rPr>
        <w:t xml:space="preserve"> envisage quant à elle toute « disposition, critère ou pratique » comme fondement possible d’une discrimination, le cas échéant justifiable.</w:t>
      </w:r>
    </w:p>
    <w:p w14:paraId="45AB89F3" w14:textId="7DD61083" w:rsidR="001C50C0" w:rsidRDefault="001C50C0" w:rsidP="001C50C0">
      <w:r>
        <w:t xml:space="preserve">Du point de vue de la CEDH, le fait que la restriction étatique à la liberté religieuse doive être « prévue par la loi » implique non seulement que celle-ci s’inscrive dans une base légale, mais également que cette dernière offre certaines garanties de qualité. Dans son appréciation de l’existence d’une « loi », </w:t>
      </w:r>
      <w:r>
        <w:lastRenderedPageBreak/>
        <w:t xml:space="preserve">la CourEDH se fonde sur une conception </w:t>
      </w:r>
      <w:r w:rsidRPr="008D517D">
        <w:t>matérielle</w:t>
      </w:r>
      <w:r>
        <w:t xml:space="preserve"> et non </w:t>
      </w:r>
      <w:r w:rsidRPr="008D517D">
        <w:t>formelle</w:t>
      </w:r>
      <w:r>
        <w:t xml:space="preserve"> de la loi</w:t>
      </w:r>
      <w:r>
        <w:rPr>
          <w:rStyle w:val="Appelnotedebasdep"/>
        </w:rPr>
        <w:footnoteReference w:id="121"/>
      </w:r>
      <w:r>
        <w:t xml:space="preserve"> : la formalisation de la </w:t>
      </w:r>
      <w:r w:rsidR="00600B07">
        <w:t xml:space="preserve">restriction </w:t>
      </w:r>
      <w:r>
        <w:t>dans un instrument interne de l’entreprise, y compris non écrit, ne constitue en cela pas une difficulté en soi.</w:t>
      </w:r>
      <w:r>
        <w:rPr>
          <w:rStyle w:val="Appelnotedebasdep"/>
        </w:rPr>
        <w:footnoteReference w:id="122"/>
      </w:r>
      <w:r w:rsidR="00600B07">
        <w:t xml:space="preserve"> O</w:t>
      </w:r>
      <w:r w:rsidRPr="001C50C0">
        <w:t>utre l’existence matérielle d’une loi, il s’agira surtout de vérifier la qualité de la loi en question, tant du point de vue de sa prévisibilité que de son accessibilité.</w:t>
      </w:r>
    </w:p>
    <w:p w14:paraId="299DE09A" w14:textId="18446C8D" w:rsidR="00F2064A" w:rsidRPr="00F2064A" w:rsidRDefault="00F2064A" w:rsidP="001C50C0">
      <w:r w:rsidRPr="00F2064A">
        <w:t>Sur le plan de la non-discrimination, le cadre juridique de l’UE n’accorde pas d’importance véritable à la formalisation de la restriction dans un instrument légal ou réglementaire spécifique</w:t>
      </w:r>
      <w:r w:rsidRPr="00F2064A">
        <w:rPr>
          <w:rStyle w:val="Appelnotedebasdep"/>
        </w:rPr>
        <w:footnoteReference w:id="123"/>
      </w:r>
      <w:r w:rsidR="002A2035">
        <w:t>.</w:t>
      </w:r>
      <w:r w:rsidRPr="00F2064A">
        <w:t xml:space="preserve"> La </w:t>
      </w:r>
      <w:r w:rsidR="00972B7E">
        <w:t>directive</w:t>
      </w:r>
      <w:r w:rsidRPr="00F2064A">
        <w:t xml:space="preserve"> 2000/78</w:t>
      </w:r>
      <w:r w:rsidR="00B0746E">
        <w:t>/CE</w:t>
      </w:r>
      <w:r w:rsidRPr="00F2064A">
        <w:t xml:space="preserve"> ne contient par exemple aucune disposition explicite relative à la qualité de la loi ou de la mesure à la base de la restriction, sinon qu’il s’agit d’une « différence de traitement »</w:t>
      </w:r>
      <w:r w:rsidRPr="00F2064A">
        <w:rPr>
          <w:rStyle w:val="Appelnotedebasdep"/>
        </w:rPr>
        <w:footnoteReference w:id="124"/>
      </w:r>
      <w:r w:rsidRPr="00F2064A">
        <w:t>.</w:t>
      </w:r>
    </w:p>
    <w:p w14:paraId="50E80AFA" w14:textId="62E47E9D" w:rsidR="001C50C0" w:rsidRDefault="006710DF" w:rsidP="00F2064A">
      <w:pPr>
        <w:pStyle w:val="Titre4"/>
      </w:pPr>
      <w:r>
        <w:t>Règle de n</w:t>
      </w:r>
      <w:r w:rsidR="00F2064A" w:rsidRPr="00F2064A">
        <w:t>eutralité et légalité de la restriction</w:t>
      </w:r>
    </w:p>
    <w:p w14:paraId="33D12071" w14:textId="21CBAFC9" w:rsidR="006710DF" w:rsidRDefault="00F2064A" w:rsidP="00960BD9">
      <w:pPr>
        <w:pStyle w:val="Paragraphedeliste"/>
      </w:pPr>
      <w:r>
        <w:t xml:space="preserve">Face à ce cadre juridique général en matière de légalité de la restriction, la neutralité </w:t>
      </w:r>
      <w:r w:rsidR="006710DF">
        <w:t>soulève des interrogations particulières</w:t>
      </w:r>
      <w:r>
        <w:t xml:space="preserve"> lorsqu’elle fonde une restriction à la liberté ou à la non-discrimination religieuses</w:t>
      </w:r>
      <w:r w:rsidR="006710DF">
        <w:t xml:space="preserve">. L’enjeu se pose </w:t>
      </w:r>
      <w:r w:rsidR="00F2185A">
        <w:t>au moins à trois égards :</w:t>
      </w:r>
      <w:r w:rsidR="006710DF">
        <w:t xml:space="preserve"> du point de vue de l’existence même d’une règle de neutralité</w:t>
      </w:r>
      <w:r>
        <w:t>,</w:t>
      </w:r>
      <w:r w:rsidR="006710DF">
        <w:t xml:space="preserve"> du point de vue du</w:t>
      </w:r>
      <w:r>
        <w:t xml:space="preserve"> caractère alternativement </w:t>
      </w:r>
      <w:r w:rsidR="009D4C90">
        <w:t xml:space="preserve">écrit </w:t>
      </w:r>
      <w:r>
        <w:t xml:space="preserve">ou </w:t>
      </w:r>
      <w:r w:rsidR="009D4C90">
        <w:t xml:space="preserve">non écrit </w:t>
      </w:r>
      <w:r>
        <w:t>de la neutralité</w:t>
      </w:r>
      <w:r w:rsidR="00F2185A">
        <w:t xml:space="preserve">, et du </w:t>
      </w:r>
      <w:r w:rsidR="00F2185A" w:rsidRPr="00F2185A">
        <w:t xml:space="preserve">point de vue de la prévisibilité </w:t>
      </w:r>
      <w:r w:rsidR="002A2035">
        <w:t>des restrictions fondées sur cette</w:t>
      </w:r>
      <w:r w:rsidR="00F2185A" w:rsidRPr="00F2185A">
        <w:t xml:space="preserve"> neutralité</w:t>
      </w:r>
      <w:r>
        <w:t>.</w:t>
      </w:r>
    </w:p>
    <w:p w14:paraId="6505B5A7" w14:textId="3BAB367A" w:rsidR="00BF18A7" w:rsidRPr="00A626E2" w:rsidRDefault="00F2185A" w:rsidP="00960BD9">
      <w:pPr>
        <w:pStyle w:val="Paragraphedeliste"/>
      </w:pPr>
      <w:r>
        <w:t xml:space="preserve">Premièrement, il s’agit d’envisager l’influence de l’existence même de cette règle de neutralité sur la légalité de la restriction. </w:t>
      </w:r>
      <w:r w:rsidR="00BF18A7" w:rsidRPr="00BF18A7">
        <w:t>Dans le cas de l’article 9 de la CEDH, si la condition de légalité de la restriction est plus contraignante que dans le cas de la Directive, l’impact de l’existence ou non d’une règle de neutralité se marquera surtout au stade de la justification de la restriction</w:t>
      </w:r>
      <w:r w:rsidR="00BF18A7">
        <w:t>.</w:t>
      </w:r>
    </w:p>
    <w:p w14:paraId="703DF10E" w14:textId="1278437E" w:rsidR="00963039" w:rsidRDefault="00BF18A7" w:rsidP="00BF18A7">
      <w:r>
        <w:t xml:space="preserve">Quant à l’impact de l’existence effective d’une règle de neutralité sur le plan du droit de l’UE, cette variable s’avère, </w:t>
      </w:r>
      <w:r w:rsidR="00F2185A">
        <w:t>encore davantage que du point de vue</w:t>
      </w:r>
      <w:r>
        <w:t xml:space="preserve"> de la CEDH, véritablement cruciale. </w:t>
      </w:r>
      <w:r w:rsidRPr="00E6272E">
        <w:t>L’existenc</w:t>
      </w:r>
      <w:r>
        <w:t>e</w:t>
      </w:r>
      <w:r w:rsidRPr="00E6272E">
        <w:t xml:space="preserve"> d’une politique de neutralité interviendra </w:t>
      </w:r>
      <w:r>
        <w:t>en effet</w:t>
      </w:r>
      <w:r w:rsidRPr="00E6272E">
        <w:t xml:space="preserve"> dans la qualification </w:t>
      </w:r>
      <w:r>
        <w:t xml:space="preserve">du type de </w:t>
      </w:r>
      <w:r w:rsidRPr="00E6272E">
        <w:t xml:space="preserve">discrimination </w:t>
      </w:r>
      <w:r>
        <w:t xml:space="preserve">retenu </w:t>
      </w:r>
      <w:r w:rsidRPr="00E6272E">
        <w:t xml:space="preserve">: le juge </w:t>
      </w:r>
      <w:r>
        <w:t>investiguera sans doute prioritairement une hypothèse de</w:t>
      </w:r>
      <w:r w:rsidRPr="00E6272E">
        <w:t xml:space="preserve"> discrimination indirecte lorsque preuve est faite de la présence d’une politique de neutralité, tandis que la possibilité d’une discrimination directe sera davantage examinée en l’absence de preuve d’une telle politique</w:t>
      </w:r>
      <w:r>
        <w:rPr>
          <w:rStyle w:val="Appelnotedebasdep"/>
        </w:rPr>
        <w:footnoteReference w:id="125"/>
      </w:r>
      <w:r w:rsidR="002A2035">
        <w:t>.</w:t>
      </w:r>
      <w:r>
        <w:t xml:space="preserve"> </w:t>
      </w:r>
      <w:r w:rsidR="004C03E0">
        <w:t>Ainsi</w:t>
      </w:r>
      <w:r>
        <w:t xml:space="preserve"> « [l]’existence d’une règle interne à l’entreprise est […] le pivot de [la] jurisprudence »</w:t>
      </w:r>
      <w:r>
        <w:rPr>
          <w:rStyle w:val="Appelnotedebasdep"/>
        </w:rPr>
        <w:footnoteReference w:id="126"/>
      </w:r>
      <w:r>
        <w:t xml:space="preserve"> de la CJUE : dans l’affaire </w:t>
      </w:r>
      <w:r>
        <w:rPr>
          <w:i/>
          <w:iCs/>
        </w:rPr>
        <w:t>Bougnaoui</w:t>
      </w:r>
      <w:r>
        <w:t>, l’absence de règle de neutralité conduit à une discrimination directe non justifiable</w:t>
      </w:r>
      <w:r>
        <w:rPr>
          <w:rStyle w:val="Appelnotedebasdep"/>
        </w:rPr>
        <w:footnoteReference w:id="127"/>
      </w:r>
      <w:r>
        <w:t xml:space="preserve">, alors que, dans </w:t>
      </w:r>
      <w:r w:rsidR="004C03E0">
        <w:t xml:space="preserve">les affaires </w:t>
      </w:r>
      <w:proofErr w:type="spellStart"/>
      <w:r>
        <w:rPr>
          <w:i/>
          <w:iCs/>
        </w:rPr>
        <w:t>Achbita</w:t>
      </w:r>
      <w:proofErr w:type="spellEnd"/>
      <w:r>
        <w:t>,</w:t>
      </w:r>
      <w:r w:rsidR="004C03E0">
        <w:t xml:space="preserve"> </w:t>
      </w:r>
      <w:r w:rsidR="004C03E0">
        <w:rPr>
          <w:i/>
          <w:iCs/>
        </w:rPr>
        <w:t>WABE</w:t>
      </w:r>
      <w:r w:rsidR="00782908">
        <w:rPr>
          <w:i/>
          <w:iCs/>
        </w:rPr>
        <w:t>-Müller</w:t>
      </w:r>
      <w:r w:rsidR="00782908">
        <w:t xml:space="preserve"> et </w:t>
      </w:r>
      <w:r w:rsidR="00782908">
        <w:rPr>
          <w:i/>
          <w:iCs/>
        </w:rPr>
        <w:t xml:space="preserve">LF </w:t>
      </w:r>
      <w:r w:rsidR="00782908">
        <w:rPr>
          <w:i/>
          <w:iCs/>
        </w:rPr>
        <w:lastRenderedPageBreak/>
        <w:t>c. SCRL</w:t>
      </w:r>
      <w:r w:rsidR="00782908">
        <w:t>,</w:t>
      </w:r>
      <w:r>
        <w:t xml:space="preserve"> l’existence de la règle de neutralité mène à un constat de discrimination indirecte, justifiable le cas échéant</w:t>
      </w:r>
      <w:bookmarkStart w:id="22" w:name="_Ref34033429"/>
      <w:r>
        <w:rPr>
          <w:rStyle w:val="Appelnotedebasdep"/>
        </w:rPr>
        <w:footnoteReference w:id="128"/>
      </w:r>
      <w:bookmarkEnd w:id="22"/>
      <w:r w:rsidR="002A2035">
        <w:t>.</w:t>
      </w:r>
    </w:p>
    <w:p w14:paraId="11B81B0A" w14:textId="098181BC" w:rsidR="006710DF" w:rsidRDefault="00F2185A" w:rsidP="00745AD8">
      <w:pPr>
        <w:pStyle w:val="Paragraphedeliste"/>
      </w:pPr>
      <w:r>
        <w:t>Deuxièmement, outre la question de</w:t>
      </w:r>
      <w:r w:rsidR="006710DF">
        <w:t xml:space="preserve"> l’existence </w:t>
      </w:r>
      <w:r w:rsidR="009D4C90">
        <w:t xml:space="preserve">même </w:t>
      </w:r>
      <w:r w:rsidR="006710DF">
        <w:t>d’une règle de neutralité,</w:t>
      </w:r>
      <w:r w:rsidR="00745AD8">
        <w:t xml:space="preserve"> doit être envisagée l’</w:t>
      </w:r>
      <w:r w:rsidR="006710DF">
        <w:t>hypothèse</w:t>
      </w:r>
      <w:r>
        <w:t xml:space="preserve"> </w:t>
      </w:r>
      <w:r w:rsidR="00745AD8">
        <w:t>du caractère</w:t>
      </w:r>
      <w:r w:rsidR="006710DF">
        <w:t xml:space="preserve"> non écrit de</w:t>
      </w:r>
      <w:r w:rsidR="00745AD8">
        <w:t xml:space="preserve"> la règle</w:t>
      </w:r>
      <w:r w:rsidR="006710DF">
        <w:t xml:space="preserve"> neutralité</w:t>
      </w:r>
      <w:r w:rsidR="006D5FEF">
        <w:t> :</w:t>
      </w:r>
      <w:r w:rsidR="006710DF">
        <w:t xml:space="preserve"> </w:t>
      </w:r>
      <w:r w:rsidR="006D5FEF">
        <w:t>p</w:t>
      </w:r>
      <w:r w:rsidR="005338DA">
        <w:t>eut-on dans ce cas</w:t>
      </w:r>
      <w:r w:rsidR="006710DF" w:rsidRPr="00685762">
        <w:t xml:space="preserve"> véritablement considérer que la restriction </w:t>
      </w:r>
      <w:r w:rsidR="006710DF">
        <w:t>répond de façon</w:t>
      </w:r>
      <w:r w:rsidR="006710DF" w:rsidRPr="00685762">
        <w:t xml:space="preserve"> satisfaisante aux enjeux de prévisibilité de la norme ?</w:t>
      </w:r>
    </w:p>
    <w:p w14:paraId="5AD062B4" w14:textId="485AC564" w:rsidR="00B003D0" w:rsidRPr="00685762" w:rsidRDefault="00B003D0" w:rsidP="006710DF">
      <w:r w:rsidRPr="00B003D0">
        <w:t xml:space="preserve">Une règle </w:t>
      </w:r>
      <w:r w:rsidR="009D4C90">
        <w:t>non écrite</w:t>
      </w:r>
      <w:r w:rsidR="009D4C90" w:rsidRPr="00B003D0">
        <w:t xml:space="preserve"> </w:t>
      </w:r>
      <w:r w:rsidRPr="00B003D0">
        <w:t>de neutralité, tel qu’un usage, passera certes la rampe de la CEDH du point de vue de sa légalité. Le caractère flou ou inaccessible d’une telle règle rendra cependant plus ardue la justification de la restriction à la liberté religieuse, tant du point de vue de sa légitimité que de sa proportionnalité</w:t>
      </w:r>
      <w:r w:rsidRPr="00B003D0">
        <w:rPr>
          <w:vertAlign w:val="superscript"/>
        </w:rPr>
        <w:footnoteReference w:id="129"/>
      </w:r>
      <w:r w:rsidRPr="00B003D0">
        <w:t>.</w:t>
      </w:r>
    </w:p>
    <w:p w14:paraId="534A01FA" w14:textId="3825254C" w:rsidR="00475003" w:rsidRDefault="00B003D0" w:rsidP="00475003">
      <w:r>
        <w:t>Sur le plan du droit de l’UE, l</w:t>
      </w:r>
      <w:r w:rsidR="006710DF" w:rsidRPr="00E6272E">
        <w:t xml:space="preserve">es enjeux de la distinction entre politique </w:t>
      </w:r>
      <w:r w:rsidR="009D4C90">
        <w:t>écrite</w:t>
      </w:r>
      <w:r w:rsidR="009D4C90" w:rsidRPr="00E6272E">
        <w:t xml:space="preserve"> </w:t>
      </w:r>
      <w:r w:rsidR="006710DF" w:rsidRPr="00E6272E">
        <w:t xml:space="preserve">et </w:t>
      </w:r>
      <w:r w:rsidR="009D4C90">
        <w:t>non écrite</w:t>
      </w:r>
      <w:r w:rsidR="009D4C90" w:rsidRPr="00E6272E">
        <w:t xml:space="preserve"> </w:t>
      </w:r>
      <w:r w:rsidR="006710DF" w:rsidRPr="00E6272E">
        <w:t xml:space="preserve">de neutralité trouvent un écho manifeste dans l’affaire </w:t>
      </w:r>
      <w:proofErr w:type="spellStart"/>
      <w:r w:rsidR="006710DF" w:rsidRPr="00745AD8">
        <w:rPr>
          <w:i/>
        </w:rPr>
        <w:t>Achbita</w:t>
      </w:r>
      <w:proofErr w:type="spellEnd"/>
      <w:r w:rsidR="002A2035">
        <w:t>.</w:t>
      </w:r>
      <w:r w:rsidR="006710DF" w:rsidRPr="00E6272E">
        <w:t xml:space="preserve"> </w:t>
      </w:r>
      <w:r w:rsidR="009634F7">
        <w:t xml:space="preserve">Afin d’apprécier la </w:t>
      </w:r>
      <w:r w:rsidR="009634F7" w:rsidRPr="009634F7">
        <w:t>compatibilité de la neutralité d’entreprise avec la Directive 2000/78</w:t>
      </w:r>
      <w:r w:rsidR="006710DF" w:rsidRPr="00E6272E">
        <w:t>, il s’agissait préalablement</w:t>
      </w:r>
      <w:r w:rsidR="009634F7">
        <w:t>, pour la CJUE,</w:t>
      </w:r>
      <w:r w:rsidR="006710DF" w:rsidRPr="00E6272E">
        <w:t xml:space="preserve"> de déterminer dans quelle mesure il existait, au sein</w:t>
      </w:r>
      <w:r w:rsidR="006710DF">
        <w:t xml:space="preserve"> de l’entreprise, une règle non </w:t>
      </w:r>
      <w:r w:rsidR="006710DF" w:rsidRPr="00E6272E">
        <w:t xml:space="preserve">écrite de neutralité en vigueur au moment litigieux, avant que le conseil d’entreprise n’adopte </w:t>
      </w:r>
      <w:r w:rsidR="006710DF" w:rsidRPr="00745AD8">
        <w:rPr>
          <w:i/>
        </w:rPr>
        <w:t>a posteriori</w:t>
      </w:r>
      <w:r w:rsidR="006710DF" w:rsidRPr="00E6272E">
        <w:t xml:space="preserve"> une disposition </w:t>
      </w:r>
      <w:r w:rsidR="00515881">
        <w:t>écrite</w:t>
      </w:r>
      <w:r w:rsidR="00515881" w:rsidRPr="00E6272E">
        <w:t xml:space="preserve"> </w:t>
      </w:r>
      <w:r w:rsidR="006710DF" w:rsidRPr="00E6272E">
        <w:t>en la matière</w:t>
      </w:r>
      <w:r w:rsidR="006710DF">
        <w:rPr>
          <w:rStyle w:val="Appelnotedebasdep"/>
        </w:rPr>
        <w:footnoteReference w:id="130"/>
      </w:r>
      <w:r w:rsidR="002A2035">
        <w:t>.</w:t>
      </w:r>
      <w:r w:rsidR="006710DF" w:rsidRPr="00E6272E">
        <w:t xml:space="preserve"> Dans ce cas d’espèce</w:t>
      </w:r>
      <w:r w:rsidR="006710DF" w:rsidRPr="00E6272E">
        <w:rPr>
          <w:vertAlign w:val="superscript"/>
        </w:rPr>
        <w:footnoteReference w:id="131"/>
      </w:r>
      <w:r w:rsidR="006710DF" w:rsidRPr="00E6272E">
        <w:t xml:space="preserve">, de même que dans </w:t>
      </w:r>
      <w:r w:rsidR="006710DF">
        <w:t>plusieurs</w:t>
      </w:r>
      <w:r w:rsidR="006710DF" w:rsidRPr="00E6272E">
        <w:t xml:space="preserve"> affaire</w:t>
      </w:r>
      <w:r w:rsidR="006710DF">
        <w:t>s</w:t>
      </w:r>
      <w:r w:rsidR="006710DF" w:rsidRPr="00E6272E">
        <w:t xml:space="preserve"> semblable</w:t>
      </w:r>
      <w:r w:rsidR="006710DF">
        <w:t>s</w:t>
      </w:r>
      <w:r>
        <w:t xml:space="preserve"> </w:t>
      </w:r>
      <w:r w:rsidR="006710DF" w:rsidRPr="00E6272E">
        <w:t>portée</w:t>
      </w:r>
      <w:r w:rsidR="006710DF">
        <w:t>s</w:t>
      </w:r>
      <w:r w:rsidR="006710DF" w:rsidRPr="00E6272E">
        <w:t xml:space="preserve"> </w:t>
      </w:r>
      <w:r w:rsidR="006710DF">
        <w:t>les années suivantes</w:t>
      </w:r>
      <w:r w:rsidR="006710DF" w:rsidRPr="00E6272E">
        <w:t xml:space="preserve"> devant la justice belge</w:t>
      </w:r>
      <w:r w:rsidR="006710DF" w:rsidRPr="00E6272E">
        <w:rPr>
          <w:vertAlign w:val="superscript"/>
        </w:rPr>
        <w:footnoteReference w:id="132"/>
      </w:r>
      <w:r w:rsidR="006710DF" w:rsidRPr="00E6272E">
        <w:t>, les juges</w:t>
      </w:r>
      <w:r w:rsidR="006710DF">
        <w:t xml:space="preserve"> nationaux</w:t>
      </w:r>
      <w:r w:rsidR="006710DF" w:rsidRPr="00E6272E">
        <w:t xml:space="preserve"> ont conclu à l’existence effective d’une règle non écrite que l’employeur s’est contenté de formaliser ensuite par écrit, et ont dès lors écarté la possibilité d’une discrimination directe.</w:t>
      </w:r>
    </w:p>
    <w:p w14:paraId="27DAD792" w14:textId="5DB5E361" w:rsidR="00E65B19" w:rsidRDefault="00475003" w:rsidP="00475003">
      <w:r>
        <w:t>L</w:t>
      </w:r>
      <w:r w:rsidR="006710DF" w:rsidRPr="00A45657">
        <w:t>a</w:t>
      </w:r>
      <w:r w:rsidR="006710DF">
        <w:t xml:space="preserve"> CJUE </w:t>
      </w:r>
      <w:r>
        <w:t>fait elle-même</w:t>
      </w:r>
      <w:r w:rsidR="006710DF">
        <w:t xml:space="preserve"> peu de cas de cette question, se bornant à indiquer que « prévalait, alors, une règle non écrite au sein de G4S en vertu de laquelle les travailleurs ne pouvaient pas porter sur le lieu de travail des signes visibles de leurs convictions politiques, philosophiques ou religieuses », et que cette règle fut ensuite </w:t>
      </w:r>
      <w:r w:rsidR="00515881">
        <w:t xml:space="preserve">formalisée </w:t>
      </w:r>
      <w:r w:rsidR="006710DF">
        <w:t>dans le règlement intérieur</w:t>
      </w:r>
      <w:r w:rsidR="008C3674">
        <w:t>.</w:t>
      </w:r>
      <w:r w:rsidR="006710DF">
        <w:t xml:space="preserve"> Est-ce à dire que le caractère </w:t>
      </w:r>
      <w:r w:rsidR="00515881">
        <w:t xml:space="preserve">non écrit </w:t>
      </w:r>
      <w:r w:rsidR="006710DF">
        <w:t>de la règle de neutralité n’emporte aucune conséquence sur l’appréciation de la licéité de la restriction du point de vue de la CJUE ?</w:t>
      </w:r>
      <w:r w:rsidR="008E6BF9">
        <w:t xml:space="preserve"> </w:t>
      </w:r>
      <w:r w:rsidR="008E6BF9" w:rsidRPr="008E6BF9">
        <w:t>Nous verrons</w:t>
      </w:r>
      <w:r w:rsidR="008E6BF9">
        <w:t xml:space="preserve"> en réalité</w:t>
      </w:r>
      <w:r w:rsidR="008E6BF9" w:rsidRPr="008E6BF9">
        <w:t xml:space="preserve"> que la distinction entre neutralité </w:t>
      </w:r>
      <w:r w:rsidR="00515881">
        <w:t>écrite</w:t>
      </w:r>
      <w:r w:rsidR="00515881" w:rsidRPr="008E6BF9">
        <w:t xml:space="preserve"> </w:t>
      </w:r>
      <w:r w:rsidR="008E6BF9" w:rsidRPr="008E6BF9">
        <w:t xml:space="preserve">et </w:t>
      </w:r>
      <w:r w:rsidR="00515881">
        <w:t xml:space="preserve">non </w:t>
      </w:r>
      <w:r w:rsidR="00515881">
        <w:lastRenderedPageBreak/>
        <w:t>écrite</w:t>
      </w:r>
      <w:r w:rsidR="00515881" w:rsidRPr="008E6BF9">
        <w:t xml:space="preserve"> </w:t>
      </w:r>
      <w:r w:rsidR="008E6BF9" w:rsidRPr="008E6BF9">
        <w:t xml:space="preserve">peut se révéler cruciale dans l’appréciation du type de discrimination et, </w:t>
      </w:r>
      <w:r w:rsidR="008E6BF9" w:rsidRPr="008D517D">
        <w:t>a fortiori</w:t>
      </w:r>
      <w:r w:rsidR="008E6BF9" w:rsidRPr="008E6BF9">
        <w:t>, de la justification de celle-ci.</w:t>
      </w:r>
    </w:p>
    <w:p w14:paraId="1C10DAE4" w14:textId="1AD6B641" w:rsidR="00745AD8" w:rsidRPr="00745AD8" w:rsidRDefault="00745AD8" w:rsidP="00745AD8">
      <w:pPr>
        <w:pStyle w:val="Paragraphedeliste"/>
      </w:pPr>
      <w:bookmarkStart w:id="23" w:name="_Ref121670354"/>
      <w:r>
        <w:t>Enfin, troisièmement</w:t>
      </w:r>
      <w:r w:rsidRPr="00745AD8">
        <w:t xml:space="preserve">, </w:t>
      </w:r>
      <w:r>
        <w:t>par-delà</w:t>
      </w:r>
      <w:r w:rsidRPr="00745AD8">
        <w:t xml:space="preserve"> l’existence</w:t>
      </w:r>
      <w:r>
        <w:t xml:space="preserve"> ou le caractère </w:t>
      </w:r>
      <w:r w:rsidR="00DB2431">
        <w:t xml:space="preserve">écrit </w:t>
      </w:r>
      <w:r w:rsidRPr="00745AD8">
        <w:t>de la règle de neutralité, la légalité de la restriction peut également se cristalliser autour de la prévisibilité de cette règle de neutralité.</w:t>
      </w:r>
      <w:r>
        <w:t xml:space="preserve"> Est ici</w:t>
      </w:r>
      <w:r w:rsidRPr="00745AD8">
        <w:t xml:space="preserve"> visée la possibilité, pour le travailleur, d’anticiper l’incompatibilité entre certaines expressions religieuses personnelles et cette règle de neutralité.</w:t>
      </w:r>
      <w:bookmarkEnd w:id="23"/>
    </w:p>
    <w:p w14:paraId="4DAA213D" w14:textId="6A3C87DB" w:rsidR="00745AD8" w:rsidRPr="00745AD8" w:rsidRDefault="00745AD8" w:rsidP="00745AD8">
      <w:r w:rsidRPr="00745AD8">
        <w:t>À travers la prévisibilité, c’est donc le lien entre la neutralité et la visibilité</w:t>
      </w:r>
      <w:r w:rsidRPr="00745AD8">
        <w:fldChar w:fldCharType="begin"/>
      </w:r>
      <w:r w:rsidRPr="00745AD8">
        <w:instrText xml:space="preserve"> XE "Visibilité" </w:instrText>
      </w:r>
      <w:r w:rsidRPr="00745AD8">
        <w:fldChar w:fldCharType="end"/>
      </w:r>
      <w:r w:rsidRPr="00745AD8">
        <w:t xml:space="preserve"> du religieux qui est interrogé, et, partant, la confrontation entre une neutralité poursuivie par l’invisibilisation du religieux et une neutralité poursuivie à travers la diversité des expressions convictionnelles</w:t>
      </w:r>
      <w:r w:rsidRPr="00745AD8">
        <w:rPr>
          <w:vertAlign w:val="superscript"/>
        </w:rPr>
        <w:footnoteReference w:id="133"/>
      </w:r>
      <w:r w:rsidR="008C3674">
        <w:t>.</w:t>
      </w:r>
      <w:r w:rsidRPr="00745AD8">
        <w:t xml:space="preserve"> </w:t>
      </w:r>
      <w:r w:rsidRPr="00B601A0">
        <w:t>De même, se pose la question du champ des convictions couvertes par la référence au seul terme de « neutralité » : en l’absence de mention explicite du religieux à côté du terme de neutralité, s’agit-il de comprendre que toutes les convictions – y compris politiques – sont visées, ou convient-il plutôt de reconnaître une référence implicite aux convictions religieuses dans l’usage du terme de neutralité ?</w:t>
      </w:r>
    </w:p>
    <w:p w14:paraId="68C06B67" w14:textId="3E6F12B3" w:rsidR="00745AD8" w:rsidRPr="00E35B25" w:rsidRDefault="00745AD8" w:rsidP="00455598">
      <w:r w:rsidRPr="00745AD8">
        <w:t xml:space="preserve">Quoique fondamentale, la question du lien entre neutralité d’entreprise et restriction des expressions religieuses n’est que rarement posée par la jurisprudence en la matière, et pas véritablement davantage par la doctrine. Cette absence est particulièrement manifeste dans les arrêts </w:t>
      </w:r>
      <w:proofErr w:type="spellStart"/>
      <w:r w:rsidR="0068316E">
        <w:rPr>
          <w:i/>
          <w:iCs/>
        </w:rPr>
        <w:t>Achbita</w:t>
      </w:r>
      <w:proofErr w:type="spellEnd"/>
      <w:r w:rsidR="0068316E">
        <w:t xml:space="preserve">, </w:t>
      </w:r>
      <w:r w:rsidR="0068316E">
        <w:rPr>
          <w:i/>
          <w:iCs/>
        </w:rPr>
        <w:t>Bougnaoui</w:t>
      </w:r>
      <w:r w:rsidR="002F4144">
        <w:t xml:space="preserve"> et </w:t>
      </w:r>
      <w:r w:rsidR="002F4144">
        <w:rPr>
          <w:i/>
          <w:iCs/>
        </w:rPr>
        <w:t>WABE-Müller</w:t>
      </w:r>
      <w:r w:rsidR="002F4144">
        <w:t>, la</w:t>
      </w:r>
      <w:r w:rsidRPr="00745AD8">
        <w:t xml:space="preserve"> CJUE prenant pour acquis le fait que la neutralité puisse impliquer l’interdiction des signes religieux</w:t>
      </w:r>
      <w:r w:rsidR="008C3674">
        <w:t>.</w:t>
      </w:r>
      <w:r w:rsidR="00E35B25">
        <w:t xml:space="preserve"> </w:t>
      </w:r>
      <w:r w:rsidR="00455598">
        <w:t>L’affaire</w:t>
      </w:r>
      <w:r w:rsidR="00E35B25">
        <w:t xml:space="preserve"> </w:t>
      </w:r>
      <w:r w:rsidR="00E35B25">
        <w:rPr>
          <w:i/>
          <w:iCs/>
        </w:rPr>
        <w:t>LF c. SCRL</w:t>
      </w:r>
      <w:r w:rsidR="00E35B25">
        <w:t xml:space="preserve"> est néanmoins l’occasion pour les juges de Luxembourg</w:t>
      </w:r>
      <w:r w:rsidR="00081BF5">
        <w:t xml:space="preserve"> </w:t>
      </w:r>
      <w:r w:rsidR="00455598">
        <w:t>de questionner implicitement le caractère automatique d’une telle association</w:t>
      </w:r>
      <w:r w:rsidR="00271EC7">
        <w:t>,</w:t>
      </w:r>
      <w:r w:rsidR="00455598">
        <w:t xml:space="preserve"> </w:t>
      </w:r>
      <w:r w:rsidR="00271EC7">
        <w:t>ceux-ci précisant que « </w:t>
      </w:r>
      <w:r w:rsidR="00455598">
        <w:t>la simple volonté d’un employeur de mener une politique</w:t>
      </w:r>
      <w:r w:rsidR="00271EC7">
        <w:t xml:space="preserve"> </w:t>
      </w:r>
      <w:r w:rsidR="00455598">
        <w:t>de neutralité</w:t>
      </w:r>
      <w:r w:rsidR="00271EC7">
        <w:t xml:space="preserve"> […]</w:t>
      </w:r>
      <w:r w:rsidR="00455598">
        <w:t xml:space="preserve"> ne suffit pas</w:t>
      </w:r>
      <w:r w:rsidR="00F64938">
        <w:t> »</w:t>
      </w:r>
      <w:r w:rsidR="00A73560">
        <w:t xml:space="preserve"> à justifier une restriction</w:t>
      </w:r>
      <w:r w:rsidR="00271EC7">
        <w:t xml:space="preserve">, </w:t>
      </w:r>
      <w:r w:rsidR="00F64938">
        <w:t>dans la mesure où, aux yeux de la CJUE, il convient</w:t>
      </w:r>
      <w:r w:rsidR="00455598">
        <w:t xml:space="preserve"> </w:t>
      </w:r>
      <w:r w:rsidR="00F64938">
        <w:t>« </w:t>
      </w:r>
      <w:r w:rsidR="00455598">
        <w:t>d’encourager par principe la tolérance et le respect, ainsi</w:t>
      </w:r>
      <w:r w:rsidR="00F64938">
        <w:t xml:space="preserve"> </w:t>
      </w:r>
      <w:r w:rsidR="00455598">
        <w:t>que l’acceptation d’un plus grand degré de diversité</w:t>
      </w:r>
      <w:r w:rsidR="00F64938">
        <w:t> »</w:t>
      </w:r>
      <w:r w:rsidR="00A73560">
        <w:rPr>
          <w:rStyle w:val="Appelnotedebasdep"/>
        </w:rPr>
        <w:footnoteReference w:id="134"/>
      </w:r>
      <w:r w:rsidR="00455598">
        <w:t>.</w:t>
      </w:r>
      <w:r w:rsidR="005E2988">
        <w:t xml:space="preserve"> L’on </w:t>
      </w:r>
      <w:r w:rsidR="00047FEE">
        <w:t>perçoit</w:t>
      </w:r>
      <w:r w:rsidR="005E2988">
        <w:t xml:space="preserve"> ici la remise en cause</w:t>
      </w:r>
      <w:r w:rsidR="00047FEE">
        <w:t xml:space="preserve"> d’une vision exclusivement restrictive de la neutralité</w:t>
      </w:r>
      <w:r w:rsidR="008F3428">
        <w:t xml:space="preserve">, dont la Cour souligne le possible « détournement […] </w:t>
      </w:r>
      <w:r w:rsidR="008F3428" w:rsidRPr="008F3428">
        <w:t>au détriment de travailleurs observant des préceptes</w:t>
      </w:r>
      <w:r w:rsidR="008F3428">
        <w:t xml:space="preserve"> </w:t>
      </w:r>
      <w:r w:rsidR="008F3428" w:rsidRPr="008F3428">
        <w:t>religieux imposant de porter une certaine tenue vestimentaire</w:t>
      </w:r>
      <w:r w:rsidR="008F3428">
        <w:t> »</w:t>
      </w:r>
      <w:r w:rsidR="008F3428">
        <w:rPr>
          <w:rStyle w:val="Appelnotedebasdep"/>
        </w:rPr>
        <w:footnoteReference w:id="135"/>
      </w:r>
      <w:r w:rsidR="008F3428">
        <w:t>.</w:t>
      </w:r>
    </w:p>
    <w:p w14:paraId="4C534101" w14:textId="7BD0F53D" w:rsidR="00C96512" w:rsidRPr="00745AD8" w:rsidRDefault="00EE7ED4" w:rsidP="000D6C77">
      <w:pPr>
        <w:pStyle w:val="Paragraphedeliste"/>
      </w:pPr>
      <w:r>
        <w:t>Cette appréciation de la CJUE pe</w:t>
      </w:r>
      <w:r w:rsidR="009B783E">
        <w:t>u</w:t>
      </w:r>
      <w:r>
        <w:t xml:space="preserve">t être mise en </w:t>
      </w:r>
      <w:r w:rsidR="001D57CE">
        <w:t>lien</w:t>
      </w:r>
      <w:r>
        <w:t xml:space="preserve"> avec </w:t>
      </w:r>
      <w:r w:rsidR="001D57CE">
        <w:t xml:space="preserve">deux décisions </w:t>
      </w:r>
      <w:r w:rsidR="00C96512">
        <w:t>belges rendues antérieurement</w:t>
      </w:r>
      <w:r>
        <w:t>,</w:t>
      </w:r>
      <w:r w:rsidR="00745AD8" w:rsidRPr="00745AD8">
        <w:t xml:space="preserve"> </w:t>
      </w:r>
      <w:r w:rsidR="009B783E">
        <w:t>bien que</w:t>
      </w:r>
      <w:r w:rsidR="001C0F49">
        <w:t xml:space="preserve"> celles-ci</w:t>
      </w:r>
      <w:r w:rsidR="00016F50">
        <w:t xml:space="preserve"> </w:t>
      </w:r>
      <w:r w:rsidR="001C0F49">
        <w:t>concernent</w:t>
      </w:r>
      <w:r w:rsidR="00016F50">
        <w:t xml:space="preserve"> des </w:t>
      </w:r>
      <w:r w:rsidR="000C225D">
        <w:t>organismes publics et non des entreprises privées</w:t>
      </w:r>
      <w:r w:rsidR="00C96512">
        <w:t>.</w:t>
      </w:r>
    </w:p>
    <w:p w14:paraId="4F7921C5" w14:textId="67E71D70" w:rsidR="00745AD8" w:rsidRPr="00745AD8" w:rsidRDefault="00745AD8" w:rsidP="00C96512">
      <w:r w:rsidRPr="00745AD8">
        <w:t xml:space="preserve">En </w:t>
      </w:r>
      <w:r w:rsidR="00C96512">
        <w:t>premier</w:t>
      </w:r>
      <w:r w:rsidR="00C96512" w:rsidRPr="00745AD8">
        <w:t xml:space="preserve"> </w:t>
      </w:r>
      <w:r w:rsidRPr="00745AD8">
        <w:t xml:space="preserve">lieu, dans l’affaire </w:t>
      </w:r>
      <w:proofErr w:type="spellStart"/>
      <w:r w:rsidRPr="00C96512">
        <w:rPr>
          <w:i/>
          <w:iCs/>
        </w:rPr>
        <w:t>Actiris</w:t>
      </w:r>
      <w:proofErr w:type="spellEnd"/>
      <w:r w:rsidRPr="00745AD8">
        <w:rPr>
          <w:vertAlign w:val="superscript"/>
        </w:rPr>
        <w:footnoteReference w:id="136"/>
      </w:r>
      <w:r w:rsidRPr="00745AD8">
        <w:t xml:space="preserve"> </w:t>
      </w:r>
      <w:r w:rsidR="00886A57" w:rsidRPr="00886A57">
        <w:t>–</w:t>
      </w:r>
      <w:r w:rsidR="00886A57">
        <w:t xml:space="preserve"> du nom de l’</w:t>
      </w:r>
      <w:r w:rsidR="0024685A" w:rsidRPr="0024685A">
        <w:t xml:space="preserve">office bruxellois de l’emploi </w:t>
      </w:r>
      <w:r w:rsidR="00886A57" w:rsidRPr="00886A57">
        <w:t>–</w:t>
      </w:r>
      <w:r w:rsidR="00886A57">
        <w:t xml:space="preserve"> </w:t>
      </w:r>
      <w:r w:rsidRPr="00745AD8">
        <w:t xml:space="preserve">jugée en 2015, le </w:t>
      </w:r>
      <w:r w:rsidR="003B07B8">
        <w:t>tribunal</w:t>
      </w:r>
      <w:r w:rsidR="003B07B8" w:rsidRPr="00745AD8">
        <w:t xml:space="preserve"> </w:t>
      </w:r>
      <w:r w:rsidRPr="00745AD8">
        <w:t>du travail de Bruxelles insiste sur l’absence de lien intrinsèque entre l’invocation de la neutralité et l’interdiction des signes religieux. Le jugement met au contraire l’accent sur l’existence d’une véritable alternative entre les neutralités inclusive et exclusive</w:t>
      </w:r>
      <w:r w:rsidRPr="00745AD8">
        <w:rPr>
          <w:vertAlign w:val="superscript"/>
        </w:rPr>
        <w:footnoteReference w:id="137"/>
      </w:r>
      <w:r w:rsidRPr="00745AD8">
        <w:t>, en concluant sur le caractère discriminatoire de cette dernière</w:t>
      </w:r>
      <w:r w:rsidRPr="00C96512">
        <w:rPr>
          <w:i/>
          <w:iCs/>
        </w:rPr>
        <w:t xml:space="preserve"> in </w:t>
      </w:r>
      <w:proofErr w:type="spellStart"/>
      <w:r w:rsidRPr="00C96512">
        <w:rPr>
          <w:i/>
          <w:iCs/>
        </w:rPr>
        <w:t>casu</w:t>
      </w:r>
      <w:proofErr w:type="spellEnd"/>
      <w:r w:rsidR="00281364" w:rsidRPr="00C96512">
        <w:rPr>
          <w:i/>
          <w:iCs/>
        </w:rPr>
        <w:t>.</w:t>
      </w:r>
    </w:p>
    <w:p w14:paraId="3439B39B" w14:textId="3702BB59" w:rsidR="00745AD8" w:rsidRDefault="00745AD8" w:rsidP="00F2064A">
      <w:r w:rsidRPr="00745AD8">
        <w:t xml:space="preserve">En </w:t>
      </w:r>
      <w:r w:rsidR="00C96512">
        <w:t>deuxième</w:t>
      </w:r>
      <w:r w:rsidR="00C96512" w:rsidRPr="00745AD8">
        <w:t xml:space="preserve"> </w:t>
      </w:r>
      <w:r w:rsidRPr="00745AD8">
        <w:t xml:space="preserve">lieu, citons la décision rendue par le même </w:t>
      </w:r>
      <w:r w:rsidR="003B07B8">
        <w:t>tribunal</w:t>
      </w:r>
      <w:r w:rsidR="003B07B8" w:rsidRPr="00745AD8">
        <w:t xml:space="preserve"> </w:t>
      </w:r>
      <w:r w:rsidRPr="00745AD8">
        <w:t xml:space="preserve">du travail de Bruxelles dans l’affaire </w:t>
      </w:r>
      <w:r w:rsidRPr="00745AD8">
        <w:rPr>
          <w:i/>
        </w:rPr>
        <w:t>STIB</w:t>
      </w:r>
      <w:r w:rsidRPr="00745AD8">
        <w:t xml:space="preserve">, la juridiction reprenant le même argument relatif à l’alternative entre neutralité exclusive et </w:t>
      </w:r>
      <w:r w:rsidRPr="00745AD8">
        <w:lastRenderedPageBreak/>
        <w:t>inclusive pour remettre en cause le caractère inévitable de l’interdiction des signes religieux fondé</w:t>
      </w:r>
      <w:r w:rsidR="00943196">
        <w:t>e</w:t>
      </w:r>
      <w:r w:rsidRPr="00745AD8">
        <w:t xml:space="preserve"> sur la règle de neutralité</w:t>
      </w:r>
      <w:r w:rsidRPr="00745AD8">
        <w:rPr>
          <w:vertAlign w:val="superscript"/>
        </w:rPr>
        <w:footnoteReference w:id="138"/>
      </w:r>
      <w:r w:rsidR="00281364">
        <w:t>.</w:t>
      </w:r>
    </w:p>
    <w:p w14:paraId="799E3996" w14:textId="632439CF" w:rsidR="008E6BF9" w:rsidRDefault="008E6BF9" w:rsidP="008E6BF9">
      <w:pPr>
        <w:pStyle w:val="Titre3"/>
      </w:pPr>
      <w:r>
        <w:t>Légitimité</w:t>
      </w:r>
      <w:r w:rsidR="003E2654">
        <w:t xml:space="preserve"> et proportionnalité</w:t>
      </w:r>
    </w:p>
    <w:p w14:paraId="1710B19C" w14:textId="4A3F104A" w:rsidR="00E65B19" w:rsidRDefault="00E65B19" w:rsidP="00960BD9">
      <w:pPr>
        <w:pStyle w:val="Paragraphedeliste"/>
      </w:pPr>
      <w:r>
        <w:t>Au contraire de la condition de légalité, dont l’évaluation n’exerce pas d’influence cruciale dans l’appréciation de la licéité de</w:t>
      </w:r>
      <w:r w:rsidR="0094723B">
        <w:t>s restrictions fondées sur</w:t>
      </w:r>
      <w:r>
        <w:t xml:space="preserve"> la neutralité, les conditions de légitimité et, </w:t>
      </w:r>
      <w:r w:rsidRPr="008D517D">
        <w:t>a fortiori</w:t>
      </w:r>
      <w:r>
        <w:rPr>
          <w:i/>
          <w:iCs/>
        </w:rPr>
        <w:t>,</w:t>
      </w:r>
      <w:r>
        <w:t xml:space="preserve"> de proportionnalité recèlent généralement le cœur de la discussion en la matière.</w:t>
      </w:r>
    </w:p>
    <w:p w14:paraId="767A5E5F" w14:textId="4488C744" w:rsidR="00E65B19" w:rsidRDefault="00E65B19" w:rsidP="00E65B19">
      <w:r>
        <w:t>Par ailleurs, là où le cadre juridique CEDH et son interprétation par la CourEDH se révèlent centraux pour l’appréciation de la condition de légalité, c’est désormais le cadre juridique de l’UE et son interprétation par la CJUE qui jouent un rôle de premier plan du point de vue de la proportionnalité et, dans une moindre mesure, de la légitimité.</w:t>
      </w:r>
    </w:p>
    <w:p w14:paraId="4F836543" w14:textId="7EDA17F9" w:rsidR="00E65B19" w:rsidRDefault="00E65B19" w:rsidP="00E65B19">
      <w:r>
        <w:t>Avant d’entamer l’examen de ces deux conditions</w:t>
      </w:r>
      <w:r w:rsidR="00F844E0">
        <w:t xml:space="preserve"> (points b et c)</w:t>
      </w:r>
      <w:r>
        <w:t>, un détour s’avère nécessaire par l’enjeu de la distinction entre discrimination directe et indirecte</w:t>
      </w:r>
      <w:r w:rsidR="00F844E0">
        <w:t xml:space="preserve"> (a)</w:t>
      </w:r>
      <w:r>
        <w:t>. Du fait de son influence fondamentale sur le type de justifications admises au stade de la légitimité et de la proportionnalité – à tout le moins du point de vue d</w:t>
      </w:r>
      <w:r w:rsidR="00D27EEC">
        <w:t>u droit de l’UE</w:t>
      </w:r>
      <w:r>
        <w:t xml:space="preserve"> –, une telle distinction doit être envisagée spécifiquement dans sa confrontation avec le principe de neutralité.</w:t>
      </w:r>
    </w:p>
    <w:p w14:paraId="2408E79D" w14:textId="2AEEC14C" w:rsidR="003E2654" w:rsidRDefault="003E2654" w:rsidP="008F46FF">
      <w:pPr>
        <w:pStyle w:val="Titre4"/>
        <w:numPr>
          <w:ilvl w:val="0"/>
          <w:numId w:val="19"/>
        </w:numPr>
      </w:pPr>
      <w:r w:rsidRPr="003E2654">
        <w:t>Neutralité religieuse et discrimination directe/indirecte</w:t>
      </w:r>
    </w:p>
    <w:p w14:paraId="451151E6" w14:textId="0FD6B913" w:rsidR="003E2654" w:rsidRDefault="003E2654" w:rsidP="00960BD9">
      <w:pPr>
        <w:pStyle w:val="Paragraphedeliste"/>
      </w:pPr>
      <w:r>
        <w:t>S’interroger sur la légitimité et la proportionnalité d’une restriction à la non-discrimination nous amène instantanément à nous poser la question préalable du type de discrimination – directe ou indirecte – potentiellement concerné par la restriction en cause</w:t>
      </w:r>
      <w:r>
        <w:rPr>
          <w:rStyle w:val="Appelnotedebasdep"/>
        </w:rPr>
        <w:footnoteReference w:id="139"/>
      </w:r>
      <w:r w:rsidR="00281364">
        <w:t>.</w:t>
      </w:r>
      <w:r>
        <w:t xml:space="preserve"> Au contraire de la CEDH pour laquelle cette distinction n’emporte pas de véritable conséquence du point de vue de son article 14</w:t>
      </w:r>
      <w:r>
        <w:rPr>
          <w:rStyle w:val="Appelnotedebasdep"/>
        </w:rPr>
        <w:footnoteReference w:id="140"/>
      </w:r>
      <w:r>
        <w:t xml:space="preserve">, la réponse à cette question préalable s’avère absolument cruciale dans le déploiement du test de légitimité et de proportionnalité au regard du cadre de l’UE et, plus spécifiquement, de la </w:t>
      </w:r>
      <w:r w:rsidR="00972B7E">
        <w:t>directive</w:t>
      </w:r>
      <w:r>
        <w:t xml:space="preserve"> 2000/78</w:t>
      </w:r>
      <w:r w:rsidR="00B0746E">
        <w:t>/CE</w:t>
      </w:r>
      <w:r>
        <w:t xml:space="preserve"> en matière de non-discrimination</w:t>
      </w:r>
      <w:r>
        <w:rPr>
          <w:rStyle w:val="Appelnotedebasdep"/>
        </w:rPr>
        <w:footnoteReference w:id="141"/>
      </w:r>
      <w:r w:rsidR="00281364">
        <w:t>.</w:t>
      </w:r>
    </w:p>
    <w:p w14:paraId="447FC669" w14:textId="3B86CD11" w:rsidR="003E2654" w:rsidRDefault="003E2654" w:rsidP="003E2654">
      <w:r w:rsidRPr="0091734A">
        <w:t xml:space="preserve">L’enjeu de la qualification en discrimination directe ou indirecte est en effet de taille, dans la mesure où la </w:t>
      </w:r>
      <w:r w:rsidR="00972B7E">
        <w:t>directive</w:t>
      </w:r>
      <w:r w:rsidRPr="0091734A">
        <w:t xml:space="preserve"> 2000/78</w:t>
      </w:r>
      <w:r w:rsidR="00B0746E">
        <w:t>/CE</w:t>
      </w:r>
      <w:r w:rsidRPr="0091734A">
        <w:t xml:space="preserve"> ne permet de justification à une distinction fondée directement sur la religion que sur </w:t>
      </w:r>
      <w:r>
        <w:t xml:space="preserve">la </w:t>
      </w:r>
      <w:r w:rsidRPr="0091734A">
        <w:t>base d’une « exigence essentielle et déterminante</w:t>
      </w:r>
      <w:r>
        <w:fldChar w:fldCharType="begin"/>
      </w:r>
      <w:r>
        <w:instrText xml:space="preserve"> XE "</w:instrText>
      </w:r>
      <w:r w:rsidRPr="00821CE3">
        <w:rPr>
          <w:rFonts w:eastAsia="Times New Roman" w:cs="Calibri"/>
          <w:color w:val="000000"/>
          <w:lang w:eastAsia="fr-BE"/>
        </w:rPr>
        <w:instrText>Exigence essentielle et déterminante</w:instrText>
      </w:r>
      <w:r>
        <w:rPr>
          <w:rFonts w:eastAsia="Times New Roman" w:cs="Calibri"/>
          <w:color w:val="000000"/>
          <w:lang w:eastAsia="fr-BE"/>
        </w:rPr>
        <w:instrText>"</w:instrText>
      </w:r>
      <w:r>
        <w:instrText xml:space="preserve"> </w:instrText>
      </w:r>
      <w:r>
        <w:fldChar w:fldCharType="end"/>
      </w:r>
      <w:r w:rsidRPr="0091734A">
        <w:t xml:space="preserve"> » en raison de la « nature d'une activité professionnelle ou des conditions de son exercice », tandis que toute distinction indirectement fondée sur la religion peut être justifiée à travers les critères </w:t>
      </w:r>
      <w:r>
        <w:t>plus larges</w:t>
      </w:r>
      <w:r w:rsidRPr="0091734A">
        <w:t xml:space="preserve"> de légitimité et de proportionnalité</w:t>
      </w:r>
      <w:r w:rsidRPr="0091734A">
        <w:rPr>
          <w:rStyle w:val="Appelnotedebasdep"/>
        </w:rPr>
        <w:footnoteReference w:id="142"/>
      </w:r>
      <w:r w:rsidR="00281364">
        <w:t>.</w:t>
      </w:r>
    </w:p>
    <w:p w14:paraId="37406C40" w14:textId="1330939D" w:rsidR="008B26E1" w:rsidRDefault="008B26E1" w:rsidP="00960BD9">
      <w:pPr>
        <w:pStyle w:val="Paragraphedeliste"/>
      </w:pPr>
      <w:r>
        <w:lastRenderedPageBreak/>
        <w:t xml:space="preserve">Aux termes de la </w:t>
      </w:r>
      <w:r w:rsidR="00972B7E">
        <w:t>directive</w:t>
      </w:r>
      <w:r>
        <w:t xml:space="preserve"> 2000/78</w:t>
      </w:r>
      <w:r w:rsidR="00B0746E">
        <w:t>/CE</w:t>
      </w:r>
      <w:r>
        <w:t>, « une discrimination directe se produit lorsqu'une personne est traitée de manière moins favorable qu'une autre ne l'est, ne l'a été ou ne le serait dans une situation comparable, sur la base de l'un des motifs [protégés] »</w:t>
      </w:r>
      <w:r>
        <w:rPr>
          <w:rStyle w:val="Appelnotedebasdep"/>
        </w:rPr>
        <w:footnoteReference w:id="143"/>
      </w:r>
      <w:r>
        <w:t>.</w:t>
      </w:r>
    </w:p>
    <w:p w14:paraId="3D85A8F8" w14:textId="77777777" w:rsidR="008B26E1" w:rsidRDefault="008B26E1" w:rsidP="008B26E1">
      <w:r>
        <w:t>La discrimination indirecte, quant à elle, « se produit lorsqu'une disposition, un critère ou une pratique apparemment neutre est susceptible d'entraîner un désavantage particulier pour des personnes d'une religion ou de convictions, d'un handicap</w:t>
      </w:r>
      <w:r>
        <w:fldChar w:fldCharType="begin"/>
      </w:r>
      <w:r>
        <w:instrText xml:space="preserve"> XE "</w:instrText>
      </w:r>
      <w:r w:rsidRPr="00821CE3">
        <w:rPr>
          <w:rFonts w:eastAsia="Times New Roman" w:cs="Calibri"/>
          <w:color w:val="000000"/>
          <w:lang w:eastAsia="fr-BE"/>
        </w:rPr>
        <w:instrText>Handicap</w:instrText>
      </w:r>
      <w:r>
        <w:rPr>
          <w:rFonts w:eastAsia="Times New Roman" w:cs="Calibri"/>
          <w:color w:val="000000"/>
          <w:lang w:eastAsia="fr-BE"/>
        </w:rPr>
        <w:instrText>"</w:instrText>
      </w:r>
      <w:r>
        <w:instrText xml:space="preserve"> </w:instrText>
      </w:r>
      <w:r>
        <w:fldChar w:fldCharType="end"/>
      </w:r>
      <w:r>
        <w:t>, d'un âge ou d'une orientation sexuelle</w:t>
      </w:r>
      <w:r>
        <w:fldChar w:fldCharType="begin"/>
      </w:r>
      <w:r>
        <w:instrText xml:space="preserve"> XE "</w:instrText>
      </w:r>
      <w:r w:rsidRPr="00821CE3">
        <w:rPr>
          <w:rFonts w:eastAsia="Times New Roman" w:cs="Calibri"/>
          <w:color w:val="000000"/>
          <w:lang w:eastAsia="fr-BE"/>
        </w:rPr>
        <w:instrText>Orientation sexuelle</w:instrText>
      </w:r>
      <w:r>
        <w:rPr>
          <w:rFonts w:eastAsia="Times New Roman" w:cs="Calibri"/>
          <w:color w:val="000000"/>
          <w:lang w:eastAsia="fr-BE"/>
        </w:rPr>
        <w:instrText>"</w:instrText>
      </w:r>
      <w:r>
        <w:instrText xml:space="preserve"> </w:instrText>
      </w:r>
      <w:r>
        <w:fldChar w:fldCharType="end"/>
      </w:r>
      <w:r>
        <w:t xml:space="preserve"> donnés, par rapport à d'autres personnes »</w:t>
      </w:r>
      <w:r>
        <w:rPr>
          <w:rStyle w:val="Appelnotedebasdep"/>
        </w:rPr>
        <w:footnoteReference w:id="144"/>
      </w:r>
      <w:r>
        <w:t>.</w:t>
      </w:r>
    </w:p>
    <w:p w14:paraId="3A9BAEF2" w14:textId="0660B0A6" w:rsidR="008B26E1" w:rsidRDefault="008B26E1" w:rsidP="000E2C42">
      <w:r>
        <w:t>Le critère central, tant du point de vue de la discrimination directe qu’indirecte, est l’existence d’une « différence de traitement »</w:t>
      </w:r>
      <w:r>
        <w:rPr>
          <w:rStyle w:val="Appelnotedebasdep"/>
        </w:rPr>
        <w:footnoteReference w:id="145"/>
      </w:r>
      <w:r>
        <w:t xml:space="preserve"> injustifiée fondée sur l’un des critères protégés.</w:t>
      </w:r>
      <w:r w:rsidR="00090737">
        <w:t xml:space="preserve"> Néanmoins, d</w:t>
      </w:r>
      <w:r w:rsidR="00286BC0">
        <w:t>ans</w:t>
      </w:r>
      <w:r w:rsidR="000E2C42">
        <w:t xml:space="preserve"> le cas de la discrimination indirecte, il suffit que la</w:t>
      </w:r>
      <w:r>
        <w:t xml:space="preserve"> disposition, </w:t>
      </w:r>
      <w:r w:rsidR="000E2C42">
        <w:t xml:space="preserve">le </w:t>
      </w:r>
      <w:r>
        <w:t xml:space="preserve">critère ou </w:t>
      </w:r>
      <w:r w:rsidR="000E2C42">
        <w:t xml:space="preserve">la </w:t>
      </w:r>
      <w:r>
        <w:t xml:space="preserve">pratique </w:t>
      </w:r>
      <w:r w:rsidR="000E2C42">
        <w:t xml:space="preserve">en cause, considéré comme « apparemment neutre », </w:t>
      </w:r>
      <w:r>
        <w:t>soit « </w:t>
      </w:r>
      <w:r w:rsidRPr="00D85EDF">
        <w:rPr>
          <w:i/>
          <w:iCs/>
        </w:rPr>
        <w:t>susceptible</w:t>
      </w:r>
      <w:r>
        <w:t xml:space="preserve"> d’entraîner un désavantage particulier</w:t>
      </w:r>
      <w:r w:rsidR="00286BC0">
        <w:t> </w:t>
      </w:r>
      <w:r>
        <w:t>»</w:t>
      </w:r>
      <w:r>
        <w:rPr>
          <w:rStyle w:val="Appelnotedebasdep"/>
        </w:rPr>
        <w:footnoteReference w:id="146"/>
      </w:r>
      <w:r w:rsidR="00286BC0">
        <w:t xml:space="preserve">, </w:t>
      </w:r>
      <w:r>
        <w:t xml:space="preserve"> là où la discrimination directe requiert que la personne </w:t>
      </w:r>
      <w:r>
        <w:rPr>
          <w:i/>
          <w:iCs/>
        </w:rPr>
        <w:t>soit</w:t>
      </w:r>
      <w:r>
        <w:t xml:space="preserve"> traitée de manière moins favorable.</w:t>
      </w:r>
    </w:p>
    <w:p w14:paraId="27B46574" w14:textId="3B1E0282" w:rsidR="008B26E1" w:rsidRDefault="008B26E1" w:rsidP="00960BD9">
      <w:pPr>
        <w:pStyle w:val="Paragraphedeliste"/>
      </w:pPr>
      <w:r>
        <w:t xml:space="preserve">Si nous confrontons notre question initiale au cadre juridique </w:t>
      </w:r>
      <w:r w:rsidR="00F2407C">
        <w:t>mentionné</w:t>
      </w:r>
      <w:r>
        <w:t xml:space="preserve"> à l’instant, une mesure neutre et d’application générale semble naturellement ne pouvoir conduire qu’à une discrimination indirecte et être exclue de l’idée de discrimination directe : l’article 2 de la Directive renvoie en effet explicitement, dans sa définition de la discrimination indirecte, à l’idée d’une disposition, critère ou pratique « apparemment neutre ».</w:t>
      </w:r>
    </w:p>
    <w:p w14:paraId="6586C172" w14:textId="445D01E2" w:rsidR="008B26E1" w:rsidRDefault="008B26E1" w:rsidP="008B26E1">
      <w:r>
        <w:t>Cette connexion explicite entre neutralité et discrimination indirecte emporte-t-elle vraiment l’impossibilité d’envisager une discrimination directe dans le cas d’une mesure dite « neutre » ?</w:t>
      </w:r>
      <w:r w:rsidR="00D42268">
        <w:rPr>
          <w:rStyle w:val="Appelnotedebasdep"/>
        </w:rPr>
        <w:footnoteReference w:id="147"/>
      </w:r>
      <w:r>
        <w:t xml:space="preserve"> </w:t>
      </w:r>
    </w:p>
    <w:p w14:paraId="6774E296" w14:textId="3F1E22BA" w:rsidR="008B26E1" w:rsidRPr="00897CAA" w:rsidRDefault="008B26E1" w:rsidP="008B26E1">
      <w:pPr>
        <w:tabs>
          <w:tab w:val="left" w:pos="7371"/>
        </w:tabs>
      </w:pPr>
      <w:r>
        <w:t xml:space="preserve">Selon une première tendance de la littérature, </w:t>
      </w:r>
      <w:r w:rsidRPr="00897CAA">
        <w:t>le fait que la neutralité</w:t>
      </w:r>
      <w:r>
        <w:t xml:space="preserve"> revendiquée par une </w:t>
      </w:r>
      <w:r w:rsidRPr="00897CAA">
        <w:t>entreprise restreigne</w:t>
      </w:r>
      <w:r>
        <w:t xml:space="preserve"> uniquement, mais</w:t>
      </w:r>
      <w:r w:rsidRPr="00897CAA">
        <w:t xml:space="preserve"> de manière globale</w:t>
      </w:r>
      <w:r>
        <w:t xml:space="preserve"> et indistincte</w:t>
      </w:r>
      <w:r w:rsidRPr="00897CAA">
        <w:t xml:space="preserve"> toute expression religieuse, sans en viser une en particulier, </w:t>
      </w:r>
      <w:r>
        <w:t>n’empêche</w:t>
      </w:r>
      <w:r w:rsidRPr="00897CAA">
        <w:t xml:space="preserve"> pas que cette restriction puisse être qualifiée de discrimination directe au sens de la Directive, dans la mesure où</w:t>
      </w:r>
      <w:r w:rsidR="00D913FD">
        <w:t xml:space="preserve"> </w:t>
      </w:r>
      <w:r w:rsidRPr="00897CAA">
        <w:t>« discriminer toutes les religions revient à discriminer directement chacune d’entre elles »</w:t>
      </w:r>
      <w:r w:rsidR="005B0F1B">
        <w:rPr>
          <w:rStyle w:val="Appelnotedebasdep"/>
        </w:rPr>
        <w:footnoteReference w:id="148"/>
      </w:r>
      <w:r w:rsidR="00281364">
        <w:t>.</w:t>
      </w:r>
    </w:p>
    <w:p w14:paraId="0A257C45" w14:textId="5E91D0D4" w:rsidR="008B26E1" w:rsidRDefault="008B26E1" w:rsidP="008B26E1">
      <w:r>
        <w:t>À l’inverse</w:t>
      </w:r>
      <w:r w:rsidRPr="00897CAA">
        <w:t xml:space="preserve">, </w:t>
      </w:r>
      <w:r>
        <w:t>d’autres commentateurs</w:t>
      </w:r>
      <w:r w:rsidRPr="00897CAA">
        <w:t xml:space="preserve"> mettent en avant le fait qu’une politique de neutralité </w:t>
      </w:r>
      <w:r>
        <w:t xml:space="preserve">d’entreprise </w:t>
      </w:r>
      <w:r w:rsidRPr="00897CAA">
        <w:t xml:space="preserve">vise précisément à ne cibler aucune conviction en particulier </w:t>
      </w:r>
      <w:r>
        <w:t>mais à</w:t>
      </w:r>
      <w:r w:rsidRPr="00897CAA">
        <w:t xml:space="preserve"> octroyer le même </w:t>
      </w:r>
      <w:r w:rsidRPr="00897CAA">
        <w:lastRenderedPageBreak/>
        <w:t>traitement</w:t>
      </w:r>
      <w:r>
        <w:t xml:space="preserve"> à toutes</w:t>
      </w:r>
      <w:r w:rsidRPr="00897CAA">
        <w:t>, ce qui ne peut être compris comme une potentielle discrimination directe, mais bien éventuellement comme une discrimination indirecte, dans le cas où la mesure, malgré son objectif d’indifférenciation, aboutirait en pratique à un traitement défavorable pour une ou plusieurs expressions religieuses en particulier</w:t>
      </w:r>
      <w:r w:rsidRPr="00897CAA">
        <w:rPr>
          <w:rStyle w:val="Appelnotedebasdep"/>
        </w:rPr>
        <w:footnoteReference w:id="149"/>
      </w:r>
      <w:r w:rsidR="00281364">
        <w:t>.</w:t>
      </w:r>
    </w:p>
    <w:p w14:paraId="2DEBD442" w14:textId="7F9C919D" w:rsidR="008B26E1" w:rsidRDefault="008B26E1" w:rsidP="000D6C77">
      <w:pPr>
        <w:pStyle w:val="Paragraphedeliste"/>
      </w:pPr>
      <w:bookmarkStart w:id="24" w:name="_Ref121670361"/>
      <w:r>
        <w:t xml:space="preserve">S’agissant du caractère indifférencié du traitement issu de la règle de neutralité – tant du point de vue de l’intention que du résultat –, la CJUE fournit une réponse aussi laconique que catégorique dans l’arrêt </w:t>
      </w:r>
      <w:proofErr w:type="spellStart"/>
      <w:r w:rsidRPr="0063660B">
        <w:rPr>
          <w:i/>
          <w:iCs/>
        </w:rPr>
        <w:t>Achbita</w:t>
      </w:r>
      <w:proofErr w:type="spellEnd"/>
      <w:r>
        <w:t xml:space="preserve">. </w:t>
      </w:r>
      <w:r w:rsidR="004F0465">
        <w:t>Dès</w:t>
      </w:r>
      <w:r>
        <w:t xml:space="preserve"> lors que </w:t>
      </w:r>
      <w:r w:rsidR="004F0465">
        <w:t>la règle de neutralité</w:t>
      </w:r>
      <w:r>
        <w:t xml:space="preserve"> « se réfère au port de signes visibles de convictions politiques, philosophiques ou religieuses et vise donc indifféremment toute manifestation de telles convictions, [ladite] règle doit […] être considérée comme traitant de manière identique tous les travailleurs de l’entreprise, en leur imposant, de manière générale et indifférenciée, notamment une neutralité vestimentaire s’opposant au port de tels signes »</w:t>
      </w:r>
      <w:r>
        <w:rPr>
          <w:rStyle w:val="Appelnotedebasdep"/>
        </w:rPr>
        <w:footnoteReference w:id="150"/>
      </w:r>
      <w:r>
        <w:t>. Quant à l’application de la règle, la CJUE considère que celle-ci s’est également faite de manière indifférenciée en l’espèce</w:t>
      </w:r>
      <w:r>
        <w:rPr>
          <w:rStyle w:val="Appelnotedebasdep"/>
        </w:rPr>
        <w:footnoteReference w:id="151"/>
      </w:r>
      <w:r w:rsidR="00A93193">
        <w:t>.</w:t>
      </w:r>
      <w:r>
        <w:t xml:space="preserve"> Cette position est </w:t>
      </w:r>
      <w:proofErr w:type="gramStart"/>
      <w:r>
        <w:t>du reste confirmée</w:t>
      </w:r>
      <w:proofErr w:type="gramEnd"/>
      <w:r>
        <w:t xml:space="preserve"> dans </w:t>
      </w:r>
      <w:r w:rsidR="00ED304F">
        <w:t xml:space="preserve">les arrêts </w:t>
      </w:r>
      <w:r w:rsidRPr="0063660B">
        <w:rPr>
          <w:i/>
        </w:rPr>
        <w:t xml:space="preserve">WABE-Müller </w:t>
      </w:r>
      <w:r w:rsidR="00ED304F">
        <w:t xml:space="preserve">et </w:t>
      </w:r>
      <w:r w:rsidR="00ED304F" w:rsidRPr="0063660B">
        <w:rPr>
          <w:i/>
          <w:iCs/>
        </w:rPr>
        <w:t>LF c. SCRL</w:t>
      </w:r>
      <w:r>
        <w:rPr>
          <w:rStyle w:val="Appelnotedebasdep"/>
        </w:rPr>
        <w:footnoteReference w:id="152"/>
      </w:r>
      <w:r w:rsidR="00A93193">
        <w:t>.</w:t>
      </w:r>
      <w:r w:rsidR="00BB0E27">
        <w:t xml:space="preserve"> </w:t>
      </w:r>
      <w:r w:rsidR="00E64D5C">
        <w:t>La seule</w:t>
      </w:r>
      <w:r w:rsidR="004B1140">
        <w:t xml:space="preserve"> légère nuance </w:t>
      </w:r>
      <w:r w:rsidR="00E64D5C">
        <w:t>apportée par la CJUE à cette position de principe concerne</w:t>
      </w:r>
      <w:r w:rsidR="00934072">
        <w:t xml:space="preserve"> l’hypothèse d’une</w:t>
      </w:r>
      <w:r w:rsidR="00E64D5C">
        <w:t xml:space="preserve"> « interdiction qui est limitée au port de signes de convictions politiques, philosophiques ou religieuses ostentatoires et de grande taille »</w:t>
      </w:r>
      <w:r w:rsidR="0053140F">
        <w:t xml:space="preserve"> : </w:t>
      </w:r>
      <w:r w:rsidR="0063660B">
        <w:t xml:space="preserve">une telle restriction serait qualifiée de </w:t>
      </w:r>
      <w:r w:rsidR="00E64D5C">
        <w:t>discrimination directe</w:t>
      </w:r>
      <w:r w:rsidR="0063660B">
        <w:t xml:space="preserve">, et « ne </w:t>
      </w:r>
      <w:r w:rsidR="00E64D5C">
        <w:t>saurait en tout état de cause être justifiée</w:t>
      </w:r>
      <w:r w:rsidR="0063660B">
        <w:t> »</w:t>
      </w:r>
      <w:r w:rsidR="00682AE9">
        <w:t xml:space="preserve"> au regard du droit de l’UE</w:t>
      </w:r>
      <w:r w:rsidR="0063660B">
        <w:rPr>
          <w:rStyle w:val="Appelnotedebasdep"/>
        </w:rPr>
        <w:footnoteReference w:id="153"/>
      </w:r>
      <w:r w:rsidR="0063660B">
        <w:t>.</w:t>
      </w:r>
      <w:bookmarkEnd w:id="24"/>
    </w:p>
    <w:p w14:paraId="5891A3A5" w14:textId="7F8FDE32" w:rsidR="004365A1" w:rsidRDefault="004F0465" w:rsidP="004F0465">
      <w:r>
        <w:t xml:space="preserve">La thèse de l’existence d’une discrimination directe, soutenue par </w:t>
      </w:r>
      <w:proofErr w:type="spellStart"/>
      <w:r w:rsidRPr="008D517D">
        <w:t>Unia</w:t>
      </w:r>
      <w:proofErr w:type="spellEnd"/>
      <w:r>
        <w:t xml:space="preserve"> en tant que partie au litige,</w:t>
      </w:r>
      <w:r>
        <w:rPr>
          <w:i/>
          <w:iCs/>
        </w:rPr>
        <w:fldChar w:fldCharType="begin"/>
      </w:r>
      <w:r>
        <w:rPr>
          <w:i/>
          <w:iCs/>
        </w:rPr>
        <w:instrText xml:space="preserve"> XE "</w:instrText>
      </w:r>
      <w:r w:rsidRPr="00821CE3">
        <w:rPr>
          <w:rFonts w:eastAsia="Times New Roman" w:cs="Calibri"/>
          <w:i/>
          <w:iCs/>
          <w:color w:val="000000"/>
          <w:lang w:eastAsia="fr-BE"/>
        </w:rPr>
        <w:instrText>Unia</w:instrText>
      </w:r>
      <w:r>
        <w:rPr>
          <w:rFonts w:eastAsia="Times New Roman" w:cs="Calibri"/>
          <w:i/>
          <w:iCs/>
          <w:color w:val="000000"/>
          <w:lang w:eastAsia="fr-BE"/>
        </w:rPr>
        <w:instrText>"</w:instrText>
      </w:r>
      <w:r>
        <w:rPr>
          <w:i/>
          <w:iCs/>
        </w:rPr>
        <w:instrText xml:space="preserve"> </w:instrText>
      </w:r>
      <w:r>
        <w:rPr>
          <w:i/>
          <w:iCs/>
        </w:rPr>
        <w:fldChar w:fldCharType="end"/>
      </w:r>
      <w:r>
        <w:t xml:space="preserve"> était également défendue par l’avocat général </w:t>
      </w:r>
      <w:proofErr w:type="spellStart"/>
      <w:r>
        <w:t>Sharpston</w:t>
      </w:r>
      <w:proofErr w:type="spellEnd"/>
      <w:r>
        <w:t>.</w:t>
      </w:r>
      <w:r w:rsidRPr="0056624B">
        <w:t xml:space="preserve"> Selon </w:t>
      </w:r>
      <w:r w:rsidR="00A73CEE">
        <w:t>elle</w:t>
      </w:r>
      <w:r w:rsidRPr="0056624B">
        <w:t xml:space="preserve">, dans la mesure où </w:t>
      </w:r>
      <w:r>
        <w:t>sont</w:t>
      </w:r>
      <w:r w:rsidRPr="0056624B">
        <w:t xml:space="preserve"> expressément</w:t>
      </w:r>
      <w:r>
        <w:t xml:space="preserve"> visées</w:t>
      </w:r>
      <w:r w:rsidRPr="0056624B">
        <w:t xml:space="preserve"> les expressions religieuses,</w:t>
      </w:r>
      <w:r>
        <w:t> le « règlement de travail d’une entreprise qui interdit aux travailleurs de cette entreprise de porter des signes ou tenues vestimentaires religieux lorsqu’ils sont en contact avec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de l’entreprise entraîne une discrimination directe fondée sur la religion ou les convictions »</w:t>
      </w:r>
      <w:r>
        <w:rPr>
          <w:rStyle w:val="Appelnotedebasdep"/>
        </w:rPr>
        <w:footnoteReference w:id="154"/>
      </w:r>
      <w:r>
        <w:t xml:space="preserve">. Yannick </w:t>
      </w:r>
      <w:proofErr w:type="spellStart"/>
      <w:r>
        <w:t>Pagnerre</w:t>
      </w:r>
      <w:proofErr w:type="spellEnd"/>
      <w:r>
        <w:t xml:space="preserve"> reformule cette idée de manière plus explicite en indiquant que « si une clause de neutralité d’un règlement intérieur n’est instituée qu’en raison du port d’un signe religieux par un salarié ou encore la peur du port d’un tel signe, la qualification de discrimination directe paraît s’imposer »</w:t>
      </w:r>
      <w:r>
        <w:rPr>
          <w:rStyle w:val="Appelnotedebasdep"/>
        </w:rPr>
        <w:footnoteReference w:id="155"/>
      </w:r>
      <w:r w:rsidR="00A93193">
        <w:t>.</w:t>
      </w:r>
    </w:p>
    <w:p w14:paraId="5E71EE1C" w14:textId="29E530E6" w:rsidR="00DD7B72" w:rsidRDefault="00737288" w:rsidP="004F0465">
      <w:r>
        <w:t xml:space="preserve">Dans l’arrêt </w:t>
      </w:r>
      <w:r>
        <w:rPr>
          <w:i/>
          <w:iCs/>
        </w:rPr>
        <w:t>LF c. SCRL</w:t>
      </w:r>
      <w:r>
        <w:t>, la</w:t>
      </w:r>
      <w:r w:rsidR="00EB4AE0">
        <w:t xml:space="preserve"> CJUE semble </w:t>
      </w:r>
      <w:r>
        <w:t xml:space="preserve">du reste </w:t>
      </w:r>
      <w:r w:rsidR="00EB4AE0">
        <w:t>elle-mê</w:t>
      </w:r>
      <w:r>
        <w:t>m</w:t>
      </w:r>
      <w:r w:rsidR="00EB4AE0">
        <w:t>e envisag</w:t>
      </w:r>
      <w:r>
        <w:t xml:space="preserve">er cette éventualité, lorsqu’elle évoque </w:t>
      </w:r>
      <w:r w:rsidR="0099542D">
        <w:t>l’hypothèse d’un « </w:t>
      </w:r>
      <w:r w:rsidR="0099542D" w:rsidRPr="0099542D">
        <w:t>détournement de l’établissement</w:t>
      </w:r>
      <w:r w:rsidR="0099542D">
        <w:t xml:space="preserve"> </w:t>
      </w:r>
      <w:r w:rsidR="0099542D" w:rsidRPr="0099542D">
        <w:t>d’une politique de neutralité</w:t>
      </w:r>
      <w:r w:rsidR="0099542D">
        <w:t xml:space="preserve"> […] </w:t>
      </w:r>
      <w:r w:rsidR="0099542D" w:rsidRPr="0099542D">
        <w:t>au détriment de travailleurs observant des préceptes</w:t>
      </w:r>
      <w:r w:rsidR="0099542D">
        <w:t xml:space="preserve"> </w:t>
      </w:r>
      <w:r w:rsidR="0099542D" w:rsidRPr="0099542D">
        <w:t>religieux imposant de porter une certaine tenue vestimentaire</w:t>
      </w:r>
      <w:r w:rsidR="0099542D">
        <w:t> »</w:t>
      </w:r>
      <w:r w:rsidR="0099542D">
        <w:rPr>
          <w:rStyle w:val="Appelnotedebasdep"/>
        </w:rPr>
        <w:footnoteReference w:id="156"/>
      </w:r>
      <w:r w:rsidR="0099542D" w:rsidRPr="0099542D">
        <w:t>.</w:t>
      </w:r>
      <w:r w:rsidR="00890BB0">
        <w:t xml:space="preserve"> La Cour n'en déduit toutefois pas </w:t>
      </w:r>
      <w:r w:rsidR="004365A1">
        <w:t>explicitement l’existence d’une discrimination directe.</w:t>
      </w:r>
    </w:p>
    <w:p w14:paraId="2607CA4C" w14:textId="7EABE38E" w:rsidR="005B0F1B" w:rsidRDefault="005B0F1B" w:rsidP="00960BD9">
      <w:pPr>
        <w:pStyle w:val="Paragraphedeliste"/>
      </w:pPr>
      <w:r>
        <w:lastRenderedPageBreak/>
        <w:t xml:space="preserve">L’exclusion de la discrimination directe par la CJUE ne nous empêche pas de continuer à nous interroger sur le type de discrimination potentiellement induit par l’application d’une neutralité restrictive : la réponse de la CJUE s’attache à une hypothèse particulière – l’interdiction des signes </w:t>
      </w:r>
      <w:r w:rsidRPr="00A63F54">
        <w:t>visibles de convictions politiques, philosophiques ou religieuses</w:t>
      </w:r>
      <w:r>
        <w:t xml:space="preserve"> – dans un cadre juridique précis – la </w:t>
      </w:r>
      <w:r w:rsidR="00972B7E">
        <w:t>directive</w:t>
      </w:r>
      <w:r>
        <w:t xml:space="preserve"> 2000/78</w:t>
      </w:r>
      <w:r w:rsidR="00B0746E">
        <w:t>/CE</w:t>
      </w:r>
      <w:r>
        <w:t>. Cette allusion constante de la Cour à l’extension de la neutralité d’entreprise à d’autres convictions</w:t>
      </w:r>
      <w:r w:rsidR="006A1BA6">
        <w:rPr>
          <w:rStyle w:val="Appelnotedebasdep"/>
        </w:rPr>
        <w:footnoteReference w:id="157"/>
      </w:r>
      <w:r>
        <w:t xml:space="preserve"> n’est-elle pas l’indice qu’une neutralité limitée aux seules religions eût pu être qualifiée de discrimination directe ? La généralisation systématique de la réponse formulée par la CJUE à toute hypothèse de neutralité restrictive mérite en tout cas d’être relativisée.</w:t>
      </w:r>
    </w:p>
    <w:p w14:paraId="1F7E22FF" w14:textId="27DFBA87" w:rsidR="003E2654" w:rsidRPr="003E2654" w:rsidRDefault="006A1BA6" w:rsidP="003E2654">
      <w:r>
        <w:t xml:space="preserve">Par ailleurs, une question supplémentaire rejaillit dans cette confrontation entre neutralité et discrimination directe : le caractère </w:t>
      </w:r>
      <w:r w:rsidR="00541984">
        <w:t xml:space="preserve">écrit </w:t>
      </w:r>
      <w:r>
        <w:t xml:space="preserve">ou </w:t>
      </w:r>
      <w:r w:rsidR="00541984">
        <w:t xml:space="preserve">non écrit </w:t>
      </w:r>
      <w:r>
        <w:t>de la règle de neutralité peut-il influencer l’appréciation du type de discrimination qui s’y rattache ?</w:t>
      </w:r>
      <w:r w:rsidR="00F644F4">
        <w:t xml:space="preserve"> </w:t>
      </w:r>
      <w:r>
        <w:t xml:space="preserve">En l’occurrence, le caractère </w:t>
      </w:r>
      <w:r w:rsidR="00541984">
        <w:t xml:space="preserve">non écrit </w:t>
      </w:r>
      <w:r>
        <w:t xml:space="preserve">de la règle de neutralité au moment où survient un litige peut affaiblir la prétention de l’employeur à traiter l’ensemble des travailleurs de manière indifférenciée en matière d’expression religieuse. D’une part, le flou entourant plus fréquemment le contenu d’une règle non écrite peut remettre en question l’application prétendument indifférenciée de cette règle. Par ailleurs, l’existence même de la règle peut s’en trouver questionnée : l’invocation </w:t>
      </w:r>
      <w:r>
        <w:rPr>
          <w:i/>
          <w:iCs/>
        </w:rPr>
        <w:t>a posteriori</w:t>
      </w:r>
      <w:r>
        <w:t xml:space="preserve"> d’une règle </w:t>
      </w:r>
      <w:r w:rsidR="00541984">
        <w:t xml:space="preserve">non écrite </w:t>
      </w:r>
      <w:r>
        <w:t>de neutralité est parfois vue comme le moyen d’accoler un cadre réglementaire général et indifférencié à une situation de discrimination directe</w:t>
      </w:r>
      <w:r>
        <w:rPr>
          <w:rStyle w:val="Appelnotedebasdep"/>
        </w:rPr>
        <w:footnoteReference w:id="158"/>
      </w:r>
      <w:r w:rsidR="00A93193">
        <w:t>.</w:t>
      </w:r>
    </w:p>
    <w:p w14:paraId="19985591" w14:textId="474F4EA4" w:rsidR="003E2654" w:rsidRDefault="003E2654" w:rsidP="003E2654">
      <w:pPr>
        <w:pStyle w:val="Titre4"/>
      </w:pPr>
      <w:r>
        <w:t>Légitimité</w:t>
      </w:r>
    </w:p>
    <w:p w14:paraId="4F2CDA42" w14:textId="1DD22005" w:rsidR="00FD2825" w:rsidRDefault="00FD2825" w:rsidP="00960BD9">
      <w:pPr>
        <w:pStyle w:val="Paragraphedeliste"/>
      </w:pPr>
      <w:r>
        <w:t xml:space="preserve">Les </w:t>
      </w:r>
      <w:r w:rsidR="00555323">
        <w:t>lignes</w:t>
      </w:r>
      <w:r>
        <w:t xml:space="preserve"> qui suivent visent à dresser une première analyse de la légitimité d’une restriction à la liberté de religion ou à la non-discrimination induite par l’application d’une neutralité revendiquée par l’entreprise. Il ne s’agit donc pas ici d’épuiser les analyses spécifiques relatives à la légitimité de chaque catégorie de neutralité d’entreprise, mais bien d’anticiper les questions récurrentes en la matière.</w:t>
      </w:r>
    </w:p>
    <w:p w14:paraId="5F02934D" w14:textId="0BAEEA34" w:rsidR="008731DD" w:rsidRDefault="008731DD" w:rsidP="008731DD">
      <w:r>
        <w:t xml:space="preserve">À titre liminaire, rappelons que sur les seuls cas liés de près – les affaires </w:t>
      </w:r>
      <w:proofErr w:type="spellStart"/>
      <w:r w:rsidRPr="004E43F8">
        <w:rPr>
          <w:i/>
          <w:iCs/>
        </w:rPr>
        <w:t>Achbita</w:t>
      </w:r>
      <w:proofErr w:type="spellEnd"/>
      <w:r w:rsidRPr="004E43F8">
        <w:rPr>
          <w:rStyle w:val="Appelnotedebasdep"/>
        </w:rPr>
        <w:footnoteReference w:id="159"/>
      </w:r>
      <w:r w:rsidR="00F80074">
        <w:t>,</w:t>
      </w:r>
      <w:r>
        <w:rPr>
          <w:i/>
          <w:iCs/>
        </w:rPr>
        <w:t xml:space="preserve"> </w:t>
      </w:r>
      <w:r w:rsidRPr="00E74ED6">
        <w:rPr>
          <w:i/>
          <w:iCs/>
        </w:rPr>
        <w:t>WABE-Müller</w:t>
      </w:r>
      <w:r w:rsidRPr="00A93193">
        <w:rPr>
          <w:rStyle w:val="Appelnotedebasdep"/>
        </w:rPr>
        <w:footnoteReference w:id="160"/>
      </w:r>
      <w:r w:rsidR="00F80074">
        <w:rPr>
          <w:i/>
          <w:iCs/>
        </w:rPr>
        <w:t xml:space="preserve"> </w:t>
      </w:r>
      <w:r w:rsidR="00F80074">
        <w:t xml:space="preserve">et </w:t>
      </w:r>
      <w:r w:rsidR="00F80074">
        <w:rPr>
          <w:i/>
          <w:iCs/>
        </w:rPr>
        <w:t>LF c. SCRL</w:t>
      </w:r>
      <w:r w:rsidR="0041371C" w:rsidRPr="008D517D">
        <w:rPr>
          <w:rStyle w:val="Appelnotedebasdep"/>
        </w:rPr>
        <w:footnoteReference w:id="161"/>
      </w:r>
      <w:r w:rsidRPr="004E43F8">
        <w:t xml:space="preserve"> – ou de loin – l’affaire </w:t>
      </w:r>
      <w:proofErr w:type="spellStart"/>
      <w:r>
        <w:rPr>
          <w:i/>
          <w:iCs/>
        </w:rPr>
        <w:t>Eweida</w:t>
      </w:r>
      <w:proofErr w:type="spellEnd"/>
      <w:r>
        <w:rPr>
          <w:i/>
          <w:iCs/>
        </w:rPr>
        <w:t xml:space="preserve"> e.a.</w:t>
      </w:r>
      <w:r w:rsidRPr="004E43F8">
        <w:rPr>
          <w:rStyle w:val="Appelnotedebasdep"/>
        </w:rPr>
        <w:footnoteReference w:id="162"/>
      </w:r>
      <w:r w:rsidRPr="004E43F8">
        <w:t>,</w:t>
      </w:r>
      <w:r>
        <w:t xml:space="preserve"> – à l’application d’une règle de neutralité restrictive en entreprise, la CJUE et la CourEDH ont l’une et l’autre conclu à la légitimité de l’objectif de </w:t>
      </w:r>
      <w:r w:rsidRPr="004E43F8">
        <w:t>neutralité. De même, la quasi-totalité des instances judiciaires belges et françaises amenées à se pencher sur la légitimité de cette neutralité invoquée dans le cadre de l’entreprise privée y apportent une réponse positive</w:t>
      </w:r>
      <w:r w:rsidRPr="004E43F8">
        <w:rPr>
          <w:rStyle w:val="Appelnotedebasdep"/>
        </w:rPr>
        <w:footnoteReference w:id="163"/>
      </w:r>
      <w:r w:rsidRPr="004E43F8">
        <w:t xml:space="preserve">. Soulignons enfin l’insertion, dans le Code du travail français, de l’article </w:t>
      </w:r>
      <w:r w:rsidRPr="004E43F8">
        <w:lastRenderedPageBreak/>
        <w:t>L1321</w:t>
      </w:r>
      <w:r w:rsidRPr="004E43F8">
        <w:noBreakHyphen/>
        <w:t>2-1</w:t>
      </w:r>
      <w:r>
        <w:fldChar w:fldCharType="begin"/>
      </w:r>
      <w:r>
        <w:instrText xml:space="preserve"> XE "</w:instrText>
      </w:r>
      <w:r w:rsidRPr="00821CE3">
        <w:rPr>
          <w:rFonts w:eastAsia="Times New Roman" w:cs="Calibri"/>
          <w:color w:val="000000"/>
          <w:lang w:eastAsia="fr-BE"/>
        </w:rPr>
        <w:instrText>Article L1321-2-1 du Code du travail français</w:instrText>
      </w:r>
      <w:r>
        <w:rPr>
          <w:rFonts w:eastAsia="Times New Roman" w:cs="Calibri"/>
          <w:color w:val="000000"/>
          <w:lang w:eastAsia="fr-BE"/>
        </w:rPr>
        <w:instrText>"</w:instrText>
      </w:r>
      <w:r>
        <w:instrText xml:space="preserve"> </w:instrText>
      </w:r>
      <w:r>
        <w:fldChar w:fldCharType="end"/>
      </w:r>
      <w:r w:rsidRPr="004E43F8">
        <w:t xml:space="preserve"> faisant explicitement référence à la neutralité en tant que possible motif de restriction des convictions sur le lieu de travail</w:t>
      </w:r>
      <w:r w:rsidR="00A93193">
        <w:rPr>
          <w:rStyle w:val="Appelnotedebasdep"/>
        </w:rPr>
        <w:footnoteReference w:id="164"/>
      </w:r>
      <w:r>
        <w:t>.</w:t>
      </w:r>
    </w:p>
    <w:p w14:paraId="6ADDF2F3" w14:textId="21231C10" w:rsidR="00FD2825" w:rsidRDefault="00FD2825" w:rsidP="00960BD9">
      <w:pPr>
        <w:pStyle w:val="Paragraphedeliste"/>
      </w:pPr>
      <w:r w:rsidRPr="00BA095E">
        <w:t xml:space="preserve">Les </w:t>
      </w:r>
      <w:r>
        <w:t xml:space="preserve">parties </w:t>
      </w:r>
      <w:r w:rsidRPr="00BA095E">
        <w:t>suivant</w:t>
      </w:r>
      <w:r>
        <w:t>e</w:t>
      </w:r>
      <w:r w:rsidRPr="00BA095E">
        <w:t>s, consacré</w:t>
      </w:r>
      <w:r>
        <w:t>e</w:t>
      </w:r>
      <w:r w:rsidRPr="00BA095E">
        <w:t xml:space="preserve">s à la catégorisation des types de neutralité d’entreprise, </w:t>
      </w:r>
      <w:r>
        <w:t>mettront</w:t>
      </w:r>
      <w:r w:rsidRPr="00BA095E">
        <w:t xml:space="preserve"> en exergue le fait que la neutralité</w:t>
      </w:r>
      <w:r>
        <w:t>, loin d’être</w:t>
      </w:r>
      <w:r w:rsidRPr="00BA095E">
        <w:t xml:space="preserve"> le véritable objectif poursuivi par l’employeur</w:t>
      </w:r>
      <w:r>
        <w:t xml:space="preserve"> qui institue une règle de neutralité</w:t>
      </w:r>
      <w:r w:rsidRPr="00BA095E">
        <w:t xml:space="preserve">, </w:t>
      </w:r>
      <w:r>
        <w:t xml:space="preserve">est parfois invoquée par ce dernier aux fins de la </w:t>
      </w:r>
      <w:r w:rsidRPr="00BA095E">
        <w:t>réalisation d’un autre but plus essentiel à ses yeux.</w:t>
      </w:r>
    </w:p>
    <w:p w14:paraId="23A4C578" w14:textId="7EFEBAB2" w:rsidR="00FD2825" w:rsidRDefault="00FD2825" w:rsidP="00B675D1">
      <w:r>
        <w:t xml:space="preserve">L’anticipation de ce constat </w:t>
      </w:r>
      <w:r w:rsidRPr="00BA095E">
        <w:t>nous permet dès lors de soulever une</w:t>
      </w:r>
      <w:r>
        <w:t xml:space="preserve"> première</w:t>
      </w:r>
      <w:r w:rsidRPr="00BA095E">
        <w:t xml:space="preserve"> interrogation importante</w:t>
      </w:r>
      <w:r w:rsidR="008731DD">
        <w:t> </w:t>
      </w:r>
      <w:r w:rsidRPr="00BA095E">
        <w:t xml:space="preserve">: </w:t>
      </w:r>
      <w:r>
        <w:t>le test de légitimité de la restriction porte-t-il sur cette neutralité « de façade » ou à l’inverse, sur l’objectif ultimement poursuivi par l’employeur ? Le choix entre ces deux branches de l’alternative</w:t>
      </w:r>
      <w:r w:rsidRPr="00BA095E">
        <w:t xml:space="preserve"> </w:t>
      </w:r>
      <w:r>
        <w:t>n’est évidemment pas sans influence su</w:t>
      </w:r>
      <w:r w:rsidRPr="00BA095E">
        <w:t xml:space="preserve">r la réponse apportée à </w:t>
      </w:r>
      <w:r>
        <w:t>l’</w:t>
      </w:r>
      <w:r w:rsidRPr="00BA095E">
        <w:t>examen de légitimité</w:t>
      </w:r>
      <w:r w:rsidRPr="00BA095E">
        <w:rPr>
          <w:rStyle w:val="Appelnotedebasdep"/>
        </w:rPr>
        <w:footnoteReference w:id="165"/>
      </w:r>
      <w:r w:rsidR="00340192">
        <w:t>.</w:t>
      </w:r>
      <w:r>
        <w:t xml:space="preserve"> Les travaux préparatoires de la loi belge anti-discrimination de 2007</w:t>
      </w:r>
      <w:r w:rsidR="00F62F95">
        <w:t xml:space="preserve"> </w:t>
      </w:r>
      <w:r w:rsidR="00962635">
        <w:t>optent clairement pour la seconde option</w:t>
      </w:r>
      <w:r>
        <w:t>, à tout le moins sur le plan de la discrimination indirecte</w:t>
      </w:r>
      <w:r w:rsidRPr="006303BD">
        <w:rPr>
          <w:rStyle w:val="Appelnotedebasdep"/>
        </w:rPr>
        <w:footnoteReference w:id="166"/>
      </w:r>
      <w:r w:rsidR="00340192">
        <w:t>.</w:t>
      </w:r>
    </w:p>
    <w:p w14:paraId="03384133" w14:textId="505B8131" w:rsidR="00FD2825" w:rsidRDefault="00B479F0" w:rsidP="00FD2825">
      <w:r>
        <w:t>Plus fondamentalement</w:t>
      </w:r>
      <w:r w:rsidR="00FD2825">
        <w:t>, la neutralité peut-elle véritablement être considérée comme l’objectif de la restriction apportée aux droits fondamentaux du travail, alors même qu’elle constitue précisément la source de cette restriction ? Un tel postulat consisterait alors, aux yeux de Cyril Wolmark, à ce que « la boucle se referme » : à savoir que « le traitement différencié induit par l’obligation de neutralité [soit] justifié par le souhait de l’employeur de déclarer son entreprise neutre »</w:t>
      </w:r>
      <w:r w:rsidR="00FD2825">
        <w:rPr>
          <w:rStyle w:val="Appelnotedebasdep"/>
        </w:rPr>
        <w:footnoteReference w:id="167"/>
      </w:r>
      <w:r w:rsidR="00FD2825">
        <w:t>.</w:t>
      </w:r>
    </w:p>
    <w:p w14:paraId="78823051" w14:textId="669D61B3" w:rsidR="007D5438" w:rsidRPr="008D517D" w:rsidRDefault="00FD2825" w:rsidP="007D5438">
      <w:pPr>
        <w:pStyle w:val="Paragraphedeliste"/>
      </w:pPr>
      <w:r>
        <w:t xml:space="preserve">Dans l’arrêt </w:t>
      </w:r>
      <w:proofErr w:type="spellStart"/>
      <w:r w:rsidRPr="00CA0147">
        <w:rPr>
          <w:i/>
          <w:iCs/>
        </w:rPr>
        <w:t>Achbita</w:t>
      </w:r>
      <w:proofErr w:type="spellEnd"/>
      <w:r>
        <w:t xml:space="preserve">, la CJUE se contente </w:t>
      </w:r>
      <w:r w:rsidR="00812F65">
        <w:t>certes</w:t>
      </w:r>
      <w:r>
        <w:t xml:space="preserve"> d’indiquer que « la volonté d’afficher, dans les relations avec les clients</w:t>
      </w:r>
      <w:r>
        <w:fldChar w:fldCharType="begin"/>
      </w:r>
      <w:r>
        <w:instrText xml:space="preserve"> XE "</w:instrText>
      </w:r>
      <w:r w:rsidRPr="00CA0147">
        <w:rPr>
          <w:rFonts w:eastAsia="Times New Roman" w:cs="Calibri"/>
          <w:color w:val="000000"/>
          <w:lang w:eastAsia="fr-BE"/>
        </w:rPr>
        <w:instrText>Clientèle"</w:instrText>
      </w:r>
      <w:r>
        <w:instrText xml:space="preserve"> </w:instrText>
      </w:r>
      <w:r>
        <w:fldChar w:fldCharType="end"/>
      </w:r>
      <w:r>
        <w:t xml:space="preserve"> tant publics que privés, une politique de neutralité politique, philosophique ou religieuse doit être considérée comme légitime »</w:t>
      </w:r>
      <w:r>
        <w:rPr>
          <w:rStyle w:val="Appelnotedebasdep"/>
        </w:rPr>
        <w:footnoteReference w:id="168"/>
      </w:r>
      <w:r>
        <w:t> : l’objectif de neutralité est ainsi mêlé à celui de l’image de marque</w:t>
      </w:r>
      <w:r>
        <w:fldChar w:fldCharType="begin"/>
      </w:r>
      <w:r>
        <w:instrText xml:space="preserve"> XE "</w:instrText>
      </w:r>
      <w:r w:rsidRPr="00CA0147">
        <w:rPr>
          <w:rFonts w:eastAsia="Times New Roman" w:cs="Calibri"/>
          <w:color w:val="000000"/>
          <w:lang w:eastAsia="fr-BE"/>
        </w:rPr>
        <w:instrText>Image de marque"</w:instrText>
      </w:r>
      <w:r>
        <w:instrText xml:space="preserve"> </w:instrText>
      </w:r>
      <w:r>
        <w:fldChar w:fldCharType="end"/>
      </w:r>
      <w:r>
        <w:t xml:space="preserve"> de </w:t>
      </w:r>
      <w:r w:rsidRPr="00CA0147">
        <w:rPr>
          <w:i/>
          <w:iCs/>
        </w:rPr>
        <w:t>G4S</w:t>
      </w:r>
      <w:r w:rsidRPr="00E74ED6">
        <w:rPr>
          <w:rStyle w:val="Appelnotedebasdep"/>
          <w:iCs/>
        </w:rPr>
        <w:footnoteReference w:id="169"/>
      </w:r>
      <w:r w:rsidR="00340192" w:rsidRPr="00CA0147">
        <w:rPr>
          <w:i/>
          <w:iCs/>
        </w:rPr>
        <w:t>.</w:t>
      </w:r>
    </w:p>
    <w:p w14:paraId="7FE7D2DD" w14:textId="0CF1853E" w:rsidR="00FD2825" w:rsidRDefault="007D5438" w:rsidP="007D5438">
      <w:r>
        <w:t>La jurisprudence ultérieure de la CJUE</w:t>
      </w:r>
      <w:r w:rsidR="004105F6">
        <w:t xml:space="preserve"> </w:t>
      </w:r>
      <w:r>
        <w:t>nuance</w:t>
      </w:r>
      <w:r w:rsidR="001932BD">
        <w:t xml:space="preserve"> toutefois cette</w:t>
      </w:r>
      <w:r w:rsidR="00CA0147">
        <w:t xml:space="preserve"> « présomption de légitimité »</w:t>
      </w:r>
      <w:r w:rsidR="00CA0147">
        <w:rPr>
          <w:rStyle w:val="Appelnotedebasdep"/>
        </w:rPr>
        <w:footnoteReference w:id="170"/>
      </w:r>
      <w:r w:rsidR="00CA0147">
        <w:t xml:space="preserve"> </w:t>
      </w:r>
      <w:r>
        <w:t>reconnue à</w:t>
      </w:r>
      <w:r w:rsidR="00CA0147">
        <w:t xml:space="preserve"> la neutralité</w:t>
      </w:r>
      <w:r w:rsidR="00C2677C">
        <w:t xml:space="preserve"> restrictive</w:t>
      </w:r>
      <w:r w:rsidR="0026112D">
        <w:rPr>
          <w:rStyle w:val="Appelnotedebasdep"/>
        </w:rPr>
        <w:footnoteReference w:id="171"/>
      </w:r>
      <w:r w:rsidR="00DF2586">
        <w:t>.</w:t>
      </w:r>
      <w:r w:rsidR="00CA0147">
        <w:t xml:space="preserve"> </w:t>
      </w:r>
      <w:r>
        <w:t>D</w:t>
      </w:r>
      <w:r w:rsidR="00DF2586">
        <w:t>ans</w:t>
      </w:r>
      <w:r w:rsidR="00CA0147">
        <w:t xml:space="preserve"> </w:t>
      </w:r>
      <w:r w:rsidR="004105F6">
        <w:t>l’arrêt</w:t>
      </w:r>
      <w:r w:rsidR="00B675D1" w:rsidRPr="00B675D1">
        <w:t xml:space="preserve"> </w:t>
      </w:r>
      <w:r w:rsidR="00B675D1" w:rsidRPr="008D517D">
        <w:rPr>
          <w:i/>
          <w:iCs/>
        </w:rPr>
        <w:t>WABE-Müller</w:t>
      </w:r>
      <w:r w:rsidR="004105F6" w:rsidRPr="00CA0147">
        <w:t xml:space="preserve">, la </w:t>
      </w:r>
      <w:proofErr w:type="gramStart"/>
      <w:r w:rsidR="00DF2586">
        <w:t xml:space="preserve">Cour </w:t>
      </w:r>
      <w:r w:rsidR="004105F6" w:rsidRPr="00CA0147">
        <w:t xml:space="preserve"> </w:t>
      </w:r>
      <w:r w:rsidR="001932BD">
        <w:t>précise</w:t>
      </w:r>
      <w:proofErr w:type="gramEnd"/>
      <w:r w:rsidR="001932BD">
        <w:t xml:space="preserve"> que </w:t>
      </w:r>
      <w:r w:rsidR="00F62F95">
        <w:t xml:space="preserve">« la simple </w:t>
      </w:r>
      <w:r w:rsidR="00F62F95">
        <w:lastRenderedPageBreak/>
        <w:t xml:space="preserve">volonté d’un employeur de mener une politique de neutralité » constitue </w:t>
      </w:r>
      <w:r>
        <w:t xml:space="preserve">certes </w:t>
      </w:r>
      <w:r w:rsidR="00F62F95">
        <w:t>« en soi, un objectif légitime »</w:t>
      </w:r>
      <w:r w:rsidR="00F62F95">
        <w:rPr>
          <w:rStyle w:val="Appelnotedebasdep"/>
        </w:rPr>
        <w:footnoteReference w:id="172"/>
      </w:r>
      <w:r>
        <w:t xml:space="preserve"> mais</w:t>
      </w:r>
      <w:r w:rsidR="00F62F95">
        <w:t xml:space="preserve"> « ne suffit pas, comme telle, à justifier de manière objective une différence de traitement indirectement fondée sur la religion ou les convictions, le caractère objectif d’une telle justification ne pouvant être identifié qu’en présence d’un besoin véritable de cet employeur, qu’il lui incombe de démontrer »</w:t>
      </w:r>
      <w:r w:rsidR="00F62F95">
        <w:rPr>
          <w:rStyle w:val="Appelnotedebasdep"/>
        </w:rPr>
        <w:footnoteReference w:id="173"/>
      </w:r>
      <w:r w:rsidR="00F62F95">
        <w:t>.</w:t>
      </w:r>
      <w:r w:rsidR="00AE4191">
        <w:t xml:space="preserve"> L’accent mis sur </w:t>
      </w:r>
      <w:r w:rsidR="00472670">
        <w:t xml:space="preserve">l’existence </w:t>
      </w:r>
      <w:r w:rsidR="00AE4191">
        <w:t xml:space="preserve">d’un « besoin véritable » rejoint en ce sens </w:t>
      </w:r>
      <w:r w:rsidR="00472670">
        <w:t>la nécessité d’identifier l’objectif sous-jacent à l’invocation de la neutralité.</w:t>
      </w:r>
    </w:p>
    <w:p w14:paraId="7B916171" w14:textId="77777777" w:rsidR="00FD2825" w:rsidRPr="00552D14" w:rsidRDefault="00FD2825" w:rsidP="00960BD9">
      <w:pPr>
        <w:pStyle w:val="Paragraphedeliste"/>
      </w:pPr>
      <w:r>
        <w:t>Par ailleurs</w:t>
      </w:r>
      <w:r w:rsidRPr="00552D14">
        <w:t xml:space="preserve">, </w:t>
      </w:r>
      <w:r>
        <w:t xml:space="preserve">d’un point de vue plus conceptuel, </w:t>
      </w:r>
      <w:r w:rsidRPr="00552D14">
        <w:t>il est possible de distinguer une corrélation entre l’étendue du contrôle juridictionnel de la restriction au stade de la légitimité et l’étendue de ce même contrôle au stade de la proportionnalité. La proportionnalité constituant l’ultime critère d’admissibilité d’une restriction aux droits fondamentaux, son contrôle présente un caractère souvent décisif. De ce fait, la concision avec laquelle est parfois développé le raisonnement sur la légitimité tranche avec un contrôle de proportionnalité généralement bien plus étendu. L’intensité du contrôle de proportionnalité serait en ce sens inversement proportionnelle à celle du contrôle de légitimité.</w:t>
      </w:r>
    </w:p>
    <w:p w14:paraId="03EDA703" w14:textId="7EA7429D" w:rsidR="00FD2825" w:rsidRDefault="00FD2825" w:rsidP="003E2654">
      <w:r w:rsidRPr="00552D14">
        <w:t xml:space="preserve">Du reste, si elle peut sembler évidente d’un point de vue conceptuel, la frontière entre le contrôle de légitimité et le contrôle de proportionnalité n’est pas si </w:t>
      </w:r>
      <w:r>
        <w:t>étanche</w:t>
      </w:r>
      <w:r w:rsidRPr="00552D14">
        <w:t xml:space="preserve"> en pratique</w:t>
      </w:r>
      <w:r w:rsidR="00472670">
        <w:rPr>
          <w:rStyle w:val="Appelnotedebasdep"/>
        </w:rPr>
        <w:footnoteReference w:id="174"/>
      </w:r>
      <w:r w:rsidRPr="00552D14">
        <w:t>.</w:t>
      </w:r>
    </w:p>
    <w:p w14:paraId="01D5272F" w14:textId="103DBE38" w:rsidR="00F62F95" w:rsidRPr="0021552C" w:rsidRDefault="008731DD" w:rsidP="00960BD9">
      <w:pPr>
        <w:pStyle w:val="Paragraphedeliste"/>
      </w:pPr>
      <w:r w:rsidRPr="0021552C">
        <w:t>Une ultime considération mérite d’être développée dans cet examen préalable de la légitimité de la neutralité d’entreprise. Tant du point de vue du cadre juridique de l’UE que de celui de la CEDH, se pose la question de l’existence d’une marge d’appréciation en cascade, d’abord de la CJUE et de la CourEDH vers l’État, ensuite de l’État vers l’entreprise. Celle-ci tirerait sa justification de l’effet horizontal des droits fondamentaux combiné au principe de subsidiarité tel que reconnu par l’UE et la CEDH. Une telle marge d’appréciation renforcée s’accompagnerait alors d’une appréciation prioritairement procédurale de l’exigence de proportionnalité : la seule affirmation d'une neutralité librement choisie ne permettant pas à elle seule de justifier la restriction, il s’agirait, pour l’employeur, de fournir une preuve suffisante de sa démarche de justification quant au caractère proportionné de la restriction, eu égard au contexte de travail en question.</w:t>
      </w:r>
    </w:p>
    <w:p w14:paraId="1DC6691F" w14:textId="7682F0B8" w:rsidR="003E2654" w:rsidRDefault="003E2654" w:rsidP="003E2654">
      <w:pPr>
        <w:pStyle w:val="Titre4"/>
      </w:pPr>
      <w:r>
        <w:t>Proportionnalité</w:t>
      </w:r>
    </w:p>
    <w:p w14:paraId="3AF4C349" w14:textId="7678871C" w:rsidR="003E2654" w:rsidRDefault="009066AA" w:rsidP="008D517D">
      <w:pPr>
        <w:pStyle w:val="Paragraphedeliste"/>
      </w:pPr>
      <w:r>
        <w:t>La troisième et dernière étape de notre examen liminaire des conditions de licéité de la neutralité restrictive porte sur la condition de proportionnalité.</w:t>
      </w:r>
      <w:r w:rsidR="00490FB7">
        <w:t xml:space="preserve"> </w:t>
      </w:r>
      <w:r>
        <w:t>Nous verrons que le caractère éminemment casuistique de l’interprétation de la proportionnalité par la CourEDH et la CJUE entre potentiellement en contradiction avec la visée générale et indifférenciée de la règle de neutralité.</w:t>
      </w:r>
      <w:r w:rsidR="00FE117D">
        <w:t xml:space="preserve"> N</w:t>
      </w:r>
      <w:r>
        <w:t xml:space="preserve">ous nous pencherons </w:t>
      </w:r>
      <w:r w:rsidR="00FE117D">
        <w:t xml:space="preserve">par ailleurs </w:t>
      </w:r>
      <w:r>
        <w:t>sur l’idée d’une horizontalisation</w:t>
      </w:r>
      <w:r>
        <w:fldChar w:fldCharType="begin"/>
      </w:r>
      <w:r>
        <w:instrText xml:space="preserve"> XE "</w:instrText>
      </w:r>
      <w:r w:rsidRPr="00490FB7">
        <w:rPr>
          <w:rFonts w:eastAsia="Times New Roman" w:cs="Calibri"/>
          <w:color w:val="000000"/>
          <w:lang w:eastAsia="fr-BE"/>
        </w:rPr>
        <w:instrText>Horizontalisation"</w:instrText>
      </w:r>
      <w:r>
        <w:instrText xml:space="preserve"> </w:instrText>
      </w:r>
      <w:r>
        <w:fldChar w:fldCharType="end"/>
      </w:r>
      <w:r>
        <w:t xml:space="preserve"> du contrôle de proportionnalité.</w:t>
      </w:r>
    </w:p>
    <w:p w14:paraId="5FD5E83F" w14:textId="77777777" w:rsidR="009066AA" w:rsidRPr="009C0F43" w:rsidRDefault="009066AA" w:rsidP="009066AA">
      <w:pPr>
        <w:pStyle w:val="Titre5"/>
      </w:pPr>
      <w:bookmarkStart w:id="25" w:name="_Toc91763252"/>
      <w:r w:rsidRPr="009C0F43">
        <w:lastRenderedPageBreak/>
        <w:t>Proportionnalité casuistique et neutralité indifférenciée</w:t>
      </w:r>
      <w:bookmarkEnd w:id="25"/>
    </w:p>
    <w:p w14:paraId="2C3BA888" w14:textId="7CA24565" w:rsidR="009066AA" w:rsidRDefault="009066AA" w:rsidP="00960BD9">
      <w:pPr>
        <w:pStyle w:val="Paragraphedeliste"/>
      </w:pPr>
      <w:r>
        <w:t xml:space="preserve">La confrontation du principe de proportionnalité à l’invocation de la neutralité restrictive en entreprise fait naître une discussion particulière du point de vue de son interprétation conceptuelle. Comme le résume Grégoire </w:t>
      </w:r>
      <w:proofErr w:type="spellStart"/>
      <w:r>
        <w:t>Duchange</w:t>
      </w:r>
      <w:proofErr w:type="spellEnd"/>
      <w:r>
        <w:t>, « le propre du principe de neutralité est en effet de ne pas tenir compte des circonstances »</w:t>
      </w:r>
      <w:r>
        <w:rPr>
          <w:rStyle w:val="Appelnotedebasdep"/>
        </w:rPr>
        <w:footnoteReference w:id="175"/>
      </w:r>
      <w:r w:rsidR="00340192">
        <w:t>.</w:t>
      </w:r>
    </w:p>
    <w:p w14:paraId="07BD359D" w14:textId="6B246284" w:rsidR="009066AA" w:rsidRDefault="005838BF" w:rsidP="009066AA">
      <w:r>
        <w:t xml:space="preserve">Sur le plan de la proportionnalité, le </w:t>
      </w:r>
      <w:r w:rsidR="009066AA">
        <w:t>caractère généralement et indistinctement applicable de la règle de neutralité peut être envisagé de deux façons. D’une part, cette application indifférenciée peut constituer la marque d’une adéquation et d’une nécessité pour atteindre l’objectif d’une neutralité par essence généralisée. À l’inverse, l’absence de mise en œuvre spécifique et différenciée pour chaque situation d’espèce pourrait être considérée comme le signe d’une application disproportionnée de la règle de neutralité.</w:t>
      </w:r>
    </w:p>
    <w:p w14:paraId="2505943D" w14:textId="43FAD374" w:rsidR="009066AA" w:rsidRDefault="009066AA" w:rsidP="009066AA">
      <w:r>
        <w:t>Dans une première perspective, l’</w:t>
      </w:r>
      <w:r w:rsidRPr="00F37AF7">
        <w:t>application</w:t>
      </w:r>
      <w:r>
        <w:t xml:space="preserve"> indifférenciée de la neutralité serait donc vue comme</w:t>
      </w:r>
      <w:r w:rsidRPr="00F37AF7">
        <w:t xml:space="preserve"> cohérente et non arbitraire, tendant ainsi à prouver </w:t>
      </w:r>
      <w:r>
        <w:t>que les deux premières dimensions du principe de proportionnalité, relatives à l’adéquation et à la nécessité de la restriction, seraient rencontrées. L’application indifférenciée serait non seulement appropriée, mais également nécessaire pour atteindre cet objectif de traitement indifférencié</w:t>
      </w:r>
      <w:r>
        <w:rPr>
          <w:rStyle w:val="Appelnotedebasdep"/>
        </w:rPr>
        <w:footnoteReference w:id="176"/>
      </w:r>
      <w:r w:rsidR="00340192">
        <w:t>.</w:t>
      </w:r>
    </w:p>
    <w:p w14:paraId="4DC1D7A0" w14:textId="2CFCE1F7" w:rsidR="00FE117D" w:rsidRDefault="009066AA" w:rsidP="00FE117D">
      <w:r>
        <w:t xml:space="preserve">À l’inverse, </w:t>
      </w:r>
      <w:r w:rsidR="006624DA">
        <w:t>la dimension</w:t>
      </w:r>
      <w:r>
        <w:t xml:space="preserve"> particulièrement casuistique du contrôle de proportionnalité peut en effet entrer en tension avec une neutralité dont </w:t>
      </w:r>
      <w:r w:rsidR="00E830AE">
        <w:t>l’application</w:t>
      </w:r>
      <w:r>
        <w:t xml:space="preserve"> est précisément </w:t>
      </w:r>
      <w:r w:rsidR="006624DA">
        <w:t xml:space="preserve">marquée </w:t>
      </w:r>
      <w:r>
        <w:t xml:space="preserve">par </w:t>
      </w:r>
      <w:r w:rsidRPr="00CF0FA9">
        <w:t>l’absence de mise en œuvre spécifique et différenciée pour chaque situation d’espèce</w:t>
      </w:r>
      <w:r>
        <w:t xml:space="preserve">. </w:t>
      </w:r>
      <w:r w:rsidRPr="008B4F1B">
        <w:t xml:space="preserve">Le caractère disproportionné de la règle de neutralité trouverait ainsi son origine dans l’absence de prise en compte spécifique de la situation particulière d’un travailleur ou d’une expression religieuse minoritaire ou à tout le moins originale. Cette tension se marque plus particulièrement dans le contexte du droit à l’égalité et à la non-discrimination, faisant écho au </w:t>
      </w:r>
      <w:r w:rsidRPr="008B4F1B">
        <w:rPr>
          <w:i/>
        </w:rPr>
        <w:t>distinguo</w:t>
      </w:r>
      <w:r w:rsidRPr="008B4F1B">
        <w:t xml:space="preserve"> entre discrimination directe et indirecte.</w:t>
      </w:r>
    </w:p>
    <w:p w14:paraId="2EF77EA4" w14:textId="7026F7E8" w:rsidR="009066AA" w:rsidRDefault="009066AA" w:rsidP="00960BD9">
      <w:pPr>
        <w:pStyle w:val="Paragraphedeliste"/>
      </w:pPr>
      <w:r>
        <w:t>Est-il davantage justifiable, lorsqu’on se réfère à un principe de neutralité, de ne pas établir de distinction dans son application et, partant, d’en refuser potentiellement toute adaptation et interprétation au cas par cas, ou est-il au contraire « préférable » de laisser la porte ouverte à une application casuistique tenant compte des cas particuliers, au risque éventuel de rompre l’objectif d’indifférenciation et de créer des situations de traitement inéquitable ?</w:t>
      </w:r>
      <w:r>
        <w:rPr>
          <w:rStyle w:val="Appelnotedebasdep"/>
        </w:rPr>
        <w:footnoteReference w:id="177"/>
      </w:r>
      <w:r>
        <w:t xml:space="preserve"> </w:t>
      </w:r>
      <w:r w:rsidRPr="00B601A0">
        <w:t>La question se pose en particulier à propos de la distinction établie par certains employeurs entre les fonctions impliquant un contact visuel</w:t>
      </w:r>
      <w:r w:rsidRPr="00B601A0">
        <w:fldChar w:fldCharType="begin"/>
      </w:r>
      <w:r w:rsidRPr="00B601A0">
        <w:instrText xml:space="preserve"> XE "</w:instrText>
      </w:r>
      <w:r w:rsidRPr="00B601A0">
        <w:rPr>
          <w:rFonts w:eastAsia="Times New Roman" w:cs="Calibri"/>
          <w:color w:val="000000"/>
          <w:lang w:eastAsia="fr-BE"/>
        </w:rPr>
        <w:instrText>Visibilité:Contact visuel"</w:instrText>
      </w:r>
      <w:r w:rsidRPr="00B601A0">
        <w:instrText xml:space="preserve"> </w:instrText>
      </w:r>
      <w:r w:rsidRPr="00B601A0">
        <w:fldChar w:fldCharType="end"/>
      </w:r>
      <w:r w:rsidRPr="00B601A0">
        <w:t xml:space="preserve"> avec la clientèle</w:t>
      </w:r>
      <w:r w:rsidRPr="00B601A0">
        <w:fldChar w:fldCharType="begin"/>
      </w:r>
      <w:r w:rsidRPr="00B601A0">
        <w:instrText xml:space="preserve"> XE "</w:instrText>
      </w:r>
      <w:r w:rsidRPr="00B601A0">
        <w:rPr>
          <w:rFonts w:eastAsia="Times New Roman" w:cs="Calibri"/>
          <w:color w:val="000000"/>
          <w:lang w:eastAsia="fr-BE"/>
        </w:rPr>
        <w:instrText>Clientèle"</w:instrText>
      </w:r>
      <w:r w:rsidRPr="00B601A0">
        <w:instrText xml:space="preserve"> </w:instrText>
      </w:r>
      <w:r w:rsidRPr="00B601A0">
        <w:fldChar w:fldCharType="end"/>
      </w:r>
      <w:r w:rsidRPr="00B601A0">
        <w:t xml:space="preserve"> et celles pour lesquelles le travailleur n’entretient pas ce genre de contacts, à laquelle l’arrêt </w:t>
      </w:r>
      <w:proofErr w:type="spellStart"/>
      <w:r w:rsidRPr="00B601A0">
        <w:rPr>
          <w:i/>
        </w:rPr>
        <w:t>Achbita</w:t>
      </w:r>
      <w:proofErr w:type="spellEnd"/>
      <w:r w:rsidRPr="00B601A0">
        <w:t xml:space="preserve"> fournit un écho singulier. L’approche de la CourEDH quant à la nécessité d’une justification au cas par cas peut à cet égard être considérée comme plus exigeante, comme en atteste l’arrêt </w:t>
      </w:r>
      <w:proofErr w:type="spellStart"/>
      <w:r w:rsidRPr="00B601A0">
        <w:rPr>
          <w:i/>
        </w:rPr>
        <w:t>Eweida</w:t>
      </w:r>
      <w:proofErr w:type="spellEnd"/>
      <w:r w:rsidRPr="00B601A0">
        <w:rPr>
          <w:i/>
        </w:rPr>
        <w:t xml:space="preserve"> e.a.</w:t>
      </w:r>
      <w:r w:rsidRPr="00B601A0">
        <w:rPr>
          <w:rStyle w:val="Appelnotedebasdep"/>
        </w:rPr>
        <w:footnoteReference w:id="178"/>
      </w:r>
      <w:r w:rsidR="00340192" w:rsidRPr="00B601A0">
        <w:rPr>
          <w:i/>
        </w:rPr>
        <w:t>.</w:t>
      </w:r>
    </w:p>
    <w:p w14:paraId="67C2233B" w14:textId="77777777" w:rsidR="009066AA" w:rsidRDefault="009066AA" w:rsidP="009066AA">
      <w:r>
        <w:lastRenderedPageBreak/>
        <w:t xml:space="preserve">Le risque d’un constat d’absence de proportionnalité se situe donc sur le plan de la troisième dimension du principe de proportionnalité, relative à la proportionnalité </w:t>
      </w:r>
      <w:r>
        <w:rPr>
          <w:i/>
          <w:iCs/>
        </w:rPr>
        <w:t xml:space="preserve">stricto sensu. </w:t>
      </w:r>
      <w:r>
        <w:t>L’enjeu porte sur la mise en balance entre l’objectif d’une neutralité d’entreprise véritablement indifférenciée et l’existence d’une restriction particulièrement dommageable dans le chef d’un travailleur spécifique. L’on revient à nouveau ici à l’importance d’identifier l’objectif sous-jacent à cette neutralité indifférenciée : l’objectif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w:t>
      </w:r>
      <w:proofErr w:type="spellStart"/>
      <w:r>
        <w:t>pèsera-t-il</w:t>
      </w:r>
      <w:proofErr w:type="spellEnd"/>
      <w:r>
        <w:t xml:space="preserve"> par exemple autant, voire davantage, que l’objectif de bon fonctionnement</w:t>
      </w:r>
      <w:r>
        <w:fldChar w:fldCharType="begin"/>
      </w:r>
      <w: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instrText xml:space="preserve"> </w:instrText>
      </w:r>
      <w:r>
        <w:fldChar w:fldCharType="end"/>
      </w:r>
      <w:r>
        <w:t xml:space="preserve"> de l’entreprise, lorsque l’un et l’autre sont successivement mis en balance avec le respect des droits individuels d’un travailleur spécifique ?</w:t>
      </w:r>
    </w:p>
    <w:p w14:paraId="31F128E5" w14:textId="77777777" w:rsidR="009066AA" w:rsidRDefault="009066AA" w:rsidP="009066AA">
      <w:pPr>
        <w:pStyle w:val="Titre5"/>
      </w:pPr>
      <w:bookmarkStart w:id="27" w:name="_Ref49101771"/>
      <w:bookmarkStart w:id="28" w:name="_Toc91763255"/>
      <w:r>
        <w:t>Horizontalisation du contrôle de proportionnalité</w:t>
      </w:r>
      <w:bookmarkEnd w:id="27"/>
      <w:bookmarkEnd w:id="28"/>
    </w:p>
    <w:p w14:paraId="0BBA9E5B" w14:textId="297ECAD7" w:rsidR="009066AA" w:rsidRDefault="00FE117D" w:rsidP="00960BD9">
      <w:pPr>
        <w:pStyle w:val="Paragraphedeliste"/>
      </w:pPr>
      <w:r>
        <w:t xml:space="preserve">De manière générale, il convient de souligner la corrélation entre, d’une part, la marge d’appréciation reconnue par la CourEDH et la CJUE à l’État et, d’autre part, </w:t>
      </w:r>
      <w:r w:rsidR="009066AA">
        <w:t>l’intensité du contrôle de proportionnalité</w:t>
      </w:r>
      <w:r w:rsidR="009066AA" w:rsidRPr="00660F85">
        <w:t xml:space="preserve"> </w:t>
      </w:r>
      <w:r w:rsidR="009066AA">
        <w:t xml:space="preserve">déployé par </w:t>
      </w:r>
      <w:r>
        <w:t>ces mêmes cours européennes</w:t>
      </w:r>
      <w:r w:rsidR="00903F8F">
        <w:t xml:space="preserve"> </w:t>
      </w:r>
      <w:r w:rsidR="00903F8F">
        <w:rPr>
          <w:i/>
        </w:rPr>
        <w:t xml:space="preserve">in </w:t>
      </w:r>
      <w:proofErr w:type="spellStart"/>
      <w:r w:rsidR="00903F8F">
        <w:rPr>
          <w:i/>
        </w:rPr>
        <w:t>casu</w:t>
      </w:r>
      <w:proofErr w:type="spellEnd"/>
      <w:r>
        <w:t> : le contrôle plus ou moins systématique des différentes facettes du principe de proportionnalité s’avère en effet largement corrélé à</w:t>
      </w:r>
      <w:r w:rsidRPr="00604AA9">
        <w:t xml:space="preserve"> l’amplitude de la marge d’appréciation concédée </w:t>
      </w:r>
      <w:r>
        <w:t>par la CourEDH</w:t>
      </w:r>
      <w:r>
        <w:rPr>
          <w:rStyle w:val="Appelnotedebasdep"/>
        </w:rPr>
        <w:footnoteReference w:id="179"/>
      </w:r>
      <w:r>
        <w:t xml:space="preserve"> ou la CJUE</w:t>
      </w:r>
      <w:r w:rsidR="00903F8F">
        <w:t xml:space="preserve"> – et donc au principe de subsidiarité</w:t>
      </w:r>
      <w:r w:rsidR="00903F8F">
        <w:rPr>
          <w:rStyle w:val="Appelnotedebasdep"/>
        </w:rPr>
        <w:footnoteReference w:id="180"/>
      </w:r>
      <w:r w:rsidR="00340192">
        <w:t>.</w:t>
      </w:r>
      <w:r w:rsidR="00903F8F">
        <w:t xml:space="preserve"> </w:t>
      </w:r>
      <w:r w:rsidR="009066AA">
        <w:t xml:space="preserve">Cette influence se marque avec une acuité particulière dans le cas d’une restriction aux droits </w:t>
      </w:r>
      <w:r w:rsidR="009066AA" w:rsidRPr="00903F8F">
        <w:t>fondamentaux opérée dans le cadre d’une relation entre personnes privées, comme c’est le cas pour</w:t>
      </w:r>
      <w:r w:rsidR="009066AA">
        <w:t xml:space="preserve"> la neutralité de l’entreprise.</w:t>
      </w:r>
    </w:p>
    <w:p w14:paraId="1159AF46" w14:textId="688BC616" w:rsidR="009066AA" w:rsidRDefault="009066AA" w:rsidP="009066AA">
      <w:r>
        <w:t xml:space="preserve">Refait alors surface, comme dans le cas du test de légitimité, l’hypothèse d’une </w:t>
      </w:r>
      <w:r w:rsidRPr="008D517D">
        <w:t>marge d’appréciation en cascade</w:t>
      </w:r>
      <w:r>
        <w:t>, amplifiée du fait du passage successif de la juridiction de contrôle vers l’État, et de l’État vers l’acteur privé – en l’occurrence, l’entreprise</w:t>
      </w:r>
      <w:r w:rsidR="004D5244">
        <w:rPr>
          <w:rStyle w:val="Appelnotedebasdep"/>
        </w:rPr>
        <w:footnoteReference w:id="181"/>
      </w:r>
      <w:r w:rsidR="004D5244">
        <w:t>.</w:t>
      </w:r>
    </w:p>
    <w:p w14:paraId="38A5DC55" w14:textId="170F766E" w:rsidR="009066AA" w:rsidRDefault="009066AA" w:rsidP="00960BD9">
      <w:pPr>
        <w:pStyle w:val="Paragraphedeliste"/>
      </w:pPr>
      <w:r>
        <w:t>La conjonction de l’effet horizontal avec le principe de subsidiarité ferait ainsi naître un « contrôle de proportionnalité horizontal »</w:t>
      </w:r>
      <w:r>
        <w:rPr>
          <w:rStyle w:val="Appelnotedebasdep"/>
        </w:rPr>
        <w:footnoteReference w:id="182"/>
      </w:r>
      <w:r>
        <w:t xml:space="preserve"> dans le chef de la CJUE et de la CourEDH. Eu égard à la gestion du fait religieux dans l’entreprise, la CourEDH </w:t>
      </w:r>
      <w:r w:rsidR="00C006F2">
        <w:t>conf</w:t>
      </w:r>
      <w:r w:rsidR="00C32A33">
        <w:t xml:space="preserve">irme cette approche </w:t>
      </w:r>
      <w:r>
        <w:t xml:space="preserve">dans son arrêt </w:t>
      </w:r>
      <w:proofErr w:type="spellStart"/>
      <w:r>
        <w:rPr>
          <w:i/>
          <w:iCs/>
        </w:rPr>
        <w:t>Eweida</w:t>
      </w:r>
      <w:proofErr w:type="spellEnd"/>
      <w:r>
        <w:rPr>
          <w:i/>
          <w:iCs/>
        </w:rPr>
        <w:t xml:space="preserve"> e.a.</w:t>
      </w:r>
      <w:r>
        <w:t xml:space="preserve">, </w:t>
      </w:r>
      <w:r w:rsidR="00C32A33">
        <w:t>indiquant</w:t>
      </w:r>
      <w:r>
        <w:t xml:space="preserve"> qu’il s’agit de vérifier « </w:t>
      </w:r>
      <w:r w:rsidRPr="000A56D3">
        <w:t xml:space="preserve">si un juste équilibre a été ménagé entre </w:t>
      </w:r>
      <w:r>
        <w:t>[les]</w:t>
      </w:r>
      <w:r w:rsidRPr="000A56D3">
        <w:t xml:space="preserve"> droits</w:t>
      </w:r>
      <w:r>
        <w:t xml:space="preserve"> [de Mme </w:t>
      </w:r>
      <w:proofErr w:type="spellStart"/>
      <w:r>
        <w:t>Eweida</w:t>
      </w:r>
      <w:proofErr w:type="spellEnd"/>
      <w:r>
        <w:t>]</w:t>
      </w:r>
      <w:r w:rsidRPr="000A56D3">
        <w:t xml:space="preserve"> et ceux d’autrui »</w:t>
      </w:r>
      <w:r>
        <w:rPr>
          <w:rStyle w:val="Appelnotedebasdep"/>
        </w:rPr>
        <w:footnoteReference w:id="183"/>
      </w:r>
      <w:r>
        <w:t>. De même la CJUE envisage-t-elle</w:t>
      </w:r>
      <w:r w:rsidR="00DD6272">
        <w:t xml:space="preserve"> </w:t>
      </w:r>
      <w:r>
        <w:t>le contrôle de proportionnalité comme la nécessité, pour « </w:t>
      </w:r>
      <w:r w:rsidRPr="009F1418">
        <w:t xml:space="preserve">la juridiction de renvoi, eu égard à tous les éléments du dossier, de </w:t>
      </w:r>
      <w:r w:rsidRPr="008D517D">
        <w:t>tenir compte des intérêts en présence</w:t>
      </w:r>
      <w:r w:rsidRPr="009F1418">
        <w:t xml:space="preserve"> et de limiter les restrictions aux libertés en cause au strict nécessaire</w:t>
      </w:r>
      <w:r>
        <w:t> »</w:t>
      </w:r>
      <w:r>
        <w:rPr>
          <w:rStyle w:val="Appelnotedebasdep"/>
        </w:rPr>
        <w:footnoteReference w:id="184"/>
      </w:r>
      <w:r w:rsidRPr="009F1418">
        <w:t>.</w:t>
      </w:r>
    </w:p>
    <w:p w14:paraId="4E0282CB" w14:textId="245CF708" w:rsidR="009066AA" w:rsidRDefault="009066AA" w:rsidP="00960BD9">
      <w:pPr>
        <w:pStyle w:val="Paragraphedeliste"/>
      </w:pPr>
      <w:r>
        <w:lastRenderedPageBreak/>
        <w:t>Comment, toutefois, envisager la mise en œuvre de ce contrôle de proportionnalité horizontalisé – ou « privatisé »</w:t>
      </w:r>
      <w:r>
        <w:rPr>
          <w:rStyle w:val="Appelnotedebasdep"/>
        </w:rPr>
        <w:footnoteReference w:id="185"/>
      </w:r>
      <w:r>
        <w:t> </w:t>
      </w:r>
      <w:r w:rsidR="0094723B">
        <w:t>–</w:t>
      </w:r>
      <w:r w:rsidR="0094723B">
        <w:t xml:space="preserve"> </w:t>
      </w:r>
      <w:r>
        <w:t>en matière religieuse ? L’imprévisibilité liée au caractère éminemment casuistique de ce contrôle semble encore davantage renforcée lorsque ce contrôle se déploie dans une perspective horizontale, dès lors que la marge de manœuvre reconnue à l’État y est – encore – plus importante. Carine Laurent-</w:t>
      </w:r>
      <w:proofErr w:type="spellStart"/>
      <w:r>
        <w:t>Boutot</w:t>
      </w:r>
      <w:proofErr w:type="spellEnd"/>
      <w:r>
        <w:t xml:space="preserve"> suggère toutefois trois « pôles » autour desquels pourrait s’articuler ce contrôle de proportionnalité privatisé : la nécessité du respect de la substance du droit, l’existence d’une renonciation aux droits, ainsi que la prise en compte d’intérêts satellites</w:t>
      </w:r>
      <w:r>
        <w:rPr>
          <w:rStyle w:val="Appelnotedebasdep"/>
        </w:rPr>
        <w:footnoteReference w:id="186"/>
      </w:r>
      <w:r w:rsidR="000F5BB9">
        <w:t>.</w:t>
      </w:r>
    </w:p>
    <w:p w14:paraId="51607E63" w14:textId="44420E17" w:rsidR="009066AA" w:rsidRDefault="009066AA" w:rsidP="009066AA">
      <w:r>
        <w:t>Le premier pôle identifié par Laurent-</w:t>
      </w:r>
      <w:proofErr w:type="spellStart"/>
      <w:r>
        <w:t>Boutot</w:t>
      </w:r>
      <w:proofErr w:type="spellEnd"/>
      <w:r>
        <w:t xml:space="preserve"> porte sur le respect de la </w:t>
      </w:r>
      <w:r w:rsidRPr="000E4D0A">
        <w:rPr>
          <w:i/>
          <w:iCs/>
        </w:rPr>
        <w:t>substance</w:t>
      </w:r>
      <w:r>
        <w:t xml:space="preserve"> du droit auquel il est porté atteinte : est visé ici « le noyau dur du droit, qui, s’il devait être atteint, l’annihilerait »</w:t>
      </w:r>
      <w:r>
        <w:rPr>
          <w:rStyle w:val="Appelnotedebasdep"/>
        </w:rPr>
        <w:footnoteReference w:id="187"/>
      </w:r>
      <w:r>
        <w:t xml:space="preserve">. Ramené à l’hypothèse de la restriction des expressions religieuses du travailleur, ce critère </w:t>
      </w:r>
      <w:r w:rsidRPr="00E74ED6">
        <w:t>renvoie</w:t>
      </w:r>
      <w:r>
        <w:t xml:space="preserve"> à la question du caractère central de la manifestation religieuse en tant que dimension externe de la liberté de religion.</w:t>
      </w:r>
    </w:p>
    <w:p w14:paraId="7DDD713B" w14:textId="422C0CF1" w:rsidR="009066AA" w:rsidRDefault="009066AA" w:rsidP="009066AA">
      <w:r>
        <w:t>En second lieu, il s’agirait de tenir compte, dans cette proportionnalité privatisée, de l’existence d’une renonciation conventionnelle</w:t>
      </w:r>
      <w:r>
        <w:fldChar w:fldCharType="begin"/>
      </w:r>
      <w:r>
        <w:instrText xml:space="preserve"> XE "</w:instrText>
      </w:r>
      <w:r w:rsidRPr="00821CE3">
        <w:rPr>
          <w:rFonts w:eastAsia="Times New Roman" w:cs="Calibri"/>
          <w:color w:val="000000"/>
          <w:lang w:eastAsia="fr-BE"/>
        </w:rPr>
        <w:instrText>Renonciation au droit</w:instrText>
      </w:r>
      <w:r>
        <w:rPr>
          <w:rFonts w:eastAsia="Times New Roman" w:cs="Calibri"/>
          <w:color w:val="000000"/>
          <w:lang w:eastAsia="fr-BE"/>
        </w:rPr>
        <w:instrText>"</w:instrText>
      </w:r>
      <w:r>
        <w:instrText xml:space="preserve"> </w:instrText>
      </w:r>
      <w:r>
        <w:fldChar w:fldCharType="end"/>
      </w:r>
      <w:r>
        <w:t xml:space="preserve"> préalable au droit faisant l’objet de la restriction</w:t>
      </w:r>
      <w:r>
        <w:rPr>
          <w:rStyle w:val="Appelnotedebasdep"/>
        </w:rPr>
        <w:footnoteReference w:id="188"/>
      </w:r>
      <w:r w:rsidR="000F5BB9">
        <w:t>.</w:t>
      </w:r>
      <w:r>
        <w:t xml:space="preserve"> </w:t>
      </w:r>
      <w:r w:rsidR="000F5BB9">
        <w:t xml:space="preserve">À cet égard, l’on rappellera </w:t>
      </w:r>
      <w:r>
        <w:t>l’impossibilité de considérer une telle restriction contractuelle comme le fondement d’une renonciation absolue et définitive à la liberté religieuse</w:t>
      </w:r>
      <w:r w:rsidR="00CC53A2">
        <w:rPr>
          <w:rStyle w:val="Appelnotedebasdep"/>
        </w:rPr>
        <w:footnoteReference w:id="189"/>
      </w:r>
      <w:r w:rsidR="00CC53A2">
        <w:t>.</w:t>
      </w:r>
      <w:r>
        <w:t xml:space="preserve"> Il s’agit plutôt, en particulier depuis l’arrêt </w:t>
      </w:r>
      <w:proofErr w:type="spellStart"/>
      <w:r>
        <w:rPr>
          <w:i/>
          <w:iCs/>
        </w:rPr>
        <w:t>Eweida</w:t>
      </w:r>
      <w:proofErr w:type="spellEnd"/>
      <w:r>
        <w:rPr>
          <w:i/>
          <w:iCs/>
        </w:rPr>
        <w:t xml:space="preserve"> e.a.</w:t>
      </w:r>
      <w:r w:rsidRPr="00A437FC">
        <w:rPr>
          <w:rStyle w:val="Appelnotedebasdep"/>
        </w:rPr>
        <w:footnoteReference w:id="190"/>
      </w:r>
      <w:r w:rsidRPr="00A437FC">
        <w:t xml:space="preserve">, </w:t>
      </w:r>
      <w:r>
        <w:t xml:space="preserve">d’envisager cette renonciation au stade du contrôle de proportionnalité, en tant qu’élément à prendre en compte, sur le plan notamment de la </w:t>
      </w:r>
      <w:r w:rsidRPr="008D517D">
        <w:t>bonne foi contractuelle</w:t>
      </w:r>
      <w:r>
        <w:rPr>
          <w:rStyle w:val="Appelnotedebasdep"/>
        </w:rPr>
        <w:footnoteReference w:id="191"/>
      </w:r>
      <w:r w:rsidR="000F5BB9">
        <w:rPr>
          <w:i/>
          <w:iCs/>
        </w:rPr>
        <w:t>.</w:t>
      </w:r>
    </w:p>
    <w:p w14:paraId="334DD966" w14:textId="4D4C25B7" w:rsidR="009066AA" w:rsidRDefault="009066AA" w:rsidP="009066AA">
      <w:r>
        <w:t>Le troisième critère dégagé par Laurent-</w:t>
      </w:r>
      <w:proofErr w:type="spellStart"/>
      <w:r>
        <w:t>Boutot</w:t>
      </w:r>
      <w:proofErr w:type="spellEnd"/>
      <w:r>
        <w:t xml:space="preserve"> porte sur la prise en compte d</w:t>
      </w:r>
      <w:proofErr w:type="gramStart"/>
      <w:r>
        <w:t>’«</w:t>
      </w:r>
      <w:proofErr w:type="gramEnd"/>
      <w:r>
        <w:t> intérêts satellites », correspondant à des éléments de fait qui « se superposent au conflit de droits » en l’espèce</w:t>
      </w:r>
      <w:r>
        <w:rPr>
          <w:rStyle w:val="Appelnotedebasdep"/>
        </w:rPr>
        <w:footnoteReference w:id="192"/>
      </w:r>
      <w:r w:rsidR="000F5BB9">
        <w:t>.</w:t>
      </w:r>
      <w:r>
        <w:t xml:space="preserve"> En matière d’expressions religieuses au travail, la perspective de trouver aisément un nouvel emploi analogue figure au premier rang de ces intérêts satellites. Un tel critère nécessite donc l’élargissement du contrôle de proportionnalité à des éléments plus pragmatiques, mais non moins importants. Tel est le cas du critère du « bassin d’emploi », correspondant à la zone géographique pertinente quant à la possibilité du travailleur de retrouver un emploi.</w:t>
      </w:r>
      <w:r w:rsidRPr="00A437FC">
        <w:rPr>
          <w:rStyle w:val="Appelnotedebasdep"/>
        </w:rPr>
        <w:t xml:space="preserve"> </w:t>
      </w:r>
      <w:r w:rsidRPr="00B601A0">
        <w:t xml:space="preserve">Dans cette même perspective, d’aucuns considèrent que le juge lui-même devrait tenir compte, dans le choix qu’il formule en faveur de l’une ou l’autre solution d’espèce, de l’impact potentiel de sa décision quant à une multiplication de restrictions analogues. Parmi les critiques récurrentes formulées vis-à-vis de </w:t>
      </w:r>
      <w:r w:rsidR="004A20D8" w:rsidRPr="00B601A0">
        <w:t xml:space="preserve">la jurisprudence </w:t>
      </w:r>
      <w:proofErr w:type="spellStart"/>
      <w:r w:rsidRPr="00B601A0">
        <w:rPr>
          <w:i/>
          <w:iCs/>
        </w:rPr>
        <w:t>Achbita</w:t>
      </w:r>
      <w:proofErr w:type="spellEnd"/>
      <w:r w:rsidRPr="00B601A0">
        <w:t xml:space="preserve">, figure ainsi </w:t>
      </w:r>
      <w:r w:rsidRPr="00B601A0">
        <w:lastRenderedPageBreak/>
        <w:t>celle qui considère que la CJUE fournit ici un « vade-mecum »</w:t>
      </w:r>
      <w:r w:rsidRPr="00B601A0">
        <w:rPr>
          <w:rStyle w:val="Appelnotedebasdep"/>
        </w:rPr>
        <w:footnoteReference w:id="193"/>
      </w:r>
      <w:r w:rsidRPr="00B601A0">
        <w:t xml:space="preserve"> ou un « mode d’emploi »</w:t>
      </w:r>
      <w:r w:rsidRPr="00B601A0">
        <w:rPr>
          <w:rStyle w:val="Appelnotedebasdep"/>
        </w:rPr>
        <w:footnoteReference w:id="194"/>
      </w:r>
      <w:r w:rsidRPr="00B601A0">
        <w:t xml:space="preserve"> aux employeurs pour interdire les expressions religieuses au travail, ce qui mènerait à une possible prolifération des interdictions basées sur la neutralité</w:t>
      </w:r>
      <w:r w:rsidRPr="00B601A0">
        <w:rPr>
          <w:rStyle w:val="Appelnotedebasdep"/>
        </w:rPr>
        <w:footnoteReference w:id="195"/>
      </w:r>
      <w:r w:rsidR="000F5BB9" w:rsidRPr="00B601A0">
        <w:t>.</w:t>
      </w:r>
    </w:p>
    <w:p w14:paraId="12C4A833" w14:textId="4AF2A518" w:rsidR="00903F8F" w:rsidRDefault="009066AA" w:rsidP="009066AA">
      <w:r>
        <w:t xml:space="preserve">Enfin, s’agissant de la dimension procédurale du contrôle de proportionnalité, </w:t>
      </w:r>
      <w:r w:rsidR="00CC53A2">
        <w:t>notons</w:t>
      </w:r>
      <w:r>
        <w:t xml:space="preserve"> l’importance pouvant être accordée aux démarches entreprises </w:t>
      </w:r>
      <w:r>
        <w:rPr>
          <w:i/>
          <w:iCs/>
        </w:rPr>
        <w:t>de bonne foi</w:t>
      </w:r>
      <w:r>
        <w:t xml:space="preserve"> par l’employeur ou le travailleur visant à parvenir à une résolution du litige par le biais de moyens non juridictionnels</w:t>
      </w:r>
      <w:r>
        <w:rPr>
          <w:rStyle w:val="Appelnotedebasdep"/>
        </w:rPr>
        <w:footnoteReference w:id="196"/>
      </w:r>
      <w:r w:rsidR="00CC53A2">
        <w:t>.</w:t>
      </w:r>
    </w:p>
    <w:p w14:paraId="6AF31386" w14:textId="0A40FE22" w:rsidR="00903F8F" w:rsidRDefault="00903F8F" w:rsidP="00903F8F">
      <w:pPr>
        <w:jc w:val="center"/>
      </w:pPr>
      <w:r>
        <w:t>*</w:t>
      </w:r>
    </w:p>
    <w:p w14:paraId="4DB961A4" w14:textId="78F806CA" w:rsidR="009800D6" w:rsidRDefault="00903F8F" w:rsidP="00960BD9">
      <w:pPr>
        <w:pStyle w:val="Paragraphedeliste"/>
      </w:pPr>
      <w:r w:rsidRPr="00E74ED6">
        <w:t>Passées ces considérations générales sur l’admissibilité des politiques de neutralité restrictive</w:t>
      </w:r>
      <w:r w:rsidRPr="00967DA6">
        <w:t xml:space="preserve">, il convient donc maintenant </w:t>
      </w:r>
      <w:r w:rsidR="00D02F24">
        <w:t>d’envisager</w:t>
      </w:r>
      <w:r w:rsidR="00D02F24" w:rsidRPr="00967DA6">
        <w:t xml:space="preserve"> </w:t>
      </w:r>
      <w:r w:rsidRPr="00967DA6">
        <w:t xml:space="preserve">celle-ci </w:t>
      </w:r>
      <w:r w:rsidR="00D02F24">
        <w:t>à l’aune</w:t>
      </w:r>
      <w:r w:rsidRPr="00DA1533">
        <w:t xml:space="preserve"> des différents motifs sur lesquels s’appuie potentiellement l’entreprise privée pour appliquer la neutralité sur le lieu de travail.</w:t>
      </w:r>
    </w:p>
    <w:p w14:paraId="46A44680" w14:textId="36250FB2" w:rsidR="00216C95" w:rsidRDefault="00903F8F" w:rsidP="009800D6">
      <w:r w:rsidRPr="00DA1533">
        <w:t>Comme indiqué ci-avant, nous déploierons cette analyse à l’aune d’une double classification, correspondant à une première division entre neutralité-instrument et neutralité-finalité et à une subdivision ultérieure entre neutralité interne ou extern</w:t>
      </w:r>
      <w:r w:rsidR="007D2D17">
        <w:t>e.</w:t>
      </w:r>
    </w:p>
    <w:p w14:paraId="65BAB7B9" w14:textId="4506E901" w:rsidR="0058411E" w:rsidRDefault="0058411E" w:rsidP="00754A8F">
      <w:pPr>
        <w:pStyle w:val="Titre2"/>
      </w:pPr>
      <w:r>
        <w:t>La neutralité comme instrument au service d’une politique d’entreprise</w:t>
      </w:r>
    </w:p>
    <w:p w14:paraId="349111F6" w14:textId="42F3ECDA" w:rsidR="00BA12E0" w:rsidRDefault="00BA12E0" w:rsidP="00960BD9">
      <w:pPr>
        <w:pStyle w:val="Paragraphedeliste"/>
      </w:pPr>
      <w:r>
        <w:t xml:space="preserve">Dans ce premier modèle dit </w:t>
      </w:r>
      <w:r w:rsidRPr="008D517D">
        <w:t>instrumental</w:t>
      </w:r>
      <w:r>
        <w:t xml:space="preserve">, la mobilisation du concept de neutralité religieuse par un employeur privé </w:t>
      </w:r>
      <w:r w:rsidR="00D02F24">
        <w:t>intervient</w:t>
      </w:r>
      <w:r>
        <w:t xml:space="preserve"> comme outil de gestion de l’entreprise </w:t>
      </w:r>
      <w:r w:rsidR="00D02F24">
        <w:t>en vue</w:t>
      </w:r>
      <w:r>
        <w:t xml:space="preserve"> de la poursuite d’un objectif lui-même extérieur au concept même de neutralité. Le contenu idéologique – au sens non dépréciatif du terme – de la neutralité n’est donc pas véritablement mobilisé ici : </w:t>
      </w:r>
      <w:r w:rsidR="007005D8">
        <w:t>l</w:t>
      </w:r>
      <w:r>
        <w:t>’entreprise – ou, à tout le moins, l’employeur – opte pour la neutralité convictionnelle car elle considère celle-ci comme nécessaire, en particulier dans sa dimension restrictive, pour réaliser une politique d’entreprise qui ne présente pas de lien direct avec l’identité convictionnelle de l’entreprise.</w:t>
      </w:r>
    </w:p>
    <w:p w14:paraId="3C6ADAC4" w14:textId="0137BC87" w:rsidR="00BA12E0" w:rsidRDefault="00BA12E0" w:rsidP="00960BD9">
      <w:pPr>
        <w:pStyle w:val="Paragraphedeliste"/>
      </w:pPr>
      <w:r>
        <w:t xml:space="preserve">Nous proposons ici de recouper ces politiques de neutralité d’entreprise en deux catégories distinctes, l’une étant externe, et l’autre interne. Par ces termes, nous </w:t>
      </w:r>
      <w:r w:rsidR="00397377">
        <w:t>distinguons</w:t>
      </w:r>
      <w:r>
        <w:t xml:space="preserve"> l’hypothèse selon laquelle la politique de neutralité poursuit un objectif lié au fonctionnement interne de l’entreprise (1°), en particulier entre travailleurs, d’une autre hypothèse </w:t>
      </w:r>
      <w:r w:rsidR="00397377">
        <w:t>selon</w:t>
      </w:r>
      <w:r>
        <w:t xml:space="preserve"> laquelle la démarche de neutralité </w:t>
      </w:r>
      <w:r>
        <w:lastRenderedPageBreak/>
        <w:t>vise à soutenir une stratégie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externe de l’entreprise, en particulier vis-à-vis de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(2°).</w:t>
      </w:r>
    </w:p>
    <w:p w14:paraId="6A576738" w14:textId="22D249BA" w:rsidR="00BA12E0" w:rsidRDefault="00BA12E0" w:rsidP="00BA12E0">
      <w:r>
        <w:t>Comme indiqué précédemment, cette dimension instrumentale de la neutralité n’exclut toutefois pas l’incorporation ponctuelle d’une dimension idéologique. Cette perméabilité s’illustre en particulier dans l’hypothèse de la neutralité invoquée au service de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de l’entreprise</w:t>
      </w:r>
      <w:r w:rsidR="007A7342">
        <w:t>.</w:t>
      </w:r>
    </w:p>
    <w:p w14:paraId="2DF1EF1E" w14:textId="3789B709" w:rsidR="00903F8F" w:rsidRPr="00903F8F" w:rsidRDefault="00BA12E0" w:rsidP="00903F8F">
      <w:r>
        <w:t>Par ailleurs, au sein même de la catégorie des neutralités instrumentales, la cloison entre la neutralité-outil de gestion interne et la neutralité-image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externe n’est pas non plus totalement étanche.</w:t>
      </w:r>
    </w:p>
    <w:p w14:paraId="57AF8E54" w14:textId="13DB3BEE" w:rsidR="0058411E" w:rsidRDefault="0058411E" w:rsidP="008F46FF">
      <w:pPr>
        <w:pStyle w:val="Titre3"/>
        <w:numPr>
          <w:ilvl w:val="0"/>
          <w:numId w:val="8"/>
        </w:numPr>
      </w:pPr>
      <w:r w:rsidRPr="00F52E8A">
        <w:t>La neutralité religieuse comme outil de gestion interne</w:t>
      </w:r>
    </w:p>
    <w:p w14:paraId="3844658E" w14:textId="3B7F8160" w:rsidR="000521DA" w:rsidRDefault="000521DA" w:rsidP="00960BD9">
      <w:pPr>
        <w:pStyle w:val="Paragraphedeliste"/>
      </w:pPr>
      <w:r>
        <w:t xml:space="preserve">À travers ce premier modèle, il est fait appel à </w:t>
      </w:r>
      <w:r w:rsidR="007A7342">
        <w:t>la</w:t>
      </w:r>
      <w:r>
        <w:t xml:space="preserve"> neutralité en tant qu’outil au service de la bonne organisation interne de l’entreprise.</w:t>
      </w:r>
    </w:p>
    <w:p w14:paraId="60F0BB0B" w14:textId="2593143F" w:rsidR="00F0755A" w:rsidRDefault="00B55CE0" w:rsidP="00B6009F">
      <w:pPr>
        <w:rPr>
          <w:highlight w:val="yellow"/>
        </w:rPr>
      </w:pPr>
      <w:r>
        <w:t>Cette figure interne et instrumentale de la neutralité d’entreprise renvoie essentiellement à deux types de situation, respectivement liées au bon fonctionnement matériel de l’entreprise et à la paix sociale entre travailleurs (a). Nous confronterons ensuite les restrictions fondées sur ce modèle aux conditions de légitimité et de proportionnalité en nous appuyant sur l’article L1321-2-1 du Code du travail français, dont le contenu fait largement écho à cette première forme de neutralité d’entreprise (b).</w:t>
      </w:r>
    </w:p>
    <w:p w14:paraId="08D1E0A8" w14:textId="2A75E2DA" w:rsidR="00B6009F" w:rsidRDefault="00B6009F" w:rsidP="008F46FF">
      <w:pPr>
        <w:pStyle w:val="Titre4"/>
        <w:numPr>
          <w:ilvl w:val="0"/>
          <w:numId w:val="20"/>
        </w:numPr>
      </w:pPr>
      <w:r>
        <w:t>Neutralité interne et instrumentale</w:t>
      </w:r>
    </w:p>
    <w:p w14:paraId="648D5F80" w14:textId="5347842A" w:rsidR="00B6009F" w:rsidRDefault="00B6009F" w:rsidP="00960BD9">
      <w:pPr>
        <w:pStyle w:val="Paragraphedeliste"/>
      </w:pPr>
      <w:r>
        <w:t xml:space="preserve">Dans notre grille de catégorisation des neutralités d’entreprise, la neutralité comme outil de gestion interne de l’entreprise correspond à la dimension </w:t>
      </w:r>
      <w:r w:rsidRPr="008D517D">
        <w:t>interne</w:t>
      </w:r>
      <w:r>
        <w:t xml:space="preserve"> du premier critère, ainsi qu’à la dimension </w:t>
      </w:r>
      <w:r w:rsidRPr="008D517D">
        <w:t>instrumentale</w:t>
      </w:r>
      <w:r>
        <w:t xml:space="preserve"> du second. Par </w:t>
      </w:r>
      <w:r w:rsidRPr="008D517D">
        <w:t>interne</w:t>
      </w:r>
      <w:r>
        <w:t xml:space="preserve">, l’on entend le fait que cette neutralité est destinée à être invoquée dans le contexte propre à l’entreprise et à ses travailleurs, et non dans ses interactions avec son environnement extérieur. Cette neutralité est par ailleurs </w:t>
      </w:r>
      <w:r w:rsidRPr="008D517D">
        <w:t>instrumentale</w:t>
      </w:r>
      <w:r>
        <w:t xml:space="preserve"> en ce qu’elle n’est pas vue comme une option idéologique qu’il s’agirait de poursuivre, mais comme un outil au service de la bonne marche de l’entreprise.</w:t>
      </w:r>
    </w:p>
    <w:p w14:paraId="1E95A857" w14:textId="5461D159" w:rsidR="00B6009F" w:rsidRDefault="009364D0" w:rsidP="00960BD9">
      <w:pPr>
        <w:pStyle w:val="Paragraphedeliste"/>
      </w:pPr>
      <w:r>
        <w:t xml:space="preserve">Sur le plan conceptuel, le </w:t>
      </w:r>
      <w:r w:rsidR="00B6009F">
        <w:t>lien unissant cette neutralité interne et instrumentale au type d’horizontalisation</w:t>
      </w:r>
      <w:r w:rsidR="00B6009F">
        <w:fldChar w:fldCharType="begin"/>
      </w:r>
      <w:r w:rsidR="00B6009F">
        <w:instrText xml:space="preserve"> XE "</w:instrText>
      </w:r>
      <w:r w:rsidR="00B6009F" w:rsidRPr="00821CE3">
        <w:rPr>
          <w:rFonts w:eastAsia="Times New Roman" w:cs="Calibri"/>
          <w:color w:val="000000"/>
          <w:lang w:eastAsia="fr-BE"/>
        </w:rPr>
        <w:instrText>Horizontalisation</w:instrText>
      </w:r>
      <w:r w:rsidR="00B6009F">
        <w:rPr>
          <w:rFonts w:eastAsia="Times New Roman" w:cs="Calibri"/>
          <w:color w:val="000000"/>
          <w:lang w:eastAsia="fr-BE"/>
        </w:rPr>
        <w:instrText>"</w:instrText>
      </w:r>
      <w:r w:rsidR="00B6009F">
        <w:instrText xml:space="preserve"> </w:instrText>
      </w:r>
      <w:r w:rsidR="00B6009F">
        <w:fldChar w:fldCharType="end"/>
      </w:r>
      <w:r w:rsidR="00B6009F">
        <w:t xml:space="preserve"> de la neutralité</w:t>
      </w:r>
      <w:r w:rsidR="00B6009F">
        <w:fldChar w:fldCharType="begin"/>
      </w:r>
      <w:r w:rsidR="00B6009F">
        <w:instrText xml:space="preserve"> XE "</w:instrText>
      </w:r>
      <w:r w:rsidR="00B6009F">
        <w:rPr>
          <w:rFonts w:eastAsia="Times New Roman" w:cs="Calibri"/>
          <w:color w:val="000000"/>
          <w:lang w:eastAsia="fr-BE"/>
        </w:rPr>
        <w:instrText>Horizontalisation:Horizontalisation de la neutralité"</w:instrText>
      </w:r>
      <w:r w:rsidR="00B6009F">
        <w:instrText xml:space="preserve"> </w:instrText>
      </w:r>
      <w:r w:rsidR="00B6009F">
        <w:fldChar w:fldCharType="end"/>
      </w:r>
      <w:r w:rsidR="00B6009F">
        <w:t xml:space="preserve"> envisagée en première partie dépend essentiellement de la conception – </w:t>
      </w:r>
      <w:r w:rsidR="00B6009F" w:rsidRPr="00E74ED6">
        <w:t>contractualiste</w:t>
      </w:r>
      <w:r w:rsidR="00B6009F" w:rsidRPr="00E74ED6">
        <w:fldChar w:fldCharType="begin"/>
      </w:r>
      <w:r w:rsidR="00B6009F" w:rsidRPr="00E74ED6">
        <w:instrText xml:space="preserve"> XE "</w:instrText>
      </w:r>
      <w:r w:rsidR="00B6009F" w:rsidRPr="00E74ED6">
        <w:rPr>
          <w:rFonts w:eastAsia="Times New Roman" w:cs="Calibri"/>
          <w:color w:val="000000"/>
          <w:lang w:eastAsia="fr-BE"/>
        </w:rPr>
        <w:instrText>Théorie du contrat"</w:instrText>
      </w:r>
      <w:r w:rsidR="00B6009F" w:rsidRPr="00E74ED6">
        <w:instrText xml:space="preserve"> </w:instrText>
      </w:r>
      <w:r w:rsidR="00B6009F" w:rsidRPr="00E74ED6">
        <w:fldChar w:fldCharType="end"/>
      </w:r>
      <w:r w:rsidR="00B6009F" w:rsidRPr="00E74ED6">
        <w:t xml:space="preserve"> ou institutionnelle</w:t>
      </w:r>
      <w:r w:rsidR="00B6009F" w:rsidRPr="001B1295">
        <w:t xml:space="preserve"> – de</w:t>
      </w:r>
      <w:r w:rsidR="00B6009F">
        <w:t xml:space="preserve"> l’entreprise qui est retenue en l’occurrence. Sous l’angle de la théorie du contrat, </w:t>
      </w:r>
      <w:r w:rsidR="007D595C">
        <w:t xml:space="preserve">dans laquelle </w:t>
      </w:r>
      <w:r w:rsidR="00B6009F">
        <w:t>entreprise</w:t>
      </w:r>
      <w:r w:rsidR="001D410D">
        <w:t xml:space="preserve"> et travailleur sont</w:t>
      </w:r>
      <w:r w:rsidR="00B6009F">
        <w:t xml:space="preserve"> </w:t>
      </w:r>
      <w:r w:rsidR="001D410D">
        <w:t>l’un et l’autre considérés co</w:t>
      </w:r>
      <w:r w:rsidR="00B6009F">
        <w:t xml:space="preserve">mme </w:t>
      </w:r>
      <w:r w:rsidR="001D410D">
        <w:t>des</w:t>
      </w:r>
      <w:r w:rsidR="00B6009F">
        <w:t xml:space="preserve"> acteur</w:t>
      </w:r>
      <w:r w:rsidR="001D410D">
        <w:t>s</w:t>
      </w:r>
      <w:r w:rsidR="00B6009F">
        <w:t xml:space="preserve"> individuel</w:t>
      </w:r>
      <w:r w:rsidR="001D410D">
        <w:t>s,</w:t>
      </w:r>
      <w:r w:rsidR="00B6009F">
        <w:t xml:space="preserve"> la neutralité interne et instrumentale sera associée à l’horizontalisation-privatisation</w:t>
      </w:r>
      <w:r w:rsidR="00B6009F">
        <w:fldChar w:fldCharType="begin"/>
      </w:r>
      <w:r w:rsidR="00B6009F">
        <w:instrText xml:space="preserve"> XE "</w:instrText>
      </w:r>
      <w:r w:rsidR="00B6009F" w:rsidRPr="00821CE3">
        <w:rPr>
          <w:rFonts w:eastAsia="Times New Roman" w:cs="Calibri"/>
          <w:color w:val="000000"/>
          <w:lang w:eastAsia="fr-BE"/>
        </w:rPr>
        <w:instrText>Privatisation</w:instrText>
      </w:r>
      <w:r w:rsidR="00B6009F">
        <w:rPr>
          <w:rFonts w:eastAsia="Times New Roman" w:cs="Calibri"/>
          <w:color w:val="000000"/>
          <w:lang w:eastAsia="fr-BE"/>
        </w:rPr>
        <w:instrText>"</w:instrText>
      </w:r>
      <w:r w:rsidR="00B6009F">
        <w:instrText xml:space="preserve"> </w:instrText>
      </w:r>
      <w:r w:rsidR="00B6009F">
        <w:fldChar w:fldCharType="end"/>
      </w:r>
      <w:r w:rsidR="00B6009F">
        <w:t xml:space="preserve"> de la </w:t>
      </w:r>
      <w:r w:rsidR="00B6009F" w:rsidRPr="001F04A4">
        <w:t>neutralité : la</w:t>
      </w:r>
      <w:r w:rsidR="00B6009F">
        <w:t xml:space="preserve"> bonne marche de l’entreprise constitue alors l’objectif propre de cette neutralité dont le sens est affranchi de celui de la neutralité de l’État. À l’inverse, </w:t>
      </w:r>
      <w:r w:rsidR="001D410D">
        <w:t>dans la perspective institutionnelle, où chaque</w:t>
      </w:r>
      <w:r w:rsidR="00B6009F">
        <w:t xml:space="preserve"> travailleur</w:t>
      </w:r>
      <w:r w:rsidR="001D410D">
        <w:t xml:space="preserve"> est envisagé</w:t>
      </w:r>
      <w:r w:rsidR="00B6009F">
        <w:t xml:space="preserve"> </w:t>
      </w:r>
      <w:r w:rsidR="001D410D">
        <w:t>comme partie intégrante</w:t>
      </w:r>
      <w:r w:rsidR="00B6009F">
        <w:t xml:space="preserve"> de la communauté de travail</w:t>
      </w:r>
      <w:r w:rsidR="001D410D">
        <w:t>,</w:t>
      </w:r>
      <w:r w:rsidR="00B6009F">
        <w:t xml:space="preserve"> l’objectif de bonne marche de l’entreprise constitue l’équivalent de l’objectif poursuivi par l’État dans la mise en œuvre de sa propre neutralité, s’agissant du respect des droits individuels des citoyens. Est ainsi mobilisée l’idée d’horizontalisation-transposition de la neutralité, à travers laquelle le sens donné à la neutralité de l’État est transposé au contexte de l’entreprise.</w:t>
      </w:r>
    </w:p>
    <w:p w14:paraId="52A843EC" w14:textId="750069C9" w:rsidR="007D595C" w:rsidRDefault="007D595C" w:rsidP="00960BD9">
      <w:pPr>
        <w:pStyle w:val="Paragraphedeliste"/>
      </w:pPr>
      <w:r>
        <w:t>Cette neutralité en tant que « mode d’organisation » peut être invoquée à l’égard de deux registres de situations internes à l’entreprise</w:t>
      </w:r>
      <w:r w:rsidR="009973A6">
        <w:t> : d’une part, le bon fonctionnement de l’entreprise ; d’autre, part, la paix sociale entre travailleurs.</w:t>
      </w:r>
    </w:p>
    <w:p w14:paraId="40A86382" w14:textId="41257DBF" w:rsidR="006B468D" w:rsidRDefault="007D595C" w:rsidP="00960BD9">
      <w:pPr>
        <w:pStyle w:val="Paragraphedeliste"/>
      </w:pPr>
      <w:r>
        <w:t>En premier lieu, la</w:t>
      </w:r>
      <w:r w:rsidR="00B6009F">
        <w:t xml:space="preserve"> neutralité</w:t>
      </w:r>
      <w:r>
        <w:t xml:space="preserve"> comme outil de gestion interne</w:t>
      </w:r>
      <w:r w:rsidR="00B6009F">
        <w:t xml:space="preserve"> peut faire référence à </w:t>
      </w:r>
      <w:r w:rsidR="00B6009F" w:rsidRPr="00736688">
        <w:t xml:space="preserve">l’organisation </w:t>
      </w:r>
      <w:r w:rsidR="00E64195" w:rsidRPr="008D517D">
        <w:rPr>
          <w:iCs/>
        </w:rPr>
        <w:t>matérielle</w:t>
      </w:r>
      <w:r w:rsidR="00E64195">
        <w:rPr>
          <w:i/>
        </w:rPr>
        <w:t xml:space="preserve"> </w:t>
      </w:r>
      <w:r w:rsidR="00B6009F" w:rsidRPr="00736688">
        <w:t>du travail, dans</w:t>
      </w:r>
      <w:r w:rsidR="00B6009F">
        <w:t xml:space="preserve"> le sens où certaines demandes religieuses</w:t>
      </w:r>
      <w:r w:rsidR="004C7CB3">
        <w:t xml:space="preserve"> </w:t>
      </w:r>
      <w:r w:rsidR="00B6009F">
        <w:t xml:space="preserve">constitueraient un frein au </w:t>
      </w:r>
      <w:r w:rsidR="00B6009F" w:rsidRPr="008D517D">
        <w:rPr>
          <w:iCs/>
        </w:rPr>
        <w:t>bon fonctionnement</w:t>
      </w:r>
      <w:r w:rsidR="00B6009F">
        <w:t xml:space="preserve"> matériel de l’entreprise. </w:t>
      </w:r>
      <w:r>
        <w:t xml:space="preserve">Le point de départ factuel de cette neutralité au </w:t>
      </w:r>
      <w:r>
        <w:lastRenderedPageBreak/>
        <w:t>service du bon fonctionnement</w:t>
      </w:r>
      <w:r>
        <w:fldChar w:fldCharType="begin"/>
      </w:r>
      <w: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instrText xml:space="preserve"> </w:instrText>
      </w:r>
      <w:r>
        <w:fldChar w:fldCharType="end"/>
      </w:r>
      <w:r>
        <w:t xml:space="preserve"> correspond à l’apparition régulière de demandes basées sur la religion de la part des travailleurs de l’entreprise.</w:t>
      </w:r>
    </w:p>
    <w:p w14:paraId="6840DEDF" w14:textId="47A91C32" w:rsidR="007D595C" w:rsidRDefault="006B468D" w:rsidP="007D595C">
      <w:r>
        <w:t xml:space="preserve">Différentes situations peuvent être mentionnées à cet égard. Citons en premier lieu les </w:t>
      </w:r>
      <w:r w:rsidR="007D595C">
        <w:t xml:space="preserve">demandes </w:t>
      </w:r>
      <w:r>
        <w:t>d’</w:t>
      </w:r>
      <w:r w:rsidR="007D595C">
        <w:t>adaptation de l’horaire</w:t>
      </w:r>
      <w:r w:rsidR="007D595C">
        <w:fldChar w:fldCharType="begin"/>
      </w:r>
      <w:r w:rsidR="007D595C">
        <w:instrText xml:space="preserve"> XE "</w:instrText>
      </w:r>
      <w:r w:rsidR="007D595C" w:rsidRPr="00821CE3">
        <w:rPr>
          <w:rFonts w:eastAsia="Times New Roman" w:cs="Calibri"/>
          <w:color w:val="000000"/>
          <w:lang w:eastAsia="fr-BE"/>
        </w:rPr>
        <w:instrText>Horaires de travail</w:instrText>
      </w:r>
      <w:r w:rsidR="007D595C">
        <w:rPr>
          <w:rFonts w:eastAsia="Times New Roman" w:cs="Calibri"/>
          <w:color w:val="000000"/>
          <w:lang w:eastAsia="fr-BE"/>
        </w:rPr>
        <w:instrText>"</w:instrText>
      </w:r>
      <w:r w:rsidR="007D595C">
        <w:instrText xml:space="preserve"> </w:instrText>
      </w:r>
      <w:r w:rsidR="007D595C">
        <w:fldChar w:fldCharType="end"/>
      </w:r>
      <w:r w:rsidR="007D595C">
        <w:t xml:space="preserve"> de travail</w:t>
      </w:r>
      <w:r w:rsidR="00BC4464">
        <w:t xml:space="preserve"> et</w:t>
      </w:r>
      <w:r w:rsidR="007D595C">
        <w:t xml:space="preserve"> </w:t>
      </w:r>
      <w:r>
        <w:t>d</w:t>
      </w:r>
      <w:r w:rsidR="007D595C">
        <w:t>’octroi de congés</w:t>
      </w:r>
      <w:r>
        <w:t xml:space="preserve"> liés à une fête religieuse ou à l’exercice du culte</w:t>
      </w:r>
      <w:r w:rsidR="00BC4464">
        <w:rPr>
          <w:rStyle w:val="Appelnotedebasdep"/>
        </w:rPr>
        <w:footnoteReference w:id="197"/>
      </w:r>
      <w:r w:rsidR="007D595C">
        <w:fldChar w:fldCharType="begin"/>
      </w:r>
      <w:r w:rsidR="007D595C">
        <w:instrText xml:space="preserve"> XE "</w:instrText>
      </w:r>
      <w:r w:rsidR="007D595C">
        <w:rPr>
          <w:rFonts w:eastAsia="Times New Roman" w:cs="Calibri"/>
          <w:color w:val="000000"/>
          <w:lang w:eastAsia="fr-BE"/>
        </w:rPr>
        <w:instrText>Congés"</w:instrText>
      </w:r>
      <w:r w:rsidR="007D595C">
        <w:instrText xml:space="preserve"> </w:instrText>
      </w:r>
      <w:r w:rsidR="007D595C">
        <w:fldChar w:fldCharType="end"/>
      </w:r>
      <w:r w:rsidR="007D595C">
        <w:t>,</w:t>
      </w:r>
      <w:r>
        <w:t xml:space="preserve"> pouvant présenter un impact sur le plan de la répartition du travail ou de la continuité du service. De même, le refus du travailleur d’exécuter une tâche qu’il juge incompatible avec un précepte de sa religion pourrait impliquer un aménagement du contenu de sa fonction</w:t>
      </w:r>
      <w:r w:rsidR="00BC4464">
        <w:rPr>
          <w:rStyle w:val="Appelnotedebasdep"/>
        </w:rPr>
        <w:footnoteReference w:id="198"/>
      </w:r>
      <w:r>
        <w:t>. Citons également</w:t>
      </w:r>
      <w:r w:rsidR="007D595C">
        <w:t xml:space="preserve"> la prise en compte d’un régime alimentaire</w:t>
      </w:r>
      <w:r w:rsidR="007D595C">
        <w:fldChar w:fldCharType="begin"/>
      </w:r>
      <w:r w:rsidR="007D595C">
        <w:instrText xml:space="preserve"> XE "</w:instrText>
      </w:r>
      <w:r w:rsidR="007D595C" w:rsidRPr="00821CE3">
        <w:rPr>
          <w:rFonts w:eastAsia="Times New Roman" w:cs="Calibri"/>
          <w:color w:val="000000"/>
          <w:lang w:eastAsia="fr-BE"/>
        </w:rPr>
        <w:instrText>Régime alimentaire</w:instrText>
      </w:r>
      <w:r w:rsidR="007D595C">
        <w:rPr>
          <w:rFonts w:eastAsia="Times New Roman" w:cs="Calibri"/>
          <w:color w:val="000000"/>
          <w:lang w:eastAsia="fr-BE"/>
        </w:rPr>
        <w:instrText>"</w:instrText>
      </w:r>
      <w:r w:rsidR="007D595C">
        <w:instrText xml:space="preserve"> </w:instrText>
      </w:r>
      <w:r w:rsidR="007D595C">
        <w:fldChar w:fldCharType="end"/>
      </w:r>
      <w:r w:rsidR="007D595C">
        <w:t xml:space="preserve"> spécifique</w:t>
      </w:r>
      <w:r>
        <w:t xml:space="preserve"> à la cantine d’entreprise ou durant un événement d’entreprise</w:t>
      </w:r>
      <w:r w:rsidR="00BC4464">
        <w:rPr>
          <w:rStyle w:val="Appelnotedebasdep"/>
        </w:rPr>
        <w:footnoteReference w:id="199"/>
      </w:r>
      <w:r w:rsidR="00266B53">
        <w:t>.</w:t>
      </w:r>
      <w:r w:rsidR="007D595C">
        <w:t xml:space="preserve"> </w:t>
      </w:r>
      <w:r>
        <w:t xml:space="preserve">Est également potentiellement concerné le port d’un </w:t>
      </w:r>
      <w:r w:rsidR="00405BEC">
        <w:t>signe religieux</w:t>
      </w:r>
      <w:r>
        <w:t xml:space="preserve">, en particulier lorsque celui-ci s’avère incompatible avec </w:t>
      </w:r>
      <w:r w:rsidR="00405BEC">
        <w:t>le code vestimentaire</w:t>
      </w:r>
      <w:r>
        <w:t xml:space="preserve"> en vigueur.</w:t>
      </w:r>
      <w:r w:rsidR="00405BEC">
        <w:t xml:space="preserve"> </w:t>
      </w:r>
      <w:r>
        <w:t>Enfin, il convient d’envisager la volonté de certains travailleurs de pouvoir prier sur leur</w:t>
      </w:r>
      <w:r w:rsidR="007D595C">
        <w:t xml:space="preserve"> lieu</w:t>
      </w:r>
      <w:r>
        <w:t xml:space="preserve"> de travail</w:t>
      </w:r>
      <w:r w:rsidR="00BC4464">
        <w:t xml:space="preserve"> – le cas échant, dans un local mis à disposition</w:t>
      </w:r>
      <w:r w:rsidR="00BC4464">
        <w:rPr>
          <w:rStyle w:val="Appelnotedebasdep"/>
        </w:rPr>
        <w:footnoteReference w:id="200"/>
      </w:r>
      <w:r w:rsidR="007D595C">
        <w:t xml:space="preserve"> </w:t>
      </w:r>
      <w:r w:rsidR="00BC4464">
        <w:t xml:space="preserve">– </w:t>
      </w:r>
      <w:r w:rsidR="007D595C">
        <w:t>ou durant les heures habituelles de travail.</w:t>
      </w:r>
    </w:p>
    <w:p w14:paraId="2A8416CF" w14:textId="3DAB9457" w:rsidR="00B6009F" w:rsidRDefault="00B6009F" w:rsidP="00B6009F">
      <w:r>
        <w:t>L’invocation de la neutralité permettrait à l’employeur de ne pas accorder de statut préférentiel aux demandes particulières fondées sur la religion, en comparaison de demandes analogues fondées sur d’autres motifs</w:t>
      </w:r>
      <w:r w:rsidR="007D595C">
        <w:rPr>
          <w:rStyle w:val="Appelnotedebasdep"/>
        </w:rPr>
        <w:footnoteReference w:id="201"/>
      </w:r>
      <w:r w:rsidR="00266B53">
        <w:t>.</w:t>
      </w:r>
      <w:r>
        <w:t xml:space="preserve"> Ce faisant, à travers la </w:t>
      </w:r>
      <w:r w:rsidRPr="008D517D">
        <w:t>neutralisation</w:t>
      </w:r>
      <w:r w:rsidRPr="00736688">
        <w:rPr>
          <w:i/>
          <w:iCs/>
        </w:rPr>
        <w:t xml:space="preserve"> </w:t>
      </w:r>
      <w:r w:rsidRPr="0003526C">
        <w:t>des demandes à caractère religieux,</w:t>
      </w:r>
      <w:r>
        <w:t xml:space="preserve"> l’employeur entend garantir la bonne marche de son entreprise d’un point de vue organisationnel</w:t>
      </w:r>
      <w:r>
        <w:rPr>
          <w:rStyle w:val="Appelnotedebasdep"/>
        </w:rPr>
        <w:footnoteReference w:id="202"/>
      </w:r>
      <w:r w:rsidR="00266B53">
        <w:t>.</w:t>
      </w:r>
    </w:p>
    <w:p w14:paraId="286BBB66" w14:textId="08A570BC" w:rsidR="00B6009F" w:rsidRDefault="00405BEC" w:rsidP="00960BD9">
      <w:pPr>
        <w:pStyle w:val="Paragraphedeliste"/>
      </w:pPr>
      <w:r>
        <w:t>En deuxième lieu, c</w:t>
      </w:r>
      <w:r w:rsidR="00B6009F">
        <w:t xml:space="preserve">ette neutralité au service du bon fonctionnement interne peut aller au-delà des seules questions organisationnelles, et viser </w:t>
      </w:r>
      <w:r w:rsidR="00B6009F" w:rsidRPr="00736688">
        <w:t xml:space="preserve">les </w:t>
      </w:r>
      <w:r w:rsidR="00B6009F" w:rsidRPr="008D517D">
        <w:t>relations</w:t>
      </w:r>
      <w:r w:rsidR="00E64195" w:rsidRPr="008D517D">
        <w:t xml:space="preserve"> </w:t>
      </w:r>
      <w:r w:rsidRPr="008D517D">
        <w:t xml:space="preserve">interpersonnelles </w:t>
      </w:r>
      <w:r w:rsidR="00B6009F" w:rsidRPr="008D517D">
        <w:t>entre travailleurs</w:t>
      </w:r>
      <w:r w:rsidR="00B6009F" w:rsidRPr="00736688">
        <w:t xml:space="preserve">. </w:t>
      </w:r>
      <w:r w:rsidR="002829E6">
        <w:t>L’entreprise est dans ce cas prior</w:t>
      </w:r>
      <w:r w:rsidR="006D640B">
        <w:t>itairement envisagée</w:t>
      </w:r>
      <w:r w:rsidR="00E64195" w:rsidRPr="00E64195">
        <w:t xml:space="preserve"> en tant que communauté de travail</w:t>
      </w:r>
      <w:r w:rsidR="00E64195">
        <w:t xml:space="preserve">. </w:t>
      </w:r>
      <w:r w:rsidR="00E64195" w:rsidRPr="00736688">
        <w:t>La neutralisation des expressions religieuses</w:t>
      </w:r>
      <w:r w:rsidR="00E64195" w:rsidRPr="00E64195">
        <w:t xml:space="preserve"> </w:t>
      </w:r>
      <w:r w:rsidR="00B6009F" w:rsidRPr="00E64195">
        <w:t>v</w:t>
      </w:r>
      <w:r w:rsidR="00B6009F" w:rsidRPr="00736688">
        <w:t xml:space="preserve">iserait </w:t>
      </w:r>
      <w:r w:rsidR="006D640B">
        <w:t xml:space="preserve">alors </w:t>
      </w:r>
      <w:r w:rsidR="00B6009F" w:rsidRPr="00736688">
        <w:t xml:space="preserve">à </w:t>
      </w:r>
      <w:r w:rsidR="00B6009F">
        <w:t>éviter certaines tensions entre travailleurs, liées à la religion, qui mettrai</w:t>
      </w:r>
      <w:r w:rsidR="00E64195">
        <w:t>en</w:t>
      </w:r>
      <w:r w:rsidR="00B6009F">
        <w:t xml:space="preserve">t à mal la </w:t>
      </w:r>
      <w:r w:rsidR="00B6009F" w:rsidRPr="008D517D">
        <w:t>paix sociale</w:t>
      </w:r>
      <w:r w:rsidR="00B6009F">
        <w:t xml:space="preserve"> au sein de l’entreprise.</w:t>
      </w:r>
      <w:r w:rsidR="00B6009F">
        <w:rPr>
          <w:rStyle w:val="Appelnotedebasdep"/>
        </w:rPr>
        <w:footnoteReference w:id="203"/>
      </w:r>
      <w:r w:rsidR="00B6009F">
        <w:t xml:space="preserve"> Sont notamment visés l’atteinte aux droits et libertés d’autres travailleurs, de même que le prosélytisme abusif au sein de l’entreprise</w:t>
      </w:r>
      <w:r w:rsidR="00B6009F">
        <w:rPr>
          <w:rStyle w:val="Appelnotedebasdep"/>
        </w:rPr>
        <w:footnoteReference w:id="204"/>
      </w:r>
      <w:r w:rsidR="00266B53">
        <w:t>.</w:t>
      </w:r>
    </w:p>
    <w:p w14:paraId="20C35BEE" w14:textId="5DDFA1E8" w:rsidR="00BC4464" w:rsidRPr="009C521F" w:rsidRDefault="00BC4464" w:rsidP="00BC4464">
      <w:r w:rsidRPr="009C521F">
        <w:t>Sur ce premier point, eu égard aux situations déjà envisagées dans le registre du bon fonctionnement</w:t>
      </w:r>
      <w:r w:rsidRPr="009C521F">
        <w:fldChar w:fldCharType="begin"/>
      </w:r>
      <w:r w:rsidRPr="009C521F">
        <w:instrText xml:space="preserve"> XE "</w:instrText>
      </w:r>
      <w:r w:rsidRPr="009C521F">
        <w:rPr>
          <w:rFonts w:eastAsia="Times New Roman" w:cs="Calibri"/>
          <w:lang w:eastAsia="fr-BE"/>
        </w:rPr>
        <w:instrText>Bon fonctionnement"</w:instrText>
      </w:r>
      <w:r w:rsidRPr="009C521F">
        <w:instrText xml:space="preserve"> </w:instrText>
      </w:r>
      <w:r w:rsidRPr="009C521F">
        <w:fldChar w:fldCharType="end"/>
      </w:r>
      <w:r w:rsidRPr="009C521F">
        <w:t>, il s’agit désormais d’envisager celles-ci sous un autre angle que celui de l’impact proprement opérationnel, en se concentrant sur l’influence des demandes à caractère religieux sur les relations entre travailleurs. Ainsi, dans le cas de la prière</w:t>
      </w:r>
      <w:r w:rsidRPr="009C521F">
        <w:fldChar w:fldCharType="begin"/>
      </w:r>
      <w:r w:rsidRPr="009C521F">
        <w:instrText xml:space="preserve"> XE "</w:instrText>
      </w:r>
      <w:r w:rsidRPr="009C521F">
        <w:rPr>
          <w:rFonts w:eastAsia="Times New Roman" w:cs="Calibri"/>
          <w:lang w:eastAsia="fr-BE"/>
        </w:rPr>
        <w:instrText>Prière"</w:instrText>
      </w:r>
      <w:r w:rsidRPr="009C521F">
        <w:instrText xml:space="preserve"> </w:instrText>
      </w:r>
      <w:r w:rsidRPr="009C521F">
        <w:fldChar w:fldCharType="end"/>
      </w:r>
      <w:r w:rsidRPr="009C521F">
        <w:t xml:space="preserve">, il s’agira non plus de se demander si l’entreprise bénéficie effectivement d’un local pouvant être mis à disposition des travailleurs désirant prier, mais </w:t>
      </w:r>
      <w:r w:rsidRPr="009C521F">
        <w:lastRenderedPageBreak/>
        <w:t>plutôt de savoir dans quelle mesure l’exercice de la prière sur le lieu de travail est susceptible d’influencer l’harmonie des relations entre travailleurs au sein de l’entreprise</w:t>
      </w:r>
      <w:r w:rsidRPr="009C521F">
        <w:rPr>
          <w:rStyle w:val="Appelnotedebasdep"/>
        </w:rPr>
        <w:footnoteReference w:id="205"/>
      </w:r>
      <w:r w:rsidR="00266B53">
        <w:t>.</w:t>
      </w:r>
      <w:r w:rsidRPr="009C521F">
        <w:t xml:space="preserve"> De même, la question</w:t>
      </w:r>
      <w:r w:rsidR="000421FA" w:rsidRPr="000421FA">
        <w:t xml:space="preserve"> </w:t>
      </w:r>
      <w:r w:rsidR="000421FA" w:rsidRPr="009C521F">
        <w:t>des horaires</w:t>
      </w:r>
      <w:r w:rsidR="000421FA" w:rsidRPr="009C521F">
        <w:fldChar w:fldCharType="begin"/>
      </w:r>
      <w:r w:rsidR="000421FA" w:rsidRPr="009C521F">
        <w:instrText xml:space="preserve"> XE "</w:instrText>
      </w:r>
      <w:r w:rsidR="000421FA" w:rsidRPr="009C521F">
        <w:rPr>
          <w:rFonts w:eastAsia="Times New Roman" w:cs="Calibri"/>
          <w:lang w:eastAsia="fr-BE"/>
        </w:rPr>
        <w:instrText>Horaires de travail"</w:instrText>
      </w:r>
      <w:r w:rsidR="000421FA" w:rsidRPr="009C521F">
        <w:instrText xml:space="preserve"> </w:instrText>
      </w:r>
      <w:r w:rsidR="000421FA" w:rsidRPr="009C521F">
        <w:fldChar w:fldCharType="end"/>
      </w:r>
      <w:r w:rsidR="000421FA" w:rsidRPr="009C521F">
        <w:t xml:space="preserve"> et congés</w:t>
      </w:r>
      <w:r w:rsidRPr="009C521F">
        <w:t xml:space="preserve"> sera ici examinée du point de vue de l’impact sur les horaires et congés des autres travailleurs. Quant aux signes religieux, leur potentielle influence sur la paix sociale a été notamment mise en exergue à l’occasion de l’affaire </w:t>
      </w:r>
      <w:r w:rsidRPr="009C521F">
        <w:rPr>
          <w:i/>
        </w:rPr>
        <w:t>WABE-Müller</w:t>
      </w:r>
      <w:r w:rsidRPr="009C521F">
        <w:t xml:space="preserve"> jugée par la CJUE, où est évoquée « la prévention des conflits sociaux au sein de l’entreprise »</w:t>
      </w:r>
      <w:r w:rsidRPr="009C521F">
        <w:rPr>
          <w:rStyle w:val="Appelnotedebasdep"/>
        </w:rPr>
        <w:footnoteReference w:id="206"/>
      </w:r>
      <w:r w:rsidRPr="009C521F">
        <w:t xml:space="preserve">. Enfin, sur le refus d’exécuter certaines tâches, il s’agira d’évaluer l’influence </w:t>
      </w:r>
      <w:r w:rsidR="00266B53">
        <w:t>d’une telle objection</w:t>
      </w:r>
      <w:r w:rsidRPr="009C521F">
        <w:t xml:space="preserve"> sur le respect des droits des autres travailleurs.</w:t>
      </w:r>
    </w:p>
    <w:p w14:paraId="0B05F999" w14:textId="67532934" w:rsidR="00BC4464" w:rsidRPr="009C521F" w:rsidRDefault="009C02E3" w:rsidP="00BC4464">
      <w:r>
        <w:t>Par ailleurs</w:t>
      </w:r>
      <w:r w:rsidR="00BC4464" w:rsidRPr="009C521F">
        <w:t>, d’autres situations, non évoquées jusqu’ici, peuvent revêtir une importance particulière du point de vue de la paix sociale</w:t>
      </w:r>
      <w:r w:rsidR="00BC4464" w:rsidRPr="009C521F">
        <w:fldChar w:fldCharType="begin"/>
      </w:r>
      <w:r w:rsidR="00BC4464" w:rsidRPr="009C521F">
        <w:instrText xml:space="preserve"> XE "</w:instrText>
      </w:r>
      <w:r w:rsidR="00BC4464" w:rsidRPr="009C521F">
        <w:rPr>
          <w:rFonts w:eastAsia="Times New Roman" w:cs="Calibri"/>
          <w:lang w:eastAsia="fr-BE"/>
        </w:rPr>
        <w:instrText>Paix sociale"</w:instrText>
      </w:r>
      <w:r w:rsidR="00BC4464" w:rsidRPr="009C521F">
        <w:instrText xml:space="preserve"> </w:instrText>
      </w:r>
      <w:r w:rsidR="00BC4464" w:rsidRPr="009C521F">
        <w:fldChar w:fldCharType="end"/>
      </w:r>
      <w:r w:rsidR="00BC4464" w:rsidRPr="009C521F">
        <w:t xml:space="preserve">. </w:t>
      </w:r>
      <w:bookmarkStart w:id="30" w:name="_Hlk38805720"/>
      <w:r w:rsidR="00BC4464" w:rsidRPr="009C521F">
        <w:t>C’est en particulier le cas des attitudes ayant proprement trait aux relations entre travailleurs, telles que les formes de salutation</w:t>
      </w:r>
      <w:bookmarkStart w:id="31" w:name="_Ref121315736"/>
      <w:r w:rsidR="00BC4464" w:rsidRPr="009C521F">
        <w:rPr>
          <w:rStyle w:val="Appelnotedebasdep"/>
        </w:rPr>
        <w:footnoteReference w:id="207"/>
      </w:r>
      <w:bookmarkEnd w:id="31"/>
      <w:r w:rsidR="00BC4464" w:rsidRPr="009C521F">
        <w:t xml:space="preserve">, les rapports hiérarchiques ou les </w:t>
      </w:r>
      <w:r w:rsidR="00E96487">
        <w:t>relations</w:t>
      </w:r>
      <w:r w:rsidR="00BC4464" w:rsidRPr="009C521F">
        <w:t xml:space="preserve"> entre homme et femme</w:t>
      </w:r>
      <w:r w:rsidR="00BC4464" w:rsidRPr="009C521F">
        <w:rPr>
          <w:rStyle w:val="Appelnotedebasdep"/>
        </w:rPr>
        <w:footnoteReference w:id="208"/>
      </w:r>
      <w:bookmarkEnd w:id="30"/>
      <w:r w:rsidR="00266B53">
        <w:t>.</w:t>
      </w:r>
      <w:r w:rsidR="009973A6" w:rsidRPr="009C521F">
        <w:t xml:space="preserve"> </w:t>
      </w:r>
      <w:r w:rsidR="00BC4464" w:rsidRPr="009C521F">
        <w:t xml:space="preserve">Ces comportements soulèvent une difficulté particulière lorsque ceux-ci ont pour effet de mettre en difficulté le climat relationnel au sein de la communauté de travail, voire de porter atteinte aux droits de certains travailleurs. Comme le mettent en exergue Dounia et Lylia </w:t>
      </w:r>
      <w:proofErr w:type="spellStart"/>
      <w:r w:rsidR="00BC4464" w:rsidRPr="009C521F">
        <w:t>Bouzar</w:t>
      </w:r>
      <w:proofErr w:type="spellEnd"/>
      <w:r w:rsidR="00BC4464" w:rsidRPr="009C521F">
        <w:t>, ces « dysfonctionnements relationnels »</w:t>
      </w:r>
      <w:bookmarkStart w:id="32" w:name="_Hlk38805932"/>
      <w:r w:rsidR="00BC4464" w:rsidRPr="009C521F">
        <w:rPr>
          <w:rStyle w:val="Appelnotedebasdep"/>
        </w:rPr>
        <w:footnoteReference w:id="209"/>
      </w:r>
      <w:r w:rsidR="00BC4464" w:rsidRPr="009C521F">
        <w:t xml:space="preserve"> </w:t>
      </w:r>
      <w:bookmarkEnd w:id="32"/>
      <w:r w:rsidR="00BC4464" w:rsidRPr="009C521F">
        <w:t>soulèvent tout spécialement la question de la sincérité de la croyance invoquée par le travailleur pour justifier certains comportements ou refus : comment, en effet, distinguer d’une part le problème relationnel – voire la situation de harcèlement – sur lequel est inopportunément greffée une dimension religieuse, et, d’autre part, la manifestation religieuse sincère mais non moins problématique ? Dans ce cas, peut se poser la question du prosélytisme</w:t>
      </w:r>
      <w:r w:rsidR="00BC4464" w:rsidRPr="009C521F">
        <w:fldChar w:fldCharType="begin"/>
      </w:r>
      <w:r w:rsidR="00BC4464" w:rsidRPr="009C521F">
        <w:instrText xml:space="preserve"> XE "</w:instrText>
      </w:r>
      <w:r w:rsidR="00BC4464" w:rsidRPr="009C521F">
        <w:rPr>
          <w:rFonts w:eastAsia="Times New Roman" w:cs="Calibri"/>
          <w:lang w:eastAsia="fr-BE"/>
        </w:rPr>
        <w:instrText>Prosélytisme"</w:instrText>
      </w:r>
      <w:r w:rsidR="00BC4464" w:rsidRPr="009C521F">
        <w:instrText xml:space="preserve"> </w:instrText>
      </w:r>
      <w:r w:rsidR="00BC4464" w:rsidRPr="009C521F">
        <w:fldChar w:fldCharType="end"/>
      </w:r>
      <w:r w:rsidR="00BC4464" w:rsidRPr="009C521F">
        <w:t xml:space="preserve"> abusif, et de ses liens avec les situations de harcèlement</w:t>
      </w:r>
      <w:r w:rsidR="00BC4464" w:rsidRPr="009C521F">
        <w:rPr>
          <w:rStyle w:val="Appelnotedebasdep"/>
        </w:rPr>
        <w:footnoteReference w:id="210"/>
      </w:r>
      <w:r w:rsidR="00E96487">
        <w:t>.</w:t>
      </w:r>
      <w:r w:rsidR="00BC4464" w:rsidRPr="009C521F">
        <w:t xml:space="preserve"> De même, est ici questionnée la frontière entre la croyance religieuse et la tradition culturelle</w:t>
      </w:r>
      <w:r w:rsidR="00BC4464" w:rsidRPr="009C521F">
        <w:rPr>
          <w:rStyle w:val="Appelnotedebasdep"/>
        </w:rPr>
        <w:footnoteReference w:id="211"/>
      </w:r>
      <w:r w:rsidR="00E96487">
        <w:t>.</w:t>
      </w:r>
    </w:p>
    <w:p w14:paraId="1916CEB8" w14:textId="77777777" w:rsidR="001929D2" w:rsidRDefault="00BC4464" w:rsidP="00344CB2">
      <w:r w:rsidRPr="009C521F">
        <w:t>Enfin, plus globalement, les situations liées à la paix sociale</w:t>
      </w:r>
      <w:r w:rsidRPr="009C521F">
        <w:fldChar w:fldCharType="begin"/>
      </w:r>
      <w:r w:rsidRPr="009C521F">
        <w:instrText xml:space="preserve"> XE "</w:instrText>
      </w:r>
      <w:r w:rsidRPr="009C521F">
        <w:rPr>
          <w:rFonts w:eastAsia="Times New Roman" w:cs="Calibri"/>
          <w:lang w:eastAsia="fr-BE"/>
        </w:rPr>
        <w:instrText>Paix sociale"</w:instrText>
      </w:r>
      <w:r w:rsidRPr="009C521F">
        <w:instrText xml:space="preserve"> </w:instrText>
      </w:r>
      <w:r w:rsidRPr="009C521F">
        <w:fldChar w:fldCharType="end"/>
      </w:r>
      <w:r w:rsidRPr="009C521F">
        <w:t xml:space="preserve"> touchent régulièrement à l’hypothèse d’un conflit de droits. Sont ici opposées d’une part, la liberté du travailleur de manifester sa religion, </w:t>
      </w:r>
      <w:r w:rsidRPr="009C521F">
        <w:lastRenderedPageBreak/>
        <w:t>et, d’autre part, les effets potentiellement discriminatoires que l’exercice de cette liberté entraîne vis-à-vis d’autres travailleurs</w:t>
      </w:r>
      <w:r w:rsidRPr="009C521F">
        <w:rPr>
          <w:rStyle w:val="Appelnotedebasdep"/>
        </w:rPr>
        <w:footnoteReference w:id="212"/>
      </w:r>
      <w:r w:rsidR="00E96487">
        <w:t>.</w:t>
      </w:r>
      <w:r w:rsidR="00344CB2" w:rsidRPr="009C521F">
        <w:t xml:space="preserve"> </w:t>
      </w:r>
    </w:p>
    <w:p w14:paraId="1A66B017" w14:textId="2936453C" w:rsidR="000521DA" w:rsidRPr="009973A6" w:rsidRDefault="00344CB2" w:rsidP="00E64195">
      <w:r w:rsidRPr="009C521F">
        <w:t xml:space="preserve">Dans un registre subsidiaire, cette neutralité interne et instrumentale peut également être mise en lien avec le climat de </w:t>
      </w:r>
      <w:r w:rsidRPr="008D517D">
        <w:t>lutte antiterroriste</w:t>
      </w:r>
      <w:r w:rsidRPr="001929D2">
        <w:t xml:space="preserve"> et de </w:t>
      </w:r>
      <w:r w:rsidRPr="008D517D">
        <w:t>prévention de la radicalisation</w:t>
      </w:r>
      <w:r w:rsidRPr="009C521F">
        <w:t xml:space="preserve"> sur le lieu de travail. Dans ce contexte, les chefs d’entreprise </w:t>
      </w:r>
      <w:r w:rsidR="00E96487">
        <w:t>sont potentiellement</w:t>
      </w:r>
      <w:r w:rsidRPr="009C521F">
        <w:t xml:space="preserve"> amenés à rechercher des « signaux faibles » de radicalisation violente, ou, à tout le moins, à avoir une sensibilité plus accrue à ce sujet</w:t>
      </w:r>
      <w:r w:rsidRPr="009C521F">
        <w:rPr>
          <w:rStyle w:val="Appelnotedebasdep"/>
        </w:rPr>
        <w:footnoteReference w:id="213"/>
      </w:r>
      <w:r w:rsidR="00E96487">
        <w:t>.</w:t>
      </w:r>
      <w:r w:rsidRPr="009C521F">
        <w:t xml:space="preserve"> Le </w:t>
      </w:r>
      <w:r w:rsidRPr="008D517D">
        <w:t>communautarisme</w:t>
      </w:r>
      <w:r w:rsidRPr="009C521F">
        <w:t xml:space="preserve"> religieux ferait en ce sens obstacle à la </w:t>
      </w:r>
      <w:r w:rsidRPr="008D517D">
        <w:t>communauté</w:t>
      </w:r>
      <w:r w:rsidRPr="009C521F">
        <w:t xml:space="preserve"> de travail</w:t>
      </w:r>
      <w:r w:rsidRPr="009C521F">
        <w:rPr>
          <w:rStyle w:val="Appelnotedebasdep"/>
        </w:rPr>
        <w:footnoteReference w:id="214"/>
      </w:r>
      <w:r w:rsidR="00E96487">
        <w:t>.</w:t>
      </w:r>
    </w:p>
    <w:p w14:paraId="4B2CEBB6" w14:textId="2DA6AA5A" w:rsidR="00BA3B64" w:rsidRDefault="00BA3B64" w:rsidP="00B55CE0">
      <w:pPr>
        <w:pStyle w:val="Titre4"/>
      </w:pPr>
      <w:r>
        <w:t>Illustration : l’art</w:t>
      </w:r>
      <w:r w:rsidR="00B55CE0">
        <w:t>icle</w:t>
      </w:r>
      <w:r>
        <w:t xml:space="preserve"> L1321</w:t>
      </w:r>
      <w:r>
        <w:noBreakHyphen/>
        <w:t>2</w:t>
      </w:r>
      <w:r>
        <w:noBreakHyphen/>
        <w:t>1 du Code du travail</w:t>
      </w:r>
      <w:r w:rsidR="00344CB2" w:rsidRPr="00344CB2">
        <w:t xml:space="preserve"> </w:t>
      </w:r>
      <w:r w:rsidR="00344CB2">
        <w:t>français</w:t>
      </w:r>
      <w:r w:rsidR="00D86F23">
        <w:t xml:space="preserve"> et l’arrêt </w:t>
      </w:r>
      <w:r w:rsidR="00D86F23" w:rsidRPr="00D86F23">
        <w:rPr>
          <w:i w:val="0"/>
        </w:rPr>
        <w:t>WABE-Müller</w:t>
      </w:r>
      <w:r w:rsidR="00D86F23">
        <w:t xml:space="preserve"> de la CJUE</w:t>
      </w:r>
    </w:p>
    <w:p w14:paraId="058A6BF2" w14:textId="3DCC7601" w:rsidR="00B55CE0" w:rsidRDefault="00B55CE0" w:rsidP="00960BD9">
      <w:pPr>
        <w:pStyle w:val="Paragraphedeliste"/>
      </w:pPr>
      <w:bookmarkStart w:id="33" w:name="_Ref112879173"/>
      <w:bookmarkStart w:id="34" w:name="_Hlk38807159"/>
      <w:r w:rsidRPr="00835BA0">
        <w:t>Les deux registres du bon fonctionnement</w:t>
      </w:r>
      <w:r w:rsidRPr="00835BA0">
        <w:fldChar w:fldCharType="begin"/>
      </w:r>
      <w:r w:rsidRPr="00835BA0">
        <w:instrText xml:space="preserve"> XE "</w:instrText>
      </w:r>
      <w:r w:rsidRPr="00835BA0">
        <w:rPr>
          <w:rFonts w:eastAsia="Times New Roman" w:cs="Calibri"/>
          <w:color w:val="000000"/>
          <w:lang w:eastAsia="fr-BE"/>
        </w:rPr>
        <w:instrText>Bon fonctionnement"</w:instrText>
      </w:r>
      <w:r w:rsidRPr="00835BA0">
        <w:instrText xml:space="preserve"> </w:instrText>
      </w:r>
      <w:r w:rsidRPr="00835BA0">
        <w:fldChar w:fldCharType="end"/>
      </w:r>
      <w:r w:rsidRPr="00835BA0">
        <w:t xml:space="preserve"> et de la paix sociale</w:t>
      </w:r>
      <w:r w:rsidRPr="00835BA0">
        <w:fldChar w:fldCharType="begin"/>
      </w:r>
      <w:r w:rsidRPr="00835BA0">
        <w:instrText xml:space="preserve"> XE "</w:instrText>
      </w:r>
      <w:r w:rsidRPr="00835BA0">
        <w:rPr>
          <w:rFonts w:eastAsia="Times New Roman" w:cs="Calibri"/>
          <w:color w:val="000000"/>
          <w:lang w:eastAsia="fr-BE"/>
        </w:rPr>
        <w:instrText>Paix sociale"</w:instrText>
      </w:r>
      <w:r w:rsidRPr="00835BA0">
        <w:instrText xml:space="preserve"> </w:instrText>
      </w:r>
      <w:r w:rsidRPr="00835BA0">
        <w:fldChar w:fldCharType="end"/>
      </w:r>
      <w:r w:rsidRPr="00835BA0">
        <w:t xml:space="preserve"> font écho aux catégorisations développées par certains auteurs</w:t>
      </w:r>
      <w:r w:rsidRPr="00835BA0">
        <w:rPr>
          <w:rStyle w:val="Appelnotedebasdep"/>
        </w:rPr>
        <w:footnoteReference w:id="215"/>
      </w:r>
      <w:r w:rsidRPr="00835BA0">
        <w:t xml:space="preserve">, mais aussi, plus spécifiquement, </w:t>
      </w:r>
      <w:r w:rsidR="00835BA0">
        <w:t xml:space="preserve">à l’affaire </w:t>
      </w:r>
      <w:r w:rsidR="00835BA0">
        <w:rPr>
          <w:i/>
          <w:iCs/>
        </w:rPr>
        <w:t xml:space="preserve">Baby Loup </w:t>
      </w:r>
      <w:r w:rsidR="00835BA0">
        <w:t xml:space="preserve">et </w:t>
      </w:r>
      <w:r w:rsidRPr="00835BA0">
        <w:t>à l’article L1321-2-1</w:t>
      </w:r>
      <w:r w:rsidRPr="00835BA0">
        <w:fldChar w:fldCharType="begin"/>
      </w:r>
      <w:r w:rsidRPr="00835BA0">
        <w:instrText xml:space="preserve"> XE "</w:instrText>
      </w:r>
      <w:r w:rsidRPr="00835BA0">
        <w:rPr>
          <w:rFonts w:eastAsia="Times New Roman" w:cs="Calibri"/>
          <w:color w:val="000000"/>
          <w:lang w:eastAsia="fr-BE"/>
        </w:rPr>
        <w:instrText>Article L1321-2-1 du Code du travail français"</w:instrText>
      </w:r>
      <w:r w:rsidRPr="00835BA0">
        <w:instrText xml:space="preserve"> </w:instrText>
      </w:r>
      <w:r w:rsidRPr="00835BA0">
        <w:fldChar w:fldCharType="end"/>
      </w:r>
      <w:r w:rsidRPr="00835BA0">
        <w:t xml:space="preserve"> introduit dans le Code du travail français en 2016</w:t>
      </w:r>
      <w:r w:rsidR="00835BA0">
        <w:t>.</w:t>
      </w:r>
      <w:bookmarkEnd w:id="33"/>
    </w:p>
    <w:p w14:paraId="0A7E7B46" w14:textId="6BB807DF" w:rsidR="00835BA0" w:rsidRDefault="00835BA0" w:rsidP="00C655AA">
      <w:r>
        <w:t xml:space="preserve">En guise d’illustration de cette première hypothèse d’entreprise neutre, l’on peut en effet citer </w:t>
      </w:r>
      <w:r w:rsidR="00344CB2">
        <w:t>la</w:t>
      </w:r>
      <w:r>
        <w:t xml:space="preserve"> désormais illustre </w:t>
      </w:r>
      <w:r w:rsidR="00344CB2">
        <w:t xml:space="preserve">affaire </w:t>
      </w:r>
      <w:r>
        <w:t xml:space="preserve">de la crèche </w:t>
      </w:r>
      <w:r w:rsidRPr="00C03416">
        <w:rPr>
          <w:i/>
          <w:iCs/>
        </w:rPr>
        <w:t>Baby Loup</w:t>
      </w:r>
      <w:r>
        <w:t xml:space="preserve"> en </w:t>
      </w:r>
      <w:r w:rsidR="00344CB2">
        <w:t>France, relative au</w:t>
      </w:r>
      <w:r>
        <w:t xml:space="preserve"> licenciement de la directrice adjointe de la crèche, faisant suite à son refus de ne pas porter son foulard islamique au travail, malgré la règle de neutralité interdisant le port de signes religieux. Dans l’ultime – et décisif – arrêt rendu sur cette affaire, l’assemblée plénière de la Cour de cassation s’appuie précisément sur l’idée de </w:t>
      </w:r>
      <w:r w:rsidRPr="00C03416">
        <w:t xml:space="preserve">neutralité en tant que « mode d’organisation », afin de justifier la licéité de son application </w:t>
      </w:r>
      <w:r w:rsidRPr="00C03416">
        <w:rPr>
          <w:i/>
          <w:iCs/>
        </w:rPr>
        <w:t xml:space="preserve">in </w:t>
      </w:r>
      <w:proofErr w:type="spellStart"/>
      <w:r w:rsidRPr="00C03416">
        <w:rPr>
          <w:i/>
          <w:iCs/>
        </w:rPr>
        <w:t>casu</w:t>
      </w:r>
      <w:proofErr w:type="spellEnd"/>
      <w:r>
        <w:rPr>
          <w:rStyle w:val="Appelnotedebasdep"/>
        </w:rPr>
        <w:footnoteReference w:id="216"/>
      </w:r>
      <w:r w:rsidR="00F11D6E">
        <w:rPr>
          <w:i/>
          <w:iCs/>
        </w:rPr>
        <w:t>.</w:t>
      </w:r>
    </w:p>
    <w:bookmarkEnd w:id="34"/>
    <w:p w14:paraId="7042A76E" w14:textId="2383799F" w:rsidR="00835BA0" w:rsidRDefault="00493C5B" w:rsidP="00960BD9">
      <w:pPr>
        <w:pStyle w:val="Paragraphedeliste"/>
      </w:pPr>
      <w:r>
        <w:t>Sur le plan législatif, l</w:t>
      </w:r>
      <w:r w:rsidR="00835BA0">
        <w:t>a neutralité interne et instrumentale, invoquée par l’employeur comme outil de gestion de l’entreprise, s’est récemment vu octroyer un écho particulier au sein du droit français. L’article L1321-2-1</w:t>
      </w:r>
      <w:r>
        <w:t xml:space="preserve"> du Code du travail</w:t>
      </w:r>
      <w:r w:rsidR="00835BA0">
        <w:fldChar w:fldCharType="begin"/>
      </w:r>
      <w:r w:rsidR="00835BA0">
        <w:instrText xml:space="preserve"> XE "</w:instrText>
      </w:r>
      <w:r w:rsidR="00835BA0" w:rsidRPr="00821CE3">
        <w:rPr>
          <w:rFonts w:eastAsia="Times New Roman" w:cs="Calibri"/>
          <w:color w:val="000000"/>
          <w:lang w:eastAsia="fr-BE"/>
        </w:rPr>
        <w:instrText>Article L1321-2-1 du Code du travail français</w:instrText>
      </w:r>
      <w:r w:rsidR="00835BA0">
        <w:rPr>
          <w:rFonts w:eastAsia="Times New Roman" w:cs="Calibri"/>
          <w:color w:val="000000"/>
          <w:lang w:eastAsia="fr-BE"/>
        </w:rPr>
        <w:instrText>"</w:instrText>
      </w:r>
      <w:r w:rsidR="00835BA0">
        <w:instrText xml:space="preserve"> </w:instrText>
      </w:r>
      <w:r w:rsidR="00835BA0">
        <w:fldChar w:fldCharType="end"/>
      </w:r>
      <w:r w:rsidR="00835BA0">
        <w:t>, adopté en 2016 dans le cadre de la « loi travail »</w:t>
      </w:r>
      <w:r w:rsidR="00835BA0" w:rsidRPr="00971C46">
        <w:t xml:space="preserve"> </w:t>
      </w:r>
      <w:r w:rsidR="00835BA0">
        <w:t>– ou « loi El Khomri », du nom de la ministre du Travail de l’époque – dispose en effet que </w:t>
      </w:r>
    </w:p>
    <w:p w14:paraId="481E29EF" w14:textId="77777777" w:rsidR="00835BA0" w:rsidRDefault="00835BA0" w:rsidP="00835BA0">
      <w:pPr>
        <w:pStyle w:val="Citation1"/>
        <w:rPr>
          <w:rFonts w:eastAsiaTheme="minorHAnsi"/>
        </w:rPr>
      </w:pPr>
      <w:r w:rsidRPr="00971C46">
        <w:rPr>
          <w:rFonts w:eastAsiaTheme="minorHAnsi"/>
        </w:rPr>
        <w:t xml:space="preserve">Le règlement intérieur peut contenir des dispositions inscrivant le principe de neutralité et restreignant la manifestation des convictions des salariés si </w:t>
      </w:r>
      <w:bookmarkStart w:id="35" w:name="_Hlk38807588"/>
      <w:r w:rsidRPr="00971C46">
        <w:rPr>
          <w:rFonts w:eastAsiaTheme="minorHAnsi"/>
        </w:rPr>
        <w:t xml:space="preserve">ces restrictions </w:t>
      </w:r>
      <w:bookmarkEnd w:id="35"/>
      <w:r w:rsidRPr="00971C46">
        <w:rPr>
          <w:rFonts w:eastAsiaTheme="minorHAnsi"/>
        </w:rPr>
        <w:t>sont justifiées par l'exercice d'autres libertés et droits fondamentaux ou par les nécessités du bon fonctionnement</w:t>
      </w:r>
      <w:r>
        <w:rPr>
          <w:rFonts w:eastAsiaTheme="minorHAnsi"/>
        </w:rPr>
        <w:fldChar w:fldCharType="begin"/>
      </w:r>
      <w:r>
        <w:rPr>
          <w:rFonts w:eastAsiaTheme="minorHAnsi"/>
        </w:rP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rPr>
          <w:rFonts w:eastAsiaTheme="minorHAnsi"/>
        </w:rPr>
        <w:instrText xml:space="preserve"> </w:instrText>
      </w:r>
      <w:r>
        <w:rPr>
          <w:rFonts w:eastAsiaTheme="minorHAnsi"/>
        </w:rPr>
        <w:fldChar w:fldCharType="end"/>
      </w:r>
      <w:r w:rsidRPr="00971C46">
        <w:rPr>
          <w:rFonts w:eastAsiaTheme="minorHAnsi"/>
        </w:rPr>
        <w:t xml:space="preserve"> de l'entreprise et si elles sont proportionnées au but recherché.</w:t>
      </w:r>
    </w:p>
    <w:p w14:paraId="71DB13A5" w14:textId="184B3BE0" w:rsidR="005C11EE" w:rsidRDefault="00835BA0" w:rsidP="00835BA0">
      <w:r>
        <w:t>Outre sa référence inédite à l’idée de neutralité dans le contexte de l’entreprise privée, l’article en question mentionne à la fois « le bon fonctionnement</w:t>
      </w:r>
      <w:r>
        <w:fldChar w:fldCharType="begin"/>
      </w:r>
      <w: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instrText xml:space="preserve"> </w:instrText>
      </w:r>
      <w:r>
        <w:fldChar w:fldCharType="end"/>
      </w:r>
      <w:r>
        <w:t xml:space="preserve"> de l’entreprise » et « l’exercice d’autres droits </w:t>
      </w:r>
      <w:r>
        <w:lastRenderedPageBreak/>
        <w:t>et libertés fondamentaux » comme autant de motifs légitimes de restriction des manifestations convictionnelles des travailleurs. Ces deux motifs s’inscrivent donc largement dans la lignée de l’invocation d’une neutralité instrumentale en tant qu’outil de gestion interne de l’entreprise, tant sur le plan du bon fonctionnement que de celui de la paix sociale</w:t>
      </w:r>
      <w:r>
        <w:fldChar w:fldCharType="begin"/>
      </w:r>
      <w:r>
        <w:instrText xml:space="preserve"> XE "</w:instrText>
      </w:r>
      <w:r w:rsidRPr="00821CE3">
        <w:rPr>
          <w:rFonts w:eastAsia="Times New Roman" w:cs="Calibri"/>
          <w:color w:val="000000"/>
          <w:lang w:eastAsia="fr-BE"/>
        </w:rPr>
        <w:instrText>Paix sociale</w:instrText>
      </w:r>
      <w:r>
        <w:rPr>
          <w:rFonts w:eastAsia="Times New Roman" w:cs="Calibri"/>
          <w:color w:val="000000"/>
          <w:lang w:eastAsia="fr-BE"/>
        </w:rPr>
        <w:instrText>"</w:instrText>
      </w:r>
      <w:r>
        <w:instrText xml:space="preserve"> </w:instrText>
      </w:r>
      <w:r>
        <w:fldChar w:fldCharType="end"/>
      </w:r>
      <w:r>
        <w:t xml:space="preserve"> – visée ici à travers l’idée de protection des droits d’autrui.</w:t>
      </w:r>
    </w:p>
    <w:p w14:paraId="02334EA5" w14:textId="752F2C14" w:rsidR="00835BA0" w:rsidRDefault="00835BA0" w:rsidP="00960BD9">
      <w:pPr>
        <w:pStyle w:val="Paragraphedeliste"/>
      </w:pPr>
      <w:r>
        <w:t>À la lecture des travaux parlementaires, tant à l’Assemblée nationale qu’au Sénat français</w:t>
      </w:r>
      <w:r>
        <w:rPr>
          <w:rStyle w:val="Appelnotedebasdep"/>
        </w:rPr>
        <w:footnoteReference w:id="217"/>
      </w:r>
      <w:r>
        <w:t xml:space="preserve">, l’on </w:t>
      </w:r>
      <w:r w:rsidRPr="002956CA">
        <w:t xml:space="preserve">perçoit </w:t>
      </w:r>
      <w:r w:rsidR="00834424">
        <w:t>qu’il</w:t>
      </w:r>
      <w:r>
        <w:t xml:space="preserve"> s’agit, dans l’esprit de nombreux parlementaires, de « donner des clés » aux employeurs privés qui, confrontés à des nécessités organisationnelles liées à la gestion des demandes religieuses, se trouveraient démunis, dans la mesure où la laïcité de l’État ne s’applique pas à leur contexte, et où aucune autre base légale claire n’existe en droit français pour leur permettre de réglementer ces expressions religieuses au sein de leur entreprise</w:t>
      </w:r>
      <w:r>
        <w:rPr>
          <w:rStyle w:val="Appelnotedebasdep"/>
        </w:rPr>
        <w:footnoteReference w:id="218"/>
      </w:r>
      <w:r w:rsidR="00F11D6E">
        <w:t>.</w:t>
      </w:r>
      <w:r w:rsidR="00C80635">
        <w:t xml:space="preserve"> C</w:t>
      </w:r>
      <w:r>
        <w:t>’est</w:t>
      </w:r>
      <w:r w:rsidR="00C80635">
        <w:t xml:space="preserve"> donc</w:t>
      </w:r>
      <w:r>
        <w:t xml:space="preserve"> bien l’idée de neutralité qui semble agir en filigrane de la rédaction du texte, neutralité invoquée non pas en tant que principe purement juridique applicable à l’État et à son administration, mais bien davantage en tant que « principe organisationnel »</w:t>
      </w:r>
      <w:r>
        <w:rPr>
          <w:rStyle w:val="Appelnotedebasdep"/>
        </w:rPr>
        <w:footnoteReference w:id="219"/>
      </w:r>
      <w:r>
        <w:t xml:space="preserve"> s’appliquant à la société française dans son ensemble, en ce compris la sphère de l’entreprise et des relations de travail.</w:t>
      </w:r>
    </w:p>
    <w:p w14:paraId="055CBA6E" w14:textId="75F5F93C" w:rsidR="00835BA0" w:rsidRDefault="00835BA0" w:rsidP="00960BD9">
      <w:pPr>
        <w:pStyle w:val="Paragraphedeliste"/>
      </w:pPr>
      <w:r>
        <w:t>Par-delà les motivations ayant présidé à l’adoption de cet article, il s’agit surtout de déterminer dans quelle mesure celui-ci introduit une donne nouvelle dans la gestion interne des expressions religieuses, non seulement en droit français</w:t>
      </w:r>
      <w:r>
        <w:rPr>
          <w:rStyle w:val="Appelnotedebasdep"/>
        </w:rPr>
        <w:footnoteReference w:id="220"/>
      </w:r>
      <w:r>
        <w:t>, mais aussi et surtout du point de vue du droit européen.</w:t>
      </w:r>
    </w:p>
    <w:p w14:paraId="3E6FB88B" w14:textId="35B19D5C" w:rsidR="009916ED" w:rsidRDefault="00835BA0" w:rsidP="00960BD9">
      <w:pPr>
        <w:pStyle w:val="Paragraphedeliste"/>
      </w:pPr>
      <w:r>
        <w:t xml:space="preserve">La question consiste </w:t>
      </w:r>
      <w:r w:rsidR="00DB7246">
        <w:t>en effet</w:t>
      </w:r>
      <w:r>
        <w:t xml:space="preserve"> à savoir dans quelle mesure cette notion de « bon fonctionnement</w:t>
      </w:r>
      <w:r>
        <w:fldChar w:fldCharType="begin"/>
      </w:r>
      <w:r>
        <w:instrText xml:space="preserve"> XE "</w:instrText>
      </w:r>
      <w:r w:rsidRPr="00821CE3">
        <w:rPr>
          <w:rFonts w:eastAsia="Times New Roman" w:cs="Calibri"/>
          <w:color w:val="000000"/>
          <w:lang w:eastAsia="fr-BE"/>
        </w:rPr>
        <w:instrText>Bon fonctionnement</w:instrText>
      </w:r>
      <w:r>
        <w:rPr>
          <w:rFonts w:eastAsia="Times New Roman" w:cs="Calibri"/>
          <w:color w:val="000000"/>
          <w:lang w:eastAsia="fr-BE"/>
        </w:rPr>
        <w:instrText>"</w:instrText>
      </w:r>
      <w:r>
        <w:instrText xml:space="preserve"> </w:instrText>
      </w:r>
      <w:r>
        <w:fldChar w:fldCharType="end"/>
      </w:r>
      <w:r>
        <w:t> » peut être rattachée aux critères de légitimité</w:t>
      </w:r>
      <w:r w:rsidR="00C655AA">
        <w:t xml:space="preserve"> et de proportionnalité</w:t>
      </w:r>
      <w:r>
        <w:t xml:space="preserve"> respectivement prévus par la </w:t>
      </w:r>
      <w:r w:rsidR="00972B7E">
        <w:t>directive</w:t>
      </w:r>
      <w:r>
        <w:t xml:space="preserve"> 2000/78</w:t>
      </w:r>
      <w:r w:rsidR="00B0746E">
        <w:t>/CE</w:t>
      </w:r>
      <w:r>
        <w:t xml:space="preserve"> et l’article 9 de la CEDH, tels qu’interprétés par </w:t>
      </w:r>
      <w:r w:rsidRPr="007D16FE">
        <w:t>les hautes juridictions européennes</w:t>
      </w:r>
      <w:r>
        <w:t xml:space="preserve">. </w:t>
      </w:r>
    </w:p>
    <w:p w14:paraId="57BE6EAB" w14:textId="5D5A9368" w:rsidR="00DC23BA" w:rsidRDefault="008668C9" w:rsidP="008D517D">
      <w:pPr>
        <w:pStyle w:val="Paragraphedeliste"/>
      </w:pPr>
      <w:r>
        <w:t>En l’absence d’arrêt de la CourEDH à ce sujet, il convient en particulier de confronter ce modèle à la jurisprudence de la CJUE, afin d’y déceler</w:t>
      </w:r>
      <w:r>
        <w:fldChar w:fldCharType="begin"/>
      </w:r>
      <w:r>
        <w:instrText xml:space="preserve"> XE "</w:instrText>
      </w:r>
      <w:r w:rsidRPr="00821CE3">
        <w:rPr>
          <w:rFonts w:eastAsia="Times New Roman" w:cs="Calibri"/>
          <w:color w:val="000000"/>
          <w:lang w:eastAsia="fr-BE"/>
        </w:rPr>
        <w:instrText>Article L1321-2-1 du Code du travail français</w:instrText>
      </w:r>
      <w:r>
        <w:rPr>
          <w:rFonts w:eastAsia="Times New Roman" w:cs="Calibri"/>
          <w:color w:val="000000"/>
          <w:lang w:eastAsia="fr-BE"/>
        </w:rPr>
        <w:instrText>"</w:instrText>
      </w:r>
      <w:r>
        <w:instrText xml:space="preserve"> </w:instrText>
      </w:r>
      <w:r>
        <w:fldChar w:fldCharType="end"/>
      </w:r>
      <w:r>
        <w:t xml:space="preserve"> de possibles marques d’approbation ou de réprobation d’une telle neutralité. Il en va en particulier de l’arrêt </w:t>
      </w:r>
      <w:r>
        <w:rPr>
          <w:i/>
          <w:iCs/>
        </w:rPr>
        <w:t>WABE-Müller</w:t>
      </w:r>
      <w:r>
        <w:t xml:space="preserve"> rendu en 2021 </w:t>
      </w:r>
      <w:r w:rsidR="007A55C2">
        <w:rPr>
          <w:rFonts w:cs="Times New Roman"/>
        </w:rPr>
        <w:t>: la C</w:t>
      </w:r>
      <w:r>
        <w:rPr>
          <w:rFonts w:cs="Times New Roman"/>
        </w:rPr>
        <w:t>JUE</w:t>
      </w:r>
      <w:r w:rsidR="007A55C2">
        <w:rPr>
          <w:rFonts w:cs="Times New Roman"/>
        </w:rPr>
        <w:t xml:space="preserve"> y </w:t>
      </w:r>
      <w:r w:rsidR="00DC23BA">
        <w:rPr>
          <w:rFonts w:cs="Times New Roman"/>
        </w:rPr>
        <w:t xml:space="preserve">conclut </w:t>
      </w:r>
      <w:r w:rsidR="007A55C2">
        <w:rPr>
          <w:rFonts w:cs="Times New Roman"/>
        </w:rPr>
        <w:t xml:space="preserve">en effet </w:t>
      </w:r>
      <w:r w:rsidR="00DC23BA">
        <w:rPr>
          <w:rFonts w:cs="Times New Roman"/>
        </w:rPr>
        <w:t>à la légitimité d’une interdiction des signes religieux fondée sur la neutralité, non seulement lorsqu’est visée « </w:t>
      </w:r>
      <w:r w:rsidR="00DC23BA" w:rsidRPr="009775B6">
        <w:rPr>
          <w:rFonts w:cs="Times New Roman"/>
        </w:rPr>
        <w:t>la présentation de l’employeur de manière neutre</w:t>
      </w:r>
      <w:r w:rsidR="00DC23BA">
        <w:rPr>
          <w:rFonts w:cs="Times New Roman"/>
        </w:rPr>
        <w:t xml:space="preserve"> </w:t>
      </w:r>
      <w:r w:rsidR="00DC23BA" w:rsidRPr="009775B6">
        <w:rPr>
          <w:rFonts w:cs="Times New Roman"/>
        </w:rPr>
        <w:t>à l’égard des clients</w:t>
      </w:r>
      <w:r w:rsidR="00DC23BA">
        <w:rPr>
          <w:rFonts w:cs="Times New Roman"/>
        </w:rPr>
        <w:t> », mais aussi « </w:t>
      </w:r>
      <w:r w:rsidR="00DC23BA" w:rsidRPr="009775B6">
        <w:rPr>
          <w:rFonts w:cs="Times New Roman"/>
        </w:rPr>
        <w:t>la prévention des conflits sociaux</w:t>
      </w:r>
      <w:r w:rsidR="00DC23BA">
        <w:rPr>
          <w:rFonts w:cs="Times New Roman"/>
        </w:rPr>
        <w:t> »</w:t>
      </w:r>
      <w:r w:rsidR="00DC23BA">
        <w:rPr>
          <w:rStyle w:val="Appelnotedebasdep"/>
          <w:rFonts w:cs="Times New Roman"/>
        </w:rPr>
        <w:footnoteReference w:id="221"/>
      </w:r>
      <w:r w:rsidR="00DC23BA">
        <w:rPr>
          <w:rFonts w:cs="Times New Roman"/>
        </w:rPr>
        <w:t>. D’une telle formulation, il est possible</w:t>
      </w:r>
      <w:r w:rsidR="00525766">
        <w:rPr>
          <w:rFonts w:cs="Times New Roman"/>
        </w:rPr>
        <w:t xml:space="preserve"> </w:t>
      </w:r>
      <w:r w:rsidR="00DC23BA">
        <w:rPr>
          <w:rFonts w:cs="Times New Roman"/>
        </w:rPr>
        <w:t>de déduire une franche ouverture des juges de Luxembourg à la légitimité d’une neutralité instrumentale</w:t>
      </w:r>
      <w:r w:rsidR="00DC23BA">
        <w:t xml:space="preserve"> invoquée aux fins de paix sociale interne.</w:t>
      </w:r>
      <w:r w:rsidR="00525766" w:rsidRPr="00525766">
        <w:t xml:space="preserve"> </w:t>
      </w:r>
      <w:r w:rsidR="00525766">
        <w:t xml:space="preserve">Par ailleurs, </w:t>
      </w:r>
      <w:r w:rsidR="00525766" w:rsidRPr="00525766">
        <w:t xml:space="preserve">sans trop s’aventurer, </w:t>
      </w:r>
      <w:r w:rsidR="00525766">
        <w:t>une extension de ce raisonnement au critère du bon fonctionnement organisationnel de l’entreprise semble sérieusement envisageable.</w:t>
      </w:r>
    </w:p>
    <w:p w14:paraId="2AC40873" w14:textId="08297A50" w:rsidR="00745AD8" w:rsidRDefault="00FE5F86" w:rsidP="00745AD8">
      <w:pPr>
        <w:pStyle w:val="Paragraphedeliste"/>
      </w:pPr>
      <w:r w:rsidRPr="008172E0">
        <w:lastRenderedPageBreak/>
        <w:t>Sur le plan de la proportionnalité, les multiples</w:t>
      </w:r>
      <w:r w:rsidR="00B927EB" w:rsidRPr="008172E0">
        <w:t xml:space="preserve"> conditions mentionnées par la CJUE dans les arrêts </w:t>
      </w:r>
      <w:proofErr w:type="spellStart"/>
      <w:r w:rsidR="00B927EB" w:rsidRPr="008172E0">
        <w:rPr>
          <w:i/>
          <w:iCs/>
        </w:rPr>
        <w:t>Achbita</w:t>
      </w:r>
      <w:proofErr w:type="spellEnd"/>
      <w:r w:rsidR="00B927EB" w:rsidRPr="008172E0">
        <w:t xml:space="preserve"> et </w:t>
      </w:r>
      <w:r w:rsidR="00B927EB" w:rsidRPr="008172E0">
        <w:rPr>
          <w:i/>
          <w:iCs/>
        </w:rPr>
        <w:t>WABE-Müller</w:t>
      </w:r>
      <w:r w:rsidRPr="008172E0">
        <w:t xml:space="preserve"> atténue</w:t>
      </w:r>
      <w:r w:rsidR="00DF7E86">
        <w:t>nt</w:t>
      </w:r>
      <w:r w:rsidRPr="008172E0">
        <w:t xml:space="preserve"> le constat d’une admissibilité automatique de l’invocation de la neutralité interne et instrumentale</w:t>
      </w:r>
      <w:r w:rsidR="00DF7E86">
        <w:rPr>
          <w:rStyle w:val="Appelnotedebasdep"/>
        </w:rPr>
        <w:footnoteReference w:id="222"/>
      </w:r>
      <w:r w:rsidRPr="008172E0">
        <w:t xml:space="preserve">. </w:t>
      </w:r>
      <w:r w:rsidR="00EE628F" w:rsidRPr="008172E0">
        <w:t xml:space="preserve">Dans son arrêt </w:t>
      </w:r>
      <w:proofErr w:type="spellStart"/>
      <w:r w:rsidR="00EE628F" w:rsidRPr="008172E0">
        <w:rPr>
          <w:i/>
          <w:iCs/>
        </w:rPr>
        <w:t>Achbita</w:t>
      </w:r>
      <w:proofErr w:type="spellEnd"/>
      <w:r w:rsidR="00EE628F" w:rsidRPr="008172E0">
        <w:t>, la</w:t>
      </w:r>
      <w:r w:rsidRPr="008172E0">
        <w:t xml:space="preserve"> Cour mentionne en effet la nécessité, dans le chef de l’employeur, que soit assurée l’application « cohérente et systématique » des restrictions fondées sur cette neutralité, </w:t>
      </w:r>
      <w:r w:rsidR="00EE628F" w:rsidRPr="008172E0">
        <w:t>et que celles-ci soient limitées au « strict nécessaire »</w:t>
      </w:r>
      <w:r w:rsidR="00B17557" w:rsidRPr="008172E0">
        <w:rPr>
          <w:rStyle w:val="Appelnotedebasdep"/>
        </w:rPr>
        <w:footnoteReference w:id="223"/>
      </w:r>
      <w:r w:rsidR="00EE628F" w:rsidRPr="008172E0">
        <w:t xml:space="preserve">. L’arrêt </w:t>
      </w:r>
      <w:r w:rsidR="00EE628F" w:rsidRPr="008172E0">
        <w:rPr>
          <w:i/>
          <w:iCs/>
        </w:rPr>
        <w:t>WABE-Müller</w:t>
      </w:r>
      <w:r w:rsidR="00EE628F" w:rsidRPr="008172E0">
        <w:t xml:space="preserve"> explicite cet impératif</w:t>
      </w:r>
      <w:r w:rsidR="00B927EB" w:rsidRPr="008172E0">
        <w:t>,</w:t>
      </w:r>
      <w:r w:rsidR="00EE628F" w:rsidRPr="008172E0">
        <w:t xml:space="preserve"> en </w:t>
      </w:r>
      <w:r w:rsidR="008172E0" w:rsidRPr="008172E0">
        <w:t>indiquant</w:t>
      </w:r>
      <w:r w:rsidR="00EE628F" w:rsidRPr="008172E0">
        <w:t xml:space="preserve"> que cette neutralité restrictive réponde à un « besoin véritable », eu égard en particulier aux « conséquences défavorables que [l’employeur] subirait en l’absence d’une telle politique, compte tenu de la nature de ses activités ou du contexte dans lequel celles-ci s’inscrivent »</w:t>
      </w:r>
      <w:r w:rsidR="00B17557" w:rsidRPr="008172E0">
        <w:rPr>
          <w:rStyle w:val="Appelnotedebasdep"/>
        </w:rPr>
        <w:footnoteReference w:id="224"/>
      </w:r>
      <w:r w:rsidR="00EE628F" w:rsidRPr="008172E0">
        <w:t>.</w:t>
      </w:r>
      <w:r w:rsidR="008172E0" w:rsidRPr="008172E0">
        <w:t xml:space="preserve"> L</w:t>
      </w:r>
      <w:r w:rsidR="00745AD8" w:rsidRPr="008172E0">
        <w:t xml:space="preserve">a CJUE met </w:t>
      </w:r>
      <w:r w:rsidR="008172E0" w:rsidRPr="008172E0">
        <w:t>par ailleurs</w:t>
      </w:r>
      <w:r w:rsidR="00745AD8" w:rsidRPr="008172E0">
        <w:t xml:space="preserve"> elle-même en œuvre le critère de cohérence </w:t>
      </w:r>
      <w:r w:rsidR="008172E0" w:rsidRPr="008172E0">
        <w:rPr>
          <w:i/>
          <w:iCs/>
        </w:rPr>
        <w:t xml:space="preserve">in </w:t>
      </w:r>
      <w:proofErr w:type="spellStart"/>
      <w:r w:rsidR="008172E0" w:rsidRPr="008172E0">
        <w:rPr>
          <w:i/>
          <w:iCs/>
        </w:rPr>
        <w:t>casu</w:t>
      </w:r>
      <w:proofErr w:type="spellEnd"/>
      <w:r w:rsidR="00745AD8" w:rsidRPr="008172E0">
        <w:t xml:space="preserve">, en </w:t>
      </w:r>
      <w:r w:rsidR="008172E0" w:rsidRPr="008172E0">
        <w:t>précisant</w:t>
      </w:r>
      <w:r w:rsidR="00745AD8" w:rsidRPr="008172E0">
        <w:t xml:space="preserve"> qu’à première vue, la règle de neutralité a été appliquée à la travailleuse concernée « sans aucune différenciation par rapport à tout autre travailleur de WABE », dès lors que l’entreprise « aurait également exigé et obtenu d’une employée portant une croix religieuse qu’elle retire ce signe »</w:t>
      </w:r>
      <w:r w:rsidR="00745AD8" w:rsidRPr="008172E0">
        <w:rPr>
          <w:rStyle w:val="Appelnotedebasdep"/>
        </w:rPr>
        <w:footnoteReference w:id="225"/>
      </w:r>
      <w:r w:rsidR="00745AD8" w:rsidRPr="008172E0">
        <w:t>.</w:t>
      </w:r>
    </w:p>
    <w:p w14:paraId="7F46F495" w14:textId="025F3FF0" w:rsidR="00F9704F" w:rsidRDefault="000F041F" w:rsidP="00F9704F">
      <w:pPr>
        <w:pStyle w:val="Paragraphedeliste"/>
      </w:pPr>
      <w:r>
        <w:t>Plusieurs décisions belges sont</w:t>
      </w:r>
      <w:r w:rsidR="00F9704F">
        <w:t xml:space="preserve"> à cet égard</w:t>
      </w:r>
      <w:r>
        <w:t xml:space="preserve"> </w:t>
      </w:r>
      <w:r w:rsidR="004C085F">
        <w:t>dignes d’intérêt, s</w:t>
      </w:r>
      <w:r>
        <w:t>’agissant</w:t>
      </w:r>
      <w:r w:rsidR="004C085F">
        <w:t xml:space="preserve"> de</w:t>
      </w:r>
      <w:r w:rsidR="00E65411">
        <w:t xml:space="preserve"> </w:t>
      </w:r>
      <w:r w:rsidR="00F9704F">
        <w:t>l’appréciation du caractère simultanément indifférencié et cohérent</w:t>
      </w:r>
      <w:r>
        <w:t xml:space="preserve"> </w:t>
      </w:r>
      <w:r w:rsidR="00F9704F">
        <w:t xml:space="preserve">de </w:t>
      </w:r>
      <w:r>
        <w:t>l’application de la neutralité</w:t>
      </w:r>
      <w:r w:rsidR="00F9704F">
        <w:t xml:space="preserve"> restrictive</w:t>
      </w:r>
      <w:r w:rsidR="00C35F4C">
        <w:t xml:space="preserve"> dans une perspective interne</w:t>
      </w:r>
      <w:r w:rsidR="00F9704F">
        <w:t>.</w:t>
      </w:r>
      <w:r w:rsidR="00F9704F" w:rsidRPr="00F9704F">
        <w:t xml:space="preserve"> </w:t>
      </w:r>
    </w:p>
    <w:p w14:paraId="41232540" w14:textId="0FE7C968" w:rsidR="00F9704F" w:rsidRDefault="00993A73" w:rsidP="00F9704F">
      <w:pPr>
        <w:rPr>
          <w:i/>
          <w:iCs/>
        </w:rPr>
      </w:pPr>
      <w:r>
        <w:t xml:space="preserve">Dans l’affaire </w:t>
      </w:r>
      <w:proofErr w:type="spellStart"/>
      <w:r w:rsidRPr="00993A73">
        <w:rPr>
          <w:i/>
          <w:iCs/>
        </w:rPr>
        <w:t>vPharma</w:t>
      </w:r>
      <w:proofErr w:type="spellEnd"/>
      <w:r>
        <w:t>, l</w:t>
      </w:r>
      <w:r w:rsidRPr="00993A73">
        <w:t>e</w:t>
      </w:r>
      <w:r w:rsidR="00F9704F">
        <w:t xml:space="preserve"> </w:t>
      </w:r>
      <w:r w:rsidR="0094723B">
        <w:t>t</w:t>
      </w:r>
      <w:r w:rsidR="00F9704F">
        <w:t xml:space="preserve">ribunal et la </w:t>
      </w:r>
      <w:r w:rsidR="00F9704F" w:rsidRPr="00C35F4C">
        <w:t>Cour</w:t>
      </w:r>
      <w:r w:rsidR="00F9704F">
        <w:t xml:space="preserve"> du travail de Liège </w:t>
      </w:r>
      <w:r>
        <w:t xml:space="preserve">s’accordent ainsi sur </w:t>
      </w:r>
      <w:r w:rsidR="00E32DD8">
        <w:t xml:space="preserve">le caractère </w:t>
      </w:r>
      <w:r w:rsidR="00441470">
        <w:t xml:space="preserve">cohérent et </w:t>
      </w:r>
      <w:r w:rsidR="00E32DD8">
        <w:t xml:space="preserve">justifié d’une règle de neutralité </w:t>
      </w:r>
      <w:r w:rsidR="00441470">
        <w:t xml:space="preserve">visant l’ensemble des travailleurs, </w:t>
      </w:r>
      <w:r w:rsidR="00026920">
        <w:t>dont l</w:t>
      </w:r>
      <w:r w:rsidR="00026920" w:rsidRPr="00026920">
        <w:t xml:space="preserve">'objectif </w:t>
      </w:r>
      <w:r w:rsidR="00026920">
        <w:t>est « </w:t>
      </w:r>
      <w:r w:rsidR="00026920" w:rsidRPr="00026920">
        <w:t>de créer une ambiance de travail paisible, où l'égalité et le pluralisme</w:t>
      </w:r>
      <w:r w:rsidR="00026920" w:rsidRPr="00026920">
        <w:fldChar w:fldCharType="begin"/>
      </w:r>
      <w:r w:rsidR="00026920" w:rsidRPr="00026920">
        <w:instrText xml:space="preserve"> XE "Pluralisme" </w:instrText>
      </w:r>
      <w:r w:rsidR="00026920" w:rsidRPr="00026920">
        <w:fldChar w:fldCharType="end"/>
      </w:r>
      <w:r w:rsidR="00026920" w:rsidRPr="00026920">
        <w:t xml:space="preserve"> sont protégés</w:t>
      </w:r>
      <w:r w:rsidR="00026920">
        <w:t> »</w:t>
      </w:r>
      <w:r w:rsidR="00F9704F">
        <w:rPr>
          <w:rStyle w:val="Appelnotedebasdep"/>
        </w:rPr>
        <w:footnoteReference w:id="226"/>
      </w:r>
      <w:r w:rsidR="00F9704F">
        <w:rPr>
          <w:i/>
          <w:iCs/>
        </w:rPr>
        <w:t>.</w:t>
      </w:r>
    </w:p>
    <w:p w14:paraId="417CB988" w14:textId="7304DEFC" w:rsidR="00FE5F86" w:rsidRDefault="00026920" w:rsidP="00B927EB">
      <w:r>
        <w:t>A l’inverse, l</w:t>
      </w:r>
      <w:r w:rsidR="00F9704F" w:rsidRPr="00F15D9C">
        <w:t xml:space="preserve">’ordonnance rendue par le </w:t>
      </w:r>
      <w:r w:rsidR="00F9704F">
        <w:t>tribunal</w:t>
      </w:r>
      <w:r w:rsidR="00F9704F" w:rsidRPr="00F15D9C">
        <w:t xml:space="preserve"> du travail de Bruxelles dans l’affaire </w:t>
      </w:r>
      <w:r w:rsidR="00F9704F" w:rsidRPr="00F15D9C">
        <w:rPr>
          <w:i/>
        </w:rPr>
        <w:t xml:space="preserve">STIB </w:t>
      </w:r>
      <w:r>
        <w:t>est</w:t>
      </w:r>
      <w:r w:rsidR="00C74F60">
        <w:t xml:space="preserve"> l’occasion pour</w:t>
      </w:r>
      <w:r w:rsidR="00F9704F" w:rsidRPr="00F15D9C">
        <w:t xml:space="preserve"> le juge </w:t>
      </w:r>
      <w:r w:rsidR="00C74F60">
        <w:t xml:space="preserve">de </w:t>
      </w:r>
      <w:r w:rsidR="00F9704F" w:rsidRPr="00F15D9C">
        <w:t>met</w:t>
      </w:r>
      <w:r w:rsidR="00C74F60">
        <w:t>tre</w:t>
      </w:r>
      <w:r w:rsidR="00F9704F" w:rsidRPr="00F15D9C">
        <w:t xml:space="preserve"> en exergue</w:t>
      </w:r>
      <w:r w:rsidR="00F9704F">
        <w:t>, en des termes particulièrement engagés,</w:t>
      </w:r>
      <w:r w:rsidR="00F9704F" w:rsidRPr="00F15D9C">
        <w:t xml:space="preserve"> </w:t>
      </w:r>
      <w:r w:rsidR="00F9704F">
        <w:t>une double incohérence dans le chef de l’employeur (public en l’espèce) : d’une part, est pointé le paradoxe</w:t>
      </w:r>
      <w:r w:rsidR="00F9704F" w:rsidRPr="00F15D9C">
        <w:t xml:space="preserve"> consistant à interdire, sur le fondement de la neutralité, les signes convictionnels tels que le foulard islamique, tout en tolérant le port de la barbe – y compris islamique</w:t>
      </w:r>
      <w:r w:rsidR="00F301B1">
        <w:rPr>
          <w:rStyle w:val="Appelnotedebasdep"/>
        </w:rPr>
        <w:footnoteReference w:id="227"/>
      </w:r>
      <w:r w:rsidR="00F9704F">
        <w:t> ; d’autre part, le juge dénonce l’incohérence découlant de la mise en œuvre d’une politique de neutralité restrictive, d’un côté, et de la référence à un objectif de diversité, de l’autre</w:t>
      </w:r>
      <w:r w:rsidR="00C74F60">
        <w:rPr>
          <w:rStyle w:val="Appelnotedebasdep"/>
        </w:rPr>
        <w:footnoteReference w:id="228"/>
      </w:r>
      <w:r w:rsidR="00C74F60">
        <w:t>.</w:t>
      </w:r>
    </w:p>
    <w:p w14:paraId="5F90BB0E" w14:textId="77777777" w:rsidR="00F9704F" w:rsidRDefault="00F9704F" w:rsidP="00960BD9">
      <w:pPr>
        <w:pStyle w:val="Paragraphedeliste"/>
      </w:pPr>
      <w:bookmarkStart w:id="37" w:name="_Ref112863603"/>
      <w:r>
        <w:lastRenderedPageBreak/>
        <w:t xml:space="preserve">En conclusion, même en présence d’un fondement législatif tel que </w:t>
      </w:r>
      <w:r w:rsidRPr="00807FBE">
        <w:t>l’article L1321-2-1</w:t>
      </w:r>
      <w:r w:rsidRPr="00807FBE">
        <w:fldChar w:fldCharType="begin"/>
      </w:r>
      <w:r w:rsidRPr="00807FBE">
        <w:instrText xml:space="preserve"> XE "Article L1321-2-1 du Code du travail français" </w:instrText>
      </w:r>
      <w:r w:rsidRPr="00807FBE">
        <w:fldChar w:fldCharType="end"/>
      </w:r>
      <w:r w:rsidRPr="00807FBE">
        <w:t xml:space="preserve"> </w:t>
      </w:r>
      <w:r>
        <w:t xml:space="preserve">du Code du travail français, l’on peut considérer que, comme le note Nicolas </w:t>
      </w:r>
      <w:proofErr w:type="spellStart"/>
      <w:r>
        <w:t>Moizard</w:t>
      </w:r>
      <w:proofErr w:type="spellEnd"/>
      <w:r>
        <w:t>, « la démarche casuistique, imposant un examen des fonctions de chaque salarié, pourrait perdurer »</w:t>
      </w:r>
      <w:r>
        <w:rPr>
          <w:rStyle w:val="Appelnotedebasdep"/>
        </w:rPr>
        <w:footnoteReference w:id="229"/>
      </w:r>
      <w:r>
        <w:t>.</w:t>
      </w:r>
    </w:p>
    <w:p w14:paraId="0DFCAA1C" w14:textId="70D60808" w:rsidR="008668C9" w:rsidRPr="00BA3B64" w:rsidRDefault="00B927EB" w:rsidP="008D517D">
      <w:r>
        <w:t xml:space="preserve">Il est en tout cas permis </w:t>
      </w:r>
      <w:r w:rsidR="007E3A13">
        <w:t xml:space="preserve">d’appréhender </w:t>
      </w:r>
      <w:r>
        <w:t xml:space="preserve">cette mention explicite de la neutralité dans le contexte de l’entreprise privée comme un signal symboliquement important </w:t>
      </w:r>
      <w:r w:rsidRPr="009916ED">
        <w:t>envoyé par le législateur français.</w:t>
      </w:r>
      <w:r w:rsidRPr="009916ED">
        <w:rPr>
          <w:rStyle w:val="Appelnotedebasdep"/>
        </w:rPr>
        <w:footnoteReference w:id="230"/>
      </w:r>
      <w:r>
        <w:t xml:space="preserve"> Le contraste avec l’article 20, 5° de la loi belge sur les contrats de travail, aux termes duquel « l’employeur a l’obligation […] de </w:t>
      </w:r>
      <w:r w:rsidRPr="00EC61D4">
        <w:t>donner au travailleur le temps nécessaire pour remplir les devoirs de son culte</w:t>
      </w:r>
      <w:r>
        <w:t> », est ainsi frappant</w:t>
      </w:r>
      <w:r>
        <w:rPr>
          <w:rStyle w:val="Appelnotedebasdep"/>
        </w:rPr>
        <w:footnoteReference w:id="231"/>
      </w:r>
      <w:r w:rsidR="007E3A13">
        <w:t>.</w:t>
      </w:r>
      <w:bookmarkEnd w:id="37"/>
    </w:p>
    <w:p w14:paraId="1390C55D" w14:textId="0E98974B" w:rsidR="00BA3B64" w:rsidRPr="00525766" w:rsidRDefault="0058411E" w:rsidP="00BA3B64">
      <w:pPr>
        <w:pStyle w:val="Titre3"/>
      </w:pPr>
      <w:r w:rsidRPr="00850CDD">
        <w:t xml:space="preserve">La neutralité religieuse </w:t>
      </w:r>
      <w:r>
        <w:t>au service de l’</w:t>
      </w:r>
      <w:r w:rsidRPr="00850CDD">
        <w:t>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rsidRPr="00850CDD">
        <w:t xml:space="preserve"> externe</w:t>
      </w:r>
    </w:p>
    <w:p w14:paraId="7622B372" w14:textId="77777777" w:rsidR="00BA3B64" w:rsidRDefault="00BA3B64" w:rsidP="00960BD9">
      <w:pPr>
        <w:pStyle w:val="Paragraphedeliste"/>
      </w:pPr>
      <w:r>
        <w:t xml:space="preserve">Dans cette deuxième hypothèse d’entreprise neutre, la neutralité est mobilisée dans une perspective </w:t>
      </w:r>
      <w:r w:rsidRPr="008D517D">
        <w:t>externe</w:t>
      </w:r>
      <w:r w:rsidRPr="00B71F41">
        <w:t xml:space="preserve">, en tant </w:t>
      </w:r>
      <w:r w:rsidRPr="00812B49">
        <w:t>qu’</w:t>
      </w:r>
      <w:r w:rsidRPr="008D517D">
        <w:t>instrument</w:t>
      </w:r>
      <w:r w:rsidRPr="00B71F41">
        <w:t xml:space="preserve"> au service de </w:t>
      </w:r>
      <w:r w:rsidRPr="008D517D">
        <w:t>l’image</w:t>
      </w:r>
      <w:r w:rsidRPr="00B71F41">
        <w:rPr>
          <w:i/>
          <w:iCs/>
        </w:rPr>
        <w:t xml:space="preserve"> </w:t>
      </w:r>
      <w:r w:rsidRPr="008D517D">
        <w:t>de</w:t>
      </w:r>
      <w:r w:rsidRPr="00B71F41">
        <w:rPr>
          <w:i/>
          <w:iCs/>
        </w:rPr>
        <w:t xml:space="preserve"> </w:t>
      </w:r>
      <w:r w:rsidRPr="008D517D">
        <w:t>marque</w:t>
      </w:r>
      <w:r w:rsidRPr="00B71F41">
        <w:t xml:space="preserve"> de</w:t>
      </w:r>
      <w:r>
        <w:t xml:space="preserve"> l’entreprise.</w:t>
      </w:r>
    </w:p>
    <w:p w14:paraId="78CF9E51" w14:textId="1A59059E" w:rsidR="0082334A" w:rsidRDefault="00BA3B64" w:rsidP="0082334A">
      <w:r w:rsidRPr="00B71F41">
        <w:t xml:space="preserve">Le recours à cette image neutre </w:t>
      </w:r>
      <w:r w:rsidR="00972F04">
        <w:t>est fondé sur la considération</w:t>
      </w:r>
      <w:r w:rsidRPr="00B71F41">
        <w:t xml:space="preserve">, </w:t>
      </w:r>
      <w:r>
        <w:t>dans le chef de l</w:t>
      </w:r>
      <w:r w:rsidRPr="00B71F41">
        <w:t xml:space="preserve">’entreprise, </w:t>
      </w:r>
      <w:r>
        <w:t xml:space="preserve">que l’affichage de </w:t>
      </w:r>
      <w:r w:rsidRPr="00B71F41">
        <w:t xml:space="preserve">cette neutralité lui serait </w:t>
      </w:r>
      <w:r w:rsidRPr="008D517D">
        <w:t>profitable</w:t>
      </w:r>
      <w:r w:rsidRPr="00B71F41">
        <w:t>, en</w:t>
      </w:r>
      <w:r>
        <w:t xml:space="preserve"> particulier du point de vue économique, dans la mesure où celle-ci plairait à sa clientèle ou d’autres partenaires extérieurs. Cette neutralité étant généralement conçue dans une logique restrictive, sa mise en œuvre requiert en l’occurrence des travailleurs – </w:t>
      </w:r>
      <w:r>
        <w:rPr>
          <w:i/>
          <w:iCs/>
        </w:rPr>
        <w:t>a minima</w:t>
      </w:r>
      <w:r>
        <w:t>, des travailleurs en contact visuel avec l’extérieur – de s’abstenir de toute manifestation religieuse durant leur travail, en particulier par le port de signes religieux.</w:t>
      </w:r>
    </w:p>
    <w:p w14:paraId="313EEF93" w14:textId="61C1795F" w:rsidR="00F844E0" w:rsidRDefault="0082334A" w:rsidP="0082334A">
      <w:r>
        <w:t>Des quatre figures de neutralité envisagées au fil de ces pages, la neutralité mise au service de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constitue sans nul doute la figure la plus récurrente, mais aussi la plus discutée. L’arrêt </w:t>
      </w:r>
      <w:proofErr w:type="spellStart"/>
      <w:r>
        <w:rPr>
          <w:i/>
          <w:iCs/>
        </w:rPr>
        <w:t>Achbita</w:t>
      </w:r>
      <w:proofErr w:type="spellEnd"/>
      <w:r>
        <w:t xml:space="preserve"> rendu par la CJUE en 2017 porte d’ailleurs précisément sur cette neutralité, de même que, dans une moindre mesure</w:t>
      </w:r>
      <w:r>
        <w:rPr>
          <w:rStyle w:val="Appelnotedebasdep"/>
        </w:rPr>
        <w:footnoteReference w:id="232"/>
      </w:r>
      <w:r>
        <w:t xml:space="preserve">, l’arrêt </w:t>
      </w:r>
      <w:r>
        <w:rPr>
          <w:i/>
          <w:iCs/>
        </w:rPr>
        <w:t>Bougnaoui</w:t>
      </w:r>
      <w:r>
        <w:t xml:space="preserve">. </w:t>
      </w:r>
      <w:r w:rsidR="00D97E7E">
        <w:t xml:space="preserve">Les arrêts </w:t>
      </w:r>
      <w:r w:rsidR="00D97E7E">
        <w:rPr>
          <w:i/>
        </w:rPr>
        <w:t>WABE-Müller</w:t>
      </w:r>
      <w:r w:rsidR="00D97E7E">
        <w:t xml:space="preserve"> et </w:t>
      </w:r>
      <w:r w:rsidR="00D97E7E">
        <w:rPr>
          <w:i/>
          <w:iCs/>
        </w:rPr>
        <w:t>LF c. SCRL</w:t>
      </w:r>
      <w:r w:rsidR="00D97E7E">
        <w:t xml:space="preserve"> rendus ultérieurement par la même Cour en constituent le prolongement et l’approfondissement</w:t>
      </w:r>
      <w:r>
        <w:t>.</w:t>
      </w:r>
    </w:p>
    <w:p w14:paraId="0741A5B1" w14:textId="7BD46CBE" w:rsidR="0082334A" w:rsidRDefault="0082334A" w:rsidP="0082334A">
      <w:r>
        <w:t xml:space="preserve">Avant de nous pencher sur </w:t>
      </w:r>
      <w:r w:rsidR="000E108F">
        <w:t>l’appréciation de la compatibilité d’une telle neutralité</w:t>
      </w:r>
      <w:r w:rsidR="009C521F">
        <w:t xml:space="preserve"> à l’aune </w:t>
      </w:r>
      <w:r w:rsidR="00F844E0">
        <w:t>de ces arrêts</w:t>
      </w:r>
      <w:r>
        <w:t>, il convient de dresser un aperçu de la logique poursuivie et des situations visées par ce modèle de neutralité externe et instrumentale au service de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w:t>
      </w:r>
      <w:r w:rsidR="00F844E0">
        <w:t>a)</w:t>
      </w:r>
      <w:r>
        <w:t>.</w:t>
      </w:r>
      <w:r w:rsidR="000E108F">
        <w:t xml:space="preserve"> Nous </w:t>
      </w:r>
      <w:r w:rsidR="00EE528D">
        <w:t>analyserons</w:t>
      </w:r>
      <w:r w:rsidR="000E108F">
        <w:t xml:space="preserve"> ensuite </w:t>
      </w:r>
      <w:r w:rsidR="00EE528D">
        <w:t xml:space="preserve">l’appréciation développée par la CJUE sur le plan </w:t>
      </w:r>
      <w:r w:rsidR="000E108F">
        <w:t>de</w:t>
      </w:r>
      <w:r w:rsidR="00EE528D">
        <w:t xml:space="preserve"> la</w:t>
      </w:r>
      <w:r w:rsidR="000E108F">
        <w:t xml:space="preserve"> légitimité et de </w:t>
      </w:r>
      <w:r w:rsidR="00EE528D">
        <w:t xml:space="preserve">la </w:t>
      </w:r>
      <w:r w:rsidR="000E108F">
        <w:t>proportionnalité</w:t>
      </w:r>
      <w:r w:rsidR="00EE528D">
        <w:t xml:space="preserve">, </w:t>
      </w:r>
      <w:r w:rsidR="000E108F">
        <w:t xml:space="preserve">en </w:t>
      </w:r>
      <w:r w:rsidR="00EE528D">
        <w:t xml:space="preserve">nous focalisant sur les enjeux liés à l’invocation de la liberté d’entreprise </w:t>
      </w:r>
      <w:r w:rsidR="003F0673">
        <w:t>(b)</w:t>
      </w:r>
      <w:r w:rsidR="000E108F">
        <w:t>.</w:t>
      </w:r>
    </w:p>
    <w:p w14:paraId="38A8E514" w14:textId="3102A835" w:rsidR="001D3C5C" w:rsidRDefault="001D3C5C" w:rsidP="008F46FF">
      <w:pPr>
        <w:pStyle w:val="Titre4"/>
        <w:numPr>
          <w:ilvl w:val="0"/>
          <w:numId w:val="21"/>
        </w:numPr>
      </w:pPr>
      <w:r>
        <w:lastRenderedPageBreak/>
        <w:t>Neutralité externe et instrumentale</w:t>
      </w:r>
    </w:p>
    <w:p w14:paraId="74462700" w14:textId="73B9F4A4" w:rsidR="001D3C5C" w:rsidRDefault="001D3C5C" w:rsidP="00960BD9">
      <w:pPr>
        <w:pStyle w:val="Paragraphedeliste"/>
      </w:pPr>
      <w:r>
        <w:t>Cette seconde figure de la neutralité-instrument partage avec la figure précédente le fait que la neutralité est mobilisée par l’employeur en tant que moyen lui permettant de rencontrer un objectif lui-même étranger à la notion de neutralité. La différence se marque en revanche au niveau des destinataires auxquels s’adresse cette neutralité instrumentale, ceux-ci correspondant en l’occurrence aux parties prenantes extérieures à l’entreprise, en particulier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w:t>
      </w:r>
    </w:p>
    <w:p w14:paraId="29CB1809" w14:textId="0A445CD7" w:rsidR="0025428C" w:rsidRDefault="0025428C" w:rsidP="0025428C">
      <w:r>
        <w:t>Précisons par ailleurs que cette neutralité externe et instrumentale s’inscrit dans la perspective d’une horizontalisation</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w:instrText>
      </w:r>
      <w:r>
        <w:instrText xml:space="preserve"> </w:instrText>
      </w:r>
      <w:r>
        <w:fldChar w:fldCharType="end"/>
      </w:r>
      <w:r>
        <w:t>-privatisation</w:t>
      </w:r>
      <w:r>
        <w:fldChar w:fldCharType="begin"/>
      </w:r>
      <w:r>
        <w:instrText xml:space="preserve"> XE "</w:instrText>
      </w:r>
      <w:r w:rsidRPr="00821CE3">
        <w:rPr>
          <w:rFonts w:eastAsia="Times New Roman" w:cs="Calibri"/>
          <w:color w:val="000000"/>
          <w:lang w:eastAsia="fr-BE"/>
        </w:rPr>
        <w:instrText>Privatisation</w:instrText>
      </w:r>
      <w:r>
        <w:rPr>
          <w:rFonts w:eastAsia="Times New Roman" w:cs="Calibri"/>
          <w:color w:val="000000"/>
          <w:lang w:eastAsia="fr-BE"/>
        </w:rPr>
        <w:instrText>"</w:instrText>
      </w:r>
      <w:r>
        <w:instrText xml:space="preserve"> </w:instrText>
      </w:r>
      <w:r>
        <w:fldChar w:fldCharType="end"/>
      </w:r>
      <w:r>
        <w:t xml:space="preserve"> de la neutralité, telle qu’envisagée en première partie de cette étude. La mise en œuvre de la neutralité intervient ici dans une logique contractualiste</w:t>
      </w:r>
      <w:r>
        <w:fldChar w:fldCharType="begin"/>
      </w:r>
      <w:r>
        <w:instrText xml:space="preserve"> XE "</w:instrText>
      </w:r>
      <w:r>
        <w:rPr>
          <w:rFonts w:eastAsia="Times New Roman" w:cs="Calibri"/>
          <w:color w:val="000000"/>
          <w:lang w:eastAsia="fr-BE"/>
        </w:rPr>
        <w:instrText>Théorie du contrat"</w:instrText>
      </w:r>
      <w:r>
        <w:instrText xml:space="preserve"> </w:instrText>
      </w:r>
      <w:r>
        <w:fldChar w:fldCharType="end"/>
      </w:r>
      <w:r>
        <w:t>, au service de l’objectif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et de la liberté de l’entreprise : en cela, le sens donné à cette neutralité d’entreprise se détache de celui attaché à la neutralité de l’État.</w:t>
      </w:r>
    </w:p>
    <w:p w14:paraId="0B45C04C" w14:textId="751CCE19" w:rsidR="001D3C5C" w:rsidRDefault="001D3C5C" w:rsidP="001D3C5C">
      <w:r>
        <w:t xml:space="preserve">La discussion juridique intervient dès lors que, comme c’est le cas pour le modèle précédent, il est jugé nécessaire, pour satisfaire à cette </w:t>
      </w:r>
      <w:r w:rsidR="008430D0">
        <w:t xml:space="preserve">image de </w:t>
      </w:r>
      <w:r>
        <w:t>neutralité, d’interdire – ou à tout le moins de restreindre – l’expression des convictions religieuses des travailleurs au sein de l’entreprise.</w:t>
      </w:r>
    </w:p>
    <w:p w14:paraId="1C79C5B9" w14:textId="3FC128DE" w:rsidR="008430D0" w:rsidRDefault="008430D0" w:rsidP="008430D0">
      <w:r>
        <w:t>S’interroger sur l’hypothèse d’une neutralité religieuse mobilisée en tant qu’image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de l’entreprise implique donc au préalable de se pencher sur l’idée même d’image de marque de l’entreprise. À cet égard, se pose en particulier la question du lien entre cette image d’entreprise et celle que renvoie la personne de chaque travailleur.</w:t>
      </w:r>
      <w:r w:rsidR="0025428C">
        <w:t xml:space="preserve"> Il conviendra ensuite d’envisager les</w:t>
      </w:r>
      <w:r w:rsidR="0025428C" w:rsidRPr="0025428C">
        <w:t xml:space="preserve"> implications spécifiques d</w:t>
      </w:r>
      <w:r w:rsidR="0025428C">
        <w:t>e l’invocation d</w:t>
      </w:r>
      <w:r w:rsidR="0025428C" w:rsidRPr="0025428C">
        <w:t>’une image de marque neutre du point de vue de la religion.</w:t>
      </w:r>
    </w:p>
    <w:p w14:paraId="38971578" w14:textId="77777777" w:rsidR="008430D0" w:rsidRPr="001E64F9" w:rsidRDefault="008430D0" w:rsidP="008430D0">
      <w:pPr>
        <w:pStyle w:val="Titre5"/>
      </w:pPr>
      <w:bookmarkStart w:id="38" w:name="_Toc91763291"/>
      <w:r w:rsidRPr="001E64F9">
        <w:t>Image de l’entreprise et image des travailleurs</w:t>
      </w:r>
      <w:bookmarkEnd w:id="38"/>
    </w:p>
    <w:p w14:paraId="29BC7847" w14:textId="3FEB213A" w:rsidR="008430D0" w:rsidRDefault="008430D0" w:rsidP="008430D0">
      <w:pPr>
        <w:pStyle w:val="Paragraphedeliste"/>
      </w:pPr>
      <w:r>
        <w:t xml:space="preserve">La première interrogation, d’ordre général, porte sur les liens unissant l’entreprise et ses travailleurs quant à l’image véhiculée par l’entreprise. </w:t>
      </w:r>
      <w:r w:rsidR="006D0943">
        <w:t xml:space="preserve">Si cette influence mutuelle </w:t>
      </w:r>
      <w:r>
        <w:t>suscite en elle-même de larges développements quant à la nature de la relation entre la personne du travailleur et l’organisation qui l’emploie</w:t>
      </w:r>
      <w:r w:rsidR="006D0943">
        <w:t>, celle-ci peut être spécifiquement appréhendée</w:t>
      </w:r>
      <w:r>
        <w:t xml:space="preserve"> à partir de la théorie de l’entreprise.</w:t>
      </w:r>
    </w:p>
    <w:p w14:paraId="3E5F0D64" w14:textId="2F041942" w:rsidR="008430D0" w:rsidRDefault="008430D0" w:rsidP="008430D0">
      <w:r>
        <w:t xml:space="preserve">Dans la perspective institutionnelle, </w:t>
      </w:r>
      <w:r w:rsidR="004E548A">
        <w:t>le</w:t>
      </w:r>
      <w:r>
        <w:t xml:space="preserve"> travailleur est considéré comme partie intégrante de la communauté de travail et, à ce titre, comme partie intégrante de l’identité collective de l’organisation. L’image véhiculée par l’entreprise découle précisément de cette identité collective à laquelle chaque partie prenante contribue. En ce sens, reconnaître aux convictions affichées par les travailleurs une influence sur l’identité de l’entreprise n’est pas dénué de sens.</w:t>
      </w:r>
    </w:p>
    <w:p w14:paraId="5F9187BF" w14:textId="4B49B751" w:rsidR="008430D0" w:rsidRDefault="008430D0" w:rsidP="008430D0">
      <w:r>
        <w:t>À l’inverse, dans la théorie du contrat, l’entreprise constitue moins une organisation collective qu’un acteur individuel avec lequel les travailleurs entretiennent une relation contractuelle. En ce sens, il semble moins évident, à moins que ce point fasse précisément l’objet du contrat, de faire dépendre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de l’entreprise de l’apparence des </w:t>
      </w:r>
      <w:r w:rsidRPr="00982FD2">
        <w:t>personnes</w:t>
      </w:r>
      <w:r>
        <w:rPr>
          <w:i/>
          <w:iCs/>
        </w:rPr>
        <w:t xml:space="preserve"> </w:t>
      </w:r>
      <w:r>
        <w:t>avec lesquelles celle-ci a contracté.</w:t>
      </w:r>
    </w:p>
    <w:p w14:paraId="6D11A318" w14:textId="660A7D0F" w:rsidR="008430D0" w:rsidRPr="00AB5917" w:rsidRDefault="008430D0" w:rsidP="008430D0">
      <w:r>
        <w:t xml:space="preserve">Certes, la relation de travail entre l’employeur et le travailleur découle d’une convention </w:t>
      </w:r>
      <w:r>
        <w:rPr>
          <w:i/>
          <w:iCs/>
        </w:rPr>
        <w:t xml:space="preserve">intuitu personae </w:t>
      </w:r>
      <w:r>
        <w:t>au sein de laquelle l’identité personnelle du travailleur joue un rôle important</w:t>
      </w:r>
      <w:r>
        <w:rPr>
          <w:rStyle w:val="Appelnotedebasdep"/>
        </w:rPr>
        <w:footnoteReference w:id="233"/>
      </w:r>
      <w:r w:rsidR="006D0943">
        <w:t>.</w:t>
      </w:r>
      <w:r>
        <w:t xml:space="preserve"> Rien ne présuppose toutefois, dans cette convention, que la tâche pour laquelle le travailleur est engagé implique pour celui-ci de concourir à l’identité de l’entreprise.</w:t>
      </w:r>
      <w:r w:rsidRPr="00AB5917">
        <w:t xml:space="preserve"> </w:t>
      </w:r>
      <w:r>
        <w:t>En ce sens,</w:t>
      </w:r>
      <w:r w:rsidRPr="00AB5917">
        <w:t xml:space="preserve"> le contact avec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AB5917">
        <w:t xml:space="preserve"> </w:t>
      </w:r>
      <w:r w:rsidRPr="00AB5917">
        <w:lastRenderedPageBreak/>
        <w:t>d’un travailleur affichant ses convictions religieuses n’implique pas nécessairement que ce travailleur mette effectivement en jeu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rsidRPr="00AB5917">
        <w:t xml:space="preserve"> de l’entreprise qu’il représente</w:t>
      </w:r>
      <w:r w:rsidRPr="00AB5917">
        <w:rPr>
          <w:vertAlign w:val="superscript"/>
        </w:rPr>
        <w:footnoteReference w:id="234"/>
      </w:r>
      <w:r w:rsidR="006D0943">
        <w:t>.</w:t>
      </w:r>
    </w:p>
    <w:p w14:paraId="58AAC175" w14:textId="77777777" w:rsidR="008430D0" w:rsidRDefault="008430D0" w:rsidP="008D517D">
      <w:r>
        <w:t xml:space="preserve">L’articulation entre l’identité de l’entreprise et celle du travailleur entre ainsi en lien avec le devoir de </w:t>
      </w:r>
      <w:r w:rsidRPr="008D517D">
        <w:t>loyauté</w:t>
      </w:r>
      <w:r>
        <w:t xml:space="preserve"> du travailleur vis-à-vis de l’employeur et de l’entreprise. L’intensité de ce devoir de loyauté sera potentiellement plus réduite dans une vision contractualiste</w:t>
      </w:r>
      <w:r>
        <w:fldChar w:fldCharType="begin"/>
      </w:r>
      <w:r>
        <w:instrText xml:space="preserve"> XE "</w:instrText>
      </w:r>
      <w:r>
        <w:rPr>
          <w:rFonts w:eastAsia="Times New Roman" w:cs="Calibri"/>
          <w:color w:val="000000"/>
          <w:lang w:eastAsia="fr-BE"/>
        </w:rPr>
        <w:instrText>Théorie du contrat"</w:instrText>
      </w:r>
      <w:r>
        <w:instrText xml:space="preserve"> </w:instrText>
      </w:r>
      <w:r>
        <w:fldChar w:fldCharType="end"/>
      </w:r>
      <w:r>
        <w:t>, là où, à l’inverse, la vision institutionnelle impliquera un renforcement de cette loyauté.</w:t>
      </w:r>
    </w:p>
    <w:p w14:paraId="29CC9B85" w14:textId="151410C6" w:rsidR="008430D0" w:rsidRDefault="008430D0" w:rsidP="00960BD9">
      <w:pPr>
        <w:pStyle w:val="Paragraphedeliste"/>
      </w:pPr>
      <w:r>
        <w:t xml:space="preserve">D’autres paramètres plus matériels influencent de manière non moins négligeable le degré d’implication du travailleur dans l’identité et l’image de l’entreprise. Entre évidemment en première ligne de compte la fonction endossée par le travailleur, selon que celle-ci implique en elle-même ou non un rôle de représentation de l’entreprise. En outre, certaines caractéristiques propres à l’entreprise </w:t>
      </w:r>
      <w:r w:rsidR="00C9271F">
        <w:t>doivent également être pris en considération</w:t>
      </w:r>
      <w:r>
        <w:t xml:space="preserve">. Une entreprise de taille modeste verra l’identité de ses travailleurs jouer un rôle plus immédiat dans son image qu’une entreprise comptant plusieurs milliers de travailleurs. Citons </w:t>
      </w:r>
      <w:r w:rsidR="00F90886">
        <w:t xml:space="preserve">également </w:t>
      </w:r>
      <w:r>
        <w:t>le secteur d’activités, en fonction duquel la visibilité</w:t>
      </w:r>
      <w:r>
        <w:fldChar w:fldCharType="begin"/>
      </w:r>
      <w:r>
        <w:instrText xml:space="preserve"> XE "</w:instrText>
      </w:r>
      <w:r>
        <w:rPr>
          <w:rFonts w:eastAsia="Times New Roman" w:cs="Calibri"/>
          <w:color w:val="000000"/>
          <w:lang w:eastAsia="fr-BE"/>
        </w:rPr>
        <w:instrText>Visibilité"</w:instrText>
      </w:r>
      <w:r>
        <w:instrText xml:space="preserve"> </w:instrText>
      </w:r>
      <w:r>
        <w:fldChar w:fldCharType="end"/>
      </w:r>
      <w:r>
        <w:t xml:space="preserve"> du travailleur vis-à-vis des partenaires extérieurs de l’entreprise sera plus ou moins importante</w:t>
      </w:r>
      <w:r w:rsidR="006D0943">
        <w:t>.</w:t>
      </w:r>
    </w:p>
    <w:p w14:paraId="2976F404" w14:textId="12F73A41" w:rsidR="008430D0" w:rsidRDefault="008430D0" w:rsidP="00960BD9">
      <w:pPr>
        <w:pStyle w:val="Paragraphedeliste"/>
      </w:pPr>
      <w:r>
        <w:t>Quant aux partenaires extérieurs précisément destinataires de cette identité ou image d’entreprise, il en va des personnes et organisations avec lesquelles l’entreprise entretient un lien, contractuel ou non, du fait de son activité. Parmi les partenaires commerciaux, l’on pense en premier lieu aux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 qu’il s’agisse de particuliers ou d’autres entreprises –, et, dans une moindre mesure, aux fournisseurs de l’entreprise.</w:t>
      </w:r>
      <w:r w:rsidR="005071B7">
        <w:t xml:space="preserve"> C</w:t>
      </w:r>
      <w:r>
        <w:t>itons également les autorités publiques, même si, pour ce qui nous concerne, du point de vue de l’invocation de la neutralité externe, la relation de l’entreprise avec l’État sera plutôt envisagée à travers la quatrième figure de neutralité. Enfin, plus largement, l’image de l’entreprise est susceptible d’atteindre l’ensemble des acteurs composant l’environnement sociétal au sein duquel évolue cette entreprise, y compris du point de vue de la responsabilité sociale de l’entreprise</w:t>
      </w:r>
      <w:r w:rsidR="001765CA">
        <w:rPr>
          <w:rStyle w:val="Appelnotedebasdep"/>
        </w:rPr>
        <w:footnoteReference w:id="235"/>
      </w:r>
      <w:r>
        <w:t>.</w:t>
      </w:r>
    </w:p>
    <w:p w14:paraId="5846448F" w14:textId="1E05983C" w:rsidR="008430D0" w:rsidRDefault="008430D0" w:rsidP="00960BD9">
      <w:pPr>
        <w:pStyle w:val="Paragraphedeliste"/>
      </w:pPr>
      <w:r>
        <w:t>Quant aux moyens mobilisés par l’entreprise pour diffuser son 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nombre </w:t>
      </w:r>
      <w:r w:rsidR="001A57DA">
        <w:t xml:space="preserve">d’entre eux </w:t>
      </w:r>
      <w:r>
        <w:t xml:space="preserve">ont </w:t>
      </w:r>
      <w:r w:rsidR="001A57DA">
        <w:t xml:space="preserve">potentiellement </w:t>
      </w:r>
      <w:r>
        <w:t>trait, de près ou de loin, à l’image des travailleurs de l’entreprise. L’on pense évidemment en premier lieu à la tenue vestimentaire arborée par les travailleurs – du reste centrale dans les contentieux en matière de neutralité religieuse –, voire à l’uniforme éventuellement de rigueur pour tout ou partie des travailleurs. Plus largement, c’est l’ensemble des éléments composant l’attitude du travailleur au sein de l’entreprise qui seront vus comme autant de vecteurs potentiels de l’image de l’entreprise.</w:t>
      </w:r>
    </w:p>
    <w:p w14:paraId="1AC10049" w14:textId="11C92974" w:rsidR="008430D0" w:rsidRDefault="008430D0" w:rsidP="008430D0">
      <w:r>
        <w:t>Cette dernière remarque nous fait immédiatement saisir les multiples enjeux que peut soulever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d’une entreprise quant au respect des droits et libertés fondamentaux de ses travailleurs, dès le moment où ces derniers sont impliqués dans le déploiement de cette image. À nouveau, le défi consiste à parvenir à un équilibre entre l’intérêt commercial de l’entreprise – traduit, sous l’angle des droits fondamentaux, par la liberté d’entreprise – et les droits et libertés des travailleurs.</w:t>
      </w:r>
    </w:p>
    <w:p w14:paraId="7934BE4B" w14:textId="77777777" w:rsidR="008430D0" w:rsidRDefault="008430D0" w:rsidP="008430D0">
      <w:pPr>
        <w:pStyle w:val="Titre5"/>
      </w:pPr>
      <w:bookmarkStart w:id="39" w:name="_Toc91763292"/>
      <w:r>
        <w:lastRenderedPageBreak/>
        <w:t>Image d’entreprise et neutralité religieuse</w:t>
      </w:r>
      <w:bookmarkEnd w:id="39"/>
    </w:p>
    <w:p w14:paraId="777531EA" w14:textId="3ABA2DD7" w:rsidR="008430D0" w:rsidRDefault="008430D0" w:rsidP="00960BD9">
      <w:pPr>
        <w:pStyle w:val="Paragraphedeliste"/>
      </w:pPr>
      <w:r w:rsidRPr="001B6184">
        <w:t>Comme le note A</w:t>
      </w:r>
      <w:r>
        <w:t>llison</w:t>
      </w:r>
      <w:r w:rsidRPr="001B6184">
        <w:t xml:space="preserve"> Fiorentino, « à l’évidence l’apparence des salariés peut causer un préjudice à l’employeur »</w:t>
      </w:r>
      <w:r>
        <w:t> ; or</w:t>
      </w:r>
      <w:r w:rsidRPr="001B6184">
        <w:t>, « la religion affecte parfois cette apparence »</w:t>
      </w:r>
      <w:r>
        <w:rPr>
          <w:rStyle w:val="Appelnotedebasdep"/>
        </w:rPr>
        <w:footnoteReference w:id="236"/>
      </w:r>
      <w:r w:rsidR="001765CA">
        <w:t>.</w:t>
      </w:r>
      <w:r>
        <w:t xml:space="preserve"> De manière générale, le déploiement de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de l’entreprise peut, à deux égards, emporter des implications sur le plan de la liberté et de la non-discrimination religieuses du travailleur. Premièrement, le choix d’impliquer le travailleur dans le déploiement de l’image de marque de l’entreprise est susceptible d’emporter certaines conséquences du point de vue du respect de sa liberté de conscience</w:t>
      </w:r>
      <w:r>
        <w:fldChar w:fldCharType="begin"/>
      </w:r>
      <w:r>
        <w:instrText xml:space="preserve"> XE "</w:instrText>
      </w:r>
      <w:r w:rsidRPr="00821CE3">
        <w:rPr>
          <w:rFonts w:eastAsia="Times New Roman" w:cs="Calibri"/>
          <w:color w:val="000000"/>
          <w:lang w:eastAsia="fr-BE"/>
        </w:rPr>
        <w:instrText>Conscienc</w:instrText>
      </w:r>
      <w:r>
        <w:rPr>
          <w:rFonts w:eastAsia="Times New Roman" w:cs="Calibri"/>
          <w:color w:val="000000"/>
          <w:lang w:eastAsia="fr-BE"/>
        </w:rPr>
        <w:instrText>e"</w:instrText>
      </w:r>
      <w:r>
        <w:instrText xml:space="preserve"> </w:instrText>
      </w:r>
      <w:r>
        <w:fldChar w:fldCharType="end"/>
      </w:r>
      <w:r>
        <w:t>. C’est</w:t>
      </w:r>
      <w:r w:rsidR="00876259">
        <w:t xml:space="preserve"> </w:t>
      </w:r>
      <w:r>
        <w:t>plus spécifiquement le cas lorsque le contenu donné à cette image de marque implique, expressément ou non, une restriction des expressions religieuses des travailleurs.</w:t>
      </w:r>
    </w:p>
    <w:p w14:paraId="6608C2C9" w14:textId="0B311273" w:rsidR="008430D0" w:rsidRDefault="008430D0" w:rsidP="008430D0">
      <w:r>
        <w:t xml:space="preserve">En l’occurrence, la neutralité est très majoritairement envisagée </w:t>
      </w:r>
      <w:r w:rsidR="00876259">
        <w:t>par le biais d’une</w:t>
      </w:r>
      <w:r>
        <w:t xml:space="preserve"> invisibilisation</w:t>
      </w:r>
      <w:r>
        <w:fldChar w:fldCharType="begin"/>
      </w:r>
      <w:r>
        <w:instrText xml:space="preserve"> XE "</w:instrText>
      </w:r>
      <w:r>
        <w:rPr>
          <w:rFonts w:eastAsia="Times New Roman" w:cs="Calibri"/>
          <w:color w:val="000000"/>
          <w:lang w:eastAsia="fr-BE"/>
        </w:rPr>
        <w:instrText>Visibilité"</w:instrText>
      </w:r>
      <w:r>
        <w:instrText xml:space="preserve"> </w:instrText>
      </w:r>
      <w:r>
        <w:fldChar w:fldCharType="end"/>
      </w:r>
      <w:r>
        <w:t xml:space="preserve"> </w:t>
      </w:r>
      <w:r w:rsidR="00876259">
        <w:t xml:space="preserve">des expressions </w:t>
      </w:r>
      <w:r>
        <w:t>religieu</w:t>
      </w:r>
      <w:r w:rsidR="00876259">
        <w:t xml:space="preserve">ses, </w:t>
      </w:r>
      <w:r>
        <w:t>vue comme nécessaire du point de vue de la concordance des travailleurs avec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de l’entreprise.</w:t>
      </w:r>
    </w:p>
    <w:p w14:paraId="79257EB2" w14:textId="749D7D25" w:rsidR="008430D0" w:rsidRDefault="008430D0" w:rsidP="008430D0">
      <w:r>
        <w:t xml:space="preserve">L’on peut alors déjà percevoir que la distance s’atténue entre cette neutralité réputée instrumentale et une neutralité proprement idéologique. En effet, la focalisation exclusive de l’employeur sur le critère religieux </w:t>
      </w:r>
      <w:r w:rsidR="00876259">
        <w:t xml:space="preserve">pourrait </w:t>
      </w:r>
      <w:r>
        <w:t>suggérer une idéologisation</w:t>
      </w:r>
      <w:r>
        <w:fldChar w:fldCharType="begin"/>
      </w:r>
      <w:r>
        <w:instrText xml:space="preserve"> XE "</w:instrText>
      </w:r>
      <w:r w:rsidRPr="00821CE3">
        <w:rPr>
          <w:rFonts w:eastAsia="Times New Roman" w:cs="Calibri"/>
          <w:color w:val="000000"/>
          <w:lang w:eastAsia="fr-BE"/>
        </w:rPr>
        <w:instrText>Idéologisation</w:instrText>
      </w:r>
      <w:r>
        <w:rPr>
          <w:rFonts w:eastAsia="Times New Roman" w:cs="Calibri"/>
          <w:color w:val="000000"/>
          <w:lang w:eastAsia="fr-BE"/>
        </w:rPr>
        <w:instrText>"</w:instrText>
      </w:r>
      <w:r>
        <w:instrText xml:space="preserve"> </w:instrText>
      </w:r>
      <w:r>
        <w:fldChar w:fldCharType="end"/>
      </w:r>
      <w:r>
        <w:t xml:space="preserve"> areligieuse, sinon antireligieuse, de la neutralité en tant qu’image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w:t>
      </w:r>
    </w:p>
    <w:p w14:paraId="2E7A5F29" w14:textId="22798CE0" w:rsidR="008430D0" w:rsidRDefault="008430D0" w:rsidP="00960BD9">
      <w:pPr>
        <w:pStyle w:val="Paragraphedeliste"/>
      </w:pPr>
      <w:r>
        <w:t>Par ailleurs, l’imposition d’une neutralité restrictive aux travailleurs, en tant qu’image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w:t>
      </w:r>
      <w:r w:rsidRPr="008D517D">
        <w:t>externe</w:t>
      </w:r>
      <w:r>
        <w:t xml:space="preserve"> de l’entreprise, requiert de s’interroger sur le champ d’application d’une telle neutralité, tant du point de vue des expressions que des travailleurs visés par une telle restriction : s’agit-il, dans l’un et l’autre cas, de ne cibler que les expressions et travailleurs visibles de l’extérieur ? </w:t>
      </w:r>
    </w:p>
    <w:p w14:paraId="27A18256" w14:textId="0115A748" w:rsidR="008430D0" w:rsidRDefault="008430D0" w:rsidP="008430D0">
      <w:r>
        <w:t xml:space="preserve">Du point de vue des travailleurs, une distinction entre les travailleurs situés en </w:t>
      </w:r>
      <w:proofErr w:type="spellStart"/>
      <w:r>
        <w:rPr>
          <w:i/>
          <w:iCs/>
        </w:rPr>
        <w:t>front-office</w:t>
      </w:r>
      <w:proofErr w:type="spellEnd"/>
      <w:r>
        <w:t xml:space="preserve"> et ceux qui restent en </w:t>
      </w:r>
      <w:r>
        <w:rPr>
          <w:i/>
          <w:iCs/>
        </w:rPr>
        <w:t xml:space="preserve">back-office – </w:t>
      </w:r>
      <w:r w:rsidRPr="007A6C7C">
        <w:t>ou</w:t>
      </w:r>
      <w:r>
        <w:t xml:space="preserve"> </w:t>
      </w:r>
      <w:r w:rsidRPr="008D517D">
        <w:t>arrière-boutique</w:t>
      </w:r>
      <w:r>
        <w:rPr>
          <w:i/>
          <w:iCs/>
        </w:rPr>
        <w:t xml:space="preserve"> </w:t>
      </w:r>
      <w:r>
        <w:t xml:space="preserve">– </w:t>
      </w:r>
      <w:r w:rsidR="001765CA">
        <w:t>n’est pas nécessairement évidente</w:t>
      </w:r>
      <w:r>
        <w:t>, tant du point de sa pertinence</w:t>
      </w:r>
      <w:r w:rsidR="00D10092">
        <w:rPr>
          <w:rStyle w:val="Appelnotedebasdep"/>
        </w:rPr>
        <w:footnoteReference w:id="237"/>
      </w:r>
      <w:r>
        <w:t xml:space="preserve"> que de sa praticabilité</w:t>
      </w:r>
      <w:r w:rsidR="00D10092">
        <w:rPr>
          <w:rStyle w:val="Appelnotedebasdep"/>
        </w:rPr>
        <w:footnoteReference w:id="238"/>
      </w:r>
      <w:r>
        <w:t>.</w:t>
      </w:r>
    </w:p>
    <w:p w14:paraId="7A11D9EE" w14:textId="58D6FD8F" w:rsidR="008430D0" w:rsidRDefault="008430D0" w:rsidP="008D517D">
      <w:r>
        <w:t>Quant aux expressions religieuses visées, il en va principalement des signes religieux dont l’affichage, tant vestimentaire que corporel, par le travailleur serait visible</w:t>
      </w:r>
      <w:r>
        <w:fldChar w:fldCharType="begin"/>
      </w:r>
      <w:r>
        <w:instrText xml:space="preserve"> XE "</w:instrText>
      </w:r>
      <w:r>
        <w:rPr>
          <w:rFonts w:eastAsia="Times New Roman" w:cs="Calibri"/>
          <w:color w:val="000000"/>
          <w:lang w:eastAsia="fr-BE"/>
        </w:rPr>
        <w:instrText>Visibilité"</w:instrText>
      </w:r>
      <w:r>
        <w:instrText xml:space="preserve"> </w:instrText>
      </w:r>
      <w:r>
        <w:fldChar w:fldCharType="end"/>
      </w:r>
      <w:r>
        <w:t xml:space="preserve"> des personnes extérieures à l’entreprise. Ces signes religieux seront soit interdits en eux-mêmes, ou, plutôt dans la mesure où leur présence est considérée comme incompatible avec l’uniforme ou la tenue imposée par l’employeur.</w:t>
      </w:r>
    </w:p>
    <w:p w14:paraId="19E2849C" w14:textId="59F6665D" w:rsidR="008430D0" w:rsidRPr="00DE13A8" w:rsidRDefault="008430D0" w:rsidP="008430D0">
      <w:r>
        <w:t xml:space="preserve">Outre l’hypothèse récurrente des signes religieux, peuvent également apparaître comme contraires à l’image de neutralité l’expression de </w:t>
      </w:r>
      <w:r w:rsidR="007C52C4">
        <w:t>certains comp</w:t>
      </w:r>
      <w:r w:rsidR="00D3491C">
        <w:t>ortements</w:t>
      </w:r>
      <w:r>
        <w:t xml:space="preserve">, dès lors que </w:t>
      </w:r>
      <w:r w:rsidR="00D3491C">
        <w:t>ceux-ci</w:t>
      </w:r>
      <w:r>
        <w:t xml:space="preserve"> dépassent le seul cadre interne à l’entreprise et sont d’une manière ou d’une autre visibles de l’extérieur de l’entreprise. L’on pense ici aux modes de salutation tels que la poignée de main, aux pratiques telles que la prière</w:t>
      </w:r>
      <w:r>
        <w:fldChar w:fldCharType="begin"/>
      </w:r>
      <w:r>
        <w:instrText xml:space="preserve"> XE "</w:instrText>
      </w:r>
      <w:r w:rsidRPr="00821CE3">
        <w:rPr>
          <w:rFonts w:eastAsia="Times New Roman" w:cs="Calibri"/>
          <w:color w:val="000000"/>
          <w:lang w:eastAsia="fr-BE"/>
        </w:rPr>
        <w:instrText>Prière</w:instrText>
      </w:r>
      <w:r>
        <w:rPr>
          <w:rFonts w:eastAsia="Times New Roman" w:cs="Calibri"/>
          <w:color w:val="000000"/>
          <w:lang w:eastAsia="fr-BE"/>
        </w:rPr>
        <w:instrText>"</w:instrText>
      </w:r>
      <w:r>
        <w:instrText xml:space="preserve"> </w:instrText>
      </w:r>
      <w:r>
        <w:fldChar w:fldCharType="end"/>
      </w:r>
      <w:r>
        <w:t xml:space="preserve">, ainsi qu’au refus d’effectuer </w:t>
      </w:r>
      <w:r w:rsidR="00D3491C">
        <w:t xml:space="preserve">une </w:t>
      </w:r>
      <w:r>
        <w:t>tâche impliquant une relation avec un partenaire de l’entreprise.</w:t>
      </w:r>
    </w:p>
    <w:p w14:paraId="57CC7432" w14:textId="1D5103FC" w:rsidR="00BA3B64" w:rsidRPr="00BA3B64" w:rsidRDefault="00BA3B64" w:rsidP="00754A8F">
      <w:pPr>
        <w:pStyle w:val="Titre4"/>
      </w:pPr>
      <w:r>
        <w:lastRenderedPageBreak/>
        <w:t xml:space="preserve">Illustration : </w:t>
      </w:r>
      <w:r w:rsidR="00754A8F">
        <w:t xml:space="preserve">les arrêts </w:t>
      </w:r>
      <w:proofErr w:type="spellStart"/>
      <w:r w:rsidRPr="00754A8F">
        <w:rPr>
          <w:i w:val="0"/>
          <w:iCs w:val="0"/>
        </w:rPr>
        <w:t>Achbita</w:t>
      </w:r>
      <w:proofErr w:type="spellEnd"/>
      <w:r w:rsidR="00DF19E6">
        <w:t xml:space="preserve">, </w:t>
      </w:r>
      <w:r w:rsidRPr="00754A8F">
        <w:rPr>
          <w:i w:val="0"/>
          <w:iCs w:val="0"/>
        </w:rPr>
        <w:t>Bougnaoui</w:t>
      </w:r>
      <w:r w:rsidR="00C7546E">
        <w:t xml:space="preserve">, </w:t>
      </w:r>
      <w:r w:rsidR="00C7546E">
        <w:rPr>
          <w:i w:val="0"/>
          <w:iCs w:val="0"/>
        </w:rPr>
        <w:t xml:space="preserve">WABE-Müller </w:t>
      </w:r>
      <w:r w:rsidR="00C7546E" w:rsidRPr="008D517D">
        <w:t>et</w:t>
      </w:r>
      <w:r w:rsidR="00C7546E">
        <w:rPr>
          <w:i w:val="0"/>
          <w:iCs w:val="0"/>
        </w:rPr>
        <w:t xml:space="preserve"> LF c. SCRL </w:t>
      </w:r>
      <w:r w:rsidR="00754A8F">
        <w:t>de la CJUE</w:t>
      </w:r>
    </w:p>
    <w:p w14:paraId="3B43A52C" w14:textId="48129969" w:rsidR="00002C48" w:rsidRDefault="004C3090" w:rsidP="00960BD9">
      <w:pPr>
        <w:pStyle w:val="Paragraphedeliste"/>
      </w:pPr>
      <w:r>
        <w:t>Une</w:t>
      </w:r>
      <w:r w:rsidR="00002C48">
        <w:t xml:space="preserve"> poignée d’affaires en lien avec la figure de l’image de marque</w:t>
      </w:r>
      <w:r w:rsidR="00002C48">
        <w:fldChar w:fldCharType="begin"/>
      </w:r>
      <w:r w:rsidR="00002C48">
        <w:instrText xml:space="preserve"> XE "</w:instrText>
      </w:r>
      <w:r w:rsidR="00002C48" w:rsidRPr="00821CE3">
        <w:rPr>
          <w:rFonts w:eastAsia="Times New Roman" w:cs="Calibri"/>
          <w:color w:val="000000"/>
          <w:lang w:eastAsia="fr-BE"/>
        </w:rPr>
        <w:instrText>Image de marque</w:instrText>
      </w:r>
      <w:r w:rsidR="00002C48">
        <w:rPr>
          <w:rFonts w:eastAsia="Times New Roman" w:cs="Calibri"/>
          <w:color w:val="000000"/>
          <w:lang w:eastAsia="fr-BE"/>
        </w:rPr>
        <w:instrText>"</w:instrText>
      </w:r>
      <w:r w:rsidR="00002C48">
        <w:instrText xml:space="preserve"> </w:instrText>
      </w:r>
      <w:r w:rsidR="00002C48">
        <w:fldChar w:fldCharType="end"/>
      </w:r>
      <w:r w:rsidR="00002C48">
        <w:t xml:space="preserve"> neutre de l’entreprise ont accompli le long périple judiciaire jusqu’à Luxembourg ou Strasbourg.</w:t>
      </w:r>
    </w:p>
    <w:p w14:paraId="2D245989" w14:textId="10822426" w:rsidR="00002C48" w:rsidRDefault="00002C48" w:rsidP="00960BD9">
      <w:pPr>
        <w:pStyle w:val="Paragraphedeliste"/>
      </w:pPr>
      <w:r>
        <w:t xml:space="preserve">La CourEDH, dans l’affaire </w:t>
      </w:r>
      <w:proofErr w:type="spellStart"/>
      <w:r>
        <w:rPr>
          <w:i/>
        </w:rPr>
        <w:t>Eweida</w:t>
      </w:r>
      <w:proofErr w:type="spellEnd"/>
      <w:r>
        <w:rPr>
          <w:i/>
        </w:rPr>
        <w:t xml:space="preserve"> e.a. </w:t>
      </w:r>
      <w:r>
        <w:t xml:space="preserve">en 2013, s’est entre autres prononcé sur le cas de l’interdiction faite par </w:t>
      </w:r>
      <w:r w:rsidRPr="009876DB">
        <w:rPr>
          <w:i/>
          <w:iCs/>
        </w:rPr>
        <w:t>British Airways</w:t>
      </w:r>
      <w:r>
        <w:t xml:space="preserve"> à une de ses hôtesses de porter une croix</w:t>
      </w:r>
      <w:r>
        <w:fldChar w:fldCharType="begin"/>
      </w:r>
      <w:r>
        <w:instrText xml:space="preserve"> XE "</w:instrText>
      </w:r>
      <w:r w:rsidRPr="00821CE3">
        <w:rPr>
          <w:rFonts w:eastAsia="Times New Roman" w:cs="Calibri"/>
          <w:color w:val="000000"/>
          <w:lang w:eastAsia="fr-BE"/>
        </w:rPr>
        <w:instrText>Croix chrétienne</w:instrText>
      </w:r>
      <w:r>
        <w:rPr>
          <w:rFonts w:eastAsia="Times New Roman" w:cs="Calibri"/>
          <w:color w:val="000000"/>
          <w:lang w:eastAsia="fr-BE"/>
        </w:rPr>
        <w:instrText>"</w:instrText>
      </w:r>
      <w:r>
        <w:instrText xml:space="preserve"> </w:instrText>
      </w:r>
      <w:r>
        <w:fldChar w:fldCharType="end"/>
      </w:r>
      <w:r>
        <w:t xml:space="preserve"> chrétienne en pendentif en plus de l’uniforme de la compagnie. La compagnie aérienne justifiait cette décision – avant de faire machine arrière et d’accepter le port de la croix – par son souci de renvoyer une certaine image commerciale à sa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S’il n’est pas fait explicitement référence à la neutralité en tant qu’image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la CourEDH a expressément reconnu le caractère « assurément légitime » de cet objectif d’image commerciale. Les juges précisent toutefois que « </w:t>
      </w:r>
      <w:r w:rsidRPr="004A3DC1">
        <w:t>les tribunaux internes lui ont donné trop d’importance</w:t>
      </w:r>
      <w:r>
        <w:t xml:space="preserve"> » en y déduisant une interdiction pour Mme </w:t>
      </w:r>
      <w:proofErr w:type="spellStart"/>
      <w:r>
        <w:t>Eweida</w:t>
      </w:r>
      <w:proofErr w:type="spellEnd"/>
      <w:r>
        <w:t xml:space="preserve"> de porter sa croix</w:t>
      </w:r>
      <w:r>
        <w:rPr>
          <w:rStyle w:val="Appelnotedebasdep"/>
        </w:rPr>
        <w:footnoteReference w:id="239"/>
      </w:r>
      <w:r w:rsidR="00D10092">
        <w:t>.</w:t>
      </w:r>
      <w:r>
        <w:t xml:space="preserve"> La justification d’une telle mesure se joue donc moins sur le plan de la légitimité que sur celui de la proportionnalité</w:t>
      </w:r>
      <w:r>
        <w:rPr>
          <w:rStyle w:val="Appelnotedebasdep"/>
        </w:rPr>
        <w:footnoteReference w:id="240"/>
      </w:r>
      <w:r w:rsidR="00D10092">
        <w:t>.</w:t>
      </w:r>
    </w:p>
    <w:p w14:paraId="2208FB7E" w14:textId="53E2C366" w:rsidR="005744DD" w:rsidRDefault="00002C48" w:rsidP="00960BD9">
      <w:pPr>
        <w:pStyle w:val="Paragraphedeliste"/>
      </w:pPr>
      <w:bookmarkStart w:id="40" w:name="_Ref112863667"/>
      <w:r>
        <w:t xml:space="preserve">La </w:t>
      </w:r>
      <w:r w:rsidRPr="00960BD9">
        <w:t>CJUE</w:t>
      </w:r>
      <w:r>
        <w:t xml:space="preserve"> a quant à elle été amenée à donner une réponse plus détaillée que la CourEDH sur la légitimité de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neutre en tant qu’objectif justifiant cette fois une distinction fondée sur la religion ou les convictions. </w:t>
      </w:r>
      <w:r w:rsidR="005744DD">
        <w:t xml:space="preserve">Les deux arrêts rendus en mars 2017 dans les affaires </w:t>
      </w:r>
      <w:proofErr w:type="spellStart"/>
      <w:r w:rsidR="005744DD">
        <w:rPr>
          <w:i/>
          <w:iCs/>
        </w:rPr>
        <w:t>Achbita</w:t>
      </w:r>
      <w:proofErr w:type="spellEnd"/>
      <w:r w:rsidR="005744DD" w:rsidRPr="00FE1EB2">
        <w:rPr>
          <w:rStyle w:val="Appelnotedebasdep"/>
        </w:rPr>
        <w:footnoteReference w:id="241"/>
      </w:r>
      <w:r w:rsidR="005744DD">
        <w:rPr>
          <w:i/>
          <w:iCs/>
        </w:rPr>
        <w:t xml:space="preserve"> </w:t>
      </w:r>
      <w:r w:rsidR="005744DD">
        <w:t xml:space="preserve">et </w:t>
      </w:r>
      <w:r w:rsidR="005744DD">
        <w:rPr>
          <w:i/>
          <w:iCs/>
        </w:rPr>
        <w:t>Bougnaoui</w:t>
      </w:r>
      <w:r w:rsidR="005744DD" w:rsidRPr="00FE1EB2">
        <w:rPr>
          <w:rStyle w:val="Appelnotedebasdep"/>
        </w:rPr>
        <w:footnoteReference w:id="242"/>
      </w:r>
      <w:r w:rsidR="005744DD" w:rsidRPr="00FE1EB2">
        <w:t xml:space="preserve"> </w:t>
      </w:r>
      <w:r w:rsidR="005744DD">
        <w:t xml:space="preserve">forment l’un et l’autre une excellente illustration de la neutralité invoquée dans cette perspective. Pour rappel, ces arrêts trouvent leur origine dans les questions préjudicielles respectivement posées par les Cours de cassation belge (pour l’affaire </w:t>
      </w:r>
      <w:proofErr w:type="spellStart"/>
      <w:r w:rsidR="005744DD">
        <w:rPr>
          <w:i/>
          <w:iCs/>
        </w:rPr>
        <w:t>Achbita</w:t>
      </w:r>
      <w:proofErr w:type="spellEnd"/>
      <w:r w:rsidR="005744DD">
        <w:t xml:space="preserve">) et française (pour l’affaire </w:t>
      </w:r>
      <w:r w:rsidR="005744DD">
        <w:rPr>
          <w:i/>
          <w:iCs/>
        </w:rPr>
        <w:t>Bougnaoui</w:t>
      </w:r>
      <w:r w:rsidR="005744DD">
        <w:t xml:space="preserve">) au sujet de l’interdiction </w:t>
      </w:r>
      <w:r w:rsidR="005744DD" w:rsidRPr="00477460">
        <w:t xml:space="preserve">du foulard islamique </w:t>
      </w:r>
      <w:r w:rsidR="005744DD">
        <w:t>pour ces</w:t>
      </w:r>
      <w:r w:rsidR="005744DD" w:rsidRPr="00477460">
        <w:t xml:space="preserve"> deux travailleuses en contact avec la clientèle, au nom de l’image neutre de leur employeur</w:t>
      </w:r>
      <w:r w:rsidR="005744DD">
        <w:t>.</w:t>
      </w:r>
      <w:bookmarkEnd w:id="40"/>
    </w:p>
    <w:p w14:paraId="6C586FEA" w14:textId="14D3D652" w:rsidR="005744DD" w:rsidRDefault="005744DD" w:rsidP="005744DD">
      <w:r>
        <w:t xml:space="preserve">Sur le plan </w:t>
      </w:r>
      <w:r w:rsidRPr="008C350A">
        <w:t>de la compatibilité avec la liberté religieuse et la non-discrimination,</w:t>
      </w:r>
      <w:r>
        <w:t xml:space="preserve"> les deux affaires se distinguent par le fait que seul l’employeur de Mme </w:t>
      </w:r>
      <w:proofErr w:type="spellStart"/>
      <w:r>
        <w:t>Achbita</w:t>
      </w:r>
      <w:proofErr w:type="spellEnd"/>
      <w:r>
        <w:t xml:space="preserve"> avait anticipé cette interdiction des expressions religieuses dans une règle de neutralité, au contraire de l’employeur de Mme Bougnaoui. Cette différence conduit la CJUE à considérer, dans l’affaire </w:t>
      </w:r>
      <w:r>
        <w:rPr>
          <w:i/>
          <w:iCs/>
        </w:rPr>
        <w:t>Bougnaoui</w:t>
      </w:r>
      <w:r>
        <w:t>, que l’intégration des souhaits discriminatoires de la clientèle constitue une discrimination directe</w:t>
      </w:r>
      <w:r>
        <w:rPr>
          <w:rStyle w:val="Appelnotedebasdep"/>
        </w:rPr>
        <w:footnoteReference w:id="243"/>
      </w:r>
      <w:r w:rsidR="00D10092">
        <w:t>.</w:t>
      </w:r>
      <w:r>
        <w:t xml:space="preserve"> En revanche, « </w:t>
      </w:r>
      <w:r w:rsidRPr="00477460">
        <w:t>la volonté d’afficher, dans les relations avec les clients tant publics que privés, une politique de neutralité politique, philosophique ou religieuse</w:t>
      </w:r>
      <w:r>
        <w:t> »</w:t>
      </w:r>
      <w:r>
        <w:rPr>
          <w:rStyle w:val="Appelnotedebasdep"/>
        </w:rPr>
        <w:footnoteReference w:id="244"/>
      </w:r>
      <w:r>
        <w:t xml:space="preserve"> est jugée légitime dans l’affaire </w:t>
      </w:r>
      <w:proofErr w:type="spellStart"/>
      <w:r>
        <w:rPr>
          <w:i/>
          <w:iCs/>
        </w:rPr>
        <w:t>Achbita</w:t>
      </w:r>
      <w:proofErr w:type="spellEnd"/>
      <w:r>
        <w:t>.</w:t>
      </w:r>
    </w:p>
    <w:p w14:paraId="728A6879" w14:textId="31DE8BAF" w:rsidR="009E7FFC" w:rsidRDefault="00002C48" w:rsidP="005744DD">
      <w:r>
        <w:t xml:space="preserve">Les affaires </w:t>
      </w:r>
      <w:r>
        <w:rPr>
          <w:i/>
        </w:rPr>
        <w:t>WABE</w:t>
      </w:r>
      <w:r>
        <w:t xml:space="preserve"> et </w:t>
      </w:r>
      <w:r>
        <w:rPr>
          <w:i/>
        </w:rPr>
        <w:t>Müller</w:t>
      </w:r>
      <w:r w:rsidR="00414AC9">
        <w:rPr>
          <w:iCs/>
        </w:rPr>
        <w:t>, relatives à</w:t>
      </w:r>
      <w:r>
        <w:t xml:space="preserve"> </w:t>
      </w:r>
      <w:r w:rsidR="00414AC9">
        <w:t>un groupe de crèches ainsi qu’à une chaîne de drogueries</w:t>
      </w:r>
      <w:r w:rsidR="009E7FFC">
        <w:t xml:space="preserve"> situées en Allemagne</w:t>
      </w:r>
      <w:r w:rsidR="00414AC9">
        <w:t xml:space="preserve">, </w:t>
      </w:r>
      <w:r>
        <w:t>donneront</w:t>
      </w:r>
      <w:r w:rsidR="005744DD">
        <w:t xml:space="preserve"> à la CJUE</w:t>
      </w:r>
      <w:r>
        <w:t xml:space="preserve"> l’occasion de confirmer cette affirmation de </w:t>
      </w:r>
      <w:r w:rsidR="00301075">
        <w:t xml:space="preserve">légitimité de </w:t>
      </w:r>
      <w:r>
        <w:t>principe</w:t>
      </w:r>
      <w:r w:rsidR="00414AC9">
        <w:t xml:space="preserve">. </w:t>
      </w:r>
      <w:r w:rsidR="009E7FFC">
        <w:t>La</w:t>
      </w:r>
      <w:r w:rsidR="00E41724">
        <w:t xml:space="preserve"> Cour considère</w:t>
      </w:r>
      <w:r w:rsidR="009E7FFC">
        <w:t xml:space="preserve"> en l’occurrence</w:t>
      </w:r>
      <w:r w:rsidR="000266BE">
        <w:t xml:space="preserve"> </w:t>
      </w:r>
      <w:r w:rsidR="005744DD">
        <w:t>comme</w:t>
      </w:r>
      <w:r>
        <w:t xml:space="preserve"> légitime une politique</w:t>
      </w:r>
      <w:r w:rsidRPr="006228EB">
        <w:t xml:space="preserve"> </w:t>
      </w:r>
      <w:r w:rsidR="00E41724">
        <w:t xml:space="preserve">de </w:t>
      </w:r>
      <w:r w:rsidRPr="006228EB">
        <w:t>neutralité restrictive visant « tant la prévention des conflits sociaux que la présentation de l’employeur de manière neutre à l’égard des clients »</w:t>
      </w:r>
      <w:r>
        <w:rPr>
          <w:rStyle w:val="Appelnotedebasdep"/>
        </w:rPr>
        <w:footnoteReference w:id="245"/>
      </w:r>
      <w:r>
        <w:t>.</w:t>
      </w:r>
    </w:p>
    <w:p w14:paraId="02A2FF3C" w14:textId="7B7E084E" w:rsidR="001B0620" w:rsidRPr="001B0620" w:rsidRDefault="001B0620" w:rsidP="005744DD">
      <w:r>
        <w:t xml:space="preserve">L’arrêt rendu en 2022 par la CJUE dans l’affaire </w:t>
      </w:r>
      <w:r>
        <w:rPr>
          <w:i/>
          <w:iCs/>
        </w:rPr>
        <w:t xml:space="preserve">LF c. SCRL </w:t>
      </w:r>
      <w:r>
        <w:t>ne modifie pas ce constat</w:t>
      </w:r>
      <w:r w:rsidR="008D05DF">
        <w:t xml:space="preserve">. </w:t>
      </w:r>
      <w:r w:rsidR="00AC3B70">
        <w:t>L’affaire concer</w:t>
      </w:r>
      <w:r w:rsidR="00E465B8">
        <w:t>nait</w:t>
      </w:r>
      <w:r w:rsidR="00AC3B70">
        <w:t xml:space="preserve"> le </w:t>
      </w:r>
      <w:r w:rsidR="008D05DF">
        <w:t>refus d</w:t>
      </w:r>
      <w:r w:rsidR="00E32BF8">
        <w:t>’octroi</w:t>
      </w:r>
      <w:r w:rsidR="008D05DF" w:rsidRPr="008D05DF">
        <w:t xml:space="preserve"> </w:t>
      </w:r>
      <w:r w:rsidR="00E32BF8">
        <w:t>d’</w:t>
      </w:r>
      <w:r w:rsidR="008D05DF" w:rsidRPr="008D05DF">
        <w:t xml:space="preserve">un stage au sein d’un entreprise </w:t>
      </w:r>
      <w:r w:rsidR="00E32BF8">
        <w:t>belge</w:t>
      </w:r>
      <w:r w:rsidR="008D05DF" w:rsidRPr="008D05DF">
        <w:t xml:space="preserve"> exerçant un service public</w:t>
      </w:r>
      <w:r w:rsidR="00AC3B70">
        <w:t>, au motif</w:t>
      </w:r>
      <w:r w:rsidR="008D05DF" w:rsidRPr="008D05DF">
        <w:rPr>
          <w:i/>
          <w:iCs/>
        </w:rPr>
        <w:t xml:space="preserve"> </w:t>
      </w:r>
      <w:r w:rsidR="00AC3B70">
        <w:t xml:space="preserve">que la candidate </w:t>
      </w:r>
      <w:r w:rsidR="00E465B8">
        <w:t>n’était</w:t>
      </w:r>
      <w:r w:rsidR="00AC3B70">
        <w:t xml:space="preserve"> pas disposée à </w:t>
      </w:r>
      <w:r w:rsidR="00921514">
        <w:t>respecter la politique</w:t>
      </w:r>
      <w:r w:rsidR="00D21F1A">
        <w:t xml:space="preserve"> générale</w:t>
      </w:r>
      <w:r w:rsidR="00921514">
        <w:t xml:space="preserve"> de neutralité en ne portant </w:t>
      </w:r>
      <w:r w:rsidR="00921514">
        <w:lastRenderedPageBreak/>
        <w:t>pas de signe religieux.</w:t>
      </w:r>
      <w:r w:rsidR="006D07ED">
        <w:t xml:space="preserve"> </w:t>
      </w:r>
      <w:r w:rsidR="00C33A49">
        <w:t>Si la légitimité de la neutralité n’est à nouveau pas fondamentalement remise en cause, la Cour considère toutefois nécessaire de mentionner l’éventualité d’un « détournement » de la neutralité</w:t>
      </w:r>
      <w:r w:rsidR="00FC40D8">
        <w:t xml:space="preserve"> </w:t>
      </w:r>
      <w:r w:rsidR="00FC40D8" w:rsidRPr="00FC40D8">
        <w:t xml:space="preserve">au détriment de </w:t>
      </w:r>
      <w:r w:rsidR="00FC40D8">
        <w:t xml:space="preserve">certains </w:t>
      </w:r>
      <w:r w:rsidR="00FC40D8" w:rsidRPr="00FC40D8">
        <w:t>travailleurs</w:t>
      </w:r>
      <w:r w:rsidR="00FC40D8" w:rsidRPr="00FC40D8">
        <w:rPr>
          <w:vertAlign w:val="superscript"/>
        </w:rPr>
        <w:footnoteReference w:id="246"/>
      </w:r>
      <w:r w:rsidR="00D21F1A">
        <w:t>.</w:t>
      </w:r>
    </w:p>
    <w:p w14:paraId="14ADA11A" w14:textId="22C4A5DF" w:rsidR="00002C48" w:rsidRDefault="00002C48" w:rsidP="00002C48">
      <w:r>
        <w:t xml:space="preserve">De ces arrêts, l’on peut </w:t>
      </w:r>
      <w:r w:rsidR="00D21F1A">
        <w:t>donc</w:t>
      </w:r>
      <w:r>
        <w:t xml:space="preserve"> </w:t>
      </w:r>
      <w:r w:rsidR="00D21F1A">
        <w:t>déduire</w:t>
      </w:r>
      <w:r>
        <w:t xml:space="preserve"> une « présomption de justification »</w:t>
      </w:r>
      <w:r>
        <w:rPr>
          <w:rStyle w:val="Appelnotedebasdep"/>
        </w:rPr>
        <w:footnoteReference w:id="247"/>
      </w:r>
      <w:r>
        <w:t>, au stade de la légitimité, de l’invocation de la neutralité à des fins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Les arrêts rendus ultérieurement par les juridictions belges</w:t>
      </w:r>
      <w:r>
        <w:rPr>
          <w:rStyle w:val="Appelnotedebasdep"/>
        </w:rPr>
        <w:footnoteReference w:id="248"/>
      </w:r>
      <w:r>
        <w:t xml:space="preserve"> et françaises</w:t>
      </w:r>
      <w:r>
        <w:rPr>
          <w:rStyle w:val="Appelnotedebasdep"/>
        </w:rPr>
        <w:footnoteReference w:id="249"/>
      </w:r>
      <w:r>
        <w:t xml:space="preserve"> rejoignent au demeurant ce constat.</w:t>
      </w:r>
    </w:p>
    <w:p w14:paraId="785BB5C6" w14:textId="5A59CA6E" w:rsidR="00301075" w:rsidRDefault="00301075" w:rsidP="008D517D">
      <w:pPr>
        <w:pStyle w:val="Paragraphedeliste"/>
      </w:pPr>
      <w:r>
        <w:t xml:space="preserve">Du point de vue de la proportionnalité, </w:t>
      </w:r>
      <w:r w:rsidR="00FB3974">
        <w:t xml:space="preserve">la CJUE a conditionné l’admissibilité d’une telle neutralité restrictive au respect de plusieurs exigences. Dans l’arrêt </w:t>
      </w:r>
      <w:proofErr w:type="spellStart"/>
      <w:r w:rsidR="00FB3974">
        <w:rPr>
          <w:i/>
          <w:iCs/>
        </w:rPr>
        <w:t>Achbita</w:t>
      </w:r>
      <w:proofErr w:type="spellEnd"/>
      <w:r w:rsidR="00FB3974">
        <w:t xml:space="preserve">, la restriction fondée sur la politique de neutralité n’est considérée comme appropriée </w:t>
      </w:r>
      <w:r w:rsidR="00894FF3">
        <w:t>qu’à</w:t>
      </w:r>
      <w:r w:rsidR="00FB3974">
        <w:t xml:space="preserve"> « </w:t>
      </w:r>
      <w:r w:rsidR="00894FF3">
        <w:t xml:space="preserve">condition que </w:t>
      </w:r>
      <w:r w:rsidR="00FB3974">
        <w:t>cette politique soit</w:t>
      </w:r>
      <w:r w:rsidR="00894FF3">
        <w:t xml:space="preserve"> </w:t>
      </w:r>
      <w:r w:rsidR="00FB3974">
        <w:t>véritablement poursuivie de manière cohérente et systématique</w:t>
      </w:r>
      <w:r w:rsidR="00894FF3">
        <w:t> »</w:t>
      </w:r>
      <w:r w:rsidR="00B93DA0">
        <w:rPr>
          <w:rStyle w:val="Appelnotedebasdep"/>
        </w:rPr>
        <w:footnoteReference w:id="250"/>
      </w:r>
      <w:r w:rsidR="00894FF3">
        <w:t>, eu égard notamment à son existence préalable au litige en question. Sur le plan de la nécessité de la restriction, il s’agira de s’assurer que celle-ci « </w:t>
      </w:r>
      <w:r w:rsidR="00894FF3" w:rsidRPr="00894FF3">
        <w:t>se limite au strict nécessaire</w:t>
      </w:r>
      <w:r w:rsidR="00894FF3">
        <w:t> », en particulier le fait qu’elle « vise uniquement les travailleurs […] en relation avec les clients</w:t>
      </w:r>
      <w:r w:rsidR="00B93DA0">
        <w:t> »</w:t>
      </w:r>
      <w:r w:rsidR="00B93DA0">
        <w:rPr>
          <w:rStyle w:val="Appelnotedebasdep"/>
        </w:rPr>
        <w:footnoteReference w:id="251"/>
      </w:r>
      <w:r w:rsidR="00894FF3" w:rsidRPr="00894FF3">
        <w:t>.</w:t>
      </w:r>
      <w:r w:rsidR="00894FF3">
        <w:t xml:space="preserve"> </w:t>
      </w:r>
      <w:r w:rsidR="00B93DA0">
        <w:t>À cet égard</w:t>
      </w:r>
      <w:r w:rsidR="00894FF3">
        <w:t>,</w:t>
      </w:r>
      <w:r w:rsidR="00B93DA0">
        <w:t xml:space="preserve"> </w:t>
      </w:r>
      <w:r w:rsidR="00894FF3">
        <w:t>il convient d’envisager la possibilité d’un reclassement interne de l’employé concerné par la restriction, « </w:t>
      </w:r>
      <w:r w:rsidR="00894FF3" w:rsidRPr="00894FF3">
        <w:t>n’impliquant pas de contact visuel</w:t>
      </w:r>
      <w:r w:rsidR="00894FF3" w:rsidRPr="00894FF3">
        <w:fldChar w:fldCharType="begin"/>
      </w:r>
      <w:r w:rsidR="00894FF3" w:rsidRPr="00894FF3">
        <w:instrText xml:space="preserve"> XE "Visibilité:Contact visuel" </w:instrText>
      </w:r>
      <w:r w:rsidR="00894FF3" w:rsidRPr="00894FF3">
        <w:fldChar w:fldCharType="end"/>
      </w:r>
      <w:r w:rsidR="00894FF3" w:rsidRPr="00894FF3">
        <w:t xml:space="preserve"> avec ces clients</w:t>
      </w:r>
      <w:r w:rsidR="00B93DA0">
        <w:t> », sans que cela implique une</w:t>
      </w:r>
      <w:r w:rsidR="00B93DA0" w:rsidRPr="00B93DA0">
        <w:t xml:space="preserve"> </w:t>
      </w:r>
      <w:r w:rsidR="00B93DA0">
        <w:t>« </w:t>
      </w:r>
      <w:r w:rsidR="00B93DA0" w:rsidRPr="00B93DA0">
        <w:t>charge supplémentaire</w:t>
      </w:r>
      <w:r w:rsidR="00B93DA0">
        <w:t> » pour l’employeur, et tenant compte «</w:t>
      </w:r>
      <w:r w:rsidR="00894FF3" w:rsidRPr="00894FF3">
        <w:t xml:space="preserve"> des intérêts en présence</w:t>
      </w:r>
      <w:r w:rsidR="00B93DA0">
        <w:t> »</w:t>
      </w:r>
      <w:r w:rsidR="00B93DA0">
        <w:rPr>
          <w:rStyle w:val="Appelnotedebasdep"/>
        </w:rPr>
        <w:footnoteReference w:id="252"/>
      </w:r>
      <w:r w:rsidR="00B93DA0">
        <w:t>.</w:t>
      </w:r>
    </w:p>
    <w:p w14:paraId="76AE88DB" w14:textId="42ACD148" w:rsidR="00B93DA0" w:rsidRPr="00FB3974" w:rsidRDefault="00B93DA0" w:rsidP="00894FF3">
      <w:r>
        <w:t xml:space="preserve">Dans l’arrêt </w:t>
      </w:r>
      <w:r>
        <w:rPr>
          <w:i/>
          <w:iCs/>
        </w:rPr>
        <w:t>WABE-Müller</w:t>
      </w:r>
      <w:r>
        <w:t xml:space="preserve">, la CJUE </w:t>
      </w:r>
      <w:r w:rsidR="00576D43">
        <w:t>ajoute à ces exigences la nécessité, pour l’employeur, de démontrer l’existence d’un « besoin véritable »</w:t>
      </w:r>
      <w:r w:rsidR="00576D43">
        <w:rPr>
          <w:rStyle w:val="Appelnotedebasdep"/>
        </w:rPr>
        <w:footnoteReference w:id="253"/>
      </w:r>
      <w:r w:rsidR="00576D43">
        <w:t xml:space="preserve"> quant à la mise en œuvre de cette neutralité restrictive, tenant compte, d’une part, « des droits et des attentes légitimes des clients ou des usagers »</w:t>
      </w:r>
      <w:r w:rsidR="00576D43">
        <w:rPr>
          <w:rStyle w:val="Appelnotedebasdep"/>
        </w:rPr>
        <w:footnoteReference w:id="254"/>
      </w:r>
      <w:r w:rsidR="00576D43">
        <w:t>, et, d’autre part, de la preuve d’une « atteinte à sa liberté d’entreprise »</w:t>
      </w:r>
      <w:r w:rsidR="00576D43">
        <w:rPr>
          <w:rStyle w:val="Appelnotedebasdep"/>
        </w:rPr>
        <w:footnoteReference w:id="255"/>
      </w:r>
      <w:r w:rsidR="00576D43">
        <w:t xml:space="preserve"> en l’absence d’une telle politique.</w:t>
      </w:r>
    </w:p>
    <w:p w14:paraId="43949494" w14:textId="30E497A3" w:rsidR="002F6E32" w:rsidRDefault="00B93DA0" w:rsidP="00960BD9">
      <w:pPr>
        <w:pStyle w:val="Paragraphedeliste"/>
      </w:pPr>
      <w:r>
        <w:t>La mention de ces diverses exigences</w:t>
      </w:r>
      <w:r w:rsidR="00002C48">
        <w:t xml:space="preserve"> </w:t>
      </w:r>
      <w:r>
        <w:t xml:space="preserve">jurisprudentielles </w:t>
      </w:r>
      <w:r w:rsidR="00002C48">
        <w:t>n’épuise pour autant pas la réflexion sur le plan de la légitimité </w:t>
      </w:r>
      <w:r w:rsidR="005744DD">
        <w:t xml:space="preserve">et, </w:t>
      </w:r>
      <w:r w:rsidR="005744DD" w:rsidRPr="008D517D">
        <w:t>a fortiori</w:t>
      </w:r>
      <w:r w:rsidR="005744DD">
        <w:t>, de la proportionnalité</w:t>
      </w:r>
      <w:r w:rsidR="00F627D4">
        <w:t>. N</w:t>
      </w:r>
      <w:r w:rsidR="00002C48">
        <w:t xml:space="preserve">onobstant les attendus formels de la CourEDH et de la CJUE, </w:t>
      </w:r>
      <w:r w:rsidR="005744DD">
        <w:t xml:space="preserve">de multiples interrogations subsistent </w:t>
      </w:r>
      <w:r w:rsidR="00F627D4">
        <w:t xml:space="preserve">en effet </w:t>
      </w:r>
      <w:r w:rsidR="00046FDA">
        <w:t>sur ce</w:t>
      </w:r>
      <w:r w:rsidR="005803E0">
        <w:t>s deux</w:t>
      </w:r>
      <w:r w:rsidR="00046FDA">
        <w:t xml:space="preserve"> plan</w:t>
      </w:r>
      <w:r w:rsidR="005803E0">
        <w:t>s</w:t>
      </w:r>
      <w:r w:rsidR="00046FDA">
        <w:t>, y compris du point de vue de l’interprétation des exigences formulées par les cours européennes</w:t>
      </w:r>
      <w:r w:rsidR="00F627D4">
        <w:t xml:space="preserve">. </w:t>
      </w:r>
      <w:r w:rsidR="00BC68A1">
        <w:t xml:space="preserve">En filigrane de ces interrogations, </w:t>
      </w:r>
      <w:r w:rsidR="00856F6D">
        <w:t>apparaît</w:t>
      </w:r>
      <w:r w:rsidR="00C337A7">
        <w:t xml:space="preserve"> premièrement</w:t>
      </w:r>
      <w:r w:rsidR="00BC68A1">
        <w:t xml:space="preserve"> la question de la place accordée à la liberté d’entreprise en tant que justification des restrictions à la liberté et à la non-discrimination religieuses des travailleurs. </w:t>
      </w:r>
      <w:r w:rsidR="00856F6D">
        <w:t>Cette question transversale</w:t>
      </w:r>
      <w:r w:rsidR="00BC68A1">
        <w:t xml:space="preserve"> s</w:t>
      </w:r>
      <w:r w:rsidR="00856F6D">
        <w:t>e concrétise</w:t>
      </w:r>
      <w:r w:rsidR="00C337A7">
        <w:t xml:space="preserve"> ensuite</w:t>
      </w:r>
      <w:r w:rsidR="00856F6D">
        <w:t xml:space="preserve"> à travers</w:t>
      </w:r>
      <w:r w:rsidR="00BC68A1">
        <w:t xml:space="preserve"> deux </w:t>
      </w:r>
      <w:r w:rsidR="00856F6D">
        <w:t>questions</w:t>
      </w:r>
      <w:r w:rsidR="00BC68A1">
        <w:t xml:space="preserve"> spécifiques</w:t>
      </w:r>
      <w:r w:rsidR="005C6B12">
        <w:t xml:space="preserve">, </w:t>
      </w:r>
      <w:r w:rsidR="005C6B12">
        <w:lastRenderedPageBreak/>
        <w:t xml:space="preserve">relatives à l’interdiction de </w:t>
      </w:r>
      <w:r w:rsidR="002F6E32">
        <w:t xml:space="preserve">l’intégration des </w:t>
      </w:r>
      <w:r w:rsidR="002F6E32" w:rsidRPr="008D517D">
        <w:t>desiderata</w:t>
      </w:r>
      <w:r w:rsidR="002F6E32">
        <w:rPr>
          <w:i/>
          <w:iCs/>
        </w:rPr>
        <w:t xml:space="preserve"> </w:t>
      </w:r>
      <w:r w:rsidR="002F6E32">
        <w:t xml:space="preserve">discriminatoires de </w:t>
      </w:r>
      <w:r w:rsidR="005C6B12">
        <w:t xml:space="preserve">la </w:t>
      </w:r>
      <w:r w:rsidR="002F6E32">
        <w:t xml:space="preserve">clientèle </w:t>
      </w:r>
      <w:r w:rsidR="005C6B12">
        <w:t>et à</w:t>
      </w:r>
      <w:r w:rsidR="002F6E32">
        <w:t xml:space="preserve"> la légitimité de l’argument d’ordre économique.</w:t>
      </w:r>
    </w:p>
    <w:p w14:paraId="60C46BC0" w14:textId="14468CEB" w:rsidR="00856F6D" w:rsidRPr="00E81984" w:rsidRDefault="00856F6D" w:rsidP="00EE528D">
      <w:pPr>
        <w:pStyle w:val="Titre5"/>
      </w:pPr>
      <w:r w:rsidRPr="00E81984">
        <w:t>Liberté d’entreprise</w:t>
      </w:r>
    </w:p>
    <w:p w14:paraId="168B1108" w14:textId="77777777" w:rsidR="00856F6D" w:rsidRPr="00856F6D" w:rsidRDefault="00856F6D" w:rsidP="00960BD9">
      <w:pPr>
        <w:pStyle w:val="Paragraphedeliste"/>
      </w:pPr>
      <w:bookmarkStart w:id="41" w:name="_Ref112881500"/>
      <w:r w:rsidRPr="00856F6D">
        <w:t>Si la CourEDH et la CJUE partagent le fait d’octroyer une présomption de légitimité à l’objectif de neutralité externe et instrumentale, le fondement juridique dans lequel cette légitimité vient s’ancrer n’est pas explicité de la même manière à Luxembourg et Strasbourg.</w:t>
      </w:r>
      <w:bookmarkEnd w:id="41"/>
    </w:p>
    <w:p w14:paraId="70192104" w14:textId="4C9A0CC6" w:rsidR="00856F6D" w:rsidRPr="00856F6D" w:rsidRDefault="00856F6D" w:rsidP="00856F6D">
      <w:r w:rsidRPr="00856F6D">
        <w:t xml:space="preserve">Dans l’arrêt </w:t>
      </w:r>
      <w:proofErr w:type="spellStart"/>
      <w:r w:rsidRPr="00856F6D">
        <w:rPr>
          <w:i/>
          <w:iCs/>
        </w:rPr>
        <w:t>Eweida</w:t>
      </w:r>
      <w:proofErr w:type="spellEnd"/>
      <w:r w:rsidRPr="00856F6D">
        <w:rPr>
          <w:i/>
          <w:iCs/>
        </w:rPr>
        <w:t xml:space="preserve"> e.a.</w:t>
      </w:r>
      <w:r w:rsidRPr="00856F6D">
        <w:t>, la CourEDH reste précautionneuse et relativement évasive quant au fondement dans lequel un tel objectif de neutralité puise sa légitimité</w:t>
      </w:r>
      <w:r w:rsidRPr="00856F6D">
        <w:rPr>
          <w:vertAlign w:val="superscript"/>
        </w:rPr>
        <w:footnoteReference w:id="256"/>
      </w:r>
      <w:r w:rsidR="005803E0">
        <w:t>.</w:t>
      </w:r>
      <w:r w:rsidRPr="00856F6D">
        <w:t xml:space="preserve"> Dans </w:t>
      </w:r>
      <w:r w:rsidR="00EB4CB0">
        <w:t>les arrêts</w:t>
      </w:r>
      <w:r w:rsidR="00EB4CB0" w:rsidRPr="00856F6D">
        <w:t xml:space="preserve"> </w:t>
      </w:r>
      <w:proofErr w:type="spellStart"/>
      <w:r w:rsidRPr="00856F6D">
        <w:rPr>
          <w:i/>
          <w:iCs/>
        </w:rPr>
        <w:t>Achbita</w:t>
      </w:r>
      <w:proofErr w:type="spellEnd"/>
      <w:r w:rsidRPr="00856F6D">
        <w:t xml:space="preserve">, </w:t>
      </w:r>
      <w:r w:rsidR="00EB4CB0">
        <w:rPr>
          <w:i/>
          <w:iCs/>
        </w:rPr>
        <w:t xml:space="preserve">WABE-Müller </w:t>
      </w:r>
      <w:r w:rsidR="00EB4CB0">
        <w:t xml:space="preserve">et </w:t>
      </w:r>
      <w:r w:rsidR="00EB4CB0">
        <w:rPr>
          <w:i/>
          <w:iCs/>
        </w:rPr>
        <w:t xml:space="preserve">LF c. SCRL, </w:t>
      </w:r>
      <w:r w:rsidRPr="00856F6D">
        <w:t>la CJUE n’hésite pas, quant à elle, à faire de la liberté d’entreprise, telle que reconnue à l’article 16</w:t>
      </w:r>
      <w:r w:rsidRPr="00856F6D">
        <w:fldChar w:fldCharType="begin"/>
      </w:r>
      <w:r w:rsidRPr="00856F6D">
        <w:instrText xml:space="preserve"> XE "Liberté d’entreprise" </w:instrText>
      </w:r>
      <w:r w:rsidRPr="00856F6D">
        <w:fldChar w:fldCharType="end"/>
      </w:r>
      <w:r w:rsidRPr="00856F6D">
        <w:t xml:space="preserve"> de la Charte des droits fondamentaux de l’UE, le socle de la volonté de l’employeur d’afficher une image neutre</w:t>
      </w:r>
      <w:r w:rsidRPr="00856F6D">
        <w:rPr>
          <w:vertAlign w:val="superscript"/>
        </w:rPr>
        <w:footnoteReference w:id="257"/>
      </w:r>
      <w:r w:rsidR="005803E0">
        <w:t>.</w:t>
      </w:r>
    </w:p>
    <w:p w14:paraId="230166EC" w14:textId="6565B9BE" w:rsidR="00856F6D" w:rsidRPr="00856F6D" w:rsidRDefault="00AB403B" w:rsidP="008D517D">
      <w:pPr>
        <w:pStyle w:val="Paragraphedeliste"/>
      </w:pPr>
      <w:r>
        <w:t>L’</w:t>
      </w:r>
      <w:r w:rsidR="00856F6D" w:rsidRPr="00856F6D">
        <w:t>horizontalisation</w:t>
      </w:r>
      <w:r w:rsidR="00856F6D" w:rsidRPr="00856F6D">
        <w:fldChar w:fldCharType="begin"/>
      </w:r>
      <w:r w:rsidR="00856F6D" w:rsidRPr="00856F6D">
        <w:instrText xml:space="preserve"> XE "Horizontalisation" </w:instrText>
      </w:r>
      <w:r w:rsidR="00856F6D" w:rsidRPr="00856F6D">
        <w:fldChar w:fldCharType="end"/>
      </w:r>
      <w:r w:rsidR="00856F6D" w:rsidRPr="00856F6D">
        <w:t xml:space="preserve"> de l’article 16</w:t>
      </w:r>
      <w:r w:rsidR="00856F6D" w:rsidRPr="00856F6D">
        <w:fldChar w:fldCharType="begin"/>
      </w:r>
      <w:r w:rsidR="00856F6D" w:rsidRPr="00856F6D">
        <w:instrText xml:space="preserve"> XE "Liberté d’entreprise" </w:instrText>
      </w:r>
      <w:r w:rsidR="00856F6D" w:rsidRPr="00856F6D">
        <w:fldChar w:fldCharType="end"/>
      </w:r>
      <w:r w:rsidR="00856F6D" w:rsidRPr="00856F6D">
        <w:t xml:space="preserve"> de la Charte se comprend ici comme la validation quasiment inédite, par la CJUE, du recours à la liberté d’entreprise non plus à l’encontre d’un acte unilatéral de l’État mais bien vis-à-vis des libertés individuelles des travailleurs</w:t>
      </w:r>
      <w:r w:rsidR="00856F6D" w:rsidRPr="00856F6D">
        <w:rPr>
          <w:vertAlign w:val="superscript"/>
        </w:rPr>
        <w:footnoteReference w:id="258"/>
      </w:r>
      <w:r w:rsidR="005803E0">
        <w:t>.</w:t>
      </w:r>
      <w:r w:rsidR="00EB4CB0">
        <w:t xml:space="preserve"> </w:t>
      </w:r>
      <w:r w:rsidR="00856F6D" w:rsidRPr="00856F6D">
        <w:t>La légitimation de l’image de marque</w:t>
      </w:r>
      <w:r w:rsidR="00856F6D" w:rsidRPr="00856F6D">
        <w:fldChar w:fldCharType="begin"/>
      </w:r>
      <w:r w:rsidR="00856F6D" w:rsidRPr="00856F6D">
        <w:instrText xml:space="preserve"> XE "Image de marque" </w:instrText>
      </w:r>
      <w:r w:rsidR="00856F6D" w:rsidRPr="00856F6D">
        <w:fldChar w:fldCharType="end"/>
      </w:r>
      <w:r w:rsidR="00856F6D" w:rsidRPr="00856F6D">
        <w:t xml:space="preserve"> neutre peut ainsi apparaître comme renforcée dès lors que la Cour de Luxembourg l’associe à la liberté d’entreprise : l’enjeu juridique correspond en ce sens à la résolution d’un conflit entre deux droits fondamentaux, et non plus à la seule justification d’une discrimination</w:t>
      </w:r>
      <w:r w:rsidR="00856F6D" w:rsidRPr="00856F6D">
        <w:rPr>
          <w:vertAlign w:val="superscript"/>
        </w:rPr>
        <w:footnoteReference w:id="259"/>
      </w:r>
      <w:r w:rsidR="005803E0">
        <w:t>.</w:t>
      </w:r>
    </w:p>
    <w:p w14:paraId="58470524" w14:textId="1131FB87" w:rsidR="00323310" w:rsidRDefault="00323310" w:rsidP="00960BD9">
      <w:pPr>
        <w:pStyle w:val="Paragraphedeliste"/>
      </w:pPr>
      <w:r w:rsidRPr="00856F6D">
        <w:t xml:space="preserve">Il convient </w:t>
      </w:r>
      <w:r w:rsidR="005803E0">
        <w:t xml:space="preserve">pourtant </w:t>
      </w:r>
      <w:r w:rsidRPr="00856F6D">
        <w:t>de préciser que la portée de la liberté d’entreprise semble difficilement équivalente à la portée des libertés fondamentales reconnues par cette même Charte de l’UE</w:t>
      </w:r>
      <w:r w:rsidRPr="00856F6D">
        <w:rPr>
          <w:vertAlign w:val="superscript"/>
        </w:rPr>
        <w:footnoteReference w:id="260"/>
      </w:r>
      <w:r w:rsidR="005803E0">
        <w:t>.</w:t>
      </w:r>
      <w:r w:rsidRPr="00856F6D">
        <w:t xml:space="preserve"> L’article 16</w:t>
      </w:r>
      <w:r w:rsidRPr="00856F6D">
        <w:fldChar w:fldCharType="begin"/>
      </w:r>
      <w:r w:rsidRPr="00856F6D">
        <w:instrText xml:space="preserve"> XE "Liberté d’entreprise" </w:instrText>
      </w:r>
      <w:r w:rsidRPr="00856F6D">
        <w:fldChar w:fldCharType="end"/>
      </w:r>
      <w:r w:rsidRPr="00856F6D">
        <w:t xml:space="preserve"> de la Charte se rapporte en effet davantage à la troisième partie du TFUE, relative aux politiques et actions internes de l’Union. Les dispositions de la </w:t>
      </w:r>
      <w:r w:rsidR="00972B7E">
        <w:t>directive</w:t>
      </w:r>
      <w:r w:rsidRPr="00856F6D">
        <w:t xml:space="preserve"> 2000</w:t>
      </w:r>
      <w:r w:rsidR="00B0746E">
        <w:t>/78/CE</w:t>
      </w:r>
      <w:r w:rsidRPr="00856F6D">
        <w:t xml:space="preserve"> sont quant à elles prioritairement en lien avec les valeurs mentionnées à l’article 2 du TUE, en particulier l’égalité, et avec la deuxième partie du TFUE relative à la non-discrimination et à la citoyenneté de l’Union</w:t>
      </w:r>
      <w:r w:rsidRPr="00856F6D">
        <w:rPr>
          <w:vertAlign w:val="superscript"/>
        </w:rPr>
        <w:footnoteReference w:id="261"/>
      </w:r>
      <w:r w:rsidR="005803E0">
        <w:t>.</w:t>
      </w:r>
    </w:p>
    <w:p w14:paraId="41FAE789" w14:textId="47B56946" w:rsidR="0061276C" w:rsidRPr="00856F6D" w:rsidRDefault="0047163D" w:rsidP="00856F6D">
      <w:r>
        <w:lastRenderedPageBreak/>
        <w:t xml:space="preserve">Dès l’arrêt </w:t>
      </w:r>
      <w:proofErr w:type="spellStart"/>
      <w:r>
        <w:rPr>
          <w:i/>
          <w:iCs/>
        </w:rPr>
        <w:t>Achbita</w:t>
      </w:r>
      <w:proofErr w:type="spellEnd"/>
      <w:r w:rsidR="00323310">
        <w:t xml:space="preserve">, </w:t>
      </w:r>
      <w:r w:rsidR="00856F6D" w:rsidRPr="00323310">
        <w:t>la</w:t>
      </w:r>
      <w:r w:rsidR="00856F6D" w:rsidRPr="00856F6D">
        <w:t xml:space="preserve"> CJUE </w:t>
      </w:r>
      <w:r w:rsidR="00323310">
        <w:t>précise</w:t>
      </w:r>
      <w:r>
        <w:t xml:space="preserve"> d’ailleurs</w:t>
      </w:r>
      <w:r w:rsidR="00323310">
        <w:t xml:space="preserve"> que la</w:t>
      </w:r>
      <w:r w:rsidR="00856F6D" w:rsidRPr="00856F6D">
        <w:t xml:space="preserve"> légitimité de l’image neutre </w:t>
      </w:r>
      <w:r w:rsidR="00323310">
        <w:t xml:space="preserve">fondée sur l’article 16 </w:t>
      </w:r>
      <w:r w:rsidR="00323310" w:rsidRPr="00856F6D">
        <w:t xml:space="preserve">n’est reconnue </w:t>
      </w:r>
      <w:proofErr w:type="gramStart"/>
      <w:r w:rsidR="00856F6D" w:rsidRPr="00856F6D">
        <w:t>qu’ «</w:t>
      </w:r>
      <w:proofErr w:type="gramEnd"/>
      <w:r w:rsidR="00856F6D" w:rsidRPr="00856F6D">
        <w:t> en principe</w:t>
      </w:r>
      <w:r w:rsidR="0027631B">
        <w:t> »</w:t>
      </w:r>
      <w:r w:rsidR="0061276C" w:rsidRPr="0061276C">
        <w:rPr>
          <w:vertAlign w:val="superscript"/>
        </w:rPr>
        <w:footnoteReference w:id="262"/>
      </w:r>
      <w:r w:rsidR="0061276C" w:rsidRPr="0061276C">
        <w:t>.</w:t>
      </w:r>
    </w:p>
    <w:p w14:paraId="28B028EE" w14:textId="2ACAD135" w:rsidR="00856F6D" w:rsidRPr="00856F6D" w:rsidRDefault="00856F6D" w:rsidP="00960BD9">
      <w:pPr>
        <w:pStyle w:val="Paragraphedeliste"/>
      </w:pPr>
      <w:r w:rsidRPr="00856F6D">
        <w:t xml:space="preserve">Si l’on revient à la comparaison entre les fondements de légitimation de la neutralité respectivement mobilisés par la CJUE et la CourEDH, l’absence de mention explicite de la liberté d’entreprise par la CourEDH s’explique sans doute avant tout par le fait que la liberté d’entreprise n’est pas consacrée expressément par la CourEDH. Est-ce à dire que les juges de Strasbourg ne reconnaissent aucune pertinence à cette liberté en la matière ? Les considérants de l’arrêt </w:t>
      </w:r>
      <w:proofErr w:type="spellStart"/>
      <w:r w:rsidRPr="00856F6D">
        <w:rPr>
          <w:i/>
          <w:iCs/>
        </w:rPr>
        <w:t>Eweida</w:t>
      </w:r>
      <w:proofErr w:type="spellEnd"/>
      <w:r w:rsidRPr="00856F6D">
        <w:rPr>
          <w:i/>
          <w:iCs/>
        </w:rPr>
        <w:t xml:space="preserve"> e.a.</w:t>
      </w:r>
      <w:r w:rsidRPr="00856F6D">
        <w:t xml:space="preserve"> semblent contredire cette affirmation, la CourEDH y reconnaissant le caractère « assurément légitime » de la volonté de l’employeur « de projeter une certaine image commerciale »</w:t>
      </w:r>
      <w:r w:rsidRPr="00856F6D">
        <w:rPr>
          <w:vertAlign w:val="superscript"/>
        </w:rPr>
        <w:footnoteReference w:id="263"/>
      </w:r>
      <w:r w:rsidRPr="00856F6D">
        <w:t xml:space="preserve">. Formellement, la CourEDH se place donc moins sur le plan de la </w:t>
      </w:r>
      <w:r w:rsidRPr="008D517D">
        <w:t>liberté</w:t>
      </w:r>
      <w:r w:rsidRPr="00856F6D">
        <w:t xml:space="preserve"> de l’employeur que sur celui de son </w:t>
      </w:r>
      <w:r w:rsidRPr="008D517D">
        <w:t>intérêt</w:t>
      </w:r>
      <w:r w:rsidRPr="00856F6D">
        <w:t xml:space="preserve">. En pratique, toutefois, l’importance conférée par la CourEDH à l’intérêt de l’entreprise dans l’arrêt </w:t>
      </w:r>
      <w:proofErr w:type="spellStart"/>
      <w:r w:rsidRPr="00856F6D">
        <w:rPr>
          <w:i/>
          <w:iCs/>
        </w:rPr>
        <w:t>Eweida</w:t>
      </w:r>
      <w:proofErr w:type="spellEnd"/>
      <w:r w:rsidRPr="00856F6D">
        <w:rPr>
          <w:i/>
          <w:iCs/>
        </w:rPr>
        <w:t xml:space="preserve"> e.a. </w:t>
      </w:r>
      <w:r w:rsidRPr="00856F6D">
        <w:t xml:space="preserve">ne semble pas plus réduite que celle qu’accorde la CJUE à la liberté d’entreprise </w:t>
      </w:r>
      <w:r w:rsidR="0027631B">
        <w:t>par la CJUE</w:t>
      </w:r>
      <w:r w:rsidRPr="00856F6D">
        <w:rPr>
          <w:vertAlign w:val="superscript"/>
        </w:rPr>
        <w:footnoteReference w:id="264"/>
      </w:r>
      <w:r w:rsidR="00D10B6E">
        <w:rPr>
          <w:i/>
          <w:iCs/>
        </w:rPr>
        <w:t>.</w:t>
      </w:r>
    </w:p>
    <w:p w14:paraId="5DB2D025" w14:textId="77777777" w:rsidR="00E20960" w:rsidRDefault="00E20960" w:rsidP="00E20960">
      <w:pPr>
        <w:pStyle w:val="Titre5"/>
      </w:pPr>
      <w:bookmarkStart w:id="42" w:name="_Toc91763299"/>
      <w:r>
        <w:t>Neutralité anticipative et injonction de discriminer</w:t>
      </w:r>
      <w:bookmarkEnd w:id="42"/>
    </w:p>
    <w:p w14:paraId="2FE8065E" w14:textId="3DD283BD" w:rsidR="00E20960" w:rsidRDefault="00E20960" w:rsidP="00960BD9">
      <w:pPr>
        <w:pStyle w:val="Paragraphedeliste"/>
      </w:pPr>
      <w:r>
        <w:t>Si la prise en compte de l’image commerciale</w:t>
      </w:r>
      <w:r w:rsidR="00BC68A1" w:rsidRPr="00BC68A1">
        <w:t>, en tant qu’élément se rapportant à la liberté d’entreprise,</w:t>
      </w:r>
      <w:r w:rsidR="00DB6C9D">
        <w:t xml:space="preserve"> </w:t>
      </w:r>
      <w:r>
        <w:t>n’est pas remise en cause par les juridictions européennes dans leur appréciation de la neutralité restrictive, celles-ci n’en restent pas moins intransigeantes quant à la perspective d’une intégration des souhaits discriminatoires des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w:t>
      </w:r>
    </w:p>
    <w:p w14:paraId="7348FF57" w14:textId="32A4D783" w:rsidR="00E20960" w:rsidRDefault="00E20960" w:rsidP="00E20960">
      <w:r>
        <w:t xml:space="preserve">Dans l’arrêt </w:t>
      </w:r>
      <w:r>
        <w:rPr>
          <w:i/>
          <w:iCs/>
        </w:rPr>
        <w:t>Bougnaoui</w:t>
      </w:r>
      <w:r>
        <w:t>, la CJUE rappelle ainsi que la volonté légitime d’un employeur d’afficher une image neutre et dépourvue de connotation religieuse n’équivaut pas à prendre en compte les préférences directes d’une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à l’égard ou au détriment de travailleurs exprimant certaines convictions religieuses spécifiques</w:t>
      </w:r>
      <w:r>
        <w:rPr>
          <w:i/>
        </w:rPr>
        <w:fldChar w:fldCharType="begin"/>
      </w:r>
      <w:r>
        <w:rPr>
          <w:i/>
        </w:rPr>
        <w:instrText xml:space="preserve"> XE "</w:instrText>
      </w:r>
      <w:r>
        <w:rPr>
          <w:rFonts w:eastAsia="Times New Roman" w:cs="Calibri"/>
          <w:i/>
          <w:iCs/>
          <w:color w:val="000000"/>
          <w:lang w:eastAsia="fr-BE"/>
        </w:rPr>
        <w:instrText>Feryn</w:instrText>
      </w:r>
      <w:r>
        <w:rPr>
          <w:rFonts w:eastAsia="Times New Roman" w:cs="Calibri"/>
          <w:color w:val="000000"/>
          <w:lang w:eastAsia="fr-BE"/>
        </w:rPr>
        <w:instrText xml:space="preserve"> (affaire)"</w:instrText>
      </w:r>
      <w:r>
        <w:rPr>
          <w:i/>
        </w:rPr>
        <w:instrText xml:space="preserve"> </w:instrText>
      </w:r>
      <w:r>
        <w:rPr>
          <w:i/>
        </w:rPr>
        <w:fldChar w:fldCharType="end"/>
      </w:r>
      <w:bookmarkStart w:id="43" w:name="_Ref41207720"/>
      <w:r>
        <w:rPr>
          <w:rStyle w:val="Appelnotedebasdep"/>
        </w:rPr>
        <w:footnoteReference w:id="265"/>
      </w:r>
      <w:bookmarkEnd w:id="43"/>
      <w:r w:rsidR="00D10B6E">
        <w:rPr>
          <w:i/>
        </w:rPr>
        <w:t>.</w:t>
      </w:r>
      <w:r>
        <w:t xml:space="preserve"> En ce sens, la liberté d’entreprise ne comprend pas le droit de l’employeur d’intégrer une injonction faite par la clientèle de discriminer certains travailleurs en raison de leurs convictions</w:t>
      </w:r>
      <w:r>
        <w:rPr>
          <w:rStyle w:val="Appelnotedebasdep"/>
        </w:rPr>
        <w:footnoteReference w:id="266"/>
      </w:r>
      <w:r w:rsidR="00D10B6E">
        <w:t>.</w:t>
      </w:r>
    </w:p>
    <w:p w14:paraId="5278997A" w14:textId="27935871" w:rsidR="00E20960" w:rsidRPr="00286242" w:rsidRDefault="00E20960" w:rsidP="001C1B28">
      <w:pPr>
        <w:pStyle w:val="Paragraphedeliste"/>
      </w:pPr>
      <w:r w:rsidRPr="00286242">
        <w:t>Si la frontière entre ces deux objectifs, l’un légitime et l’autre non, peut sembler claire à première vue</w:t>
      </w:r>
      <w:r w:rsidR="00916EAF">
        <w:rPr>
          <w:rStyle w:val="Appelnotedebasdep"/>
        </w:rPr>
        <w:footnoteReference w:id="267"/>
      </w:r>
      <w:r w:rsidRPr="00286242">
        <w:t xml:space="preserve">, son application concrète soulève en réalité plusieurs difficultés. </w:t>
      </w:r>
      <w:r w:rsidR="00585354" w:rsidRPr="00286242">
        <w:t>Les</w:t>
      </w:r>
      <w:r w:rsidRPr="00286242">
        <w:t xml:space="preserve"> faits en cause </w:t>
      </w:r>
      <w:r w:rsidR="00585354" w:rsidRPr="00286242">
        <w:t xml:space="preserve">dans les affaires </w:t>
      </w:r>
      <w:proofErr w:type="spellStart"/>
      <w:r w:rsidR="00585354" w:rsidRPr="00286242">
        <w:rPr>
          <w:i/>
          <w:iCs/>
        </w:rPr>
        <w:t>Achbita</w:t>
      </w:r>
      <w:proofErr w:type="spellEnd"/>
      <w:r w:rsidR="00585354" w:rsidRPr="00286242">
        <w:rPr>
          <w:i/>
          <w:iCs/>
        </w:rPr>
        <w:t xml:space="preserve"> </w:t>
      </w:r>
      <w:r w:rsidR="00585354" w:rsidRPr="00286242">
        <w:t xml:space="preserve">et </w:t>
      </w:r>
      <w:r w:rsidR="00585354" w:rsidRPr="00286242">
        <w:rPr>
          <w:i/>
          <w:iCs/>
        </w:rPr>
        <w:t>Bougnaoui</w:t>
      </w:r>
      <w:r w:rsidR="00585354" w:rsidRPr="00286242">
        <w:t xml:space="preserve"> </w:t>
      </w:r>
      <w:r w:rsidRPr="00286242">
        <w:t>se distinguent certes assez nettement : Mme Bougnaoui se voit interdire le port du foulard par son employeur à la suite de la remarque faite par l’entreprise cliente</w:t>
      </w:r>
      <w:r w:rsidRPr="00286242">
        <w:fldChar w:fldCharType="begin"/>
      </w:r>
      <w:r w:rsidRPr="00286242">
        <w:instrText xml:space="preserve"> XE "</w:instrText>
      </w:r>
      <w:r w:rsidRPr="00286242">
        <w:rPr>
          <w:rFonts w:eastAsia="Times New Roman" w:cs="Calibri"/>
          <w:color w:val="000000"/>
          <w:lang w:eastAsia="fr-BE"/>
        </w:rPr>
        <w:instrText>Clientèle"</w:instrText>
      </w:r>
      <w:r w:rsidRPr="00286242">
        <w:instrText xml:space="preserve"> </w:instrText>
      </w:r>
      <w:r w:rsidRPr="00286242">
        <w:fldChar w:fldCharType="end"/>
      </w:r>
      <w:r w:rsidRPr="00286242">
        <w:t xml:space="preserve">, où celle-ci était détachée, au sujet du foulard qu’elle porte – « pas de voile la prochaine fois » –, tandis que dans l’affaire belge, Mme </w:t>
      </w:r>
      <w:proofErr w:type="spellStart"/>
      <w:r w:rsidRPr="00286242">
        <w:t>Achbita</w:t>
      </w:r>
      <w:proofErr w:type="spellEnd"/>
      <w:r w:rsidRPr="00286242">
        <w:t xml:space="preserve"> fait face à l’application d’un principe de neutralité prévalant dans l’entreprise qui l’emploie, indépendamment de toute considération exprimée par la société cliente qui l’accueille. La possibilité existe néanmoins que l’adoption d’un principe de neutralité </w:t>
      </w:r>
      <w:r w:rsidRPr="00286242">
        <w:lastRenderedPageBreak/>
        <w:t>restrictive survienne en réalité à la suite de l’expression, publique ou non, de souhaits discriminatoires par une certaine clientèle</w:t>
      </w:r>
      <w:r w:rsidRPr="00286242">
        <w:rPr>
          <w:rStyle w:val="Appelnotedebasdep"/>
        </w:rPr>
        <w:footnoteReference w:id="268"/>
      </w:r>
      <w:r w:rsidR="00D10B6E" w:rsidRPr="00286242">
        <w:t>.</w:t>
      </w:r>
      <w:r w:rsidRPr="00286242">
        <w:t xml:space="preserve"> Cette anticipation correspondrait alors plutôt à une « hypocrisie »</w:t>
      </w:r>
      <w:r w:rsidRPr="00286242">
        <w:rPr>
          <w:rStyle w:val="Appelnotedebasdep"/>
        </w:rPr>
        <w:footnoteReference w:id="269"/>
      </w:r>
      <w:r w:rsidRPr="00286242">
        <w:t xml:space="preserve"> consistant à masquer, derrière le cache-sexe de la neutralité, une intolérance claire à l’encontre des expressions religieuses, ou, du moins, de certaines d’entre elles</w:t>
      </w:r>
      <w:r w:rsidRPr="00286242">
        <w:rPr>
          <w:rStyle w:val="Appelnotedebasdep"/>
        </w:rPr>
        <w:footnoteReference w:id="270"/>
      </w:r>
      <w:r w:rsidR="00D10B6E" w:rsidRPr="00286242">
        <w:t>.</w:t>
      </w:r>
    </w:p>
    <w:p w14:paraId="30E08D06" w14:textId="49E5B631" w:rsidR="00092BC1" w:rsidRDefault="00092BC1" w:rsidP="001C1B28">
      <w:pPr>
        <w:pStyle w:val="Paragraphedeliste"/>
      </w:pPr>
      <w:bookmarkStart w:id="44" w:name="_Ref121690619"/>
      <w:r>
        <w:t>Dans</w:t>
      </w:r>
      <w:r w:rsidR="00717690">
        <w:t xml:space="preserve"> les arrêts</w:t>
      </w:r>
      <w:r>
        <w:t xml:space="preserve"> </w:t>
      </w:r>
      <w:r w:rsidR="00717690">
        <w:rPr>
          <w:i/>
        </w:rPr>
        <w:t>WABE-Müller</w:t>
      </w:r>
      <w:r w:rsidR="00717690">
        <w:t xml:space="preserve"> et </w:t>
      </w:r>
      <w:r w:rsidR="00717690">
        <w:rPr>
          <w:i/>
          <w:iCs/>
        </w:rPr>
        <w:t xml:space="preserve">LF c. SCRL, </w:t>
      </w:r>
      <w:r>
        <w:t xml:space="preserve">la CJUE </w:t>
      </w:r>
      <w:r w:rsidR="00B513C8">
        <w:t>confirme la nécessité d’une telle distinction</w:t>
      </w:r>
      <w:r w:rsidR="00717690">
        <w:t xml:space="preserve">, en précisant qu’une intégration illégitime des </w:t>
      </w:r>
      <w:r w:rsidR="00717690" w:rsidRPr="00945775">
        <w:rPr>
          <w:iCs/>
        </w:rPr>
        <w:t>desiderata</w:t>
      </w:r>
      <w:r w:rsidR="00717690">
        <w:rPr>
          <w:i/>
        </w:rPr>
        <w:t xml:space="preserve"> </w:t>
      </w:r>
      <w:r w:rsidR="00717690">
        <w:t>discriminatoires des clients ne peut être confondue avec la prise en compte des « droits et attentes légitimes des clients ou des usagers »</w:t>
      </w:r>
      <w:r w:rsidR="00717690">
        <w:rPr>
          <w:rStyle w:val="Appelnotedebasdep"/>
        </w:rPr>
        <w:footnoteReference w:id="271"/>
      </w:r>
      <w:r w:rsidR="00717690">
        <w:t xml:space="preserve">, </w:t>
      </w:r>
      <w:r w:rsidR="00B513C8">
        <w:t xml:space="preserve"> </w:t>
      </w:r>
      <w:r w:rsidR="00814E8B">
        <w:t xml:space="preserve">et que </w:t>
      </w:r>
      <w:r w:rsidR="00814E8B" w:rsidRPr="00814E8B">
        <w:t>la neutralité</w:t>
      </w:r>
      <w:r w:rsidR="00814E8B">
        <w:t xml:space="preserve"> ne peut être « détournée »</w:t>
      </w:r>
      <w:r w:rsidR="00814E8B" w:rsidRPr="00814E8B">
        <w:t xml:space="preserve"> au détriment de travailleurs</w:t>
      </w:r>
      <w:r w:rsidR="007A3A1F">
        <w:t xml:space="preserve"> portant « une certaine tenue vestimentaire »</w:t>
      </w:r>
      <w:r w:rsidR="007A3A1F">
        <w:rPr>
          <w:rStyle w:val="Appelnotedebasdep"/>
        </w:rPr>
        <w:footnoteReference w:id="272"/>
      </w:r>
      <w:r w:rsidR="007A3A1F">
        <w:t>.</w:t>
      </w:r>
      <w:bookmarkEnd w:id="44"/>
    </w:p>
    <w:p w14:paraId="487B3ACC" w14:textId="072FF63E" w:rsidR="00243618" w:rsidRDefault="00121307" w:rsidP="00E20960">
      <w:r w:rsidRPr="00121307">
        <w:t xml:space="preserve">Parmi </w:t>
      </w:r>
      <w:r w:rsidR="00243618">
        <w:t>ces</w:t>
      </w:r>
      <w:r w:rsidRPr="00121307">
        <w:t xml:space="preserve"> </w:t>
      </w:r>
      <w:r w:rsidR="00243618">
        <w:t>« droits et attentes </w:t>
      </w:r>
      <w:r>
        <w:t>légitimes</w:t>
      </w:r>
      <w:r w:rsidR="00243618">
        <w:t xml:space="preserve"> des clients </w:t>
      </w:r>
      <w:r w:rsidR="007C3DDA">
        <w:t>ou des</w:t>
      </w:r>
      <w:r w:rsidR="00243618">
        <w:t xml:space="preserve"> usagers</w:t>
      </w:r>
      <w:r w:rsidR="00C07EC0">
        <w:t> »</w:t>
      </w:r>
      <w:r w:rsidR="00243618">
        <w:t>,</w:t>
      </w:r>
      <w:r w:rsidRPr="00121307">
        <w:t xml:space="preserve"> la Cour mentionne</w:t>
      </w:r>
      <w:r w:rsidR="00243618">
        <w:t> :</w:t>
      </w:r>
    </w:p>
    <w:p w14:paraId="776DF2D7" w14:textId="34ACB8DE" w:rsidR="00243618" w:rsidRDefault="00121307" w:rsidP="008D517D">
      <w:pPr>
        <w:pStyle w:val="Citation1"/>
      </w:pPr>
      <w:r w:rsidRPr="00121307">
        <w:t>[le] droit des parents d’assurer l’éducation et l’enseignement de leurs enfants conformément à leurs convictions religieuses, philosophiques et pédagogiques reconnu à l’article 14 de la Charte et […] leur souhait de voir leurs enfants encadrés par des personnes ne manifestant pas leur religion ou leurs convictions lorsqu’elles sont en contact avec les enfants dans le but, notamment, de "garantir le développement libre et personnel des enfants en ce qui concerne la religion, la croyance et la politique</w:t>
      </w:r>
      <w:r w:rsidR="00243618" w:rsidRPr="00243618">
        <w:t>"</w:t>
      </w:r>
      <w:r w:rsidR="00C07EC0">
        <w:rPr>
          <w:rStyle w:val="Appelnotedebasdep"/>
        </w:rPr>
        <w:footnoteReference w:id="273"/>
      </w:r>
    </w:p>
    <w:p w14:paraId="40F3EFB2" w14:textId="2A478A92" w:rsidR="00E20960" w:rsidRPr="00EC44A2" w:rsidRDefault="00C07EC0" w:rsidP="00E20960">
      <w:r>
        <w:t>Outre le fait que l</w:t>
      </w:r>
      <w:r w:rsidR="00E20960">
        <w:t xml:space="preserve">’exemple sur lequel s’appuie la CJUE dans l’arrêt </w:t>
      </w:r>
      <w:r w:rsidR="00E20960">
        <w:rPr>
          <w:i/>
        </w:rPr>
        <w:t xml:space="preserve">WABE-Müller </w:t>
      </w:r>
      <w:r w:rsidR="00E20960">
        <w:t xml:space="preserve">a trait au contexte spécifique d’une crèche scolaire, et non à une clientèle commerciale – comme dans l’arrêt </w:t>
      </w:r>
      <w:proofErr w:type="spellStart"/>
      <w:r w:rsidR="00E20960">
        <w:rPr>
          <w:i/>
        </w:rPr>
        <w:t>Achbita</w:t>
      </w:r>
      <w:proofErr w:type="spellEnd"/>
      <w:r w:rsidR="00D10B6E">
        <w:rPr>
          <w:i/>
        </w:rPr>
        <w:t xml:space="preserve"> </w:t>
      </w:r>
      <w:r w:rsidRPr="00C07EC0">
        <w:rPr>
          <w:i/>
        </w:rPr>
        <w:t>–</w:t>
      </w:r>
      <w:r w:rsidR="00E20960">
        <w:t>, cette précision, loin de clarifier la distinction entre souhaits légitimes et discriminatoires, semble plutôt l’obscurcir.</w:t>
      </w:r>
    </w:p>
    <w:p w14:paraId="1D3A393E" w14:textId="159BCB59" w:rsidR="00E20960" w:rsidRPr="00E20960" w:rsidRDefault="00E20960" w:rsidP="00E20960">
      <w:pPr>
        <w:rPr>
          <w:lang w:val="fr-FR"/>
        </w:rPr>
      </w:pPr>
      <w:r>
        <w:t xml:space="preserve">En fin de compte, de même qu’il convient d’évaluer la sincérité de la conviction invoquée par le travailleur pour s’opposer à la restriction de son expression religieuse, il convient tout autant d’apprécier la sincérité de l’employeur dans son invocation de la neutralité. Cette sincérité se vérifiera principalement au stade de la proportionnalité, à travers un examen de la bonne foi et de la cohérence de l’employeur dans sa mise en œuvre de la neutralité, eu égard à l’objectif sous-jacent </w:t>
      </w:r>
      <w:r w:rsidR="000D0440">
        <w:t>qu’il</w:t>
      </w:r>
      <w:r>
        <w:t xml:space="preserve"> poursuit</w:t>
      </w:r>
      <w:r w:rsidR="00E81984">
        <w:t>.</w:t>
      </w:r>
    </w:p>
    <w:p w14:paraId="72122952" w14:textId="77777777" w:rsidR="00856F6D" w:rsidRPr="004E7201" w:rsidRDefault="00856F6D" w:rsidP="00856F6D">
      <w:pPr>
        <w:pStyle w:val="Titre5"/>
      </w:pPr>
      <w:bookmarkStart w:id="45" w:name="_Toc91763305"/>
      <w:r w:rsidRPr="004E7201">
        <w:t>Argument d’ordre économique</w:t>
      </w:r>
      <w:bookmarkEnd w:id="45"/>
    </w:p>
    <w:p w14:paraId="3DC82C4B" w14:textId="4BBD7963" w:rsidR="00856F6D" w:rsidRDefault="00E81984" w:rsidP="001C1B28">
      <w:pPr>
        <w:pStyle w:val="Paragraphedeliste"/>
      </w:pPr>
      <w:r>
        <w:rPr>
          <w:lang w:val="fr-FR"/>
        </w:rPr>
        <w:t>Sur le plan de la liberté d’entreprise, une</w:t>
      </w:r>
      <w:r>
        <w:t xml:space="preserve"> autre </w:t>
      </w:r>
      <w:r w:rsidR="00856F6D" w:rsidRPr="004E7201">
        <w:t xml:space="preserve">question importante concerne </w:t>
      </w:r>
      <w:r w:rsidR="00857693">
        <w:t>la</w:t>
      </w:r>
      <w:r w:rsidR="00857693" w:rsidRPr="004E7201">
        <w:t xml:space="preserve"> </w:t>
      </w:r>
      <w:r w:rsidR="00857693" w:rsidRPr="00E81984">
        <w:t xml:space="preserve">prise en compte de l’argument d’ordre économique </w:t>
      </w:r>
      <w:r w:rsidR="00857693">
        <w:t>comme moyen</w:t>
      </w:r>
      <w:r w:rsidR="00856F6D" w:rsidRPr="004E7201">
        <w:t xml:space="preserve">, pour </w:t>
      </w:r>
      <w:r w:rsidR="00856F6D" w:rsidRPr="008D517D">
        <w:rPr>
          <w:i/>
          <w:iCs/>
        </w:rPr>
        <w:t>l’employeur</w:t>
      </w:r>
      <w:r w:rsidR="00856F6D" w:rsidRPr="004E7201">
        <w:t xml:space="preserve">, de prouver </w:t>
      </w:r>
      <w:r w:rsidR="00856F6D" w:rsidRPr="004E7201">
        <w:rPr>
          <w:i/>
        </w:rPr>
        <w:t xml:space="preserve">in </w:t>
      </w:r>
      <w:proofErr w:type="spellStart"/>
      <w:r w:rsidR="00856F6D" w:rsidRPr="004E7201">
        <w:rPr>
          <w:i/>
        </w:rPr>
        <w:t>concreto</w:t>
      </w:r>
      <w:proofErr w:type="spellEnd"/>
      <w:r w:rsidR="00856F6D" w:rsidRPr="004E7201">
        <w:rPr>
          <w:i/>
        </w:rPr>
        <w:t xml:space="preserve"> </w:t>
      </w:r>
      <w:r w:rsidR="00856F6D" w:rsidRPr="004E7201">
        <w:t xml:space="preserve">l’adéquation – voire la nécessité – de la </w:t>
      </w:r>
      <w:r w:rsidR="00856F6D" w:rsidRPr="00E81984">
        <w:t>restriction de l’expression des convictions des travailleurs avec l’objectif d’image neutre de l’entreprise.</w:t>
      </w:r>
    </w:p>
    <w:p w14:paraId="2650F41D" w14:textId="3EE69F09" w:rsidR="00856F6D" w:rsidRPr="00A547A8" w:rsidRDefault="005D0F0D" w:rsidP="00A547A8">
      <w:r>
        <w:t>L</w:t>
      </w:r>
      <w:r w:rsidR="00856F6D" w:rsidRPr="00A547A8">
        <w:t xml:space="preserve">’arrêt </w:t>
      </w:r>
      <w:r w:rsidR="00856F6D" w:rsidRPr="00A547A8">
        <w:rPr>
          <w:i/>
        </w:rPr>
        <w:t xml:space="preserve">WABE-Müller </w:t>
      </w:r>
      <w:r w:rsidR="00856F6D" w:rsidRPr="00A547A8">
        <w:t>a</w:t>
      </w:r>
      <w:r>
        <w:t xml:space="preserve"> d’ailleurs</w:t>
      </w:r>
      <w:r w:rsidR="00856F6D" w:rsidRPr="00A547A8">
        <w:t xml:space="preserve"> implicitement mis en lumière l’importance des enjeux relatifs à l’argument d’ordre économique comme justification de la neutralité : interrogée sur la nécessité, pour l’employeur, d’établir l’existence d’un préjudice économique aux fins de justifier une politique de neutralité restrictive, la CJUE, sans mentionner précisément le critère de rentabilité, précise qu’il convient, aux fins de démontrer l’existence d’un « besoin véritable », de prendre en compte le risque </w:t>
      </w:r>
      <w:r w:rsidR="00856F6D" w:rsidRPr="00A547A8">
        <w:lastRenderedPageBreak/>
        <w:t>que l’entreprise subisse des « conséquences défavorables »</w:t>
      </w:r>
      <w:r w:rsidR="00856F6D" w:rsidRPr="00A547A8">
        <w:rPr>
          <w:rStyle w:val="Appelnotedebasdep"/>
        </w:rPr>
        <w:footnoteReference w:id="274"/>
      </w:r>
      <w:r w:rsidR="00856F6D" w:rsidRPr="00A547A8">
        <w:t xml:space="preserve"> en l’absence d’une telle politique de neutralité</w:t>
      </w:r>
      <w:r w:rsidR="00130D0E">
        <w:rPr>
          <w:rStyle w:val="Appelnotedebasdep"/>
        </w:rPr>
        <w:footnoteReference w:id="275"/>
      </w:r>
      <w:r w:rsidR="00856F6D" w:rsidRPr="00A547A8">
        <w:t>.</w:t>
      </w:r>
    </w:p>
    <w:p w14:paraId="0AB1B928" w14:textId="1AD77C88" w:rsidR="00856F6D" w:rsidRPr="004E7201" w:rsidRDefault="00A547A8" w:rsidP="001C1B28">
      <w:pPr>
        <w:pStyle w:val="Paragraphedeliste"/>
      </w:pPr>
      <w:bookmarkStart w:id="46" w:name="_Ref120971089"/>
      <w:r>
        <w:t>En premier lieu, l</w:t>
      </w:r>
      <w:r w:rsidR="005154EC">
        <w:t xml:space="preserve">a prise en compte de l’argument d’ordre économique </w:t>
      </w:r>
      <w:r>
        <w:t xml:space="preserve">peut être questionnée du point de vue de </w:t>
      </w:r>
      <w:r w:rsidR="005154EC">
        <w:t xml:space="preserve">sa recevabilité. </w:t>
      </w:r>
      <w:r w:rsidR="004532F7">
        <w:t>Faut-il accepter – voire exiger - de</w:t>
      </w:r>
      <w:r w:rsidR="00856F6D" w:rsidRPr="004E7201">
        <w:t xml:space="preserve"> l’employeur </w:t>
      </w:r>
      <w:r w:rsidR="004532F7">
        <w:t xml:space="preserve">qu’il </w:t>
      </w:r>
      <w:r w:rsidR="00856F6D" w:rsidRPr="004E7201">
        <w:t>étaye l’efficacité économique d’une politique de neutralité restrictive par le biais de preuves concrètes relatives aux opinions de la clientèle</w:t>
      </w:r>
      <w:r w:rsidR="00856F6D">
        <w:fldChar w:fldCharType="begin"/>
      </w:r>
      <w:r w:rsidR="00856F6D">
        <w:instrText xml:space="preserve"> XE "</w:instrText>
      </w:r>
      <w:r w:rsidR="00856F6D" w:rsidRPr="005F6D4C">
        <w:rPr>
          <w:rFonts w:eastAsia="Times New Roman" w:cs="Calibri"/>
          <w:color w:val="000000"/>
          <w:lang w:eastAsia="fr-BE"/>
        </w:rPr>
        <w:instrText>Clientèle"</w:instrText>
      </w:r>
      <w:r w:rsidR="00856F6D">
        <w:instrText xml:space="preserve"> </w:instrText>
      </w:r>
      <w:r w:rsidR="00856F6D">
        <w:fldChar w:fldCharType="end"/>
      </w:r>
      <w:r w:rsidR="00856F6D" w:rsidRPr="004E7201">
        <w:t xml:space="preserve"> au sujet de la présence d’expressions religieuses au sein de l’entreprise en question ?</w:t>
      </w:r>
      <w:r w:rsidR="00856F6D" w:rsidRPr="004E7201">
        <w:rPr>
          <w:rStyle w:val="Appelnotedebasdep"/>
        </w:rPr>
        <w:footnoteReference w:id="276"/>
      </w:r>
      <w:r w:rsidR="00856F6D" w:rsidRPr="004E7201">
        <w:t xml:space="preserve"> </w:t>
      </w:r>
      <w:r w:rsidR="0065272E">
        <w:t>L</w:t>
      </w:r>
      <w:r w:rsidR="00856F6D" w:rsidRPr="004E7201">
        <w:t xml:space="preserve">’admissibilité d’un tel type de preuve </w:t>
      </w:r>
      <w:r w:rsidR="0065272E">
        <w:t>ferait</w:t>
      </w:r>
      <w:r w:rsidR="0065272E" w:rsidRPr="004E7201">
        <w:t xml:space="preserve"> </w:t>
      </w:r>
      <w:r w:rsidR="00856F6D" w:rsidRPr="004E7201">
        <w:t>précisément basculer l’employeur dans l’intégration illégitime d’injonctions discriminatoires de sa clientèle</w:t>
      </w:r>
      <w:r w:rsidR="0019228D">
        <w:rPr>
          <w:rStyle w:val="Appelnotedebasdep"/>
        </w:rPr>
        <w:footnoteReference w:id="277"/>
      </w:r>
      <w:r w:rsidR="00856F6D" w:rsidRPr="004E7201">
        <w:t xml:space="preserve">. Dans ses conclusions relatives à l’affaire </w:t>
      </w:r>
      <w:r w:rsidR="00856F6D" w:rsidRPr="004E7201">
        <w:rPr>
          <w:i/>
        </w:rPr>
        <w:t>Bougnaoui</w:t>
      </w:r>
      <w:r w:rsidR="00856F6D" w:rsidRPr="004E7201">
        <w:t xml:space="preserve">, l’avocat général </w:t>
      </w:r>
      <w:proofErr w:type="spellStart"/>
      <w:r w:rsidR="00856F6D" w:rsidRPr="004E7201">
        <w:t>Sharpston</w:t>
      </w:r>
      <w:proofErr w:type="spellEnd"/>
      <w:r w:rsidR="00856F6D" w:rsidRPr="004E7201">
        <w:t xml:space="preserve"> </w:t>
      </w:r>
      <w:r w:rsidR="00856F6D">
        <w:t>décrit</w:t>
      </w:r>
      <w:r w:rsidR="00856F6D" w:rsidRPr="004E7201">
        <w:t xml:space="preserve"> le danger d’un tel scénario en ces termes :</w:t>
      </w:r>
      <w:bookmarkEnd w:id="46"/>
    </w:p>
    <w:p w14:paraId="5F18E4FB" w14:textId="77777777" w:rsidR="00856F6D" w:rsidRPr="004E7201" w:rsidRDefault="00856F6D" w:rsidP="00856F6D">
      <w:pPr>
        <w:pStyle w:val="Citation1"/>
      </w:pPr>
      <w:r w:rsidRPr="004E7201">
        <w:t>J’attire ici l’attention sur le caractère insidieux de l’argument selon lequel "mais nous devons faire ainsi car, autrement, cela ne plaira pas à nos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4E7201">
        <w:t>". Lorsque l’attitude des clients peut en soi indiquer un préjugé fondé sur l’un des "critères interdits", comme la religion, il me paraît particulièrement dangereux de dispenser l’employeur de l’obligation d’égalité de traitement afin de complaire à ce préjugé. La directive 2000/78 est destinée à assurer une protection dans le cadre de l’emploi contre un traitement défavorable (à savoir la discrimination) fondé sur l’un des critères prohibés. Elle ne prévoit pas que le travailleur puisse perdre son emploi pour améliorer les profits de l’employeur.</w:t>
      </w:r>
      <w:r w:rsidRPr="004E7201">
        <w:rPr>
          <w:rStyle w:val="Appelnotedebasdep"/>
        </w:rPr>
        <w:footnoteReference w:id="278"/>
      </w:r>
    </w:p>
    <w:p w14:paraId="59156CE4" w14:textId="1AEBF636" w:rsidR="00856F6D" w:rsidRPr="004E7201" w:rsidRDefault="00856F6D" w:rsidP="00856F6D">
      <w:r w:rsidRPr="004E7201">
        <w:t xml:space="preserve">Cette affirmation de </w:t>
      </w:r>
      <w:r>
        <w:t>l’avocat général entre en réson</w:t>
      </w:r>
      <w:r w:rsidRPr="004E7201">
        <w:t xml:space="preserve">ance avec l’arrêt rendu en 2008 par la même CJUE, dans l’affaire </w:t>
      </w:r>
      <w:proofErr w:type="spellStart"/>
      <w:r w:rsidRPr="004E7201">
        <w:rPr>
          <w:i/>
        </w:rPr>
        <w:t>Feryn</w:t>
      </w:r>
      <w:proofErr w:type="spellEnd"/>
      <w:r>
        <w:rPr>
          <w:i/>
        </w:rPr>
        <w:fldChar w:fldCharType="begin"/>
      </w:r>
      <w:r>
        <w:rPr>
          <w:i/>
        </w:rPr>
        <w:instrText xml:space="preserve"> XE "</w:instrText>
      </w:r>
      <w:r>
        <w:rPr>
          <w:rFonts w:eastAsia="Times New Roman" w:cs="Calibri"/>
          <w:i/>
          <w:iCs/>
          <w:color w:val="000000"/>
          <w:lang w:eastAsia="fr-BE"/>
        </w:rPr>
        <w:instrText>Feryn</w:instrText>
      </w:r>
      <w:r>
        <w:rPr>
          <w:rFonts w:eastAsia="Times New Roman" w:cs="Calibri"/>
          <w:color w:val="000000"/>
          <w:lang w:eastAsia="fr-BE"/>
        </w:rPr>
        <w:instrText xml:space="preserve"> (affaire)"</w:instrText>
      </w:r>
      <w:r>
        <w:rPr>
          <w:i/>
        </w:rPr>
        <w:instrText xml:space="preserve"> </w:instrText>
      </w:r>
      <w:r>
        <w:rPr>
          <w:i/>
        </w:rPr>
        <w:fldChar w:fldCharType="end"/>
      </w:r>
      <w:r w:rsidRPr="004E7201">
        <w:rPr>
          <w:rStyle w:val="Appelnotedebasdep"/>
        </w:rPr>
        <w:footnoteReference w:id="279"/>
      </w:r>
      <w:r w:rsidRPr="004E7201">
        <w:t xml:space="preserve">, où les déclarations d’un entrepreneur indiquant qu’il ne recrutait « pas de Marocains » sont considérées comme une discrimination. M. </w:t>
      </w:r>
      <w:proofErr w:type="spellStart"/>
      <w:r w:rsidRPr="004E7201">
        <w:t>Feryn</w:t>
      </w:r>
      <w:proofErr w:type="spellEnd"/>
      <w:r w:rsidRPr="004E7201">
        <w:t>, à la tête d’une entreprise d’installation de portes de garages, justifiait cette discrimination systématique à l’embauche</w:t>
      </w:r>
      <w:r>
        <w:fldChar w:fldCharType="begin"/>
      </w:r>
      <w:r>
        <w:instrText xml:space="preserve"> XE "</w:instrText>
      </w:r>
      <w:r>
        <w:rPr>
          <w:rFonts w:eastAsia="Times New Roman" w:cs="Calibri"/>
          <w:color w:val="000000"/>
          <w:lang w:eastAsia="fr-BE"/>
        </w:rPr>
        <w:instrText>Recrutement"</w:instrText>
      </w:r>
      <w:r>
        <w:instrText xml:space="preserve"> </w:instrText>
      </w:r>
      <w:r>
        <w:fldChar w:fldCharType="end"/>
      </w:r>
      <w:r w:rsidRPr="004E7201">
        <w:t xml:space="preserve"> des personnes d’origine marocaine en expliquant que « nos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4E7201">
        <w:t xml:space="preserve"> n’en veulent pas », mais que, même s’il « trouve personnellement cela très grave », « il ne peut rien y faire »</w:t>
      </w:r>
      <w:bookmarkStart w:id="48" w:name="_Ref47878346"/>
      <w:r w:rsidRPr="004E7201">
        <w:rPr>
          <w:rStyle w:val="Appelnotedebasdep"/>
        </w:rPr>
        <w:footnoteReference w:id="280"/>
      </w:r>
      <w:bookmarkEnd w:id="48"/>
      <w:r w:rsidRPr="004E7201">
        <w:t>. La CJUE considère ces déclarations publiques comme suffisantes pour « présumer […] l’existence d’une politique d’embauche directement discriminatoire »</w:t>
      </w:r>
      <w:r w:rsidRPr="004E7201">
        <w:rPr>
          <w:rStyle w:val="Appelnotedebasdep"/>
        </w:rPr>
        <w:footnoteReference w:id="281"/>
      </w:r>
      <w:r w:rsidRPr="004E7201">
        <w:t>, même « en l’absence de plaignant identifiable soutenant qu’il aurait été victime de cette discrimination »</w:t>
      </w:r>
      <w:r w:rsidRPr="004E7201">
        <w:rPr>
          <w:rStyle w:val="Appelnotedebasdep"/>
        </w:rPr>
        <w:footnoteReference w:id="282"/>
      </w:r>
      <w:r w:rsidRPr="004E7201">
        <w:t xml:space="preserve">. Dans cette même affaire </w:t>
      </w:r>
      <w:proofErr w:type="spellStart"/>
      <w:r w:rsidRPr="006F7766">
        <w:rPr>
          <w:i/>
          <w:iCs/>
        </w:rPr>
        <w:t>Feryn</w:t>
      </w:r>
      <w:proofErr w:type="spellEnd"/>
      <w:r w:rsidRPr="004E7201">
        <w:t xml:space="preserve">, l’Avocat général </w:t>
      </w:r>
      <w:proofErr w:type="spellStart"/>
      <w:r>
        <w:t>Maduro</w:t>
      </w:r>
      <w:proofErr w:type="spellEnd"/>
      <w:r w:rsidRPr="004E7201">
        <w:t xml:space="preserve"> avait </w:t>
      </w:r>
      <w:r>
        <w:t>dénoncé</w:t>
      </w:r>
      <w:r w:rsidRPr="004E7201">
        <w:t xml:space="preserve"> l’absence de pertinence de l’argument lié à la clientèle, indiquant que « les marchés ne remédieront pas à la discrimination »</w:t>
      </w:r>
      <w:r w:rsidRPr="004E7201">
        <w:rPr>
          <w:rStyle w:val="Appelnotedebasdep"/>
        </w:rPr>
        <w:footnoteReference w:id="283"/>
      </w:r>
      <w:r w:rsidRPr="004E7201">
        <w:t xml:space="preserve">. </w:t>
      </w:r>
    </w:p>
    <w:p w14:paraId="4BBCD92A" w14:textId="42365501" w:rsidR="00856F6D" w:rsidRPr="004E7201" w:rsidRDefault="00856F6D" w:rsidP="00856F6D">
      <w:r w:rsidRPr="004E7201">
        <w:t xml:space="preserve">Si la CJUE ne se prononce pas explicitement en faveur de la recevabilité d’un tel argument, l’on sait toutefois l’ambivalence avec laquelle </w:t>
      </w:r>
      <w:r>
        <w:t>elle</w:t>
      </w:r>
      <w:r w:rsidRPr="004E7201">
        <w:t xml:space="preserve"> envisage l’intérêt économique de l’entreprise en tant que </w:t>
      </w:r>
      <w:r w:rsidRPr="004E7201">
        <w:lastRenderedPageBreak/>
        <w:t xml:space="preserve">justification de la discrimination. Dans </w:t>
      </w:r>
      <w:r w:rsidR="00A13513">
        <w:t xml:space="preserve">l’arrêt </w:t>
      </w:r>
      <w:r w:rsidR="00A13513">
        <w:rPr>
          <w:i/>
          <w:iCs/>
        </w:rPr>
        <w:t>Bougnaoui</w:t>
      </w:r>
      <w:r w:rsidRPr="004E7201">
        <w:t>, ce</w:t>
      </w:r>
      <w:r>
        <w:t>t intérêt</w:t>
      </w:r>
      <w:r w:rsidRPr="004E7201">
        <w:t xml:space="preserve"> est délégitimé dès lors qu’il correspondrait à une intégration des souhaits discriminatoires de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4E7201">
        <w:t xml:space="preserve">. Dans </w:t>
      </w:r>
      <w:r w:rsidR="00A13513">
        <w:t xml:space="preserve">les arrêts </w:t>
      </w:r>
      <w:proofErr w:type="spellStart"/>
      <w:r w:rsidR="00A13513">
        <w:rPr>
          <w:i/>
          <w:iCs/>
        </w:rPr>
        <w:t>Achbita</w:t>
      </w:r>
      <w:proofErr w:type="spellEnd"/>
      <w:r w:rsidR="00A13513">
        <w:rPr>
          <w:i/>
          <w:iCs/>
        </w:rPr>
        <w:t xml:space="preserve"> </w:t>
      </w:r>
      <w:r w:rsidR="00A13513">
        <w:t xml:space="preserve">et </w:t>
      </w:r>
      <w:r>
        <w:rPr>
          <w:i/>
        </w:rPr>
        <w:t>WABE-Mülle</w:t>
      </w:r>
      <w:r w:rsidR="002030EC">
        <w:rPr>
          <w:i/>
        </w:rPr>
        <w:t>r</w:t>
      </w:r>
      <w:r>
        <w:rPr>
          <w:i/>
        </w:rPr>
        <w:softHyphen/>
      </w:r>
      <w:r>
        <w:rPr>
          <w:i/>
        </w:rPr>
        <w:softHyphen/>
      </w:r>
      <w:r w:rsidRPr="00E74ED6">
        <w:t xml:space="preserve">, </w:t>
      </w:r>
      <w:r w:rsidRPr="004E7201">
        <w:t>l’argument économique semble à l’inverse recevoir une recevabilité implicite, par le biais de la liberté d’entreprise.</w:t>
      </w:r>
    </w:p>
    <w:p w14:paraId="26E3FE5F" w14:textId="52238090" w:rsidR="00856F6D" w:rsidRDefault="00856F6D" w:rsidP="00856F6D">
      <w:r w:rsidRPr="004E7201">
        <w:t xml:space="preserve">Le contraste entre l’ambivalence de ces arrêts et la clarté de l’arrêt </w:t>
      </w:r>
      <w:proofErr w:type="spellStart"/>
      <w:r w:rsidRPr="004E7201">
        <w:rPr>
          <w:i/>
          <w:iCs/>
        </w:rPr>
        <w:t>Feryn</w:t>
      </w:r>
      <w:proofErr w:type="spellEnd"/>
      <w:r>
        <w:rPr>
          <w:i/>
          <w:iCs/>
        </w:rPr>
        <w:fldChar w:fldCharType="begin"/>
      </w:r>
      <w:r>
        <w:rPr>
          <w:i/>
          <w:iCs/>
        </w:rPr>
        <w:instrText xml:space="preserve"> XE "</w:instrText>
      </w:r>
      <w:r>
        <w:rPr>
          <w:rFonts w:eastAsia="Times New Roman" w:cs="Calibri"/>
          <w:i/>
          <w:iCs/>
          <w:color w:val="000000"/>
          <w:lang w:eastAsia="fr-BE"/>
        </w:rPr>
        <w:instrText>Feryn</w:instrText>
      </w:r>
      <w:r>
        <w:rPr>
          <w:rFonts w:eastAsia="Times New Roman" w:cs="Calibri"/>
          <w:color w:val="000000"/>
          <w:lang w:eastAsia="fr-BE"/>
        </w:rPr>
        <w:instrText xml:space="preserve"> (affaire)"</w:instrText>
      </w:r>
      <w:r>
        <w:rPr>
          <w:i/>
          <w:iCs/>
        </w:rPr>
        <w:instrText xml:space="preserve"> </w:instrText>
      </w:r>
      <w:r>
        <w:rPr>
          <w:i/>
          <w:iCs/>
        </w:rPr>
        <w:fldChar w:fldCharType="end"/>
      </w:r>
      <w:r w:rsidRPr="004E7201">
        <w:rPr>
          <w:i/>
          <w:iCs/>
        </w:rPr>
        <w:t xml:space="preserve"> </w:t>
      </w:r>
      <w:r w:rsidRPr="004E7201">
        <w:t xml:space="preserve">peut-il trouver une explication dans la différence entre les critères de non-discrimination respectivement concernés – en l’occurrence la religion et l’origine ethnique ? Bien que la CJUE ne s’empare pas expressément de cette problématique, </w:t>
      </w:r>
      <w:r>
        <w:t>sa jurisprudence</w:t>
      </w:r>
      <w:r w:rsidRPr="004E7201">
        <w:t xml:space="preserve"> pourrait conduire d’aucuns, à l’instar de D</w:t>
      </w:r>
      <w:r>
        <w:t>enis</w:t>
      </w:r>
      <w:r w:rsidRPr="004E7201">
        <w:t xml:space="preserve"> Martin, à considérer que là où l’employeur ne pourra pas répondre à la demande d’un client</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4E7201">
        <w:t xml:space="preserve"> de ne pas être servi par une « Marocaine », celui-ci pourra, sous certaines conditions, légitimement anticiper une demande visant à ne pas être servi par une « musulmane voilée »</w:t>
      </w:r>
      <w:r w:rsidRPr="004E7201">
        <w:rPr>
          <w:rStyle w:val="Appelnotedebasdep"/>
        </w:rPr>
        <w:footnoteReference w:id="284"/>
      </w:r>
      <w:r w:rsidR="00822DD4">
        <w:t>.</w:t>
      </w:r>
    </w:p>
    <w:p w14:paraId="3E9D81A6" w14:textId="0FE8B78C" w:rsidR="00856F6D" w:rsidRPr="004E7201" w:rsidRDefault="00A547A8" w:rsidP="001C1B28">
      <w:pPr>
        <w:pStyle w:val="Paragraphedeliste"/>
      </w:pPr>
      <w:r>
        <w:t>En second lieu</w:t>
      </w:r>
      <w:r w:rsidR="00856F6D" w:rsidRPr="004E7201">
        <w:t>, au-delà de sa pertinence, le motif lié aux souhaits de la clientèle</w:t>
      </w:r>
      <w:r w:rsidR="00856F6D">
        <w:fldChar w:fldCharType="begin"/>
      </w:r>
      <w:r w:rsidR="00856F6D">
        <w:instrText xml:space="preserve"> XE "</w:instrText>
      </w:r>
      <w:r w:rsidR="00856F6D" w:rsidRPr="005F6D4C">
        <w:rPr>
          <w:rFonts w:eastAsia="Times New Roman" w:cs="Calibri"/>
          <w:color w:val="000000"/>
          <w:lang w:eastAsia="fr-BE"/>
        </w:rPr>
        <w:instrText>Clientèle"</w:instrText>
      </w:r>
      <w:r w:rsidR="00856F6D">
        <w:instrText xml:space="preserve"> </w:instrText>
      </w:r>
      <w:r w:rsidR="00856F6D">
        <w:fldChar w:fldCharType="end"/>
      </w:r>
      <w:r w:rsidR="00856F6D" w:rsidRPr="004E7201">
        <w:t xml:space="preserve"> – ou, formulé plus subtilement, lié à l’image de marque</w:t>
      </w:r>
      <w:r w:rsidR="00856F6D">
        <w:fldChar w:fldCharType="begin"/>
      </w:r>
      <w:r w:rsidR="00856F6D">
        <w:instrText xml:space="preserve"> XE "</w:instrText>
      </w:r>
      <w:r w:rsidR="00856F6D" w:rsidRPr="00821CE3">
        <w:rPr>
          <w:rFonts w:eastAsia="Times New Roman" w:cs="Calibri"/>
          <w:color w:val="000000"/>
          <w:lang w:eastAsia="fr-BE"/>
        </w:rPr>
        <w:instrText>Image de marque</w:instrText>
      </w:r>
      <w:r w:rsidR="00856F6D">
        <w:rPr>
          <w:rFonts w:eastAsia="Times New Roman" w:cs="Calibri"/>
          <w:color w:val="000000"/>
          <w:lang w:eastAsia="fr-BE"/>
        </w:rPr>
        <w:instrText>"</w:instrText>
      </w:r>
      <w:r w:rsidR="00856F6D">
        <w:instrText xml:space="preserve"> </w:instrText>
      </w:r>
      <w:r w:rsidR="00856F6D">
        <w:fldChar w:fldCharType="end"/>
      </w:r>
      <w:r w:rsidR="00856F6D" w:rsidRPr="004E7201">
        <w:t xml:space="preserve"> de l’entreprise – doit encore faire la preuve de son effectivité. Dans l’affaire </w:t>
      </w:r>
      <w:proofErr w:type="spellStart"/>
      <w:r w:rsidR="00856F6D">
        <w:rPr>
          <w:i/>
        </w:rPr>
        <w:t>Eweida</w:t>
      </w:r>
      <w:proofErr w:type="spellEnd"/>
      <w:r w:rsidR="00856F6D">
        <w:rPr>
          <w:i/>
        </w:rPr>
        <w:t xml:space="preserve"> e.a.</w:t>
      </w:r>
      <w:r w:rsidR="00856F6D" w:rsidRPr="004E7201">
        <w:t>, comme mentionné ci-avant, la CourEDH insiste en effet sur la nécessité pour l’employeur de fournir la preuve concrète de l’impact que possède l’expression religieuse en question sur l’image de marque de l’entreprise qui souhaite restreindre cette même expression</w:t>
      </w:r>
      <w:r w:rsidR="00856F6D" w:rsidRPr="004E7201">
        <w:rPr>
          <w:rStyle w:val="Appelnotedebasdep"/>
        </w:rPr>
        <w:footnoteReference w:id="285"/>
      </w:r>
      <w:r w:rsidR="00822DD4">
        <w:t>.</w:t>
      </w:r>
      <w:r w:rsidR="00856F6D" w:rsidRPr="004E7201">
        <w:t xml:space="preserve"> Même si la CourEDH ne se prononce pas sur l’admissibilité d’une justification découlant directement des souhaits – éventuellement discriminatoires – de la clientèle, </w:t>
      </w:r>
      <w:r w:rsidR="00856F6D">
        <w:t>elle</w:t>
      </w:r>
      <w:r w:rsidR="00856F6D" w:rsidRPr="004E7201">
        <w:t xml:space="preserve"> requiert en tout cas une justification au cas par cas de l’impact des expressions religieuses ciblées par la mesure d’interdiction sur l’image de marque de l’entreprise</w:t>
      </w:r>
      <w:r w:rsidR="00856F6D" w:rsidRPr="004E7201">
        <w:rPr>
          <w:rStyle w:val="Appelnotedebasdep"/>
        </w:rPr>
        <w:footnoteReference w:id="286"/>
      </w:r>
      <w:r w:rsidR="00822DD4">
        <w:t>.</w:t>
      </w:r>
    </w:p>
    <w:p w14:paraId="3B838024" w14:textId="4A111007" w:rsidR="00856F6D" w:rsidRDefault="00856F6D" w:rsidP="00856F6D">
      <w:r w:rsidRPr="004E7201">
        <w:t>L’exercice consiste donc à examiner l’effectivité de l’argument économique mobilisé par l’employe</w:t>
      </w:r>
      <w:r>
        <w:t>u</w:t>
      </w:r>
      <w:r w:rsidRPr="004E7201">
        <w:t>r, sans pour autant que cet examen revienne à légitimer une éventuelle injonction de discriminer. L’on retombe ici sur la nécessité, aux termes de la Directive, que soit « objectivement justifiée »</w:t>
      </w:r>
      <w:r w:rsidRPr="004E7201">
        <w:rPr>
          <w:rStyle w:val="Appelnotedebasdep"/>
        </w:rPr>
        <w:footnoteReference w:id="287"/>
      </w:r>
      <w:r w:rsidRPr="004E7201">
        <w:t xml:space="preserve"> la restriction liée à l’image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rsidRPr="004E7201">
        <w:t xml:space="preserve"> neutre. Une telle objectivité est-elle atteignable lorsque la restriction trouve son origine – même implicite – dans la volonté de répondre aux « considérations subjectives »</w:t>
      </w:r>
      <w:r w:rsidRPr="004E7201">
        <w:rPr>
          <w:rStyle w:val="Appelnotedebasdep"/>
        </w:rPr>
        <w:footnoteReference w:id="288"/>
      </w:r>
      <w:r w:rsidRPr="004E7201">
        <w:t xml:space="preserve"> de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4E7201">
        <w:t xml:space="preserve"> ?</w:t>
      </w:r>
      <w:r>
        <w:t xml:space="preserve"> Cette question renvoie à l’idée</w:t>
      </w:r>
      <w:r w:rsidR="00F2407C">
        <w:t xml:space="preserve"> </w:t>
      </w:r>
      <w:r>
        <w:t>d’</w:t>
      </w:r>
      <w:r w:rsidR="003A66A4">
        <w:t xml:space="preserve">une </w:t>
      </w:r>
      <w:r w:rsidRPr="008D517D">
        <w:t>objectivation</w:t>
      </w:r>
      <w:r>
        <w:t xml:space="preserve"> par l’entreprise – par le biais d’une démonstration économique – des </w:t>
      </w:r>
      <w:r w:rsidRPr="008D517D">
        <w:t>desiderata</w:t>
      </w:r>
      <w:r>
        <w:rPr>
          <w:i/>
          <w:iCs/>
        </w:rPr>
        <w:t xml:space="preserve"> </w:t>
      </w:r>
      <w:r>
        <w:t>subjectifs de ses clients</w:t>
      </w:r>
      <w:r>
        <w:rPr>
          <w:rStyle w:val="Appelnotedebasdep"/>
        </w:rPr>
        <w:footnoteReference w:id="289"/>
      </w:r>
      <w:r w:rsidR="00822DD4">
        <w:t>.</w:t>
      </w:r>
      <w:r>
        <w:t xml:space="preserve"> En filigrane apparaît alors la dimension proprement « libre et arbitraire »</w:t>
      </w:r>
      <w:r>
        <w:rPr>
          <w:rStyle w:val="Appelnotedebasdep"/>
        </w:rPr>
        <w:footnoteReference w:id="290"/>
      </w:r>
      <w:r>
        <w:t xml:space="preserve"> – et donc subjective – du marché.</w:t>
      </w:r>
    </w:p>
    <w:p w14:paraId="3ED7BFD1" w14:textId="605723A6" w:rsidR="00856F6D" w:rsidRDefault="00856F6D" w:rsidP="00856F6D">
      <w:r>
        <w:lastRenderedPageBreak/>
        <w:t xml:space="preserve">En réalité, la dimension subjective des </w:t>
      </w:r>
      <w:r w:rsidRPr="008D517D">
        <w:t>desiderata</w:t>
      </w:r>
      <w:r>
        <w:rPr>
          <w:i/>
          <w:iCs/>
        </w:rPr>
        <w:t xml:space="preserve"> </w:t>
      </w:r>
      <w:r>
        <w:t>de la clientèle</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t xml:space="preserve"> ne suffit pas à elle seule à délégitimer une prise en compte de ces </w:t>
      </w:r>
      <w:r w:rsidRPr="008D517D">
        <w:t>desiderata</w:t>
      </w:r>
      <w:r>
        <w:t xml:space="preserve"> par l’entreprise : preuve en est que nombreuses sont les enseignes qui tiennent compte des préférences « multiculturelles » de leurs clients dans leur politique de recrutement</w:t>
      </w:r>
      <w:r>
        <w:fldChar w:fldCharType="begin"/>
      </w:r>
      <w:r>
        <w:instrText xml:space="preserve"> XE "</w:instrText>
      </w:r>
      <w:r>
        <w:rPr>
          <w:rFonts w:eastAsia="Times New Roman" w:cs="Calibri"/>
          <w:color w:val="000000"/>
          <w:lang w:eastAsia="fr-BE"/>
        </w:rPr>
        <w:instrText>Recrutement"</w:instrText>
      </w:r>
      <w:r>
        <w:instrText xml:space="preserve"> </w:instrText>
      </w:r>
      <w:r>
        <w:fldChar w:fldCharType="end"/>
      </w:r>
      <w:r>
        <w:rPr>
          <w:rStyle w:val="Appelnotedebasdep"/>
        </w:rPr>
        <w:footnoteReference w:id="291"/>
      </w:r>
      <w:r w:rsidR="00822DD4">
        <w:t>.</w:t>
      </w:r>
      <w:r>
        <w:t xml:space="preserve"> C’est donc la dimension subjective associée au caractère restrictif de la politique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qui rend celle-ci problématique.</w:t>
      </w:r>
    </w:p>
    <w:p w14:paraId="75E68D7D" w14:textId="29C0D1CD" w:rsidR="00856F6D" w:rsidRPr="008E719C" w:rsidRDefault="00856F6D" w:rsidP="00856F6D">
      <w:r>
        <w:t xml:space="preserve">De même, le </w:t>
      </w:r>
      <w:r w:rsidR="00ED3370">
        <w:t xml:space="preserve">seul </w:t>
      </w:r>
      <w:r>
        <w:t>caractère restrictif de la politique d’image de marque</w:t>
      </w:r>
      <w:r>
        <w:fldChar w:fldCharType="begin"/>
      </w:r>
      <w:r>
        <w:instrText xml:space="preserve"> XE "</w:instrText>
      </w:r>
      <w:r w:rsidRPr="00821CE3">
        <w:rPr>
          <w:rFonts w:eastAsia="Times New Roman" w:cs="Calibri"/>
          <w:color w:val="000000"/>
          <w:lang w:eastAsia="fr-BE"/>
        </w:rPr>
        <w:instrText>Image de marque</w:instrText>
      </w:r>
      <w:r>
        <w:rPr>
          <w:rFonts w:eastAsia="Times New Roman" w:cs="Calibri"/>
          <w:color w:val="000000"/>
          <w:lang w:eastAsia="fr-BE"/>
        </w:rPr>
        <w:instrText>"</w:instrText>
      </w:r>
      <w:r>
        <w:instrText xml:space="preserve"> </w:instrText>
      </w:r>
      <w:r>
        <w:fldChar w:fldCharType="end"/>
      </w:r>
      <w:r>
        <w:t xml:space="preserve"> ne suffit pas non plus à </w:t>
      </w:r>
      <w:r w:rsidR="00ED3370">
        <w:t xml:space="preserve">désavouer </w:t>
      </w:r>
      <w:r>
        <w:t>cette politique. Comme l’indique</w:t>
      </w:r>
      <w:r w:rsidR="00822DD4">
        <w:t>nt</w:t>
      </w:r>
      <w:r>
        <w:t xml:space="preserve"> Véronique van der </w:t>
      </w:r>
      <w:proofErr w:type="spellStart"/>
      <w:r>
        <w:t>Plancke</w:t>
      </w:r>
      <w:proofErr w:type="spellEnd"/>
      <w:r>
        <w:t xml:space="preserve"> et Nathalie Van Leuven,</w:t>
      </w:r>
    </w:p>
    <w:p w14:paraId="28CEE913" w14:textId="77777777" w:rsidR="00856F6D" w:rsidRDefault="00856F6D" w:rsidP="00856F6D">
      <w:pPr>
        <w:pStyle w:val="Citation1"/>
        <w:rPr>
          <w:lang w:val="fr-CA"/>
        </w:rPr>
      </w:pPr>
      <w:r>
        <w:rPr>
          <w:lang w:val="fr-CA"/>
        </w:rPr>
        <w:t>Il importe en réalité de toujours appliquer le test de proportionnalité car, en toute vraisemblance, on ne peut, par exemple, attendre d’un employeur qu’il ne restreigne jamais l’exercice de certains droits et libertés fondamentales des employés pour la recherche du profit immédiat dès lors que ce dernier serait nécessaire pour la viabilité de l’entreprise (la réponse à cette question est donc à décliner en fonction de la taille des entreprises, de leur capacité financière, de la nature des droits et libertés en cause…)</w:t>
      </w:r>
      <w:r>
        <w:rPr>
          <w:rStyle w:val="Appelnotedebasdep"/>
          <w:lang w:val="fr-CA"/>
        </w:rPr>
        <w:footnoteReference w:id="292"/>
      </w:r>
    </w:p>
    <w:p w14:paraId="74A4D1D1" w14:textId="2D2E02AC" w:rsidR="00856F6D" w:rsidRPr="002A0E06" w:rsidRDefault="00856F6D" w:rsidP="00B87A1C">
      <w:r>
        <w:t>Mais une telle restriction est-elle justifiable lorsque celle-ci implique une discrimination ? Les mêmes auteurs considèrent en effet que « la discrimination (raciale, sexuelle, …) sur la base d’un motif économique n’est […] en aucun cas acceptable »</w:t>
      </w:r>
      <w:r>
        <w:rPr>
          <w:rStyle w:val="Appelnotedebasdep"/>
        </w:rPr>
        <w:footnoteReference w:id="293"/>
      </w:r>
      <w:r>
        <w:t>. Face à cette affirmation, la CJUE semble en tout cas considérer que le caractère indirect d’une discrimination pour motif économique, de même que le fait qu’elle porte sur la religion, rendent cette discrimination potentiellement justifiable.</w:t>
      </w:r>
    </w:p>
    <w:p w14:paraId="210BB9F0" w14:textId="79204807" w:rsidR="0058411E" w:rsidRDefault="0058411E" w:rsidP="0058411E">
      <w:pPr>
        <w:pStyle w:val="Titre2"/>
      </w:pPr>
      <w:r>
        <w:t>La neutralité religieuse comme finalité idéologique de l’entreprise</w:t>
      </w:r>
    </w:p>
    <w:p w14:paraId="3490F707" w14:textId="22445649" w:rsidR="00E90AEA" w:rsidRDefault="00E90AEA" w:rsidP="001C1B28">
      <w:pPr>
        <w:pStyle w:val="Paragraphedeliste"/>
      </w:pPr>
      <w:r>
        <w:t xml:space="preserve">Le second modèle déployé dans notre catégorisation de la neutralité d’entreprise a trait à la mobilisation de la neutralité dans une perspective idéologique. Par </w:t>
      </w:r>
      <w:r>
        <w:rPr>
          <w:i/>
          <w:iCs/>
        </w:rPr>
        <w:t>idéologique</w:t>
      </w:r>
      <w:r>
        <w:t xml:space="preserve">, nous visons une neutralité invoquée en tant que </w:t>
      </w:r>
      <w:r w:rsidRPr="00FE7FEC">
        <w:rPr>
          <w:i/>
          <w:iCs/>
        </w:rPr>
        <w:t>finalité</w:t>
      </w:r>
      <w:r>
        <w:t xml:space="preserve"> par l’entreprise. La référence à la neutralité opère donc en tant que positionnement convictionnel de l’entreprise.</w:t>
      </w:r>
    </w:p>
    <w:p w14:paraId="3861A415" w14:textId="4C5E7573" w:rsidR="00E90AEA" w:rsidRDefault="00E90AEA" w:rsidP="00E90AEA">
      <w:r>
        <w:t xml:space="preserve">La neutralité idéologique se distingue donc de la neutralité instrumentale envisagée précédemment, en ce qu’aucun objectif extérieur ne vient ici fonder le recours à la neutralité. </w:t>
      </w:r>
      <w:r w:rsidR="00765308">
        <w:t>Rappelons toutefois qu</w:t>
      </w:r>
      <w:r w:rsidR="002334E5">
        <w:t>’</w:t>
      </w:r>
      <w:r>
        <w:t>une superposition partielle de ces deux modèles est envisageable en pratique.</w:t>
      </w:r>
    </w:p>
    <w:p w14:paraId="14E0799F" w14:textId="068E382E" w:rsidR="00E90AEA" w:rsidRDefault="00E90AEA" w:rsidP="001C1B28">
      <w:pPr>
        <w:pStyle w:val="Paragraphedeliste"/>
      </w:pPr>
      <w:r>
        <w:t xml:space="preserve">Deux types de neutralité idéologique sont ici distingués. Dans une première perspective, la neutralité correspond à la </w:t>
      </w:r>
      <w:r w:rsidRPr="008D517D">
        <w:t>tendance convictionnelle</w:t>
      </w:r>
      <w:r>
        <w:t xml:space="preserve"> de l’entreprise – en référence à la catégorie juridique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 cette tendance neutre est mobilisée par et pour l’entreprise elle-même, dans une dimension prioritairement </w:t>
      </w:r>
      <w:r w:rsidRPr="008D517D">
        <w:t>interne</w:t>
      </w:r>
      <w:r w:rsidR="005A64D1">
        <w:rPr>
          <w:i/>
          <w:iCs/>
        </w:rPr>
        <w:t xml:space="preserve"> </w:t>
      </w:r>
      <w:r w:rsidR="005A64D1">
        <w:t>(1)</w:t>
      </w:r>
      <w:r>
        <w:t xml:space="preserve">. Dans la seconde perspective, la neutralité de l’entreprise s’inscrit dans le prolongement – idéologique – de la neutralité de l’État : du fait du lien que l’entreprise entretient avec les pouvoirs publics, l’intégration de l’exigence </w:t>
      </w:r>
      <w:r w:rsidRPr="008D517D">
        <w:t>externe</w:t>
      </w:r>
      <w:r>
        <w:t xml:space="preserve"> de neutralité de l’État à la sphère de l’entreprise est considérée comme nécessaire (2).</w:t>
      </w:r>
    </w:p>
    <w:p w14:paraId="48AB39D0" w14:textId="4F8A5DAD" w:rsidR="00E90AEA" w:rsidRDefault="002334E5" w:rsidP="00E90AEA">
      <w:r>
        <w:lastRenderedPageBreak/>
        <w:t>C</w:t>
      </w:r>
      <w:r w:rsidR="00E90AEA">
        <w:t>omme nous le verrons au fil des pages qui suivent, la distinction entre ces deux neutralités idéologiques selon la perspective alternativement interne ou externe s’avère moins déterminante que dans le cas des deux modèles de neutralité instrumentale. Ainsi, la neutralité idéologique de l’entreprise de tendance</w:t>
      </w:r>
      <w:r w:rsidR="00E90AEA">
        <w:fldChar w:fldCharType="begin"/>
      </w:r>
      <w:r w:rsidR="00E90AEA">
        <w:instrText xml:space="preserve"> XE "</w:instrText>
      </w:r>
      <w:r w:rsidR="00E90AEA" w:rsidRPr="00821CE3">
        <w:rPr>
          <w:rFonts w:eastAsia="Times New Roman" w:cs="Calibri"/>
          <w:color w:val="000000"/>
          <w:lang w:eastAsia="fr-BE"/>
        </w:rPr>
        <w:instrText>Entreprise de tendance</w:instrText>
      </w:r>
      <w:r w:rsidR="00E90AEA">
        <w:rPr>
          <w:rFonts w:eastAsia="Times New Roman" w:cs="Calibri"/>
          <w:color w:val="000000"/>
          <w:lang w:eastAsia="fr-BE"/>
        </w:rPr>
        <w:instrText>"</w:instrText>
      </w:r>
      <w:r w:rsidR="00E90AEA">
        <w:instrText xml:space="preserve"> </w:instrText>
      </w:r>
      <w:r w:rsidR="00E90AEA">
        <w:fldChar w:fldCharType="end"/>
      </w:r>
      <w:r w:rsidR="00E90AEA">
        <w:t xml:space="preserve"> peut revêtir une dimension externe dès lors que l’entreprise envisage celle-ci non comme une simple idéologie interne, mais comme une « mission »</w:t>
      </w:r>
      <w:r w:rsidR="00E90AEA">
        <w:rPr>
          <w:rStyle w:val="Appelnotedebasdep"/>
        </w:rPr>
        <w:footnoteReference w:id="294"/>
      </w:r>
      <w:r w:rsidR="00E90AEA">
        <w:t xml:space="preserve"> ayant vocation à être valorisée vis-à-vis de l’environnement sociétal de l’entreprise. </w:t>
      </w:r>
      <w:r w:rsidR="00894396">
        <w:t>De même</w:t>
      </w:r>
      <w:r w:rsidR="00E90AEA">
        <w:t>, l’intégration de la neutralité de l’État par l’entreprise peut revêtir une dimension interne et entrer en lien avec la notion d’entreprise de tendance lorsque cette intégration est envisagée comme le reflet d’une tendance propre à l’entreprise.</w:t>
      </w:r>
    </w:p>
    <w:p w14:paraId="6BD5C6FD" w14:textId="0DB0FDF8" w:rsidR="00E90AEA" w:rsidRPr="004C7AAC" w:rsidRDefault="00E90AEA" w:rsidP="00E90AEA">
      <w:pPr>
        <w:rPr>
          <w:i/>
          <w:iCs/>
        </w:rPr>
      </w:pPr>
      <w:r>
        <w:t xml:space="preserve">Ajoutons enfin que, en comparaison des deux modèles liés à la neutralité instrumentale, les deux modèles de neutralité idéologique examinés </w:t>
      </w:r>
      <w:r w:rsidR="00894396">
        <w:t>ici</w:t>
      </w:r>
      <w:r>
        <w:t xml:space="preserve"> ont jusqu’</w:t>
      </w:r>
      <w:r w:rsidR="00894396">
        <w:t xml:space="preserve">à présent </w:t>
      </w:r>
      <w:r>
        <w:t>reçu un écho jurisprudentiel plus limité, en particulier s’agissant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w:t>
      </w:r>
    </w:p>
    <w:p w14:paraId="6B847D92" w14:textId="0597789E" w:rsidR="0058411E" w:rsidRDefault="0058411E" w:rsidP="008F46FF">
      <w:pPr>
        <w:pStyle w:val="Titre3"/>
        <w:numPr>
          <w:ilvl w:val="0"/>
          <w:numId w:val="5"/>
        </w:numPr>
      </w:pPr>
      <w:r w:rsidRPr="00E76E16">
        <w:t>La neutralité religieuse comme tendance convictionnelle de l’entreprise</w:t>
      </w:r>
    </w:p>
    <w:p w14:paraId="2EAC7D9F" w14:textId="4FA97525" w:rsidR="00E932A1" w:rsidRDefault="00A638E3" w:rsidP="001C1B28">
      <w:pPr>
        <w:pStyle w:val="Paragraphedeliste"/>
      </w:pPr>
      <w:bookmarkStart w:id="50" w:name="_Ref121317311"/>
      <w:r>
        <w:t>La première figure d’entreprise neutre envisagée dans la perspective de la neutralité idéologique est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w:t>
      </w:r>
      <w:r w:rsidR="00E932A1" w:rsidRPr="006A7405">
        <w:t xml:space="preserve">Cette entreprise fait sienne la neutralité en tant que </w:t>
      </w:r>
      <w:r w:rsidR="00E932A1" w:rsidRPr="008D517D">
        <w:t>tendance convictionnelle</w:t>
      </w:r>
      <w:r w:rsidR="00E932A1" w:rsidRPr="006A7405">
        <w:t xml:space="preserve"> propre, sur le modèle des </w:t>
      </w:r>
      <w:r w:rsidR="00E932A1" w:rsidRPr="008D517D">
        <w:t>entreprises</w:t>
      </w:r>
      <w:r w:rsidR="00E932A1" w:rsidRPr="00982261">
        <w:rPr>
          <w:i/>
          <w:iCs/>
        </w:rPr>
        <w:t xml:space="preserve"> </w:t>
      </w:r>
      <w:r w:rsidR="00E932A1" w:rsidRPr="008D517D">
        <w:t>de</w:t>
      </w:r>
      <w:r w:rsidR="00E932A1" w:rsidRPr="00982261">
        <w:rPr>
          <w:i/>
          <w:iCs/>
        </w:rPr>
        <w:t xml:space="preserve"> </w:t>
      </w:r>
      <w:r w:rsidR="00E932A1" w:rsidRPr="008D517D">
        <w:t>tendance</w:t>
      </w:r>
      <w:r w:rsidR="00E932A1">
        <w:rPr>
          <w:i/>
          <w:iCs/>
        </w:rPr>
        <w:t xml:space="preserve"> </w:t>
      </w:r>
      <w:r w:rsidR="00E932A1">
        <w:t xml:space="preserve">– ou entreprises de </w:t>
      </w:r>
      <w:r w:rsidR="00E932A1" w:rsidRPr="008D517D">
        <w:t>conviction</w:t>
      </w:r>
      <w:r w:rsidR="00E932A1" w:rsidRPr="006A7405">
        <w:t xml:space="preserve">. Ces </w:t>
      </w:r>
      <w:r w:rsidR="00E932A1">
        <w:t>organisations – commerciales ou non</w:t>
      </w:r>
      <w:r w:rsidR="00E932A1" w:rsidRPr="006A7405">
        <w:t xml:space="preserve"> </w:t>
      </w:r>
      <w:r w:rsidR="00E932A1">
        <w:t xml:space="preserve">– </w:t>
      </w:r>
      <w:r w:rsidR="00E932A1" w:rsidRPr="006A7405">
        <w:t>bénéficient, en vertu du droit européen, de certaines dérogations en matière de traitement différencié de leurs employés sur base de la religion, dès lors qu’elles fondent leur éthique sur</w:t>
      </w:r>
      <w:r w:rsidR="00E932A1">
        <w:t xml:space="preserve"> une conviction religieuse ou philosophique particulière</w:t>
      </w:r>
      <w:r w:rsidR="00E932A1">
        <w:rPr>
          <w:rStyle w:val="Appelnotedebasdep"/>
        </w:rPr>
        <w:footnoteReference w:id="295"/>
      </w:r>
      <w:r w:rsidR="00512B97">
        <w:t>.</w:t>
      </w:r>
      <w:bookmarkEnd w:id="50"/>
    </w:p>
    <w:p w14:paraId="0C6AA551" w14:textId="7F3DDE2B" w:rsidR="00A638E3" w:rsidRPr="001C1B28" w:rsidRDefault="00A638E3" w:rsidP="00A638E3">
      <w:r w:rsidRPr="001C1B28">
        <w:t xml:space="preserve">La neutralité invoquée ici est </w:t>
      </w:r>
      <w:r w:rsidRPr="008D517D">
        <w:t>idéologique</w:t>
      </w:r>
      <w:r w:rsidRPr="001C1B28">
        <w:t xml:space="preserve">, dans la mesure où elle constitue le socle convictionnel sur lequel repose </w:t>
      </w:r>
      <w:r w:rsidR="00D560F0">
        <w:t>l’éthique</w:t>
      </w:r>
      <w:r w:rsidRPr="001C1B28">
        <w:t xml:space="preserve"> de l’entreprise.</w:t>
      </w:r>
      <w:r w:rsidR="00E932A1" w:rsidRPr="001C1B28">
        <w:t xml:space="preserve"> </w:t>
      </w:r>
      <w:r w:rsidRPr="001C1B28">
        <w:t xml:space="preserve">Cette entreprise de tendance neutre s’inscrit par ailleurs dans une perspective essentiellement </w:t>
      </w:r>
      <w:r w:rsidRPr="008D517D">
        <w:t>interne</w:t>
      </w:r>
      <w:r w:rsidRPr="001C1B28">
        <w:t> : la neutralité y est avant tout invoquée par et pour l’entreprise, en tant qu’éthique interne à la communauté de travail.</w:t>
      </w:r>
    </w:p>
    <w:p w14:paraId="7254D922" w14:textId="14ACCEC4" w:rsidR="00A638E3" w:rsidRDefault="00D560F0" w:rsidP="00A638E3">
      <w:r>
        <w:t xml:space="preserve">Cette </w:t>
      </w:r>
      <w:r w:rsidR="00E932A1">
        <w:t>i</w:t>
      </w:r>
      <w:r w:rsidR="00A638E3">
        <w:t xml:space="preserve">nvocation idéologique de la neutralité se rattache à </w:t>
      </w:r>
      <w:r w:rsidR="00A638E3" w:rsidRPr="00E74ED6">
        <w:t>l’idée d’horizontalisation</w:t>
      </w:r>
      <w:r w:rsidR="00A638E3" w:rsidRPr="00E74ED6">
        <w:fldChar w:fldCharType="begin"/>
      </w:r>
      <w:r w:rsidR="00A638E3" w:rsidRPr="00E74ED6">
        <w:instrText xml:space="preserve"> XE "</w:instrText>
      </w:r>
      <w:r w:rsidR="00A638E3" w:rsidRPr="00E74ED6">
        <w:rPr>
          <w:rFonts w:eastAsia="Times New Roman" w:cs="Calibri"/>
          <w:color w:val="000000"/>
          <w:lang w:eastAsia="fr-BE"/>
        </w:rPr>
        <w:instrText>Horizontalisation"</w:instrText>
      </w:r>
      <w:r w:rsidR="00A638E3" w:rsidRPr="00E74ED6">
        <w:instrText xml:space="preserve"> </w:instrText>
      </w:r>
      <w:r w:rsidR="00A638E3" w:rsidRPr="00E74ED6">
        <w:fldChar w:fldCharType="end"/>
      </w:r>
      <w:r w:rsidR="00A638E3" w:rsidRPr="00E74ED6">
        <w:t>-privatisation</w:t>
      </w:r>
      <w:r w:rsidR="00A638E3" w:rsidRPr="00E74ED6">
        <w:fldChar w:fldCharType="begin"/>
      </w:r>
      <w:r w:rsidR="00A638E3" w:rsidRPr="00E74ED6">
        <w:instrText xml:space="preserve"> XE "</w:instrText>
      </w:r>
      <w:r w:rsidR="00A638E3" w:rsidRPr="00E74ED6">
        <w:rPr>
          <w:rFonts w:eastAsia="Times New Roman" w:cs="Calibri"/>
          <w:color w:val="000000"/>
          <w:lang w:eastAsia="fr-BE"/>
        </w:rPr>
        <w:instrText>Privatisation"</w:instrText>
      </w:r>
      <w:r w:rsidR="00A638E3" w:rsidRPr="00E74ED6">
        <w:instrText xml:space="preserve"> </w:instrText>
      </w:r>
      <w:r w:rsidR="00A638E3" w:rsidRPr="00E74ED6">
        <w:fldChar w:fldCharType="end"/>
      </w:r>
      <w:r w:rsidR="00A638E3" w:rsidRPr="00E74ED6">
        <w:t xml:space="preserve"> de la neutralité telle qu’évoquée en première</w:t>
      </w:r>
      <w:r w:rsidR="00A638E3">
        <w:t xml:space="preserve"> partie, dans la mesure où le processus d’horizontalisation de la neutralité</w:t>
      </w:r>
      <w:r w:rsidR="00A638E3">
        <w:fldChar w:fldCharType="begin"/>
      </w:r>
      <w:r w:rsidR="00A638E3">
        <w:instrText xml:space="preserve"> XE "</w:instrText>
      </w:r>
      <w:r w:rsidR="00A638E3">
        <w:rPr>
          <w:rFonts w:eastAsia="Times New Roman" w:cs="Calibri"/>
          <w:color w:val="000000"/>
          <w:lang w:eastAsia="fr-BE"/>
        </w:rPr>
        <w:instrText>Horizontalisation:Horizontalisation de la neutralité"</w:instrText>
      </w:r>
      <w:r w:rsidR="00A638E3">
        <w:instrText xml:space="preserve"> </w:instrText>
      </w:r>
      <w:r w:rsidR="00A638E3">
        <w:fldChar w:fldCharType="end"/>
      </w:r>
      <w:r w:rsidR="00A638E3">
        <w:t xml:space="preserve"> de l’État vers l’entreprise s’accompagne ici d’un mouvement d’autonomisation du sens donné à cette même neutralité : celle-ci perd son statut de principe juridique de « non-confessionnalité » et d’impartialité de l’État pour devenir une conviction sur laquelle se fonde l’éthique de l’entreprise, et impliquant un devoir renforcé de loyauté des travailleurs.</w:t>
      </w:r>
    </w:p>
    <w:p w14:paraId="3C1ADCD8" w14:textId="3CE18A39" w:rsidR="00A638E3" w:rsidRDefault="00E932A1" w:rsidP="001C1B28">
      <w:pPr>
        <w:pStyle w:val="Paragraphedeliste"/>
      </w:pPr>
      <w:bookmarkStart w:id="51" w:name="_Ref121319489"/>
      <w:r>
        <w:t>Cette</w:t>
      </w:r>
      <w:r w:rsidR="00A638E3">
        <w:t xml:space="preserve"> « </w:t>
      </w:r>
      <w:proofErr w:type="spellStart"/>
      <w:r w:rsidR="00A638E3" w:rsidRPr="008D517D">
        <w:t>convictionnalisation</w:t>
      </w:r>
      <w:proofErr w:type="spellEnd"/>
      <w:r w:rsidR="00A638E3">
        <w:t> » de la neutralité place ainsi l’entreprise dans la position d’un sujet titulaire de convictions propres, indépendamment des convictions portées par ses travailleurs. En cela, l’irruption de la neutralité idéologique opère une « </w:t>
      </w:r>
      <w:r w:rsidR="00A638E3" w:rsidRPr="00EC434D">
        <w:t>nouvelle configuration</w:t>
      </w:r>
      <w:r w:rsidR="00A638E3">
        <w:t> »</w:t>
      </w:r>
      <w:r w:rsidR="00A638E3">
        <w:rPr>
          <w:rStyle w:val="Appelnotedebasdep"/>
        </w:rPr>
        <w:footnoteReference w:id="296"/>
      </w:r>
      <w:r w:rsidR="00A638E3">
        <w:t xml:space="preserve"> de la conflictualité du religieux en entreprise : contrairement aux deux modèles précédents, il n’est plus question d’un arbitrage entre la liberté économique de l’entreprise et les droits fondamentaux à la </w:t>
      </w:r>
      <w:r w:rsidR="00A638E3">
        <w:lastRenderedPageBreak/>
        <w:t xml:space="preserve">religion de l’employé, mais bien d’un arbitrage </w:t>
      </w:r>
      <w:r w:rsidR="00A638E3" w:rsidRPr="00EC434D">
        <w:t>entre deux libertés religieuses</w:t>
      </w:r>
      <w:r w:rsidR="00A638E3">
        <w:t>. La </w:t>
      </w:r>
      <w:proofErr w:type="spellStart"/>
      <w:r w:rsidR="00A638E3">
        <w:t>convictionnalisation</w:t>
      </w:r>
      <w:proofErr w:type="spellEnd"/>
      <w:r w:rsidR="00A638E3">
        <w:t xml:space="preserve"> de l’entreprise – ou, à tout le moins, de l’employeur – constituerait en ce sens l’une des illustrations d’une « guerre des consciences » (</w:t>
      </w:r>
      <w:r w:rsidR="00A638E3" w:rsidRPr="00EC434D">
        <w:t>« </w:t>
      </w:r>
      <w:r w:rsidR="00A638E3" w:rsidRPr="00EC434D">
        <w:rPr>
          <w:i/>
          <w:iCs/>
        </w:rPr>
        <w:t>conscience</w:t>
      </w:r>
      <w:r w:rsidR="00A638E3">
        <w:rPr>
          <w:i/>
          <w:iCs/>
        </w:rPr>
        <w:fldChar w:fldCharType="begin"/>
      </w:r>
      <w:r w:rsidR="00A638E3">
        <w:rPr>
          <w:i/>
          <w:iCs/>
        </w:rPr>
        <w:instrText xml:space="preserve"> XE "</w:instrText>
      </w:r>
      <w:r w:rsidR="00A638E3" w:rsidRPr="00821CE3">
        <w:rPr>
          <w:rFonts w:eastAsia="Times New Roman" w:cs="Calibri"/>
          <w:color w:val="000000"/>
          <w:lang w:eastAsia="fr-BE"/>
        </w:rPr>
        <w:instrText>Conscienc</w:instrText>
      </w:r>
      <w:r w:rsidR="00A638E3">
        <w:rPr>
          <w:rFonts w:eastAsia="Times New Roman" w:cs="Calibri"/>
          <w:color w:val="000000"/>
          <w:lang w:eastAsia="fr-BE"/>
        </w:rPr>
        <w:instrText>e"</w:instrText>
      </w:r>
      <w:r w:rsidR="00A638E3">
        <w:rPr>
          <w:i/>
          <w:iCs/>
        </w:rPr>
        <w:instrText xml:space="preserve"> </w:instrText>
      </w:r>
      <w:r w:rsidR="00A638E3">
        <w:rPr>
          <w:i/>
          <w:iCs/>
        </w:rPr>
        <w:fldChar w:fldCharType="end"/>
      </w:r>
      <w:r w:rsidR="00A638E3" w:rsidRPr="00EC434D">
        <w:rPr>
          <w:i/>
          <w:iCs/>
        </w:rPr>
        <w:t xml:space="preserve"> </w:t>
      </w:r>
      <w:proofErr w:type="spellStart"/>
      <w:r w:rsidR="00A638E3" w:rsidRPr="00EC434D">
        <w:rPr>
          <w:i/>
          <w:iCs/>
        </w:rPr>
        <w:t>wars</w:t>
      </w:r>
      <w:proofErr w:type="spellEnd"/>
      <w:r w:rsidR="00A638E3" w:rsidRPr="00EC434D">
        <w:t> »</w:t>
      </w:r>
      <w:r w:rsidR="00A638E3">
        <w:rPr>
          <w:rStyle w:val="Appelnotedebasdep"/>
        </w:rPr>
        <w:footnoteReference w:id="297"/>
      </w:r>
      <w:r w:rsidR="00A638E3">
        <w:t>) opposant plus largement les individus autour des questions convictionnelles dans la société</w:t>
      </w:r>
      <w:r w:rsidR="00D560F0">
        <w:t xml:space="preserve"> contemporaine</w:t>
      </w:r>
      <w:r w:rsidR="00A638E3">
        <w:t>.</w:t>
      </w:r>
      <w:bookmarkEnd w:id="51"/>
    </w:p>
    <w:p w14:paraId="1227CB38" w14:textId="763E1D5E" w:rsidR="002902A0" w:rsidRPr="002902A0" w:rsidRDefault="00A638E3" w:rsidP="008D517D">
      <w:pPr>
        <w:pStyle w:val="Paragraphedeliste"/>
      </w:pPr>
      <w:r>
        <w:t>Si la notion d’entreprise de tendance</w:t>
      </w:r>
      <w:r>
        <w:fldChar w:fldCharType="begin"/>
      </w:r>
      <w:r>
        <w:instrText xml:space="preserve"> XE "</w:instrText>
      </w:r>
      <w:r w:rsidRPr="00163350">
        <w:rPr>
          <w:rFonts w:eastAsia="Times New Roman" w:cs="Calibri"/>
          <w:color w:val="000000"/>
          <w:lang w:eastAsia="fr-BE"/>
        </w:rPr>
        <w:instrText>Entreprise de tendance"</w:instrText>
      </w:r>
      <w:r>
        <w:instrText xml:space="preserve"> </w:instrText>
      </w:r>
      <w:r>
        <w:fldChar w:fldCharType="end"/>
      </w:r>
      <w:r>
        <w:t xml:space="preserve"> fait l’objet d’une reconnaissance certaine dans le droit européen de l’UE et de la CEDH, l’hypothèse d’une entreprise de tendance neutre</w:t>
      </w:r>
      <w:r>
        <w:fldChar w:fldCharType="begin"/>
      </w:r>
      <w:r>
        <w:instrText xml:space="preserve"> XE "</w:instrText>
      </w:r>
      <w:r w:rsidRPr="00163350">
        <w:rPr>
          <w:rFonts w:eastAsia="Times New Roman" w:cs="Calibri"/>
          <w:color w:val="000000"/>
          <w:lang w:eastAsia="fr-BE"/>
        </w:rPr>
        <w:instrText>Entreprise de tendance:Entreprise de tendance neutre"</w:instrText>
      </w:r>
      <w:r>
        <w:instrText xml:space="preserve"> </w:instrText>
      </w:r>
      <w:r>
        <w:fldChar w:fldCharType="end"/>
      </w:r>
      <w:r>
        <w:t xml:space="preserve"> est quant à elle bien plus sujette à débat.</w:t>
      </w:r>
      <w:r w:rsidR="00163350">
        <w:t xml:space="preserve"> </w:t>
      </w:r>
      <w:r w:rsidR="002902A0">
        <w:t>Après avoir apprécié la légitimité de la neutralité religieuse comme tendance d’entreprise</w:t>
      </w:r>
      <w:r w:rsidR="00C63A37">
        <w:t xml:space="preserve"> (a)</w:t>
      </w:r>
      <w:r w:rsidR="002902A0">
        <w:t xml:space="preserve">, nous </w:t>
      </w:r>
      <w:r w:rsidR="005E2229">
        <w:t>évoquerons</w:t>
      </w:r>
      <w:r w:rsidR="002902A0">
        <w:t xml:space="preserve"> l’affaire </w:t>
      </w:r>
      <w:r w:rsidR="002902A0" w:rsidRPr="00163350">
        <w:rPr>
          <w:i/>
          <w:iCs/>
        </w:rPr>
        <w:t>Baby Loup</w:t>
      </w:r>
      <w:r w:rsidR="005E2229">
        <w:t>, en tant qu’</w:t>
      </w:r>
      <w:r w:rsidR="00C63A37">
        <w:t>hypothèse concrète d’entreprise de tendance neutre (b).</w:t>
      </w:r>
    </w:p>
    <w:p w14:paraId="241341A7" w14:textId="6B616CDB" w:rsidR="00A638E3" w:rsidRDefault="00A638E3" w:rsidP="008F46FF">
      <w:pPr>
        <w:pStyle w:val="Titre4"/>
        <w:numPr>
          <w:ilvl w:val="0"/>
          <w:numId w:val="23"/>
        </w:numPr>
      </w:pPr>
      <w:r w:rsidRPr="00A638E3">
        <w:t>Légitimité de la neutralité comme tendance d’entreprise</w:t>
      </w:r>
    </w:p>
    <w:p w14:paraId="0E211FD0" w14:textId="77777777" w:rsidR="00CB6F4E" w:rsidRDefault="00CB6F4E" w:rsidP="001C1B28">
      <w:pPr>
        <w:pStyle w:val="Paragraphedeliste"/>
      </w:pPr>
      <w:r>
        <w:t>Des quatre hypothèses d’entreprise neutre envisagées,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constitue sans conteste l’hypothèse la plus discutée – ou, en d’autres termes, la moins évidente. D’un point de vue conceptuel, une telle reconnaissance implique en effet que soit préalablement admise l’existence d’une tendance convictionnelle se rapportant à la neutralité religieuse ou convictionnelle. L’idée d’une tendance neutre soulève en cela la question de son articulation avec les divers modèles de neutralité de l’État. Par ailleurs, outre cet enjeu conceptuel, la forme concrète que pourrait revêtir l’entreprise de tendance neutre n’a rien de plus évident.</w:t>
      </w:r>
    </w:p>
    <w:p w14:paraId="27CE2ABB" w14:textId="5A0824F8" w:rsidR="00CB6F4E" w:rsidRDefault="00CB6F4E" w:rsidP="00CB6F4E">
      <w:r>
        <w:t>Nonobstant ces difficultés liminaires,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a pu recevoir un écho de moins en moins négligeable au sein de la doctrine juridique</w:t>
      </w:r>
      <w:r>
        <w:rPr>
          <w:rStyle w:val="Appelnotedebasdep"/>
        </w:rPr>
        <w:footnoteReference w:id="298"/>
      </w:r>
      <w:r>
        <w:t xml:space="preserve"> ces dernières années, de même que, dans une moindre mesure, dans certaines jurisprudences belges</w:t>
      </w:r>
      <w:r>
        <w:rPr>
          <w:rStyle w:val="Appelnotedebasdep"/>
        </w:rPr>
        <w:footnoteReference w:id="299"/>
      </w:r>
      <w:r>
        <w:t xml:space="preserve"> et françaises</w:t>
      </w:r>
      <w:r>
        <w:rPr>
          <w:rStyle w:val="Appelnotedebasdep"/>
        </w:rPr>
        <w:footnoteReference w:id="300"/>
      </w:r>
      <w:r>
        <w:t>.</w:t>
      </w:r>
    </w:p>
    <w:p w14:paraId="2B4A1C4E" w14:textId="70174D4F" w:rsidR="00CB6F4E" w:rsidRDefault="00CB6F4E" w:rsidP="00CB6F4E">
      <w:r w:rsidRPr="00563B96">
        <w:t>Pour apprécier la légitimité de l’entreprise de tendance</w:t>
      </w:r>
      <w:r w:rsidRPr="00563B96">
        <w:fldChar w:fldCharType="begin"/>
      </w:r>
      <w:r w:rsidRPr="00563B96">
        <w:instrText xml:space="preserve"> XE "</w:instrText>
      </w:r>
      <w:r w:rsidRPr="00563B96">
        <w:rPr>
          <w:rFonts w:eastAsia="Times New Roman" w:cs="Calibri"/>
          <w:color w:val="000000"/>
          <w:lang w:eastAsia="fr-BE"/>
        </w:rPr>
        <w:instrText>Entreprise de tendance"</w:instrText>
      </w:r>
      <w:r w:rsidRPr="00563B96">
        <w:instrText xml:space="preserve"> </w:instrText>
      </w:r>
      <w:r w:rsidRPr="00563B96">
        <w:fldChar w:fldCharType="end"/>
      </w:r>
      <w:r w:rsidRPr="00563B96">
        <w:t xml:space="preserve"> neutre</w:t>
      </w:r>
      <w:r w:rsidRPr="00563B96">
        <w:fldChar w:fldCharType="begin"/>
      </w:r>
      <w:r w:rsidRPr="00563B96">
        <w:instrText xml:space="preserve"> XE "</w:instrText>
      </w:r>
      <w:r w:rsidRPr="00563B96">
        <w:rPr>
          <w:rFonts w:eastAsia="Times New Roman" w:cs="Calibri"/>
          <w:color w:val="000000"/>
          <w:lang w:eastAsia="fr-BE"/>
        </w:rPr>
        <w:instrText>Entreprise de tendance:Entreprise de tendance neutre"</w:instrText>
      </w:r>
      <w:r w:rsidRPr="00563B96">
        <w:instrText xml:space="preserve"> </w:instrText>
      </w:r>
      <w:r w:rsidRPr="00563B96">
        <w:fldChar w:fldCharType="end"/>
      </w:r>
      <w:r w:rsidRPr="00563B96">
        <w:t xml:space="preserve">, nous examinerons </w:t>
      </w:r>
      <w:r w:rsidR="00233D39" w:rsidRPr="00563B96">
        <w:t>deux</w:t>
      </w:r>
      <w:r w:rsidRPr="00563B96">
        <w:t xml:space="preserve"> objections formulées récurremment à son propos : d’une part, la neutralité ne pourrait être considérée comme une tendance dès lors qu’elle signifie précisément l’absence de conviction ; en outre, la neutralité serait un principe juridique qui échoit à l’État et non à l’entreprise</w:t>
      </w:r>
      <w:r w:rsidR="00233D39" w:rsidRPr="00563B96">
        <w:t>.</w:t>
      </w:r>
      <w:r w:rsidR="00792906">
        <w:t xml:space="preserve"> Enfin, nous envisagerons plus concrètement le type d’entreprise pouvant revendiquer une tendance neutre.</w:t>
      </w:r>
    </w:p>
    <w:p w14:paraId="6BAE6A0E" w14:textId="103075F8" w:rsidR="00233D39" w:rsidRDefault="00233D39" w:rsidP="00563B96">
      <w:pPr>
        <w:pStyle w:val="Titre5"/>
      </w:pPr>
      <w:bookmarkStart w:id="53" w:name="_Toc91763352"/>
      <w:r>
        <w:t>L’absence de conviction peut-elle devenir une tendance ?</w:t>
      </w:r>
      <w:bookmarkEnd w:id="53"/>
    </w:p>
    <w:p w14:paraId="1D277A79" w14:textId="4B7A92DD" w:rsidR="00233D39" w:rsidRDefault="00233D39" w:rsidP="008D0AA6">
      <w:pPr>
        <w:pStyle w:val="Paragraphedeliste"/>
      </w:pPr>
      <w:r>
        <w:t>La première des deux objections conceptuelles à la reconnaissance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revient à insister sur le fait que la neutralité – ni même la laïcité – ne peut être invoquée comme tendance</w:t>
      </w:r>
      <w:r w:rsidR="00163350">
        <w:t xml:space="preserve"> ou conviction</w:t>
      </w:r>
      <w:r>
        <w:t xml:space="preserve">, dès lors que celle-ci consiste </w:t>
      </w:r>
      <w:r w:rsidR="00163350">
        <w:t xml:space="preserve">précisément </w:t>
      </w:r>
      <w:r>
        <w:t>en l’absence de convictions.</w:t>
      </w:r>
    </w:p>
    <w:p w14:paraId="0E923047" w14:textId="1E5B2EB7" w:rsidR="00233D39" w:rsidRPr="00EC7F50" w:rsidRDefault="00233D39" w:rsidP="00233D39">
      <w:r>
        <w:t xml:space="preserve">Ainsi, dans son avis rendu – dans le contexte de l’affaire </w:t>
      </w:r>
      <w:r w:rsidRPr="00162DBF">
        <w:rPr>
          <w:i/>
          <w:iCs/>
        </w:rPr>
        <w:t>Baby Loup</w:t>
      </w:r>
      <w:r>
        <w:rPr>
          <w:i/>
          <w:iCs/>
        </w:rPr>
        <w:t xml:space="preserve"> </w:t>
      </w:r>
      <w:r>
        <w:t>– au sujet de « </w:t>
      </w:r>
      <w:r w:rsidRPr="0004709E">
        <w:t>l’encadrement du fait religieux dans les structures privées qui assurent une mission d’accueil des enfants</w:t>
      </w:r>
      <w:r>
        <w:t> », l’</w:t>
      </w:r>
      <w:r w:rsidR="00FA1CBB">
        <w:t xml:space="preserve">ancien </w:t>
      </w:r>
      <w:r>
        <w:t>Observatoire de la laïcité considère antinomique l’idée d’une tendance neutre ou laïque</w:t>
      </w:r>
      <w:r w:rsidR="00512B97">
        <w:t> :</w:t>
      </w:r>
    </w:p>
    <w:p w14:paraId="1952CFBD" w14:textId="77777777" w:rsidR="00233D39" w:rsidRDefault="00233D39" w:rsidP="00233D39">
      <w:pPr>
        <w:pStyle w:val="Citation1"/>
      </w:pPr>
      <w:r>
        <w:lastRenderedPageBreak/>
        <w:t>[…] l</w:t>
      </w:r>
      <w:r w:rsidRPr="00EC7F50">
        <w:t>a laïcité</w:t>
      </w:r>
      <w:r>
        <w:t xml:space="preserve"> [de l’État]</w:t>
      </w:r>
      <w:r w:rsidRPr="00EC7F50">
        <w:t xml:space="preserve"> incarne la neutralité vis-à-vis du fait religieux. Or, </w:t>
      </w:r>
      <w:r>
        <w:t>« </w:t>
      </w:r>
      <w:r w:rsidRPr="00EC7F50">
        <w:t>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rsidRPr="00EC7F50">
        <w:t xml:space="preserve"> » requiert une adhésion du salarié à une idéologie, à une morale ou encore à une politique. C’est donc le contraire de la neutralité. La laïcité n’est pas une opinion ni une croyance mais une valeur commune.</w:t>
      </w:r>
      <w:r>
        <w:rPr>
          <w:rStyle w:val="Appelnotedebasdep"/>
        </w:rPr>
        <w:footnoteReference w:id="301"/>
      </w:r>
    </w:p>
    <w:p w14:paraId="18F84521" w14:textId="289CC008" w:rsidR="00233D39" w:rsidRDefault="00233D39" w:rsidP="00233D39">
      <w:r>
        <w:t>En résumé,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ou laïque ne serait finalement rien de moins qu’un « oxymore »</w:t>
      </w:r>
      <w:r>
        <w:rPr>
          <w:rStyle w:val="Appelnotedebasdep"/>
        </w:rPr>
        <w:footnoteReference w:id="302"/>
      </w:r>
      <w:r>
        <w:t>.</w:t>
      </w:r>
    </w:p>
    <w:p w14:paraId="0780B0B3" w14:textId="6C1B757C" w:rsidR="00233D39" w:rsidRDefault="00233D39" w:rsidP="008D0AA6">
      <w:pPr>
        <w:pStyle w:val="Paragraphedeliste"/>
      </w:pPr>
      <w:r>
        <w:t xml:space="preserve">Ce passage d’une neutralité-instrument à une neutralité-conviction n’emporte toutefois pas la même difficulté conceptuelle, selon que l’on se situe en France ou en Belgique. Si l’on sait combien l’un et l’autre pays n’échappent pas à certaines formes de </w:t>
      </w:r>
      <w:proofErr w:type="spellStart"/>
      <w:r>
        <w:t>convictionnalisation</w:t>
      </w:r>
      <w:proofErr w:type="spellEnd"/>
      <w:r>
        <w:t xml:space="preserve"> </w:t>
      </w:r>
      <w:r w:rsidR="00E55DD0">
        <w:t>de la</w:t>
      </w:r>
      <w:r>
        <w:t xml:space="preserve"> laïcité, reste que le droit belge comprend, au contraire du droit français, la reconnaissance formelle d’une laïcité dite « organisée », en tant que courant convictionnel spécifique</w:t>
      </w:r>
      <w:r>
        <w:rPr>
          <w:rStyle w:val="Appelnotedebasdep"/>
        </w:rPr>
        <w:footnoteReference w:id="303"/>
      </w:r>
      <w:r w:rsidR="00512B97">
        <w:t>.</w:t>
      </w:r>
    </w:p>
    <w:p w14:paraId="6F076EDC" w14:textId="442B797C" w:rsidR="00233D39" w:rsidRDefault="00233D39" w:rsidP="008D0AA6">
      <w:pPr>
        <w:pStyle w:val="Paragraphedeliste"/>
      </w:pPr>
      <w:r>
        <w:t xml:space="preserve">La question </w:t>
      </w:r>
      <w:r w:rsidR="00C26096">
        <w:t>de</w:t>
      </w:r>
      <w:r>
        <w:t xml:space="preserve"> la pertinence et la légitimité d’une invocation de la neutralité en tant que conviction à part entière</w:t>
      </w:r>
      <w:r w:rsidR="005A4FF3">
        <w:t xml:space="preserve"> </w:t>
      </w:r>
      <w:r>
        <w:t xml:space="preserve">renvoie elle-même à celle du champ matériel de la notion de religion, tel qu’entendu par l’article 9 de la CEDH. L’on rappellera à cet égard que cette disposition, dans sa perspective prioritairement subjective, couvre d’autres convictions ultimes que les seules convictions religieuses </w:t>
      </w:r>
      <w:r>
        <w:rPr>
          <w:i/>
          <w:iCs/>
        </w:rPr>
        <w:t>stricto sensu</w:t>
      </w:r>
      <w:r>
        <w:rPr>
          <w:rStyle w:val="Appelnotedebasdep"/>
        </w:rPr>
        <w:footnoteReference w:id="304"/>
      </w:r>
      <w:r w:rsidR="00512B97">
        <w:rPr>
          <w:i/>
          <w:iCs/>
        </w:rPr>
        <w:t>.</w:t>
      </w:r>
      <w:r>
        <w:t xml:space="preserve"> Eu égard à la « conviction neutre », la difficulté tient toutefois au fait que, d’un point de vue terminologique, le contenu d’une telle conviction semble en effet viser… l’absence de conviction. Ne convient-il dès lors pas de dépasser cet obstacle linguistique et de prendre au sérieux, derrière ce vocable ambigu, le contenu de la conviction invoquée ? La neutralité viserait non pas l’absence de conviction, mais bien la conviction d’une personne athée, areligieuse, voire antireligieuse, impliquant la volonté d’être à l’abri de toute représentation religieuse, afin de ne pas être malmené dans sa sensibilité convictionnelle. Admettre l’hypothèse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reviendrait dans ce cas à permettre à une entreprise non religieuse, mais non moins engagée du point de vue des convictions, de fonder son éthique sur une « </w:t>
      </w:r>
      <w:r w:rsidRPr="00967BD3">
        <w:t>philosophie du silence sur le religieux, ou de maintien du religieux hors de la sphère de la vie en commun</w:t>
      </w:r>
      <w:r>
        <w:t> »</w:t>
      </w:r>
      <w:r w:rsidRPr="00967BD3">
        <w:rPr>
          <w:vertAlign w:val="superscript"/>
        </w:rPr>
        <w:footnoteReference w:id="305"/>
      </w:r>
      <w:r>
        <w:t>.</w:t>
      </w:r>
    </w:p>
    <w:p w14:paraId="0B34D1BB" w14:textId="0577848D" w:rsidR="00233D39" w:rsidRDefault="00233D39" w:rsidP="008D0AA6">
      <w:pPr>
        <w:pStyle w:val="Paragraphedeliste"/>
      </w:pPr>
      <w:r>
        <w:lastRenderedPageBreak/>
        <w:t xml:space="preserve">Cependant, même à admettre la pertinence et la légitimité de principe de cette neutralité </w:t>
      </w:r>
      <w:proofErr w:type="spellStart"/>
      <w:r>
        <w:t>convictionnalisée</w:t>
      </w:r>
      <w:proofErr w:type="spellEnd"/>
      <w:r>
        <w:t>, encore s’</w:t>
      </w:r>
      <w:proofErr w:type="spellStart"/>
      <w:r>
        <w:t>agira-t-il</w:t>
      </w:r>
      <w:proofErr w:type="spellEnd"/>
      <w:r>
        <w:t xml:space="preserve"> de démontrer, </w:t>
      </w:r>
      <w:r>
        <w:rPr>
          <w:i/>
          <w:iCs/>
        </w:rPr>
        <w:t xml:space="preserve">in </w:t>
      </w:r>
      <w:proofErr w:type="spellStart"/>
      <w:r>
        <w:rPr>
          <w:i/>
          <w:iCs/>
        </w:rPr>
        <w:t>casu</w:t>
      </w:r>
      <w:proofErr w:type="spellEnd"/>
      <w:r>
        <w:t>, la sincérité d’une telle conviction dans le chef de l’entreprise. Le risque existe en effet que cette « croyance séculière »</w:t>
      </w:r>
      <w:r>
        <w:rPr>
          <w:rStyle w:val="Appelnotedebasdep"/>
        </w:rPr>
        <w:footnoteReference w:id="306"/>
      </w:r>
      <w:r>
        <w:t xml:space="preserve"> soit invoquée de manière opportuniste par l’employeur désireux de donner un fondement solide à sa volonté d’exclure certaines convictions de la sphère de travail, sans pour autant que cette volonté soit le reflet d’une véritable éthique convictionnelle sincère et profonde</w:t>
      </w:r>
      <w:r w:rsidR="00193C74">
        <w:rPr>
          <w:rStyle w:val="Appelnotedebasdep"/>
        </w:rPr>
        <w:footnoteReference w:id="307"/>
      </w:r>
      <w:r>
        <w:t>. L’on perçoit la difficulté consistant à distinguer l’idéologisation</w:t>
      </w:r>
      <w:r>
        <w:fldChar w:fldCharType="begin"/>
      </w:r>
      <w:r>
        <w:instrText xml:space="preserve"> XE "</w:instrText>
      </w:r>
      <w:r w:rsidRPr="00821CE3">
        <w:rPr>
          <w:rFonts w:eastAsia="Times New Roman" w:cs="Calibri"/>
          <w:color w:val="000000"/>
          <w:lang w:eastAsia="fr-BE"/>
        </w:rPr>
        <w:instrText>Idéologisation</w:instrText>
      </w:r>
      <w:r>
        <w:rPr>
          <w:rFonts w:eastAsia="Times New Roman" w:cs="Calibri"/>
          <w:color w:val="000000"/>
          <w:lang w:eastAsia="fr-BE"/>
        </w:rPr>
        <w:instrText>"</w:instrText>
      </w:r>
      <w:r>
        <w:instrText xml:space="preserve"> </w:instrText>
      </w:r>
      <w:r>
        <w:fldChar w:fldCharType="end"/>
      </w:r>
      <w:r>
        <w:t xml:space="preserve"> opportuniste de la neutralité de la « conviction neutre » sincèrement vécue et appliquée de manière cohérente</w:t>
      </w:r>
      <w:r w:rsidR="00193C74">
        <w:rPr>
          <w:rStyle w:val="Appelnotedebasdep"/>
        </w:rPr>
        <w:footnoteReference w:id="308"/>
      </w:r>
      <w:r w:rsidR="00EE2889">
        <w:t>.</w:t>
      </w:r>
    </w:p>
    <w:p w14:paraId="045EA451" w14:textId="6C17B56D" w:rsidR="00233D39" w:rsidRDefault="00233D39" w:rsidP="00563B96">
      <w:pPr>
        <w:pStyle w:val="Titre5"/>
      </w:pPr>
      <w:bookmarkStart w:id="54" w:name="_Toc91763353"/>
      <w:r>
        <w:t>La neutralité de l’État peut-elle devenir une tendance ?</w:t>
      </w:r>
      <w:bookmarkEnd w:id="54"/>
    </w:p>
    <w:p w14:paraId="3DD25F70" w14:textId="6981E908" w:rsidR="00233D39" w:rsidRPr="001F0657" w:rsidRDefault="00233D39" w:rsidP="008D0AA6">
      <w:pPr>
        <w:pStyle w:val="Paragraphedeliste"/>
        <w:rPr>
          <w:iCs/>
        </w:rPr>
      </w:pPr>
      <w:r>
        <w:t>La seconde objection de fond formulée à l’encontre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revient à considérer que la neutralité, en tant que principe juridique, n’est applicable qu’à l’État, et ne peut donc être mobilisée par l’entreprise privée en tant que tendance convictionnelle</w:t>
      </w:r>
      <w:r w:rsidR="00615483">
        <w:rPr>
          <w:rStyle w:val="Appelnotedebasdep"/>
        </w:rPr>
        <w:footnoteReference w:id="309"/>
      </w:r>
      <w:r>
        <w:t>. L’entreprise de tendance neutre affaiblirait ainsi la neutralité de l’État</w:t>
      </w:r>
      <w:r w:rsidR="008564B2">
        <w:t xml:space="preserve"> en</w:t>
      </w:r>
      <w:r>
        <w:t xml:space="preserve"> réduisant ce principe fondamental « à une simple conviction de tendance »</w:t>
      </w:r>
      <w:r>
        <w:rPr>
          <w:rStyle w:val="Appelnotedebasdep"/>
        </w:rPr>
        <w:footnoteReference w:id="310"/>
      </w:r>
      <w:r>
        <w:t>.</w:t>
      </w:r>
    </w:p>
    <w:p w14:paraId="2A8E942D" w14:textId="27F29A4B" w:rsidR="00233D39" w:rsidRDefault="007026A4" w:rsidP="00233D39">
      <w:r>
        <w:t>D’aucuns pointent en outre le risque qu’</w:t>
      </w:r>
      <w:r w:rsidR="00233D39">
        <w:t xml:space="preserve">à travers </w:t>
      </w:r>
      <w:r w:rsidR="006754AC">
        <w:t>un</w:t>
      </w:r>
      <w:r w:rsidR="00233D39">
        <w:t xml:space="preserve"> entremêlement paradoxal de la neutralité de l’État et de la neutralité convictionnelle, l’entreprise de tendance</w:t>
      </w:r>
      <w:r w:rsidR="00233D39">
        <w:fldChar w:fldCharType="begin"/>
      </w:r>
      <w:r w:rsidR="00233D39">
        <w:instrText xml:space="preserve"> XE "</w:instrText>
      </w:r>
      <w:r w:rsidR="00233D39" w:rsidRPr="00821CE3">
        <w:rPr>
          <w:rFonts w:eastAsia="Times New Roman" w:cs="Calibri"/>
          <w:color w:val="000000"/>
          <w:lang w:eastAsia="fr-BE"/>
        </w:rPr>
        <w:instrText>Entreprise de tendance</w:instrText>
      </w:r>
      <w:r w:rsidR="00233D39">
        <w:rPr>
          <w:rFonts w:eastAsia="Times New Roman" w:cs="Calibri"/>
          <w:color w:val="000000"/>
          <w:lang w:eastAsia="fr-BE"/>
        </w:rPr>
        <w:instrText>"</w:instrText>
      </w:r>
      <w:r w:rsidR="00233D39">
        <w:instrText xml:space="preserve"> </w:instrText>
      </w:r>
      <w:r w:rsidR="00233D39">
        <w:fldChar w:fldCharType="end"/>
      </w:r>
      <w:r w:rsidR="00233D39">
        <w:t xml:space="preserve"> neutre</w:t>
      </w:r>
      <w:r w:rsidR="00233D39">
        <w:fldChar w:fldCharType="begin"/>
      </w:r>
      <w:r w:rsidR="00233D39">
        <w:instrText xml:space="preserve"> XE "</w:instrText>
      </w:r>
      <w:r w:rsidR="00233D39" w:rsidRPr="00821CE3">
        <w:rPr>
          <w:rFonts w:eastAsia="Times New Roman" w:cs="Calibri"/>
          <w:color w:val="000000"/>
          <w:lang w:eastAsia="fr-BE"/>
        </w:rPr>
        <w:instrText>Entreprise de tendance</w:instrText>
      </w:r>
      <w:r w:rsidR="00233D39">
        <w:rPr>
          <w:rFonts w:eastAsia="Times New Roman" w:cs="Calibri"/>
          <w:color w:val="000000"/>
          <w:lang w:eastAsia="fr-BE"/>
        </w:rPr>
        <w:instrText>:Entreprise de t</w:instrText>
      </w:r>
      <w:r w:rsidR="00233D39" w:rsidRPr="00821CE3">
        <w:rPr>
          <w:rFonts w:eastAsia="Times New Roman" w:cs="Calibri"/>
          <w:color w:val="000000"/>
          <w:lang w:eastAsia="fr-BE"/>
        </w:rPr>
        <w:instrText>endance neutre</w:instrText>
      </w:r>
      <w:r w:rsidR="00233D39">
        <w:rPr>
          <w:rFonts w:eastAsia="Times New Roman" w:cs="Calibri"/>
          <w:color w:val="000000"/>
          <w:lang w:eastAsia="fr-BE"/>
        </w:rPr>
        <w:instrText>"</w:instrText>
      </w:r>
      <w:r w:rsidR="00233D39">
        <w:instrText xml:space="preserve"> </w:instrText>
      </w:r>
      <w:r w:rsidR="00233D39">
        <w:fldChar w:fldCharType="end"/>
      </w:r>
      <w:r w:rsidR="00233D39">
        <w:t xml:space="preserve"> </w:t>
      </w:r>
      <w:r>
        <w:t>apparaisse</w:t>
      </w:r>
      <w:r w:rsidR="00233D39">
        <w:t xml:space="preserve"> comme le « cheval de Troie »</w:t>
      </w:r>
      <w:r w:rsidR="00233D39">
        <w:rPr>
          <w:rStyle w:val="Appelnotedebasdep"/>
        </w:rPr>
        <w:footnoteReference w:id="311"/>
      </w:r>
      <w:r w:rsidR="00233D39">
        <w:t xml:space="preserve"> d’une laïcité « de combat », sinon « discriminatoire »</w:t>
      </w:r>
      <w:r w:rsidR="00233D39">
        <w:rPr>
          <w:rStyle w:val="Appelnotedebasdep"/>
        </w:rPr>
        <w:footnoteReference w:id="312"/>
      </w:r>
      <w:r w:rsidR="00233D39">
        <w:t xml:space="preserve"> au sein de l’entreprise privée</w:t>
      </w:r>
      <w:r>
        <w:rPr>
          <w:rStyle w:val="Appelnotedebasdep"/>
        </w:rPr>
        <w:footnoteReference w:id="313"/>
      </w:r>
      <w:r>
        <w:t>.</w:t>
      </w:r>
      <w:r w:rsidR="00A4032C">
        <w:t xml:space="preserve"> </w:t>
      </w:r>
      <w:r w:rsidR="00233D39">
        <w:t xml:space="preserve">Dans </w:t>
      </w:r>
      <w:r w:rsidR="0059121A">
        <w:t>cette même perspective</w:t>
      </w:r>
      <w:r w:rsidR="00233D39">
        <w:t xml:space="preserve">, </w:t>
      </w:r>
      <w:r w:rsidR="0059121A">
        <w:t xml:space="preserve">une </w:t>
      </w:r>
      <w:proofErr w:type="spellStart"/>
      <w:r w:rsidR="00233D39">
        <w:t>convictionnalisation</w:t>
      </w:r>
      <w:proofErr w:type="spellEnd"/>
      <w:r w:rsidR="00233D39">
        <w:t xml:space="preserve"> de la laïcité pourrait</w:t>
      </w:r>
      <w:r w:rsidR="0059121A">
        <w:t xml:space="preserve"> simultanément</w:t>
      </w:r>
      <w:r w:rsidR="00233D39">
        <w:t xml:space="preserve"> opérer des effets largement contre-productifs quant au respect de la neutralité de l’État</w:t>
      </w:r>
      <w:r w:rsidR="00233D39">
        <w:rPr>
          <w:rStyle w:val="Appelnotedebasdep"/>
        </w:rPr>
        <w:footnoteReference w:id="314"/>
      </w:r>
      <w:r w:rsidR="00EE2889">
        <w:t>.</w:t>
      </w:r>
    </w:p>
    <w:p w14:paraId="3AD7512C" w14:textId="49C1AD08" w:rsidR="00233D39" w:rsidRDefault="00233D39" w:rsidP="008D0AA6">
      <w:pPr>
        <w:pStyle w:val="Paragraphedeliste"/>
      </w:pPr>
      <w:r>
        <w:t>Face à ces remarques critiques</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la question centrale consiste à savoir dans quelle mesure il est malgré tout possible d’invoquer l’idée de neutralité de manière autonome, en tant que tendance de l’entreprise, hors de toute volonté d’extension de la neutralité de l’État.</w:t>
      </w:r>
    </w:p>
    <w:p w14:paraId="7151E21E" w14:textId="46BD58D0" w:rsidR="00233D39" w:rsidRDefault="00233D39" w:rsidP="00233D39">
      <w:r>
        <w:t>Il s’agirait, pour ce faire, de dépasser la compréhension de la neutralité comme étant exclusivement liée au principe juridique de neutralité de l’État, et de lui donner une acception distincte, en tant que conviction à part entière.</w:t>
      </w:r>
      <w:r>
        <w:rPr>
          <w:rStyle w:val="Appelnotedebasdep"/>
        </w:rPr>
        <w:footnoteReference w:id="315"/>
      </w:r>
    </w:p>
    <w:p w14:paraId="6D5C90A2" w14:textId="77777777" w:rsidR="00233D39" w:rsidRDefault="00233D39" w:rsidP="00233D39">
      <w:r>
        <w:lastRenderedPageBreak/>
        <w:t>Dans cette perspective,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se fraierait un chemin entre deux conceptions erronées de la neutralité et de la laïcité : la première, consistant à considérer que la laïcité, en tant que valeur partagée par une société, a déjà vocation à s’appliquer dans la sphère de l’entreprise privée, en requérant de ses travailleurs la neutralité</w:t>
      </w:r>
      <w:r>
        <w:rPr>
          <w:rStyle w:val="Appelnotedebasdep"/>
        </w:rPr>
        <w:footnoteReference w:id="316"/>
      </w:r>
      <w:r>
        <w:t> ; la seconde, consistant à inférer du principe de neutralité de l’État l’impossibilité pour des particuliers, de se réapproprier la notion afin d’en déduire un modèle convictionnel sur lequel ceux-ci pourraient s’appuyer</w:t>
      </w:r>
      <w:bookmarkStart w:id="55" w:name="_Ref121679103"/>
      <w:r>
        <w:rPr>
          <w:rStyle w:val="Appelnotedebasdep"/>
        </w:rPr>
        <w:footnoteReference w:id="317"/>
      </w:r>
      <w:bookmarkEnd w:id="55"/>
      <w:r>
        <w:t>.</w:t>
      </w:r>
    </w:p>
    <w:p w14:paraId="1FE7F676" w14:textId="4C73E4C7" w:rsidR="00233D39" w:rsidRPr="00FD5A63" w:rsidRDefault="00233D39" w:rsidP="008D517D">
      <w:r>
        <w:t>Au contraire de ces deux interprétations,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est précisément rendue possible du fait de l’existence du principe de neutralité de l’État</w:t>
      </w:r>
      <w:r>
        <w:rPr>
          <w:rStyle w:val="Appelnotedebasdep"/>
        </w:rPr>
        <w:footnoteReference w:id="318"/>
      </w:r>
      <w:r w:rsidR="00EE2889">
        <w:t>.</w:t>
      </w:r>
      <w:r>
        <w:t xml:space="preserve"> </w:t>
      </w:r>
      <w:r>
        <w:rPr>
          <w:i/>
          <w:iCs/>
        </w:rPr>
        <w:t>A fortiori</w:t>
      </w:r>
      <w:r>
        <w:t>, le fait qu’un État reconnaisse les entreprises de tendance religieuse sans pour autant autoriser l’entreprise de tendance neutre ou laïque correspondrait à une atteinte à la liberté religieuse ou une discrimination vis-à-vis des personnes, athées ou non, se référant à la laïcité ou à la neutralité en tant que conviction et souhaitant ancrer leur éthique d’entreprise sur cette conviction</w:t>
      </w:r>
      <w:r>
        <w:rPr>
          <w:rStyle w:val="Appelnotedebasdep"/>
        </w:rPr>
        <w:footnoteReference w:id="319"/>
      </w:r>
      <w:r w:rsidR="00B14E2D">
        <w:t>.</w:t>
      </w:r>
    </w:p>
    <w:p w14:paraId="20E6D5D9" w14:textId="5BD1B92E" w:rsidR="00233D39" w:rsidRDefault="00233D39" w:rsidP="00233D39">
      <w:r>
        <w:t xml:space="preserve">S’il semble devoir être conclu à la légitimité </w:t>
      </w:r>
      <w:r w:rsidRPr="008D517D">
        <w:t>de principe</w:t>
      </w:r>
      <w:r>
        <w:t xml:space="preserve"> de l’entreprise de tendance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w:instrText>
      </w:r>
      <w:r>
        <w:instrText xml:space="preserve"> </w:instrText>
      </w:r>
      <w:r>
        <w:fldChar w:fldCharType="end"/>
      </w:r>
      <w:r>
        <w:t xml:space="preserve"> neutre</w:t>
      </w:r>
      <w:r>
        <w:fldChar w:fldCharType="begin"/>
      </w:r>
      <w:r>
        <w:instrText xml:space="preserve"> XE "</w:instrText>
      </w:r>
      <w:r w:rsidRPr="00821CE3">
        <w:rPr>
          <w:rFonts w:eastAsia="Times New Roman" w:cs="Calibri"/>
          <w:color w:val="000000"/>
          <w:lang w:eastAsia="fr-BE"/>
        </w:rPr>
        <w:instrText>Entreprise de tendance</w:instrText>
      </w:r>
      <w:r>
        <w:rPr>
          <w:rFonts w:eastAsia="Times New Roman" w:cs="Calibri"/>
          <w:color w:val="000000"/>
          <w:lang w:eastAsia="fr-BE"/>
        </w:rPr>
        <w:instrText>:Entreprise de t</w:instrText>
      </w:r>
      <w:r w:rsidRPr="00821CE3">
        <w:rPr>
          <w:rFonts w:eastAsia="Times New Roman" w:cs="Calibri"/>
          <w:color w:val="000000"/>
          <w:lang w:eastAsia="fr-BE"/>
        </w:rPr>
        <w:instrText>endance neutre</w:instrText>
      </w:r>
      <w:r>
        <w:rPr>
          <w:rFonts w:eastAsia="Times New Roman" w:cs="Calibri"/>
          <w:color w:val="000000"/>
          <w:lang w:eastAsia="fr-BE"/>
        </w:rPr>
        <w:instrText>"</w:instrText>
      </w:r>
      <w:r>
        <w:instrText xml:space="preserve"> </w:instrText>
      </w:r>
      <w:r>
        <w:fldChar w:fldCharType="end"/>
      </w:r>
      <w:r>
        <w:t xml:space="preserve">, </w:t>
      </w:r>
      <w:r w:rsidR="004C0055">
        <w:t xml:space="preserve">en particulier en Belgique, </w:t>
      </w:r>
      <w:r>
        <w:t>reste à savoir sous quelles formes concrètes celle-ci pourrait se matérialiser.</w:t>
      </w:r>
    </w:p>
    <w:p w14:paraId="17B9F9C6" w14:textId="1CC1981C" w:rsidR="002A55A1" w:rsidRPr="002A55A1" w:rsidRDefault="002A55A1" w:rsidP="002A55A1">
      <w:pPr>
        <w:pStyle w:val="Titre5"/>
      </w:pPr>
      <w:r>
        <w:t xml:space="preserve">Quelle </w:t>
      </w:r>
      <w:bookmarkStart w:id="56" w:name="_Toc91763354"/>
      <w:r>
        <w:t>entreprise pour la tendance neutre ?</w:t>
      </w:r>
    </w:p>
    <w:bookmarkEnd w:id="56"/>
    <w:p w14:paraId="67948F5A" w14:textId="32C6CD0B" w:rsidR="002A55A1" w:rsidRPr="002A55A1" w:rsidRDefault="002A55A1" w:rsidP="008D0AA6">
      <w:pPr>
        <w:pStyle w:val="Paragraphedeliste"/>
        <w:rPr>
          <w:i/>
          <w:iCs/>
        </w:rPr>
      </w:pPr>
      <w:r w:rsidRPr="002A55A1">
        <w:t>Au contraire des entreprises de tendance</w:t>
      </w:r>
      <w:r w:rsidRPr="002A55A1">
        <w:fldChar w:fldCharType="begin"/>
      </w:r>
      <w:r w:rsidRPr="002A55A1">
        <w:instrText xml:space="preserve"> XE "Entreprise de tendance" </w:instrText>
      </w:r>
      <w:r w:rsidRPr="002A55A1">
        <w:fldChar w:fldCharType="end"/>
      </w:r>
      <w:r w:rsidRPr="002A55A1">
        <w:t xml:space="preserve"> confessionnelle « classiques », telles que les organisations religieuses ou les établissements d’enseignement à caractère confessionnel, l’entreprise de tendance neutre</w:t>
      </w:r>
      <w:r w:rsidRPr="002A55A1">
        <w:fldChar w:fldCharType="begin"/>
      </w:r>
      <w:r w:rsidRPr="002A55A1">
        <w:instrText xml:space="preserve"> XE "Entreprise de tendance:Entreprise de tendance neutre" </w:instrText>
      </w:r>
      <w:r w:rsidRPr="002A55A1">
        <w:fldChar w:fldCharType="end"/>
      </w:r>
      <w:r w:rsidRPr="002A55A1">
        <w:t xml:space="preserve"> requiert un effort de représentation un peu plus poussé, quant aux formes concrètes qu’elle pourrait endosser.</w:t>
      </w:r>
    </w:p>
    <w:p w14:paraId="47D2E646" w14:textId="151C94AA" w:rsidR="002A55A1" w:rsidRPr="002A55A1" w:rsidRDefault="002A55A1" w:rsidP="00792906">
      <w:pPr>
        <w:rPr>
          <w:i/>
          <w:iCs/>
        </w:rPr>
      </w:pPr>
      <w:r w:rsidRPr="002A55A1">
        <w:t xml:space="preserve">La faible part d’entreprises se réclamant d’une tendance neutre n’est pas sans importance, si l’on garde à l’esprit la clause de </w:t>
      </w:r>
      <w:r w:rsidRPr="002A55A1">
        <w:rPr>
          <w:i/>
          <w:iCs/>
        </w:rPr>
        <w:t>standstill</w:t>
      </w:r>
      <w:r w:rsidRPr="002A55A1">
        <w:t xml:space="preserve"> prévue par la Directive, selon laquelle seules les pratiques nationales « existant à la date d'adoption de la présente directive » peuvent être couvertes par la dérogation prévue à l’article 4.2 de celle-ci</w:t>
      </w:r>
      <w:r w:rsidR="00792906">
        <w:t xml:space="preserve"> en faveur des entreprises de tendance</w:t>
      </w:r>
      <w:r w:rsidRPr="002A55A1">
        <w:t xml:space="preserve">. Il convient </w:t>
      </w:r>
      <w:r w:rsidR="00792906">
        <w:t>toutefois</w:t>
      </w:r>
      <w:r w:rsidRPr="002A55A1">
        <w:t xml:space="preserve"> de prendre en compte le fait que le droit de la CEDH, contrairement au droit de l’UE, ne </w:t>
      </w:r>
      <w:r w:rsidR="002E07A0">
        <w:t>prévoit</w:t>
      </w:r>
      <w:r w:rsidRPr="002A55A1">
        <w:t xml:space="preserve"> </w:t>
      </w:r>
      <w:r w:rsidR="002E07A0">
        <w:t xml:space="preserve">pas </w:t>
      </w:r>
      <w:r w:rsidRPr="002A55A1">
        <w:t xml:space="preserve">d’exigence de </w:t>
      </w:r>
      <w:r w:rsidRPr="002A55A1">
        <w:rPr>
          <w:i/>
          <w:iCs/>
        </w:rPr>
        <w:t>standstill</w:t>
      </w:r>
      <w:r w:rsidRPr="002A55A1">
        <w:t xml:space="preserve"> dans sa reconnaissance de l’entreprise de tendance</w:t>
      </w:r>
      <w:r w:rsidRPr="002A55A1">
        <w:fldChar w:fldCharType="begin"/>
      </w:r>
      <w:r w:rsidRPr="002A55A1">
        <w:instrText xml:space="preserve"> XE "Entreprise de tendance" </w:instrText>
      </w:r>
      <w:r w:rsidRPr="002A55A1">
        <w:fldChar w:fldCharType="end"/>
      </w:r>
      <w:r w:rsidRPr="002A55A1">
        <w:t>. Dans cette perspective, l’absence de « pratique existante » ne priverait pas une entreprise de tendance neutre</w:t>
      </w:r>
      <w:r w:rsidRPr="002A55A1">
        <w:fldChar w:fldCharType="begin"/>
      </w:r>
      <w:r w:rsidRPr="002A55A1">
        <w:instrText xml:space="preserve"> XE "Entreprise de tendance:Entreprise de tendance neutre" </w:instrText>
      </w:r>
      <w:r w:rsidRPr="002A55A1">
        <w:fldChar w:fldCharType="end"/>
      </w:r>
      <w:r w:rsidRPr="002A55A1">
        <w:t xml:space="preserve"> constituée après 2000 de revendiquer le bénéfice de la protection de l’article 9 de la CEDH, au titre de la dimension institutionnelle de la liberté de religion</w:t>
      </w:r>
      <w:r w:rsidRPr="002A55A1">
        <w:rPr>
          <w:vertAlign w:val="superscript"/>
        </w:rPr>
        <w:footnoteReference w:id="320"/>
      </w:r>
      <w:r w:rsidR="00EE2889">
        <w:t>.</w:t>
      </w:r>
    </w:p>
    <w:p w14:paraId="00D8E366" w14:textId="04800698" w:rsidR="002A55A1" w:rsidRPr="002A55A1" w:rsidRDefault="002A55A1" w:rsidP="008D0AA6">
      <w:pPr>
        <w:pStyle w:val="Paragraphedeliste"/>
      </w:pPr>
      <w:r w:rsidRPr="002A55A1">
        <w:lastRenderedPageBreak/>
        <w:t xml:space="preserve">La question du </w:t>
      </w:r>
      <w:r w:rsidRPr="002A55A1">
        <w:rPr>
          <w:i/>
          <w:iCs/>
        </w:rPr>
        <w:t>standstill</w:t>
      </w:r>
      <w:r w:rsidRPr="002A55A1">
        <w:t xml:space="preserve"> résolue, encore s’agit-il d’envisager quel type d’entreprise pourrait en pratique revendiquer une tendance neutre, tenant compte de son objet social et de ses activités.</w:t>
      </w:r>
    </w:p>
    <w:p w14:paraId="1B987CF9" w14:textId="318D1B90" w:rsidR="002A55A1" w:rsidRPr="002A55A1" w:rsidRDefault="002A55A1" w:rsidP="002A55A1">
      <w:r w:rsidRPr="002A55A1">
        <w:t>Une première catégorie d’entreprise ne soulève pas de difficultés en la matière, s’agissant des organisations dont l’objet et les activités portent intrinsèquement sur la défense et la promotion d’une telle tendance neutre – ou, du point de vue belge, de la laïcité organisée</w:t>
      </w:r>
      <w:r w:rsidRPr="002A55A1">
        <w:fldChar w:fldCharType="begin"/>
      </w:r>
      <w:r w:rsidRPr="002A55A1">
        <w:instrText xml:space="preserve"> XE "Laïcité organisée" </w:instrText>
      </w:r>
      <w:r w:rsidRPr="002A55A1">
        <w:fldChar w:fldCharType="end"/>
      </w:r>
      <w:r w:rsidRPr="002A55A1">
        <w:t xml:space="preserve">. </w:t>
      </w:r>
      <w:r w:rsidR="00416A6B">
        <w:t xml:space="preserve">En Belgique, </w:t>
      </w:r>
      <w:r w:rsidR="00F8784B">
        <w:t>cette</w:t>
      </w:r>
      <w:r w:rsidRPr="002A55A1">
        <w:t xml:space="preserve"> hypothèse est rencontrée dans le cas du Centre d’action laïque (CAL) ou de deMens.nu</w:t>
      </w:r>
      <w:r w:rsidRPr="002A55A1">
        <w:rPr>
          <w:vertAlign w:val="superscript"/>
        </w:rPr>
        <w:footnoteReference w:id="321"/>
      </w:r>
      <w:r w:rsidRPr="002A55A1">
        <w:t> : en tant que fédérations d’associations, celles-ci visent directement à « défendre » et à « promouvoir la laïcité »</w:t>
      </w:r>
      <w:r w:rsidRPr="002A55A1">
        <w:rPr>
          <w:vertAlign w:val="superscript"/>
        </w:rPr>
        <w:footnoteReference w:id="322"/>
      </w:r>
      <w:r w:rsidRPr="002A55A1">
        <w:t>.</w:t>
      </w:r>
    </w:p>
    <w:p w14:paraId="43FF29C9" w14:textId="3FF68F7C" w:rsidR="002A55A1" w:rsidRPr="002A55A1" w:rsidRDefault="002A55A1" w:rsidP="002A55A1">
      <w:r w:rsidRPr="002A55A1">
        <w:t>La réponse semble moins évidente s’agissant des organisations membres du CAL</w:t>
      </w:r>
      <w:r w:rsidRPr="002A55A1">
        <w:fldChar w:fldCharType="begin"/>
      </w:r>
      <w:r w:rsidRPr="002A55A1">
        <w:instrText xml:space="preserve"> XE "Laïcité organisée" </w:instrText>
      </w:r>
      <w:r w:rsidRPr="002A55A1">
        <w:fldChar w:fldCharType="end"/>
      </w:r>
      <w:r w:rsidRPr="002A55A1">
        <w:t xml:space="preserve"> et de deMens.nu. Une part importante d’entre elles n’oriente pas ses activités sur la promotion de la laïcité organisée, mais sur d’autres types d’activités, telles que l’action humanitaire, l’aide au logement, aux personnes défavorisées ou à la jeunesse</w:t>
      </w:r>
      <w:r w:rsidRPr="002A55A1">
        <w:rPr>
          <w:vertAlign w:val="superscript"/>
        </w:rPr>
        <w:footnoteReference w:id="323"/>
      </w:r>
      <w:r w:rsidR="00416A6B">
        <w:t>.</w:t>
      </w:r>
      <w:r w:rsidRPr="002A55A1">
        <w:t xml:space="preserve"> L’orientation laïque se situe dans ce cas à mi-chemin entre l</w:t>
      </w:r>
      <w:proofErr w:type="gramStart"/>
      <w:r w:rsidRPr="002A55A1">
        <w:t>’«</w:t>
      </w:r>
      <w:proofErr w:type="gramEnd"/>
      <w:r w:rsidRPr="002A55A1">
        <w:t> objectif direct et essentiel »</w:t>
      </w:r>
      <w:r w:rsidRPr="002A55A1">
        <w:rPr>
          <w:vertAlign w:val="superscript"/>
        </w:rPr>
        <w:footnoteReference w:id="324"/>
      </w:r>
      <w:r w:rsidRPr="002A55A1">
        <w:t xml:space="preserve"> de l’organisation et la « conviction » sur laquelle est </w:t>
      </w:r>
      <w:r w:rsidRPr="008D517D">
        <w:t>fondée</w:t>
      </w:r>
      <w:r w:rsidRPr="002A55A1">
        <w:t xml:space="preserve"> « l’éthique » de l’organisation, pour reprendre les termes de la Directive.</w:t>
      </w:r>
    </w:p>
    <w:p w14:paraId="2EF2D462" w14:textId="2CF18EFD" w:rsidR="002A55A1" w:rsidRPr="002A55A1" w:rsidRDefault="002A55A1" w:rsidP="002A55A1">
      <w:r w:rsidRPr="002A55A1">
        <w:t xml:space="preserve">Qu’en est-il, par ailleurs, des entreprises poursuivant une activité « ordinaire » </w:t>
      </w:r>
      <w:r w:rsidR="00416A6B">
        <w:t>–</w:t>
      </w:r>
      <w:r w:rsidRPr="002A55A1">
        <w:t xml:space="preserve"> y compris commerciale –, sans lien direct avec la défense d’une conviction neutre ou laïque ?</w:t>
      </w:r>
    </w:p>
    <w:p w14:paraId="34CA72FE" w14:textId="0D6728D9" w:rsidR="002A55A1" w:rsidRPr="002A55A1" w:rsidRDefault="002A55A1" w:rsidP="002A55A1">
      <w:r w:rsidRPr="002A55A1">
        <w:t>Du point de vue du droit de l’UE, ces entreprises peuvent revendiquer le bénéfice de la dérogation accordée par l’article 4.2 de la Directive, dès le moment où la preuve est faite de l’existence véritable d’une éthique d’entreprise fondée sur une telle conviction.</w:t>
      </w:r>
    </w:p>
    <w:p w14:paraId="00810432" w14:textId="6A196276" w:rsidR="002A55A1" w:rsidRPr="002A55A1" w:rsidRDefault="002A55A1" w:rsidP="002A55A1">
      <w:r w:rsidRPr="002A55A1">
        <w:t xml:space="preserve">Du point de vue de la CEDH, </w:t>
      </w:r>
      <w:r w:rsidR="00284867">
        <w:t>les juges de Strasbourg n’ont,</w:t>
      </w:r>
      <w:r w:rsidRPr="002A55A1">
        <w:t xml:space="preserve"> à l’instar de l</w:t>
      </w:r>
      <w:r w:rsidR="00284867">
        <w:t>eurs homologues de Luxembourg</w:t>
      </w:r>
      <w:r w:rsidRPr="002A55A1">
        <w:t xml:space="preserve">, pas encore eu </w:t>
      </w:r>
      <w:r w:rsidR="006C6DE5">
        <w:t>l’</w:t>
      </w:r>
      <w:r w:rsidRPr="002A55A1">
        <w:t>occasion de se prononcer sur la possibilité, pour une entreprise commerciale, de revendiquer la qualification d’entreprise de tendance</w:t>
      </w:r>
      <w:r w:rsidRPr="002A55A1">
        <w:fldChar w:fldCharType="begin"/>
      </w:r>
      <w:r w:rsidRPr="002A55A1">
        <w:instrText xml:space="preserve"> XE "Entreprise de tendance" </w:instrText>
      </w:r>
      <w:r w:rsidRPr="002A55A1">
        <w:fldChar w:fldCharType="end"/>
      </w:r>
      <w:r w:rsidRPr="002A55A1">
        <w:t>, prise ici au sens de l’article 9 de la CEDH</w:t>
      </w:r>
      <w:r w:rsidR="00416A6B">
        <w:t>.</w:t>
      </w:r>
      <w:r w:rsidRPr="002A55A1">
        <w:t xml:space="preserve"> Il s’agira donc, </w:t>
      </w:r>
      <w:r w:rsidRPr="008D517D">
        <w:t>a fortiori</w:t>
      </w:r>
      <w:r w:rsidRPr="002A55A1">
        <w:t xml:space="preserve"> dans le cas d’une entreprise commerciale invoquant la neutralité en tant que conviction, de démontrer l’intensité du lien unissant la conviction d’entreprise avec son objet social et ses activités.</w:t>
      </w:r>
    </w:p>
    <w:p w14:paraId="58B2208C" w14:textId="6AE34745" w:rsidR="002A55A1" w:rsidRPr="002A55A1" w:rsidRDefault="002A55A1" w:rsidP="002A55A1">
      <w:pPr>
        <w:rPr>
          <w:lang w:val="fr-FR"/>
        </w:rPr>
      </w:pPr>
      <w:r w:rsidRPr="002A55A1">
        <w:t xml:space="preserve">Encore s’agit-il toutefois de parvenir à attester </w:t>
      </w:r>
      <w:r w:rsidRPr="002A55A1">
        <w:rPr>
          <w:i/>
          <w:iCs/>
        </w:rPr>
        <w:t xml:space="preserve">in </w:t>
      </w:r>
      <w:proofErr w:type="spellStart"/>
      <w:r w:rsidRPr="002A55A1">
        <w:rPr>
          <w:i/>
          <w:iCs/>
        </w:rPr>
        <w:t>concreto</w:t>
      </w:r>
      <w:proofErr w:type="spellEnd"/>
      <w:r w:rsidRPr="002A55A1">
        <w:rPr>
          <w:i/>
          <w:iCs/>
        </w:rPr>
        <w:t xml:space="preserve"> </w:t>
      </w:r>
      <w:r w:rsidRPr="002A55A1">
        <w:t xml:space="preserve">et </w:t>
      </w:r>
      <w:r w:rsidRPr="002A55A1">
        <w:rPr>
          <w:i/>
          <w:iCs/>
        </w:rPr>
        <w:t xml:space="preserve">in </w:t>
      </w:r>
      <w:proofErr w:type="spellStart"/>
      <w:r w:rsidRPr="002A55A1">
        <w:rPr>
          <w:i/>
          <w:iCs/>
        </w:rPr>
        <w:t>casu</w:t>
      </w:r>
      <w:proofErr w:type="spellEnd"/>
      <w:r w:rsidRPr="002A55A1">
        <w:t xml:space="preserve"> la sincérité de cette éthique neutre d’entreprise, de même que l’effectivité et la cohérence de sa mise en œuvre, afin que d’éventuelles restrictions fondées sur celle-ci soient justifiées vis-à-vis des travailleurs de l’entreprise.</w:t>
      </w:r>
    </w:p>
    <w:p w14:paraId="264D867C" w14:textId="61E85908" w:rsidR="00BA3B64" w:rsidRDefault="00BA3B64" w:rsidP="00E932A1">
      <w:pPr>
        <w:pStyle w:val="Titre4"/>
      </w:pPr>
      <w:r>
        <w:t xml:space="preserve">Illustration : </w:t>
      </w:r>
      <w:r w:rsidR="004B14A7">
        <w:t>les affaires</w:t>
      </w:r>
      <w:r w:rsidR="00E90AEA">
        <w:t xml:space="preserve"> </w:t>
      </w:r>
      <w:r w:rsidRPr="00E90AEA">
        <w:rPr>
          <w:i w:val="0"/>
          <w:iCs w:val="0"/>
        </w:rPr>
        <w:t>Baby Loup</w:t>
      </w:r>
      <w:r>
        <w:t xml:space="preserve"> et </w:t>
      </w:r>
      <w:r w:rsidRPr="00E90AEA">
        <w:rPr>
          <w:i w:val="0"/>
          <w:iCs w:val="0"/>
        </w:rPr>
        <w:t>McFarlane</w:t>
      </w:r>
    </w:p>
    <w:p w14:paraId="70EF5244" w14:textId="2C320C51" w:rsidR="004C0055" w:rsidRPr="00233D39" w:rsidRDefault="004C0055" w:rsidP="008D0AA6">
      <w:pPr>
        <w:pStyle w:val="Paragraphedeliste"/>
      </w:pPr>
      <w:r w:rsidRPr="00233D39">
        <w:t>En l’absence de consécration juridique véritable de l’entreprise de tendance</w:t>
      </w:r>
      <w:r w:rsidRPr="00233D39">
        <w:fldChar w:fldCharType="begin"/>
      </w:r>
      <w:r w:rsidRPr="00233D39">
        <w:instrText xml:space="preserve"> XE "Entreprise de tendance" </w:instrText>
      </w:r>
      <w:r w:rsidRPr="00233D39">
        <w:fldChar w:fldCharType="end"/>
      </w:r>
      <w:r w:rsidRPr="00233D39">
        <w:t xml:space="preserve"> neutre</w:t>
      </w:r>
      <w:r w:rsidRPr="00233D39">
        <w:fldChar w:fldCharType="begin"/>
      </w:r>
      <w:r w:rsidRPr="00233D39">
        <w:instrText xml:space="preserve"> XE "Entreprise de tendance:Entreprise de tendance neutre" </w:instrText>
      </w:r>
      <w:r w:rsidRPr="00233D39">
        <w:fldChar w:fldCharType="end"/>
      </w:r>
      <w:r w:rsidRPr="00233D39">
        <w:t xml:space="preserve"> à ce jour, plusieurs auteurs se sont risqués à esquisser ce que revêtirait une telle entreprise. La plupart de ces </w:t>
      </w:r>
      <w:r w:rsidRPr="00233D39">
        <w:lastRenderedPageBreak/>
        <w:t xml:space="preserve">définitions interviennent dans le contexte de la saga judiciaire </w:t>
      </w:r>
      <w:r w:rsidRPr="00233D39">
        <w:rPr>
          <w:i/>
          <w:iCs/>
        </w:rPr>
        <w:t>Baby Loup</w:t>
      </w:r>
      <w:r w:rsidRPr="00233D39">
        <w:t>, dont l’arrêt rendu par la Cour d’appel de Paris en 2013 a – pour un temps – formalisé l’hypothèse de l’entreprise de tendance neutre – ou laïque</w:t>
      </w:r>
      <w:r w:rsidRPr="00233D39">
        <w:rPr>
          <w:vertAlign w:val="superscript"/>
        </w:rPr>
        <w:footnoteReference w:id="325"/>
      </w:r>
      <w:r w:rsidRPr="00233D39">
        <w:t>.</w:t>
      </w:r>
    </w:p>
    <w:p w14:paraId="2833EE65" w14:textId="70407428" w:rsidR="004C0055" w:rsidRPr="00233D39" w:rsidRDefault="004C0055" w:rsidP="004C0055">
      <w:r w:rsidRPr="00233D39">
        <w:t xml:space="preserve">Dès 2011, François </w:t>
      </w:r>
      <w:proofErr w:type="spellStart"/>
      <w:r w:rsidRPr="00233D39">
        <w:t>Gaudu</w:t>
      </w:r>
      <w:proofErr w:type="spellEnd"/>
      <w:r w:rsidRPr="00233D39">
        <w:t xml:space="preserve"> </w:t>
      </w:r>
      <w:r>
        <w:t>note</w:t>
      </w:r>
      <w:r w:rsidRPr="00233D39">
        <w:t xml:space="preserve">, à propos du « caractère propre » de la crèche </w:t>
      </w:r>
      <w:r w:rsidRPr="00233D39">
        <w:rPr>
          <w:i/>
        </w:rPr>
        <w:t>Baby Loup</w:t>
      </w:r>
      <w:r w:rsidRPr="00233D39">
        <w:t>, que « [l]’association avait choisi une orientation – la neutralité politique et confessionnelle » ; dès lors, elle « pouvait imposer le respect de cette orientation à ses salariés », à travers des restrictions allant « bien au-delà des restrictions ponctuelles (même larges) qu’une entreprise ordinaire pourrait imposer à ses salariés »</w:t>
      </w:r>
      <w:r w:rsidRPr="00233D39">
        <w:rPr>
          <w:vertAlign w:val="superscript"/>
        </w:rPr>
        <w:footnoteReference w:id="326"/>
      </w:r>
      <w:r w:rsidR="00416A6B">
        <w:t>.</w:t>
      </w:r>
    </w:p>
    <w:p w14:paraId="1EC9AFB2" w14:textId="55CFE63D" w:rsidR="002C7214" w:rsidRDefault="00233D39" w:rsidP="00416A6B">
      <w:r w:rsidRPr="00233D39">
        <w:t>Possiblement inspirée par de telles argumentations doctrinales</w:t>
      </w:r>
      <w:r w:rsidRPr="00233D39">
        <w:rPr>
          <w:vertAlign w:val="superscript"/>
        </w:rPr>
        <w:footnoteReference w:id="327"/>
      </w:r>
      <w:r w:rsidRPr="00233D39">
        <w:t xml:space="preserve">, la Cour d’appel de Paris considère que « l’association </w:t>
      </w:r>
      <w:r w:rsidRPr="00416A6B">
        <w:rPr>
          <w:i/>
        </w:rPr>
        <w:t>Baby Loup</w:t>
      </w:r>
      <w:r w:rsidRPr="00233D39">
        <w:t xml:space="preserve"> peut être qualifiée d’entreprise de conviction en mesure d’exiger la neutralité de ses employés » - la neutralité visant en l’occurrence à « transcender le multiculturalisme des personnes auxquelles [la crèche] s’adresse »</w:t>
      </w:r>
      <w:r w:rsidRPr="00233D39">
        <w:rPr>
          <w:vertAlign w:val="superscript"/>
        </w:rPr>
        <w:footnoteReference w:id="328"/>
      </w:r>
      <w:r w:rsidR="00416A6B">
        <w:t>.</w:t>
      </w:r>
      <w:r w:rsidR="002C7214">
        <w:t xml:space="preserve"> Les seconds juges d’appel considèrent en effet </w:t>
      </w:r>
      <w:r w:rsidR="002C7214" w:rsidRPr="00D04417">
        <w:t xml:space="preserve">qu’une </w:t>
      </w:r>
      <w:r w:rsidR="002C7214">
        <w:t>« </w:t>
      </w:r>
      <w:r w:rsidR="002C7214" w:rsidRPr="00D04417">
        <w:t xml:space="preserve">personne morale de droit privé </w:t>
      </w:r>
      <w:r w:rsidR="002C7214">
        <w:t>[…]</w:t>
      </w:r>
      <w:r w:rsidR="002C7214" w:rsidRPr="00D04417">
        <w:t xml:space="preserve"> peut dans certaines circonstances constituer une entreprise de conviction </w:t>
      </w:r>
      <w:r w:rsidR="002C7214">
        <w:t>[…]</w:t>
      </w:r>
      <w:r w:rsidR="002C7214" w:rsidRPr="00D04417">
        <w:t xml:space="preserve"> et se doter de statuts et d’un règlement intérieur prévoyant une obligation de neutralité du personnel dans l’exercice de ses tâches</w:t>
      </w:r>
      <w:r w:rsidR="002C7214">
        <w:t> »</w:t>
      </w:r>
      <w:r w:rsidR="002C7214">
        <w:rPr>
          <w:rStyle w:val="Appelnotedebasdep"/>
        </w:rPr>
        <w:footnoteReference w:id="329"/>
      </w:r>
      <w:r w:rsidR="002C7214">
        <w:t>.</w:t>
      </w:r>
    </w:p>
    <w:p w14:paraId="74112B0D" w14:textId="136EDAB9" w:rsidR="00233D39" w:rsidRPr="00233D39" w:rsidRDefault="00233D39" w:rsidP="00233D39">
      <w:r w:rsidRPr="00233D39">
        <w:t xml:space="preserve">On le voit, la neutralité est, ici encore, envisagée dans une perspective prioritairement restrictive, consistant en une </w:t>
      </w:r>
      <w:r w:rsidRPr="00233D39">
        <w:rPr>
          <w:i/>
          <w:iCs/>
        </w:rPr>
        <w:t>neutralisation</w:t>
      </w:r>
      <w:r w:rsidRPr="00233D39">
        <w:t xml:space="preserve"> des expressions religieuses des travailleurs. À partir de ces différentes esquisses, il est donc possible d’envisager l’éthique de l’entreprise de tendance</w:t>
      </w:r>
      <w:r w:rsidRPr="00233D39">
        <w:fldChar w:fldCharType="begin"/>
      </w:r>
      <w:r w:rsidRPr="00233D39">
        <w:instrText xml:space="preserve"> XE "Entreprise de tendance" </w:instrText>
      </w:r>
      <w:r w:rsidRPr="00233D39">
        <w:fldChar w:fldCharType="end"/>
      </w:r>
      <w:r w:rsidRPr="00233D39">
        <w:t xml:space="preserve"> neutre</w:t>
      </w:r>
      <w:r w:rsidRPr="00233D39">
        <w:fldChar w:fldCharType="begin"/>
      </w:r>
      <w:r w:rsidRPr="00233D39">
        <w:instrText xml:space="preserve"> XE "Entreprise de tendance:Entreprise de tendance neutre" </w:instrText>
      </w:r>
      <w:r w:rsidRPr="00233D39">
        <w:fldChar w:fldCharType="end"/>
      </w:r>
      <w:r w:rsidRPr="00233D39">
        <w:t xml:space="preserve"> comme étant fondée sur une conviction consistant à invisibiliser le religieux de la sphère sociale, et requérant dès lors de ses travailleurs une attitude de loyauté renforcée passant par l’absence d’expressions religieuses dans le cadre de leur travail.</w:t>
      </w:r>
    </w:p>
    <w:p w14:paraId="2F466BB1" w14:textId="3ECEE561" w:rsidR="002C7214" w:rsidRDefault="002C7214" w:rsidP="002C7214">
      <w:r>
        <w:t xml:space="preserve">L’assemblée plénière de la Cour de cassation française viendra toutefois désavouer cette qualification pour le cas d’espèce, arguant notamment du fait que la neutralité de </w:t>
      </w:r>
      <w:r w:rsidR="00822DD4" w:rsidRPr="00822DD4">
        <w:t xml:space="preserve">l’État </w:t>
      </w:r>
      <w:r>
        <w:t>ne peut être privatisée de la sorte, ni assimilée à une simple conviction</w:t>
      </w:r>
      <w:r>
        <w:rPr>
          <w:rStyle w:val="Appelnotedebasdep"/>
        </w:rPr>
        <w:footnoteReference w:id="330"/>
      </w:r>
      <w:r w:rsidR="00416A6B">
        <w:t>.</w:t>
      </w:r>
    </w:p>
    <w:p w14:paraId="556516DB" w14:textId="23C085DB" w:rsidR="00BA3B64" w:rsidRDefault="00BA3B64" w:rsidP="0082211F">
      <w:pPr>
        <w:pStyle w:val="Paragraphedeliste"/>
      </w:pPr>
      <w:r>
        <w:t xml:space="preserve">Une autre hypothèse – moins explicite – d’entreprise de tendance neutre peut être envisagée à travers l’arrêt </w:t>
      </w:r>
      <w:proofErr w:type="spellStart"/>
      <w:r w:rsidRPr="00477AF5">
        <w:rPr>
          <w:bCs/>
          <w:i/>
          <w:iCs/>
        </w:rPr>
        <w:t>Eweida</w:t>
      </w:r>
      <w:proofErr w:type="spellEnd"/>
      <w:r w:rsidR="003B645C">
        <w:rPr>
          <w:bCs/>
          <w:i/>
          <w:iCs/>
        </w:rPr>
        <w:t xml:space="preserve"> e.a.</w:t>
      </w:r>
      <w:r w:rsidRPr="00477AF5">
        <w:rPr>
          <w:bCs/>
          <w:i/>
          <w:iCs/>
        </w:rPr>
        <w:t xml:space="preserve"> </w:t>
      </w:r>
      <w:r>
        <w:rPr>
          <w:bCs/>
          <w:i/>
          <w:iCs/>
        </w:rPr>
        <w:t>c.</w:t>
      </w:r>
      <w:r w:rsidRPr="00477AF5">
        <w:rPr>
          <w:bCs/>
          <w:i/>
          <w:iCs/>
        </w:rPr>
        <w:t xml:space="preserve"> Royaume-Uni</w:t>
      </w:r>
      <w:r>
        <w:t xml:space="preserve"> </w:t>
      </w:r>
      <w:r w:rsidRPr="00477AF5">
        <w:t xml:space="preserve">rendu en 2013 par la </w:t>
      </w:r>
      <w:r w:rsidR="00544A9F">
        <w:t>CourEDH</w:t>
      </w:r>
      <w:r>
        <w:t>. L</w:t>
      </w:r>
      <w:r w:rsidRPr="00477AF5">
        <w:t xml:space="preserve">’une des </w:t>
      </w:r>
      <w:r>
        <w:t xml:space="preserve">quatre </w:t>
      </w:r>
      <w:r w:rsidRPr="00477AF5">
        <w:t>affaires</w:t>
      </w:r>
      <w:r>
        <w:t xml:space="preserve"> examinées dans</w:t>
      </w:r>
      <w:r w:rsidRPr="00477AF5">
        <w:t xml:space="preserve"> </w:t>
      </w:r>
      <w:r>
        <w:t xml:space="preserve">cet arrêt </w:t>
      </w:r>
      <w:r w:rsidRPr="00477AF5">
        <w:t xml:space="preserve">a trait à la situation de M. </w:t>
      </w:r>
      <w:r w:rsidRPr="002C7214">
        <w:t>McFarlane</w:t>
      </w:r>
      <w:r w:rsidRPr="00477AF5">
        <w:t>, qui travaillait dans une entreprise de conseils conjugaux et sexuels pour couples</w:t>
      </w:r>
      <w:r>
        <w:rPr>
          <w:rStyle w:val="Appelnotedebasdep"/>
        </w:rPr>
        <w:footnoteReference w:id="331"/>
      </w:r>
      <w:r w:rsidR="00416A6B">
        <w:t>.</w:t>
      </w:r>
      <w:r w:rsidRPr="00477AF5">
        <w:t xml:space="preserve"> M. McFarlane est licencié au motif qu’il refuse de conseiller des couples homosexuels en</w:t>
      </w:r>
      <w:r>
        <w:t xml:space="preserve"> matière sexuelle, celui-ci considérant qu’une telle activité va à l’encontre de ses </w:t>
      </w:r>
      <w:r w:rsidRPr="00EF1335">
        <w:t xml:space="preserve">convictions religieuses. Ce licenciement, validé par la </w:t>
      </w:r>
      <w:r w:rsidR="00544A9F">
        <w:t>CourEDH</w:t>
      </w:r>
      <w:r w:rsidRPr="00EF1335">
        <w:t xml:space="preserve">, </w:t>
      </w:r>
      <w:r>
        <w:t>s’appuie</w:t>
      </w:r>
      <w:r w:rsidRPr="00EF1335">
        <w:t xml:space="preserve"> </w:t>
      </w:r>
      <w:r w:rsidRPr="00EF1335">
        <w:lastRenderedPageBreak/>
        <w:t>essentiellement sur la politique d’égalité des chances adoptée par</w:t>
      </w:r>
      <w:r>
        <w:t xml:space="preserve"> l’entreprise, interdisant de telles objections de conscience</w:t>
      </w:r>
      <w:r>
        <w:rPr>
          <w:rStyle w:val="Appelnotedebasdep"/>
        </w:rPr>
        <w:footnoteReference w:id="332"/>
      </w:r>
      <w:r w:rsidR="00416A6B">
        <w:t>.</w:t>
      </w:r>
      <w:r>
        <w:t xml:space="preserve"> Si, en l’espèce, l’idée d’une neutralité de tendance n’est pas explicitement revendiquée par l’entreprise, celle-ci rejoint malgré tout l’argumentation retenue, en ce qu’elle revient à </w:t>
      </w:r>
      <w:r w:rsidRPr="00C32831">
        <w:rPr>
          <w:i/>
          <w:iCs/>
        </w:rPr>
        <w:t>exclure toute expression religieuse</w:t>
      </w:r>
      <w:r>
        <w:t xml:space="preserve"> de la sphère de travail</w:t>
      </w:r>
      <w:r w:rsidR="00792906">
        <w:t xml:space="preserve"> jugée contraire au</w:t>
      </w:r>
      <w:r>
        <w:t xml:space="preserve"> </w:t>
      </w:r>
      <w:r w:rsidRPr="00C32831">
        <w:rPr>
          <w:i/>
          <w:iCs/>
        </w:rPr>
        <w:t>positionnement idéologique</w:t>
      </w:r>
      <w:r>
        <w:t xml:space="preserve"> adopté par l’entreprise</w:t>
      </w:r>
      <w:r w:rsidR="00416A6B">
        <w:t xml:space="preserve">, </w:t>
      </w:r>
      <w:r w:rsidR="00AC3BBC">
        <w:t xml:space="preserve">en l’occurrence la « politique </w:t>
      </w:r>
      <w:r w:rsidR="00416A6B">
        <w:t>positive »</w:t>
      </w:r>
      <w:r w:rsidR="00416A6B">
        <w:rPr>
          <w:rStyle w:val="Appelnotedebasdep"/>
        </w:rPr>
        <w:footnoteReference w:id="333"/>
      </w:r>
      <w:r w:rsidR="00416A6B">
        <w:t xml:space="preserve"> d’égalité des chances que poursuit </w:t>
      </w:r>
      <w:r w:rsidR="00AC3BBC" w:rsidRPr="00AC3BBC">
        <w:rPr>
          <w:iCs/>
        </w:rPr>
        <w:t>l’entreprise</w:t>
      </w:r>
      <w:r w:rsidR="00416A6B">
        <w:t>, au-delà de ses simples obligations légales</w:t>
      </w:r>
      <w:r>
        <w:t>.</w:t>
      </w:r>
    </w:p>
    <w:p w14:paraId="4D25C087" w14:textId="26FFF9F7" w:rsidR="00BB041C" w:rsidRDefault="003B645C" w:rsidP="00BB041C">
      <w:r>
        <w:t xml:space="preserve">Un rapprochement peut d’ailleurs être fait entre l’affaire </w:t>
      </w:r>
      <w:r>
        <w:rPr>
          <w:i/>
          <w:iCs/>
        </w:rPr>
        <w:t>McFarlane</w:t>
      </w:r>
      <w:r>
        <w:t xml:space="preserve"> et l’une des autres affaires jugées dans l’arrêt </w:t>
      </w:r>
      <w:proofErr w:type="spellStart"/>
      <w:r>
        <w:rPr>
          <w:i/>
          <w:iCs/>
        </w:rPr>
        <w:t>Eweida</w:t>
      </w:r>
      <w:proofErr w:type="spellEnd"/>
      <w:r>
        <w:rPr>
          <w:i/>
          <w:iCs/>
        </w:rPr>
        <w:t xml:space="preserve"> e.a.</w:t>
      </w:r>
      <w:r>
        <w:t xml:space="preserve">, </w:t>
      </w:r>
      <w:r w:rsidR="00BB041C">
        <w:t xml:space="preserve">concernant Mme </w:t>
      </w:r>
      <w:proofErr w:type="spellStart"/>
      <w:r w:rsidR="00BB041C">
        <w:t>Ladele</w:t>
      </w:r>
      <w:proofErr w:type="spellEnd"/>
      <w:r w:rsidR="00BB041C">
        <w:t>. Était ici concernée une demande d’exemption de célébration des unions civiles de couples homosexuels, par un officier d’état civil engagé avant la légalisation de telles unions. Cette demande avait été refusée par la municipalité d’</w:t>
      </w:r>
      <w:proofErr w:type="spellStart"/>
      <w:r w:rsidR="00BB041C">
        <w:t>Islington</w:t>
      </w:r>
      <w:proofErr w:type="spellEnd"/>
      <w:r w:rsidR="00BB041C">
        <w:t xml:space="preserve"> sur la base de « la défense de l’égalité des chances ». Comme le </w:t>
      </w:r>
      <w:r w:rsidR="00BB041C" w:rsidRPr="00D16FD1">
        <w:t xml:space="preserve">notent les juges </w:t>
      </w:r>
      <w:proofErr w:type="spellStart"/>
      <w:r w:rsidR="00BB041C" w:rsidRPr="00D16FD1">
        <w:t>Vučinić</w:t>
      </w:r>
      <w:proofErr w:type="spellEnd"/>
      <w:r w:rsidR="00BB041C" w:rsidRPr="00D16FD1">
        <w:t xml:space="preserve"> et De Gaetano dans leur opinion partiellement dissidente</w:t>
      </w:r>
      <w:r w:rsidR="00BB041C">
        <w:t>, ni l’accessibilité du service public</w:t>
      </w:r>
      <w:r w:rsidR="00BB041C">
        <w:fldChar w:fldCharType="begin"/>
      </w:r>
      <w:r w:rsidR="00BB041C">
        <w:instrText xml:space="preserve"> XE "</w:instrText>
      </w:r>
      <w:r w:rsidR="00BB041C">
        <w:rPr>
          <w:rFonts w:eastAsia="Times New Roman" w:cs="Calibri"/>
          <w:color w:val="000000"/>
          <w:lang w:eastAsia="fr-BE"/>
        </w:rPr>
        <w:instrText>Service public"</w:instrText>
      </w:r>
      <w:r w:rsidR="00BB041C">
        <w:instrText xml:space="preserve"> </w:instrText>
      </w:r>
      <w:r w:rsidR="00BB041C">
        <w:fldChar w:fldCharType="end"/>
      </w:r>
      <w:r w:rsidR="00BB041C">
        <w:t xml:space="preserve"> ni l’apparence de neutralité n’étaient en cause dans le cas d’espèce, dans la mesure où l’accessibilité du service public n’était pas remise en cause par l’octroi d’une telle exemption, et où Mme </w:t>
      </w:r>
      <w:proofErr w:type="spellStart"/>
      <w:r w:rsidR="00BB041C">
        <w:t>Ladele</w:t>
      </w:r>
      <w:proofErr w:type="spellEnd"/>
      <w:r w:rsidR="00BB041C">
        <w:t xml:space="preserve"> n’avait « </w:t>
      </w:r>
      <w:r w:rsidR="00BB041C" w:rsidRPr="00D16FD1">
        <w:t>pas publiquement fait part de ses croyances aux usagers »</w:t>
      </w:r>
      <w:r w:rsidR="00BB041C">
        <w:rPr>
          <w:rStyle w:val="Appelnotedebasdep"/>
        </w:rPr>
        <w:footnoteReference w:id="334"/>
      </w:r>
      <w:r w:rsidR="00AC3BBC">
        <w:t>.</w:t>
      </w:r>
      <w:r w:rsidR="00BB041C">
        <w:t xml:space="preserve"> Dans chaque cas, la CourEDH considère néanmoins la restriction proportionnée, malgré l’absence de justification concrète, sur la base de l’engagement particulier des employeurs concernés en matière d’égalité des chances</w:t>
      </w:r>
      <w:r w:rsidR="00BB041C">
        <w:rPr>
          <w:rStyle w:val="Appelnotedebasdep"/>
        </w:rPr>
        <w:footnoteReference w:id="335"/>
      </w:r>
      <w:r w:rsidR="00AC3BBC">
        <w:t>.</w:t>
      </w:r>
    </w:p>
    <w:p w14:paraId="0288BBE0" w14:textId="30D08DD7" w:rsidR="006754AC" w:rsidRPr="006754AC" w:rsidRDefault="006754AC" w:rsidP="0082211F">
      <w:pPr>
        <w:pStyle w:val="Paragraphedeliste"/>
      </w:pPr>
      <w:r w:rsidRPr="006754AC">
        <w:t>Dans les rares affaires au sein desquelles l’entreprise de tendance</w:t>
      </w:r>
      <w:r w:rsidRPr="006754AC">
        <w:fldChar w:fldCharType="begin"/>
      </w:r>
      <w:r w:rsidRPr="006754AC">
        <w:instrText xml:space="preserve"> XE "Entreprise de tendance" </w:instrText>
      </w:r>
      <w:r w:rsidRPr="006754AC">
        <w:fldChar w:fldCharType="end"/>
      </w:r>
      <w:r w:rsidRPr="006754AC">
        <w:t xml:space="preserve"> neutre</w:t>
      </w:r>
      <w:r w:rsidRPr="006754AC">
        <w:fldChar w:fldCharType="begin"/>
      </w:r>
      <w:r w:rsidRPr="006754AC">
        <w:instrText xml:space="preserve"> XE "Entreprise de tendance:Entreprise de tendance neutre" </w:instrText>
      </w:r>
      <w:r w:rsidRPr="006754AC">
        <w:fldChar w:fldCharType="end"/>
      </w:r>
      <w:r w:rsidRPr="006754AC">
        <w:t xml:space="preserve"> a pu trouver un écho, l’on remarque un entremêlement de cette neutralité de tendance avec la neutralité de l’État.</w:t>
      </w:r>
    </w:p>
    <w:p w14:paraId="529C393F" w14:textId="6C141DB8" w:rsidR="006754AC" w:rsidRPr="006754AC" w:rsidRDefault="006754AC" w:rsidP="006754AC">
      <w:r w:rsidRPr="006754AC">
        <w:t xml:space="preserve">Dans son arrêt relatif à l’affaire </w:t>
      </w:r>
      <w:r w:rsidRPr="006754AC">
        <w:rPr>
          <w:i/>
          <w:iCs/>
        </w:rPr>
        <w:t>Baby Loup</w:t>
      </w:r>
      <w:r w:rsidRPr="006754AC">
        <w:t>, la Cour d’appel de Paris insiste sur le fait que la crèche peut constituer une entreprise de conviction dans la mesure où celle-ci « assure une mission d’intérêt général »</w:t>
      </w:r>
      <w:r w:rsidRPr="006754AC">
        <w:rPr>
          <w:vertAlign w:val="superscript"/>
        </w:rPr>
        <w:footnoteReference w:id="336"/>
      </w:r>
      <w:r w:rsidRPr="006754AC">
        <w:t>. Corrélée au fait que la crèche était principalement financée par des fonds publics, cette mission d’intérêt général semble</w:t>
      </w:r>
      <w:r w:rsidR="00286D32" w:rsidRPr="00286D32">
        <w:t xml:space="preserve"> </w:t>
      </w:r>
      <w:r w:rsidR="00286D32" w:rsidRPr="006754AC">
        <w:t>paradoxalement</w:t>
      </w:r>
      <w:r w:rsidRPr="006754AC">
        <w:t xml:space="preserve">, </w:t>
      </w:r>
      <w:r w:rsidR="00286D32">
        <w:t>c</w:t>
      </w:r>
      <w:r w:rsidRPr="006754AC">
        <w:t xml:space="preserve">omme le note Jean </w:t>
      </w:r>
      <w:proofErr w:type="spellStart"/>
      <w:r w:rsidRPr="006754AC">
        <w:t>Mouly</w:t>
      </w:r>
      <w:proofErr w:type="spellEnd"/>
      <w:r w:rsidRPr="006754AC">
        <w:t>, « </w:t>
      </w:r>
      <w:r w:rsidRPr="008D517D">
        <w:t>conforter</w:t>
      </w:r>
      <w:r w:rsidRPr="006754AC">
        <w:t xml:space="preserve"> la qualification d’entreprise de tendance</w:t>
      </w:r>
      <w:r w:rsidRPr="006754AC">
        <w:fldChar w:fldCharType="begin"/>
      </w:r>
      <w:r w:rsidRPr="006754AC">
        <w:instrText xml:space="preserve"> XE "Entreprise de tendance" </w:instrText>
      </w:r>
      <w:r w:rsidRPr="006754AC">
        <w:fldChar w:fldCharType="end"/>
      </w:r>
      <w:r w:rsidRPr="006754AC">
        <w:t xml:space="preserve"> laïque</w:t>
      </w:r>
      <w:r w:rsidRPr="006754AC">
        <w:fldChar w:fldCharType="begin"/>
      </w:r>
      <w:r w:rsidRPr="006754AC">
        <w:instrText xml:space="preserve"> XE "Entreprise de tendance:Entreprise de tendance neutre" </w:instrText>
      </w:r>
      <w:r w:rsidRPr="006754AC">
        <w:fldChar w:fldCharType="end"/>
      </w:r>
      <w:r w:rsidRPr="006754AC">
        <w:t> »</w:t>
      </w:r>
      <w:r w:rsidRPr="006754AC">
        <w:rPr>
          <w:vertAlign w:val="superscript"/>
        </w:rPr>
        <w:footnoteReference w:id="337"/>
      </w:r>
      <w:r w:rsidRPr="006754AC">
        <w:t>. Pourtant, ce faisant, « la Cour affaiblit la qualification d’entreprise de conviction laïque » à travers « une confusion entre la laïcité et l’adhésion militante à une doctrine philosophique ou religieuse »</w:t>
      </w:r>
      <w:r w:rsidRPr="006754AC">
        <w:rPr>
          <w:vertAlign w:val="superscript"/>
        </w:rPr>
        <w:footnoteReference w:id="338"/>
      </w:r>
      <w:r w:rsidRPr="006754AC">
        <w:t>.</w:t>
      </w:r>
    </w:p>
    <w:p w14:paraId="55117CFB" w14:textId="4BD38AF6" w:rsidR="006754AC" w:rsidRDefault="006754AC" w:rsidP="00BA3B64">
      <w:r w:rsidRPr="006754AC">
        <w:t>De même, dans son arrêt du 21 décembre 2010, le Conseil d’État belge qualifie une école communale, appartenant au réseau officiel subventionné, d’entreprise de tendance</w:t>
      </w:r>
      <w:r w:rsidRPr="006754AC">
        <w:fldChar w:fldCharType="begin"/>
      </w:r>
      <w:r w:rsidRPr="006754AC">
        <w:instrText xml:space="preserve"> XE "Entreprise de tendance" </w:instrText>
      </w:r>
      <w:r w:rsidRPr="006754AC">
        <w:fldChar w:fldCharType="end"/>
      </w:r>
      <w:r w:rsidRPr="006754AC">
        <w:t xml:space="preserve">, justifiant ainsi l’interdiction du port de signes religieux pour ses enseignants. En effet, selon la haute juridiction administrative, « dans </w:t>
      </w:r>
      <w:r w:rsidRPr="006754AC">
        <w:lastRenderedPageBreak/>
        <w:t>la mesure où la neutralité est un concept philosophique, l’article 11 du décret du 12 décembre 2008 [transposant l’article 4.2 de la Directive] est applicable à l’espèce puisque la requérante enseigne dans des établissements soumis au principe de neutralité »</w:t>
      </w:r>
      <w:r w:rsidRPr="006754AC">
        <w:rPr>
          <w:vertAlign w:val="superscript"/>
        </w:rPr>
        <w:footnoteReference w:id="339"/>
      </w:r>
      <w:r w:rsidR="00CC28C4">
        <w:t>.</w:t>
      </w:r>
    </w:p>
    <w:p w14:paraId="47B8BB20" w14:textId="6F00EF47" w:rsidR="0058411E" w:rsidRDefault="0058411E" w:rsidP="0058411E">
      <w:pPr>
        <w:pStyle w:val="Titre3"/>
      </w:pPr>
      <w:r w:rsidRPr="00606176">
        <w:t>La neutralité de l’État étendue à l’entreprise</w:t>
      </w:r>
    </w:p>
    <w:p w14:paraId="7D475FF0" w14:textId="0D86D889" w:rsidR="006654FF" w:rsidRDefault="00BD1829" w:rsidP="0082211F">
      <w:pPr>
        <w:pStyle w:val="Paragraphedeliste"/>
      </w:pPr>
      <w:r>
        <w:t>Notre</w:t>
      </w:r>
      <w:r w:rsidR="00BA3B64">
        <w:t xml:space="preserve"> </w:t>
      </w:r>
      <w:r>
        <w:t>quatrième et dernière</w:t>
      </w:r>
      <w:r w:rsidR="00BA3B64">
        <w:t xml:space="preserve"> hypothèse d’entreprise neutre fait référence aux entreprises appliquant </w:t>
      </w:r>
      <w:r w:rsidR="00BA3B64" w:rsidRPr="000570B8">
        <w:t xml:space="preserve">la </w:t>
      </w:r>
      <w:r>
        <w:t>ne</w:t>
      </w:r>
      <w:r w:rsidR="00BA3B64" w:rsidRPr="000570B8">
        <w:t>utralité</w:t>
      </w:r>
      <w:r w:rsidR="00BA3B64">
        <w:t xml:space="preserve"> dans une perspective </w:t>
      </w:r>
      <w:r w:rsidR="00BA3B64">
        <w:rPr>
          <w:i/>
          <w:iCs/>
        </w:rPr>
        <w:t xml:space="preserve">externe </w:t>
      </w:r>
      <w:r w:rsidR="00BA3B64">
        <w:t xml:space="preserve">et </w:t>
      </w:r>
      <w:r w:rsidR="00BA3B64">
        <w:rPr>
          <w:i/>
          <w:iCs/>
        </w:rPr>
        <w:t>idéologique</w:t>
      </w:r>
      <w:r w:rsidR="00BA3B64">
        <w:t xml:space="preserve">. L’invocation de la neutralité est ici motivée par le lien qu’entretient l’entreprise avec </w:t>
      </w:r>
      <w:r w:rsidR="00822DD4" w:rsidRPr="00822DD4">
        <w:t>l’État</w:t>
      </w:r>
      <w:r w:rsidR="00CC28C4">
        <w:t xml:space="preserve"> </w:t>
      </w:r>
      <w:r w:rsidR="00BA3B64">
        <w:t xml:space="preserve">: cette attache étatique rendrait nécessaire l’application de l’obligation de neutralité de </w:t>
      </w:r>
      <w:r w:rsidR="00822DD4" w:rsidRPr="00822DD4">
        <w:t xml:space="preserve">l’État </w:t>
      </w:r>
      <w:r w:rsidR="00BA3B64">
        <w:t>au contexte de l’entreprise privée</w:t>
      </w:r>
      <w:r w:rsidR="00BA3B64" w:rsidRPr="000570B8">
        <w:t>.</w:t>
      </w:r>
      <w:r w:rsidR="006654FF" w:rsidRPr="006654FF">
        <w:t xml:space="preserve"> </w:t>
      </w:r>
    </w:p>
    <w:p w14:paraId="39B43F4B" w14:textId="7B7CC967" w:rsidR="00BA3B64" w:rsidRDefault="006654FF" w:rsidP="00BA3B64">
      <w:r>
        <w:t>Cette catégorie se distingue des trois premières, en ce que la neutralité mobilisée ici ne correspond pas à une privatisation</w:t>
      </w:r>
      <w:r>
        <w:fldChar w:fldCharType="begin"/>
      </w:r>
      <w:r>
        <w:instrText xml:space="preserve"> XE "</w:instrText>
      </w:r>
      <w:r w:rsidRPr="00821CE3">
        <w:rPr>
          <w:rFonts w:eastAsia="Times New Roman" w:cs="Calibri"/>
          <w:color w:val="000000"/>
          <w:lang w:eastAsia="fr-BE"/>
        </w:rPr>
        <w:instrText>Privatisation</w:instrText>
      </w:r>
      <w:r>
        <w:rPr>
          <w:rFonts w:eastAsia="Times New Roman" w:cs="Calibri"/>
          <w:color w:val="000000"/>
          <w:lang w:eastAsia="fr-BE"/>
        </w:rPr>
        <w:instrText>"</w:instrText>
      </w:r>
      <w:r>
        <w:instrText xml:space="preserve"> </w:instrText>
      </w:r>
      <w:r>
        <w:fldChar w:fldCharType="end"/>
      </w:r>
      <w:r>
        <w:t xml:space="preserve"> du principe de neutralité, mais bien à une application directe de l’exigence de neutralité de l’État au sein de l’entreprise privée – que cette neutralité soit imposée par l’État ou considérée comme telle par l’entreprise.</w:t>
      </w:r>
    </w:p>
    <w:p w14:paraId="52ECE375" w14:textId="09CDB440" w:rsidR="00BA3B64" w:rsidRDefault="00BA3B64" w:rsidP="00BA3B64">
      <w:r>
        <w:t xml:space="preserve">Cette </w:t>
      </w:r>
      <w:r w:rsidRPr="008D517D">
        <w:t>extension</w:t>
      </w:r>
      <w:r w:rsidRPr="00724025">
        <w:t xml:space="preserve"> </w:t>
      </w:r>
      <w:r w:rsidRPr="008D517D">
        <w:t xml:space="preserve">de la neutralité de </w:t>
      </w:r>
      <w:r w:rsidR="00822DD4" w:rsidRPr="008D517D">
        <w:t>l’État</w:t>
      </w:r>
      <w:r w:rsidR="00822DD4" w:rsidRPr="00822DD4">
        <w:rPr>
          <w:i/>
          <w:iCs/>
        </w:rPr>
        <w:t xml:space="preserve"> </w:t>
      </w:r>
      <w:r>
        <w:t xml:space="preserve">constituerait le corollaire d’une </w:t>
      </w:r>
      <w:r w:rsidRPr="00C27887">
        <w:t>privatisation</w:t>
      </w:r>
      <w:r>
        <w:t xml:space="preserve"> de certaines </w:t>
      </w:r>
      <w:r w:rsidRPr="00C27887">
        <w:t>missions</w:t>
      </w:r>
      <w:r>
        <w:t xml:space="preserve"> initialement assurées par </w:t>
      </w:r>
      <w:r w:rsidR="00822DD4" w:rsidRPr="00822DD4">
        <w:t>l’État</w:t>
      </w:r>
      <w:r>
        <w:t xml:space="preserve">, qu’il s’agisse des entreprises exerçant une activité de </w:t>
      </w:r>
      <w:r w:rsidRPr="00153E39">
        <w:t>service public ou d’intérêt général, voire des entreprises percevant des subsides. Dans cette logique, face</w:t>
      </w:r>
      <w:r>
        <w:t xml:space="preserve"> à ce double mouvement </w:t>
      </w:r>
      <w:proofErr w:type="gramStart"/>
      <w:r>
        <w:t>d’ «</w:t>
      </w:r>
      <w:proofErr w:type="gramEnd"/>
      <w:r>
        <w:t> </w:t>
      </w:r>
      <w:proofErr w:type="spellStart"/>
      <w:r w:rsidRPr="008D517D">
        <w:rPr>
          <w:iCs/>
        </w:rPr>
        <w:t>entreprisation</w:t>
      </w:r>
      <w:proofErr w:type="spellEnd"/>
      <w:r>
        <w:rPr>
          <w:iCs/>
        </w:rPr>
        <w:t> »</w:t>
      </w:r>
      <w:r w:rsidR="00710B23" w:rsidRPr="002F1535">
        <w:rPr>
          <w:rStyle w:val="Appelnotedebasdep"/>
        </w:rPr>
        <w:footnoteReference w:id="340"/>
      </w:r>
      <w:r w:rsidRPr="00C62FAB">
        <w:rPr>
          <w:i/>
        </w:rPr>
        <w:t xml:space="preserve"> </w:t>
      </w:r>
      <w:r>
        <w:t xml:space="preserve">et de </w:t>
      </w:r>
      <w:r w:rsidRPr="008D517D">
        <w:rPr>
          <w:iCs/>
        </w:rPr>
        <w:t>privatisation</w:t>
      </w:r>
      <w:r>
        <w:t xml:space="preserve">, </w:t>
      </w:r>
      <w:r w:rsidR="00822DD4" w:rsidRPr="00822DD4">
        <w:t xml:space="preserve">l’État </w:t>
      </w:r>
      <w:r>
        <w:t>entend répliquer par une extension de la sphère d’intervention publique</w:t>
      </w:r>
      <w:r>
        <w:rPr>
          <w:rStyle w:val="Appelnotedebasdep"/>
        </w:rPr>
        <w:footnoteReference w:id="341"/>
      </w:r>
      <w:r>
        <w:t xml:space="preserve">, et, en l’occurrence, répercuter sur les entreprises l’application de la neutralité de </w:t>
      </w:r>
      <w:r w:rsidR="00822DD4" w:rsidRPr="00822DD4">
        <w:t>l’État</w:t>
      </w:r>
      <w:r>
        <w:t xml:space="preserve">. Autrement dit, dès lors que l’entreprise prend en charge un rôle dévolu originellement à </w:t>
      </w:r>
      <w:r w:rsidR="00822DD4" w:rsidRPr="00822DD4">
        <w:t>l’État</w:t>
      </w:r>
      <w:r>
        <w:t xml:space="preserve">, lui-même soumis à l’exigence de neutralité, il est logique que cette neutralité soit conjointement transposée de </w:t>
      </w:r>
      <w:r w:rsidR="00822DD4" w:rsidRPr="00822DD4">
        <w:t xml:space="preserve">l’État </w:t>
      </w:r>
      <w:r>
        <w:t>à l’entreprise.</w:t>
      </w:r>
    </w:p>
    <w:p w14:paraId="3A704082" w14:textId="5FA24BC1" w:rsidR="006654FF" w:rsidRDefault="006654FF" w:rsidP="006654FF">
      <w:r w:rsidRPr="00943E5A">
        <w:t>Nous entamerons ce chapitre en nous interrogeant sur les ressorts d’une telle extension idéologique de la neutralité de l’État à l’entreprise privée (</w:t>
      </w:r>
      <w:r w:rsidR="00943E5A" w:rsidRPr="00943E5A">
        <w:t>a</w:t>
      </w:r>
      <w:r w:rsidRPr="00943E5A">
        <w:t xml:space="preserve">). </w:t>
      </w:r>
      <w:r w:rsidR="00185089">
        <w:t>N</w:t>
      </w:r>
      <w:r w:rsidR="00943E5A">
        <w:t>ous</w:t>
      </w:r>
      <w:r w:rsidRPr="00943E5A">
        <w:t xml:space="preserve"> </w:t>
      </w:r>
      <w:r w:rsidR="00943E5A">
        <w:t>prendrons</w:t>
      </w:r>
      <w:r w:rsidR="00185089">
        <w:t xml:space="preserve"> ensuite</w:t>
      </w:r>
      <w:r w:rsidR="00943E5A">
        <w:t xml:space="preserve"> appui sur</w:t>
      </w:r>
      <w:r w:rsidR="00943E5A" w:rsidRPr="00943E5A">
        <w:t xml:space="preserve"> deu</w:t>
      </w:r>
      <w:r w:rsidR="004D466A">
        <w:t>x litiges juridictionnels</w:t>
      </w:r>
      <w:r w:rsidR="00943E5A" w:rsidRPr="00943E5A">
        <w:t xml:space="preserve">, </w:t>
      </w:r>
      <w:r w:rsidR="004D466A">
        <w:t xml:space="preserve">l’un </w:t>
      </w:r>
      <w:r w:rsidR="00943E5A" w:rsidRPr="00943E5A">
        <w:t>français</w:t>
      </w:r>
      <w:r w:rsidR="004D466A">
        <w:t xml:space="preserve">, l’autre </w:t>
      </w:r>
      <w:r w:rsidR="00943E5A" w:rsidRPr="00943E5A">
        <w:t xml:space="preserve">belge, </w:t>
      </w:r>
      <w:r w:rsidRPr="00943E5A">
        <w:t>a</w:t>
      </w:r>
      <w:r w:rsidR="00943E5A" w:rsidRPr="00943E5A">
        <w:t>fin d’illustrer les enjeux relatifs au contrôle de</w:t>
      </w:r>
      <w:r w:rsidRPr="00943E5A">
        <w:t xml:space="preserve"> légitimité </w:t>
      </w:r>
      <w:r w:rsidR="00943E5A" w:rsidRPr="00943E5A">
        <w:t>et de proportionnalité d</w:t>
      </w:r>
      <w:r w:rsidRPr="00943E5A">
        <w:t>e cette neutralité d’entreprise</w:t>
      </w:r>
      <w:r w:rsidR="00943E5A" w:rsidRPr="00943E5A">
        <w:t xml:space="preserve"> </w:t>
      </w:r>
      <w:r w:rsidRPr="00943E5A">
        <w:t>(</w:t>
      </w:r>
      <w:r w:rsidR="00943E5A" w:rsidRPr="00943E5A">
        <w:t>b</w:t>
      </w:r>
      <w:r w:rsidRPr="00943E5A">
        <w:t>).</w:t>
      </w:r>
    </w:p>
    <w:p w14:paraId="7F67A180" w14:textId="671123C6" w:rsidR="006654FF" w:rsidRDefault="006654FF" w:rsidP="008F46FF">
      <w:pPr>
        <w:pStyle w:val="Titre4"/>
        <w:numPr>
          <w:ilvl w:val="0"/>
          <w:numId w:val="24"/>
        </w:numPr>
      </w:pPr>
      <w:bookmarkStart w:id="57" w:name="_Toc91763363"/>
      <w:r w:rsidRPr="00DA37BA">
        <w:t>Neutralité externe et idéologique</w:t>
      </w:r>
      <w:bookmarkEnd w:id="57"/>
      <w:r w:rsidRPr="00DA37BA">
        <w:t xml:space="preserve"> </w:t>
      </w:r>
    </w:p>
    <w:p w14:paraId="10194F26" w14:textId="7041168F" w:rsidR="00331F79" w:rsidRDefault="006654FF" w:rsidP="0082211F">
      <w:pPr>
        <w:pStyle w:val="Paragraphedeliste"/>
      </w:pPr>
      <w:bookmarkStart w:id="58" w:name="_Ref120972931"/>
      <w:r>
        <w:t xml:space="preserve">Cette neutralité est </w:t>
      </w:r>
      <w:r w:rsidRPr="008D517D">
        <w:t>idéologique</w:t>
      </w:r>
      <w:r>
        <w:t>, dans la mesure où l’extension de la neutralité de l’État à la sphère de l’entreprise procède d’une idéologisation</w:t>
      </w:r>
      <w:r>
        <w:fldChar w:fldCharType="begin"/>
      </w:r>
      <w:r>
        <w:instrText xml:space="preserve"> XE "</w:instrText>
      </w:r>
      <w:r w:rsidRPr="00821CE3">
        <w:rPr>
          <w:rFonts w:eastAsia="Times New Roman" w:cs="Calibri"/>
          <w:color w:val="000000"/>
          <w:lang w:eastAsia="fr-BE"/>
        </w:rPr>
        <w:instrText>Idéologisation</w:instrText>
      </w:r>
      <w:r>
        <w:rPr>
          <w:rFonts w:eastAsia="Times New Roman" w:cs="Calibri"/>
          <w:color w:val="000000"/>
          <w:lang w:eastAsia="fr-BE"/>
        </w:rPr>
        <w:instrText>"</w:instrText>
      </w:r>
      <w:r>
        <w:instrText xml:space="preserve"> </w:instrText>
      </w:r>
      <w:r>
        <w:fldChar w:fldCharType="end"/>
      </w:r>
      <w:r>
        <w:t xml:space="preserve"> de la notion de neutralité de l’État, censée trouver à s’appliquer au-delà de sa sphère première. </w:t>
      </w:r>
      <w:r w:rsidR="00331F79">
        <w:t>La</w:t>
      </w:r>
      <w:r w:rsidR="00331F79" w:rsidRPr="00F53A3C">
        <w:t xml:space="preserve"> </w:t>
      </w:r>
      <w:proofErr w:type="spellStart"/>
      <w:r w:rsidR="00331F79" w:rsidRPr="00F53A3C">
        <w:t>convictionnalisation</w:t>
      </w:r>
      <w:proofErr w:type="spellEnd"/>
      <w:r w:rsidR="00331F79" w:rsidRPr="00F53A3C">
        <w:t> de la neutralité s’opère ici par le haut</w:t>
      </w:r>
      <w:r w:rsidR="00331F79">
        <w:t>, et non par le bas</w:t>
      </w:r>
      <w:r w:rsidR="00331F79" w:rsidRPr="00F53A3C">
        <w:t xml:space="preserve"> : à la différence de la neutralité de tendance, il n’est plus question d’une </w:t>
      </w:r>
      <w:r w:rsidR="00331F79" w:rsidRPr="00F53A3C">
        <w:lastRenderedPageBreak/>
        <w:t>neutralité idéologique privée, permise par la neutralité non idéologique de l’</w:t>
      </w:r>
      <w:r w:rsidR="00331F79">
        <w:t>État</w:t>
      </w:r>
      <w:r w:rsidR="00331F79" w:rsidRPr="00F53A3C">
        <w:t>, mais bien d’une idéologisation</w:t>
      </w:r>
      <w:r w:rsidR="00331F79">
        <w:fldChar w:fldCharType="begin"/>
      </w:r>
      <w:r w:rsidR="00331F79">
        <w:instrText xml:space="preserve"> XE "</w:instrText>
      </w:r>
      <w:r w:rsidR="00331F79" w:rsidRPr="00821CE3">
        <w:rPr>
          <w:rFonts w:eastAsia="Times New Roman" w:cs="Calibri"/>
          <w:color w:val="000000"/>
          <w:lang w:eastAsia="fr-BE"/>
        </w:rPr>
        <w:instrText>Idéologisation</w:instrText>
      </w:r>
      <w:r w:rsidR="00331F79">
        <w:rPr>
          <w:rFonts w:eastAsia="Times New Roman" w:cs="Calibri"/>
          <w:color w:val="000000"/>
          <w:lang w:eastAsia="fr-BE"/>
        </w:rPr>
        <w:instrText>"</w:instrText>
      </w:r>
      <w:r w:rsidR="00331F79">
        <w:instrText xml:space="preserve"> </w:instrText>
      </w:r>
      <w:r w:rsidR="00331F79">
        <w:fldChar w:fldCharType="end"/>
      </w:r>
      <w:r w:rsidR="00331F79" w:rsidRPr="00F53A3C">
        <w:t xml:space="preserve"> de la neutralité de l’</w:t>
      </w:r>
      <w:r w:rsidR="00331F79">
        <w:t>État</w:t>
      </w:r>
      <w:r w:rsidR="00331F79" w:rsidRPr="00F53A3C">
        <w:t xml:space="preserve"> elle-même, </w:t>
      </w:r>
      <w:r w:rsidR="00331F79">
        <w:t>en tant</w:t>
      </w:r>
      <w:r w:rsidR="00331F79" w:rsidRPr="00F53A3C">
        <w:t xml:space="preserve"> qu’étendue à l’entreprise.</w:t>
      </w:r>
      <w:bookmarkEnd w:id="58"/>
    </w:p>
    <w:p w14:paraId="61C28EED" w14:textId="331D02E0" w:rsidR="006654FF" w:rsidRPr="00CA4552" w:rsidRDefault="006654FF" w:rsidP="006654FF">
      <w:r>
        <w:t xml:space="preserve">Cette neutralité correspond par ailleurs à une perspective </w:t>
      </w:r>
      <w:r w:rsidRPr="008D517D">
        <w:t>externe</w:t>
      </w:r>
      <w:r>
        <w:t xml:space="preserve">, dans la mesure où sa mise en œuvre découle de l’application, au sein de l’entreprise privée, du principe de neutralité de l’État. Par </w:t>
      </w:r>
      <w:r w:rsidRPr="00CA4552">
        <w:t>externe</w:t>
      </w:r>
      <w:r>
        <w:t xml:space="preserve">, l’on entend donc ici l’intégration d’un principe dont le champ d’application est originellement </w:t>
      </w:r>
      <w:r w:rsidRPr="00CA4552">
        <w:t>extérieur</w:t>
      </w:r>
      <w:r>
        <w:t xml:space="preserve"> à l’entreprise.</w:t>
      </w:r>
    </w:p>
    <w:p w14:paraId="21E0FF41" w14:textId="6723C152" w:rsidR="00C44B35" w:rsidRDefault="00331F79" w:rsidP="00331F79">
      <w:r>
        <w:t>Si l’on se réfère à l’horizontalisation</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w:instrText>
      </w:r>
      <w:r>
        <w:instrText xml:space="preserve"> </w:instrText>
      </w:r>
      <w:r>
        <w:fldChar w:fldCharType="end"/>
      </w:r>
      <w:r>
        <w:t xml:space="preserve"> de la neutralité</w:t>
      </w:r>
      <w:r>
        <w:fldChar w:fldCharType="begin"/>
      </w:r>
      <w:r>
        <w:instrText xml:space="preserve"> XE "</w:instrText>
      </w:r>
      <w:r>
        <w:rPr>
          <w:rFonts w:eastAsia="Times New Roman" w:cs="Calibri"/>
          <w:color w:val="000000"/>
          <w:lang w:eastAsia="fr-BE"/>
        </w:rPr>
        <w:instrText>Horizontalisation:Horizontalisation de la neutralité"</w:instrText>
      </w:r>
      <w:r>
        <w:instrText xml:space="preserve"> </w:instrText>
      </w:r>
      <w:r>
        <w:fldChar w:fldCharType="end"/>
      </w:r>
      <w:r>
        <w:t xml:space="preserve"> développée en première partie, cette catégorie d’entreprise neutre correspond parfaitement à l’idée d’horizontalisation-transposition, dans une logique d’</w:t>
      </w:r>
      <w:r w:rsidRPr="005F646C">
        <w:rPr>
          <w:i/>
          <w:iCs/>
        </w:rPr>
        <w:t xml:space="preserve">expansion </w:t>
      </w:r>
      <w:r>
        <w:t xml:space="preserve">de la neutralité de l’État, et non de </w:t>
      </w:r>
      <w:r w:rsidRPr="005F646C">
        <w:rPr>
          <w:i/>
          <w:iCs/>
        </w:rPr>
        <w:t>privatisation</w:t>
      </w:r>
      <w:r>
        <w:rPr>
          <w:i/>
          <w:iCs/>
        </w:rPr>
        <w:fldChar w:fldCharType="begin"/>
      </w:r>
      <w:r>
        <w:rPr>
          <w:i/>
          <w:iCs/>
        </w:rPr>
        <w:instrText xml:space="preserve"> XE "</w:instrText>
      </w:r>
      <w:r w:rsidRPr="00821CE3">
        <w:rPr>
          <w:rFonts w:eastAsia="Times New Roman" w:cs="Calibri"/>
          <w:color w:val="000000"/>
          <w:lang w:eastAsia="fr-BE"/>
        </w:rPr>
        <w:instrText>Privatisation</w:instrText>
      </w:r>
      <w:r>
        <w:rPr>
          <w:rFonts w:eastAsia="Times New Roman" w:cs="Calibri"/>
          <w:color w:val="000000"/>
          <w:lang w:eastAsia="fr-BE"/>
        </w:rPr>
        <w:instrText>"</w:instrText>
      </w:r>
      <w:r>
        <w:rPr>
          <w:i/>
          <w:iCs/>
        </w:rPr>
        <w:instrText xml:space="preserve"> </w:instrText>
      </w:r>
      <w:r>
        <w:rPr>
          <w:i/>
          <w:iCs/>
        </w:rPr>
        <w:fldChar w:fldCharType="end"/>
      </w:r>
      <w:r>
        <w:t>.</w:t>
      </w:r>
    </w:p>
    <w:p w14:paraId="6CD01BD2" w14:textId="17E406AE" w:rsidR="00331F79" w:rsidRDefault="00331F79" w:rsidP="008D517D">
      <w:pPr>
        <w:pStyle w:val="Paragraphedeliste"/>
      </w:pPr>
      <w:bookmarkStart w:id="59" w:name="_Ref120973043"/>
      <w:r>
        <w:t xml:space="preserve">Plus spécifiquement, l’on a ici affaire à une horizontalisation-transposition de la neutralité de l’État envisagée en tant que neutralité </w:t>
      </w:r>
      <w:r>
        <w:rPr>
          <w:i/>
          <w:iCs/>
        </w:rPr>
        <w:t>narrative</w:t>
      </w:r>
      <w:r w:rsidR="00224F46" w:rsidRPr="008D517D">
        <w:rPr>
          <w:rStyle w:val="Appelnotedebasdep"/>
        </w:rPr>
        <w:footnoteReference w:id="342"/>
      </w:r>
      <w:r>
        <w:rPr>
          <w:i/>
          <w:iCs/>
        </w:rPr>
        <w:t> </w:t>
      </w:r>
      <w:r>
        <w:t>: la neutralité est mobilisée non en tant que simple principe juridique, mais bien en tant que valeur ou récit, dans un contexte qui dépasse son champ d’application strictement juridique</w:t>
      </w:r>
      <w:r w:rsidR="00D95288">
        <w:t xml:space="preserve">, et qui, </w:t>
      </w:r>
      <w:r w:rsidR="00D365B6">
        <w:t xml:space="preserve">néanmoins, influence le sens </w:t>
      </w:r>
      <w:r w:rsidR="005F1974">
        <w:t xml:space="preserve">et la portée </w:t>
      </w:r>
      <w:r w:rsidR="00D365B6">
        <w:t xml:space="preserve">de </w:t>
      </w:r>
      <w:r w:rsidR="005F1974">
        <w:t>la</w:t>
      </w:r>
      <w:r w:rsidR="00D365B6">
        <w:t xml:space="preserve"> neutralité</w:t>
      </w:r>
      <w:r w:rsidR="005F1974">
        <w:t xml:space="preserve"> sur le plan du droit</w:t>
      </w:r>
      <w:r>
        <w:t>. En ce sens, comme le note Stéphanie Hennette-Vauchez, l’on passe d’une « </w:t>
      </w:r>
      <w:r w:rsidRPr="00C0476E">
        <w:t>neutralité-séparation</w:t>
      </w:r>
      <w:r>
        <w:t xml:space="preserve"> à une </w:t>
      </w:r>
      <w:r w:rsidRPr="00C0476E">
        <w:t>neutralité-laïcisation</w:t>
      </w:r>
      <w:r>
        <w:t xml:space="preserve"> de la société » : dans cette perspective idéologique et narrative, « </w:t>
      </w:r>
      <w:r w:rsidRPr="00F573F1">
        <w:t>la laïcité n’est plus</w:t>
      </w:r>
      <w:r>
        <w:t xml:space="preserve"> </w:t>
      </w:r>
      <w:r w:rsidRPr="00F573F1">
        <w:t>une coquille vide permettant la coexistence de divers régimes de croyance, mais</w:t>
      </w:r>
      <w:r>
        <w:t xml:space="preserve"> </w:t>
      </w:r>
      <w:r w:rsidRPr="00F573F1">
        <w:t>acquiert un contenu substantiel et véhicule une conception du bien</w:t>
      </w:r>
      <w:r>
        <w:t> »</w:t>
      </w:r>
      <w:r>
        <w:rPr>
          <w:rStyle w:val="Appelnotedebasdep"/>
        </w:rPr>
        <w:footnoteReference w:id="343"/>
      </w:r>
      <w:r>
        <w:t>.</w:t>
      </w:r>
      <w:bookmarkEnd w:id="59"/>
    </w:p>
    <w:p w14:paraId="1358008C" w14:textId="599577AD" w:rsidR="006654FF" w:rsidRDefault="006654FF" w:rsidP="004D466A">
      <w:pPr>
        <w:pStyle w:val="Paragraphedeliste"/>
      </w:pPr>
      <w:r>
        <w:t xml:space="preserve">À travers cet ancrage dans la neutralité narrative, l’irruption de la neutralité de l’État dans la sphère de l’entreprise se concrétise par </w:t>
      </w:r>
      <w:r w:rsidRPr="00C0476E">
        <w:t>une focalisation sur la visibilité</w:t>
      </w:r>
      <w:r>
        <w:fldChar w:fldCharType="begin"/>
      </w:r>
      <w:r>
        <w:instrText xml:space="preserve"> XE "</w:instrText>
      </w:r>
      <w:r>
        <w:rPr>
          <w:rFonts w:eastAsia="Times New Roman" w:cs="Calibri"/>
          <w:color w:val="000000"/>
          <w:lang w:eastAsia="fr-BE"/>
        </w:rPr>
        <w:instrText>Visibilité"</w:instrText>
      </w:r>
      <w:r>
        <w:instrText xml:space="preserve"> </w:instrText>
      </w:r>
      <w:r>
        <w:fldChar w:fldCharType="end"/>
      </w:r>
      <w:r w:rsidRPr="00C0476E">
        <w:t xml:space="preserve"> du religieux</w:t>
      </w:r>
      <w:r>
        <w:t>. La restriction des expressions religieuses visibles est justifiée en l’occurrence sur la base de la neutralité des apparences</w:t>
      </w:r>
      <w:r>
        <w:fldChar w:fldCharType="begin"/>
      </w:r>
      <w:r>
        <w:instrText xml:space="preserve"> XE "</w:instrText>
      </w:r>
      <w:r w:rsidRPr="00821CE3">
        <w:rPr>
          <w:rFonts w:eastAsia="Times New Roman" w:cs="Calibri"/>
          <w:color w:val="000000"/>
          <w:lang w:eastAsia="fr-BE"/>
        </w:rPr>
        <w:instrText>Neutralité des apparences</w:instrText>
      </w:r>
      <w:r>
        <w:rPr>
          <w:rFonts w:eastAsia="Times New Roman" w:cs="Calibri"/>
          <w:color w:val="000000"/>
          <w:lang w:eastAsia="fr-BE"/>
        </w:rPr>
        <w:instrText>"</w:instrText>
      </w:r>
      <w:r>
        <w:instrText xml:space="preserve"> </w:instrText>
      </w:r>
      <w:r>
        <w:fldChar w:fldCharType="end"/>
      </w:r>
      <w:r>
        <w:t>. Appliquée initialement aux agents de l’État dont l’apparence religieuse pourrait faire naître un doute quant à leur impartialité vis-à-vis des usagers du service public</w:t>
      </w:r>
      <w:r>
        <w:fldChar w:fldCharType="begin"/>
      </w:r>
      <w:r>
        <w:instrText xml:space="preserve"> XE "</w:instrText>
      </w:r>
      <w:r>
        <w:rPr>
          <w:rFonts w:eastAsia="Times New Roman" w:cs="Calibri"/>
          <w:color w:val="000000"/>
          <w:lang w:eastAsia="fr-BE"/>
        </w:rPr>
        <w:instrText>Service public"</w:instrText>
      </w:r>
      <w:r>
        <w:instrText xml:space="preserve"> </w:instrText>
      </w:r>
      <w:r>
        <w:fldChar w:fldCharType="end"/>
      </w:r>
      <w:r>
        <w:t>, la neutralité des apparences est ici requise des travailleurs de l’entreprise privée, dès lors qu’ils contribuent, de près ou de loin, aux missions de l’État.</w:t>
      </w:r>
    </w:p>
    <w:p w14:paraId="221EBE6E" w14:textId="60644683" w:rsidR="006654FF" w:rsidRDefault="006654FF" w:rsidP="00D74064">
      <w:r>
        <w:t xml:space="preserve">L’on sait la marge de manœuvre plus large conférée aux États par la CourEDH, sur le plan du respect de l’article 9 de la CEDH, lorsque la restriction des expressions religieuses des </w:t>
      </w:r>
      <w:r w:rsidRPr="008D517D">
        <w:t>agents publics</w:t>
      </w:r>
      <w:r>
        <w:t xml:space="preserve"> est fondée sur une telle neutralité des apparences</w:t>
      </w:r>
      <w:r>
        <w:fldChar w:fldCharType="begin"/>
      </w:r>
      <w:r>
        <w:instrText xml:space="preserve"> XE "</w:instrText>
      </w:r>
      <w:r w:rsidRPr="00821CE3">
        <w:rPr>
          <w:rFonts w:eastAsia="Times New Roman" w:cs="Calibri"/>
          <w:color w:val="000000"/>
          <w:lang w:eastAsia="fr-BE"/>
        </w:rPr>
        <w:instrText>Neutralité des apparences</w:instrText>
      </w:r>
      <w:r>
        <w:rPr>
          <w:rFonts w:eastAsia="Times New Roman" w:cs="Calibri"/>
          <w:color w:val="000000"/>
          <w:lang w:eastAsia="fr-BE"/>
        </w:rPr>
        <w:instrText>"</w:instrText>
      </w:r>
      <w:r>
        <w:instrText xml:space="preserve"> </w:instrText>
      </w:r>
      <w:r>
        <w:fldChar w:fldCharType="end"/>
      </w:r>
      <w:r>
        <w:rPr>
          <w:rStyle w:val="Appelnotedebasdep"/>
        </w:rPr>
        <w:footnoteReference w:id="344"/>
      </w:r>
      <w:r w:rsidR="00224F46">
        <w:t>.</w:t>
      </w:r>
      <w:r>
        <w:t xml:space="preserve"> La question consiste dès lors à savoir dans quelle mesure les travailleurs du </w:t>
      </w:r>
      <w:r w:rsidRPr="008D517D">
        <w:t>secteur privé</w:t>
      </w:r>
      <w:r>
        <w:t xml:space="preserve"> peuvent être assimilés à des agents publics du point de vue de la neutralité des apparences.</w:t>
      </w:r>
    </w:p>
    <w:p w14:paraId="325A6B3B" w14:textId="3D62E3E5" w:rsidR="00B308AC" w:rsidRDefault="00B308AC" w:rsidP="004D466A">
      <w:pPr>
        <w:pStyle w:val="Paragraphedeliste"/>
      </w:pPr>
      <w:r>
        <w:t xml:space="preserve">Le cadre européen de l’UE et de la CEDH n’est, à l’heure actuelle, pas en mesure de fournir des balises claires en la matière. Du point de vue de Strasbourg, l’on a déjà pu souligner la légitimité de principe que semble reconnaître la CourEDH à l’insertion d’une forme d’obligation de neutralité dans le chef d’une entreprise privée chargée d’une mission publique. Plus incertaine est néanmoins la légitimité, au regard de l’article 9 de la CEDH, d’un devoir général de neutralité auquel seraient directement astreints les </w:t>
      </w:r>
      <w:r w:rsidRPr="008D517D">
        <w:t>travailleurs</w:t>
      </w:r>
      <w:r>
        <w:t xml:space="preserve"> d’une telle entreprise.</w:t>
      </w:r>
    </w:p>
    <w:p w14:paraId="51D092AB" w14:textId="284CF423" w:rsidR="00B308AC" w:rsidRDefault="00B308AC" w:rsidP="00B308AC">
      <w:r>
        <w:t xml:space="preserve">Du point de vue de l’UE, les règles prévues par la </w:t>
      </w:r>
      <w:r w:rsidR="00972B7E">
        <w:t>directive</w:t>
      </w:r>
      <w:r>
        <w:t xml:space="preserve"> 2000</w:t>
      </w:r>
      <w:r w:rsidR="00B0746E">
        <w:t>/78/CE</w:t>
      </w:r>
      <w:r>
        <w:t xml:space="preserve"> n’établissent à première vue aucune distinction entre le secteur privé et le secteur public du point de vue de la non-</w:t>
      </w:r>
      <w:r>
        <w:lastRenderedPageBreak/>
        <w:t>discrimination</w:t>
      </w:r>
      <w:r>
        <w:rPr>
          <w:rStyle w:val="Appelnotedebasdep"/>
        </w:rPr>
        <w:footnoteReference w:id="345"/>
      </w:r>
      <w:r w:rsidR="00224F46">
        <w:t>.</w:t>
      </w:r>
      <w:r>
        <w:t xml:space="preserve"> Une lecture attentive de la réserve d’ordre public</w:t>
      </w:r>
      <w:r>
        <w:fldChar w:fldCharType="begin"/>
      </w:r>
      <w:r>
        <w:instrText xml:space="preserve"> XE "</w:instrText>
      </w:r>
      <w:r w:rsidRPr="00821CE3">
        <w:rPr>
          <w:rFonts w:eastAsia="Times New Roman" w:cs="Calibri"/>
          <w:color w:val="000000"/>
          <w:lang w:eastAsia="fr-BE"/>
        </w:rPr>
        <w:instrText>Ordre public</w:instrText>
      </w:r>
      <w:r>
        <w:rPr>
          <w:rFonts w:eastAsia="Times New Roman" w:cs="Calibri"/>
          <w:color w:val="000000"/>
          <w:lang w:eastAsia="fr-BE"/>
        </w:rPr>
        <w:instrText>"</w:instrText>
      </w:r>
      <w:r>
        <w:instrText xml:space="preserve"> </w:instrText>
      </w:r>
      <w:r>
        <w:fldChar w:fldCharType="end"/>
      </w:r>
      <w:r w:rsidR="00EF38BD">
        <w:t xml:space="preserve"> </w:t>
      </w:r>
      <w:r>
        <w:t>contenue à l’article 2.5 pourrait néanmoins conduire à considérer que les restrictions fondées sur la neutralité de l’État trouvent une justification dans « la protection des droits et libertés d’autrui » – pour autant que ces restrictions correspondent à une « mesure prévue par la législation nationale ».</w:t>
      </w:r>
      <w:r w:rsidRPr="00443273">
        <w:t xml:space="preserve"> </w:t>
      </w:r>
      <w:r>
        <w:t>Il appartiendrait alors à l’État de prouver l’existence d’une telle règle en droit interne</w:t>
      </w:r>
      <w:r w:rsidR="00333D20">
        <w:t xml:space="preserve"> et</w:t>
      </w:r>
      <w:r>
        <w:t>, le cas échéant, le lien entre celle-ci et « l’identité nationale » de l’État membre, dont l’article 4.2 du TUE garantit le « respect » par l’UE</w:t>
      </w:r>
      <w:r>
        <w:rPr>
          <w:rStyle w:val="Appelnotedebasdep"/>
        </w:rPr>
        <w:footnoteReference w:id="346"/>
      </w:r>
      <w:r w:rsidR="00224F46">
        <w:t>.</w:t>
      </w:r>
    </w:p>
    <w:p w14:paraId="49979AF6" w14:textId="6165838A" w:rsidR="00B308AC" w:rsidRDefault="00B308AC" w:rsidP="00B308AC">
      <w:r>
        <w:t xml:space="preserve">Dans le même temps, il convient de tenir compte du fait que la légitimation d’une politique de neutralité restrictive par le biais de la liberté d’entreprise – comme la CJUE y procède </w:t>
      </w:r>
      <w:r w:rsidR="007E6E07">
        <w:t xml:space="preserve">dès l’arrêt </w:t>
      </w:r>
      <w:proofErr w:type="spellStart"/>
      <w:r>
        <w:rPr>
          <w:i/>
          <w:iCs/>
        </w:rPr>
        <w:t>Achbita</w:t>
      </w:r>
      <w:proofErr w:type="spellEnd"/>
      <w:r>
        <w:t xml:space="preserve"> – peut difficilement être envisagée lorsqu’il est question de l’application de la neutralité de l’État à l’entreprise</w:t>
      </w:r>
      <w:r>
        <w:rPr>
          <w:rStyle w:val="Appelnotedebasdep"/>
        </w:rPr>
        <w:footnoteReference w:id="347"/>
      </w:r>
      <w:r>
        <w:t>, à moins de basculer dans une des autres catégories d’entreprise neutre.</w:t>
      </w:r>
    </w:p>
    <w:p w14:paraId="5820BE56" w14:textId="2F32132A" w:rsidR="00B308AC" w:rsidRDefault="00B308AC" w:rsidP="00B308AC">
      <w:r>
        <w:t xml:space="preserve">Par ailleurs, il s’agit également de s’interroger sur l’application de cette neutralité restrictive soit à l’ensemble des travailleurs, soit aux seuls travailleurs en contact avec le « public » – que celui-ci soit considéré comme </w:t>
      </w:r>
      <w:r w:rsidRPr="008D517D">
        <w:t>client</w:t>
      </w:r>
      <w:r w:rsidRPr="008D517D">
        <w:fldChar w:fldCharType="begin"/>
      </w:r>
      <w:r w:rsidRPr="008D517D">
        <w:instrText xml:space="preserve"> XE "</w:instrText>
      </w:r>
      <w:r w:rsidRPr="007E6E07">
        <w:rPr>
          <w:rFonts w:eastAsia="Times New Roman" w:cs="Calibri"/>
          <w:color w:val="000000"/>
          <w:lang w:eastAsia="fr-BE"/>
        </w:rPr>
        <w:instrText>Clientèle"</w:instrText>
      </w:r>
      <w:r w:rsidRPr="008D517D">
        <w:instrText xml:space="preserve"> </w:instrText>
      </w:r>
      <w:r w:rsidRPr="008D517D">
        <w:fldChar w:fldCharType="end"/>
      </w:r>
      <w:r>
        <w:t xml:space="preserve"> du service </w:t>
      </w:r>
      <w:r w:rsidRPr="008D517D">
        <w:t>commercial</w:t>
      </w:r>
      <w:r>
        <w:t xml:space="preserve"> ou comme </w:t>
      </w:r>
      <w:r w:rsidRPr="008D517D">
        <w:t>usager</w:t>
      </w:r>
      <w:r>
        <w:t xml:space="preserve"> du service </w:t>
      </w:r>
      <w:r w:rsidRPr="008D517D">
        <w:t>public</w:t>
      </w:r>
      <w:r w:rsidR="00CC5754" w:rsidRPr="00CC5754">
        <w:rPr>
          <w:vertAlign w:val="superscript"/>
        </w:rPr>
        <w:footnoteReference w:id="348"/>
      </w:r>
      <w:r>
        <w:rPr>
          <w:i/>
          <w:iCs/>
        </w:rPr>
        <w:fldChar w:fldCharType="begin"/>
      </w:r>
      <w:r>
        <w:rPr>
          <w:i/>
          <w:iCs/>
        </w:rPr>
        <w:instrText xml:space="preserve"> XE "</w:instrText>
      </w:r>
      <w:r>
        <w:rPr>
          <w:rFonts w:eastAsia="Times New Roman" w:cs="Calibri"/>
          <w:color w:val="000000"/>
          <w:lang w:eastAsia="fr-BE"/>
        </w:rPr>
        <w:instrText>Service public"</w:instrText>
      </w:r>
      <w:r>
        <w:rPr>
          <w:i/>
          <w:iCs/>
        </w:rPr>
        <w:instrText xml:space="preserve"> </w:instrText>
      </w:r>
      <w:r>
        <w:rPr>
          <w:i/>
          <w:iCs/>
        </w:rPr>
        <w:fldChar w:fldCharType="end"/>
      </w:r>
      <w:r>
        <w:t>.</w:t>
      </w:r>
    </w:p>
    <w:p w14:paraId="5DF21700" w14:textId="0E743F0B" w:rsidR="00B308AC" w:rsidRDefault="007E6E07" w:rsidP="006654FF">
      <w:r>
        <w:t>Enfin, m</w:t>
      </w:r>
      <w:r w:rsidR="00B308AC">
        <w:t>ême à reconnaître la légitimité d’une telle</w:t>
      </w:r>
      <w:r w:rsidR="006654FF">
        <w:t xml:space="preserve"> exigence potentielle de neutralité « par ricochet » dans le chef de l’entreprise en lien avec l’État, encore s’agit-il de s’accorder sur l’intensité de cette obligation de neutralité, en comparaison de celle à laquelle est </w:t>
      </w:r>
      <w:r w:rsidR="004B14A7">
        <w:t>soumis</w:t>
      </w:r>
      <w:r w:rsidR="006654FF">
        <w:t xml:space="preserve"> l’État.</w:t>
      </w:r>
    </w:p>
    <w:p w14:paraId="395D5064" w14:textId="1CA350C8" w:rsidR="00853AD4" w:rsidRDefault="00B308AC" w:rsidP="004D466A">
      <w:pPr>
        <w:pStyle w:val="Paragraphedeliste"/>
      </w:pPr>
      <w:r>
        <w:t xml:space="preserve">Il convient à cet égard de prendre prioritairement en compte </w:t>
      </w:r>
      <w:r w:rsidR="00224F46">
        <w:t>l’étroitesse</w:t>
      </w:r>
      <w:r w:rsidR="004B14A7">
        <w:t xml:space="preserve"> du lien unissant l’entreprise à l’État, tant du point de vue de ses activités que de son financement.</w:t>
      </w:r>
    </w:p>
    <w:p w14:paraId="38F06534" w14:textId="405EBC95" w:rsidR="00853AD4" w:rsidRDefault="00B308AC" w:rsidP="00853AD4">
      <w:r>
        <w:t xml:space="preserve">Dans une première perspective, la nécessité d’une application de la neutralité de l’État au sein de l’entreprise privée est revendiquée en raison du lien entre </w:t>
      </w:r>
      <w:r w:rsidRPr="008D517D">
        <w:t>l’activité</w:t>
      </w:r>
      <w:r>
        <w:t xml:space="preserve"> de l’entreprise et l’État. Dès lors que cette activité est réalisée en tant que mission de service public</w:t>
      </w:r>
      <w:r>
        <w:fldChar w:fldCharType="begin"/>
      </w:r>
      <w:r>
        <w:instrText xml:space="preserve"> XE "</w:instrText>
      </w:r>
      <w:r>
        <w:rPr>
          <w:rFonts w:eastAsia="Times New Roman" w:cs="Calibri"/>
          <w:color w:val="000000"/>
          <w:lang w:eastAsia="fr-BE"/>
        </w:rPr>
        <w:instrText>Service public"</w:instrText>
      </w:r>
      <w:r>
        <w:instrText xml:space="preserve"> </w:instrText>
      </w:r>
      <w:r>
        <w:fldChar w:fldCharType="end"/>
      </w:r>
      <w:r>
        <w:t xml:space="preserve">, ou, </w:t>
      </w:r>
      <w:r>
        <w:rPr>
          <w:i/>
          <w:iCs/>
        </w:rPr>
        <w:t>a minima</w:t>
      </w:r>
      <w:r>
        <w:t>, d’intérêt général, la neutralité de l’État s’imposerait à l’entreprise ainsi que, le cas échéant, à ses propres travailleurs.</w:t>
      </w:r>
    </w:p>
    <w:p w14:paraId="5A68A078" w14:textId="1E8A411B" w:rsidR="00B308AC" w:rsidRDefault="004B14A7" w:rsidP="008D517D">
      <w:r>
        <w:t>Le second type d’attache envisagé pour justifier l’extension de la neutralité de l’État à l’entreprise privée a trait à l’existence d’un financement public</w:t>
      </w:r>
      <w:r>
        <w:rPr>
          <w:rStyle w:val="Appelnotedebasdep"/>
        </w:rPr>
        <w:footnoteReference w:id="349"/>
      </w:r>
      <w:r>
        <w:t xml:space="preserve"> de l’entreprise, lequel peut revêtir de nombreuses formes, allant d’une subvention directe à une déduction d’impôt ou une exonération de taxe, en passant par la prise en charge d’une partie du salaire de certains travailleurs.</w:t>
      </w:r>
    </w:p>
    <w:p w14:paraId="6C8B23C6" w14:textId="4B9AC174" w:rsidR="006654FF" w:rsidRDefault="00B308AC" w:rsidP="004D466A">
      <w:pPr>
        <w:pStyle w:val="Paragraphedeliste"/>
      </w:pPr>
      <w:r>
        <w:t>O</w:t>
      </w:r>
      <w:r w:rsidR="006654FF">
        <w:t xml:space="preserve">utre l’étroitesse du lien unissant l’entreprise et l’État </w:t>
      </w:r>
      <w:r w:rsidR="006654FF">
        <w:rPr>
          <w:i/>
          <w:iCs/>
        </w:rPr>
        <w:t>i</w:t>
      </w:r>
      <w:r>
        <w:rPr>
          <w:i/>
          <w:iCs/>
        </w:rPr>
        <w:t xml:space="preserve">n </w:t>
      </w:r>
      <w:proofErr w:type="spellStart"/>
      <w:r>
        <w:rPr>
          <w:i/>
          <w:iCs/>
        </w:rPr>
        <w:t>casu</w:t>
      </w:r>
      <w:proofErr w:type="spellEnd"/>
      <w:r w:rsidR="006654FF">
        <w:t>, entre également en ligne de compte la conception globale dans laquelle s’inscrivent les collaborations entre l’État et les acteurs privés quant à la poursuite des missions de service public</w:t>
      </w:r>
      <w:r w:rsidR="006654FF">
        <w:fldChar w:fldCharType="begin"/>
      </w:r>
      <w:r w:rsidR="006654FF">
        <w:instrText xml:space="preserve"> XE "</w:instrText>
      </w:r>
      <w:r w:rsidR="006654FF">
        <w:rPr>
          <w:rFonts w:eastAsia="Times New Roman" w:cs="Calibri"/>
          <w:color w:val="000000"/>
          <w:lang w:eastAsia="fr-BE"/>
        </w:rPr>
        <w:instrText>Service public"</w:instrText>
      </w:r>
      <w:r w:rsidR="006654FF">
        <w:instrText xml:space="preserve"> </w:instrText>
      </w:r>
      <w:r w:rsidR="006654FF">
        <w:fldChar w:fldCharType="end"/>
      </w:r>
      <w:r w:rsidR="006654FF">
        <w:t xml:space="preserve"> et d’intérêt général. Sur ce dernier point, la France et la Belgique se distinguent assez nettement.</w:t>
      </w:r>
    </w:p>
    <w:p w14:paraId="30E86202" w14:textId="14F743E2" w:rsidR="006654FF" w:rsidRDefault="006654FF" w:rsidP="006654FF">
      <w:r>
        <w:t xml:space="preserve">À l’inverse de la France, dont la structure reste relativement centralisée et étatiste, la Belgique est marquée par une pilarisation historique, traduite par le principe de </w:t>
      </w:r>
      <w:r w:rsidRPr="008D517D">
        <w:t>pluralisme</w:t>
      </w:r>
      <w:r>
        <w:rPr>
          <w:i/>
          <w:iCs/>
        </w:rPr>
        <w:fldChar w:fldCharType="begin"/>
      </w:r>
      <w:r>
        <w:rPr>
          <w:i/>
          <w:iCs/>
        </w:rPr>
        <w:instrText xml:space="preserve"> XE "</w:instrText>
      </w:r>
      <w:r w:rsidRPr="00821CE3">
        <w:rPr>
          <w:rFonts w:eastAsia="Times New Roman" w:cs="Calibri"/>
          <w:color w:val="000000"/>
          <w:lang w:eastAsia="fr-BE"/>
        </w:rPr>
        <w:instrText>Pluralisme</w:instrText>
      </w:r>
      <w:r>
        <w:rPr>
          <w:rFonts w:eastAsia="Times New Roman" w:cs="Calibri"/>
          <w:color w:val="000000"/>
          <w:lang w:eastAsia="fr-BE"/>
        </w:rPr>
        <w:instrText>"</w:instrText>
      </w:r>
      <w:r>
        <w:rPr>
          <w:i/>
          <w:iCs/>
        </w:rPr>
        <w:instrText xml:space="preserve"> </w:instrText>
      </w:r>
      <w:r>
        <w:rPr>
          <w:i/>
          <w:iCs/>
        </w:rPr>
        <w:fldChar w:fldCharType="end"/>
      </w:r>
      <w:r>
        <w:t xml:space="preserve">, et impliquant notamment que les structures associatives liées à chaque courant de pensée participent activement à </w:t>
      </w:r>
      <w:r>
        <w:lastRenderedPageBreak/>
        <w:t>l’action publique</w:t>
      </w:r>
      <w:r>
        <w:rPr>
          <w:rStyle w:val="Appelnotedebasdep"/>
        </w:rPr>
        <w:footnoteReference w:id="350"/>
      </w:r>
      <w:r w:rsidR="00224F46">
        <w:t>.</w:t>
      </w:r>
      <w:r>
        <w:t xml:space="preserve"> Dans un tel contexte, il est difficile, et même contradictoire, de requérir de ces organisations – et, </w:t>
      </w:r>
      <w:r w:rsidRPr="008D517D">
        <w:t>a fortiori</w:t>
      </w:r>
      <w:r>
        <w:t xml:space="preserve">, de leurs travailleurs – </w:t>
      </w:r>
      <w:r w:rsidRPr="004531F8">
        <w:t>un</w:t>
      </w:r>
      <w:r>
        <w:t xml:space="preserve"> devoir de neutralité équivalent à celui auquel est </w:t>
      </w:r>
      <w:r w:rsidR="0094723B">
        <w:t>astreint</w:t>
      </w:r>
      <w:r>
        <w:t xml:space="preserve"> l’État</w:t>
      </w:r>
      <w:r>
        <w:rPr>
          <w:rStyle w:val="Appelnotedebasdep"/>
        </w:rPr>
        <w:footnoteReference w:id="351"/>
      </w:r>
      <w:r w:rsidR="00224F46">
        <w:t>.</w:t>
      </w:r>
    </w:p>
    <w:p w14:paraId="5E04C2F6" w14:textId="77777777" w:rsidR="006654FF" w:rsidRDefault="006654FF" w:rsidP="006654FF">
      <w:r>
        <w:t xml:space="preserve">Du point de vue français, dès lors que la participation des organisations privées à l’action de l’État correspond moins à une </w:t>
      </w:r>
      <w:r w:rsidRPr="008D517D">
        <w:t>coopération</w:t>
      </w:r>
      <w:r>
        <w:t xml:space="preserve"> entre celles-ci et l’État qu’à une </w:t>
      </w:r>
      <w:r w:rsidRPr="008D517D">
        <w:t>délégation</w:t>
      </w:r>
      <w:r>
        <w:t xml:space="preserve"> de service public, l’exigence de neutralité y trouve une résonnance plus marquée. Telle est ainsi la perspective adoptée par la loi française du 24 août 2021, dite « loi séparatisme »</w:t>
      </w:r>
      <w:r>
        <w:rPr>
          <w:rStyle w:val="Appelnotedebasdep"/>
        </w:rPr>
        <w:footnoteReference w:id="352"/>
      </w:r>
      <w:r>
        <w:t>, dont l’article I.1 impose aux entreprises privées chargées de l’exécution d’un service public « </w:t>
      </w:r>
      <w:r w:rsidRPr="002C5FD8">
        <w:t>de veiller au respect des principes de laïcité et de neutralité du service public</w:t>
      </w:r>
      <w:r>
        <w:t> ». Cette obligation implique que les « salariés », « ou toute autre personne », « </w:t>
      </w:r>
      <w:r w:rsidRPr="002C5FD8">
        <w:t>lorsqu'ils participent à l'exécution du service public, s'abstiennent notamment de manifester leurs opinions politiques ou religieuses</w:t>
      </w:r>
      <w:r>
        <w:t> ».</w:t>
      </w:r>
    </w:p>
    <w:p w14:paraId="64DED6B8" w14:textId="0AC08AC1" w:rsidR="00BA3B64" w:rsidRDefault="00BA3B64" w:rsidP="004B14A7">
      <w:pPr>
        <w:pStyle w:val="Titre4"/>
      </w:pPr>
      <w:r w:rsidRPr="004B14A7">
        <w:t>Illustration</w:t>
      </w:r>
      <w:r>
        <w:t xml:space="preserve"> : </w:t>
      </w:r>
      <w:r w:rsidR="004B14A7">
        <w:t xml:space="preserve">les affaires </w:t>
      </w:r>
      <w:r w:rsidRPr="004B14A7">
        <w:rPr>
          <w:i w:val="0"/>
          <w:iCs w:val="0"/>
        </w:rPr>
        <w:t>CPAM</w:t>
      </w:r>
      <w:r>
        <w:t xml:space="preserve"> et </w:t>
      </w:r>
      <w:r w:rsidRPr="004B14A7">
        <w:rPr>
          <w:i w:val="0"/>
          <w:iCs w:val="0"/>
        </w:rPr>
        <w:t>PSE</w:t>
      </w:r>
    </w:p>
    <w:p w14:paraId="53E03B2B" w14:textId="3A7F9A66" w:rsidR="00BA3B64" w:rsidRDefault="00BA3B64" w:rsidP="004D466A">
      <w:pPr>
        <w:pStyle w:val="Paragraphedeliste"/>
      </w:pPr>
      <w:r w:rsidRPr="00153E39">
        <w:t>Deux exemples</w:t>
      </w:r>
      <w:r>
        <w:t xml:space="preserve"> tirés de la jurisprudence peuvent ici illustrer ce modèle d</w:t>
      </w:r>
      <w:r w:rsidR="00262A11">
        <w:t>’extension de la</w:t>
      </w:r>
      <w:r>
        <w:t xml:space="preserve"> neutralité de </w:t>
      </w:r>
      <w:r w:rsidR="00822DD4" w:rsidRPr="00822DD4">
        <w:t xml:space="preserve">l’État </w:t>
      </w:r>
      <w:r>
        <w:t xml:space="preserve">vers l’entreprise. Les deux affaires, française et belge, portent </w:t>
      </w:r>
      <w:r w:rsidR="00262A11">
        <w:t>à nouveau</w:t>
      </w:r>
      <w:r>
        <w:t xml:space="preserve"> sur le licenciement d’une salariée en raison du port du foulard au travail.</w:t>
      </w:r>
    </w:p>
    <w:p w14:paraId="5C4AB0CB" w14:textId="0D757540" w:rsidR="00BA3B64" w:rsidRDefault="00BA3B64" w:rsidP="004D466A">
      <w:pPr>
        <w:pStyle w:val="Paragraphedeliste"/>
      </w:pPr>
      <w:r w:rsidRPr="005A51E8">
        <w:t xml:space="preserve">L’affaire française concerne le cas d’une </w:t>
      </w:r>
      <w:r>
        <w:t>employée</w:t>
      </w:r>
      <w:r w:rsidRPr="005A51E8">
        <w:t xml:space="preserve"> travaillant au sein d’une caisse d’assurance maladie</w:t>
      </w:r>
      <w:r>
        <w:t xml:space="preserve"> (CPAM)</w:t>
      </w:r>
      <w:r w:rsidRPr="005A51E8">
        <w:t>, structure de droit privé exerçant une mission de service public</w:t>
      </w:r>
      <w:r>
        <w:t>. Sur cette base, dans un arrêt rendu en 2013</w:t>
      </w:r>
      <w:r w:rsidR="008E68E0">
        <w:t xml:space="preserve"> – le même jour que l’arrêt </w:t>
      </w:r>
      <w:r w:rsidR="008E68E0">
        <w:rPr>
          <w:i/>
          <w:iCs/>
        </w:rPr>
        <w:t>Baby Loup –</w:t>
      </w:r>
      <w:r>
        <w:t>, la</w:t>
      </w:r>
      <w:r w:rsidR="008E68E0">
        <w:t xml:space="preserve"> chambre sociale de la</w:t>
      </w:r>
      <w:r>
        <w:t xml:space="preserve"> Cour de cassation</w:t>
      </w:r>
      <w:r w:rsidR="008E68E0">
        <w:t xml:space="preserve"> française</w:t>
      </w:r>
      <w:r>
        <w:t xml:space="preserve"> considère que « </w:t>
      </w:r>
      <w:r w:rsidRPr="005A51E8">
        <w:t>les principes de neutralité et de laïcité du service public sont applicables à l’ensemble des services publics, y compris lorsque ceux-ci sont assurés par des organismes de droit privé</w:t>
      </w:r>
      <w:r>
        <w:t> » tels que la CPAM en l’espèce</w:t>
      </w:r>
      <w:r>
        <w:rPr>
          <w:rStyle w:val="Appelnotedebasdep"/>
        </w:rPr>
        <w:footnoteReference w:id="353"/>
      </w:r>
      <w:r w:rsidR="006A671A">
        <w:t>.</w:t>
      </w:r>
      <w:r>
        <w:t xml:space="preserve"> </w:t>
      </w:r>
      <w:r w:rsidR="008E68E0">
        <w:t>L</w:t>
      </w:r>
      <w:r w:rsidR="008E68E0">
        <w:rPr>
          <w:iCs/>
        </w:rPr>
        <w:t>’interdiction des expressions religieuses des travailleurs est validée, tenant compte du fait que ceux-ci sont « </w:t>
      </w:r>
      <w:r w:rsidR="008E68E0" w:rsidRPr="00FC4572">
        <w:t>soumis à des contraintes spécifiques résultant du fait qu’ils participent à une mission de service public, lesquelles leur interdisent notamment de manifester leurs croyances religieuses par des signes extérieurs, en particulier vestimentaires</w:t>
      </w:r>
      <w:r w:rsidR="008E68E0">
        <w:t xml:space="preserve"> ». </w:t>
      </w:r>
      <w:r>
        <w:t>Selon la Cour, « </w:t>
      </w:r>
      <w:r w:rsidRPr="00DD168F">
        <w:t>peu important que la salariée soit ou non directement en contact avec le public</w:t>
      </w:r>
      <w:r>
        <w:t> »</w:t>
      </w:r>
      <w:r w:rsidRPr="00DD168F">
        <w:t>,</w:t>
      </w:r>
      <w:r>
        <w:t xml:space="preserve"> l’interdiction du port de signes religieux </w:t>
      </w:r>
      <w:r w:rsidRPr="00DD168F">
        <w:t>était</w:t>
      </w:r>
      <w:r>
        <w:t xml:space="preserve"> effectivement</w:t>
      </w:r>
      <w:r w:rsidRPr="00DD168F">
        <w:t xml:space="preserve"> </w:t>
      </w:r>
      <w:r>
        <w:t>« </w:t>
      </w:r>
      <w:r w:rsidRPr="00DD168F">
        <w:t>nécessaire à la mise en œuvre du principe de laïcité de nature à assurer aux yeux des usagers la neutralité du service public</w:t>
      </w:r>
      <w:r>
        <w:t xml:space="preserve"> et à ses employés ».</w:t>
      </w:r>
    </w:p>
    <w:p w14:paraId="386D4339" w14:textId="0BE9820C" w:rsidR="00BA3B64" w:rsidRDefault="00BA3B64" w:rsidP="004D466A">
      <w:pPr>
        <w:pStyle w:val="Paragraphedeliste"/>
      </w:pPr>
      <w:r>
        <w:t xml:space="preserve">L’affaire belge porte quant à elle sur l’association </w:t>
      </w:r>
      <w:r w:rsidRPr="00DD168F">
        <w:rPr>
          <w:i/>
          <w:iCs/>
        </w:rPr>
        <w:t>PSE</w:t>
      </w:r>
      <w:r>
        <w:t xml:space="preserve">, qui emploie des infirmières en milieu scolaire. Nonobstant son caractère privé, le </w:t>
      </w:r>
      <w:r w:rsidR="003B07B8">
        <w:t xml:space="preserve">tribunal </w:t>
      </w:r>
      <w:r>
        <w:t xml:space="preserve">du travail de Bruxelles considère comme légitime l’imposition du principe de neutralité de </w:t>
      </w:r>
      <w:r w:rsidR="00822DD4" w:rsidRPr="00822DD4">
        <w:t xml:space="preserve">l’État </w:t>
      </w:r>
      <w:r>
        <w:t xml:space="preserve">aux infirmières de l’association, dès lors que celles-ci travaillent dans des </w:t>
      </w:r>
      <w:r w:rsidRPr="004A451E">
        <w:t>écoles publiques</w:t>
      </w:r>
      <w:r>
        <w:rPr>
          <w:rStyle w:val="Appelnotedebasdep"/>
        </w:rPr>
        <w:footnoteReference w:id="354"/>
      </w:r>
      <w:r w:rsidR="006A671A">
        <w:t>.</w:t>
      </w:r>
      <w:r>
        <w:t xml:space="preserve"> </w:t>
      </w:r>
      <w:r w:rsidR="008E68E0">
        <w:t xml:space="preserve">Pour conclure au caractère légitime de la neutralité exigée de </w:t>
      </w:r>
      <w:r w:rsidR="008E68E0">
        <w:lastRenderedPageBreak/>
        <w:t xml:space="preserve">ses travailleurs, le </w:t>
      </w:r>
      <w:r w:rsidR="0094723B">
        <w:t>t</w:t>
      </w:r>
      <w:r w:rsidR="008E68E0">
        <w:t>ribunal insiste sur la mission de service public</w:t>
      </w:r>
      <w:r w:rsidR="008E68E0">
        <w:fldChar w:fldCharType="begin"/>
      </w:r>
      <w:r w:rsidR="008E68E0">
        <w:instrText xml:space="preserve"> XE "</w:instrText>
      </w:r>
      <w:r w:rsidR="008E68E0">
        <w:rPr>
          <w:rFonts w:eastAsia="Times New Roman" w:cs="Calibri"/>
          <w:color w:val="000000"/>
          <w:lang w:eastAsia="fr-BE"/>
        </w:rPr>
        <w:instrText>Service public"</w:instrText>
      </w:r>
      <w:r w:rsidR="008E68E0">
        <w:instrText xml:space="preserve"> </w:instrText>
      </w:r>
      <w:r w:rsidR="008E68E0">
        <w:fldChar w:fldCharType="end"/>
      </w:r>
      <w:r w:rsidR="008E68E0">
        <w:t xml:space="preserve"> de l’association</w:t>
      </w:r>
      <w:r w:rsidR="008E68E0">
        <w:rPr>
          <w:rStyle w:val="Appelnotedebasdep"/>
        </w:rPr>
        <w:footnoteReference w:id="355"/>
      </w:r>
      <w:r w:rsidR="008E68E0">
        <w:t>, de même que sur la vulnérabilité</w:t>
      </w:r>
      <w:r w:rsidR="00BC20B7">
        <w:rPr>
          <w:rStyle w:val="Appelnotedebasdep"/>
        </w:rPr>
        <w:footnoteReference w:id="356"/>
      </w:r>
      <w:r w:rsidR="008E68E0">
        <w:t xml:space="preserve"> des élèves avec lesquels les infirmières sont en contact.</w:t>
      </w:r>
    </w:p>
    <w:p w14:paraId="16A776D0" w14:textId="5303BF44" w:rsidR="00CB4EE8" w:rsidRDefault="00CB4EE8" w:rsidP="008E68E0">
      <w:r>
        <w:t xml:space="preserve">Par ailleurs, contrairement à la position française selon laquelle l’obligation de neutralité découle directement des normes réglementaires applicables au service public, le </w:t>
      </w:r>
      <w:r w:rsidR="0094723B">
        <w:t>t</w:t>
      </w:r>
      <w:r>
        <w:t>ribunal insiste ici sur le fait qu’il « </w:t>
      </w:r>
      <w:r w:rsidRPr="005029E4">
        <w:t xml:space="preserve">n’est pas requis pour </w:t>
      </w:r>
      <w:r>
        <w:t>ce</w:t>
      </w:r>
      <w:r w:rsidRPr="005029E4">
        <w:t xml:space="preserve"> faire de démontrer que </w:t>
      </w:r>
      <w:r w:rsidRPr="00C237FA">
        <w:rPr>
          <w:i/>
          <w:iCs/>
        </w:rPr>
        <w:t>PSE</w:t>
      </w:r>
      <w:r w:rsidRPr="005029E4">
        <w:t xml:space="preserve"> a une obligation constitutionnelle, légale, réglementaire ou contractuelle de respecter un principe de neutralité</w:t>
      </w:r>
      <w:r>
        <w:t> » : en d’autres termes, la seule volonté de l’employeur privé d’intégrer cette exigence publique de neutralité, hors de toute obligation légale, est en soi suffisante pour que cet objectif soit considéré comme légitime</w:t>
      </w:r>
      <w:r>
        <w:rPr>
          <w:rStyle w:val="Appelnotedebasdep"/>
        </w:rPr>
        <w:footnoteReference w:id="357"/>
      </w:r>
      <w:r w:rsidR="006A671A">
        <w:t>.</w:t>
      </w:r>
    </w:p>
    <w:p w14:paraId="7EBA00AC" w14:textId="4B909068" w:rsidR="008E68E0" w:rsidRDefault="00CB4EE8" w:rsidP="004D466A">
      <w:pPr>
        <w:pStyle w:val="Paragraphedeliste"/>
      </w:pPr>
      <w:r>
        <w:t>Dans cette dernière hypothèse, l’on peut encore s’interroger : non imposée par l’État, cette neutralité peut-elle encore tirer sa légitimité de la relation liant l’entreprise à l’État, ou l’employeur est-il plutôt amené à invoquer sa propre liberté d’entreprise à l’appui de cette neutralité ? Dans ce cas, l’on sort du modèle de l’extension de la neutralité de l’État à l’entreprise pour retomber dans un des trois modèles précédemment évoqués, tenant compte de l’objectif – instrumental ou idéologique – poursuivi par l’employeur. La relation qu’entretient l’entreprise avec l’État n’intervient alors qu’en tant qu’élément de légitimation complémentaire de cette neutralité.</w:t>
      </w:r>
    </w:p>
    <w:p w14:paraId="407FB377" w14:textId="3AC069A9" w:rsidR="00CB4EE8" w:rsidRPr="004A0002" w:rsidRDefault="00CB4EE8" w:rsidP="00CB4EE8">
      <w:r w:rsidRPr="002E1BFA">
        <w:t xml:space="preserve">L’absence d’interdiction formelle n’empêche pourtant pas certaines </w:t>
      </w:r>
      <w:r>
        <w:t>organisations</w:t>
      </w:r>
      <w:r w:rsidRPr="002E1BFA">
        <w:t xml:space="preserve"> de justifier la nécessité d’une restriction des expressions religieuses précisément </w:t>
      </w:r>
      <w:r>
        <w:t>en raison</w:t>
      </w:r>
      <w:r w:rsidRPr="002E1BFA">
        <w:t xml:space="preserve"> de leurs conditions de subventionnement.</w:t>
      </w:r>
      <w:r>
        <w:t xml:space="preserve"> </w:t>
      </w:r>
      <w:r w:rsidR="007302A4">
        <w:t>Ainsi</w:t>
      </w:r>
      <w:r>
        <w:t xml:space="preserve">, dans l’affaire </w:t>
      </w:r>
      <w:r>
        <w:rPr>
          <w:i/>
          <w:iCs/>
        </w:rPr>
        <w:t>PSE</w:t>
      </w:r>
      <w:r>
        <w:t xml:space="preserve">, le </w:t>
      </w:r>
      <w:r w:rsidR="003B07B8">
        <w:t xml:space="preserve">tribunal </w:t>
      </w:r>
      <w:r>
        <w:t>du travail insiste sur les conditions de subventionnement de l’association pour justifier la restriction :</w:t>
      </w:r>
    </w:p>
    <w:p w14:paraId="7E14A236" w14:textId="77777777" w:rsidR="00CB4EE8" w:rsidRDefault="00CB4EE8" w:rsidP="00CB4EE8">
      <w:pPr>
        <w:pStyle w:val="Citation1"/>
      </w:pPr>
      <w:r>
        <w:t>Il se conçoit assez aisément que les écoles collaborant avec PSE, dont certaines imposeront à leur personnel le respect d’une stricte neutralité, que ce soit au nom du principe de neutralité ou au nom du respect de la liberté de conscience</w:t>
      </w:r>
      <w:r>
        <w:fldChar w:fldCharType="begin"/>
      </w:r>
      <w:r>
        <w:instrText xml:space="preserve"> XE "</w:instrText>
      </w:r>
      <w:r w:rsidRPr="00821CE3">
        <w:rPr>
          <w:rFonts w:eastAsia="Times New Roman" w:cs="Calibri"/>
          <w:color w:val="000000"/>
          <w:lang w:eastAsia="fr-BE"/>
        </w:rPr>
        <w:instrText>Conscienc</w:instrText>
      </w:r>
      <w:r>
        <w:rPr>
          <w:rFonts w:eastAsia="Times New Roman" w:cs="Calibri"/>
          <w:color w:val="000000"/>
          <w:lang w:eastAsia="fr-BE"/>
        </w:rPr>
        <w:instrText>e"</w:instrText>
      </w:r>
      <w:r>
        <w:instrText xml:space="preserve"> </w:instrText>
      </w:r>
      <w:r>
        <w:fldChar w:fldCharType="end"/>
      </w:r>
      <w:r>
        <w:t xml:space="preserve"> et de religion des parents et des élèves, sans que cela soit critiquable légalement, puissent exiger de PSE que son propre personnel en contact avec les élèves ne porte pas de signes religieux ou convictionnels au sens large et puissent si tel était le cas, préférer collaborer à l’avenir avec des personnes de droit public organisant un service de promotion de la santé à l’école auxquels s’applique le principe de neutralité. </w:t>
      </w:r>
    </w:p>
    <w:p w14:paraId="789FE47B" w14:textId="77777777" w:rsidR="00CB4EE8" w:rsidRDefault="00CB4EE8" w:rsidP="00CB4EE8">
      <w:pPr>
        <w:pStyle w:val="Citation1"/>
      </w:pPr>
      <w:r w:rsidRPr="0019639D">
        <w:rPr>
          <w:i/>
          <w:iCs/>
        </w:rPr>
        <w:t xml:space="preserve">Le risque de subir une concurrence et de perdre des subsides, qui constitue un second motif invoqué par PSE pour justifier la mise en œuvre d’une politique stricte de neutralité, n’est dès lors pas inexistant et </w:t>
      </w:r>
      <w:proofErr w:type="gramStart"/>
      <w:r w:rsidRPr="0019639D">
        <w:rPr>
          <w:i/>
          <w:iCs/>
        </w:rPr>
        <w:t>justifie lui</w:t>
      </w:r>
      <w:proofErr w:type="gramEnd"/>
      <w:r w:rsidRPr="0019639D">
        <w:rPr>
          <w:i/>
          <w:iCs/>
        </w:rPr>
        <w:t xml:space="preserve"> aussi la politique de stricte neutralité imposée à son personnel</w:t>
      </w:r>
      <w:r>
        <w:t>.</w:t>
      </w:r>
      <w:r>
        <w:rPr>
          <w:rStyle w:val="Appelnotedebasdep"/>
        </w:rPr>
        <w:footnoteReference w:id="358"/>
      </w:r>
    </w:p>
    <w:p w14:paraId="290D2E0F" w14:textId="34ED59DB" w:rsidR="00CB4EE8" w:rsidRDefault="00CB4EE8" w:rsidP="004D466A">
      <w:pPr>
        <w:pStyle w:val="Paragraphedeliste"/>
      </w:pPr>
      <w:r>
        <w:t xml:space="preserve">S’il n’apparaît pas clairement, dans l’une et l’autre affaire, que la neutralité ait été véritablement imposée par les autorités aux travailleurs de </w:t>
      </w:r>
      <w:r w:rsidR="007302A4">
        <w:t>l’organisation</w:t>
      </w:r>
      <w:r>
        <w:t xml:space="preserve"> en question, il nous semble, quoi qu’il en soi, important d’examiner la pertinence de l’invocation de la neutralité de l’État dans ce contexte. Nous avions déjà évoqué, concernant les organisations collaborant à une mission de service </w:t>
      </w:r>
      <w:r>
        <w:lastRenderedPageBreak/>
        <w:t>public</w:t>
      </w:r>
      <w:r>
        <w:fldChar w:fldCharType="begin"/>
      </w:r>
      <w:r>
        <w:instrText xml:space="preserve"> XE "</w:instrText>
      </w:r>
      <w:r>
        <w:rPr>
          <w:rFonts w:eastAsia="Times New Roman" w:cs="Calibri"/>
          <w:color w:val="000000"/>
          <w:lang w:eastAsia="fr-BE"/>
        </w:rPr>
        <w:instrText>Service public"</w:instrText>
      </w:r>
      <w:r>
        <w:instrText xml:space="preserve"> </w:instrText>
      </w:r>
      <w:r>
        <w:fldChar w:fldCharType="end"/>
      </w:r>
      <w:r>
        <w:t xml:space="preserve"> ou d’intérêt général, la difficulté de soumettre celles-ci aux mêmes exigences de neutralité, tenant compte de leur autonomie organisationnelle – voire idéologique, dans le cas de la Belgique. La remarque est d’autant plus vraie à propos des organisations faisant seulement l’objet d’un subventionnement. D’une part, la relation que celles-ci entretiennent avec l’État est sensiblement moins étroite. </w:t>
      </w:r>
      <w:r w:rsidR="006A671A">
        <w:t>D’autre part</w:t>
      </w:r>
      <w:r>
        <w:t>, eu égard à la proportion importante d’organisations concernées, conditionner toute subvention à l’intégration de la neutralité de l’État ne serait pas justifiable au regard des libertés de religion, d’association et d’entreprise dont jouissent ces organisations.</w:t>
      </w:r>
    </w:p>
    <w:p w14:paraId="02E9A716" w14:textId="6EB41D05" w:rsidR="00CB4EE8" w:rsidRPr="00CB4EE8" w:rsidRDefault="00CB4EE8" w:rsidP="00CB4EE8">
      <w:r>
        <w:t xml:space="preserve">Peut d’ailleurs être mise en lien avec cette extension de la neutralité de l’État aux organisations subventionnées, la volonté d’assujettir l’agrément – et donc le subventionnement – des institutions de soins privées à la mise en œuvre de certaines pratiques éthiquement </w:t>
      </w:r>
      <w:r w:rsidR="007302A4">
        <w:t>sensibles</w:t>
      </w:r>
      <w:r>
        <w:t xml:space="preserve"> mais néanmoins dépénalisées, telles que l’euthanasie</w:t>
      </w:r>
      <w:r>
        <w:rPr>
          <w:rStyle w:val="Appelnotedebasdep"/>
        </w:rPr>
        <w:footnoteReference w:id="359"/>
      </w:r>
      <w:r>
        <w:t> ou l’interruption volontaire de grossesse. Si la neutralité de l’État n’est dans ce cas pas explicitement invoquée à l’appui de la restriction</w:t>
      </w:r>
      <w:r w:rsidRPr="0028621E">
        <w:t xml:space="preserve"> </w:t>
      </w:r>
      <w:r>
        <w:t xml:space="preserve">de l’autonomie institutionnelle, la logique consiste ici aussi à conditionner un financement public à cette restriction, y compris sur le plan de la liberté de religion. </w:t>
      </w:r>
      <w:r w:rsidRPr="00DE6235">
        <w:t xml:space="preserve">Certes, la restriction est ici prioritairement opérée sur la liberté de religion et d’association de l’organisation elle-même, et </w:t>
      </w:r>
      <w:r>
        <w:t>non</w:t>
      </w:r>
      <w:r w:rsidRPr="00DE6235">
        <w:t xml:space="preserve"> sur </w:t>
      </w:r>
      <w:r>
        <w:t>les libertés de ses</w:t>
      </w:r>
      <w:r w:rsidRPr="00DE6235">
        <w:t xml:space="preserve"> travailleur</w:t>
      </w:r>
      <w:r>
        <w:t>s</w:t>
      </w:r>
      <w:r w:rsidRPr="00DE6235">
        <w:t>.</w:t>
      </w:r>
      <w:r>
        <w:t xml:space="preserve"> Néanmoins, l’effectivité de la liberté de conscience</w:t>
      </w:r>
      <w:r>
        <w:fldChar w:fldCharType="begin"/>
      </w:r>
      <w:r>
        <w:instrText xml:space="preserve"> XE "</w:instrText>
      </w:r>
      <w:r w:rsidRPr="00821CE3">
        <w:rPr>
          <w:rFonts w:eastAsia="Times New Roman" w:cs="Calibri"/>
          <w:color w:val="000000"/>
          <w:lang w:eastAsia="fr-BE"/>
        </w:rPr>
        <w:instrText>Conscienc</w:instrText>
      </w:r>
      <w:r>
        <w:rPr>
          <w:rFonts w:eastAsia="Times New Roman" w:cs="Calibri"/>
          <w:color w:val="000000"/>
          <w:lang w:eastAsia="fr-BE"/>
        </w:rPr>
        <w:instrText>e"</w:instrText>
      </w:r>
      <w:r>
        <w:instrText xml:space="preserve"> </w:instrText>
      </w:r>
      <w:r>
        <w:fldChar w:fldCharType="end"/>
      </w:r>
      <w:r>
        <w:t xml:space="preserve"> du personnel de ces institutions de soins est </w:t>
      </w:r>
      <w:r>
        <w:rPr>
          <w:i/>
          <w:iCs/>
        </w:rPr>
        <w:t xml:space="preserve">de facto </w:t>
      </w:r>
      <w:r>
        <w:t>sensiblement remise en cause par le fait qu’il leur est désormais difficile, voire impossible, d’exercer leur profession – d’infirmière, d’aide-soignant ou de sage-femme</w:t>
      </w:r>
      <w:r>
        <w:rPr>
          <w:rStyle w:val="Appelnotedebasdep"/>
        </w:rPr>
        <w:footnoteReference w:id="360"/>
      </w:r>
      <w:r>
        <w:t>, par exemple – dans une institution au sein de laquelle est exclue la pratique qui va à l’encontre de leur conscience</w:t>
      </w:r>
      <w:r>
        <w:rPr>
          <w:rStyle w:val="Appelnotedebasdep"/>
        </w:rPr>
        <w:footnoteReference w:id="361"/>
      </w:r>
      <w:r w:rsidR="006A671A">
        <w:t>.</w:t>
      </w:r>
    </w:p>
    <w:p w14:paraId="042594AF" w14:textId="32009733" w:rsidR="00ED5A0E" w:rsidRDefault="00ED5A0E" w:rsidP="00533A85">
      <w:pPr>
        <w:pStyle w:val="Titre1"/>
        <w:numPr>
          <w:ilvl w:val="0"/>
          <w:numId w:val="0"/>
        </w:numPr>
      </w:pPr>
      <w:r>
        <w:t>Conclusion</w:t>
      </w:r>
    </w:p>
    <w:p w14:paraId="1C54391B" w14:textId="02A25C47" w:rsidR="006A16EB" w:rsidRDefault="006A16EB" w:rsidP="004D466A">
      <w:pPr>
        <w:pStyle w:val="Paragraphedeliste"/>
      </w:pPr>
      <w:r>
        <w:t xml:space="preserve">Les quatre catégories d’entreprise neutre développées au fil de cette étude </w:t>
      </w:r>
      <w:r w:rsidR="00273C6F">
        <w:t>témoignent</w:t>
      </w:r>
      <w:r>
        <w:t xml:space="preserve"> des motivations diverses pouvant expliquer l’invocation du principe de neutralité</w:t>
      </w:r>
      <w:r w:rsidR="00E32F8C">
        <w:t xml:space="preserve"> religieuse</w:t>
      </w:r>
      <w:r>
        <w:t xml:space="preserve"> au sein de l’entreprise. Il convient toutefois de rappeler le contexte juridique plus général dans lequel s’inscrit cette irruption de la neutralité, et les raisons fondamentales pour lesquelles ce concept est vu par certains employeurs comme le fondement essentiel d’une politique de gestion des expressions religieuses sur le lieu de travail.</w:t>
      </w:r>
    </w:p>
    <w:p w14:paraId="661F7A6D" w14:textId="7D9CD755" w:rsidR="006A16EB" w:rsidRDefault="006A16EB" w:rsidP="006A16EB">
      <w:r w:rsidRPr="00E74ED6">
        <w:t>L’introduction de notre étude</w:t>
      </w:r>
      <w:r>
        <w:t xml:space="preserve"> a permis de mettre en exergue le rapport de causalité entre, d’une part, l’apparition de la neutralité au sein de l’entreprise, et, d’autre part, deux tendances importantes du cadre juridique européen relatif aux droits fondamentaux. La première de ces tendances consiste en l’horizontalisation</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w:instrText>
      </w:r>
      <w:r>
        <w:instrText xml:space="preserve"> </w:instrText>
      </w:r>
      <w:r>
        <w:fldChar w:fldCharType="end"/>
      </w:r>
      <w:r>
        <w:t xml:space="preserve"> des droits</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:Horizontalisation des droits"</w:instrText>
      </w:r>
      <w:r>
        <w:instrText xml:space="preserve"> </w:instrText>
      </w:r>
      <w:r>
        <w:fldChar w:fldCharType="end"/>
      </w:r>
      <w:r>
        <w:t xml:space="preserve"> fondamentaux, auxquels n’échappent pas la liberté de religion et, à plus forte raison, la non-discrimination. L’opposabilité immédiate de ces droits individuels par le travailleur conduit à ce que la gestion, par l’employeur, des expressions et demandes à caractère religieux soit, au fil de leur apparition, continuellement appréciée du point de vue de sa conformité au droit en la matière. De cette exigence d’appréciation casuistique découle un sentiment d’insécurité juridique dans le chef de certains employeurs, par ailleurs exacerbé par une seconde tendance. Cette </w:t>
      </w:r>
      <w:r>
        <w:lastRenderedPageBreak/>
        <w:t>tendance, non exclusivement juridique, a trait au mouvement de subjectivisation et d’individualisation de la croyance religieuse au sein de sociétés de plus en plus sécularisées</w:t>
      </w:r>
      <w:r w:rsidR="009235F1">
        <w:t>.</w:t>
      </w:r>
    </w:p>
    <w:p w14:paraId="60A89B96" w14:textId="004278B8" w:rsidR="006A16EB" w:rsidRDefault="006A16EB" w:rsidP="006A16EB">
      <w:r>
        <w:t>À ce double mouvement d’horizontalisation</w:t>
      </w:r>
      <w:r>
        <w:fldChar w:fldCharType="begin"/>
      </w:r>
      <w:r>
        <w:instrText xml:space="preserve"> XE "</w:instrText>
      </w:r>
      <w:r w:rsidRPr="00821CE3">
        <w:rPr>
          <w:rFonts w:eastAsia="Times New Roman" w:cs="Calibri"/>
          <w:color w:val="000000"/>
          <w:lang w:eastAsia="fr-BE"/>
        </w:rPr>
        <w:instrText>Horizontalisation</w:instrText>
      </w:r>
      <w:r>
        <w:rPr>
          <w:rFonts w:eastAsia="Times New Roman" w:cs="Calibri"/>
          <w:color w:val="000000"/>
          <w:lang w:eastAsia="fr-BE"/>
        </w:rPr>
        <w:instrText>"</w:instrText>
      </w:r>
      <w:r>
        <w:instrText xml:space="preserve"> </w:instrText>
      </w:r>
      <w:r>
        <w:fldChar w:fldCharType="end"/>
      </w:r>
      <w:r>
        <w:t xml:space="preserve"> et de subjectivisation de la liberté de religion au sein de l’entreprise, l’invocation de la neutralité par certains employeurs entend fournir une réponse générale et anticipative, permettant de leur garantir une certaine prévisibilité, et par là même, de retrouver une sécurité juridique. Envisagée – comme c’est </w:t>
      </w:r>
      <w:r w:rsidR="00273C6F">
        <w:t xml:space="preserve">majoritairement </w:t>
      </w:r>
      <w:r>
        <w:t>le cas</w:t>
      </w:r>
      <w:r w:rsidR="00273C6F">
        <w:t xml:space="preserve"> </w:t>
      </w:r>
      <w:r>
        <w:t>– dans une perspective restrictive, la neutralité d’entreprise légitimerait ainsi l’interdiction des expressions religieuses des travailleurs, dès lors que ne serait visée aucune conviction particulière, et que cette restriction est fondée sur des considérations propres à l’intérêt ou à la liberté de l’entreprise.</w:t>
      </w:r>
    </w:p>
    <w:p w14:paraId="3F65AA3A" w14:textId="10F5BFA1" w:rsidR="006A16EB" w:rsidRPr="00BD7CB0" w:rsidRDefault="006A16EB" w:rsidP="004D466A">
      <w:pPr>
        <w:pStyle w:val="Paragraphedeliste"/>
      </w:pPr>
      <w:r>
        <w:t>Cette sécurité juridique revendiquée suppose toutefois l’existence d’un principe de neutralité opérationnel, dont le sens et la portée seraient suffisamment déterminés, et</w:t>
      </w:r>
      <w:r w:rsidRPr="008F3CEE">
        <w:t xml:space="preserve"> auquel l’employeur </w:t>
      </w:r>
      <w:r>
        <w:t>serait dès lors</w:t>
      </w:r>
      <w:r w:rsidRPr="008F3CEE">
        <w:t xml:space="preserve"> en mesure de se </w:t>
      </w:r>
      <w:r w:rsidRPr="005218AD">
        <w:t xml:space="preserve">rattacher. </w:t>
      </w:r>
      <w:r w:rsidRPr="00BD7CB0">
        <w:t xml:space="preserve">Or, de l’examen </w:t>
      </w:r>
      <w:r w:rsidRPr="00E74ED6">
        <w:t xml:space="preserve">du </w:t>
      </w:r>
      <w:r w:rsidRPr="005218AD">
        <w:t>concept de neutralité</w:t>
      </w:r>
      <w:r w:rsidRPr="00D12659">
        <w:t>, il ressort précisément une grande indétermination.</w:t>
      </w:r>
    </w:p>
    <w:p w14:paraId="4CF0998D" w14:textId="40A7AFD1" w:rsidR="006A16EB" w:rsidRDefault="006A16EB" w:rsidP="006A16EB">
      <w:r w:rsidRPr="00BD7CB0">
        <w:t>Cette indétermination se cristallise en premier lieu autour de la neutralité de l’État, dont l’acception juridique, en plus de varier d’un pays à l’autre, subit l’influence, au sein d’un même pays, d’une conception plus idéologique des notions de neutralité et de laïcité.</w:t>
      </w:r>
      <w:r w:rsidR="009235F1">
        <w:t xml:space="preserve"> </w:t>
      </w:r>
      <w:r>
        <w:t xml:space="preserve">Horizontalisée de l’État vers l’entreprise, la neutralité n’en acquiert pas pour autant un caractère subitement prévisible et consensuel. Même si son invocation dans ce nouveau contexte s’inscrit majoritairement dans une perspective restrictive, la neutralité d’entreprise conserve nombre des incertitudes propres à la neutralité de l’État, auxquelles viennent se greffer de nouveaux questionnements issus de son statut </w:t>
      </w:r>
      <w:r w:rsidRPr="008D517D">
        <w:t>privatisé</w:t>
      </w:r>
      <w:r>
        <w:t>.</w:t>
      </w:r>
    </w:p>
    <w:p w14:paraId="2B48F444" w14:textId="12349AEC" w:rsidR="006A16EB" w:rsidRDefault="006A16EB" w:rsidP="004D466A">
      <w:pPr>
        <w:pStyle w:val="Paragraphedeliste"/>
      </w:pPr>
      <w:r>
        <w:t>Ce constat de l’indétermination du principe de neutralité en entreprise n’empêche manifestement pas certain</w:t>
      </w:r>
      <w:r w:rsidR="009235F1">
        <w:t>s</w:t>
      </w:r>
      <w:r>
        <w:t xml:space="preserve"> </w:t>
      </w:r>
      <w:r w:rsidR="009235F1">
        <w:t>employeurs</w:t>
      </w:r>
      <w:r>
        <w:t xml:space="preserve"> d’invoquer cette même neutralité, la jugeant quoi qu’il en soit </w:t>
      </w:r>
      <w:proofErr w:type="gramStart"/>
      <w:r>
        <w:t>pertinente</w:t>
      </w:r>
      <w:proofErr w:type="gramEnd"/>
      <w:r>
        <w:t xml:space="preserve"> en tant que fondement d’une restriction des expressions religieuses des travailleurs.</w:t>
      </w:r>
    </w:p>
    <w:p w14:paraId="28CFA6D4" w14:textId="77777777" w:rsidR="006A16EB" w:rsidRDefault="006A16EB" w:rsidP="006A16EB">
      <w:r>
        <w:t xml:space="preserve">La question de la compatibilité d’une telle neutralité avec la liberté et la non-discrimination religieuses du travailleur reste donc entière : de cette compatibilité juridique </w:t>
      </w:r>
      <w:r w:rsidRPr="008F3CEE">
        <w:t>dépend</w:t>
      </w:r>
      <w:r>
        <w:t>ent</w:t>
      </w:r>
      <w:r w:rsidRPr="008F3CEE">
        <w:t xml:space="preserve"> </w:t>
      </w:r>
      <w:r>
        <w:t>en effet directement la pertinence et l’admissibilité de la neutralité en entreprise.</w:t>
      </w:r>
    </w:p>
    <w:p w14:paraId="413FC97D" w14:textId="77777777" w:rsidR="006A16EB" w:rsidRDefault="006A16EB" w:rsidP="006A16EB">
      <w:r>
        <w:t>Tenant compte du constat de diversification des conceptions de neutralité, nous avons élaboré une matrice d’analyse à partir d’une catégorisation liée à la motivation sur laquelle se fonde l’invocation de la neutralité par l’employeur.</w:t>
      </w:r>
    </w:p>
    <w:p w14:paraId="47219C46" w14:textId="77777777" w:rsidR="006A16EB" w:rsidRDefault="006A16EB" w:rsidP="006A16EB">
      <w:r>
        <w:t>À cette matrice en quatre modèles d’entreprise neutre, correspond une variété de réponses distinctes, plus ou moins affermies. En résulte la possibilité de clarifier et de classifier un vaste spectre de conditions de compatibilité d’une restriction des expressions religieuses fondée sur une telle neutralité avec le droit européen des droits fondamentaux, tant du point de vue de la légitimité de la restriction que de la proportionnalité de sa mise en œuvre.</w:t>
      </w:r>
    </w:p>
    <w:p w14:paraId="6F74F76D" w14:textId="09797351" w:rsidR="006A16EB" w:rsidRDefault="006A16EB" w:rsidP="004D466A">
      <w:pPr>
        <w:pStyle w:val="Paragraphedeliste"/>
      </w:pPr>
      <w:r>
        <w:t>Si nombre d’éléments explicatifs d’une telle incertitude sont propres à chaque modèle d’entreprise neutre, deux considérations plus générales peuvent néanmoins être formulées à ce propos.</w:t>
      </w:r>
    </w:p>
    <w:p w14:paraId="7545142B" w14:textId="56CCFE0F" w:rsidR="006A16EB" w:rsidRDefault="006A16EB" w:rsidP="006A16EB">
      <w:r>
        <w:t>La première a trait à l’ambivalence entre l’appréhension essentiellement subjective ou, à l’inverse, objective de la neutralité. Suivant l’une ou l’autre approche, l’appréciation de la légitimité des restrictions fondées sur cette neutralité impliquera ou non l’appréciation de la sincérité de l’invocation de la neutralité par l’employeur. Un tel exercice s’avère particulièrement périlleux, dès lors qu’il revient à se pencher sur l’existence d’éventuelles intentions cachées qui, sous couvert d’une neutralité générale, viseraient – ou défavoriseraient</w:t>
      </w:r>
      <w:r>
        <w:rPr>
          <w:i/>
          <w:iCs/>
        </w:rPr>
        <w:t xml:space="preserve"> de facto</w:t>
      </w:r>
      <w:r>
        <w:t xml:space="preserve"> – spécifiquement certaines expressions ou </w:t>
      </w:r>
      <w:r>
        <w:lastRenderedPageBreak/>
        <w:t>convictions religieuses. Sur le plan de la non-discrimination, cet exercice détermine par ailleurs la distinction entre discrimination directe et indirecte, avec les régimes de justification plus ou moins sévères que l’une et l’autre catégorie impliquent. Nous avons montré que, là où la neutralité objective ne voit sa légitimité appréciée qu’en tant qu’instrument d’un objectif externe lui-même considéré comme légitime, la neutralité subjective cherche au contraire à être légitimée pour et par elle-même.</w:t>
      </w:r>
    </w:p>
    <w:p w14:paraId="7623B452" w14:textId="438A1B23" w:rsidR="006A16EB" w:rsidRDefault="006A16EB" w:rsidP="006A16EB">
      <w:r>
        <w:t>Le second élément partagé par l’ensemble des modèles de neutralité d’entreprise étudiés, et venant influencer l’appréciation de leur admissibilité juridique, est la tension entre le caractère anticipatif et indifférencié de ces neutralités d’une part, et l’exigence de justification casuistique généralement déduite de l’interprétation de la condition de proportionnalité de la restriction d’autre part. Le défi consiste alors à déterminer dans quelle mesure une politique de neutralité visant précisément à s’affranchir de toute appréciation casuistique peut malgré tout satisfaire la condition de proportionnalité. À cette question, la jurisprudence n’offre</w:t>
      </w:r>
      <w:r w:rsidR="00053103">
        <w:t xml:space="preserve"> manifestement</w:t>
      </w:r>
      <w:r>
        <w:t xml:space="preserve"> pas de réponse univoque. L’on retombe alors dans la prise en compte des caractéristiques propres à chaque modèle de neutralité.</w:t>
      </w:r>
    </w:p>
    <w:p w14:paraId="2F032EBD" w14:textId="7C08340E" w:rsidR="006A16EB" w:rsidRDefault="006A16EB" w:rsidP="004D466A">
      <w:pPr>
        <w:pStyle w:val="Paragraphedeliste"/>
      </w:pPr>
      <w:r>
        <w:t xml:space="preserve">Face à ces diverses </w:t>
      </w:r>
      <w:r w:rsidRPr="00E32F8C">
        <w:t>observations</w:t>
      </w:r>
      <w:r w:rsidR="00E32F8C" w:rsidRPr="00E32F8C">
        <w:t xml:space="preserve">, force </w:t>
      </w:r>
      <w:r w:rsidRPr="00E32F8C">
        <w:t xml:space="preserve">est de constater que </w:t>
      </w:r>
      <w:r w:rsidR="00E32F8C" w:rsidRPr="00E32F8C">
        <w:t>la</w:t>
      </w:r>
      <w:r w:rsidRPr="00E32F8C">
        <w:t xml:space="preserve"> promesse</w:t>
      </w:r>
      <w:r w:rsidR="00E32F8C" w:rsidRPr="00E32F8C">
        <w:t xml:space="preserve"> de prévisibilité et de sécurité juridique</w:t>
      </w:r>
      <w:r w:rsidRPr="00E32F8C">
        <w:t xml:space="preserve"> n’est que partiellement tenue.</w:t>
      </w:r>
      <w:r>
        <w:t xml:space="preserve"> Si la référence à un principe de neutralité, combinée à une application cohérente et sincère de la politique de restriction des expressions religieuses, semble effectivement offrir certaines garanties quant à l’admissibilité de ces restrictions, il n’en demeure pas moins que cette référence ne suffit pas toujours à écarter tout constat d’atteinte à la liberté ou à la non-discrimination religieuse du travailleur.</w:t>
      </w:r>
    </w:p>
    <w:p w14:paraId="2824D610" w14:textId="7AEAF455" w:rsidR="006A16EB" w:rsidRDefault="006A16EB" w:rsidP="006A16EB">
      <w:r>
        <w:t xml:space="preserve">Par-delà les éléments explicatifs propres à chaque modèle de neutralité, deux raisons majeures expliquent </w:t>
      </w:r>
      <w:r w:rsidR="00E9765C">
        <w:t>cette imprévisibilité juridique persistante</w:t>
      </w:r>
      <w:r>
        <w:t>.</w:t>
      </w:r>
    </w:p>
    <w:p w14:paraId="2834EFA4" w14:textId="77777777" w:rsidR="006A16EB" w:rsidRDefault="006A16EB" w:rsidP="006A16EB">
      <w:r>
        <w:t>La première explication tient à l’instrumentalisation régulière de la neutralité à des fins idéologiques par certains employeurs, sans que cette </w:t>
      </w:r>
      <w:proofErr w:type="spellStart"/>
      <w:r>
        <w:t>convictionnalisation</w:t>
      </w:r>
      <w:proofErr w:type="spellEnd"/>
      <w:r>
        <w:t> de la neutralité soit assumée en tant que telle, ou, à tout le moins, sans qu’elle soit effectuée dans le respect des conditions prévues par le droit européen de la CEDH ou de l’UE. La référence à la neutralité est alors considérée comme non sincère et perd toute légitimité en tant que fondement d’une restriction des droits fondamentaux des travailleurs.</w:t>
      </w:r>
    </w:p>
    <w:p w14:paraId="11DA3987" w14:textId="4B544618" w:rsidR="006A16EB" w:rsidRDefault="006A16EB" w:rsidP="006A16EB">
      <w:pPr>
        <w:rPr>
          <w:i/>
          <w:iCs/>
        </w:rPr>
      </w:pPr>
      <w:r>
        <w:t xml:space="preserve">La seconde explication tient à la tension patente entre, d’une part, la prétention de la neutralité à la généralité et à l’anticipation, et, d’autre part, les exigences de justification casuistiques issues de l’interprétation de l’exigence de proportionnalité contenue dans le droit européen de l’UE et de la CEDH. Même effectuée de manière sincère et cohérente, l’application d’une politique de neutralité restrictive par l’employeur se heurte toujours à la nécessité </w:t>
      </w:r>
      <w:r w:rsidR="00E9765C">
        <w:t xml:space="preserve">de prouver que cette neutralité correspond à </w:t>
      </w:r>
      <w:r w:rsidR="00E9765C" w:rsidRPr="00E9765C">
        <w:t>un besoin véritable</w:t>
      </w:r>
      <w:r w:rsidR="00E9765C">
        <w:t xml:space="preserve"> </w:t>
      </w:r>
      <w:r>
        <w:t xml:space="preserve">pour la situation litigieuse rencontrée </w:t>
      </w:r>
      <w:r>
        <w:rPr>
          <w:i/>
          <w:iCs/>
        </w:rPr>
        <w:t xml:space="preserve">in </w:t>
      </w:r>
      <w:proofErr w:type="spellStart"/>
      <w:r>
        <w:rPr>
          <w:i/>
          <w:iCs/>
        </w:rPr>
        <w:t>casu</w:t>
      </w:r>
      <w:proofErr w:type="spellEnd"/>
      <w:r>
        <w:rPr>
          <w:i/>
          <w:iCs/>
        </w:rPr>
        <w:t>.</w:t>
      </w:r>
    </w:p>
    <w:p w14:paraId="014711F3" w14:textId="7A56234C" w:rsidR="006A16EB" w:rsidRDefault="006A16EB" w:rsidP="004D466A">
      <w:pPr>
        <w:pStyle w:val="Paragraphedeliste"/>
      </w:pPr>
      <w:r>
        <w:t xml:space="preserve">Nonobstant son caractère partiellement opérationnel, une telle neutralité restrictive présente, du fait de son invocation croissante par certaines entreprises, une véritable influence sur la gestion des expressions religieuses sur le lieu de travail, et, plus largement, sur la compréhension globale du concept </w:t>
      </w:r>
      <w:r w:rsidRPr="001F6B06">
        <w:t xml:space="preserve">juridique </w:t>
      </w:r>
      <w:r>
        <w:t>de neutralité</w:t>
      </w:r>
      <w:r w:rsidR="00221D75">
        <w:t xml:space="preserve"> en Belgique, en France et, plus largement, </w:t>
      </w:r>
      <w:r w:rsidR="00D16CDC">
        <w:t>au niveau européen</w:t>
      </w:r>
      <w:r>
        <w:t>.</w:t>
      </w:r>
    </w:p>
    <w:p w14:paraId="1E88431D" w14:textId="3F11D3FF" w:rsidR="006A16EB" w:rsidRDefault="006A16EB" w:rsidP="006A16EB">
      <w:r>
        <w:t xml:space="preserve">Du point de vue de l’entreprise, la dimension essentiellement restrictive attachée à ces formes de neutralité implique que la référence à la neutralité soit prioritairement envisagée dans sa dimension potentiellement prohibitive, au détriment d’autres formes de neutralité moins attentatoires aux droits fondamentaux. Par ailleurs, à partir de cette légitimation croissante de la neutralité comme fondement d’une restriction globale des expressions religieuses, émerge le risque qu’une telle restriction généralisée prise au nom de la neutralité soit </w:t>
      </w:r>
      <w:r w:rsidRPr="00D97267">
        <w:t>paradoxalement</w:t>
      </w:r>
      <w:r>
        <w:t xml:space="preserve"> vue – à tort ou à raison – par les employeurs comme plus aisément justifiable qu’une restriction plus ciblée, non rattachée à une politique de neutralité mais liée à un impératif spécifique, tel que la sécurité ou la protection des droits </w:t>
      </w:r>
      <w:r>
        <w:lastRenderedPageBreak/>
        <w:t xml:space="preserve">d’autrui. En ce sens, l’employeur se sentirait obligé – ou, du moins, serait tenté – d’adopter une politique de neutralité restrictive applicable à l’ensemble des travailleurs, </w:t>
      </w:r>
      <w:r w:rsidR="00D16CDC">
        <w:t>afin</w:t>
      </w:r>
      <w:r>
        <w:t xml:space="preserve"> d’être en mesure de justifier efficacement la moindre restriction, pourtant justifiable sur la base d’autres fondements juridiques. L’invocation croissante de la neutralité ces deux dernières décennies par certains employeurs, conjuguée à l’écho important qu’ont reçu plusieurs affaires </w:t>
      </w:r>
      <w:r w:rsidR="00F31FCF">
        <w:t xml:space="preserve">désormais </w:t>
      </w:r>
      <w:r>
        <w:t xml:space="preserve">emblématiques, semble confirmer cette tendance d’une neutralité </w:t>
      </w:r>
      <w:r w:rsidRPr="00733B35">
        <w:t xml:space="preserve">perçue </w:t>
      </w:r>
      <w:r w:rsidRPr="005A0A96">
        <w:t>par certains</w:t>
      </w:r>
      <w:r w:rsidRPr="00733B35">
        <w:t xml:space="preserve"> comme</w:t>
      </w:r>
      <w:r>
        <w:t xml:space="preserve"> incontournable en la matière.</w:t>
      </w:r>
    </w:p>
    <w:p w14:paraId="6C836CFA" w14:textId="1AA050B7" w:rsidR="006A16EB" w:rsidRDefault="006A16EB" w:rsidP="006A16EB">
      <w:r>
        <w:t>Plus largement, la prégnance de cette neutralité restrictive emporte d’autres effets sur la compréhension de ce concept,</w:t>
      </w:r>
      <w:r w:rsidRPr="009A2E9A">
        <w:t xml:space="preserve"> tant du point de vue de la neutralité d</w:t>
      </w:r>
      <w:r>
        <w:t>e l</w:t>
      </w:r>
      <w:r w:rsidRPr="009A2E9A">
        <w:t>’entreprise que de la neutralité de l’État</w:t>
      </w:r>
      <w:r>
        <w:t xml:space="preserve">. Le premier effet consiste en l’élargissement potentiel du champ d’application de la neutralité : cet élargissement intervient d’une part sur le plan matériel, s’agissant des convictions visées – non seulement religieuses, mais aussi politiques, voire toute conviction au sens large – ; d’autre part, est également affecté le champ spatial et personnel de la neutralité, s’agissant en particulier de l’application de la neutralité de l’État à des sphères ou personnes non directement liées à l’action de l’État. Le second effet, déjà mentionné, a trait au mouvement de </w:t>
      </w:r>
      <w:proofErr w:type="spellStart"/>
      <w:r w:rsidRPr="00C64B42">
        <w:t>convictionnalisation</w:t>
      </w:r>
      <w:proofErr w:type="spellEnd"/>
      <w:r>
        <w:t xml:space="preserve">, et, avec lui, de diversification de la neutralité : l’invocation de la neutralité restrictive en tant que choix idéologique de l’entreprise ou de l’État impliquerait que la neutralité, originellement entendue comme l’égale prise de distance – ou implication – vis-à-vis de convictions diverses, soit désormais elle-même entendue comme diverse et plurielle. À la neutralité vis-à-vis de la diversité, serait ainsi adjointe la diversité des formes de neutralité, en tant que </w:t>
      </w:r>
      <w:r>
        <w:rPr>
          <w:i/>
          <w:iCs/>
        </w:rPr>
        <w:t xml:space="preserve">méta-neutralité </w:t>
      </w:r>
      <w:r>
        <w:t>de l’État.</w:t>
      </w:r>
    </w:p>
    <w:p w14:paraId="3A4330C9" w14:textId="3549300A" w:rsidR="006A16EB" w:rsidRDefault="006A16EB" w:rsidP="008D517D">
      <w:pPr>
        <w:pStyle w:val="Paragraphedeliste"/>
      </w:pPr>
      <w:r>
        <w:t xml:space="preserve">Devant ces nombreuses interrogations subsistantes </w:t>
      </w:r>
      <w:r w:rsidRPr="00E10ED9">
        <w:t>ou</w:t>
      </w:r>
      <w:r>
        <w:t xml:space="preserve">, à l’inverse, émergentes, </w:t>
      </w:r>
      <w:r w:rsidR="00F31FCF">
        <w:t>n</w:t>
      </w:r>
      <w:r w:rsidRPr="0056288A">
        <w:t xml:space="preserve">otre recherche a toutefois permis de clarifier </w:t>
      </w:r>
      <w:r w:rsidR="00E9593E">
        <w:t>certains des</w:t>
      </w:r>
      <w:r w:rsidRPr="0056288A">
        <w:t xml:space="preserve"> enjeux </w:t>
      </w:r>
      <w:r w:rsidR="00E9593E">
        <w:t>liés à l’</w:t>
      </w:r>
      <w:r w:rsidRPr="0056288A">
        <w:t>usage du lexique de la neutralité en entreprise</w:t>
      </w:r>
      <w:r>
        <w:t>. Éclairée par les développements conceptuels de la première partie, la catégorisation des quatre formes de neutralité d’entreprise a</w:t>
      </w:r>
      <w:r w:rsidR="00F31FCF">
        <w:t xml:space="preserve"> clarifié </w:t>
      </w:r>
      <w:r>
        <w:t>les divers sens et portée conférés à l’idée de neutralité d’entreprise, et les enjeux spécifiques que ceux-ci soulèvent sur le plan des droits fondamentaux.</w:t>
      </w:r>
    </w:p>
    <w:p w14:paraId="3EB35946" w14:textId="77777777" w:rsidR="006A16EB" w:rsidRDefault="006A16EB" w:rsidP="006A16EB">
      <w:r>
        <w:t>Les réflexions développées ici n’ont toutefois pas la prétention d’offrir une réponse définitive et globale en la matière, pour deux raisons au moins.</w:t>
      </w:r>
    </w:p>
    <w:p w14:paraId="0174AC7F" w14:textId="63B4947D" w:rsidR="006A16EB" w:rsidRDefault="006A16EB" w:rsidP="006A16EB">
      <w:r>
        <w:t xml:space="preserve">D’une part, le </w:t>
      </w:r>
      <w:r>
        <w:rPr>
          <w:i/>
          <w:iCs/>
        </w:rPr>
        <w:t>corpus</w:t>
      </w:r>
      <w:r>
        <w:t xml:space="preserve"> jurisprudentiel – voire législatif – relatif à la neutralité de l’entreprise privée et à la gestion des expressions religieuses sur le lieu de travail est certainement amené à s’étoffer dans les années à venir. Malgré les indications de plus en plus précises fournies par les juridictions européennes de Strasbourg et de Luxembourg, il semble que des précisions supplémentaires soient encore attendues en la matière.</w:t>
      </w:r>
    </w:p>
    <w:p w14:paraId="76688C2E" w14:textId="1BDD8D34" w:rsidR="005559D6" w:rsidRPr="00351B72" w:rsidRDefault="006A16EB" w:rsidP="00210238">
      <w:pPr>
        <w:rPr>
          <w:b/>
          <w:bCs/>
        </w:rPr>
      </w:pPr>
      <w:r>
        <w:t>Par ailleurs, et peut-être plus fondamentalement, il convient de reconnaître les limites du droit dans sa capacité à résoudre les enjeux multiples et complexes que comporte la gestion des expressions religieuses dans l’entreprise privée</w:t>
      </w:r>
      <w:r w:rsidR="00E93E2E">
        <w:t xml:space="preserve"> - et, plus largement, dans nos sociétés</w:t>
      </w:r>
      <w:r>
        <w:t>. Face aux conflits réguliers qu’une telle problématique soulève inévitablement en pratique, le défi consiste alors à ce que puissent être privilégiées des pistes de résolution extra-judiciaire, hors de toute posture radicale, sans que soient pour autant abandonnés les repères essentiels que constituent les droits fondamentaux, et, en particulier, la protection spécifique dont bénéficient la conviction religieuse et son expression.</w:t>
      </w:r>
    </w:p>
    <w:sectPr w:rsidR="005559D6" w:rsidRPr="00351B72" w:rsidSect="0092448C">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07D39" w14:textId="77777777" w:rsidR="000D6C77" w:rsidRDefault="000D6C77" w:rsidP="005559D6">
      <w:r>
        <w:separator/>
      </w:r>
    </w:p>
    <w:p w14:paraId="5F90D45D" w14:textId="77777777" w:rsidR="000D6C77" w:rsidRDefault="000D6C77"/>
  </w:endnote>
  <w:endnote w:type="continuationSeparator" w:id="0">
    <w:p w14:paraId="10C1EFD9" w14:textId="77777777" w:rsidR="000D6C77" w:rsidRDefault="000D6C77" w:rsidP="005559D6">
      <w:r>
        <w:continuationSeparator/>
      </w:r>
    </w:p>
    <w:p w14:paraId="7B1B21C8" w14:textId="77777777" w:rsidR="000D6C77" w:rsidRDefault="000D6C77"/>
  </w:endnote>
  <w:endnote w:type="continuationNotice" w:id="1">
    <w:p w14:paraId="2ADED840" w14:textId="77777777" w:rsidR="000D6C77" w:rsidRDefault="000D6C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159480"/>
      <w:docPartObj>
        <w:docPartGallery w:val="Page Numbers (Bottom of Page)"/>
        <w:docPartUnique/>
      </w:docPartObj>
    </w:sdtPr>
    <w:sdtContent>
      <w:p w14:paraId="279358AF" w14:textId="2F616354" w:rsidR="000D6C77" w:rsidRDefault="000D6C77" w:rsidP="00B75549">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3A6EB" w14:textId="77777777" w:rsidR="000D6C77" w:rsidRDefault="000D6C77">
      <w:r>
        <w:separator/>
      </w:r>
    </w:p>
  </w:footnote>
  <w:footnote w:type="continuationSeparator" w:id="0">
    <w:p w14:paraId="45E75A96" w14:textId="77777777" w:rsidR="000D6C77" w:rsidRDefault="000D6C77" w:rsidP="005559D6">
      <w:r>
        <w:continuationSeparator/>
      </w:r>
    </w:p>
    <w:p w14:paraId="578B176A" w14:textId="77777777" w:rsidR="000D6C77" w:rsidRDefault="000D6C77"/>
  </w:footnote>
  <w:footnote w:type="continuationNotice" w:id="1">
    <w:p w14:paraId="4ECA95AF" w14:textId="77777777" w:rsidR="000D6C77" w:rsidRDefault="000D6C77">
      <w:pPr>
        <w:spacing w:after="0" w:line="240" w:lineRule="auto"/>
      </w:pPr>
    </w:p>
  </w:footnote>
  <w:footnote w:id="2">
    <w:p w14:paraId="3C4C9A74" w14:textId="0EAD66DC" w:rsidR="000D6C77" w:rsidRPr="00B64C31" w:rsidRDefault="000D6C77" w:rsidP="00715CDC">
      <w:pPr>
        <w:pStyle w:val="Notedebasdepage"/>
      </w:pPr>
      <w:r>
        <w:rPr>
          <w:rStyle w:val="Appelnotedebasdep"/>
        </w:rPr>
        <w:footnoteRef/>
      </w:r>
      <w:r w:rsidRPr="00B64C31">
        <w:t xml:space="preserve"> </w:t>
      </w:r>
      <w:r>
        <w:t xml:space="preserve">Le présent article constitue un résumé de la thèse de doctorat défendue en mai 2021 à l’Université catholique de Louvain, doublement couronnée du Prix de thèse du Défenseur des droits et du titre de « thèse remarquable » par l’Association française de droit du travail et de la sécurité sociale (AFDT) en 2022. Pour une présentation plus substantielle de la thèse, </w:t>
      </w:r>
      <w:proofErr w:type="spellStart"/>
      <w:r>
        <w:t>voy</w:t>
      </w:r>
      <w:proofErr w:type="spellEnd"/>
      <w:r>
        <w:t xml:space="preserve">. </w:t>
      </w:r>
      <w:r>
        <w:fldChar w:fldCharType="begin"/>
      </w:r>
      <w:r>
        <w:instrText xml:space="preserve"> ADDIN ZOTERO_ITEM CSL_CITATION {"citationID":"WvBHjpn3","properties":{"formattedCitation":"L. {\\scaps Vanbellingen}, {\\i{}La neutralit\\uc0\\u233{} de l\\uc0\\u8217{}entreprise face aux expressions religieuses du travailleur\\uc0\\u8239{}: test de compatibilit\\uc0\\u233{} en droit europ\\uc0\\u233{}en de la libert\\uc0\\u233{} de religion et de la non-discrimination}, Bruxelles, Bruylant, 2022.","plainCitation":"L. Vanbellingen, La neutralité de l’entreprise face aux expressions religieuses du travailleur : test de compatibilité en droit européen de la liberté de religion et de la non-discrimination, Bruxelles, Bruylant, 2022.","noteIndex":1},"citationItems":[{"id":3269,"uris":["http://zotero.org/users/5133869/items/DJFT6GL5"],"itemData":{"id":3269,"type":"book","event-place":"Bruxelles","ISBN":"978-2-8027-7096-1","note":"OCLC: 1330705619","publisher":"Bruylant","publisher-place":"Bruxelles","source":"Open WorldCat","title":"La neutralité de l'entreprise face aux expressions religieuses du travailleur : test de compatibilité en droit européen de la liberté de religion et de la non-discrimination","title-short":"La neutralité de l'entreprise face aux expressions religieuses du travailleur","author":[{"family":"Vanbellingen","given":"Léopold"}],"issued":{"date-parts":[["2022"]]}}}],"schema":"https://github.com/citation-style-language/schema/raw/master/csl-citation.json"} </w:instrText>
      </w:r>
      <w:r>
        <w:fldChar w:fldCharType="separate"/>
      </w:r>
      <w:r w:rsidRPr="00132261">
        <w:rPr>
          <w:rFonts w:cs="Times New Roman"/>
          <w:szCs w:val="24"/>
        </w:rPr>
        <w:t xml:space="preserve">L. </w:t>
      </w:r>
      <w:r w:rsidRPr="00132261">
        <w:rPr>
          <w:rFonts w:cs="Times New Roman"/>
          <w:smallCaps/>
          <w:szCs w:val="24"/>
        </w:rPr>
        <w:t>Vanbellingen</w:t>
      </w:r>
      <w:r w:rsidRPr="00132261">
        <w:rPr>
          <w:rFonts w:cs="Times New Roman"/>
          <w:szCs w:val="24"/>
        </w:rPr>
        <w:t xml:space="preserve">, </w:t>
      </w:r>
      <w:r w:rsidRPr="00132261">
        <w:rPr>
          <w:rFonts w:cs="Times New Roman"/>
          <w:i/>
          <w:iCs/>
          <w:szCs w:val="24"/>
        </w:rPr>
        <w:t>La neutralité de l’entreprise face aux expressions religieuses du travailleur : test de compatibilité en droit européen de la liberté de religion et de la non-discrimination</w:t>
      </w:r>
      <w:r w:rsidRPr="00132261">
        <w:rPr>
          <w:rFonts w:cs="Times New Roman"/>
          <w:szCs w:val="24"/>
        </w:rPr>
        <w:t>, Bruxelles, Bruylant, 2022.</w:t>
      </w:r>
      <w:r>
        <w:fldChar w:fldCharType="end"/>
      </w:r>
    </w:p>
  </w:footnote>
  <w:footnote w:id="3">
    <w:p w14:paraId="6991D2E7" w14:textId="655D80DD" w:rsidR="000D6C77" w:rsidRPr="00E0684D" w:rsidRDefault="000D6C77" w:rsidP="00B45C59">
      <w:pPr>
        <w:pStyle w:val="Notedebasdepage"/>
      </w:pPr>
      <w:r>
        <w:rPr>
          <w:rStyle w:val="Appelnotedebasdep"/>
        </w:rPr>
        <w:footnoteRef/>
      </w:r>
      <w:r w:rsidRPr="004863EA">
        <w:t xml:space="preserve"> </w:t>
      </w:r>
      <w:r>
        <w:t xml:space="preserve">En droit belge, la </w:t>
      </w:r>
      <w:r w:rsidRPr="004863EA">
        <w:t xml:space="preserve">loi du 10 mai 2007 tendant à lutter contre certaines formes de discrimination, </w:t>
      </w:r>
      <w:r>
        <w:t>(</w:t>
      </w:r>
      <w:r w:rsidRPr="004863EA">
        <w:rPr>
          <w:i/>
          <w:iCs/>
        </w:rPr>
        <w:t>M.B.</w:t>
      </w:r>
      <w:r w:rsidRPr="004863EA">
        <w:t>, 30 mai 2007</w:t>
      </w:r>
      <w:r>
        <w:t xml:space="preserve">), transpose la directive 2000/78/CE en étendant son application à d’autres domaines que le seul contexte de l’emploi. </w:t>
      </w:r>
      <w:proofErr w:type="spellStart"/>
      <w:r>
        <w:t>Voy</w:t>
      </w:r>
      <w:proofErr w:type="spellEnd"/>
      <w:r>
        <w:t>. aussi l’article 20.5 de la loi du 3 juillet 1978 sur les contrats de travail (</w:t>
      </w:r>
      <w:r w:rsidRPr="006D1AA8">
        <w:rPr>
          <w:i/>
        </w:rPr>
        <w:t>M.B.</w:t>
      </w:r>
      <w:r w:rsidRPr="006D1AA8">
        <w:t>, 22 août 1978</w:t>
      </w:r>
      <w:r>
        <w:t>), issu d’une disposition adoptée au début du XXe siècle (</w:t>
      </w:r>
      <w:proofErr w:type="spellStart"/>
      <w:r w:rsidRPr="006D1AA8">
        <w:t>voy</w:t>
      </w:r>
      <w:proofErr w:type="spellEnd"/>
      <w:r w:rsidRPr="006D1AA8">
        <w:t xml:space="preserve">., </w:t>
      </w:r>
      <w:r w:rsidRPr="006D1AA8">
        <w:rPr>
          <w:i/>
          <w:iCs/>
        </w:rPr>
        <w:t>infra</w:t>
      </w:r>
      <w:r w:rsidRPr="006D1AA8">
        <w:t xml:space="preserve">¸ pt. </w:t>
      </w:r>
      <w:r>
        <w:fldChar w:fldCharType="begin"/>
      </w:r>
      <w:r>
        <w:instrText xml:space="preserve"> REF _Ref112863603 \r \h </w:instrText>
      </w:r>
      <w:r>
        <w:fldChar w:fldCharType="separate"/>
      </w:r>
      <w:r>
        <w:t>86</w:t>
      </w:r>
      <w:r>
        <w:fldChar w:fldCharType="end"/>
      </w:r>
      <w:r w:rsidRPr="006D1AA8">
        <w:t>)</w:t>
      </w:r>
      <w:r>
        <w:t xml:space="preserve">, qui oblige l’employeur à « </w:t>
      </w:r>
      <w:r w:rsidRPr="004863EA">
        <w:t>donner au travailleur le temps nécessaire pour remplir les devoirs de son culte »</w:t>
      </w:r>
      <w:r>
        <w:t>.</w:t>
      </w:r>
    </w:p>
  </w:footnote>
  <w:footnote w:id="4">
    <w:p w14:paraId="11F2B362" w14:textId="244C1DA7" w:rsidR="000D6C77" w:rsidRPr="00CC3993" w:rsidRDefault="000D6C77" w:rsidP="0041758F">
      <w:pPr>
        <w:pStyle w:val="Notedebasdepage"/>
      </w:pPr>
      <w:r>
        <w:rPr>
          <w:rStyle w:val="Appelnotedebasdep"/>
        </w:rPr>
        <w:footnoteRef/>
      </w:r>
      <w:r w:rsidRPr="00CC3993">
        <w:t xml:space="preserve"> </w:t>
      </w:r>
      <w:r>
        <w:t>L’</w:t>
      </w:r>
      <w:r w:rsidRPr="0076297D">
        <w:t>augmentation du contentieux ne signifie pas nécessairement</w:t>
      </w:r>
      <w:r>
        <w:t xml:space="preserve"> que</w:t>
      </w:r>
      <w:r w:rsidRPr="0076297D">
        <w:t xml:space="preserve"> la religion </w:t>
      </w:r>
      <w:r>
        <w:t xml:space="preserve">est davantage présente </w:t>
      </w:r>
      <w:r w:rsidRPr="0076297D">
        <w:t>au sein des entreprises, mais</w:t>
      </w:r>
      <w:r>
        <w:t xml:space="preserve"> qu’elle est </w:t>
      </w:r>
      <w:r w:rsidRPr="0076297D">
        <w:t>plus fréquemment conflictuel</w:t>
      </w:r>
      <w:r>
        <w:t xml:space="preserve">le : </w:t>
      </w:r>
      <w:r>
        <w:fldChar w:fldCharType="begin"/>
      </w:r>
      <w:r>
        <w:instrText xml:space="preserve"> ADDIN ZOTERO_ITEM CSL_CITATION {"citationID":"LwdVkW03","properties":{"formattedCitation":"E. {\\scaps Gressieux}, \\uc0\\u171{}\\uc0\\u160{}La ruse de la religion en entreprise\\uc0\\u160{}\\uc0\\u187{}, {\\i{}Soci\\uc0\\u233{}t\\uc0\\u233{}, droit et religion}, 2018, n\\uc0\\u176{} 8, pp. 107\\uc0\\u8209{}118.","plainCitation":"E. Gressieux, « La ruse de la religion en entreprise », Société, droit et religion, 2018, n° 8, pp. 107‑118.","noteIndex":4},"citationItems":[{"id":1408,"uris":["http://zotero.org/users/5133869/items/CWJ46SYH"],"itemData":{"id":1408,"type":"article-journal","container-title":"Société, droit et religion","issue":"8","page":"107-118","title":"La ruse de la religion en entreprise","author":[{"family":"Gressieux","given":"E"}],"issued":{"date-parts":[["2018"]]}}}],"schema":"https://github.com/citation-style-language/schema/raw/master/csl-citation.json"} </w:instrText>
      </w:r>
      <w:r>
        <w:fldChar w:fldCharType="separate"/>
      </w:r>
      <w:r w:rsidRPr="00CC3993">
        <w:rPr>
          <w:rFonts w:cs="Times New Roman"/>
          <w:szCs w:val="24"/>
        </w:rPr>
        <w:t xml:space="preserve">E. </w:t>
      </w:r>
      <w:proofErr w:type="spellStart"/>
      <w:r w:rsidRPr="00CC3993">
        <w:rPr>
          <w:rFonts w:cs="Times New Roman"/>
          <w:smallCaps/>
          <w:szCs w:val="24"/>
        </w:rPr>
        <w:t>Gressieux</w:t>
      </w:r>
      <w:proofErr w:type="spellEnd"/>
      <w:r w:rsidRPr="00CC3993">
        <w:rPr>
          <w:rFonts w:cs="Times New Roman"/>
          <w:szCs w:val="24"/>
        </w:rPr>
        <w:t xml:space="preserve">, « La ruse de la religion en entreprise », </w:t>
      </w:r>
      <w:r w:rsidRPr="00CC3993">
        <w:rPr>
          <w:rFonts w:cs="Times New Roman"/>
          <w:i/>
          <w:iCs/>
          <w:szCs w:val="24"/>
        </w:rPr>
        <w:t>Société, droit et religion</w:t>
      </w:r>
      <w:r w:rsidRPr="00CC3993">
        <w:rPr>
          <w:rFonts w:cs="Times New Roman"/>
          <w:szCs w:val="24"/>
        </w:rPr>
        <w:t>, 2018, n° 8, pp. 107‑118.</w:t>
      </w:r>
      <w:r>
        <w:fldChar w:fldCharType="end"/>
      </w:r>
    </w:p>
  </w:footnote>
  <w:footnote w:id="5">
    <w:p w14:paraId="49A83594" w14:textId="209691BD" w:rsidR="000D6C77" w:rsidRPr="004B48E7" w:rsidRDefault="000D6C77" w:rsidP="00D463ED">
      <w:pPr>
        <w:pStyle w:val="Notedebasdepage"/>
      </w:pPr>
      <w:r>
        <w:rPr>
          <w:rStyle w:val="Appelnotedebasdep"/>
        </w:rPr>
        <w:footnoteRef/>
      </w:r>
      <w:r w:rsidRPr="004B48E7">
        <w:t xml:space="preserve"> </w:t>
      </w:r>
      <w:r>
        <w:rPr>
          <w:highlight w:val="yellow"/>
        </w:rPr>
        <w:fldChar w:fldCharType="begin"/>
      </w:r>
      <w:r>
        <w:rPr>
          <w:highlight w:val="yellow"/>
        </w:rPr>
        <w:instrText xml:space="preserve"> ADDIN ZOTERO_ITEM CSL_CITATION {"citationID":"AHIgr13u","properties":{"formattedCitation":"{\\scaps Equinet}, {\\i{}A Question of Faith: Religion and Belief in Europe:}, Equality law in practice, 2011\\uc0\\u160{}; {\\i{}Les organismes de promotion de l\\uc0\\u8217{}\\uc0\\u233{}galit\\uc0\\u233{} face aux discriminations fond\\uc0\\u233{}es sur la religion ou les convictions}, 2015, disponible sur www.equineteurope.org (Consult\\uc0\\u233{} le 31 ao\\uc0\\u251{}t 2022)\\uc0\\u160{}; {\\i{}Faith in Equality: Religion and Belief in Europe}, Equality Law in Practice, 2017.","plainCitation":"Equinet, A Question of Faith: Religion and Belief in Europe:, Equality law in practice, 2011 ; Les organismes de promotion de l’égalité face aux discriminations fondées sur la religion ou les convictions, 2015, disponible sur www.equineteurope.org (Consulté le 31 août 2022) ; Faith in Equality: Religion and Belief in Europe, Equality Law in Practice, 2017.","noteIndex":5},"citationItems":[{"id":2666,"uris":["http://zotero.org/users/5133869/items/H3NA3YDL"],"itemData":{"id":2666,"type":"report","collection-title":"Equality law in practice","language":"eng","note":"OCLC: 839889082","source":"Gemeinsamer Bibliotheksverbund ISBN","title":"A Question of Faith: Religion and Belief in Europe:","author":[{"literal":"Equinet"}],"accessed":{"date-parts":[["2022",8,31]]},"issued":{"date-parts":[["2011"]]}}},{"id":2665,"uris":["http://zotero.org/users/5133869/items/8YGHR7LN"],"itemData":{"id":2665,"type":"report","title":"Les organismes de promotion de l’égalité face aux discriminations fondées sur la religion ou les convictions","URL":"www.equineteurope.org","author":[{"literal":"Equinet"}],"accessed":{"date-parts":[["2022",8,31]]},"issued":{"date-parts":[["2015"]]}},"suppress-author":true},{"id":2667,"uris":["http://zotero.org/users/5133869/items/QZJIVSYG"],"itemData":{"id":2667,"type":"report","collection-title":"Equality Law in Practice","note":"OCLC: 839889082","source":"Gemeinsamer Bibliotheksverbund ISBN","title":"Faith in Equality: Religion and Belief in Europe","author":[{"literal":"Equinet"}],"accessed":{"date-parts":[["2022",8,31]]},"issued":{"date-parts":[["2017"]]}},"suppress-author":true}],"schema":"https://github.com/citation-style-language/schema/raw/master/csl-citation.json"} </w:instrText>
      </w:r>
      <w:r>
        <w:rPr>
          <w:highlight w:val="yellow"/>
        </w:rPr>
        <w:fldChar w:fldCharType="separate"/>
      </w:r>
      <w:proofErr w:type="spellStart"/>
      <w:r w:rsidRPr="009B4956">
        <w:rPr>
          <w:rFonts w:cs="Times New Roman"/>
          <w:smallCaps/>
          <w:szCs w:val="24"/>
        </w:rPr>
        <w:t>Equinet</w:t>
      </w:r>
      <w:proofErr w:type="spellEnd"/>
      <w:r w:rsidRPr="009B4956">
        <w:rPr>
          <w:rFonts w:cs="Times New Roman"/>
          <w:szCs w:val="24"/>
        </w:rPr>
        <w:t xml:space="preserve">, </w:t>
      </w:r>
      <w:r w:rsidRPr="009B4956">
        <w:rPr>
          <w:rFonts w:cs="Times New Roman"/>
          <w:i/>
          <w:iCs/>
          <w:szCs w:val="24"/>
        </w:rPr>
        <w:t xml:space="preserve">A Question of Faith: Religion and </w:t>
      </w:r>
      <w:proofErr w:type="spellStart"/>
      <w:r w:rsidRPr="009B4956">
        <w:rPr>
          <w:rFonts w:cs="Times New Roman"/>
          <w:i/>
          <w:iCs/>
          <w:szCs w:val="24"/>
        </w:rPr>
        <w:t>Belief</w:t>
      </w:r>
      <w:proofErr w:type="spellEnd"/>
      <w:r w:rsidRPr="009B4956">
        <w:rPr>
          <w:rFonts w:cs="Times New Roman"/>
          <w:i/>
          <w:iCs/>
          <w:szCs w:val="24"/>
        </w:rPr>
        <w:t xml:space="preserve"> in Europe:</w:t>
      </w:r>
      <w:r w:rsidRPr="009B4956">
        <w:rPr>
          <w:rFonts w:cs="Times New Roman"/>
          <w:szCs w:val="24"/>
        </w:rPr>
        <w:t xml:space="preserve">, </w:t>
      </w:r>
      <w:proofErr w:type="spellStart"/>
      <w:r w:rsidRPr="009B4956">
        <w:rPr>
          <w:rFonts w:cs="Times New Roman"/>
          <w:szCs w:val="24"/>
        </w:rPr>
        <w:t>Equality</w:t>
      </w:r>
      <w:proofErr w:type="spellEnd"/>
      <w:r w:rsidRPr="009B4956">
        <w:rPr>
          <w:rFonts w:cs="Times New Roman"/>
          <w:szCs w:val="24"/>
        </w:rPr>
        <w:t xml:space="preserve"> </w:t>
      </w:r>
      <w:proofErr w:type="spellStart"/>
      <w:r w:rsidRPr="009B4956">
        <w:rPr>
          <w:rFonts w:cs="Times New Roman"/>
          <w:szCs w:val="24"/>
        </w:rPr>
        <w:t>law</w:t>
      </w:r>
      <w:proofErr w:type="spellEnd"/>
      <w:r w:rsidRPr="009B4956">
        <w:rPr>
          <w:rFonts w:cs="Times New Roman"/>
          <w:szCs w:val="24"/>
        </w:rPr>
        <w:t xml:space="preserve"> in practice, 2011 ; </w:t>
      </w:r>
      <w:r w:rsidRPr="009B4956">
        <w:rPr>
          <w:rFonts w:cs="Times New Roman"/>
          <w:i/>
          <w:iCs/>
          <w:szCs w:val="24"/>
        </w:rPr>
        <w:t>Les organismes de promotion de l’égalité face aux discriminations fondées sur la religion ou les convictions</w:t>
      </w:r>
      <w:r w:rsidRPr="009B4956">
        <w:rPr>
          <w:rFonts w:cs="Times New Roman"/>
          <w:szCs w:val="24"/>
        </w:rPr>
        <w:t xml:space="preserve">, 2015, disponible sur www.equineteurope.org (Consulté le 31 août 2022) ; </w:t>
      </w:r>
      <w:r w:rsidRPr="009B4956">
        <w:rPr>
          <w:rFonts w:cs="Times New Roman"/>
          <w:i/>
          <w:iCs/>
          <w:szCs w:val="24"/>
        </w:rPr>
        <w:t xml:space="preserve">Faith in </w:t>
      </w:r>
      <w:proofErr w:type="spellStart"/>
      <w:r w:rsidRPr="009B4956">
        <w:rPr>
          <w:rFonts w:cs="Times New Roman"/>
          <w:i/>
          <w:iCs/>
          <w:szCs w:val="24"/>
        </w:rPr>
        <w:t>Equality</w:t>
      </w:r>
      <w:proofErr w:type="spellEnd"/>
      <w:r w:rsidRPr="009B4956">
        <w:rPr>
          <w:rFonts w:cs="Times New Roman"/>
          <w:i/>
          <w:iCs/>
          <w:szCs w:val="24"/>
        </w:rPr>
        <w:t xml:space="preserve">: Religion and </w:t>
      </w:r>
      <w:proofErr w:type="spellStart"/>
      <w:r w:rsidRPr="009B4956">
        <w:rPr>
          <w:rFonts w:cs="Times New Roman"/>
          <w:i/>
          <w:iCs/>
          <w:szCs w:val="24"/>
        </w:rPr>
        <w:t>Belief</w:t>
      </w:r>
      <w:proofErr w:type="spellEnd"/>
      <w:r w:rsidRPr="009B4956">
        <w:rPr>
          <w:rFonts w:cs="Times New Roman"/>
          <w:i/>
          <w:iCs/>
          <w:szCs w:val="24"/>
        </w:rPr>
        <w:t xml:space="preserve"> in Europe</w:t>
      </w:r>
      <w:r w:rsidRPr="009B4956">
        <w:rPr>
          <w:rFonts w:cs="Times New Roman"/>
          <w:szCs w:val="24"/>
        </w:rPr>
        <w:t xml:space="preserve">, </w:t>
      </w:r>
      <w:proofErr w:type="spellStart"/>
      <w:r w:rsidRPr="009B4956">
        <w:rPr>
          <w:rFonts w:cs="Times New Roman"/>
          <w:szCs w:val="24"/>
        </w:rPr>
        <w:t>Equality</w:t>
      </w:r>
      <w:proofErr w:type="spellEnd"/>
      <w:r w:rsidRPr="009B4956">
        <w:rPr>
          <w:rFonts w:cs="Times New Roman"/>
          <w:szCs w:val="24"/>
        </w:rPr>
        <w:t xml:space="preserve"> Law in Practice, 2017.</w:t>
      </w:r>
      <w:r>
        <w:rPr>
          <w:highlight w:val="yellow"/>
        </w:rPr>
        <w:fldChar w:fldCharType="end"/>
      </w:r>
    </w:p>
  </w:footnote>
  <w:footnote w:id="6">
    <w:p w14:paraId="551C5292" w14:textId="6892C871" w:rsidR="000D6C77" w:rsidRPr="004B48E7" w:rsidRDefault="000D6C77" w:rsidP="00D463ED">
      <w:pPr>
        <w:pStyle w:val="Notedebasdepage"/>
      </w:pPr>
      <w:r>
        <w:rPr>
          <w:rStyle w:val="Appelnotedebasdep"/>
        </w:rPr>
        <w:footnoteRef/>
      </w:r>
      <w:r w:rsidRPr="004B48E7">
        <w:t xml:space="preserve"> </w:t>
      </w:r>
      <w:r>
        <w:fldChar w:fldCharType="begin"/>
      </w:r>
      <w:r>
        <w:instrText xml:space="preserve"> ADDIN ZOTERO_ITEM CSL_CITATION {"citationID":"WTuzN5GX","properties":{"formattedCitation":"I. {\\scaps Adam} et A. {\\scaps Rea}, \\uc0\\u171{}\\uc0\\u160{}Les pratiques d\\uc0\\u8217{}accommodements raisonnables sur les lieux de travail en Belgique\\uc0\\u160{}\\uc0\\u187{}, {\\i{}in} E. {\\scaps Bribosia} et I. {\\scaps Rorive} (\\uc0\\u233{}ds.), {\\i{}L\\uc0\\u8217{}accommodement de la diversit\\uc0\\u233{} religieuse. Regards crois\\uc0\\u233{}s \\uc0\\u8211{} Canada, Europe, Belgique}, Bruxelles, P.I.E. - Peter Lang, 2015, pp. 313\\uc0\\u8209{}342.","plainCitation":"I. Adam et A. Rea, « Les pratiques d’accommodements raisonnables sur les lieux de travail en Belgique », in E. Bribosia et I. Rorive (éds.), L’accommodement de la diversité religieuse. Regards croisés – Canada, Europe, Belgique, Bruxelles, P.I.E. - Peter Lang, 2015, pp. 313‑342.","noteIndex":6},"citationItems":[{"id":1105,"uris":["http://zotero.org/users/5133869/items/RZ7XV582"],"itemData":{"id":1105,"type":"chapter","container-title":"L’accommodement de la diversité religieuse. Regards croisés – Canada, Europe, Belgique","event-place":"Bruxelles","page":"313-342","publisher":"P.I.E. - Peter Lang","publisher-place":"Bruxelles","title":"Les pratiques d’accommodements raisonnables sur les lieux de travail en Belgique","author":[{"family":"Adam","given":"Ilke"},{"family":"Rea","given":"Andrea"}],"editor":[{"family":"Bribosia","given":"Emmanuelle"},{"family":"Rorive","given":"Isabelle"}],"issued":{"date-parts":[["2015"]]}}}],"schema":"https://github.com/citation-style-language/schema/raw/master/csl-citation.json"} </w:instrText>
      </w:r>
      <w:r>
        <w:fldChar w:fldCharType="separate"/>
      </w:r>
      <w:r w:rsidRPr="004B48E7">
        <w:rPr>
          <w:rFonts w:cs="Times New Roman"/>
          <w:szCs w:val="24"/>
        </w:rPr>
        <w:t xml:space="preserve">I. </w:t>
      </w:r>
      <w:r w:rsidRPr="004B48E7">
        <w:rPr>
          <w:rFonts w:cs="Times New Roman"/>
          <w:smallCaps/>
          <w:szCs w:val="24"/>
        </w:rPr>
        <w:t>Adam</w:t>
      </w:r>
      <w:r w:rsidRPr="004B48E7">
        <w:rPr>
          <w:rFonts w:cs="Times New Roman"/>
          <w:szCs w:val="24"/>
        </w:rPr>
        <w:t xml:space="preserve"> et A. </w:t>
      </w:r>
      <w:r w:rsidRPr="004B48E7">
        <w:rPr>
          <w:rFonts w:cs="Times New Roman"/>
          <w:smallCaps/>
          <w:szCs w:val="24"/>
        </w:rPr>
        <w:t>Rea</w:t>
      </w:r>
      <w:r w:rsidRPr="004B48E7">
        <w:rPr>
          <w:rFonts w:cs="Times New Roman"/>
          <w:szCs w:val="24"/>
        </w:rPr>
        <w:t xml:space="preserve">, « Les pratiques d’accommodements raisonnables sur les lieux de travail en Belgique », </w:t>
      </w:r>
      <w:r w:rsidRPr="004B48E7">
        <w:rPr>
          <w:rFonts w:cs="Times New Roman"/>
          <w:i/>
          <w:iCs/>
          <w:szCs w:val="24"/>
        </w:rPr>
        <w:t>in</w:t>
      </w:r>
      <w:r w:rsidRPr="004B48E7">
        <w:rPr>
          <w:rFonts w:cs="Times New Roman"/>
          <w:szCs w:val="24"/>
        </w:rPr>
        <w:t xml:space="preserve"> E. </w:t>
      </w:r>
      <w:proofErr w:type="spellStart"/>
      <w:r w:rsidRPr="004B48E7">
        <w:rPr>
          <w:rFonts w:cs="Times New Roman"/>
          <w:smallCaps/>
          <w:szCs w:val="24"/>
        </w:rPr>
        <w:t>Bribosia</w:t>
      </w:r>
      <w:proofErr w:type="spellEnd"/>
      <w:r w:rsidRPr="004B48E7">
        <w:rPr>
          <w:rFonts w:cs="Times New Roman"/>
          <w:szCs w:val="24"/>
        </w:rPr>
        <w:t xml:space="preserve"> et I. </w:t>
      </w:r>
      <w:proofErr w:type="spellStart"/>
      <w:r w:rsidRPr="004B48E7">
        <w:rPr>
          <w:rFonts w:cs="Times New Roman"/>
          <w:smallCaps/>
          <w:szCs w:val="24"/>
        </w:rPr>
        <w:t>Rorive</w:t>
      </w:r>
      <w:proofErr w:type="spellEnd"/>
      <w:r w:rsidRPr="004B48E7">
        <w:rPr>
          <w:rFonts w:cs="Times New Roman"/>
          <w:szCs w:val="24"/>
        </w:rPr>
        <w:t xml:space="preserve"> (</w:t>
      </w:r>
      <w:proofErr w:type="spellStart"/>
      <w:r w:rsidRPr="004B48E7">
        <w:rPr>
          <w:rFonts w:cs="Times New Roman"/>
          <w:szCs w:val="24"/>
        </w:rPr>
        <w:t>éds</w:t>
      </w:r>
      <w:proofErr w:type="spellEnd"/>
      <w:r w:rsidRPr="004B48E7">
        <w:rPr>
          <w:rFonts w:cs="Times New Roman"/>
          <w:szCs w:val="24"/>
        </w:rPr>
        <w:t xml:space="preserve">.), </w:t>
      </w:r>
      <w:r w:rsidRPr="004B48E7">
        <w:rPr>
          <w:rFonts w:cs="Times New Roman"/>
          <w:i/>
          <w:iCs/>
          <w:szCs w:val="24"/>
        </w:rPr>
        <w:t>L’accommodement de la diversité religieuse. Regards croisés – Canada</w:t>
      </w:r>
      <w:r>
        <w:rPr>
          <w:rFonts w:cs="Times New Roman"/>
          <w:i/>
          <w:iCs/>
          <w:szCs w:val="24"/>
        </w:rPr>
        <w:fldChar w:fldCharType="begin"/>
      </w:r>
      <w:r>
        <w:rPr>
          <w:rFonts w:cs="Times New Roman"/>
          <w:i/>
          <w:iCs/>
          <w:szCs w:val="24"/>
        </w:rPr>
        <w:instrText xml:space="preserve"> XE "</w:instrText>
      </w:r>
      <w:r w:rsidRPr="005F6D4C">
        <w:rPr>
          <w:rFonts w:ascii="Cambria" w:eastAsia="Times New Roman" w:hAnsi="Cambria" w:cs="Calibri"/>
          <w:color w:val="000000"/>
          <w:lang w:eastAsia="fr-BE"/>
        </w:rPr>
        <w:instrText>Canada"</w:instrText>
      </w:r>
      <w:r>
        <w:rPr>
          <w:rFonts w:cs="Times New Roman"/>
          <w:i/>
          <w:iCs/>
          <w:szCs w:val="24"/>
        </w:rPr>
        <w:instrText xml:space="preserve"> </w:instrText>
      </w:r>
      <w:r>
        <w:rPr>
          <w:rFonts w:cs="Times New Roman"/>
          <w:i/>
          <w:iCs/>
          <w:szCs w:val="24"/>
        </w:rPr>
        <w:fldChar w:fldCharType="end"/>
      </w:r>
      <w:r w:rsidRPr="004B48E7">
        <w:rPr>
          <w:rFonts w:cs="Times New Roman"/>
          <w:i/>
          <w:iCs/>
          <w:szCs w:val="24"/>
        </w:rPr>
        <w:t>, Europe, Belgique</w:t>
      </w:r>
      <w:r w:rsidRPr="004B48E7">
        <w:rPr>
          <w:rFonts w:cs="Times New Roman"/>
          <w:szCs w:val="24"/>
        </w:rPr>
        <w:t>, Bruxelles, P.I.E. - Peter Lang, 2015, pp. 313‑342.</w:t>
      </w:r>
      <w:r>
        <w:fldChar w:fldCharType="end"/>
      </w:r>
    </w:p>
  </w:footnote>
  <w:footnote w:id="7">
    <w:p w14:paraId="3A9882C8" w14:textId="7FE12275" w:rsidR="000D6C77" w:rsidRPr="004B48E7" w:rsidRDefault="000D6C77" w:rsidP="00D463ED">
      <w:pPr>
        <w:pStyle w:val="Notedebasdepage"/>
      </w:pPr>
      <w:r>
        <w:rPr>
          <w:rStyle w:val="Appelnotedebasdep"/>
        </w:rPr>
        <w:footnoteRef/>
      </w:r>
      <w:r w:rsidRPr="004B48E7">
        <w:t xml:space="preserve"> </w:t>
      </w:r>
      <w:r>
        <w:fldChar w:fldCharType="begin"/>
      </w:r>
      <w:r>
        <w:instrText xml:space="preserve"> ADDIN ZOTERO_ITEM CSL_CITATION {"citationID":"BJFaf7SS","properties":{"formattedCitation":"{\\scaps Observatoire du Fait Religieux en Entreprise}, \\uc0\\u171{}\\uc0\\u160{}Etude 2018 - L\\uc0\\u8217{}entreprise, le travail et la religion\\uc0\\u160{}\\uc0\\u187{}, 2018.","plainCitation":"Observatoire du Fait Religieux en Entreprise, « Etude 2018 - L’entreprise, le travail et la religion », 2018.","noteIndex":7},"citationItems":[{"id":140,"uris":["http://zotero.org/users/5133869/items/ZJF6QUYZ"],"itemData":{"id":140,"type":"document","publisher":"Institut Randstad","title":"Etude 2018 - L'entreprise, le travail et la religion","author":[{"literal":"Observatoire du Fait Religieux en Entreprise"}],"issued":{"date-parts":[["2018"]]}}}],"schema":"https://github.com/citation-style-language/schema/raw/master/csl-citation.json"} </w:instrText>
      </w:r>
      <w:r>
        <w:fldChar w:fldCharType="separate"/>
      </w:r>
      <w:r w:rsidRPr="0087369B">
        <w:rPr>
          <w:rFonts w:cs="Times New Roman"/>
          <w:smallCaps/>
          <w:szCs w:val="24"/>
        </w:rPr>
        <w:t>Observatoire du Fait Religieux en Entreprise</w:t>
      </w:r>
      <w:r w:rsidRPr="0087369B">
        <w:rPr>
          <w:rFonts w:cs="Times New Roman"/>
          <w:szCs w:val="24"/>
        </w:rPr>
        <w:t>, « Etude 2018 - L’entreprise, le travail et la religion », 2018.</w:t>
      </w:r>
      <w:r>
        <w:fldChar w:fldCharType="end"/>
      </w:r>
    </w:p>
  </w:footnote>
  <w:footnote w:id="8">
    <w:p w14:paraId="6ADA6998" w14:textId="15AEF39F" w:rsidR="000D6C77" w:rsidRPr="006D6635" w:rsidRDefault="000D6C77" w:rsidP="00D463ED">
      <w:pPr>
        <w:pStyle w:val="Notedebasdepage"/>
      </w:pPr>
      <w:r>
        <w:rPr>
          <w:rStyle w:val="Appelnotedebasdep"/>
        </w:rPr>
        <w:footnoteRef/>
      </w:r>
      <w:r w:rsidRPr="006D6635">
        <w:t xml:space="preserve"> </w:t>
      </w:r>
      <w:r>
        <w:fldChar w:fldCharType="begin"/>
      </w:r>
      <w:r>
        <w:instrText xml:space="preserve"> ADDIN ZOTERO_ITEM CSL_CITATION {"citationID":"WP85G7q0","properties":{"formattedCitation":"C. {\\scaps Wolmark}, \\uc0\\u171{}\\uc0\\u160{}La neutralit\\uc0\\u233{} du salari\\uc0\\u233{}\\uc0\\u160{}\\uc0\\u187{}, {\\i{}Revue de Droit du Travail}, 2018, p. 727.","plainCitation":"C. Wolmark, « La neutralité du salarié », Revue de Droit du Travail, 2018, p. 727.","noteIndex":9},"citationItems":[{"id":99,"uris":["http://zotero.org/users/5133869/items/6C7TXAS6"],"itemData":{"id":99,"type":"article-journal","container-title":"Revue de Droit du Travail","page":"726-734","title":"La neutralité du salarié","author":[{"family":"Wolmark","given":"Cyril"}],"issued":{"date-parts":[["2018"]]}},"locator":"727"}],"schema":"https://github.com/citation-style-language/schema/raw/master/csl-citation.json"} </w:instrText>
      </w:r>
      <w:r>
        <w:fldChar w:fldCharType="separate"/>
      </w:r>
      <w:r w:rsidRPr="006D6635">
        <w:rPr>
          <w:rFonts w:cs="Times New Roman"/>
          <w:szCs w:val="24"/>
        </w:rPr>
        <w:t xml:space="preserve">C. </w:t>
      </w:r>
      <w:r w:rsidRPr="006D6635">
        <w:rPr>
          <w:rFonts w:cs="Times New Roman"/>
          <w:smallCaps/>
          <w:szCs w:val="24"/>
        </w:rPr>
        <w:t>Wolmark</w:t>
      </w:r>
      <w:r w:rsidRPr="006D6635">
        <w:rPr>
          <w:rFonts w:cs="Times New Roman"/>
          <w:szCs w:val="24"/>
        </w:rPr>
        <w:t xml:space="preserve">, « La neutralité du salarié », </w:t>
      </w:r>
      <w:r w:rsidRPr="006D6635">
        <w:rPr>
          <w:rFonts w:cs="Times New Roman"/>
          <w:i/>
          <w:iCs/>
          <w:szCs w:val="24"/>
        </w:rPr>
        <w:t>Revue de Droit du Travail</w:t>
      </w:r>
      <w:r w:rsidRPr="006D6635">
        <w:rPr>
          <w:rFonts w:cs="Times New Roman"/>
          <w:szCs w:val="24"/>
        </w:rPr>
        <w:t>, 2018, p. 727.</w:t>
      </w:r>
      <w:r>
        <w:fldChar w:fldCharType="end"/>
      </w:r>
    </w:p>
  </w:footnote>
  <w:footnote w:id="9">
    <w:p w14:paraId="5811D651" w14:textId="445FADA9" w:rsidR="000D6C77" w:rsidRPr="006D6635" w:rsidRDefault="000D6C77" w:rsidP="00D463ED">
      <w:pPr>
        <w:pStyle w:val="Notedebasdepage"/>
      </w:pPr>
      <w:r>
        <w:rPr>
          <w:rStyle w:val="Appelnotedebasdep"/>
        </w:rPr>
        <w:footnoteRef/>
      </w:r>
      <w:r w:rsidRPr="006D6635">
        <w:t xml:space="preserve"> </w:t>
      </w:r>
      <w:r>
        <w:fldChar w:fldCharType="begin"/>
      </w:r>
      <w:r>
        <w:instrText xml:space="preserve"> ADDIN ZOTERO_ITEM CSL_CITATION {"citationID":"SL35Pdu3","properties":{"formattedCitation":"{\\scaps Bureau International du Travail}, {\\i{}L\\uc0\\u8217{}heure de l\\uc0\\u8217{}\\uc0\\u233{}galit\\uc0\\u233{} au travail - Rapport du Directeur g\\uc0\\u233{}n\\uc0\\u233{}ral}, Gen\\uc0\\u232{}ve, 2003, pp. 32\\uc0\\u8209{}33.","plainCitation":"Bureau International du Travail, L’heure de l’égalité au travail - Rapport du Directeur général, Genève, 2003, pp. 32‑33.","noteIndex":10},"citationItems":[{"id":2713,"uris":["http://zotero.org/users/5133869/items/TD3DUYN4"],"itemData":{"id":2713,"type":"report","event-place":"Genève","publisher-place":"Genève","title":"L'heure de l'égalité au travail - Rapport du Directeur général","author":[{"literal":"Bureau International du Travail"}],"issued":{"date-parts":[["2003"]]}},"locator":"32-33"}],"schema":"https://github.com/citation-style-language/schema/raw/master/csl-citation.json"} </w:instrText>
      </w:r>
      <w:r>
        <w:fldChar w:fldCharType="separate"/>
      </w:r>
      <w:r w:rsidRPr="006D6635">
        <w:rPr>
          <w:rFonts w:cs="Times New Roman"/>
          <w:smallCaps/>
          <w:szCs w:val="24"/>
        </w:rPr>
        <w:t>Bureau International du Travail</w:t>
      </w:r>
      <w:r w:rsidRPr="006D6635">
        <w:rPr>
          <w:rFonts w:cs="Times New Roman"/>
          <w:szCs w:val="24"/>
        </w:rPr>
        <w:t xml:space="preserve">, </w:t>
      </w:r>
      <w:r w:rsidRPr="006D6635">
        <w:rPr>
          <w:rFonts w:cs="Times New Roman"/>
          <w:i/>
          <w:iCs/>
          <w:szCs w:val="24"/>
        </w:rPr>
        <w:t>L’heure de l’égalité au travail - Rapport du Directeur général</w:t>
      </w:r>
      <w:r w:rsidRPr="006D6635">
        <w:rPr>
          <w:rFonts w:cs="Times New Roman"/>
          <w:szCs w:val="24"/>
        </w:rPr>
        <w:t>, Genève, 2003, pp. 32‑33.</w:t>
      </w:r>
      <w:r>
        <w:fldChar w:fldCharType="end"/>
      </w:r>
    </w:p>
  </w:footnote>
  <w:footnote w:id="10">
    <w:p w14:paraId="3F57C30F" w14:textId="12C6B1BF" w:rsidR="000D6C77" w:rsidRPr="00FC7B3F" w:rsidRDefault="000D6C77" w:rsidP="00D463ED">
      <w:pPr>
        <w:pStyle w:val="Notedebasdepage"/>
      </w:pPr>
      <w:r>
        <w:rPr>
          <w:rStyle w:val="Appelnotedebasdep"/>
        </w:rPr>
        <w:footnoteRef/>
      </w:r>
      <w:r w:rsidRPr="00FC7B3F">
        <w:t xml:space="preserve"> </w:t>
      </w:r>
      <w:r>
        <w:fldChar w:fldCharType="begin"/>
      </w:r>
      <w:r>
        <w:instrText xml:space="preserve"> ADDIN ZOTERO_ITEM CSL_CITATION {"citationID":"vR9JShLy","properties":{"formattedCitation":"J. {\\scaps Velaers} et M.-C. {\\scaps Foblets}, \\uc0\\u171{}\\uc0\\u160{}Religion and the Secular State in Belgium - Le fait religieux dans ses rapports avec l\\uc0\\u8217{}\\uc0\\u201{}tat en droit belge\\uc0\\u160{}\\uc0\\u187{}, in {\\i{}Religion and the Secular State: National Reports}, Madrid, Complutense Universidad de Madrid, 2015, pp. 103\\uc0\\u8209{}128.","plainCitation":"J. Velaers et M.-C. Foblets, « Religion and the Secular State in Belgium - Le fait religieux dans ses rapports avec l’État en droit belge », in Religion and the Secular State: National Reports, Madrid, Complutense Universidad de Madrid, 2015, pp. 103‑128.","noteIndex":11},"citationItems":[{"id":951,"uris":["http://zotero.org/users/5133869/items/4SBK8IWR"],"itemData":{"id":951,"type":"chapter","container-title":"Religion and the Secular State: National Reports","event-place":"Madrid","language":"fr","page":"103-128","publisher":"Complutense Universidad de Madrid","publisher-place":"Madrid","source":"Zotero","title":"Religion and the Secular State in Belgium - Le fait religieux dans ses rapports avec l’État en droit belge","author":[{"family":"Velaers","given":"Jan"},{"family":"Foblets","given":"Marie-Claire"}],"issued":{"date-parts":[["2015"]]}}}],"schema":"https://github.com/citation-style-language/schema/raw/master/csl-citation.json"} </w:instrText>
      </w:r>
      <w:r>
        <w:fldChar w:fldCharType="separate"/>
      </w:r>
      <w:r w:rsidRPr="00FC7B3F">
        <w:rPr>
          <w:rFonts w:cs="Times New Roman"/>
          <w:szCs w:val="24"/>
        </w:rPr>
        <w:t xml:space="preserve">J. </w:t>
      </w:r>
      <w:proofErr w:type="spellStart"/>
      <w:r w:rsidRPr="00FC7B3F">
        <w:rPr>
          <w:rFonts w:cs="Times New Roman"/>
          <w:smallCaps/>
          <w:szCs w:val="24"/>
        </w:rPr>
        <w:t>Velaers</w:t>
      </w:r>
      <w:proofErr w:type="spellEnd"/>
      <w:r w:rsidRPr="00FC7B3F">
        <w:rPr>
          <w:rFonts w:cs="Times New Roman"/>
          <w:szCs w:val="24"/>
        </w:rPr>
        <w:t xml:space="preserve"> et M.-C. </w:t>
      </w:r>
      <w:proofErr w:type="spellStart"/>
      <w:r w:rsidRPr="00FC7B3F">
        <w:rPr>
          <w:rFonts w:cs="Times New Roman"/>
          <w:smallCaps/>
          <w:szCs w:val="24"/>
        </w:rPr>
        <w:t>Foblets</w:t>
      </w:r>
      <w:proofErr w:type="spellEnd"/>
      <w:r w:rsidRPr="00FC7B3F">
        <w:rPr>
          <w:rFonts w:cs="Times New Roman"/>
          <w:szCs w:val="24"/>
        </w:rPr>
        <w:t xml:space="preserve">, « Religion and the </w:t>
      </w:r>
      <w:proofErr w:type="spellStart"/>
      <w:r w:rsidRPr="00FC7B3F">
        <w:rPr>
          <w:rFonts w:cs="Times New Roman"/>
          <w:szCs w:val="24"/>
        </w:rPr>
        <w:t>Secular</w:t>
      </w:r>
      <w:proofErr w:type="spellEnd"/>
      <w:r w:rsidRPr="00FC7B3F">
        <w:rPr>
          <w:rFonts w:cs="Times New Roman"/>
          <w:szCs w:val="24"/>
        </w:rPr>
        <w:t xml:space="preserve"> State in </w:t>
      </w:r>
      <w:proofErr w:type="spellStart"/>
      <w:r w:rsidRPr="00FC7B3F">
        <w:rPr>
          <w:rFonts w:cs="Times New Roman"/>
          <w:szCs w:val="24"/>
        </w:rPr>
        <w:t>Belgium</w:t>
      </w:r>
      <w:proofErr w:type="spellEnd"/>
      <w:r w:rsidRPr="00FC7B3F">
        <w:rPr>
          <w:rFonts w:cs="Times New Roman"/>
          <w:szCs w:val="24"/>
        </w:rPr>
        <w:t xml:space="preserve"> - Le fait religieux dans ses rapports avec l’État en droit belge », in </w:t>
      </w:r>
      <w:r w:rsidRPr="00FC7B3F">
        <w:rPr>
          <w:rFonts w:cs="Times New Roman"/>
          <w:i/>
          <w:iCs/>
          <w:szCs w:val="24"/>
        </w:rPr>
        <w:t xml:space="preserve">Religion and the </w:t>
      </w:r>
      <w:proofErr w:type="spellStart"/>
      <w:r w:rsidRPr="00FC7B3F">
        <w:rPr>
          <w:rFonts w:cs="Times New Roman"/>
          <w:i/>
          <w:iCs/>
          <w:szCs w:val="24"/>
        </w:rPr>
        <w:t>Secular</w:t>
      </w:r>
      <w:proofErr w:type="spellEnd"/>
      <w:r w:rsidRPr="00FC7B3F">
        <w:rPr>
          <w:rFonts w:cs="Times New Roman"/>
          <w:i/>
          <w:iCs/>
          <w:szCs w:val="24"/>
        </w:rPr>
        <w:t xml:space="preserve"> State: National Reports</w:t>
      </w:r>
      <w:r w:rsidRPr="00FC7B3F">
        <w:rPr>
          <w:rFonts w:cs="Times New Roman"/>
          <w:szCs w:val="24"/>
        </w:rPr>
        <w:t xml:space="preserve">, Madrid, </w:t>
      </w:r>
      <w:proofErr w:type="spellStart"/>
      <w:r w:rsidRPr="00FC7B3F">
        <w:rPr>
          <w:rFonts w:cs="Times New Roman"/>
          <w:szCs w:val="24"/>
        </w:rPr>
        <w:t>Complutense</w:t>
      </w:r>
      <w:proofErr w:type="spellEnd"/>
      <w:r w:rsidRPr="00FC7B3F">
        <w:rPr>
          <w:rFonts w:cs="Times New Roman"/>
          <w:szCs w:val="24"/>
        </w:rPr>
        <w:t xml:space="preserve"> </w:t>
      </w:r>
      <w:proofErr w:type="spellStart"/>
      <w:r w:rsidRPr="00FC7B3F">
        <w:rPr>
          <w:rFonts w:cs="Times New Roman"/>
          <w:szCs w:val="24"/>
        </w:rPr>
        <w:t>Universidad</w:t>
      </w:r>
      <w:proofErr w:type="spellEnd"/>
      <w:r w:rsidRPr="00FC7B3F">
        <w:rPr>
          <w:rFonts w:cs="Times New Roman"/>
          <w:szCs w:val="24"/>
        </w:rPr>
        <w:t xml:space="preserve"> de Madrid, 2015, pp. 103‑128.</w:t>
      </w:r>
      <w:r>
        <w:fldChar w:fldCharType="end"/>
      </w:r>
    </w:p>
  </w:footnote>
  <w:footnote w:id="11">
    <w:p w14:paraId="24E2E3ED" w14:textId="404BBF25" w:rsidR="000D6C77" w:rsidRPr="00CC3993" w:rsidRDefault="000D6C77" w:rsidP="00D463ED">
      <w:pPr>
        <w:pStyle w:val="Notedebasdepage"/>
      </w:pPr>
      <w:r>
        <w:rPr>
          <w:rStyle w:val="Appelnotedebasdep"/>
        </w:rPr>
        <w:footnoteRef/>
      </w:r>
      <w:r w:rsidRPr="00CC3993">
        <w:t xml:space="preserve"> </w:t>
      </w:r>
      <w:r>
        <w:fldChar w:fldCharType="begin"/>
      </w:r>
      <w:r>
        <w:instrText xml:space="preserve"> ADDIN ZOTERO_ITEM CSL_CITATION {"citationID":"pDvQl2XM","properties":{"formattedCitation":"P. {\\scaps Musso}, {\\i{}La religion industrielle. Monast\\uc0\\u232{}re, manufacture, usine\\uc0\\u8239{}: une g\\uc0\\u233{}n\\uc0\\u233{}alogie de l\\uc0\\u8217{}entreprise}, Poids et mesures du monde, Paris, Fayard, 2017.","plainCitation":"P. Musso, La religion industrielle. Monastère, manufacture, usine : une généalogie de l’entreprise, Poids et mesures du monde, Paris, Fayard, 2017.","noteIndex":12},"citationItems":[{"id":2361,"uris":["http://zotero.org/users/5133869/items/2G85LDV8"],"itemData":{"id":2361,"type":"book","call-number":"MLCS 2019/41757 (H)","collection-title":"Poids et mesures du monde","event-place":"Paris","ISBN":"978-2-213-70180-6","number-of-pages":"792","publisher":"Fayard","publisher-place":"Paris","source":"Library of Congress ISBN","title":"La religion industrielle. Monastère, manufacture, usine : une généalogie de l'entreprise","title-short":"La religion industrielle","author":[{"family":"Musso","given":"Pierre"}],"issued":{"date-parts":[["2017"]]}}}],"schema":"https://github.com/citation-style-language/schema/raw/master/csl-citation.json"} </w:instrText>
      </w:r>
      <w:r>
        <w:fldChar w:fldCharType="separate"/>
      </w:r>
      <w:r w:rsidRPr="00CC3993">
        <w:rPr>
          <w:rFonts w:cs="Times New Roman"/>
          <w:szCs w:val="24"/>
        </w:rPr>
        <w:t xml:space="preserve">P. </w:t>
      </w:r>
      <w:r w:rsidRPr="00CC3993">
        <w:rPr>
          <w:rFonts w:cs="Times New Roman"/>
          <w:smallCaps/>
          <w:szCs w:val="24"/>
        </w:rPr>
        <w:t>Musso</w:t>
      </w:r>
      <w:r w:rsidRPr="00CC3993">
        <w:rPr>
          <w:rFonts w:cs="Times New Roman"/>
          <w:szCs w:val="24"/>
        </w:rPr>
        <w:t xml:space="preserve">, </w:t>
      </w:r>
      <w:r w:rsidRPr="00CC3993">
        <w:rPr>
          <w:rFonts w:cs="Times New Roman"/>
          <w:i/>
          <w:iCs/>
          <w:szCs w:val="24"/>
        </w:rPr>
        <w:t>La religion industrielle. Monastère, manufacture, usine : une généalogie de l’entreprise</w:t>
      </w:r>
      <w:r w:rsidRPr="00CC3993">
        <w:rPr>
          <w:rFonts w:cs="Times New Roman"/>
          <w:szCs w:val="24"/>
        </w:rPr>
        <w:t>, Poids et mesures du monde, Paris, Fayard, 2017.</w:t>
      </w:r>
      <w:r>
        <w:fldChar w:fldCharType="end"/>
      </w:r>
    </w:p>
  </w:footnote>
  <w:footnote w:id="12">
    <w:p w14:paraId="2F4ECDE5" w14:textId="40D60653" w:rsidR="000D6C77" w:rsidRPr="00CC3993" w:rsidRDefault="000D6C77" w:rsidP="00D463ED">
      <w:pPr>
        <w:pStyle w:val="Notedebasdepage"/>
      </w:pPr>
      <w:r>
        <w:rPr>
          <w:rStyle w:val="Appelnotedebasdep"/>
        </w:rPr>
        <w:footnoteRef/>
      </w:r>
      <w:r w:rsidRPr="00CC3993">
        <w:t xml:space="preserve"> </w:t>
      </w:r>
      <w:r>
        <w:fldChar w:fldCharType="begin"/>
      </w:r>
      <w:r>
        <w:instrText xml:space="preserve"> ADDIN ZOTERO_ITEM CSL_CITATION {"citationID":"1nHR74PE","properties":{"formattedCitation":"M. {\\scaps Hunyadi}, \\uc0\\u171{}\\uc0\\u160{}Des entreprises posts\\uc0\\u233{}culi\\uc0\\u232{}res\\uc0\\u8239{}?\\uc0\\u160{}\\uc0\\u187{}, {\\i{}in} S. {\\scaps Marti} {\\i{}et al.} (\\uc0\\u233{}ds.), {\\i{}L\\uc0\\u8217{}expression religieuse en entreprise}, Lormont, Le Bord de l\\uc0\\u8217{}eau, 2016.","plainCitation":"M. Hunyadi, « Des entreprises postséculières ? », in S. Marti et al. (éds.), L’expression religieuse en entreprise, Lormont, Le Bord de l’eau, 2016.","noteIndex":13},"citationItems":[{"id":1237,"uris":["http://zotero.org/users/5133869/items/8Z7VT3WE"],"itemData":{"id":1237,"type":"chapter","container-title":"L'expression religieuse en entreprise","event-place":"Lormont","publisher":"Le Bord de l'eau","publisher-place":"Lormont","title":"Des entreprises postséculières ?","author":[{"family":"Hunyadi","given":"Mark"}],"editor":[{"family":"Marti","given":"Serge"},{"family":"Fortier","given":"Vincente"},{"family":"Maïla","given":"Joseph"},{"family":"Hunyadi","given":"Mark"}],"issued":{"date-parts":[["2016"]]}}}],"schema":"https://github.com/citation-style-language/schema/raw/master/csl-citation.json"} </w:instrText>
      </w:r>
      <w:r>
        <w:fldChar w:fldCharType="separate"/>
      </w:r>
      <w:r w:rsidRPr="00CC3993">
        <w:rPr>
          <w:rFonts w:cs="Times New Roman"/>
          <w:szCs w:val="24"/>
        </w:rPr>
        <w:t xml:space="preserve">M. </w:t>
      </w:r>
      <w:r w:rsidRPr="00CC3993">
        <w:rPr>
          <w:rFonts w:cs="Times New Roman"/>
          <w:smallCaps/>
          <w:szCs w:val="24"/>
        </w:rPr>
        <w:t>Hunyadi</w:t>
      </w:r>
      <w:r w:rsidRPr="00CC3993">
        <w:rPr>
          <w:rFonts w:cs="Times New Roman"/>
          <w:szCs w:val="24"/>
        </w:rPr>
        <w:t xml:space="preserve">, « Des entreprises </w:t>
      </w:r>
      <w:proofErr w:type="spellStart"/>
      <w:r w:rsidRPr="00CC3993">
        <w:rPr>
          <w:rFonts w:cs="Times New Roman"/>
          <w:szCs w:val="24"/>
        </w:rPr>
        <w:t>postséculières</w:t>
      </w:r>
      <w:proofErr w:type="spellEnd"/>
      <w:r w:rsidRPr="00CC3993">
        <w:rPr>
          <w:rFonts w:cs="Times New Roman"/>
          <w:szCs w:val="24"/>
        </w:rPr>
        <w:t xml:space="preserve"> ? », </w:t>
      </w:r>
      <w:r w:rsidRPr="00CC3993">
        <w:rPr>
          <w:rFonts w:cs="Times New Roman"/>
          <w:i/>
          <w:iCs/>
          <w:szCs w:val="24"/>
        </w:rPr>
        <w:t>in</w:t>
      </w:r>
      <w:r w:rsidRPr="00CC3993">
        <w:rPr>
          <w:rFonts w:cs="Times New Roman"/>
          <w:szCs w:val="24"/>
        </w:rPr>
        <w:t xml:space="preserve"> S. </w:t>
      </w:r>
      <w:r w:rsidRPr="00CC3993">
        <w:rPr>
          <w:rFonts w:cs="Times New Roman"/>
          <w:smallCaps/>
          <w:szCs w:val="24"/>
        </w:rPr>
        <w:t>Marti</w:t>
      </w:r>
      <w:r w:rsidRPr="00CC3993">
        <w:rPr>
          <w:rFonts w:cs="Times New Roman"/>
          <w:szCs w:val="24"/>
        </w:rPr>
        <w:t xml:space="preserve"> </w:t>
      </w:r>
      <w:r w:rsidRPr="00CC3993">
        <w:rPr>
          <w:rFonts w:cs="Times New Roman"/>
          <w:i/>
          <w:iCs/>
          <w:szCs w:val="24"/>
        </w:rPr>
        <w:t>et al.</w:t>
      </w:r>
      <w:r w:rsidRPr="00CC3993">
        <w:rPr>
          <w:rFonts w:cs="Times New Roman"/>
          <w:szCs w:val="24"/>
        </w:rPr>
        <w:t xml:space="preserve"> (</w:t>
      </w:r>
      <w:proofErr w:type="spellStart"/>
      <w:r w:rsidRPr="00CC3993">
        <w:rPr>
          <w:rFonts w:cs="Times New Roman"/>
          <w:szCs w:val="24"/>
        </w:rPr>
        <w:t>éds</w:t>
      </w:r>
      <w:proofErr w:type="spellEnd"/>
      <w:r w:rsidRPr="00CC3993">
        <w:rPr>
          <w:rFonts w:cs="Times New Roman"/>
          <w:szCs w:val="24"/>
        </w:rPr>
        <w:t xml:space="preserve">.), </w:t>
      </w:r>
      <w:r w:rsidRPr="00CC3993">
        <w:rPr>
          <w:rFonts w:cs="Times New Roman"/>
          <w:i/>
          <w:iCs/>
          <w:szCs w:val="24"/>
        </w:rPr>
        <w:t>L’expression religieuse en entreprise</w:t>
      </w:r>
      <w:r w:rsidRPr="00CC3993">
        <w:rPr>
          <w:rFonts w:cs="Times New Roman"/>
          <w:szCs w:val="24"/>
        </w:rPr>
        <w:t>, Lormont, Le Bord de l’eau, 2016.</w:t>
      </w:r>
      <w:r>
        <w:fldChar w:fldCharType="end"/>
      </w:r>
    </w:p>
  </w:footnote>
  <w:footnote w:id="13">
    <w:p w14:paraId="5C753E86" w14:textId="6D658A73" w:rsidR="000D6C77" w:rsidRPr="007411A9" w:rsidRDefault="000D6C77" w:rsidP="00FF5D4A">
      <w:pPr>
        <w:pStyle w:val="Notedebasdepage"/>
      </w:pPr>
      <w:r w:rsidRPr="00B601A0">
        <w:rPr>
          <w:rStyle w:val="Appelnotedebasdep"/>
        </w:rPr>
        <w:footnoteRef/>
      </w:r>
      <w:r w:rsidRPr="00B601A0">
        <w:t xml:space="preserve"> Sur l’idée d’une « forme affaire » en tant que forme capable de « configurer autrement […] un état de choses ou certains de ses éléments », </w:t>
      </w:r>
      <w:proofErr w:type="spellStart"/>
      <w:r w:rsidRPr="00B601A0">
        <w:t>voy</w:t>
      </w:r>
      <w:proofErr w:type="spellEnd"/>
      <w:r w:rsidRPr="00B601A0">
        <w:t xml:space="preserve">. </w:t>
      </w:r>
      <w:r w:rsidRPr="00B601A0">
        <w:fldChar w:fldCharType="begin"/>
      </w:r>
      <w:r w:rsidRPr="00B601A0">
        <w:instrText xml:space="preserve"> ADDIN ZOTERO_ITEM CSL_CITATION {"citationID":"eXqGaIIl","properties":{"formattedCitation":"L. {\\scaps Boltanski} et E. {\\scaps Claverie}, \\uc0\\u171{}\\uc0\\u160{}Du monde social en tant que sc\\uc0\\u232{}ne d\\uc0\\u8217{}un proc\\uc0\\u232{}s. N. Offenstadt, S. Van Damme.\\uc0\\u160{}\\uc0\\u187{}, {\\i{}in} L. {\\scaps Boltanski} (\\uc0\\u233{}d.), {\\i{}Affaires, scandales et grandes causes: de Socrate \\uc0\\u224{} Pinochet}, Les essais, Paris, Stock, 2007, p. 397\\uc0\\u160{}; cit\\uc0\\u233{} par S. {\\scaps Hennette-Vauchez} et V. {\\scaps Valentin}, {\\i{}L\\uc0\\u8217{}affaire Baby Loup ou la Nouvelle La\\uc0\\u239{}cit\\uc0\\u233{}}, Paris, LGDJ, 2014, pp. 12\\uc0\\u8209{}13.","plainCitation":"L. Boltanski et E. Claverie, « Du monde social en tant que scène d’un procès. N. Offenstadt, S. Van Damme. », in L. Boltanski (éd.), Affaires, scandales et grandes causes: de Socrate à Pinochet, Les essais, Paris, Stock, 2007, p. 397 ; cité par S. Hennette-Vauchez et V. Valentin, L’affaire Baby Loup ou la Nouvelle Laïcité, Paris, LGDJ, 2014, pp. 12‑13.","noteIndex":14},"citationItems":[{"id":2974,"uris":["http://zotero.org/users/5133869/items/XWW2QCQ8"],"itemData":{"id":2974,"type":"chapter","call-number":"D10 .A44 2007","collection-title":"Les essais","container-title":"Affaires, scandales et grandes causes: de Socrate à Pinochet","event-place":"Paris","ISBN":"978-2-234-05891-0","page":"395-452","publisher":"Stock","publisher-place":"Paris","source":"Library of Congress ISBN","title":"Du monde social en tant que scène d’un procès. N. Offenstadt, S. Van Damme.","editor":[{"family":"Boltanski","given":"Luc"}],"author":[{"family":"Boltanski","given":"Luc"},{"family":"Claverie","given":"Elisabeth"}],"issued":{"date-parts":[["2007"]]}},"locator":"397"},{"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Laïcité","author":[{"family":"Hennette-Vauchez","given":"Stéphanie"},{"family":"Valentin","given":"Vincent"}],"issued":{"date-parts":[["2014"]]}},"locator":"12-13","prefix":"cité par"}],"schema":"https://github.com/citation-style-language/schema/raw/master/csl-citation.json"} </w:instrText>
      </w:r>
      <w:r w:rsidRPr="00B601A0">
        <w:fldChar w:fldCharType="separate"/>
      </w:r>
      <w:r w:rsidRPr="00B601A0">
        <w:rPr>
          <w:rFonts w:cs="Times New Roman"/>
          <w:szCs w:val="24"/>
        </w:rPr>
        <w:t xml:space="preserve">L. </w:t>
      </w:r>
      <w:r w:rsidRPr="00B601A0">
        <w:rPr>
          <w:rFonts w:cs="Times New Roman"/>
          <w:smallCaps/>
          <w:szCs w:val="24"/>
        </w:rPr>
        <w:t>Boltanski</w:t>
      </w:r>
      <w:r w:rsidRPr="00B601A0">
        <w:rPr>
          <w:rFonts w:cs="Times New Roman"/>
          <w:szCs w:val="24"/>
        </w:rPr>
        <w:t xml:space="preserve"> et E. </w:t>
      </w:r>
      <w:r w:rsidRPr="00B601A0">
        <w:rPr>
          <w:rFonts w:cs="Times New Roman"/>
          <w:smallCaps/>
          <w:szCs w:val="24"/>
        </w:rPr>
        <w:t>Claverie</w:t>
      </w:r>
      <w:r w:rsidRPr="00B601A0">
        <w:rPr>
          <w:rFonts w:cs="Times New Roman"/>
          <w:szCs w:val="24"/>
        </w:rPr>
        <w:t xml:space="preserve">, « Du monde social en tant que scène d’un procès. N. </w:t>
      </w:r>
      <w:proofErr w:type="spellStart"/>
      <w:r w:rsidRPr="00B601A0">
        <w:rPr>
          <w:rFonts w:cs="Times New Roman"/>
          <w:szCs w:val="24"/>
        </w:rPr>
        <w:t>Offenstadt</w:t>
      </w:r>
      <w:proofErr w:type="spellEnd"/>
      <w:r w:rsidRPr="00B601A0">
        <w:rPr>
          <w:rFonts w:cs="Times New Roman"/>
          <w:szCs w:val="24"/>
        </w:rPr>
        <w:t xml:space="preserve">, S. Van Damme. », </w:t>
      </w:r>
      <w:r w:rsidRPr="00B601A0">
        <w:rPr>
          <w:rFonts w:cs="Times New Roman"/>
          <w:i/>
          <w:iCs/>
          <w:szCs w:val="24"/>
        </w:rPr>
        <w:t>in</w:t>
      </w:r>
      <w:r w:rsidRPr="00B601A0">
        <w:rPr>
          <w:rFonts w:cs="Times New Roman"/>
          <w:szCs w:val="24"/>
        </w:rPr>
        <w:t xml:space="preserve"> L. </w:t>
      </w:r>
      <w:r w:rsidRPr="00B601A0">
        <w:rPr>
          <w:rFonts w:cs="Times New Roman"/>
          <w:smallCaps/>
          <w:szCs w:val="24"/>
        </w:rPr>
        <w:t>Boltanski</w:t>
      </w:r>
      <w:r w:rsidRPr="00B601A0">
        <w:rPr>
          <w:rFonts w:cs="Times New Roman"/>
          <w:szCs w:val="24"/>
        </w:rPr>
        <w:t xml:space="preserve"> (éd.), </w:t>
      </w:r>
      <w:r w:rsidRPr="00B601A0">
        <w:rPr>
          <w:rFonts w:cs="Times New Roman"/>
          <w:i/>
          <w:iCs/>
          <w:szCs w:val="24"/>
        </w:rPr>
        <w:t>Affaires, scandales et grandes causes: de Socrate à Pinochet</w:t>
      </w:r>
      <w:r w:rsidRPr="00B601A0">
        <w:rPr>
          <w:rFonts w:cs="Times New Roman"/>
          <w:szCs w:val="24"/>
        </w:rPr>
        <w:t xml:space="preserve">, Les essais, Paris, Stock, 2007, p. 397 ; cité par S. </w:t>
      </w:r>
      <w:r w:rsidRPr="00B601A0">
        <w:rPr>
          <w:rFonts w:cs="Times New Roman"/>
          <w:smallCaps/>
          <w:szCs w:val="24"/>
        </w:rPr>
        <w:t>Hennette-Vauchez</w:t>
      </w:r>
      <w:r w:rsidRPr="00B601A0">
        <w:rPr>
          <w:rFonts w:cs="Times New Roman"/>
          <w:szCs w:val="24"/>
        </w:rPr>
        <w:t xml:space="preserve"> et V. </w:t>
      </w:r>
      <w:r w:rsidRPr="00B601A0">
        <w:rPr>
          <w:rFonts w:cs="Times New Roman"/>
          <w:smallCaps/>
          <w:szCs w:val="24"/>
        </w:rPr>
        <w:t>Valentin</w:t>
      </w:r>
      <w:r w:rsidRPr="00B601A0">
        <w:rPr>
          <w:rFonts w:cs="Times New Roman"/>
          <w:szCs w:val="24"/>
        </w:rPr>
        <w:t xml:space="preserve">, </w:t>
      </w:r>
      <w:r w:rsidRPr="00B601A0">
        <w:rPr>
          <w:rFonts w:cs="Times New Roman"/>
          <w:i/>
          <w:iCs/>
          <w:szCs w:val="24"/>
        </w:rPr>
        <w:t>L’affaire Baby Loup ou la Nouvelle Laïcité</w:t>
      </w:r>
      <w:r w:rsidRPr="00B601A0">
        <w:rPr>
          <w:rFonts w:cs="Times New Roman"/>
          <w:szCs w:val="24"/>
        </w:rPr>
        <w:t>, Paris, LGDJ, 2014, pp. 12‑13.</w:t>
      </w:r>
      <w:r w:rsidRPr="00B601A0">
        <w:fldChar w:fldCharType="end"/>
      </w:r>
    </w:p>
  </w:footnote>
  <w:footnote w:id="14">
    <w:p w14:paraId="0A77B789" w14:textId="441879C7" w:rsidR="000D6C77" w:rsidRPr="00FF5D4A" w:rsidRDefault="000D6C77">
      <w:pPr>
        <w:pStyle w:val="Notedebasdepage"/>
      </w:pPr>
      <w:r>
        <w:rPr>
          <w:rStyle w:val="Appelnotedebasdep"/>
        </w:rPr>
        <w:footnoteRef/>
      </w:r>
      <w:r>
        <w:t xml:space="preserve"> Cette </w:t>
      </w:r>
      <w:r w:rsidRPr="009141C7">
        <w:t>affaire témoigne de l</w:t>
      </w:r>
      <w:r>
        <w:t>’insécurité juridique entourant la</w:t>
      </w:r>
      <w:r w:rsidRPr="009141C7">
        <w:t xml:space="preserve"> compatibilité d’une politique de neutralité avec les </w:t>
      </w:r>
      <w:r>
        <w:t xml:space="preserve">droits fondamentaux du travailleur : </w:t>
      </w:r>
      <w:r w:rsidRPr="009141C7">
        <w:t>cinq</w:t>
      </w:r>
      <w:r w:rsidRPr="00FF5D4A">
        <w:t xml:space="preserve"> </w:t>
      </w:r>
      <w:r w:rsidRPr="009141C7">
        <w:t xml:space="preserve">décisions de justice aboutissant parfois à la même solution, mais </w:t>
      </w:r>
      <w:r>
        <w:t xml:space="preserve">pour des motifs </w:t>
      </w:r>
      <w:r w:rsidRPr="009141C7">
        <w:t>toujours différent</w:t>
      </w:r>
      <w:r>
        <w:t>s</w:t>
      </w:r>
      <w:r w:rsidRPr="009141C7">
        <w:t>.</w:t>
      </w:r>
      <w:r>
        <w:t xml:space="preserve"> Chacune a été l’occasion d’un vif débat, tant juridique que politique et sociétal, sur la pertinence et la portée de l’invocation de la neutralité par une entreprise privée. L’assemblée plénière de la cour de cassation française (</w:t>
      </w:r>
      <w:r w:rsidRPr="00D21232">
        <w:t>25 juin 2014, n° 13-28.369</w:t>
      </w:r>
      <w:r>
        <w:t>) a finalement – six ans plus tard – validé le licenciement sur la base de considérations essentiellement factuelles.</w:t>
      </w:r>
    </w:p>
  </w:footnote>
  <w:footnote w:id="15">
    <w:p w14:paraId="6217D635" w14:textId="4DFA51F3" w:rsidR="000D6C77" w:rsidRPr="00C01B3C" w:rsidRDefault="000D6C77" w:rsidP="00FF5D4A">
      <w:pPr>
        <w:pStyle w:val="Notedebasdepage"/>
      </w:pPr>
      <w:r>
        <w:rPr>
          <w:rStyle w:val="Appelnotedebasdep"/>
        </w:rPr>
        <w:footnoteRef/>
      </w:r>
      <w:r w:rsidRPr="00C01B3C">
        <w:t xml:space="preserve"> C. trav. Bruxelles (4e ch.), 15 janvier 2008, </w:t>
      </w:r>
      <w:r>
        <w:rPr>
          <w:i/>
        </w:rPr>
        <w:t>J.T.T.</w:t>
      </w:r>
      <w:r w:rsidRPr="00C01B3C">
        <w:t>, 2008, pp. 140-141</w:t>
      </w:r>
      <w:r>
        <w:t>.</w:t>
      </w:r>
    </w:p>
  </w:footnote>
  <w:footnote w:id="16">
    <w:p w14:paraId="47819934" w14:textId="7A3FC38B" w:rsidR="000D6C77" w:rsidRPr="00FF61EE" w:rsidRDefault="000D6C77" w:rsidP="00FF5D4A">
      <w:pPr>
        <w:pStyle w:val="Notedebasdepage"/>
      </w:pPr>
      <w:r>
        <w:rPr>
          <w:rStyle w:val="Appelnotedebasdep"/>
        </w:rPr>
        <w:footnoteRef/>
      </w:r>
      <w:r w:rsidRPr="00C01B3C">
        <w:t xml:space="preserve"> Trib. trav. Tongres, 2 janvier 2013, </w:t>
      </w:r>
      <w:r w:rsidRPr="008F6055">
        <w:rPr>
          <w:rFonts w:cs="Times New Roman"/>
          <w:i/>
        </w:rPr>
        <w:t xml:space="preserve">Chr. D.S. – Soc. </w:t>
      </w:r>
      <w:r w:rsidRPr="00FF61EE">
        <w:rPr>
          <w:rFonts w:cs="Times New Roman"/>
          <w:i/>
        </w:rPr>
        <w:t>Kron.</w:t>
      </w:r>
      <w:r w:rsidRPr="00FF61EE">
        <w:rPr>
          <w:rFonts w:cs="Times New Roman"/>
        </w:rPr>
        <w:t>, 2014, n° 7, pp. 356-362</w:t>
      </w:r>
      <w:r w:rsidRPr="00FF61EE">
        <w:t>.</w:t>
      </w:r>
    </w:p>
  </w:footnote>
  <w:footnote w:id="17">
    <w:p w14:paraId="427049EC" w14:textId="4F5314E0" w:rsidR="000D6C77" w:rsidRPr="00B331B7" w:rsidRDefault="000D6C77">
      <w:pPr>
        <w:pStyle w:val="Notedebasdepage"/>
      </w:pPr>
      <w:r>
        <w:rPr>
          <w:rStyle w:val="Appelnotedebasdep"/>
        </w:rPr>
        <w:footnoteRef/>
      </w:r>
      <w:r w:rsidRPr="00B331B7">
        <w:t xml:space="preserve"> </w:t>
      </w:r>
      <w:r>
        <w:t>Trib. trav. Bruxelles (</w:t>
      </w:r>
      <w:r w:rsidRPr="00B331B7">
        <w:t>réf.</w:t>
      </w:r>
      <w:r>
        <w:t>)</w:t>
      </w:r>
      <w:r w:rsidRPr="00B331B7">
        <w:t xml:space="preserve">, 3 mai 2021, </w:t>
      </w:r>
      <w:r w:rsidRPr="00B331B7">
        <w:rPr>
          <w:i/>
        </w:rPr>
        <w:t>J.T.T.</w:t>
      </w:r>
      <w:r w:rsidRPr="00B331B7">
        <w:t>, n° 18, pp. 318-333</w:t>
      </w:r>
      <w:r>
        <w:t>.</w:t>
      </w:r>
    </w:p>
  </w:footnote>
  <w:footnote w:id="18">
    <w:p w14:paraId="640B3301" w14:textId="2EECB986" w:rsidR="000D6C77" w:rsidRPr="008D517D" w:rsidRDefault="000D6C77" w:rsidP="0011402F">
      <w:pPr>
        <w:pStyle w:val="Notedebasdepage"/>
      </w:pPr>
      <w:r>
        <w:rPr>
          <w:rStyle w:val="Appelnotedebasdep"/>
        </w:rPr>
        <w:footnoteRef/>
      </w:r>
      <w:r w:rsidRPr="00F4323B">
        <w:rPr>
          <w:lang w:val="nl-BE"/>
        </w:rPr>
        <w:t xml:space="preserve"> </w:t>
      </w:r>
      <w:r>
        <w:rPr>
          <w:lang w:val="nl-BE"/>
        </w:rPr>
        <w:t xml:space="preserve">CJUE, </w:t>
      </w:r>
      <w:r w:rsidRPr="00AA224F">
        <w:rPr>
          <w:i/>
          <w:lang w:val="nl-BE"/>
        </w:rPr>
        <w:t xml:space="preserve">Samira </w:t>
      </w:r>
      <w:proofErr w:type="spellStart"/>
      <w:r w:rsidRPr="00AA224F">
        <w:rPr>
          <w:i/>
          <w:lang w:val="nl-BE"/>
        </w:rPr>
        <w:t>Achbita</w:t>
      </w:r>
      <w:proofErr w:type="spellEnd"/>
      <w:r w:rsidRPr="00AA224F">
        <w:rPr>
          <w:i/>
          <w:lang w:val="nl-BE"/>
        </w:rPr>
        <w:t>, Centrum voor gel</w:t>
      </w:r>
      <w:r>
        <w:rPr>
          <w:i/>
          <w:lang w:val="nl-BE"/>
        </w:rPr>
        <w:t>ijkheid van kansen en voor racismebestrijding c. G4S Secure Solutions NV</w:t>
      </w:r>
      <w:r>
        <w:rPr>
          <w:lang w:val="nl-BE"/>
        </w:rPr>
        <w:t>, 14 mars 2017, C-157/15 (ci-</w:t>
      </w:r>
      <w:proofErr w:type="spellStart"/>
      <w:r>
        <w:rPr>
          <w:lang w:val="nl-BE"/>
        </w:rPr>
        <w:t>après</w:t>
      </w:r>
      <w:proofErr w:type="spellEnd"/>
      <w:r>
        <w:rPr>
          <w:lang w:val="nl-BE"/>
        </w:rPr>
        <w:t xml:space="preserve"> </w:t>
      </w:r>
      <w:proofErr w:type="spellStart"/>
      <w:r>
        <w:rPr>
          <w:i/>
          <w:lang w:val="nl-BE"/>
        </w:rPr>
        <w:t>Achbita</w:t>
      </w:r>
      <w:proofErr w:type="spellEnd"/>
      <w:r>
        <w:rPr>
          <w:lang w:val="nl-BE"/>
        </w:rPr>
        <w:t xml:space="preserve">). </w:t>
      </w:r>
      <w:r w:rsidRPr="009F62D7">
        <w:t>Faisant suite à la réponse de la CJUE à sa question préjudicielle</w:t>
      </w:r>
      <w:r>
        <w:t xml:space="preserve"> (</w:t>
      </w:r>
      <w:r w:rsidRPr="00753B38">
        <w:t xml:space="preserve">9 mars 2015, </w:t>
      </w:r>
      <w:r w:rsidRPr="00753B38">
        <w:rPr>
          <w:i/>
        </w:rPr>
        <w:t>J.T.T.</w:t>
      </w:r>
      <w:r w:rsidRPr="00753B38">
        <w:t>, 2015, pp. 257-258</w:t>
      </w:r>
      <w:r>
        <w:t>)</w:t>
      </w:r>
      <w:r w:rsidRPr="009F62D7">
        <w:t>, la Cour de cassation belge</w:t>
      </w:r>
      <w:r>
        <w:t xml:space="preserve"> </w:t>
      </w:r>
      <w:r w:rsidRPr="009F62D7">
        <w:t xml:space="preserve">(9 octobre 2017, </w:t>
      </w:r>
      <w:r w:rsidRPr="009F62D7">
        <w:rPr>
          <w:i/>
        </w:rPr>
        <w:t>J.L.M.B.</w:t>
      </w:r>
      <w:r w:rsidRPr="009F62D7">
        <w:t xml:space="preserve">, 2018, p. 118-122, obs. F. </w:t>
      </w:r>
      <w:proofErr w:type="spellStart"/>
      <w:r w:rsidRPr="00147397">
        <w:rPr>
          <w:smallCaps/>
        </w:rPr>
        <w:t>Kéfer</w:t>
      </w:r>
      <w:proofErr w:type="spellEnd"/>
      <w:r w:rsidRPr="009F62D7">
        <w:t xml:space="preserve"> et R. </w:t>
      </w:r>
      <w:proofErr w:type="spellStart"/>
      <w:r w:rsidRPr="00147397">
        <w:rPr>
          <w:smallCaps/>
        </w:rPr>
        <w:t>Linguelet</w:t>
      </w:r>
      <w:proofErr w:type="spellEnd"/>
      <w:r>
        <w:t>)</w:t>
      </w:r>
      <w:r w:rsidRPr="009F62D7">
        <w:t xml:space="preserve"> a cassé l’arrêt de la Cour du travail d’Anvers et renvoyé la cause devant la Cour du travail de Gand en tant que cour de renvoi</w:t>
      </w:r>
      <w:r>
        <w:t>, qui a elle-même finalement conclu à l’absence de discrimination (</w:t>
      </w:r>
      <w:r w:rsidRPr="005022C3">
        <w:t>12 octobre 2020,</w:t>
      </w:r>
      <w:r>
        <w:t xml:space="preserve"> </w:t>
      </w:r>
      <w:r>
        <w:rPr>
          <w:i/>
          <w:iCs/>
        </w:rPr>
        <w:t>J.T.T.</w:t>
      </w:r>
      <w:r>
        <w:t xml:space="preserve">, 2021, pp. 154-167). Pour deux commentaires critiques de cet arrêt, </w:t>
      </w:r>
      <w:proofErr w:type="spellStart"/>
      <w:r>
        <w:t>voy</w:t>
      </w:r>
      <w:proofErr w:type="spellEnd"/>
      <w:r>
        <w:t xml:space="preserve">. </w:t>
      </w:r>
      <w:r>
        <w:fldChar w:fldCharType="begin"/>
      </w:r>
      <w:r>
        <w:instrText xml:space="preserve"> ADDIN ZOTERO_ITEM CSL_CITATION {"citationID":"NlQ8itl7","properties":{"formattedCitation":"F. {\\scaps Dorssemont}, \\uc0\\u171{}\\uc0\\u160{}De sluiers vallen af: religie, blijf in uw kot!\\uc0\\u160{}\\uc0\\u187{}, {\\i{}De Juristenkrant}, f\\uc0\\u233{}vrier 2021, pp. 14\\uc0\\u8209{}15\\uc0\\u160{}; E. {\\scaps Bribosia}, R. {\\scaps Medard Inghilterra} et I. {\\scaps Rorive}, \\uc0\\u171{}\\uc0\\u160{}Femmes voil\\uc0\\u233{}es au travail face aux errements du droit de la non-discrimination\\uc0\\u160{}\\uc0\\u187{}, {\\i{}Journal des Tribunaux du Travail}, 2021, n\\uc0\\u176{} 9, pp. 145\\uc0\\u8209{}153.","plainCitation":"F. Dorssemont, « De sluiers vallen af: religie, blijf in uw kot! », De Juristenkrant, février 2021, pp. 14‑15 ; E. Bribosia, R. Medard Inghilterra et I. Rorive, « Femmes voilées au travail face aux errements du droit de la non-discrimination », Journal des Tribunaux du Travail, 2021, n° 9, pp. 145‑153.","noteIndex":19},"citationItems":[{"id":3289,"uris":["http://zotero.org/users/5133869/items/UW2D83B4"],"itemData":{"id":3289,"type":"article-journal","container-title":"De Juristenkrant","language":"nl","page":"14-15","source":"Zotero","title":"De sluiers vallen af: religie, blijf in uw kot!","author":[{"family":"Dorssemont","given":"Filip"}],"issued":{"date-parts":[["2021",2,24]]}}},{"id":3240,"uris":["http://zotero.org/users/5133869/items/KXVCVKDX"],"itemData":{"id":3240,"type":"article-journal","container-title":"Journal des Tribunaux du Travail","issue":"9","page":"145-153","title":"Femmes voilées au travail face aux errements du droit de la non-discrimination","author":[{"family":"Bribosia","given":"Emmanuelle"},{"family":"Medard Inghilterra","given":"Robin"},{"family":"Rorive","given":"Isabelle"}],"issued":{"date-parts":[["2021"]]}}}],"schema":"https://github.com/citation-style-language/schema/raw/master/csl-citation.json"} </w:instrText>
      </w:r>
      <w:r>
        <w:fldChar w:fldCharType="separate"/>
      </w:r>
      <w:r w:rsidRPr="0026112D">
        <w:rPr>
          <w:rFonts w:cs="Times New Roman"/>
          <w:szCs w:val="24"/>
        </w:rPr>
        <w:t xml:space="preserve">F. </w:t>
      </w:r>
      <w:r w:rsidRPr="0026112D">
        <w:rPr>
          <w:rFonts w:cs="Times New Roman"/>
          <w:smallCaps/>
          <w:szCs w:val="24"/>
        </w:rPr>
        <w:t>Dorssemont</w:t>
      </w:r>
      <w:r w:rsidRPr="0026112D">
        <w:rPr>
          <w:rFonts w:cs="Times New Roman"/>
          <w:szCs w:val="24"/>
        </w:rPr>
        <w:t xml:space="preserve">, « De </w:t>
      </w:r>
      <w:proofErr w:type="spellStart"/>
      <w:r w:rsidRPr="0026112D">
        <w:rPr>
          <w:rFonts w:cs="Times New Roman"/>
          <w:szCs w:val="24"/>
        </w:rPr>
        <w:t>sluiers</w:t>
      </w:r>
      <w:proofErr w:type="spellEnd"/>
      <w:r w:rsidRPr="0026112D">
        <w:rPr>
          <w:rFonts w:cs="Times New Roman"/>
          <w:szCs w:val="24"/>
        </w:rPr>
        <w:t xml:space="preserve"> </w:t>
      </w:r>
      <w:proofErr w:type="spellStart"/>
      <w:r w:rsidRPr="0026112D">
        <w:rPr>
          <w:rFonts w:cs="Times New Roman"/>
          <w:szCs w:val="24"/>
        </w:rPr>
        <w:t>vallen</w:t>
      </w:r>
      <w:proofErr w:type="spellEnd"/>
      <w:r w:rsidRPr="0026112D">
        <w:rPr>
          <w:rFonts w:cs="Times New Roman"/>
          <w:szCs w:val="24"/>
        </w:rPr>
        <w:t xml:space="preserve"> </w:t>
      </w:r>
      <w:proofErr w:type="spellStart"/>
      <w:r w:rsidRPr="0026112D">
        <w:rPr>
          <w:rFonts w:cs="Times New Roman"/>
          <w:szCs w:val="24"/>
        </w:rPr>
        <w:t>af</w:t>
      </w:r>
      <w:proofErr w:type="spellEnd"/>
      <w:r w:rsidRPr="0026112D">
        <w:rPr>
          <w:rFonts w:cs="Times New Roman"/>
          <w:szCs w:val="24"/>
        </w:rPr>
        <w:t xml:space="preserve">: </w:t>
      </w:r>
      <w:proofErr w:type="spellStart"/>
      <w:r w:rsidRPr="0026112D">
        <w:rPr>
          <w:rFonts w:cs="Times New Roman"/>
          <w:szCs w:val="24"/>
        </w:rPr>
        <w:t>religie</w:t>
      </w:r>
      <w:proofErr w:type="spellEnd"/>
      <w:r w:rsidRPr="0026112D">
        <w:rPr>
          <w:rFonts w:cs="Times New Roman"/>
          <w:szCs w:val="24"/>
        </w:rPr>
        <w:t xml:space="preserve">, </w:t>
      </w:r>
      <w:proofErr w:type="spellStart"/>
      <w:r w:rsidRPr="0026112D">
        <w:rPr>
          <w:rFonts w:cs="Times New Roman"/>
          <w:szCs w:val="24"/>
        </w:rPr>
        <w:t>blijf</w:t>
      </w:r>
      <w:proofErr w:type="spellEnd"/>
      <w:r w:rsidRPr="0026112D">
        <w:rPr>
          <w:rFonts w:cs="Times New Roman"/>
          <w:szCs w:val="24"/>
        </w:rPr>
        <w:t xml:space="preserve"> in </w:t>
      </w:r>
      <w:proofErr w:type="spellStart"/>
      <w:r w:rsidRPr="0026112D">
        <w:rPr>
          <w:rFonts w:cs="Times New Roman"/>
          <w:szCs w:val="24"/>
        </w:rPr>
        <w:t>uw</w:t>
      </w:r>
      <w:proofErr w:type="spellEnd"/>
      <w:r w:rsidRPr="0026112D">
        <w:rPr>
          <w:rFonts w:cs="Times New Roman"/>
          <w:szCs w:val="24"/>
        </w:rPr>
        <w:t xml:space="preserve"> kot! », </w:t>
      </w:r>
      <w:r w:rsidRPr="0026112D">
        <w:rPr>
          <w:rFonts w:cs="Times New Roman"/>
          <w:i/>
          <w:iCs/>
          <w:szCs w:val="24"/>
        </w:rPr>
        <w:t xml:space="preserve">De </w:t>
      </w:r>
      <w:proofErr w:type="spellStart"/>
      <w:r w:rsidRPr="0026112D">
        <w:rPr>
          <w:rFonts w:cs="Times New Roman"/>
          <w:i/>
          <w:iCs/>
          <w:szCs w:val="24"/>
        </w:rPr>
        <w:t>Juristenkrant</w:t>
      </w:r>
      <w:proofErr w:type="spellEnd"/>
      <w:r w:rsidRPr="0026112D">
        <w:rPr>
          <w:rFonts w:cs="Times New Roman"/>
          <w:szCs w:val="24"/>
        </w:rPr>
        <w:t xml:space="preserve">, février 2021, pp. 14‑15 ; E. </w:t>
      </w:r>
      <w:proofErr w:type="spellStart"/>
      <w:r w:rsidRPr="0026112D">
        <w:rPr>
          <w:rFonts w:cs="Times New Roman"/>
          <w:smallCaps/>
          <w:szCs w:val="24"/>
        </w:rPr>
        <w:t>Bribosia</w:t>
      </w:r>
      <w:proofErr w:type="spellEnd"/>
      <w:r w:rsidRPr="0026112D">
        <w:rPr>
          <w:rFonts w:cs="Times New Roman"/>
          <w:szCs w:val="24"/>
        </w:rPr>
        <w:t xml:space="preserve">, R. </w:t>
      </w:r>
      <w:proofErr w:type="spellStart"/>
      <w:r w:rsidRPr="0026112D">
        <w:rPr>
          <w:rFonts w:cs="Times New Roman"/>
          <w:smallCaps/>
          <w:szCs w:val="24"/>
        </w:rPr>
        <w:t>Medard</w:t>
      </w:r>
      <w:proofErr w:type="spellEnd"/>
      <w:r w:rsidRPr="0026112D">
        <w:rPr>
          <w:rFonts w:cs="Times New Roman"/>
          <w:smallCaps/>
          <w:szCs w:val="24"/>
        </w:rPr>
        <w:t xml:space="preserve"> </w:t>
      </w:r>
      <w:proofErr w:type="spellStart"/>
      <w:r w:rsidRPr="0026112D">
        <w:rPr>
          <w:rFonts w:cs="Times New Roman"/>
          <w:smallCaps/>
          <w:szCs w:val="24"/>
        </w:rPr>
        <w:t>Inghilterra</w:t>
      </w:r>
      <w:proofErr w:type="spellEnd"/>
      <w:r w:rsidRPr="0026112D">
        <w:rPr>
          <w:rFonts w:cs="Times New Roman"/>
          <w:szCs w:val="24"/>
        </w:rPr>
        <w:t xml:space="preserve"> et I. </w:t>
      </w:r>
      <w:proofErr w:type="spellStart"/>
      <w:r w:rsidRPr="0026112D">
        <w:rPr>
          <w:rFonts w:cs="Times New Roman"/>
          <w:smallCaps/>
          <w:szCs w:val="24"/>
        </w:rPr>
        <w:t>Rorive</w:t>
      </w:r>
      <w:proofErr w:type="spellEnd"/>
      <w:r w:rsidRPr="0026112D">
        <w:rPr>
          <w:rFonts w:cs="Times New Roman"/>
          <w:szCs w:val="24"/>
        </w:rPr>
        <w:t xml:space="preserve">, « Femmes voilées au travail face aux errements du droit de la non-discrimination », </w:t>
      </w:r>
      <w:r w:rsidRPr="0026112D">
        <w:rPr>
          <w:rFonts w:cs="Times New Roman"/>
          <w:i/>
          <w:iCs/>
          <w:szCs w:val="24"/>
        </w:rPr>
        <w:t>Journal des Tribunaux du Travail</w:t>
      </w:r>
      <w:r w:rsidRPr="0026112D">
        <w:rPr>
          <w:rFonts w:cs="Times New Roman"/>
          <w:szCs w:val="24"/>
        </w:rPr>
        <w:t>, 2021, n° 9, pp. 145‑153.</w:t>
      </w:r>
      <w:r>
        <w:fldChar w:fldCharType="end"/>
      </w:r>
    </w:p>
  </w:footnote>
  <w:footnote w:id="19">
    <w:p w14:paraId="4953C893" w14:textId="077F744F" w:rsidR="000D6C77" w:rsidRPr="00F4323B" w:rsidRDefault="000D6C77">
      <w:pPr>
        <w:pStyle w:val="Notedebasdepage"/>
      </w:pPr>
      <w:r>
        <w:rPr>
          <w:rStyle w:val="Appelnotedebasdep"/>
        </w:rPr>
        <w:footnoteRef/>
      </w:r>
      <w:r>
        <w:t xml:space="preserve"> CJUE</w:t>
      </w:r>
      <w:r w:rsidRPr="006F6EA3">
        <w:t xml:space="preserve">, </w:t>
      </w:r>
      <w:r w:rsidRPr="006F6EA3">
        <w:rPr>
          <w:i/>
          <w:iCs/>
        </w:rPr>
        <w:t xml:space="preserve">Asma Bougnaoui, Association de défense des droits de l’homme c. </w:t>
      </w:r>
      <w:proofErr w:type="spellStart"/>
      <w:r w:rsidRPr="006F6EA3">
        <w:rPr>
          <w:i/>
          <w:iCs/>
        </w:rPr>
        <w:t>Micropole</w:t>
      </w:r>
      <w:proofErr w:type="spellEnd"/>
      <w:r w:rsidRPr="006F6EA3">
        <w:rPr>
          <w:i/>
          <w:iCs/>
        </w:rPr>
        <w:t xml:space="preserve"> S.A</w:t>
      </w:r>
      <w:r w:rsidRPr="006F6EA3">
        <w:t>,</w:t>
      </w:r>
      <w:r>
        <w:t xml:space="preserve"> 14 mars 2017,</w:t>
      </w:r>
      <w:r w:rsidRPr="006F6EA3">
        <w:t xml:space="preserve"> C-188/15</w:t>
      </w:r>
      <w:r>
        <w:t xml:space="preserve"> </w:t>
      </w:r>
      <w:r w:rsidRPr="00F4323B">
        <w:t xml:space="preserve">(ci-après </w:t>
      </w:r>
      <w:r>
        <w:rPr>
          <w:i/>
        </w:rPr>
        <w:t>Bougnaoui</w:t>
      </w:r>
      <w:r>
        <w:t>).</w:t>
      </w:r>
    </w:p>
  </w:footnote>
  <w:footnote w:id="20">
    <w:p w14:paraId="1E0940C7" w14:textId="77777777" w:rsidR="000D6C77" w:rsidRPr="00FF5D4A" w:rsidRDefault="000D6C77" w:rsidP="00193AD3">
      <w:pPr>
        <w:pStyle w:val="Notedebasdepage"/>
      </w:pPr>
      <w:r>
        <w:rPr>
          <w:rStyle w:val="Appelnotedebasdep"/>
        </w:rPr>
        <w:footnoteRef/>
      </w:r>
      <w:r>
        <w:t xml:space="preserve"> CJUE, </w:t>
      </w:r>
      <w:r w:rsidRPr="00D2288D">
        <w:rPr>
          <w:i/>
        </w:rPr>
        <w:t xml:space="preserve">IX c. WABE eV et MH Müller </w:t>
      </w:r>
      <w:proofErr w:type="spellStart"/>
      <w:r w:rsidRPr="00D2288D">
        <w:rPr>
          <w:i/>
        </w:rPr>
        <w:t>Handels</w:t>
      </w:r>
      <w:proofErr w:type="spellEnd"/>
      <w:r w:rsidRPr="00D2288D">
        <w:rPr>
          <w:i/>
        </w:rPr>
        <w:t xml:space="preserve"> </w:t>
      </w:r>
      <w:proofErr w:type="spellStart"/>
      <w:r w:rsidRPr="00D2288D">
        <w:rPr>
          <w:i/>
        </w:rPr>
        <w:t>GmbH</w:t>
      </w:r>
      <w:proofErr w:type="spellEnd"/>
      <w:r w:rsidRPr="00D2288D">
        <w:rPr>
          <w:i/>
        </w:rPr>
        <w:t xml:space="preserve"> c. MJ</w:t>
      </w:r>
      <w:r>
        <w:t xml:space="preserve">, 15 juillet 2021, C-804/18 et C-341/19 </w:t>
      </w:r>
      <w:r w:rsidRPr="00F4323B">
        <w:t xml:space="preserve">(ci-après </w:t>
      </w:r>
      <w:r>
        <w:rPr>
          <w:i/>
        </w:rPr>
        <w:t>WABE-</w:t>
      </w:r>
      <w:r w:rsidRPr="00F62F95">
        <w:rPr>
          <w:i/>
          <w:sz w:val="24"/>
          <w:szCs w:val="22"/>
        </w:rPr>
        <w:t xml:space="preserve"> </w:t>
      </w:r>
      <w:r w:rsidRPr="00F62F95">
        <w:rPr>
          <w:i/>
        </w:rPr>
        <w:t>Müller</w:t>
      </w:r>
      <w:r w:rsidRPr="00F4323B">
        <w:t>).</w:t>
      </w:r>
    </w:p>
  </w:footnote>
  <w:footnote w:id="21">
    <w:p w14:paraId="154BFB0A" w14:textId="49CEB0F1" w:rsidR="000D6C77" w:rsidRPr="008D517D" w:rsidRDefault="000D6C77">
      <w:pPr>
        <w:pStyle w:val="Notedebasdepage"/>
        <w:rPr>
          <w:lang w:val="fr-FR"/>
        </w:rPr>
      </w:pPr>
      <w:r>
        <w:rPr>
          <w:rStyle w:val="Appelnotedebasdep"/>
        </w:rPr>
        <w:footnoteRef/>
      </w:r>
      <w:r>
        <w:t xml:space="preserve"> CJUE, </w:t>
      </w:r>
      <w:r w:rsidRPr="008D517D">
        <w:rPr>
          <w:i/>
          <w:iCs/>
        </w:rPr>
        <w:t>LF c. SCRL</w:t>
      </w:r>
      <w:r>
        <w:t xml:space="preserve">, 13 octobre 2022, </w:t>
      </w:r>
      <w:r w:rsidRPr="002C5521">
        <w:t>C‑344/20</w:t>
      </w:r>
      <w:r>
        <w:t xml:space="preserve"> (ci-après </w:t>
      </w:r>
      <w:r>
        <w:rPr>
          <w:i/>
          <w:iCs/>
        </w:rPr>
        <w:t>LF c. SCRL</w:t>
      </w:r>
      <w:r>
        <w:t>).</w:t>
      </w:r>
    </w:p>
  </w:footnote>
  <w:footnote w:id="22">
    <w:p w14:paraId="651EC6A9" w14:textId="0CEE0DD4" w:rsidR="000D6C77" w:rsidRPr="0087369B" w:rsidRDefault="000D6C77" w:rsidP="00E31118">
      <w:pPr>
        <w:pStyle w:val="Notedebasdepage"/>
      </w:pPr>
      <w:r>
        <w:rPr>
          <w:rStyle w:val="Appelnotedebasdep"/>
        </w:rPr>
        <w:footnoteRef/>
      </w:r>
      <w:r w:rsidRPr="0087369B">
        <w:t xml:space="preserve"> </w:t>
      </w:r>
      <w:r>
        <w:fldChar w:fldCharType="begin"/>
      </w:r>
      <w:r>
        <w:instrText xml:space="preserve"> ADDIN ZOTERO_ITEM CSL_CITATION {"citationID":"9RgvrFJI","properties":{"formattedCitation":"D. {\\scaps Bouzar} et L. {\\scaps Bouzar}, {\\i{}Allah a-t-il sa place dans l\\uc0\\u8217{}entreprise\\uc0\\u8239{}?}, Paris, Albin Michel, 2009\\uc0\\u160{}; I. {\\scaps Adam} et A. {\\scaps Rea}, \\uc0\\u171{}\\uc0\\u160{}Les pratiques d\\uc0\\u8217{}accommodements raisonnables sur les lieux de travail en Belgique\\uc0\\u160{}\\uc0\\u187{}, {\\i{}op. cit.}\\uc0\\u160{}; {\\scaps Observatoire du Fait Religieux en Entreprise}, \\uc0\\u171{}\\uc0\\u160{}Etude 2018 - L\\uc0\\u8217{}entreprise, le travail et la religion\\uc0\\u160{}\\uc0\\u187{}, {\\i{}op. cit.}","plainCitation":"D. Bouzar et L. Bouzar, Allah a-t-il sa place dans l’entreprise ?, Paris, Albin Michel, 2009 ; I. Adam et A. Rea, « Les pratiques d’accommodements raisonnables sur les lieux de travail en Belgique », op. cit. ; Observatoire du Fait Religieux en Entreprise, « Etude 2018 - L’entreprise, le travail et la religion », op. cit.","noteIndex":24},"citationItems":[{"id":1696,"uris":["http://zotero.org/users/5133869/items/KZEGFGWF"],"itemData":{"id":1696,"type":"book","call-number":"HF5387 .B677 2009","event-place":"Paris","ISBN":"978-2-226-19324-7","number-of-pages":"215","publisher":"Albin Michel","publisher-place":"Paris","source":"Library of Congress ISBN","title":"Allah a-t-il sa place dans l'entreprise ?","author":[{"family":"Bouzar","given":"Dounia"},{"family":"Bouzar","given":"Lylia"}],"issued":{"date-parts":[["2009"]]}}},{"id":1105,"uris":["http://zotero.org/users/5133869/items/RZ7XV582"],"itemData":{"id":1105,"type":"chapter","container-title":"L’accommodement de la diversité religieuse. Regards croisés – Canada, Europe, Belgique","event-place":"Bruxelles","page":"313-342","publisher":"P.I.E. - Peter Lang","publisher-place":"Bruxelles","title":"Les pratiques d’accommodements raisonnables sur les lieux de travail en Belgique","author":[{"family":"Adam","given":"Ilke"},{"family":"Rea","given":"Andrea"}],"editor":[{"family":"Bribosia","given":"Emmanuelle"},{"family":"Rorive","given":"Isabelle"}],"issued":{"date-parts":[["2015"]]}}},{"id":140,"uris":["http://zotero.org/users/5133869/items/ZJF6QUYZ"],"itemData":{"id":140,"type":"document","publisher":"Institut Randstad","title":"Etude 2018 - L'entreprise, le travail et la religion","author":[{"literal":"Observatoire du Fait Religieux en Entreprise"}],"issued":{"date-parts":[["2018"]]}}}],"schema":"https://github.com/citation-style-language/schema/raw/master/csl-citation.json"} </w:instrText>
      </w:r>
      <w:r>
        <w:fldChar w:fldCharType="separate"/>
      </w:r>
      <w:r w:rsidRPr="004F6200">
        <w:rPr>
          <w:rFonts w:cs="Times New Roman"/>
          <w:szCs w:val="24"/>
        </w:rPr>
        <w:t xml:space="preserve">D. </w:t>
      </w:r>
      <w:proofErr w:type="spellStart"/>
      <w:r w:rsidRPr="004F6200">
        <w:rPr>
          <w:rFonts w:cs="Times New Roman"/>
          <w:smallCaps/>
          <w:szCs w:val="24"/>
        </w:rPr>
        <w:t>Bouzar</w:t>
      </w:r>
      <w:proofErr w:type="spellEnd"/>
      <w:r w:rsidRPr="004F6200">
        <w:rPr>
          <w:rFonts w:cs="Times New Roman"/>
          <w:szCs w:val="24"/>
        </w:rPr>
        <w:t xml:space="preserve"> et L. </w:t>
      </w:r>
      <w:proofErr w:type="spellStart"/>
      <w:r w:rsidRPr="004F6200">
        <w:rPr>
          <w:rFonts w:cs="Times New Roman"/>
          <w:smallCaps/>
          <w:szCs w:val="24"/>
        </w:rPr>
        <w:t>Bouzar</w:t>
      </w:r>
      <w:proofErr w:type="spellEnd"/>
      <w:r w:rsidRPr="004F6200">
        <w:rPr>
          <w:rFonts w:cs="Times New Roman"/>
          <w:szCs w:val="24"/>
        </w:rPr>
        <w:t xml:space="preserve">, </w:t>
      </w:r>
      <w:r w:rsidRPr="004F6200">
        <w:rPr>
          <w:rFonts w:cs="Times New Roman"/>
          <w:i/>
          <w:iCs/>
          <w:szCs w:val="24"/>
        </w:rPr>
        <w:t>Allah a-t-il sa place dans l’entreprise ?</w:t>
      </w:r>
      <w:r w:rsidRPr="004F6200">
        <w:rPr>
          <w:rFonts w:cs="Times New Roman"/>
          <w:szCs w:val="24"/>
        </w:rPr>
        <w:t xml:space="preserve">, Paris, Albin Michel, 2009 ; I. </w:t>
      </w:r>
      <w:r w:rsidRPr="004F6200">
        <w:rPr>
          <w:rFonts w:cs="Times New Roman"/>
          <w:smallCaps/>
          <w:szCs w:val="24"/>
        </w:rPr>
        <w:t>Adam</w:t>
      </w:r>
      <w:r w:rsidRPr="004F6200">
        <w:rPr>
          <w:rFonts w:cs="Times New Roman"/>
          <w:szCs w:val="24"/>
        </w:rPr>
        <w:t xml:space="preserve"> et A. </w:t>
      </w:r>
      <w:r w:rsidRPr="004F6200">
        <w:rPr>
          <w:rFonts w:cs="Times New Roman"/>
          <w:smallCaps/>
          <w:szCs w:val="24"/>
        </w:rPr>
        <w:t>Rea</w:t>
      </w:r>
      <w:r w:rsidRPr="004F6200">
        <w:rPr>
          <w:rFonts w:cs="Times New Roman"/>
          <w:szCs w:val="24"/>
        </w:rPr>
        <w:t xml:space="preserve">, « Les pratiques d’accommodements raisonnables sur les lieux de travail en Belgique », </w:t>
      </w:r>
      <w:r w:rsidRPr="004F6200">
        <w:rPr>
          <w:rFonts w:cs="Times New Roman"/>
          <w:i/>
          <w:iCs/>
          <w:szCs w:val="24"/>
        </w:rPr>
        <w:t xml:space="preserve">op. </w:t>
      </w:r>
      <w:proofErr w:type="spellStart"/>
      <w:r w:rsidRPr="004F6200">
        <w:rPr>
          <w:rFonts w:cs="Times New Roman"/>
          <w:i/>
          <w:iCs/>
          <w:szCs w:val="24"/>
        </w:rPr>
        <w:t>cit</w:t>
      </w:r>
      <w:proofErr w:type="spellEnd"/>
      <w:r w:rsidRPr="004F6200">
        <w:rPr>
          <w:rFonts w:cs="Times New Roman"/>
          <w:i/>
          <w:iCs/>
          <w:szCs w:val="24"/>
        </w:rPr>
        <w:t>.</w:t>
      </w:r>
      <w:r w:rsidRPr="004F6200">
        <w:rPr>
          <w:rFonts w:cs="Times New Roman"/>
          <w:szCs w:val="24"/>
        </w:rPr>
        <w:t xml:space="preserve"> ; </w:t>
      </w:r>
      <w:r w:rsidRPr="004F6200">
        <w:rPr>
          <w:rFonts w:cs="Times New Roman"/>
          <w:smallCaps/>
          <w:szCs w:val="24"/>
        </w:rPr>
        <w:t>Observatoire du Fait Religieux en Entreprise</w:t>
      </w:r>
      <w:r w:rsidRPr="004F6200">
        <w:rPr>
          <w:rFonts w:cs="Times New Roman"/>
          <w:szCs w:val="24"/>
        </w:rPr>
        <w:t xml:space="preserve">, « Etude 2018 - L’entreprise, le travail et la religion », </w:t>
      </w:r>
      <w:r w:rsidRPr="004F6200">
        <w:rPr>
          <w:rFonts w:cs="Times New Roman"/>
          <w:i/>
          <w:iCs/>
          <w:szCs w:val="24"/>
        </w:rPr>
        <w:t xml:space="preserve">op. </w:t>
      </w:r>
      <w:proofErr w:type="spellStart"/>
      <w:r w:rsidRPr="004F6200">
        <w:rPr>
          <w:rFonts w:cs="Times New Roman"/>
          <w:i/>
          <w:iCs/>
          <w:szCs w:val="24"/>
        </w:rPr>
        <w:t>cit</w:t>
      </w:r>
      <w:proofErr w:type="spellEnd"/>
      <w:r w:rsidRPr="004F6200">
        <w:rPr>
          <w:rFonts w:cs="Times New Roman"/>
          <w:i/>
          <w:iCs/>
          <w:szCs w:val="24"/>
        </w:rPr>
        <w:t>.</w:t>
      </w:r>
      <w:r>
        <w:fldChar w:fldCharType="end"/>
      </w:r>
    </w:p>
  </w:footnote>
  <w:footnote w:id="23">
    <w:p w14:paraId="6E7EAA49" w14:textId="3D286FC1" w:rsidR="000D6C77" w:rsidRPr="00C652D6" w:rsidRDefault="000D6C77">
      <w:pPr>
        <w:pStyle w:val="Notedebasdepage"/>
      </w:pPr>
      <w:r>
        <w:rPr>
          <w:rStyle w:val="Appelnotedebasdep"/>
        </w:rPr>
        <w:footnoteRef/>
      </w:r>
      <w:r>
        <w:t xml:space="preserve"> N</w:t>
      </w:r>
      <w:r w:rsidRPr="00C652D6">
        <w:t>ous prendrons également en compte les affaires – françaises, pour la plupart – où le terme de laïcité est substitué ou ajouté à celui de neutralité, comme fondement de la politique de restriction des expressions religieuses des travailleurs.</w:t>
      </w:r>
    </w:p>
  </w:footnote>
  <w:footnote w:id="24">
    <w:p w14:paraId="7B03BD24" w14:textId="3C6E63FF" w:rsidR="000D6C77" w:rsidRPr="00715CDC" w:rsidRDefault="000D6C77">
      <w:pPr>
        <w:pStyle w:val="Notedebasdepage"/>
      </w:pPr>
      <w:r>
        <w:rPr>
          <w:rStyle w:val="Appelnotedebasdep"/>
        </w:rPr>
        <w:footnoteRef/>
      </w:r>
      <w:r>
        <w:t xml:space="preserve"> Dans cette perspective, i</w:t>
      </w:r>
      <w:r w:rsidRPr="002A0E30">
        <w:t>l sera fait ponctuellement référence à certaines jurisprudences portant sur la restriction des expressions religieuses fondée sur un autre motif que la neutralité – tel que la sécurité ou l’hygiène. L’intégration de ces décisions non expressément liées à la neutralité nous permettra en effet d’enrichir notre analyse quant à l’admissibilité d’une restriction générale des expressions religieuses sur le lieu de travail.</w:t>
      </w:r>
    </w:p>
  </w:footnote>
  <w:footnote w:id="25">
    <w:p w14:paraId="36A0F1ED" w14:textId="2D5967E3" w:rsidR="000D6C77" w:rsidRPr="006049EF" w:rsidRDefault="000D6C77">
      <w:pPr>
        <w:pStyle w:val="Notedebasdepage"/>
      </w:pPr>
      <w:r>
        <w:rPr>
          <w:rStyle w:val="Appelnotedebasdep"/>
        </w:rPr>
        <w:footnoteRef/>
      </w:r>
      <w:r>
        <w:t xml:space="preserve"> S</w:t>
      </w:r>
      <w:r w:rsidRPr="006049EF">
        <w:t>i le recours explicite à l’idée de neutralité par l’entreprise privée reste largement circonscrit à la Belgique et à la France, les enjeux juridiques qu’un tel phénomène soulève ne sont pas pour autant limités à ces deux pays, en particulier du point de vue de la compatibilité d’une restriction généralisée des expressions religieuses sur le lieu de travail avec le droit européen</w:t>
      </w:r>
      <w:r>
        <w:t xml:space="preserve"> : </w:t>
      </w:r>
      <w:proofErr w:type="spellStart"/>
      <w:r>
        <w:t>v</w:t>
      </w:r>
      <w:r w:rsidRPr="00292C65">
        <w:t>oy</w:t>
      </w:r>
      <w:proofErr w:type="spellEnd"/>
      <w:r w:rsidRPr="00292C65">
        <w:t xml:space="preserve">. en ce sens les exemples fournis par </w:t>
      </w:r>
      <w:proofErr w:type="spellStart"/>
      <w:r w:rsidRPr="00292C65">
        <w:rPr>
          <w:smallCaps/>
        </w:rPr>
        <w:t>Equinet</w:t>
      </w:r>
      <w:proofErr w:type="spellEnd"/>
      <w:r w:rsidRPr="00292C65">
        <w:t xml:space="preserve">, le réseau </w:t>
      </w:r>
      <w:r w:rsidRPr="00961509">
        <w:t>européen des institutions publiques indépendantes compétentes en matière de lutte contre les discriminations</w:t>
      </w:r>
      <w:r w:rsidRPr="00292C65">
        <w:t>, dans son rapport</w:t>
      </w:r>
      <w:r>
        <w:t xml:space="preserve"> </w:t>
      </w:r>
      <w:r>
        <w:fldChar w:fldCharType="begin"/>
      </w:r>
      <w:r>
        <w:instrText xml:space="preserve"> ADDIN ZOTERO_ITEM CSL_CITATION {"citationID":"yQCO9VJg","properties":{"formattedCitation":"{\\i{}Faith in Equality: Religion and Belief in Europe}, {\\i{}op. cit.}","plainCitation":"Faith in Equality: Religion and Belief in Europe, op. cit.","noteIndex":27},"citationItems":[{"id":2667,"uris":["http://zotero.org/users/5133869/items/QZJIVSYG"],"itemData":{"id":2667,"type":"report","collection-title":"Equality Law in Practice","note":"OCLC: 839889082","source":"Gemeinsamer Bibliotheksverbund ISBN","title":"Faith in Equality: Religion and Belief in Europe","author":[{"literal":"Equinet"}],"accessed":{"date-parts":[["2022",8,31]]},"issued":{"date-parts":[["2017"]]}},"suppress-author":true}],"schema":"https://github.com/citation-style-language/schema/raw/master/csl-citation.json"} </w:instrText>
      </w:r>
      <w:r>
        <w:fldChar w:fldCharType="separate"/>
      </w:r>
      <w:r w:rsidRPr="00292C65">
        <w:rPr>
          <w:rFonts w:cs="Times New Roman"/>
          <w:i/>
          <w:iCs/>
          <w:szCs w:val="24"/>
        </w:rPr>
        <w:t xml:space="preserve">Faith in </w:t>
      </w:r>
      <w:proofErr w:type="spellStart"/>
      <w:r w:rsidRPr="00292C65">
        <w:rPr>
          <w:rFonts w:cs="Times New Roman"/>
          <w:i/>
          <w:iCs/>
          <w:szCs w:val="24"/>
        </w:rPr>
        <w:t>Equality</w:t>
      </w:r>
      <w:proofErr w:type="spellEnd"/>
      <w:r w:rsidRPr="00292C65">
        <w:rPr>
          <w:rFonts w:cs="Times New Roman"/>
          <w:i/>
          <w:iCs/>
          <w:szCs w:val="24"/>
        </w:rPr>
        <w:t xml:space="preserve">: Religion and </w:t>
      </w:r>
      <w:proofErr w:type="spellStart"/>
      <w:r w:rsidRPr="00292C65">
        <w:rPr>
          <w:rFonts w:cs="Times New Roman"/>
          <w:i/>
          <w:iCs/>
          <w:szCs w:val="24"/>
        </w:rPr>
        <w:t>Belief</w:t>
      </w:r>
      <w:proofErr w:type="spellEnd"/>
      <w:r w:rsidRPr="00292C65">
        <w:rPr>
          <w:rFonts w:cs="Times New Roman"/>
          <w:i/>
          <w:iCs/>
          <w:szCs w:val="24"/>
        </w:rPr>
        <w:t xml:space="preserve"> in Europe</w:t>
      </w:r>
      <w:r w:rsidRPr="00292C65">
        <w:rPr>
          <w:rFonts w:cs="Times New Roman"/>
          <w:szCs w:val="24"/>
        </w:rPr>
        <w:t xml:space="preserve">, </w:t>
      </w:r>
      <w:r w:rsidRPr="00292C65">
        <w:rPr>
          <w:rFonts w:cs="Times New Roman"/>
          <w:i/>
          <w:iCs/>
          <w:szCs w:val="24"/>
        </w:rPr>
        <w:t xml:space="preserve">op. </w:t>
      </w:r>
      <w:proofErr w:type="spellStart"/>
      <w:r w:rsidRPr="00292C65">
        <w:rPr>
          <w:rFonts w:cs="Times New Roman"/>
          <w:i/>
          <w:iCs/>
          <w:szCs w:val="24"/>
        </w:rPr>
        <w:t>cit</w:t>
      </w:r>
      <w:proofErr w:type="spellEnd"/>
      <w:r w:rsidRPr="00292C65">
        <w:rPr>
          <w:rFonts w:cs="Times New Roman"/>
          <w:i/>
          <w:iCs/>
          <w:szCs w:val="24"/>
        </w:rPr>
        <w:t>.</w:t>
      </w:r>
      <w:r>
        <w:fldChar w:fldCharType="end"/>
      </w:r>
    </w:p>
  </w:footnote>
  <w:footnote w:id="26">
    <w:p w14:paraId="6B54172F" w14:textId="7A049165" w:rsidR="000D6C77" w:rsidRPr="008D517D" w:rsidRDefault="000D6C77">
      <w:pPr>
        <w:pStyle w:val="Notedebasdepage"/>
        <w:rPr>
          <w:lang w:val="en-GB"/>
        </w:rPr>
      </w:pPr>
      <w:r>
        <w:rPr>
          <w:rStyle w:val="Appelnotedebasdep"/>
        </w:rPr>
        <w:footnoteRef/>
      </w:r>
      <w:r>
        <w:t xml:space="preserve"> </w:t>
      </w:r>
      <w:r w:rsidRPr="00340548">
        <w:t>Po</w:t>
      </w:r>
      <w:r w:rsidRPr="00340548">
        <w:rPr>
          <w:rFonts w:cs="Times New Roman"/>
        </w:rPr>
        <w:t>ur un</w:t>
      </w:r>
      <w:r>
        <w:rPr>
          <w:rFonts w:cs="Times New Roman"/>
        </w:rPr>
        <w:t>e analyse</w:t>
      </w:r>
      <w:r w:rsidRPr="00340548">
        <w:rPr>
          <w:rFonts w:cs="Times New Roman"/>
        </w:rPr>
        <w:t xml:space="preserve"> de droi</w:t>
      </w:r>
      <w:r>
        <w:rPr>
          <w:rFonts w:cs="Times New Roman"/>
        </w:rPr>
        <w:t>t européen comparé (Belgique, Pays-Bas</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Pays-Bas"</w:instrText>
      </w:r>
      <w:r>
        <w:rPr>
          <w:rFonts w:cs="Times New Roman"/>
        </w:rPr>
        <w:instrText xml:space="preserve"> </w:instrText>
      </w:r>
      <w:r>
        <w:rPr>
          <w:rFonts w:cs="Times New Roman"/>
        </w:rPr>
        <w:fldChar w:fldCharType="end"/>
      </w:r>
      <w:r>
        <w:rPr>
          <w:rFonts w:cs="Times New Roman"/>
        </w:rPr>
        <w:t xml:space="preserve"> et Grande-Bretagne) sur la gestion juridique des expressions religieuses sur le lieu de travail (non limitée à l’enjeu de l’invocation de la neutralité), </w:t>
      </w:r>
      <w:proofErr w:type="spellStart"/>
      <w:r>
        <w:rPr>
          <w:rFonts w:cs="Times New Roman"/>
        </w:rPr>
        <w:t>voy</w:t>
      </w:r>
      <w:proofErr w:type="spellEnd"/>
      <w:r>
        <w:rPr>
          <w:rFonts w:cs="Times New Roman"/>
        </w:rPr>
        <w:t>.</w:t>
      </w:r>
      <w:r w:rsidRPr="00340548">
        <w:t xml:space="preserve"> </w:t>
      </w:r>
      <w:r>
        <w:fldChar w:fldCharType="begin"/>
      </w:r>
      <w:r>
        <w:instrText xml:space="preserve"> ADDIN ZOTERO_ITEM CSL_CITATION {"citationID":"0NDcHOGN","properties":{"formattedCitation":"K. {\\scaps Alidadi}, {\\i{}Religion, equality and employment in Europe: the case for reasonable accommodation}, Oxford\\uc0\\u8239{}; Portland , Oregon, Hart Publishing, 2017.","plainCitation":"K. Alidadi, Religion, equality and employment in Europe: the case for reasonable accommodation, Oxford ; Portland , Oregon, Hart Publishing, 2017.","noteIndex":28},"citationItems":[{"id":185,"uris":["http://zotero.org/users/5133869/items/FM6WAUT9"],"itemData":{"id":185,"type":"book","call-number":"KJC2945.R44 A84 2017","event-place":"Oxford ; Portland , Oregon","ISBN":"978-1-5099-1137-0","language":"en","number-of-pages":"289","publisher":"Hart Publishing","publisher-place":"Oxford ; Portland , Oregon","source":"Library of Congress ISBN","title":"Religion, equality and employment in Europe: the case for reasonable accommodation","title-short":"Religion, equality and employment in Europe","author":[{"family":"Alidadi","given":"Katayoun"}],"issued":{"date-parts":[["2017"]]}},"label":"page"}],"schema":"https://github.com/citation-style-language/schema/raw/master/csl-citation.json"} </w:instrText>
      </w:r>
      <w:r>
        <w:fldChar w:fldCharType="separate"/>
      </w:r>
      <w:r w:rsidRPr="008D517D">
        <w:rPr>
          <w:rFonts w:cs="Times New Roman"/>
          <w:szCs w:val="24"/>
          <w:lang w:val="en-GB"/>
        </w:rPr>
        <w:t xml:space="preserve">K. </w:t>
      </w:r>
      <w:proofErr w:type="spellStart"/>
      <w:r w:rsidRPr="008D517D">
        <w:rPr>
          <w:rFonts w:cs="Times New Roman"/>
          <w:smallCaps/>
          <w:szCs w:val="24"/>
          <w:lang w:val="en-GB"/>
        </w:rPr>
        <w:t>Alidadi</w:t>
      </w:r>
      <w:proofErr w:type="spellEnd"/>
      <w:r w:rsidRPr="008D517D">
        <w:rPr>
          <w:rFonts w:cs="Times New Roman"/>
          <w:szCs w:val="24"/>
          <w:lang w:val="en-GB"/>
        </w:rPr>
        <w:t xml:space="preserve">, </w:t>
      </w:r>
      <w:r w:rsidRPr="008D517D">
        <w:rPr>
          <w:rFonts w:cs="Times New Roman"/>
          <w:i/>
          <w:iCs/>
          <w:szCs w:val="24"/>
          <w:lang w:val="en-GB"/>
        </w:rPr>
        <w:t>Religion, equality and employment in Europe: the case for reasonable accommodation</w:t>
      </w:r>
      <w:r w:rsidRPr="008D517D">
        <w:rPr>
          <w:rFonts w:cs="Times New Roman"/>
          <w:szCs w:val="24"/>
          <w:lang w:val="en-GB"/>
        </w:rPr>
        <w:t>, Oxford ; Portland , Oregon, Hart Publishing, 2017.</w:t>
      </w:r>
      <w:r>
        <w:fldChar w:fldCharType="end"/>
      </w:r>
    </w:p>
  </w:footnote>
  <w:footnote w:id="27">
    <w:p w14:paraId="0289694F" w14:textId="213E81C1" w:rsidR="000D6C77" w:rsidRPr="00F446CA" w:rsidRDefault="000D6C77">
      <w:pPr>
        <w:pStyle w:val="Notedebasdepage"/>
      </w:pPr>
      <w:r>
        <w:rPr>
          <w:rStyle w:val="Appelnotedebasdep"/>
        </w:rPr>
        <w:footnoteRef/>
      </w:r>
      <w:r>
        <w:t xml:space="preserve"> Les deux affaires allemandes ayant conduit à l’arrêt </w:t>
      </w:r>
      <w:r>
        <w:rPr>
          <w:i/>
          <w:iCs/>
        </w:rPr>
        <w:t>WABE-Müller</w:t>
      </w:r>
      <w:r>
        <w:t xml:space="preserve"> de la CJUE en constituent des exemples manifestes.</w:t>
      </w:r>
    </w:p>
  </w:footnote>
  <w:footnote w:id="28">
    <w:p w14:paraId="52F90DCF" w14:textId="383AED5E" w:rsidR="000D6C77" w:rsidRPr="007C7D4F" w:rsidRDefault="000D6C77">
      <w:pPr>
        <w:pStyle w:val="Notedebasdepage"/>
      </w:pPr>
      <w:r>
        <w:rPr>
          <w:rStyle w:val="Appelnotedebasdep"/>
        </w:rPr>
        <w:footnoteRef/>
      </w:r>
      <w:r>
        <w:t xml:space="preserve"> En témoignent les multiples décisions non juridictionnelles rendues par le </w:t>
      </w:r>
      <w:proofErr w:type="spellStart"/>
      <w:r>
        <w:rPr>
          <w:i/>
          <w:iCs/>
        </w:rPr>
        <w:t>College</w:t>
      </w:r>
      <w:proofErr w:type="spellEnd"/>
      <w:r>
        <w:rPr>
          <w:i/>
          <w:iCs/>
        </w:rPr>
        <w:t xml:space="preserve"> </w:t>
      </w:r>
      <w:proofErr w:type="spellStart"/>
      <w:r>
        <w:rPr>
          <w:i/>
          <w:iCs/>
        </w:rPr>
        <w:t>voor</w:t>
      </w:r>
      <w:proofErr w:type="spellEnd"/>
      <w:r>
        <w:rPr>
          <w:i/>
          <w:iCs/>
        </w:rPr>
        <w:t xml:space="preserve"> de </w:t>
      </w:r>
      <w:proofErr w:type="spellStart"/>
      <w:r>
        <w:rPr>
          <w:i/>
          <w:iCs/>
        </w:rPr>
        <w:t>Rechten</w:t>
      </w:r>
      <w:proofErr w:type="spellEnd"/>
      <w:r>
        <w:rPr>
          <w:i/>
          <w:iCs/>
        </w:rPr>
        <w:t xml:space="preserve"> van de Mens </w:t>
      </w:r>
      <w:r>
        <w:t>(équivalent d’</w:t>
      </w:r>
      <w:proofErr w:type="spellStart"/>
      <w:r>
        <w:t>Unia</w:t>
      </w:r>
      <w:proofErr w:type="spellEnd"/>
      <w:r>
        <w:t xml:space="preserve"> aux Pays-Bas)</w:t>
      </w:r>
      <w:r>
        <w:rPr>
          <w:i/>
          <w:iCs/>
        </w:rPr>
        <w:t> </w:t>
      </w:r>
      <w:r>
        <w:t xml:space="preserve">: </w:t>
      </w:r>
      <w:proofErr w:type="spellStart"/>
      <w:r>
        <w:t>voy</w:t>
      </w:r>
      <w:proofErr w:type="spellEnd"/>
      <w:r>
        <w:t xml:space="preserve">., </w:t>
      </w:r>
      <w:r>
        <w:rPr>
          <w:i/>
          <w:iCs/>
        </w:rPr>
        <w:t>infra</w:t>
      </w:r>
      <w:r>
        <w:t xml:space="preserve">, n. </w:t>
      </w:r>
      <w:r>
        <w:fldChar w:fldCharType="begin"/>
      </w:r>
      <w:r>
        <w:instrText xml:space="preserve"> NOTEREF _Ref121315736 \h </w:instrText>
      </w:r>
      <w:r>
        <w:fldChar w:fldCharType="separate"/>
      </w:r>
      <w:r>
        <w:t>240</w:t>
      </w:r>
      <w:r>
        <w:fldChar w:fldCharType="end"/>
      </w:r>
      <w:r>
        <w:t>.</w:t>
      </w:r>
    </w:p>
  </w:footnote>
  <w:footnote w:id="29">
    <w:p w14:paraId="7F632EFD" w14:textId="77777777" w:rsidR="000D6C77" w:rsidRPr="0001739C" w:rsidRDefault="000D6C77" w:rsidP="00F614FA">
      <w:pPr>
        <w:pStyle w:val="Notedebasdepage"/>
      </w:pPr>
      <w:r w:rsidRPr="008A1033">
        <w:rPr>
          <w:rStyle w:val="Appelnotedebasdep"/>
        </w:rPr>
        <w:footnoteRef/>
      </w:r>
      <w:r>
        <w:t xml:space="preserve"> </w:t>
      </w:r>
      <w:r w:rsidRPr="0001739C">
        <w:t xml:space="preserve">Précisons que la démarche déployée ici est prioritairement conceptuelle et se distingue d’une analyse de droit positif </w:t>
      </w:r>
      <w:r w:rsidRPr="0025551D">
        <w:rPr>
          <w:i/>
        </w:rPr>
        <w:t>stricto sensu</w:t>
      </w:r>
      <w:r w:rsidRPr="0001739C">
        <w:t>. Les réflexions développées dans les lignes qui suivent nous permettront toutefois, dans la seconde partie de cette étude, d’affiner notre analyse des modes d’opérationnalisation de la neutralité en entreprise</w:t>
      </w:r>
      <w:r>
        <w:t>.</w:t>
      </w:r>
    </w:p>
  </w:footnote>
  <w:footnote w:id="30">
    <w:p w14:paraId="5CDB35DB" w14:textId="0771DC89" w:rsidR="000D6C77" w:rsidRPr="00022216" w:rsidRDefault="000D6C77" w:rsidP="00013AB2">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{"citationID":"IggWiIea","properties":{"formattedCitation":"P. {\\scaps Delvolv\\uc0\\u233{}}, \\uc0\\u171{}\\uc0\\u160{}Entreprise priv\\uc0\\u233{}e, la\\uc0\\u239{}cit\\uc0\\u233{}, libert\\uc0\\u233{} religieuse. L\\uc0\\u8217{}affaire Baby-Loup\\uc0\\u160{}\\uc0\\u187{}, {\\i{}Revue fran\\uc0\\u231{}aise de droit administratif}, 2014, n\\uc0\\u176{} 5, p. 955.","plainCitation":"P. Delvolvé, « Entreprise privée, laïcité, liberté religieuse. L’affaire Baby-Loup », Revue française de droit administratif, 2014, n° 5, p. 955.","noteIndex":32},"citationItems":[{"id":1318,"uris":["http://zotero.org/users/5133869/items/SBD4TKSA"],"itemData":{"id":1318,"type":"article-journal","container-title":"Revue française de droit administratif","issue":"5","page":"954-961","title":"Entreprise privée, laïcité, liberté religieuse. L’affaire Baby-Loup","author":[{"family":"Delvolvé","given":"P"}],"issued":{"date-parts":[["2014"]]}},"locator":"955"}],"schema":"https://github.com/citation-style-language/schema/raw/master/csl-citation.json"} </w:instrText>
      </w:r>
      <w:r w:rsidRPr="00022216">
        <w:rPr>
          <w:rFonts w:cs="Times New Roman"/>
        </w:rPr>
        <w:fldChar w:fldCharType="separate"/>
      </w:r>
      <w:r w:rsidRPr="00E74ED6">
        <w:rPr>
          <w:rFonts w:cs="Times New Roman"/>
          <w:szCs w:val="24"/>
        </w:rPr>
        <w:t xml:space="preserve">P. </w:t>
      </w:r>
      <w:proofErr w:type="spellStart"/>
      <w:r w:rsidRPr="00E74ED6">
        <w:rPr>
          <w:rFonts w:cs="Times New Roman"/>
          <w:smallCaps/>
          <w:szCs w:val="24"/>
        </w:rPr>
        <w:t>Delvolvé</w:t>
      </w:r>
      <w:proofErr w:type="spellEnd"/>
      <w:r w:rsidRPr="00E74ED6">
        <w:rPr>
          <w:rFonts w:cs="Times New Roman"/>
          <w:szCs w:val="24"/>
        </w:rPr>
        <w:t xml:space="preserve">, « Entreprise privée, laïcité, liberté religieuse. L’affaire Baby-Loup », </w:t>
      </w:r>
      <w:r w:rsidRPr="00E74ED6">
        <w:rPr>
          <w:rFonts w:cs="Times New Roman"/>
          <w:i/>
          <w:iCs/>
          <w:szCs w:val="24"/>
        </w:rPr>
        <w:t>Revue française de droit administratif</w:t>
      </w:r>
      <w:r w:rsidRPr="00E74ED6">
        <w:rPr>
          <w:rFonts w:cs="Times New Roman"/>
          <w:szCs w:val="24"/>
        </w:rPr>
        <w:t>, 2014, n° 5, p. 955.</w:t>
      </w:r>
      <w:r w:rsidRPr="00022216">
        <w:rPr>
          <w:rFonts w:cs="Times New Roman"/>
        </w:rPr>
        <w:fldChar w:fldCharType="end"/>
      </w:r>
    </w:p>
  </w:footnote>
  <w:footnote w:id="31">
    <w:p w14:paraId="451FA26E" w14:textId="1D7D812B" w:rsidR="000D6C77" w:rsidRPr="00447EB1" w:rsidRDefault="000D6C77">
      <w:pPr>
        <w:pStyle w:val="Notedebasdepage"/>
      </w:pPr>
      <w:r>
        <w:rPr>
          <w:rStyle w:val="Appelnotedebasdep"/>
        </w:rPr>
        <w:footnoteRef/>
      </w:r>
      <w:r>
        <w:t xml:space="preserve"> </w:t>
      </w:r>
      <w:proofErr w:type="spellStart"/>
      <w:r>
        <w:t>Voy</w:t>
      </w:r>
      <w:proofErr w:type="spellEnd"/>
      <w:r>
        <w:t xml:space="preserve">., </w:t>
      </w:r>
      <w:r>
        <w:rPr>
          <w:i/>
          <w:iCs/>
        </w:rPr>
        <w:t>infra</w:t>
      </w:r>
      <w:r>
        <w:t xml:space="preserve">, les pts. </w:t>
      </w:r>
      <w:r>
        <w:fldChar w:fldCharType="begin"/>
      </w:r>
      <w:r>
        <w:instrText xml:space="preserve"> REF _Ref121317311 \r \h </w:instrText>
      </w:r>
      <w:r>
        <w:fldChar w:fldCharType="separate"/>
      </w:r>
      <w:r>
        <w:t>117</w:t>
      </w:r>
      <w:r>
        <w:fldChar w:fldCharType="end"/>
      </w:r>
      <w:r>
        <w:t xml:space="preserve"> et s. relatifs à la neutralité comme tendance convictionnelle de l’entreprise.</w:t>
      </w:r>
    </w:p>
  </w:footnote>
  <w:footnote w:id="32">
    <w:p w14:paraId="07EA010C" w14:textId="1917B2C7" w:rsidR="000D6C77" w:rsidRPr="00022216" w:rsidRDefault="000D6C77" w:rsidP="006D63CC">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{"citationID":"IUHvt3Bv","properties":{"formattedCitation":"J. {\\scaps Maclure} et C. {\\scaps Taylor}, {\\i{}La\\uc0\\u239{}cit\\uc0\\u233{} et libert\\uc0\\u233{} de conscience}, Paris, La D\\uc0\\u233{}couverte, 2010, p. 36.","plainCitation":"J. Maclure et C. Taylor, Laïcité et liberté de conscience, Paris, La Découverte, 2010, p. 36.","noteIndex":34},"citationItems":[{"id":973,"uris":["http://zotero.org/users/5133869/items/LVFF94XT"],"itemData":{"id":973,"type":"book","event-place":"Paris","ISBN":"978-2-7071-6647-0","language":"French","note":"OCLC: 1025706332","publisher":"La Découverte","publisher-place":"Paris","source":"Open WorldCat","title":"Laïcité et liberté de conscience","author":[{"family":"Maclure","given":"Jocelyn"},{"family":"Taylor","given":"Charles"}],"issued":{"date-parts":[["2010"]]}},"locator":"36"}],"schema":"https://github.com/citation-style-language/schema/raw/master/csl-citation.json"} </w:instrText>
      </w:r>
      <w:r w:rsidRPr="00022216">
        <w:rPr>
          <w:rFonts w:cs="Times New Roman"/>
        </w:rPr>
        <w:fldChar w:fldCharType="separate"/>
      </w:r>
      <w:r w:rsidRPr="00CC3909">
        <w:rPr>
          <w:rFonts w:cs="Times New Roman"/>
          <w:szCs w:val="24"/>
        </w:rPr>
        <w:t xml:space="preserve">J. </w:t>
      </w:r>
      <w:r w:rsidRPr="00CC3909">
        <w:rPr>
          <w:rFonts w:cs="Times New Roman"/>
          <w:smallCaps/>
          <w:szCs w:val="24"/>
        </w:rPr>
        <w:t>Maclure</w:t>
      </w:r>
      <w:r w:rsidRPr="00CC3909">
        <w:rPr>
          <w:rFonts w:cs="Times New Roman"/>
          <w:szCs w:val="24"/>
        </w:rPr>
        <w:t xml:space="preserve"> et C. </w:t>
      </w:r>
      <w:r w:rsidRPr="00CC3909">
        <w:rPr>
          <w:rFonts w:cs="Times New Roman"/>
          <w:smallCaps/>
          <w:szCs w:val="24"/>
        </w:rPr>
        <w:t>Taylor</w:t>
      </w:r>
      <w:r w:rsidRPr="00CC3909">
        <w:rPr>
          <w:rFonts w:cs="Times New Roman"/>
          <w:szCs w:val="24"/>
        </w:rPr>
        <w:t xml:space="preserve">, </w:t>
      </w:r>
      <w:r w:rsidRPr="00CC3909">
        <w:rPr>
          <w:rFonts w:cs="Times New Roman"/>
          <w:i/>
          <w:iCs/>
          <w:szCs w:val="24"/>
        </w:rPr>
        <w:t>Laïcité et liberté de conscience</w:t>
      </w:r>
      <w:r w:rsidRPr="00CC3909">
        <w:rPr>
          <w:rFonts w:cs="Times New Roman"/>
          <w:szCs w:val="24"/>
        </w:rPr>
        <w:t>, Paris, La Découverte, 2010, p. 36.</w:t>
      </w:r>
      <w:r w:rsidRPr="00022216">
        <w:rPr>
          <w:rFonts w:cs="Times New Roman"/>
        </w:rPr>
        <w:fldChar w:fldCharType="end"/>
      </w:r>
      <w:r>
        <w:rPr>
          <w:rFonts w:cs="Times New Roman"/>
        </w:rPr>
        <w:t xml:space="preserve"> En ce sens, nous </w:t>
      </w:r>
      <w:r w:rsidRPr="0074416F">
        <w:t>excluons l’idée d’une laïcité qui serait l’apanage exclusif d’une « exception française »</w:t>
      </w:r>
      <w:r>
        <w:t xml:space="preserve"> : </w:t>
      </w:r>
      <w:proofErr w:type="spellStart"/>
      <w:r>
        <w:t>voy</w:t>
      </w:r>
      <w:proofErr w:type="spellEnd"/>
      <w:r>
        <w:t xml:space="preserve">. en ce sens </w:t>
      </w:r>
      <w:r w:rsidRPr="00022216">
        <w:rPr>
          <w:rFonts w:cs="Times New Roman"/>
        </w:rPr>
        <w:fldChar w:fldCharType="begin"/>
      </w:r>
      <w:r>
        <w:rPr>
          <w:rFonts w:cs="Times New Roman"/>
        </w:rPr>
        <w:instrText xml:space="preserve"> ADDIN ZOTERO_ITEM CSL_CITATION {"citationID":"XvAGHu3J","properties":{"formattedCitation":"D. {\\scaps Koussens}, {\\i{}L\\uc0\\u8217{}\\uc0\\u233{}preuve de la neutralit\\uc0\\u233{}\\uc0\\u8239{}: la la\\uc0\\u239{}cit\\uc0\\u233{} fran\\uc0\\u231{}aise entre droits et discours}, Bruxelles, Bruylant, 2015, p. 15\\uc0\\u160{}; H. {\\scaps Hasquin}, {\\i{}Inscrire la la\\uc0\\u239{}cit\\uc0\\u233{} dans la Constitution belge\\uc0\\u8239{}?}, Collection L\\uc0\\u8217{}Acad\\uc0\\u233{}mie en poche, Bruxelles, Acad\\uc0\\u233{}mie Royale des Sciences, 2016, p. 62\\uc0\\u160{}; J. {\\scaps Baub\\uc0\\u233{}rot}, {\\i{}Les sept la\\uc0\\u239{}cit\\uc0\\u233{}s fran\\uc0\\u231{}aises: le mod\\uc0\\u232{}le fran\\uc0\\u231{}ais de la\\uc0\\u239{}cit\\uc0\\u233{} n\\uc0\\u8217{}existe pas}, Paris, \\uc0\\u201{}d. de la Maison des Sciences de l\\uc0\\u8217{}Homme, 2015.","plainCitation":"D. Koussens, L’épreuve de la neutralité : la laïcité française entre droits et discours, Bruxelles, Bruylant, 2015, p. 15 ; H. Hasquin, Inscrire la laïcité dans la Constitution belge ?, Collection L’Académie en poche, Bruxelles, Académie Royale des Sciences, 2016, p. 62 ; J. Baubérot, Les sept laïcités françaises: le modèle français de laïcité n’existe pas, Paris, Éd. de la Maison des Sciences de l’Homme, 2015.","noteIndex":34},"citationItems":[{"id":460,"uris":["http://zotero.org/users/5133869/items/GCCXY5XL"],"itemData":{"id":460,"type":"book","event-place":"Bruxelles","publisher":"Bruylant","publisher-place":"Bruxelles","title":"L'épreuve de la neutralité : la laïcité française entre droits et discours","author":[{"family":"Koussens","given":"David"}],"issued":{"date-parts":[["2015"]]}},"locator":"15"},{"id":1011,"uris":["http://zotero.org/users/5133869/items/TXCU84P7"],"itemData":{"id":1011,"type":"book","call-number":"KJK2690 .H37 2016","collection-title":"Collection L'Académie en poche","event-place":"Bruxelles","ISBN":"978-2-8031-0563-2","number-of-pages":"136","publisher":"Académie Royale des Sciences","publisher-place":"Bruxelles","source":"Library of Congress ISBN","title":"Inscrire la laïcité dans la Constitution belge ?","author":[{"family":"Hasquin","given":"Hervé"}],"issued":{"date-parts":[["2016"]]}},"locator":"62"},{"id":1096,"uris":["http://zotero.org/users/5133869/items/D8DHJCDJ"],"itemData":{"id":1096,"type":"book","event-place":"Paris","ISBN":"978-2-7351-1985-1","language":"French","note":"OCLC: 910813247","publisher":"Éd. de la Maison des Sciences de l'Homme","publisher-place":"Paris","source":"Open WorldCat","title":"Les sept laïcités françaises: le modèle français de laïcité n'existe pas","title-short":"Les sept laïcités françaises","author":[{"family":"Baubérot","given":"Jean"}],"issued":{"date-parts":[["2015"]]}}}],"schema":"https://github.com/citation-style-language/schema/raw/master/csl-citation.json"} </w:instrText>
      </w:r>
      <w:r w:rsidRPr="00022216">
        <w:rPr>
          <w:rFonts w:cs="Times New Roman"/>
        </w:rPr>
        <w:fldChar w:fldCharType="separate"/>
      </w:r>
      <w:r w:rsidRPr="00682426">
        <w:rPr>
          <w:rFonts w:cs="Times New Roman"/>
          <w:szCs w:val="24"/>
        </w:rPr>
        <w:t xml:space="preserve">D. </w:t>
      </w:r>
      <w:r w:rsidRPr="00682426">
        <w:rPr>
          <w:rFonts w:cs="Times New Roman"/>
          <w:smallCaps/>
          <w:szCs w:val="24"/>
        </w:rPr>
        <w:t>Koussens</w:t>
      </w:r>
      <w:r w:rsidRPr="00682426">
        <w:rPr>
          <w:rFonts w:cs="Times New Roman"/>
          <w:szCs w:val="24"/>
        </w:rPr>
        <w:t xml:space="preserve">, </w:t>
      </w:r>
      <w:r w:rsidRPr="00682426">
        <w:rPr>
          <w:rFonts w:cs="Times New Roman"/>
          <w:i/>
          <w:iCs/>
          <w:szCs w:val="24"/>
        </w:rPr>
        <w:t>L’épreuve de la neutralité : la laïcité française entre droits et discours</w:t>
      </w:r>
      <w:r w:rsidRPr="00682426">
        <w:rPr>
          <w:rFonts w:cs="Times New Roman"/>
          <w:szCs w:val="24"/>
        </w:rPr>
        <w:t xml:space="preserve">, Bruxelles, Bruylant, 2015, p. 15 ; H. </w:t>
      </w:r>
      <w:proofErr w:type="spellStart"/>
      <w:r w:rsidRPr="00682426">
        <w:rPr>
          <w:rFonts w:cs="Times New Roman"/>
          <w:smallCaps/>
          <w:szCs w:val="24"/>
        </w:rPr>
        <w:t>Hasquin</w:t>
      </w:r>
      <w:proofErr w:type="spellEnd"/>
      <w:r w:rsidRPr="00682426">
        <w:rPr>
          <w:rFonts w:cs="Times New Roman"/>
          <w:szCs w:val="24"/>
        </w:rPr>
        <w:t xml:space="preserve">, </w:t>
      </w:r>
      <w:r w:rsidRPr="00682426">
        <w:rPr>
          <w:rFonts w:cs="Times New Roman"/>
          <w:i/>
          <w:iCs/>
          <w:szCs w:val="24"/>
        </w:rPr>
        <w:t>Inscrire la laïcité dans la Constitution belge ?</w:t>
      </w:r>
      <w:r w:rsidRPr="00682426">
        <w:rPr>
          <w:rFonts w:cs="Times New Roman"/>
          <w:szCs w:val="24"/>
        </w:rPr>
        <w:t xml:space="preserve">, Collection L’Académie en poche, Bruxelles, Académie Royale des Sciences, 2016, p. 62 ; J. </w:t>
      </w:r>
      <w:r w:rsidRPr="00682426">
        <w:rPr>
          <w:rFonts w:cs="Times New Roman"/>
          <w:smallCaps/>
          <w:szCs w:val="24"/>
        </w:rPr>
        <w:t>Baubérot</w:t>
      </w:r>
      <w:r w:rsidRPr="00682426">
        <w:rPr>
          <w:rFonts w:cs="Times New Roman"/>
          <w:szCs w:val="24"/>
        </w:rPr>
        <w:t xml:space="preserve">, </w:t>
      </w:r>
      <w:r w:rsidRPr="00682426">
        <w:rPr>
          <w:rFonts w:cs="Times New Roman"/>
          <w:i/>
          <w:iCs/>
          <w:szCs w:val="24"/>
        </w:rPr>
        <w:t>Les sept laïcités françaises: le modèle français de laïcité n’existe pas</w:t>
      </w:r>
      <w:r w:rsidRPr="00682426">
        <w:rPr>
          <w:rFonts w:cs="Times New Roman"/>
          <w:szCs w:val="24"/>
        </w:rPr>
        <w:t>, Paris, Éd. de la Maison des Sciences de l’Homme, 2015.</w:t>
      </w:r>
      <w:r w:rsidRPr="00022216">
        <w:rPr>
          <w:rFonts w:cs="Times New Roman"/>
        </w:rPr>
        <w:fldChar w:fldCharType="end"/>
      </w:r>
      <w:r w:rsidRPr="00022216">
        <w:rPr>
          <w:rFonts w:cs="Times New Roman"/>
        </w:rPr>
        <w:t xml:space="preserve"> </w:t>
      </w:r>
      <w:r>
        <w:rPr>
          <w:rFonts w:cs="Times New Roman"/>
          <w:i/>
          <w:iCs/>
        </w:rPr>
        <w:t>Contra</w:t>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{"citationID":"WeTKAsZk","properties":{"formattedCitation":"R. {\\scaps Debray}, \\uc0\\u171{}\\uc0\\u160{}La la\\uc0\\u239{}cit\\uc0\\u233{}\\uc0\\u8239{}: une exception fran\\uc0\\u231{}aise\\uc0\\u160{}\\uc0\\u187{}, {\\i{}in} H. {\\scaps Dubost} (\\uc0\\u233{}d.), {\\i{}Gen\\uc0\\u232{}se et enjeux de la soci\\uc0\\u233{}t\\uc0\\u233{}. Christianisme et la\\uc0\\u239{}cit\\uc0\\u233{}}, Gen\\uc0\\u232{}ve, Labor et Fides, 1990, p. 220.","plainCitation":"R. Debray, « La laïcité : une exception française », in H. Dubost (éd.), Genèse et enjeux de la société. Christianisme et laïcité, Genève, Labor et Fides, 1990, p. 220.","noteIndex":34},"citationItems":[{"id":1879,"uris":["http://zotero.org/users/5133869/items/I9T4HK82"],"itemData":{"id":1879,"type":"chapter","container-title":"Genèse et enjeux de la société. Christianisme et laïcité","event-place":"Genève","page":"220","publisher":"Labor et Fides","publisher-place":"Genève","title":"La laïcité : une exception française","author":[{"family":"Debray","given":"Régis"}],"editor":[{"family":"Dubost","given":"H"}],"issued":{"date-parts":[["1990"]]}}}],"schema":"https://github.com/citation-style-language/schema/raw/master/csl-citation.json"} </w:instrText>
      </w:r>
      <w:r w:rsidRPr="00022216">
        <w:rPr>
          <w:rFonts w:cs="Times New Roman"/>
        </w:rPr>
        <w:fldChar w:fldCharType="separate"/>
      </w:r>
      <w:r w:rsidRPr="009C502A">
        <w:rPr>
          <w:rFonts w:cs="Times New Roman"/>
          <w:szCs w:val="24"/>
        </w:rPr>
        <w:t xml:space="preserve">R. </w:t>
      </w:r>
      <w:r w:rsidRPr="009C502A">
        <w:rPr>
          <w:rFonts w:cs="Times New Roman"/>
          <w:smallCaps/>
          <w:szCs w:val="24"/>
        </w:rPr>
        <w:t>Debray</w:t>
      </w:r>
      <w:r w:rsidRPr="009C502A">
        <w:rPr>
          <w:rFonts w:cs="Times New Roman"/>
          <w:szCs w:val="24"/>
        </w:rPr>
        <w:t xml:space="preserve">, « La laïcité : une exception française », </w:t>
      </w:r>
      <w:r w:rsidRPr="009C502A">
        <w:rPr>
          <w:rFonts w:cs="Times New Roman"/>
          <w:i/>
          <w:iCs/>
          <w:szCs w:val="24"/>
        </w:rPr>
        <w:t>in</w:t>
      </w:r>
      <w:r w:rsidRPr="009C502A">
        <w:rPr>
          <w:rFonts w:cs="Times New Roman"/>
          <w:szCs w:val="24"/>
        </w:rPr>
        <w:t xml:space="preserve"> H. </w:t>
      </w:r>
      <w:r w:rsidRPr="009C502A">
        <w:rPr>
          <w:rFonts w:cs="Times New Roman"/>
          <w:smallCaps/>
          <w:szCs w:val="24"/>
        </w:rPr>
        <w:t>Dubost</w:t>
      </w:r>
      <w:r w:rsidRPr="009C502A">
        <w:rPr>
          <w:rFonts w:cs="Times New Roman"/>
          <w:szCs w:val="24"/>
        </w:rPr>
        <w:t xml:space="preserve"> (éd.), </w:t>
      </w:r>
      <w:r w:rsidRPr="009C502A">
        <w:rPr>
          <w:rFonts w:cs="Times New Roman"/>
          <w:i/>
          <w:iCs/>
          <w:szCs w:val="24"/>
        </w:rPr>
        <w:t>Genèse et enjeux de la société. Christianisme et laïcité</w:t>
      </w:r>
      <w:r w:rsidRPr="009C502A">
        <w:rPr>
          <w:rFonts w:cs="Times New Roman"/>
          <w:szCs w:val="24"/>
        </w:rPr>
        <w:t>, Genève, Labor et Fides, 1990, p. 220.</w:t>
      </w:r>
      <w:r w:rsidRPr="00022216">
        <w:rPr>
          <w:rFonts w:cs="Times New Roman"/>
        </w:rPr>
        <w:fldChar w:fldCharType="end"/>
      </w:r>
    </w:p>
  </w:footnote>
  <w:footnote w:id="33">
    <w:p w14:paraId="2141CDAD" w14:textId="77D5CD28" w:rsidR="000D6C77" w:rsidRPr="00022216" w:rsidRDefault="000D6C77" w:rsidP="006D63CC">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{"citationID":"UqULBCFa","properties":{"formattedCitation":"{\\scaps Conseil d\\uc0\\u8217{}\\uc0\\u201{}tat (fr.)}, \\uc0\\u171{}\\uc0\\u160{}Rapport public - Un si\\uc0\\u232{}cle de la\\uc0\\u239{}cit\\uc0\\u233{}\\uc0\\u160{}\\uc0\\u187{}, 2004, p. 245\\uc0\\u160{}; A. {\\scaps Schaumasse}, \\uc0\\u171{}\\uc0\\u160{}Table ronde 2\\uc0\\u8239{}: le droit de croire. Le fait religieux dans le secteur public\\uc0\\u160{}\\uc0\\u187{}, {\\i{}La Semaine Juridique - Edition Sociale}, septembre 2017, n\\uc0\\u176{} 35, p. 1264\\uc0\\u160{}; V. {\\scaps Zuber}, \\uc0\\u171{}\\uc0\\u160{}La la\\uc0\\u239{}cit\\uc0\\u233{} fran\\uc0\\u231{}aise, une exception historique, des principes partag\\uc0\\u233{}s\\uc0\\u160{}\\uc0\\u187{}, {\\i{}Revue du droit des religions}, 2019, n\\uc0\\u176{} 7, pp. 193\\uc0\\u8209{}205.","plainCitation":"Conseil d’État (fr.), « Rapport public - Un siècle de laïcité », 2004, p. 245 ; A. Schaumasse, « Table ronde 2 : le droit de croire. Le fait religieux dans le secteur public », La Semaine Juridique - Edition Sociale, septembre 2017, n° 35, p. 1264 ; V. Zuber, « La laïcité française, une exception historique, des principes partagés », Revue du droit des religions, 2019, n° 7, pp. 193‑205.","noteIndex":35},"citationItems":[{"id":1106,"uris":["http://zotero.org/users/5133869/items/QP22Q3QV"],"itemData":{"id":1106,"type":"document","title":"Rapport public - Un siècle de laïcité","author":[{"family":"Conseil d'État (fr.)","given":""}],"issued":{"date-parts":[["2004"]]}},"locator":"245"},{"id":196,"uris":["http://zotero.org/users/5133869/items/Z68G453I"],"itemData":{"id":196,"type":"article-journal","container-title":"La Semaine Juridique - Edition Sociale","issue":"35","page":"1264","title":"Table ronde 2 : le droit de croire. Le fait religieux dans le secteur public","author":[{"family":"Schaumasse","given":"Arnaud"}],"issued":{"date-parts":[["2017",9,5]]}}},{"id":2466,"uris":["http://zotero.org/users/5133869/items/39VGTU5V"],"itemData":{"id":2466,"type":"article-journal","abstract":"It has become common practice, both in France and abroad, to speak of laïcité as a French exception that could not be transposed into other cultures. On the contrary, this historical review aims to demonstrate that while the process of French secularization has indeed followed a particular history (the main stages of which are briefly recalled here), it can only be considered in relation to the great secularization movement that affected all modern nation-states after the Treaties of Westphalia (1648). Laïcité, whether or not the term is actually used, has become a principle shared by all States ruled by law which recognize, through the democratic functioning of their institutions, the pluralism at work in their society.","container-title":"Revue du droit des religions","issue":"7","language":"fr","page":"193-205","source":"Zotero","title":"La laïcité française, une exception historique, des principes partagés","author":[{"family":"Zuber","given":"Valentine"}],"issued":{"date-parts":[["2019"]]}}}],"schema":"https://github.com/citation-style-language/schema/raw/master/csl-citation.json"} </w:instrText>
      </w:r>
      <w:r w:rsidRPr="00022216">
        <w:rPr>
          <w:rFonts w:cs="Times New Roman"/>
        </w:rPr>
        <w:fldChar w:fldCharType="separate"/>
      </w:r>
      <w:r w:rsidRPr="00DA17EF">
        <w:rPr>
          <w:rFonts w:cs="Times New Roman"/>
          <w:smallCaps/>
          <w:szCs w:val="24"/>
        </w:rPr>
        <w:t>Conseil d’État (</w:t>
      </w:r>
      <w:proofErr w:type="spellStart"/>
      <w:r w:rsidRPr="00DA17EF">
        <w:rPr>
          <w:rFonts w:cs="Times New Roman"/>
          <w:smallCaps/>
          <w:szCs w:val="24"/>
        </w:rPr>
        <w:t>fr.</w:t>
      </w:r>
      <w:proofErr w:type="spellEnd"/>
      <w:r w:rsidRPr="00DA17EF">
        <w:rPr>
          <w:rFonts w:cs="Times New Roman"/>
          <w:smallCaps/>
          <w:szCs w:val="24"/>
        </w:rPr>
        <w:t>)</w:t>
      </w:r>
      <w:r w:rsidRPr="00DA17EF">
        <w:rPr>
          <w:rFonts w:cs="Times New Roman"/>
          <w:szCs w:val="24"/>
        </w:rPr>
        <w:t xml:space="preserve">, « Rapport public - Un siècle de laïcité », 2004, p. 245 ; A. </w:t>
      </w:r>
      <w:proofErr w:type="spellStart"/>
      <w:r w:rsidRPr="00DA17EF">
        <w:rPr>
          <w:rFonts w:cs="Times New Roman"/>
          <w:smallCaps/>
          <w:szCs w:val="24"/>
        </w:rPr>
        <w:t>Schaumasse</w:t>
      </w:r>
      <w:proofErr w:type="spellEnd"/>
      <w:r w:rsidRPr="00DA17EF">
        <w:rPr>
          <w:rFonts w:cs="Times New Roman"/>
          <w:szCs w:val="24"/>
        </w:rPr>
        <w:t xml:space="preserve">, « Table ronde 2 : le droit de croire. Le fait religieux dans le secteur public », </w:t>
      </w:r>
      <w:r w:rsidRPr="00DA17EF">
        <w:rPr>
          <w:rFonts w:cs="Times New Roman"/>
          <w:i/>
          <w:iCs/>
          <w:szCs w:val="24"/>
        </w:rPr>
        <w:t>La Semaine Juridique - Edition Sociale</w:t>
      </w:r>
      <w:r w:rsidRPr="00DA17EF">
        <w:rPr>
          <w:rFonts w:cs="Times New Roman"/>
          <w:szCs w:val="24"/>
        </w:rPr>
        <w:t xml:space="preserve">, septembre 2017, n° 35, p. 1264 ; V. </w:t>
      </w:r>
      <w:r w:rsidRPr="00DA17EF">
        <w:rPr>
          <w:rFonts w:cs="Times New Roman"/>
          <w:smallCaps/>
          <w:szCs w:val="24"/>
        </w:rPr>
        <w:t>Zuber</w:t>
      </w:r>
      <w:r w:rsidRPr="00DA17EF">
        <w:rPr>
          <w:rFonts w:cs="Times New Roman"/>
          <w:szCs w:val="24"/>
        </w:rPr>
        <w:t xml:space="preserve">, « La laïcité française, une exception historique, des principes partagés », </w:t>
      </w:r>
      <w:r w:rsidRPr="00DA17EF">
        <w:rPr>
          <w:rFonts w:cs="Times New Roman"/>
          <w:i/>
          <w:iCs/>
          <w:szCs w:val="24"/>
        </w:rPr>
        <w:t>Revue du droit des religions</w:t>
      </w:r>
      <w:r w:rsidRPr="00DA17EF">
        <w:rPr>
          <w:rFonts w:cs="Times New Roman"/>
          <w:szCs w:val="24"/>
        </w:rPr>
        <w:t>, 2019, n° 7, pp. 193‑205.</w:t>
      </w:r>
      <w:r w:rsidRPr="00022216">
        <w:rPr>
          <w:rFonts w:cs="Times New Roman"/>
        </w:rPr>
        <w:fldChar w:fldCharType="end"/>
      </w:r>
    </w:p>
  </w:footnote>
  <w:footnote w:id="34">
    <w:p w14:paraId="747C2935" w14:textId="4A6DE4CB" w:rsidR="000D6C77" w:rsidRPr="00022216" w:rsidRDefault="000D6C77" w:rsidP="006D63CC">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{"citationID":"TEhK51nJ","properties":{"formattedCitation":"J.-F. {\\scaps Husson}, \\uc0\\u171{}\\uc0\\u160{}La\\uc0\\u239{}cit\\uc0\\u233{}, neutralit\\uc0\\u233{}, s\\uc0\\u233{}paration des \\uc0\\u201{}glises et de l\\uc0\\u8217{}\\uc0\\u201{}tat\\uc0\\u8239{}: quelles fronti\\uc0\\u232{}res pour les services publics en Belgique\\uc0\\u8239{}?\\uc0\\u160{}\\uc0\\u187{}, in {\\i{}Neutralit\\uc0\\u233{} et faits religieux. Quelles interactions dans les services publics\\uc0\\u8239{}?}, Louvain-la-Neuve, Academia, 2014, p. 70.","plainCitation":"J.-F. Husson, « Laïcité, neutralité, séparation des Églises et de l’État : quelles frontières pour les services publics en Belgique ? », in Neutralité et faits religieux. Quelles interactions dans les services publics ?, Louvain-la-Neuve, Academia, 2014, p. 70.","noteIndex":36},"citationItems":[{"id":412,"uris":["http://zotero.org/users/5133869/items/ZRXJ429E"],"itemData":{"id":412,"type":"chapter","container-title":"Neutralité et faits religieux. Quelles interactions dans les services publics ?","event-place":"Louvain-la-Neuve","page":"67-108","publisher":"Academia","publisher-place":"Louvain-la-Neuve","title":"Laïcité, neutralité, séparation des Églises et de l'État : quelles frontières pour les services publics en Belgique ?","author":[{"family":"Husson","given":"Jean-François"}],"issued":{"date-parts":[["2014"]]}},"locator":"70"}],"schema":"https://github.com/citation-style-language/schema/raw/master/csl-citation.json"} </w:instrText>
      </w:r>
      <w:r w:rsidRPr="00022216">
        <w:rPr>
          <w:rFonts w:cs="Times New Roman"/>
        </w:rPr>
        <w:fldChar w:fldCharType="separate"/>
      </w:r>
      <w:r w:rsidRPr="00A05700">
        <w:rPr>
          <w:rFonts w:cs="Times New Roman"/>
          <w:szCs w:val="24"/>
        </w:rPr>
        <w:t xml:space="preserve">J.-F. </w:t>
      </w:r>
      <w:r w:rsidRPr="00A05700">
        <w:rPr>
          <w:rFonts w:cs="Times New Roman"/>
          <w:smallCaps/>
          <w:szCs w:val="24"/>
        </w:rPr>
        <w:t>Husson</w:t>
      </w:r>
      <w:r w:rsidRPr="00A05700">
        <w:rPr>
          <w:rFonts w:cs="Times New Roman"/>
          <w:szCs w:val="24"/>
        </w:rPr>
        <w:t>, « Laïcité, neutralité, séparation des Églises et de l’État : quelles frontières pour les services publics</w:t>
      </w:r>
      <w:r>
        <w:rPr>
          <w:rFonts w:cs="Times New Roman"/>
          <w:szCs w:val="24"/>
        </w:rPr>
        <w:fldChar w:fldCharType="begin"/>
      </w:r>
      <w:r>
        <w:rPr>
          <w:rFonts w:cs="Times New Roman"/>
          <w:szCs w:val="24"/>
        </w:rPr>
        <w:instrText xml:space="preserve"> XE "</w:instrText>
      </w:r>
      <w:r w:rsidRPr="005F6D4C">
        <w:rPr>
          <w:rFonts w:ascii="Cambria" w:eastAsia="Times New Roman" w:hAnsi="Cambria" w:cs="Calibri"/>
          <w:color w:val="000000"/>
          <w:lang w:eastAsia="fr-BE"/>
        </w:rPr>
        <w:instrText>Service public"</w:instrText>
      </w:r>
      <w:r>
        <w:rPr>
          <w:rFonts w:cs="Times New Roman"/>
          <w:szCs w:val="24"/>
        </w:rPr>
        <w:instrText xml:space="preserve"> </w:instrText>
      </w:r>
      <w:r>
        <w:rPr>
          <w:rFonts w:cs="Times New Roman"/>
          <w:szCs w:val="24"/>
        </w:rPr>
        <w:fldChar w:fldCharType="end"/>
      </w:r>
      <w:r w:rsidRPr="00A05700">
        <w:rPr>
          <w:rFonts w:cs="Times New Roman"/>
          <w:szCs w:val="24"/>
        </w:rPr>
        <w:t xml:space="preserve"> en Belgique ? », in </w:t>
      </w:r>
      <w:r w:rsidRPr="00A05700">
        <w:rPr>
          <w:rFonts w:cs="Times New Roman"/>
          <w:i/>
          <w:iCs/>
          <w:szCs w:val="24"/>
        </w:rPr>
        <w:t>Neutralité et faits religieux. Quelles interactions dans les services publics ?</w:t>
      </w:r>
      <w:r w:rsidRPr="00A05700">
        <w:rPr>
          <w:rFonts w:cs="Times New Roman"/>
          <w:szCs w:val="24"/>
        </w:rPr>
        <w:t>, Louvain-la-Neuve, Academia, 2014, p. 70.</w:t>
      </w:r>
      <w:r w:rsidRPr="00022216">
        <w:rPr>
          <w:rFonts w:cs="Times New Roman"/>
        </w:rPr>
        <w:fldChar w:fldCharType="end"/>
      </w:r>
    </w:p>
  </w:footnote>
  <w:footnote w:id="35">
    <w:p w14:paraId="1911FE19" w14:textId="0E9B5FFC" w:rsidR="000D6C77" w:rsidRPr="004963B6" w:rsidRDefault="000D6C77" w:rsidP="00CF3FC5">
      <w:pPr>
        <w:pStyle w:val="Notedebasdepage"/>
        <w:rPr>
          <w:rFonts w:cs="Times New Roman"/>
        </w:rPr>
      </w:pPr>
      <w:r w:rsidRPr="00022216">
        <w:rPr>
          <w:rStyle w:val="Appelnotedebasdep"/>
          <w:rFonts w:cs="Times New Roman"/>
        </w:rPr>
        <w:footnoteRef/>
      </w:r>
      <w:r w:rsidRPr="004963B6">
        <w:rPr>
          <w:rFonts w:cs="Times New Roman"/>
        </w:rPr>
        <w:t xml:space="preserve"> </w:t>
      </w:r>
      <w:r w:rsidRPr="00022216">
        <w:rPr>
          <w:rFonts w:cs="Times New Roman"/>
        </w:rPr>
        <w:fldChar w:fldCharType="begin"/>
      </w:r>
      <w:r>
        <w:rPr>
          <w:rFonts w:cs="Times New Roman"/>
        </w:rPr>
        <w:instrText xml:space="preserve"> ADDIN ZOTERO_ITEM CSL_CITATION {"citationID":"2wUvgPF9","properties":{"formattedCitation":"X. {\\scaps Delgrange}, \\uc0\\u171{}\\uc0\\u160{}Mixit\\uc0\\u233{} sociale, mixit\\uc0\\u233{} religieuse\\uc0\\u8239{}: le droit de l\\uc0\\u8217{}enseignement face \\uc0\\u224{} la diversit\\uc0\\u233{}\\uc0\\u160{}\\uc0\\u187{}, {\\i{}in} J. {\\scaps Ringelheim} (\\uc0\\u233{}d.), {\\i{}Le droit et la diversit\\uc0\\u233{} culturelle}, Bruxelles, Bruylant, 2011, p. 533\\uc0\\u160{}; R. {\\scaps Pierik} et W. {\\scaps Van der Burg}, \\uc0\\u171{}\\uc0\\u160{}What Is Neutrality?\\uc0\\u160{}\\uc0\\u187{}, {\\i{}Ratio Juris}, 2014, vol. 27, n\\uc0\\u176{} 4, pp. 496\\uc0\\u8209{}515.","plainCitation":"X. Delgrange, « Mixité sociale, mixité religieuse : le droit de l’enseignement face à la diversité », in J. Ringelheim (éd.), Le droit et la diversité culturelle, Bruxelles, Bruylant, 2011, p. 533 ; R. Pierik et W. Van der Burg, « What Is Neutrality? », Ratio Juris, 2014, vol. 27, n° 4, pp. 496‑515.","noteIndex":37},"citationItems":[{"id":2277,"uris":["http://zotero.org/users/5133869/items/CZXV98DB"],"itemData":{"id":2277,"type":"chapter","container-title":"Le droit et la diversité culturelle","event-place":"Bruxelles","page":"503-568","publisher":"Bruylant","publisher-place":"Bruxelles","title":"Mixité sociale, mixité religieuse : le droit de l'enseignement face à la diversité","author":[{"family":"Delgrange","given":"Xavier"}],"editor":[{"family":"Ringelheim","given":"Julie"}],"issued":{"date-parts":[["2011"]]}},"locator":"533","label":"page"},{"id":1149,"uris":["http://zotero.org/users/5133869/items/EXXWZ6ZF"],"itemData":{"id":1149,"type":"article-journal","abstract":"This paper reinvestigates the question of liberal neutrality. We contend that current liberal discussions have been dominated—if not hijacked—by one particular interpretation of what neutrality could imply: namely, exclusive neutrality, aiming to exclude religious and cultural expressions from the public sphere. We will argue that this is merely one among several relevant interpretations. To substantiate our claim, we will ﬁrst elaborate upon inclusive neutrality by formulating two supplementary interpretations: proportional neutrality and compensatory neutrality. Second, we will argue that inclusive proportional neutrality is the most appropriate interpretation in many contexts. Our discussion highlights the fact that some political disputes should not be seen in terms of the antithesis between liberal neutrality and illiberal alternatives but, instead, as a clash between various valid but incompatible interpretations of what liberal neutrality may imply.","container-title":"Ratio Juris","DOI":"10.1111/raju.12057","ISSN":"09521917","issue":"4","language":"en","page":"496-515","source":"DOI.org (Crossref)","title":"What Is Neutrality?","title-short":"What Is Neutrality?","volume":"27","author":[{"family":"Pierik","given":"Roland"},{"family":"Van der Burg","given":"Wibren"}],"issued":{"date-parts":[["2014"]]}}}],"schema":"https://github.com/citation-style-language/schema/raw/master/csl-citation.json"} </w:instrText>
      </w:r>
      <w:r w:rsidRPr="00022216">
        <w:rPr>
          <w:rFonts w:cs="Times New Roman"/>
        </w:rPr>
        <w:fldChar w:fldCharType="separate"/>
      </w:r>
      <w:r w:rsidRPr="004963B6">
        <w:rPr>
          <w:rFonts w:cs="Times New Roman"/>
          <w:szCs w:val="24"/>
        </w:rPr>
        <w:t xml:space="preserve">X. </w:t>
      </w:r>
      <w:proofErr w:type="spellStart"/>
      <w:r w:rsidRPr="004963B6">
        <w:rPr>
          <w:rFonts w:cs="Times New Roman"/>
          <w:smallCaps/>
          <w:szCs w:val="24"/>
        </w:rPr>
        <w:t>Delgrange</w:t>
      </w:r>
      <w:proofErr w:type="spellEnd"/>
      <w:r w:rsidRPr="004963B6">
        <w:rPr>
          <w:rFonts w:cs="Times New Roman"/>
          <w:szCs w:val="24"/>
        </w:rPr>
        <w:t xml:space="preserve">, « Mixité sociale, mixité religieuse : le droit de l’enseignement face à la diversité », </w:t>
      </w:r>
      <w:r w:rsidRPr="004963B6">
        <w:rPr>
          <w:rFonts w:cs="Times New Roman"/>
          <w:i/>
          <w:iCs/>
          <w:szCs w:val="24"/>
        </w:rPr>
        <w:t>in</w:t>
      </w:r>
      <w:r w:rsidRPr="004963B6">
        <w:rPr>
          <w:rFonts w:cs="Times New Roman"/>
          <w:szCs w:val="24"/>
        </w:rPr>
        <w:t xml:space="preserve"> J. </w:t>
      </w:r>
      <w:r w:rsidRPr="004963B6">
        <w:rPr>
          <w:rFonts w:cs="Times New Roman"/>
          <w:smallCaps/>
          <w:szCs w:val="24"/>
        </w:rPr>
        <w:t>Ringelheim</w:t>
      </w:r>
      <w:r w:rsidRPr="004963B6">
        <w:rPr>
          <w:rFonts w:cs="Times New Roman"/>
          <w:szCs w:val="24"/>
        </w:rPr>
        <w:t xml:space="preserve"> (éd.), </w:t>
      </w:r>
      <w:r w:rsidRPr="004963B6">
        <w:rPr>
          <w:rFonts w:cs="Times New Roman"/>
          <w:i/>
          <w:iCs/>
          <w:szCs w:val="24"/>
        </w:rPr>
        <w:t>Le droit et la diversité culturelle</w:t>
      </w:r>
      <w:r w:rsidRPr="004963B6">
        <w:rPr>
          <w:rFonts w:cs="Times New Roman"/>
          <w:szCs w:val="24"/>
        </w:rPr>
        <w:t xml:space="preserve">, Bruxelles, Bruylant, 2011, p. 533 ; R. </w:t>
      </w:r>
      <w:proofErr w:type="spellStart"/>
      <w:r w:rsidRPr="004963B6">
        <w:rPr>
          <w:rFonts w:cs="Times New Roman"/>
          <w:smallCaps/>
          <w:szCs w:val="24"/>
        </w:rPr>
        <w:t>Pierik</w:t>
      </w:r>
      <w:proofErr w:type="spellEnd"/>
      <w:r w:rsidRPr="004963B6">
        <w:rPr>
          <w:rFonts w:cs="Times New Roman"/>
          <w:szCs w:val="24"/>
        </w:rPr>
        <w:t xml:space="preserve"> et W. </w:t>
      </w:r>
      <w:r w:rsidRPr="004963B6">
        <w:rPr>
          <w:rFonts w:cs="Times New Roman"/>
          <w:smallCaps/>
          <w:szCs w:val="24"/>
        </w:rPr>
        <w:t>Van der Burg</w:t>
      </w:r>
      <w:r w:rsidRPr="004963B6">
        <w:rPr>
          <w:rFonts w:cs="Times New Roman"/>
          <w:szCs w:val="24"/>
        </w:rPr>
        <w:t>, « </w:t>
      </w:r>
      <w:proofErr w:type="spellStart"/>
      <w:r w:rsidRPr="004963B6">
        <w:rPr>
          <w:rFonts w:cs="Times New Roman"/>
          <w:szCs w:val="24"/>
        </w:rPr>
        <w:t>What</w:t>
      </w:r>
      <w:proofErr w:type="spellEnd"/>
      <w:r w:rsidRPr="004963B6">
        <w:rPr>
          <w:rFonts w:cs="Times New Roman"/>
          <w:szCs w:val="24"/>
        </w:rPr>
        <w:t xml:space="preserve"> Is </w:t>
      </w:r>
      <w:proofErr w:type="spellStart"/>
      <w:r w:rsidRPr="004963B6">
        <w:rPr>
          <w:rFonts w:cs="Times New Roman"/>
          <w:szCs w:val="24"/>
        </w:rPr>
        <w:t>Neutrality</w:t>
      </w:r>
      <w:proofErr w:type="spellEnd"/>
      <w:r w:rsidRPr="004963B6">
        <w:rPr>
          <w:rFonts w:cs="Times New Roman"/>
          <w:szCs w:val="24"/>
        </w:rPr>
        <w:t xml:space="preserve">? », </w:t>
      </w:r>
      <w:r w:rsidRPr="004963B6">
        <w:rPr>
          <w:rFonts w:cs="Times New Roman"/>
          <w:i/>
          <w:iCs/>
          <w:szCs w:val="24"/>
        </w:rPr>
        <w:t xml:space="preserve">Ratio </w:t>
      </w:r>
      <w:proofErr w:type="spellStart"/>
      <w:r w:rsidRPr="004963B6">
        <w:rPr>
          <w:rFonts w:cs="Times New Roman"/>
          <w:i/>
          <w:iCs/>
          <w:szCs w:val="24"/>
        </w:rPr>
        <w:t>Juris</w:t>
      </w:r>
      <w:proofErr w:type="spellEnd"/>
      <w:r w:rsidRPr="004963B6">
        <w:rPr>
          <w:rFonts w:cs="Times New Roman"/>
          <w:szCs w:val="24"/>
        </w:rPr>
        <w:t>, 2014, vol. 27, n° 4, pp. 496‑515.</w:t>
      </w:r>
      <w:r w:rsidRPr="00022216">
        <w:rPr>
          <w:rFonts w:cs="Times New Roman"/>
        </w:rPr>
        <w:fldChar w:fldCharType="end"/>
      </w:r>
      <w:r>
        <w:rPr>
          <w:rFonts w:cs="Times New Roman"/>
        </w:rPr>
        <w:t xml:space="preserve"> </w:t>
      </w:r>
      <w:r>
        <w:rPr>
          <w:iCs/>
        </w:rPr>
        <w:t xml:space="preserve">Dans une logique similaire, </w:t>
      </w:r>
      <w:r w:rsidRPr="0002450D">
        <w:rPr>
          <w:iCs/>
        </w:rPr>
        <w:t>l’on retrouve</w:t>
      </w:r>
      <w:r>
        <w:rPr>
          <w:iCs/>
        </w:rPr>
        <w:t xml:space="preserve"> – surtout du côté français –</w:t>
      </w:r>
      <w:r w:rsidRPr="0002450D">
        <w:rPr>
          <w:iCs/>
        </w:rPr>
        <w:t xml:space="preserve"> </w:t>
      </w:r>
      <w:r>
        <w:rPr>
          <w:iCs/>
        </w:rPr>
        <w:t>l’alternative entre une</w:t>
      </w:r>
      <w:r w:rsidRPr="0002450D">
        <w:rPr>
          <w:iCs/>
        </w:rPr>
        <w:t xml:space="preserve"> neutralité </w:t>
      </w:r>
      <w:r w:rsidRPr="0065180A">
        <w:rPr>
          <w:i/>
          <w:iCs/>
        </w:rPr>
        <w:t>ouverte</w:t>
      </w:r>
      <w:r w:rsidRPr="0002450D">
        <w:rPr>
          <w:iCs/>
        </w:rPr>
        <w:t xml:space="preserve"> </w:t>
      </w:r>
      <w:r>
        <w:rPr>
          <w:iCs/>
        </w:rPr>
        <w:t xml:space="preserve">et une neutralité réputée </w:t>
      </w:r>
      <w:r w:rsidRPr="0065180A">
        <w:rPr>
          <w:i/>
          <w:iCs/>
        </w:rPr>
        <w:t>fermée</w:t>
      </w:r>
      <w:r>
        <w:rPr>
          <w:iCs/>
        </w:rPr>
        <w:t xml:space="preserve">, ou encore entre une neutralité – ou laïcité – </w:t>
      </w:r>
      <w:r w:rsidRPr="005F1CBD">
        <w:rPr>
          <w:i/>
          <w:iCs/>
        </w:rPr>
        <w:t>positive</w:t>
      </w:r>
      <w:r>
        <w:rPr>
          <w:iCs/>
        </w:rPr>
        <w:t xml:space="preserve"> et une neutralité réputée</w:t>
      </w:r>
      <w:r>
        <w:rPr>
          <w:i/>
          <w:iCs/>
        </w:rPr>
        <w:t xml:space="preserve"> négative.</w:t>
      </w:r>
    </w:p>
  </w:footnote>
  <w:footnote w:id="36">
    <w:p w14:paraId="6434218A" w14:textId="55A291B8" w:rsidR="000D6C77" w:rsidRPr="00FF61EE" w:rsidRDefault="000D6C77" w:rsidP="003E1A83">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{"citationID":"6cWDygi2","properties":{"formattedCitation":"S. {\\scaps van}\\uc0\\u160{}{\\scaps Drooghenbroeck}, \\uc0\\u171{}\\uc0\\u160{}Les transformations du concept de neutralit\\uc0\\u233{} de l\\uc0\\u8217{}\\uc0\\u201{}tat\\uc0\\u8239{}: quelques r\\uc0\\u233{}flexions provocatrices\\uc0\\u160{}\\uc0\\u187{}, {\\i{}in} J. {\\scaps Ringelheim} (\\uc0\\u233{}d.), {\\i{}Le droit et la diversit\\uc0\\u233{} culturelle}, Bruxelles, Bruylant, 2011, p. 77\\uc0\\u160{}; V. {\\scaps Valentin}, \\uc0\\u171{}\\uc0\\u160{}La\\uc0\\u239{}cit\\uc0\\u233{} et neutralit\\uc0\\u233{}\\uc0\\u160{}\\uc0\\u187{}, {\\i{}AJDA}, 2017, n\\uc0\\u176{} 24, p. 1392.","plainCitation":"S. van Drooghenbroeck, « Les transformations du concept de neutralité de l’État : quelques réflexions provocatrices », in J. Ringelheim (éd.), Le droit et la diversité culturelle, Bruxelles, Bruylant, 2011, p. 77 ; V. Valentin, « Laïcité et neutralité », AJDA, 2017, n° 24, p. 1392.","noteIndex":38},"citationItems":[{"id":1271,"uris":["http://zotero.org/users/5133869/items/GHSFQ2CG"],"itemData":{"id":1271,"type":"chapter","container-title":"Le droit et la diversité culturelle","event-place":"Bruxelles","page":"75-120","publisher":"Bruylant","publisher-place":"Bruxelles","title":"Les transformations du concept de neutralité de l’État : quelques réflexions provocatrices","author":[{"family":"Drooghenbroeck","given":"Sébastien","non-dropping-particle":"van"}],"editor":[{"family":"Ringelheim","given":"Julie"}],"issued":{"date-parts":[["2011"]]}},"locator":"77"},{"id":466,"uris":["http://zotero.org/users/5133869/items/DAVS2WDS"],"itemData":{"id":466,"type":"article-journal","container-title":"AJDA","issue":"24","page":"1387-1394","title":"Laïcité et neutralité","author":[{"family":"Valentin","given":"Vincent"}],"issued":{"date-parts":[["2017"]]}},"locator":"1392"}],"schema":"https://github.com/citation-style-language/schema/raw/master/csl-citation.json"} </w:instrText>
      </w:r>
      <w:r w:rsidRPr="00022216">
        <w:rPr>
          <w:rFonts w:cs="Times New Roman"/>
        </w:rPr>
        <w:fldChar w:fldCharType="separate"/>
      </w:r>
      <w:r w:rsidRPr="000C5C98">
        <w:rPr>
          <w:rFonts w:cs="Times New Roman"/>
          <w:szCs w:val="24"/>
        </w:rPr>
        <w:t xml:space="preserve">S. </w:t>
      </w:r>
      <w:r w:rsidRPr="000C5C98">
        <w:rPr>
          <w:rFonts w:cs="Times New Roman"/>
          <w:smallCaps/>
          <w:szCs w:val="24"/>
        </w:rPr>
        <w:t>van</w:t>
      </w:r>
      <w:r w:rsidRPr="000C5C98">
        <w:rPr>
          <w:rFonts w:cs="Times New Roman"/>
          <w:szCs w:val="24"/>
        </w:rPr>
        <w:t> </w:t>
      </w:r>
      <w:proofErr w:type="spellStart"/>
      <w:r w:rsidRPr="000C5C98">
        <w:rPr>
          <w:rFonts w:cs="Times New Roman"/>
          <w:smallCaps/>
          <w:szCs w:val="24"/>
        </w:rPr>
        <w:t>Drooghenbroeck</w:t>
      </w:r>
      <w:proofErr w:type="spellEnd"/>
      <w:r w:rsidRPr="000C5C98">
        <w:rPr>
          <w:rFonts w:cs="Times New Roman"/>
          <w:szCs w:val="24"/>
        </w:rPr>
        <w:t xml:space="preserve">, « Les transformations du concept de neutralité de l’État : quelques réflexions provocatrices », </w:t>
      </w:r>
      <w:r w:rsidRPr="000C5C98">
        <w:rPr>
          <w:rFonts w:cs="Times New Roman"/>
          <w:i/>
          <w:iCs/>
          <w:szCs w:val="24"/>
        </w:rPr>
        <w:t>in</w:t>
      </w:r>
      <w:r w:rsidRPr="000C5C98">
        <w:rPr>
          <w:rFonts w:cs="Times New Roman"/>
          <w:szCs w:val="24"/>
        </w:rPr>
        <w:t xml:space="preserve"> J. </w:t>
      </w:r>
      <w:r w:rsidRPr="000C5C98">
        <w:rPr>
          <w:rFonts w:cs="Times New Roman"/>
          <w:smallCaps/>
          <w:szCs w:val="24"/>
        </w:rPr>
        <w:t>Ringelheim</w:t>
      </w:r>
      <w:r w:rsidRPr="000C5C98">
        <w:rPr>
          <w:rFonts w:cs="Times New Roman"/>
          <w:szCs w:val="24"/>
        </w:rPr>
        <w:t xml:space="preserve"> (éd.), </w:t>
      </w:r>
      <w:r w:rsidRPr="000C5C98">
        <w:rPr>
          <w:rFonts w:cs="Times New Roman"/>
          <w:i/>
          <w:iCs/>
          <w:szCs w:val="24"/>
        </w:rPr>
        <w:t>Le droit et la diversité culturelle</w:t>
      </w:r>
      <w:r w:rsidRPr="000C5C98">
        <w:rPr>
          <w:rFonts w:cs="Times New Roman"/>
          <w:szCs w:val="24"/>
        </w:rPr>
        <w:t xml:space="preserve">, Bruxelles, Bruylant, 2011, p. 77 ; V. </w:t>
      </w:r>
      <w:r w:rsidRPr="000C5C98">
        <w:rPr>
          <w:rFonts w:cs="Times New Roman"/>
          <w:smallCaps/>
          <w:szCs w:val="24"/>
        </w:rPr>
        <w:t>Valentin</w:t>
      </w:r>
      <w:r w:rsidRPr="000C5C98">
        <w:rPr>
          <w:rFonts w:cs="Times New Roman"/>
          <w:szCs w:val="24"/>
        </w:rPr>
        <w:t xml:space="preserve">, « Laïcité et neutralité », </w:t>
      </w:r>
      <w:r w:rsidRPr="000C5C98">
        <w:rPr>
          <w:rFonts w:cs="Times New Roman"/>
          <w:i/>
          <w:iCs/>
          <w:szCs w:val="24"/>
        </w:rPr>
        <w:t>AJDA</w:t>
      </w:r>
      <w:r w:rsidRPr="000C5C98">
        <w:rPr>
          <w:rFonts w:cs="Times New Roman"/>
          <w:szCs w:val="24"/>
        </w:rPr>
        <w:t>, 2017, n° 24, p. 1392.</w:t>
      </w:r>
      <w:r w:rsidRPr="00022216">
        <w:rPr>
          <w:rFonts w:cs="Times New Roman"/>
        </w:rPr>
        <w:fldChar w:fldCharType="end"/>
      </w:r>
    </w:p>
  </w:footnote>
  <w:footnote w:id="37">
    <w:p w14:paraId="1264FAD2" w14:textId="77F85D29" w:rsidR="000D6C77" w:rsidRPr="00022216" w:rsidRDefault="000D6C77" w:rsidP="00CE511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{"citationID":"kSlFqjON","properties":{"formattedCitation":"C. {\\scaps Wolmark}, \\uc0\\u171{}\\uc0\\u160{}Neutralit\\uc0\\u233{} dans l\\uc0\\u8217{}entreprise ou neutralisation des travailleurs\\uc0\\u8239{}?\\uc0\\u160{}\\uc0\\u187{}, {\\i{}Droit ouvrier}, 2017, n\\uc0\\u176{} 825, p. 226.","plainCitation":"C. Wolmark, « Neutralité dans l’entreprise ou neutralisation des travailleurs ? », Droit ouvrier, 2017, n° 825, p. 226.","noteIndex":39},"citationItems":[{"id":1119,"uris":["http://zotero.org/users/5133869/items/6NYDFDYU"],"itemData":{"id":1119,"type":"article-journal","container-title":"Droit ouvrier","issue":"825","page":"226-232","title":"Neutralité dans l'entreprise ou neutralisation des travailleurs ?","author":[{"family":"Wolmark","given":"Cyril"}],"issued":{"date-parts":[["2017"]]}},"locator":"226"}],"schema":"https://github.com/citation-style-language/schema/raw/master/csl-citation.json"} </w:instrText>
      </w:r>
      <w:r w:rsidRPr="00022216">
        <w:rPr>
          <w:rFonts w:cs="Times New Roman"/>
        </w:rPr>
        <w:fldChar w:fldCharType="separate"/>
      </w:r>
      <w:r w:rsidRPr="00CC3909">
        <w:rPr>
          <w:rFonts w:cs="Times New Roman"/>
          <w:szCs w:val="24"/>
        </w:rPr>
        <w:t xml:space="preserve">C. </w:t>
      </w:r>
      <w:r w:rsidRPr="00CC3909">
        <w:rPr>
          <w:rFonts w:cs="Times New Roman"/>
          <w:smallCaps/>
          <w:szCs w:val="24"/>
        </w:rPr>
        <w:t>Wolmark</w:t>
      </w:r>
      <w:r w:rsidRPr="00CC3909">
        <w:rPr>
          <w:rFonts w:cs="Times New Roman"/>
          <w:szCs w:val="24"/>
        </w:rPr>
        <w:t xml:space="preserve">, « Neutralité dans l’entreprise ou neutralisation des travailleurs ? », </w:t>
      </w:r>
      <w:r w:rsidRPr="00CC3909">
        <w:rPr>
          <w:rFonts w:cs="Times New Roman"/>
          <w:i/>
          <w:iCs/>
          <w:szCs w:val="24"/>
        </w:rPr>
        <w:t>Droit ouvrier</w:t>
      </w:r>
      <w:r w:rsidRPr="00CC3909">
        <w:rPr>
          <w:rFonts w:cs="Times New Roman"/>
          <w:szCs w:val="24"/>
        </w:rPr>
        <w:t>, 2017, n° 825, p. 226.</w:t>
      </w:r>
      <w:r w:rsidRPr="00022216">
        <w:rPr>
          <w:rFonts w:cs="Times New Roman"/>
        </w:rPr>
        <w:fldChar w:fldCharType="end"/>
      </w:r>
    </w:p>
  </w:footnote>
  <w:footnote w:id="38">
    <w:p w14:paraId="5B265B02" w14:textId="12390130" w:rsidR="000D6C77" w:rsidRPr="00022216" w:rsidRDefault="000D6C77" w:rsidP="00CE511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{"citationID":"LSuSdxFD","properties":{"formattedCitation":"E. {\\scaps Lemaire}, \\uc0\\u171{}\\uc0\\u160{}La la\\uc0\\u239{}cit\\uc0\\u233{} \\uc0\\u8220{}r\\uc0\\u233{}pressive\\uc0\\u8221{}\\uc0\\u8239{}: l\\uc0\\u8217{}exemple du traitement de l\\uc0\\u8217{}affaire Baby Loup au Parlement\\uc0\\u160{}\\uc0\\u187{}, {\\i{}in} C. {\\scaps Bargues} et N. {\\scaps Haupais} (\\uc0\\u233{}ds.), {\\i{}Le fait religieux dans la construction de l\\uc0\\u8217{}\\uc0\\u201{}tat}, Paris, Pedone, 2016, p. 137.","plainCitation":"E. Lemaire, « La laïcité “répressive” : l’exemple du traitement de l’affaire Baby Loup au Parlement », in C. Bargues et N. Haupais (éds.), Le fait religieux dans la construction de l’État, Paris, Pedone, 2016, p. 137.","noteIndex":40},"citationItems":[{"id":1102,"uris":["http://zotero.org/users/5133869/items/5B4PNWMV"],"itemData":{"id":1102,"type":"chapter","container-title":"Le fait religieux dans la construction de l’État","event-place":"Paris","page":"131-150","publisher":"Pedone","publisher-place":"Paris","title":"La laïcité \"répressive\" : l’exemple du traitement de l’affaire Baby Loup au Parlement","author":[{"family":"Lemaire","given":"E"}],"editor":[{"family":"Bargues","given":"C"},{"family":"Haupais","given":"N"}],"issued":{"date-parts":[["2016"]]}},"locator":"137"}],"schema":"https://github.com/citation-style-language/schema/raw/master/csl-citation.json"} </w:instrText>
      </w:r>
      <w:r w:rsidRPr="00022216">
        <w:rPr>
          <w:rFonts w:cs="Times New Roman"/>
        </w:rPr>
        <w:fldChar w:fldCharType="separate"/>
      </w:r>
      <w:r w:rsidRPr="00E74ED6">
        <w:rPr>
          <w:rFonts w:cs="Times New Roman"/>
          <w:szCs w:val="24"/>
        </w:rPr>
        <w:t xml:space="preserve">E. </w:t>
      </w:r>
      <w:r w:rsidRPr="00E74ED6">
        <w:rPr>
          <w:rFonts w:cs="Times New Roman"/>
          <w:smallCaps/>
          <w:szCs w:val="24"/>
        </w:rPr>
        <w:t>Lemaire</w:t>
      </w:r>
      <w:r w:rsidRPr="00E74ED6">
        <w:rPr>
          <w:rFonts w:cs="Times New Roman"/>
          <w:szCs w:val="24"/>
        </w:rPr>
        <w:t xml:space="preserve">, « La laïcité “répressive” : l’exemple du traitement de l’affaire Baby Loup au Parlement », </w:t>
      </w:r>
      <w:r w:rsidRPr="00E74ED6">
        <w:rPr>
          <w:rFonts w:cs="Times New Roman"/>
          <w:i/>
          <w:iCs/>
          <w:szCs w:val="24"/>
        </w:rPr>
        <w:t>in</w:t>
      </w:r>
      <w:r w:rsidRPr="00E74ED6">
        <w:rPr>
          <w:rFonts w:cs="Times New Roman"/>
          <w:szCs w:val="24"/>
        </w:rPr>
        <w:t xml:space="preserve"> C. </w:t>
      </w:r>
      <w:proofErr w:type="spellStart"/>
      <w:r w:rsidRPr="00E74ED6">
        <w:rPr>
          <w:rFonts w:cs="Times New Roman"/>
          <w:smallCaps/>
          <w:szCs w:val="24"/>
        </w:rPr>
        <w:t>Bargues</w:t>
      </w:r>
      <w:proofErr w:type="spellEnd"/>
      <w:r w:rsidRPr="00E74ED6">
        <w:rPr>
          <w:rFonts w:cs="Times New Roman"/>
          <w:szCs w:val="24"/>
        </w:rPr>
        <w:t xml:space="preserve"> et N. </w:t>
      </w:r>
      <w:proofErr w:type="spellStart"/>
      <w:r w:rsidRPr="00E74ED6">
        <w:rPr>
          <w:rFonts w:cs="Times New Roman"/>
          <w:smallCaps/>
          <w:szCs w:val="24"/>
        </w:rPr>
        <w:t>Haupais</w:t>
      </w:r>
      <w:proofErr w:type="spellEnd"/>
      <w:r w:rsidRPr="00E74ED6">
        <w:rPr>
          <w:rFonts w:cs="Times New Roman"/>
          <w:szCs w:val="24"/>
        </w:rPr>
        <w:t xml:space="preserve"> (</w:t>
      </w:r>
      <w:proofErr w:type="spellStart"/>
      <w:r w:rsidRPr="00E74ED6">
        <w:rPr>
          <w:rFonts w:cs="Times New Roman"/>
          <w:szCs w:val="24"/>
        </w:rPr>
        <w:t>éds</w:t>
      </w:r>
      <w:proofErr w:type="spellEnd"/>
      <w:r w:rsidRPr="00E74ED6">
        <w:rPr>
          <w:rFonts w:cs="Times New Roman"/>
          <w:szCs w:val="24"/>
        </w:rPr>
        <w:t xml:space="preserve">.), </w:t>
      </w:r>
      <w:r w:rsidRPr="00E74ED6">
        <w:rPr>
          <w:rFonts w:cs="Times New Roman"/>
          <w:i/>
          <w:iCs/>
          <w:szCs w:val="24"/>
        </w:rPr>
        <w:t>Le fait religieux dans la construction de l’État</w:t>
      </w:r>
      <w:r w:rsidRPr="00E74ED6">
        <w:rPr>
          <w:rFonts w:cs="Times New Roman"/>
          <w:szCs w:val="24"/>
        </w:rPr>
        <w:t xml:space="preserve">, Paris, </w:t>
      </w:r>
      <w:proofErr w:type="spellStart"/>
      <w:r w:rsidRPr="00E74ED6">
        <w:rPr>
          <w:rFonts w:cs="Times New Roman"/>
          <w:szCs w:val="24"/>
        </w:rPr>
        <w:t>Pedone</w:t>
      </w:r>
      <w:proofErr w:type="spellEnd"/>
      <w:r w:rsidRPr="00E74ED6">
        <w:rPr>
          <w:rFonts w:cs="Times New Roman"/>
          <w:szCs w:val="24"/>
        </w:rPr>
        <w:t>, 2016, p. 137.</w:t>
      </w:r>
      <w:r w:rsidRPr="00022216">
        <w:rPr>
          <w:rFonts w:cs="Times New Roman"/>
        </w:rPr>
        <w:fldChar w:fldCharType="end"/>
      </w:r>
    </w:p>
  </w:footnote>
  <w:footnote w:id="39">
    <w:p w14:paraId="29B46F08" w14:textId="06CAE3A1" w:rsidR="000D6C77" w:rsidRPr="00022216" w:rsidRDefault="000D6C77" w:rsidP="00CE511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{"citationID":"q8onQZRi","properties":{"formattedCitation":"V. {\\scaps Valentin}, \\uc0\\u171{}\\uc0\\u160{}Quelles perspectives pour la religion dans l\\uc0\\u8217{}entreprise\\uc0\\u8239{}?\\uc0\\u160{}\\uc0\\u187{}, {\\i{}Revue des droits et libert\\uc0\\u233{}s fondamentaux}, 2017, n\\uc0\\u176{} 1, p. 6.","plainCitation":"V. Valentin, « Quelles perspectives pour la religion dans l’entreprise ? », Revue des droits et libertés fondamentaux, 2017, n° 1, p. 6.","noteIndex":41},"citationItems":[{"id":102,"uris":["http://zotero.org/users/5133869/items/VR6G5K86"],"itemData":{"id":102,"type":"article-journal","container-title":"Revue des droits et libertés fondamentaux","issue":"1","title":"Quelles perspectives pour la religion dans l'entreprise ?","author":[{"family":"Valentin","given":"Vincent"}],"issued":{"date-parts":[["2017"]]}},"locator":"6"}],"schema":"https://github.com/citation-style-language/schema/raw/master/csl-citation.json"} </w:instrText>
      </w:r>
      <w:r w:rsidRPr="00022216">
        <w:rPr>
          <w:rFonts w:cs="Times New Roman"/>
        </w:rPr>
        <w:fldChar w:fldCharType="separate"/>
      </w:r>
      <w:r w:rsidRPr="00E74ED6">
        <w:rPr>
          <w:rFonts w:cs="Times New Roman"/>
          <w:szCs w:val="24"/>
        </w:rPr>
        <w:t xml:space="preserve">V. </w:t>
      </w:r>
      <w:r w:rsidRPr="00E74ED6">
        <w:rPr>
          <w:rFonts w:cs="Times New Roman"/>
          <w:smallCaps/>
          <w:szCs w:val="24"/>
        </w:rPr>
        <w:t>Valentin</w:t>
      </w:r>
      <w:r w:rsidRPr="00E74ED6">
        <w:rPr>
          <w:rFonts w:cs="Times New Roman"/>
          <w:szCs w:val="24"/>
        </w:rPr>
        <w:t xml:space="preserve">, « Quelles perspectives pour la religion dans l’entreprise ? », </w:t>
      </w:r>
      <w:r w:rsidRPr="00E74ED6">
        <w:rPr>
          <w:rFonts w:cs="Times New Roman"/>
          <w:i/>
          <w:iCs/>
          <w:szCs w:val="24"/>
        </w:rPr>
        <w:t>Revue des droits et libertés fondamentaux</w:t>
      </w:r>
      <w:r w:rsidRPr="00E74ED6">
        <w:rPr>
          <w:rFonts w:cs="Times New Roman"/>
          <w:szCs w:val="24"/>
        </w:rPr>
        <w:t>, 2017, n° 1, p. 6.</w:t>
      </w:r>
      <w:r w:rsidRPr="00022216">
        <w:rPr>
          <w:rFonts w:cs="Times New Roman"/>
        </w:rPr>
        <w:fldChar w:fldCharType="end"/>
      </w:r>
      <w:r w:rsidRPr="00022216">
        <w:rPr>
          <w:rFonts w:cs="Times New Roman"/>
        </w:rPr>
        <w:t> Selon l’auteur, il serait étonnant que « parce que le public doit être fermé au religieux, le privé devrait lui être ouvert ; parce que la laïcité́ vaut pour le public, elle vaudrait seulement pour lui. Autrement dit, la liberté́ étant la règle, mais la neutralité́ ne pourrait être librement choisie ! ».</w:t>
      </w:r>
    </w:p>
  </w:footnote>
  <w:footnote w:id="40">
    <w:p w14:paraId="117175B1" w14:textId="2B385A81" w:rsidR="000D6C77" w:rsidRPr="00022216" w:rsidRDefault="000D6C77" w:rsidP="00260D96">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{"citationID":"T2jcFtkz","properties":{"formattedCitation":"P. {\\scaps Delvolv\\uc0\\u233{}}, \\uc0\\u171{}\\uc0\\u160{}Entreprise priv\\uc0\\u233{}e, la\\uc0\\u239{}cit\\uc0\\u233{}, libert\\uc0\\u233{} religieuse. L\\uc0\\u8217{}affaire Baby-Loup\\uc0\\u160{}\\uc0\\u187{}, {\\i{}op. cit.}, p. 955.","plainCitation":"P. Delvolvé, « Entreprise privée, laïcité, liberté religieuse. L’affaire Baby-Loup », op. cit., p. 955.","noteIndex":42},"citationItems":[{"id":1318,"uris":["http://zotero.org/users/5133869/items/SBD4TKSA"],"itemData":{"id":1318,"type":"article-journal","container-title":"Revue française de droit administratif","issue":"5","page":"954-961","title":"Entreprise privée, laïcité, liberté religieuse. L’affaire Baby-Loup","author":[{"family":"Delvolvé","given":"P"}],"issued":{"date-parts":[["2014"]]}},"locator":"955"}],"schema":"https://github.com/citation-style-language/schema/raw/master/csl-citation.json"} </w:instrText>
      </w:r>
      <w:r w:rsidRPr="00022216">
        <w:rPr>
          <w:rFonts w:cs="Times New Roman"/>
        </w:rPr>
        <w:fldChar w:fldCharType="separate"/>
      </w:r>
      <w:r w:rsidRPr="00CC3909">
        <w:rPr>
          <w:rFonts w:cs="Times New Roman"/>
          <w:szCs w:val="24"/>
        </w:rPr>
        <w:t xml:space="preserve">P. </w:t>
      </w:r>
      <w:proofErr w:type="spellStart"/>
      <w:r w:rsidRPr="00CC3909">
        <w:rPr>
          <w:rFonts w:cs="Times New Roman"/>
          <w:smallCaps/>
          <w:szCs w:val="24"/>
        </w:rPr>
        <w:t>Delvolvé</w:t>
      </w:r>
      <w:proofErr w:type="spellEnd"/>
      <w:r w:rsidRPr="00CC3909">
        <w:rPr>
          <w:rFonts w:cs="Times New Roman"/>
          <w:szCs w:val="24"/>
        </w:rPr>
        <w:t xml:space="preserve">, « Entreprise privée, laïcité, liberté religieuse. L’affaire Baby-Loup », </w:t>
      </w:r>
      <w:r w:rsidRPr="00CC3909">
        <w:rPr>
          <w:rFonts w:cs="Times New Roman"/>
          <w:i/>
          <w:iCs/>
          <w:szCs w:val="24"/>
        </w:rPr>
        <w:t xml:space="preserve">op. </w:t>
      </w:r>
      <w:proofErr w:type="spellStart"/>
      <w:r w:rsidRPr="00CC3909">
        <w:rPr>
          <w:rFonts w:cs="Times New Roman"/>
          <w:i/>
          <w:iCs/>
          <w:szCs w:val="24"/>
        </w:rPr>
        <w:t>cit</w:t>
      </w:r>
      <w:proofErr w:type="spellEnd"/>
      <w:r w:rsidRPr="00CC3909">
        <w:rPr>
          <w:rFonts w:cs="Times New Roman"/>
          <w:i/>
          <w:iCs/>
          <w:szCs w:val="24"/>
        </w:rPr>
        <w:t>.</w:t>
      </w:r>
      <w:r w:rsidRPr="00CC3909">
        <w:rPr>
          <w:rFonts w:cs="Times New Roman"/>
          <w:szCs w:val="24"/>
        </w:rPr>
        <w:t>, p. 955.</w:t>
      </w:r>
      <w:r w:rsidRPr="00022216">
        <w:rPr>
          <w:rFonts w:cs="Times New Roman"/>
        </w:rPr>
        <w:fldChar w:fldCharType="end"/>
      </w:r>
    </w:p>
  </w:footnote>
  <w:footnote w:id="41">
    <w:p w14:paraId="5F15DA1C" w14:textId="3BB3B734" w:rsidR="000D6C77" w:rsidRPr="00B428D6" w:rsidRDefault="000D6C77" w:rsidP="007874E3">
      <w:pPr>
        <w:pStyle w:val="Notedebasdepage"/>
      </w:pPr>
      <w:r>
        <w:rPr>
          <w:rStyle w:val="Appelnotedebasdep"/>
        </w:rPr>
        <w:footnoteRef/>
      </w:r>
      <w:r w:rsidRPr="00B428D6">
        <w:t xml:space="preserve"> </w:t>
      </w:r>
      <w:r>
        <w:fldChar w:fldCharType="begin"/>
      </w:r>
      <w:r>
        <w:instrText xml:space="preserve"> ADDIN ZOTERO_ITEM CSL_CITATION {"citationID":"iD2iyfpq","properties":{"formattedCitation":"C. {\\scaps Mathieu}, \\uc0\\u171{}\\uc0\\u160{}Le respect de la libert\\uc0\\u233{} religieuse dans l\\uc0\\u8217{}entreprise\\uc0\\u160{}\\uc0\\u187{}, {\\i{}Revue de Droit du Travail}, 2012, pp. 17\\uc0\\u8209{}23.","plainCitation":"C. Mathieu, « Le respect de la liberté religieuse dans l’entreprise », Revue de Droit du Travail, 2012, pp. 17‑23.","noteIndex":43},"citationItems":[{"id":1308,"uris":["http://zotero.org/users/5133869/items/6BBDWI5K"],"itemData":{"id":1308,"type":"article-journal","container-title":"Revue de Droit du Travail","page":"17-23","title":"Le respect de la liberté religieuse dans l’entreprise","author":[{"family":"Mathieu","given":"Ch"}],"issued":{"date-parts":[["2012"]]}}}],"schema":"https://github.com/citation-style-language/schema/raw/master/csl-citation.json"} </w:instrText>
      </w:r>
      <w:r>
        <w:fldChar w:fldCharType="separate"/>
      </w:r>
      <w:r w:rsidRPr="00B428D6">
        <w:rPr>
          <w:rFonts w:cs="Times New Roman"/>
          <w:szCs w:val="24"/>
        </w:rPr>
        <w:t xml:space="preserve">C. </w:t>
      </w:r>
      <w:r w:rsidRPr="00B428D6">
        <w:rPr>
          <w:rFonts w:cs="Times New Roman"/>
          <w:smallCaps/>
          <w:szCs w:val="24"/>
        </w:rPr>
        <w:t>Mathieu</w:t>
      </w:r>
      <w:r w:rsidRPr="00B428D6">
        <w:rPr>
          <w:rFonts w:cs="Times New Roman"/>
          <w:szCs w:val="24"/>
        </w:rPr>
        <w:t xml:space="preserve">, « Le respect de la liberté religieuse dans l’entreprise », </w:t>
      </w:r>
      <w:r w:rsidRPr="00B428D6">
        <w:rPr>
          <w:rFonts w:cs="Times New Roman"/>
          <w:i/>
          <w:iCs/>
          <w:szCs w:val="24"/>
        </w:rPr>
        <w:t>Revue de Droit du Travail</w:t>
      </w:r>
      <w:r w:rsidRPr="00B428D6">
        <w:rPr>
          <w:rFonts w:cs="Times New Roman"/>
          <w:szCs w:val="24"/>
        </w:rPr>
        <w:t>, 2012, pp. 17‑23.</w:t>
      </w:r>
      <w:r>
        <w:fldChar w:fldCharType="end"/>
      </w:r>
    </w:p>
  </w:footnote>
  <w:footnote w:id="42">
    <w:p w14:paraId="11E780F7" w14:textId="273F440D" w:rsidR="000D6C77" w:rsidRPr="00447B75" w:rsidRDefault="000D6C77">
      <w:pPr>
        <w:pStyle w:val="Notedebasdepage"/>
      </w:pPr>
      <w:r>
        <w:rPr>
          <w:rStyle w:val="Appelnotedebasdep"/>
        </w:rPr>
        <w:footnoteRef/>
      </w:r>
      <w:r>
        <w:t xml:space="preserve"> </w:t>
      </w:r>
      <w:proofErr w:type="spellStart"/>
      <w:r>
        <w:t>Voy</w:t>
      </w:r>
      <w:proofErr w:type="spellEnd"/>
      <w:r>
        <w:t xml:space="preserve">., </w:t>
      </w:r>
      <w:r>
        <w:rPr>
          <w:i/>
          <w:iCs/>
        </w:rPr>
        <w:t>infra</w:t>
      </w:r>
      <w:r>
        <w:t xml:space="preserve">, para. </w:t>
      </w:r>
      <w:r>
        <w:fldChar w:fldCharType="begin"/>
      </w:r>
      <w:r>
        <w:instrText xml:space="preserve"> REF _Ref121317311 \r \h </w:instrText>
      </w:r>
      <w:r>
        <w:fldChar w:fldCharType="separate"/>
      </w:r>
      <w:r>
        <w:t>117</w:t>
      </w:r>
      <w:r>
        <w:fldChar w:fldCharType="end"/>
      </w:r>
      <w:r>
        <w:t>.</w:t>
      </w:r>
    </w:p>
  </w:footnote>
  <w:footnote w:id="43">
    <w:p w14:paraId="062E459F" w14:textId="6EC86624" w:rsidR="000D6C77" w:rsidRPr="00022216" w:rsidRDefault="000D6C77" w:rsidP="00C5272B">
      <w:pPr>
        <w:pStyle w:val="Notedebasdepage"/>
        <w:rPr>
          <w:rFonts w:cs="Times New Roman"/>
        </w:rPr>
      </w:pPr>
      <w:r w:rsidRPr="00022216">
        <w:rPr>
          <w:rStyle w:val="Appelnotedebasdep"/>
          <w:rFonts w:cs="Times New Roman"/>
        </w:rPr>
        <w:footnoteRef/>
      </w:r>
      <w:r w:rsidRPr="00022216">
        <w:rPr>
          <w:rFonts w:cs="Times New Roman"/>
        </w:rPr>
        <w:t xml:space="preserve"> En témoigne la prévalence de la neutralité dans les politiques d’entreprise ayant fait l’objet d’un contentieux judiciaire, tant devant les juridictions nationales que devant la CJUE. La reprise du terme de neutralité au sein de l’article L1321</w:t>
      </w:r>
      <w:r w:rsidRPr="00022216">
        <w:rPr>
          <w:rFonts w:cs="Times New Roman"/>
        </w:rPr>
        <w:noBreakHyphen/>
        <w:t>2-1</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Article L1321-2-1 du Code du travail français"</w:instrText>
      </w:r>
      <w:r>
        <w:rPr>
          <w:rFonts w:cs="Times New Roman"/>
        </w:rPr>
        <w:instrText xml:space="preserve"> </w:instrText>
      </w:r>
      <w:r>
        <w:rPr>
          <w:rFonts w:cs="Times New Roman"/>
        </w:rPr>
        <w:fldChar w:fldCharType="end"/>
      </w:r>
      <w:r w:rsidRPr="00022216">
        <w:rPr>
          <w:rFonts w:cs="Times New Roman"/>
        </w:rPr>
        <w:t xml:space="preserve"> du Code du travail français en est un autre exemple</w:t>
      </w:r>
      <w:r>
        <w:rPr>
          <w:rFonts w:cs="Times New Roman"/>
        </w:rPr>
        <w:t xml:space="preserve"> (</w:t>
      </w:r>
      <w:proofErr w:type="spellStart"/>
      <w:r>
        <w:rPr>
          <w:rFonts w:cs="Times New Roman"/>
        </w:rPr>
        <w:t>voy</w:t>
      </w:r>
      <w:proofErr w:type="spellEnd"/>
      <w:r>
        <w:rPr>
          <w:rFonts w:cs="Times New Roman"/>
        </w:rPr>
        <w:t xml:space="preserve">., </w:t>
      </w:r>
      <w:r>
        <w:rPr>
          <w:rFonts w:cs="Times New Roman"/>
          <w:i/>
          <w:iCs/>
        </w:rPr>
        <w:t>infra</w:t>
      </w:r>
      <w:r>
        <w:rPr>
          <w:rFonts w:cs="Times New Roman"/>
        </w:rPr>
        <w:t xml:space="preserve">, paras. </w:t>
      </w:r>
      <w:r>
        <w:rPr>
          <w:rFonts w:cs="Times New Roman"/>
        </w:rPr>
        <w:fldChar w:fldCharType="begin"/>
      </w:r>
      <w:r>
        <w:rPr>
          <w:rFonts w:cs="Times New Roman"/>
        </w:rPr>
        <w:instrText xml:space="preserve"> REF _Ref112879173 \r \h </w:instrText>
      </w:r>
      <w:r>
        <w:rPr>
          <w:rFonts w:cs="Times New Roman"/>
        </w:rPr>
      </w:r>
      <w:r>
        <w:rPr>
          <w:rFonts w:cs="Times New Roman"/>
        </w:rPr>
        <w:fldChar w:fldCharType="separate"/>
      </w:r>
      <w:r>
        <w:rPr>
          <w:rFonts w:cs="Times New Roman"/>
        </w:rPr>
        <w:t>82</w:t>
      </w:r>
      <w:r>
        <w:rPr>
          <w:rFonts w:cs="Times New Roman"/>
        </w:rPr>
        <w:fldChar w:fldCharType="end"/>
      </w:r>
      <w:r>
        <w:rPr>
          <w:rFonts w:cs="Times New Roman"/>
        </w:rPr>
        <w:t xml:space="preserve"> et s.)</w:t>
      </w:r>
      <w:r w:rsidRPr="00022216">
        <w:rPr>
          <w:rFonts w:cs="Times New Roman"/>
        </w:rPr>
        <w:t>.</w:t>
      </w:r>
    </w:p>
  </w:footnote>
  <w:footnote w:id="44">
    <w:p w14:paraId="4ED9EF7B" w14:textId="77777777" w:rsidR="000D6C77" w:rsidRPr="00022216" w:rsidRDefault="000D6C77" w:rsidP="000D0F10">
      <w:pPr>
        <w:pStyle w:val="Notedebasdepage"/>
        <w:rPr>
          <w:rFonts w:cs="Times New Roman"/>
        </w:rPr>
      </w:pPr>
      <w:r w:rsidRPr="00022216">
        <w:rPr>
          <w:rStyle w:val="Appelnotedebasdep"/>
          <w:rFonts w:cs="Times New Roman"/>
        </w:rPr>
        <w:footnoteRef/>
      </w:r>
      <w:r w:rsidRPr="00022216">
        <w:rPr>
          <w:rFonts w:cs="Times New Roman"/>
        </w:rPr>
        <w:t xml:space="preserve"> Constitution belge, art. 181, para. 2.</w:t>
      </w:r>
    </w:p>
  </w:footnote>
  <w:footnote w:id="45">
    <w:p w14:paraId="6225D3C4" w14:textId="7C430506" w:rsidR="000D6C77" w:rsidRPr="00022216" w:rsidRDefault="000D6C77" w:rsidP="00C5272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{"citationID":"mpIvgv2Y","properties":{"formattedCitation":"F. {\\scaps de la}\\uc0\\u160{}{\\scaps Morena}, \\uc0\\u171{}\\uc0\\u160{}Du principe de la\\uc0\\u239{}cit\\uc0\\u233{} r\\uc0\\u233{}publicaine \\uc0\\u224{} l\\uc0\\u8217{}application des valeurs de la la\\uc0\\u239{}cit\\uc0\\u233{} dans l\\uc0\\u8217{}entreprise\\uc0\\u160{}\\uc0\\u187{}, {\\i{}Droit social}, 2015, n\\uc0\\u176{} 9, p. 704.","plainCitation":"F. de la Morena, « Du principe de laïcité républicaine à l’application des valeurs de la laïcité dans l’entreprise », Droit social, 2015, n° 9, p. 704.","noteIndex":51},"citationItems":[{"id":659,"uris":["http://zotero.org/users/5133869/items/6HJMXB7V"],"itemData":{"id":659,"type":"article-journal","container-title":"Droit social","issue":"9","page":"699-707","title":"Du principe de laïcité républicaine à l'application des valeurs de la laïcité dans l'entreprise","author":[{"family":"Morena","given":"Frédérique","non-dropping-particle":"de la"}],"issued":{"date-parts":[["2015"]]}},"locator":"704"}],"schema":"https://github.com/citation-style-language/schema/raw/master/csl-citation.json"} </w:instrText>
      </w:r>
      <w:r w:rsidRPr="00022216">
        <w:rPr>
          <w:rFonts w:cs="Times New Roman"/>
        </w:rPr>
        <w:fldChar w:fldCharType="separate"/>
      </w:r>
      <w:r w:rsidRPr="00E74ED6">
        <w:rPr>
          <w:rFonts w:cs="Times New Roman"/>
          <w:szCs w:val="24"/>
        </w:rPr>
        <w:t xml:space="preserve">F. </w:t>
      </w:r>
      <w:r w:rsidRPr="00E74ED6">
        <w:rPr>
          <w:rFonts w:cs="Times New Roman"/>
          <w:smallCaps/>
          <w:szCs w:val="24"/>
        </w:rPr>
        <w:t>de la</w:t>
      </w:r>
      <w:r w:rsidRPr="00E74ED6">
        <w:rPr>
          <w:rFonts w:cs="Times New Roman"/>
          <w:szCs w:val="24"/>
        </w:rPr>
        <w:t> </w:t>
      </w:r>
      <w:r w:rsidRPr="00E74ED6">
        <w:rPr>
          <w:rFonts w:cs="Times New Roman"/>
          <w:smallCaps/>
          <w:szCs w:val="24"/>
        </w:rPr>
        <w:t>Morena</w:t>
      </w:r>
      <w:r w:rsidRPr="00E74ED6">
        <w:rPr>
          <w:rFonts w:cs="Times New Roman"/>
          <w:szCs w:val="24"/>
        </w:rPr>
        <w:t xml:space="preserve">, « Du principe de laïcité républicaine à l’application des valeurs de la laïcité dans l’entreprise », </w:t>
      </w:r>
      <w:r w:rsidRPr="00E74ED6">
        <w:rPr>
          <w:rFonts w:cs="Times New Roman"/>
          <w:i/>
          <w:iCs/>
          <w:szCs w:val="24"/>
        </w:rPr>
        <w:t>Droit social</w:t>
      </w:r>
      <w:r w:rsidRPr="00E74ED6">
        <w:rPr>
          <w:rFonts w:cs="Times New Roman"/>
          <w:szCs w:val="24"/>
        </w:rPr>
        <w:t>, 2015, n° 9, p. 704.</w:t>
      </w:r>
      <w:r w:rsidRPr="00022216">
        <w:rPr>
          <w:rFonts w:cs="Times New Roman"/>
        </w:rPr>
        <w:fldChar w:fldCharType="end"/>
      </w:r>
    </w:p>
  </w:footnote>
  <w:footnote w:id="46">
    <w:p w14:paraId="2C2263D4" w14:textId="4682D8B5" w:rsidR="000D6C77" w:rsidRPr="00022216" w:rsidRDefault="000D6C77" w:rsidP="00E01810">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Rappelons que </w:t>
      </w:r>
      <w:r>
        <w:t>le concept d’horizontalisation</w:t>
      </w:r>
      <w:r>
        <w:fldChar w:fldCharType="begin"/>
      </w:r>
      <w:r>
        <w:instrText xml:space="preserve"> XE "</w:instrText>
      </w:r>
      <w:r w:rsidRPr="00125597">
        <w:rPr>
          <w:rFonts w:eastAsia="Times New Roman" w:cs="Calibri"/>
          <w:color w:val="000000"/>
          <w:lang w:eastAsia="fr-BE"/>
        </w:rPr>
        <w:instrText>Horizontalisation"</w:instrText>
      </w:r>
      <w:r>
        <w:instrText xml:space="preserve"> </w:instrText>
      </w:r>
      <w:r>
        <w:fldChar w:fldCharType="end"/>
      </w:r>
      <w:r>
        <w:t xml:space="preserve"> des droits de l’homme désigne l’idée selon laquelle les droits fondamentaux ne s’envisagent plus seulement de manière </w:t>
      </w:r>
      <w:r w:rsidRPr="00D976CA">
        <w:rPr>
          <w:iCs/>
        </w:rPr>
        <w:t>verticale</w:t>
      </w:r>
      <w:r>
        <w:t xml:space="preserve">, comme une créance des individus vis-à-vis de la puissance étatique, mais trouvent également à s’appliquer dans une perspective </w:t>
      </w:r>
      <w:r w:rsidRPr="00D976CA">
        <w:rPr>
          <w:iCs/>
        </w:rPr>
        <w:t>horizontale</w:t>
      </w:r>
      <w:r>
        <w:t xml:space="preserve">, dans les relations qu’entretiennent les particuliers entre eux. En d’autres termes, comme le résume Sébastien </w:t>
      </w:r>
      <w:r w:rsidRPr="00D976CA">
        <w:rPr>
          <w:smallCaps/>
        </w:rPr>
        <w:t xml:space="preserve">van </w:t>
      </w:r>
      <w:proofErr w:type="spellStart"/>
      <w:r w:rsidRPr="00D976CA">
        <w:rPr>
          <w:smallCaps/>
        </w:rPr>
        <w:t>Drooghenbroeck</w:t>
      </w:r>
      <w:proofErr w:type="spellEnd"/>
      <w:r>
        <w:t>, l’horizontalisation conduit à ce que les droits fondamentaux « [soient] devenus […] une norme de comportement des acteurs privés </w:t>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{"citationID":"DqlNXBKY","properties":{"formattedCitation":"(\\uc0\\u171{}\\uc0\\u160{}L\\uc0\\u8217{}horizontalisation des droits de l\\uc0\\u8217{}homme\\uc0\\u160{}\\uc0\\u187{}, {\\i{}in} H. {\\scaps Dumont}, F. {\\scaps Ost} et S. {\\scaps van}\\uc0\\u160{}{\\scaps Drooghenbroeck} (\\uc0\\u233{}ds.), {\\i{}La responsabilit\\uc0\\u233{}, face cach\\uc0\\u233{}e des droits de l\\uc0\\u8217{}homme}, Bruxelles, Bruylant, 2005, p. 356).","plainCitation":"(« L’horizontalisation des droits de l’homme », in H. Dumont, F. Ost et S. van Drooghenbroeck (éds.), La responsabilité, face cachée des droits de l’homme, Bruxelles, Bruylant, 2005, p. 356).","noteIndex":52},"citationItems":[{"id":2191,"uris":["http://zotero.org/users/5133869/items/MU9M8MJN"],"itemData":{"id":2191,"type":"chapter","call-number":"K3240 .R478 2005","container-title":"La responsabilité, face cachée des droits de l'homme","event-place":"Bruxelles","ISBN":"978-2-8027-2090-4","note":"OCLC: ocm70238821","page":"355-390","publisher":"Bruylant","publisher-place":"Bruxelles","source":"Library of Congress ISBN","title":"L'horizontalisation des droits de l'homme","editor":[{"family":"Dumont","given":"Hugues"},{"family":"Ost","given":"François"},{"family":"Drooghenbroeck","given":"Sébastien","non-dropping-particle":"van"}],"author":[{"family":"Drooghenbroeck","given":"Sébastien","non-dropping-particle":"van"}],"issued":{"date-parts":[["2005"]]}},"locator":"356","label":"page","suppress-author":true,"prefix":"(","suffix":")"}],"schema":"https://github.com/citation-style-language/schema/raw/master/csl-citation.json"} </w:instrText>
      </w:r>
      <w:r w:rsidRPr="00022216">
        <w:rPr>
          <w:rFonts w:cs="Times New Roman"/>
        </w:rPr>
        <w:fldChar w:fldCharType="separate"/>
      </w:r>
      <w:r w:rsidRPr="00E01810">
        <w:rPr>
          <w:rFonts w:cs="Times New Roman"/>
          <w:szCs w:val="24"/>
        </w:rPr>
        <w:t xml:space="preserve">(« L’horizontalisation des droits de l’homme », </w:t>
      </w:r>
      <w:r w:rsidRPr="00E01810">
        <w:rPr>
          <w:rFonts w:cs="Times New Roman"/>
          <w:i/>
          <w:iCs/>
          <w:szCs w:val="24"/>
        </w:rPr>
        <w:t>in</w:t>
      </w:r>
      <w:r w:rsidRPr="00E01810">
        <w:rPr>
          <w:rFonts w:cs="Times New Roman"/>
          <w:szCs w:val="24"/>
        </w:rPr>
        <w:t xml:space="preserve"> H. </w:t>
      </w:r>
      <w:r w:rsidRPr="00E01810">
        <w:rPr>
          <w:rFonts w:cs="Times New Roman"/>
          <w:smallCaps/>
          <w:szCs w:val="24"/>
        </w:rPr>
        <w:t>Dumont</w:t>
      </w:r>
      <w:r w:rsidRPr="00E01810">
        <w:rPr>
          <w:rFonts w:cs="Times New Roman"/>
          <w:szCs w:val="24"/>
        </w:rPr>
        <w:t xml:space="preserve">, F. </w:t>
      </w:r>
      <w:r w:rsidRPr="00E01810">
        <w:rPr>
          <w:rFonts w:cs="Times New Roman"/>
          <w:smallCaps/>
          <w:szCs w:val="24"/>
        </w:rPr>
        <w:t>Ost</w:t>
      </w:r>
      <w:r w:rsidRPr="00E01810">
        <w:rPr>
          <w:rFonts w:cs="Times New Roman"/>
          <w:szCs w:val="24"/>
        </w:rPr>
        <w:t xml:space="preserve"> et S. </w:t>
      </w:r>
      <w:r w:rsidRPr="00E01810">
        <w:rPr>
          <w:rFonts w:cs="Times New Roman"/>
          <w:smallCaps/>
          <w:szCs w:val="24"/>
        </w:rPr>
        <w:t>van</w:t>
      </w:r>
      <w:r w:rsidRPr="00E01810">
        <w:rPr>
          <w:rFonts w:cs="Times New Roman"/>
          <w:szCs w:val="24"/>
        </w:rPr>
        <w:t> </w:t>
      </w:r>
      <w:proofErr w:type="spellStart"/>
      <w:r w:rsidRPr="00E01810">
        <w:rPr>
          <w:rFonts w:cs="Times New Roman"/>
          <w:smallCaps/>
          <w:szCs w:val="24"/>
        </w:rPr>
        <w:t>Drooghenbroeck</w:t>
      </w:r>
      <w:proofErr w:type="spellEnd"/>
      <w:r w:rsidRPr="00E01810">
        <w:rPr>
          <w:rFonts w:cs="Times New Roman"/>
          <w:szCs w:val="24"/>
        </w:rPr>
        <w:t xml:space="preserve"> (</w:t>
      </w:r>
      <w:proofErr w:type="spellStart"/>
      <w:r w:rsidRPr="00E01810">
        <w:rPr>
          <w:rFonts w:cs="Times New Roman"/>
          <w:szCs w:val="24"/>
        </w:rPr>
        <w:t>éds</w:t>
      </w:r>
      <w:proofErr w:type="spellEnd"/>
      <w:r w:rsidRPr="00E01810">
        <w:rPr>
          <w:rFonts w:cs="Times New Roman"/>
          <w:szCs w:val="24"/>
        </w:rPr>
        <w:t xml:space="preserve">.), </w:t>
      </w:r>
      <w:r w:rsidRPr="00E01810">
        <w:rPr>
          <w:rFonts w:cs="Times New Roman"/>
          <w:i/>
          <w:iCs/>
          <w:szCs w:val="24"/>
        </w:rPr>
        <w:t>La responsabilité, face cachée des droits de l’homme</w:t>
      </w:r>
      <w:r w:rsidRPr="00E01810">
        <w:rPr>
          <w:rFonts w:cs="Times New Roman"/>
          <w:szCs w:val="24"/>
        </w:rPr>
        <w:t>, Bruxelles, Bruylant, 2005, p. 356).</w:t>
      </w:r>
      <w:r w:rsidRPr="00022216">
        <w:rPr>
          <w:rFonts w:cs="Times New Roman"/>
        </w:rPr>
        <w:fldChar w:fldCharType="end"/>
      </w:r>
    </w:p>
  </w:footnote>
  <w:footnote w:id="47">
    <w:p w14:paraId="7DE85115" w14:textId="082CD11B" w:rsidR="000D6C77" w:rsidRPr="00644E40" w:rsidRDefault="000D6C77" w:rsidP="00165EAC">
      <w:pPr>
        <w:pStyle w:val="Notedebasdepage"/>
      </w:pPr>
      <w:r>
        <w:rPr>
          <w:rStyle w:val="Appelnotedebasdep"/>
        </w:rPr>
        <w:footnoteRef/>
      </w:r>
      <w:r w:rsidRPr="00644E40">
        <w:t xml:space="preserve"> </w:t>
      </w:r>
      <w:r>
        <w:t>P</w:t>
      </w:r>
      <w:r w:rsidRPr="00644E40">
        <w:t xml:space="preserve">récisons que les deux formes de neutralité horizontalisée évoqués à l’instant se distinguent des quatre types d’entreprise neutre </w:t>
      </w:r>
      <w:r>
        <w:t xml:space="preserve">que l’on </w:t>
      </w:r>
      <w:r w:rsidRPr="00644E40">
        <w:t>envisag</w:t>
      </w:r>
      <w:r>
        <w:t>era</w:t>
      </w:r>
      <w:r w:rsidRPr="00644E40">
        <w:t xml:space="preserve"> </w:t>
      </w:r>
      <w:r>
        <w:t>en seconde partie</w:t>
      </w:r>
      <w:r w:rsidRPr="00644E40">
        <w:t>. Les deux</w:t>
      </w:r>
      <w:r>
        <w:t xml:space="preserve"> formes discutées ici vise</w:t>
      </w:r>
      <w:r w:rsidRPr="00644E40">
        <w:t xml:space="preserve">nt à rendre spécifiquement compte du passage de la neutralité de l’État vers l’entreprise, tandis que les quatre </w:t>
      </w:r>
      <w:r>
        <w:t>catégories que nous construirons plus loin</w:t>
      </w:r>
      <w:r w:rsidRPr="00644E40">
        <w:t xml:space="preserve"> correspondent à une </w:t>
      </w:r>
      <w:r>
        <w:t>typologie</w:t>
      </w:r>
      <w:r w:rsidRPr="00644E40">
        <w:t xml:space="preserve"> davantage opérationnelle des formes d’invocation de la neutralité en entreprise, au-delà du lien éventuel qui unirait cette dernière à l’État</w:t>
      </w:r>
      <w:r>
        <w:t>.</w:t>
      </w:r>
    </w:p>
  </w:footnote>
  <w:footnote w:id="48">
    <w:p w14:paraId="67A3C1E3" w14:textId="0C65C7C1" w:rsidR="000D6C77" w:rsidRPr="00022216" w:rsidRDefault="000D6C77" w:rsidP="000001B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{"citationID":"N104uEi5","properties":{"formattedCitation":"S. {\\scaps Hennette-Vauchez} et V. {\\scaps Valentin}, {\\i{}L\\uc0\\u8217{}affaire Baby Loup ou la Nouvelle La\\uc0\\u239{}cit\\uc0\\u233{}}, {\\i{}op. cit.}, p. 59.","plainCitation":"S. Hennette-Vauchez et V. Valentin, L’affaire Baby Loup ou la Nouvelle Laïcité, op. cit., p. 59.","noteIndex":56},"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Laïcité","author":[{"family":"Hennette-Vauchez","given":"Stéphanie"},{"family":"Valentin","given":"Vincent"}],"issued":{"date-parts":[["2014"]]}},"locator":"59"}],"schema":"https://github.com/citation-style-language/schema/raw/master/csl-citation.json"} </w:instrText>
      </w:r>
      <w:r w:rsidRPr="00022216">
        <w:rPr>
          <w:rFonts w:cs="Times New Roman"/>
        </w:rPr>
        <w:fldChar w:fldCharType="separate"/>
      </w:r>
      <w:r w:rsidRPr="00997CF3">
        <w:rPr>
          <w:rFonts w:cs="Times New Roman"/>
          <w:szCs w:val="24"/>
        </w:rPr>
        <w:t xml:space="preserve">S. </w:t>
      </w:r>
      <w:r w:rsidRPr="00997CF3">
        <w:rPr>
          <w:rFonts w:cs="Times New Roman"/>
          <w:smallCaps/>
          <w:szCs w:val="24"/>
        </w:rPr>
        <w:t>Hennette-Vauchez</w:t>
      </w:r>
      <w:r w:rsidRPr="00997CF3">
        <w:rPr>
          <w:rFonts w:cs="Times New Roman"/>
          <w:szCs w:val="24"/>
        </w:rPr>
        <w:t xml:space="preserve"> et V. </w:t>
      </w:r>
      <w:r w:rsidRPr="00997CF3">
        <w:rPr>
          <w:rFonts w:cs="Times New Roman"/>
          <w:smallCaps/>
          <w:szCs w:val="24"/>
        </w:rPr>
        <w:t>Valentin</w:t>
      </w:r>
      <w:r w:rsidRPr="00997CF3">
        <w:rPr>
          <w:rFonts w:cs="Times New Roman"/>
          <w:szCs w:val="24"/>
        </w:rPr>
        <w:t xml:space="preserve">, </w:t>
      </w:r>
      <w:r w:rsidRPr="00997CF3">
        <w:rPr>
          <w:rFonts w:cs="Times New Roman"/>
          <w:i/>
          <w:iCs/>
          <w:szCs w:val="24"/>
        </w:rPr>
        <w:t>L’affaire Baby Loup ou la Nouvelle Laïcité</w:t>
      </w:r>
      <w:r w:rsidRPr="00997CF3">
        <w:rPr>
          <w:rFonts w:cs="Times New Roman"/>
          <w:szCs w:val="24"/>
        </w:rPr>
        <w:t xml:space="preserve">, </w:t>
      </w:r>
      <w:r w:rsidRPr="00997CF3">
        <w:rPr>
          <w:rFonts w:cs="Times New Roman"/>
          <w:i/>
          <w:iCs/>
          <w:szCs w:val="24"/>
        </w:rPr>
        <w:t xml:space="preserve">op. </w:t>
      </w:r>
      <w:proofErr w:type="spellStart"/>
      <w:r w:rsidRPr="00997CF3">
        <w:rPr>
          <w:rFonts w:cs="Times New Roman"/>
          <w:i/>
          <w:iCs/>
          <w:szCs w:val="24"/>
        </w:rPr>
        <w:t>cit</w:t>
      </w:r>
      <w:proofErr w:type="spellEnd"/>
      <w:r w:rsidRPr="00997CF3">
        <w:rPr>
          <w:rFonts w:cs="Times New Roman"/>
          <w:i/>
          <w:iCs/>
          <w:szCs w:val="24"/>
        </w:rPr>
        <w:t>.</w:t>
      </w:r>
      <w:r w:rsidRPr="00997CF3">
        <w:rPr>
          <w:rFonts w:cs="Times New Roman"/>
          <w:szCs w:val="24"/>
        </w:rPr>
        <w:t>, p. 59.</w:t>
      </w:r>
      <w:r w:rsidRPr="00022216">
        <w:rPr>
          <w:rFonts w:cs="Times New Roman"/>
        </w:rPr>
        <w:fldChar w:fldCharType="end"/>
      </w:r>
      <w:r w:rsidRPr="00022216">
        <w:rPr>
          <w:rFonts w:cs="Times New Roman"/>
        </w:rPr>
        <w:t xml:space="preserve"> Selon les auteurs, la neutralité transposée de l’</w:t>
      </w:r>
      <w:r>
        <w:rPr>
          <w:rFonts w:cs="Times New Roman"/>
        </w:rPr>
        <w:t>État</w:t>
      </w:r>
      <w:r w:rsidRPr="00022216">
        <w:rPr>
          <w:rFonts w:cs="Times New Roman"/>
        </w:rPr>
        <w:t xml:space="preserve"> à l’entreprise traduit, dans un certain sens, une tendance selon laquelle « le privé se publicise » </w:t>
      </w:r>
      <w:r w:rsidRPr="00022216">
        <w:rPr>
          <w:rFonts w:cs="Times New Roman"/>
        </w:rPr>
        <w:fldChar w:fldCharType="begin"/>
      </w:r>
      <w:r>
        <w:rPr>
          <w:rFonts w:cs="Times New Roman"/>
        </w:rPr>
        <w:instrText xml:space="preserve"> ADDIN ZOTERO_ITEM CSL_CITATION {"citationID":"ysdoQGyi","properties":{"formattedCitation":"({\\i{}ibid.}, p. 22).","plainCitation":"(ibid., p. 22).","noteIndex":56},"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22","prefix":"(","suffix":")"}],"schema":"https://github.com/citation-style-language/schema/raw/master/csl-citation.json"} </w:instrText>
      </w:r>
      <w:r w:rsidRPr="00022216">
        <w:rPr>
          <w:rFonts w:cs="Times New Roman"/>
        </w:rPr>
        <w:fldChar w:fldCharType="separate"/>
      </w:r>
      <w:r w:rsidRPr="00022216">
        <w:rPr>
          <w:rFonts w:cs="Times New Roman"/>
        </w:rPr>
        <w:t>(</w:t>
      </w:r>
      <w:r w:rsidRPr="00022216">
        <w:rPr>
          <w:rFonts w:cs="Times New Roman"/>
          <w:i/>
          <w:iCs/>
        </w:rPr>
        <w:t>ibid.</w:t>
      </w:r>
      <w:r w:rsidRPr="00022216">
        <w:rPr>
          <w:rFonts w:cs="Times New Roman"/>
        </w:rPr>
        <w:t>, p. 22).</w:t>
      </w:r>
      <w:r w:rsidRPr="00022216">
        <w:rPr>
          <w:rFonts w:cs="Times New Roman"/>
        </w:rPr>
        <w:fldChar w:fldCharType="end"/>
      </w:r>
    </w:p>
  </w:footnote>
  <w:footnote w:id="49">
    <w:p w14:paraId="462C4C7A" w14:textId="34AC8001" w:rsidR="000D6C77" w:rsidRPr="00233F3D" w:rsidRDefault="000D6C77">
      <w:pPr>
        <w:pStyle w:val="Notedebasdepage"/>
      </w:pPr>
      <w:r>
        <w:rPr>
          <w:rStyle w:val="Appelnotedebasdep"/>
        </w:rPr>
        <w:footnoteRef/>
      </w:r>
      <w:r>
        <w:t xml:space="preserve"> Sur l’idée de laïcité narrative, en tant que conception distincte de la réalité juridique de la laïcité qui réduirait le concept à la seule idée de neutralité, </w:t>
      </w:r>
      <w:proofErr w:type="spellStart"/>
      <w:r>
        <w:t>voy</w:t>
      </w:r>
      <w:proofErr w:type="spellEnd"/>
      <w:r>
        <w:t xml:space="preserve">., </w:t>
      </w:r>
      <w:r>
        <w:rPr>
          <w:i/>
          <w:iCs/>
        </w:rPr>
        <w:t>infra</w:t>
      </w:r>
      <w:r>
        <w:t xml:space="preserve">, para. </w:t>
      </w:r>
      <w:r>
        <w:fldChar w:fldCharType="begin"/>
      </w:r>
      <w:r>
        <w:instrText xml:space="preserve"> REF _Ref120973043 \r \h </w:instrText>
      </w:r>
      <w:r>
        <w:fldChar w:fldCharType="separate"/>
      </w:r>
      <w:r>
        <w:t>133</w:t>
      </w:r>
      <w:r>
        <w:fldChar w:fldCharType="end"/>
      </w:r>
      <w:r>
        <w:t>.</w:t>
      </w:r>
    </w:p>
  </w:footnote>
  <w:footnote w:id="50">
    <w:p w14:paraId="3B29A76C" w14:textId="13B8FD45" w:rsidR="000D6C77" w:rsidRPr="00DB1D47" w:rsidRDefault="000D6C77" w:rsidP="000C7250">
      <w:pPr>
        <w:pStyle w:val="Notedebasdepage"/>
        <w:rPr>
          <w:rFonts w:cs="Times New Roman"/>
        </w:rPr>
      </w:pPr>
      <w:r w:rsidRPr="00022216">
        <w:rPr>
          <w:rStyle w:val="Appelnotedebasdep"/>
          <w:rFonts w:cs="Times New Roman"/>
        </w:rPr>
        <w:footnoteRef/>
      </w:r>
      <w:r w:rsidRPr="00022216">
        <w:rPr>
          <w:rFonts w:cs="Times New Roman"/>
        </w:rPr>
        <w:t xml:space="preserve"> L’éventail </w:t>
      </w:r>
      <w:r>
        <w:rPr>
          <w:rFonts w:cs="Times New Roman"/>
        </w:rPr>
        <w:t xml:space="preserve">et l’ampleur </w:t>
      </w:r>
      <w:r w:rsidRPr="00022216">
        <w:rPr>
          <w:rFonts w:cs="Times New Roman"/>
        </w:rPr>
        <w:t>de</w:t>
      </w:r>
      <w:r>
        <w:rPr>
          <w:rFonts w:cs="Times New Roman"/>
        </w:rPr>
        <w:t>s</w:t>
      </w:r>
      <w:r w:rsidRPr="00022216">
        <w:rPr>
          <w:rFonts w:cs="Times New Roman"/>
        </w:rPr>
        <w:t xml:space="preserve"> droits fondamentaux reconnus à l’entreprise ne peut toutefois être assimilé à l’ensemble des droits fondamentaux dont dispose une personne physique</w:t>
      </w:r>
      <w:r>
        <w:rPr>
          <w:rFonts w:cs="Times New Roman"/>
        </w:rPr>
        <w:t xml:space="preserve"> : </w:t>
      </w:r>
      <w:r>
        <w:t xml:space="preserve">du fait à la fois de sa nature abstraite et de sa visée lucrative, l’entreprise ne peut se prévaloir d’une protection équivalente à celle que connaissent les personnes physiques ou même d’autres personnes morales. Sur ce point, </w:t>
      </w:r>
      <w:proofErr w:type="spellStart"/>
      <w:r>
        <w:t>voy</w:t>
      </w:r>
      <w:proofErr w:type="spellEnd"/>
      <w:r>
        <w:t xml:space="preserve">. </w:t>
      </w:r>
      <w:r w:rsidRPr="00022216">
        <w:rPr>
          <w:rFonts w:cs="Times New Roman"/>
        </w:rPr>
        <w:fldChar w:fldCharType="begin"/>
      </w:r>
      <w:r>
        <w:rPr>
          <w:rFonts w:cs="Times New Roman"/>
        </w:rPr>
        <w:instrText xml:space="preserve"> ADDIN ZOTERO_ITEM CSL_CITATION {"citationID":"WAx1Mvf0","properties":{"formattedCitation":"J.-P. {\\scaps Tricoit}, \\uc0\\u171{}\\uc0\\u160{}L\\uc0\\u8217{}entreprise, titulaire de droits fondamentaux\\uc0\\u160{}\\uc0\\u187{}, {\\i{}Journal europ\\uc0\\u233{}en des droits de l\\uc0\\u8217{}homme}, 2013, n\\uc0\\u176{} 1, pp. 105\\uc0\\u8209{}106.","plainCitation":"J.-P. Tricoit, « L’entreprise, titulaire de droits fondamentaux », Journal européen des droits de l’homme, 2013, n° 1, pp. 105‑106.","noteIndex":58},"citationItems":[{"id":1588,"uris":["http://zotero.org/users/5133869/items/ATYRN94F"],"itemData":{"id":1588,"type":"article-journal","container-title":"Journal européen des droits de l'homme","issue":"1","page":"101-108","title":"L’entreprise, titulaire de droits fondamentaux","author":[{"family":"Tricoit","given":"J.-Ph"}],"issued":{"date-parts":[["2013"]]}},"locator":"105-106"}],"schema":"https://github.com/citation-style-language/schema/raw/master/csl-citation.json"} </w:instrText>
      </w:r>
      <w:r w:rsidRPr="00022216">
        <w:rPr>
          <w:rFonts w:cs="Times New Roman"/>
        </w:rPr>
        <w:fldChar w:fldCharType="separate"/>
      </w:r>
      <w:r w:rsidRPr="00ED3787">
        <w:rPr>
          <w:rFonts w:cs="Times New Roman"/>
          <w:szCs w:val="24"/>
        </w:rPr>
        <w:t xml:space="preserve">J.-P. </w:t>
      </w:r>
      <w:proofErr w:type="spellStart"/>
      <w:r w:rsidRPr="00ED3787">
        <w:rPr>
          <w:rFonts w:cs="Times New Roman"/>
          <w:smallCaps/>
          <w:szCs w:val="24"/>
        </w:rPr>
        <w:t>Tricoit</w:t>
      </w:r>
      <w:proofErr w:type="spellEnd"/>
      <w:r w:rsidRPr="00ED3787">
        <w:rPr>
          <w:rFonts w:cs="Times New Roman"/>
          <w:szCs w:val="24"/>
        </w:rPr>
        <w:t xml:space="preserve">, « L’entreprise, titulaire de droits fondamentaux », </w:t>
      </w:r>
      <w:r w:rsidRPr="00ED3787">
        <w:rPr>
          <w:rFonts w:cs="Times New Roman"/>
          <w:i/>
          <w:iCs/>
          <w:szCs w:val="24"/>
        </w:rPr>
        <w:t>Journal européen des droits de l’homme</w:t>
      </w:r>
      <w:r w:rsidRPr="00ED3787">
        <w:rPr>
          <w:rFonts w:cs="Times New Roman"/>
          <w:szCs w:val="24"/>
        </w:rPr>
        <w:t>, 2013, n° 1, pp. 105‑106.</w:t>
      </w:r>
      <w:r w:rsidRPr="00022216">
        <w:rPr>
          <w:rFonts w:cs="Times New Roman"/>
        </w:rPr>
        <w:fldChar w:fldCharType="end"/>
      </w:r>
    </w:p>
  </w:footnote>
  <w:footnote w:id="51">
    <w:p w14:paraId="07B520AA" w14:textId="67F8708D" w:rsidR="000D6C77" w:rsidRPr="000A5817" w:rsidRDefault="000D6C77" w:rsidP="003B41F6">
      <w:pPr>
        <w:pStyle w:val="Notedebasdepage"/>
      </w:pPr>
      <w:bookmarkStart w:id="6" w:name="_Ref48141869"/>
      <w:r w:rsidRPr="00C62BED">
        <w:rPr>
          <w:rStyle w:val="Appelnotedebasdep"/>
        </w:rPr>
        <w:footnoteRef/>
      </w:r>
      <w:r w:rsidRPr="000A5817">
        <w:t xml:space="preserve"> </w:t>
      </w:r>
      <w:r w:rsidRPr="00B8361A">
        <w:t xml:space="preserve">CourEDH, arrêt </w:t>
      </w:r>
      <w:proofErr w:type="spellStart"/>
      <w:r w:rsidRPr="00B8361A">
        <w:rPr>
          <w:i/>
        </w:rPr>
        <w:t>Eweida</w:t>
      </w:r>
      <w:proofErr w:type="spellEnd"/>
      <w:r w:rsidRPr="00B8361A">
        <w:rPr>
          <w:i/>
        </w:rPr>
        <w:t xml:space="preserve"> </w:t>
      </w:r>
      <w:r>
        <w:rPr>
          <w:i/>
        </w:rPr>
        <w:t>e.a.</w:t>
      </w:r>
      <w:r w:rsidRPr="00B8361A">
        <w:rPr>
          <w:i/>
        </w:rPr>
        <w:t xml:space="preserve"> c. Royaume-Uni</w:t>
      </w:r>
      <w:r w:rsidRPr="00B8361A">
        <w:t xml:space="preserve">, 15 janvier 2013, </w:t>
      </w:r>
      <w:r w:rsidRPr="000A5817">
        <w:t>para. 83</w:t>
      </w:r>
      <w:r>
        <w:t> : « </w:t>
      </w:r>
      <w:r w:rsidRPr="000A5817">
        <w:t>dans les cas de restrictions imposées par l’employeur à la possibilité pour l’employé de se livrer à des pratiques religieuses, la Commission a conclu dans plusieurs décisions à l’absence d’ingérence dans l’exercice de la liberté de religion du requérant au motif que celui-ci pouvait démissionner de ses fonctions et trouver un autre travail</w:t>
      </w:r>
      <w:r>
        <w:t>.</w:t>
      </w:r>
      <w:r w:rsidRPr="000A5817">
        <w:t xml:space="preserve"> </w:t>
      </w:r>
      <w:r>
        <w:t>[…]</w:t>
      </w:r>
      <w:r w:rsidRPr="000A5817">
        <w:t xml:space="preserve"> Vu l’importance que revêt la liberté de religion dans une société démocratique</w:t>
      </w:r>
      <w:r>
        <w:fldChar w:fldCharType="begin"/>
      </w:r>
      <w:r>
        <w:instrText xml:space="preserve"> XE "</w:instrText>
      </w:r>
      <w:r w:rsidRPr="005F6D4C">
        <w:rPr>
          <w:rFonts w:ascii="Cambria" w:eastAsia="Times New Roman" w:hAnsi="Cambria" w:cs="Calibri"/>
          <w:color w:val="000000"/>
          <w:lang w:eastAsia="fr-BE"/>
        </w:rPr>
        <w:instrText>Démocratie"</w:instrText>
      </w:r>
      <w:r>
        <w:instrText xml:space="preserve"> </w:instrText>
      </w:r>
      <w:r>
        <w:fldChar w:fldCharType="end"/>
      </w:r>
      <w:r w:rsidRPr="000A5817">
        <w:t>, la Cour considère que, dès lors qu’il est tiré grief d’une restriction à cette liberté sur le lieu de travail, plutôt que de dire que la possibilité de changer d’emploi exclurait toute ingérence dans l’exercice du droit en question, il vaut mieux apprécier cette possibilité parmi toutes les circonstances mises en balance lorsqu’est examiné le caractère proportionné de la restriction.</w:t>
      </w:r>
      <w:r>
        <w:t> »</w:t>
      </w:r>
      <w:bookmarkEnd w:id="6"/>
    </w:p>
  </w:footnote>
  <w:footnote w:id="52">
    <w:p w14:paraId="1F9A239D" w14:textId="0C623A4C" w:rsidR="000D6C77" w:rsidRPr="007D4B7A" w:rsidRDefault="000D6C77">
      <w:pPr>
        <w:pStyle w:val="Notedebasdepage"/>
      </w:pPr>
      <w:r>
        <w:rPr>
          <w:rStyle w:val="Appelnotedebasdep"/>
        </w:rPr>
        <w:footnoteRef/>
      </w:r>
      <w:r>
        <w:t xml:space="preserve"> Nous verrons toutefois, en seconde partie, que les politiques de neutralité d’entreprise ciblent souvent aussi d’autres convictions, en particulier politiques, à des fins de restriction. Cet élargissement soulève des questions spécifiques sur le plan de la non-discrimination.</w:t>
      </w:r>
    </w:p>
  </w:footnote>
  <w:footnote w:id="53">
    <w:p w14:paraId="359535DA" w14:textId="58B77BA1" w:rsidR="000D6C77" w:rsidRPr="00D4170F" w:rsidRDefault="000D6C77" w:rsidP="00E71EC3">
      <w:pPr>
        <w:pStyle w:val="Notedebasdepage"/>
      </w:pPr>
      <w:r>
        <w:rPr>
          <w:rStyle w:val="Appelnotedebasdep"/>
        </w:rPr>
        <w:footnoteRef/>
      </w:r>
      <w:r w:rsidRPr="00137D68">
        <w:t xml:space="preserve"> Par référence à la </w:t>
      </w:r>
      <w:r>
        <w:t>« religion », nous entendons englober, dans cette étude, l’ensemble des convictions – religieuses ou non – couvertes par le terme de religion, tel que visé à l’article 9 de la CEDH.</w:t>
      </w:r>
    </w:p>
  </w:footnote>
  <w:footnote w:id="54">
    <w:p w14:paraId="38575C2F" w14:textId="77777777" w:rsidR="000D6C77" w:rsidRPr="00022216" w:rsidRDefault="000D6C77" w:rsidP="001D4EBF">
      <w:pPr>
        <w:pStyle w:val="Notedebasdepage"/>
        <w:rPr>
          <w:rFonts w:cs="Times New Roman"/>
        </w:rPr>
      </w:pPr>
      <w:r w:rsidRPr="00022216">
        <w:rPr>
          <w:rStyle w:val="Appelnotedebasdep"/>
          <w:rFonts w:cs="Times New Roman"/>
        </w:rPr>
        <w:footnoteRef/>
      </w:r>
      <w:r w:rsidRPr="00022216">
        <w:rPr>
          <w:rFonts w:cs="Times New Roman"/>
        </w:rPr>
        <w:t xml:space="preserve"> Notons que la Charte de l’UE reprend exactement la même formulation en son article 10.</w:t>
      </w:r>
    </w:p>
  </w:footnote>
  <w:footnote w:id="55">
    <w:p w14:paraId="0A784B5F" w14:textId="29ADD95A" w:rsidR="000D6C77" w:rsidRPr="00955C72" w:rsidRDefault="000D6C77" w:rsidP="001D4EBF">
      <w:pPr>
        <w:pStyle w:val="Notedebasdepage"/>
        <w:rPr>
          <w:rFonts w:cs="Times New Roman"/>
          <w:lang w:val="en-GB"/>
        </w:rPr>
      </w:pPr>
      <w:r w:rsidRPr="00022216">
        <w:rPr>
          <w:rStyle w:val="Appelnotedebasdep"/>
          <w:rFonts w:cs="Times New Roman"/>
        </w:rPr>
        <w:footnoteRef/>
      </w:r>
      <w:r w:rsidRPr="00955C72">
        <w:rPr>
          <w:rFonts w:cs="Times New Roman"/>
          <w:lang w:val="en-GB"/>
        </w:rPr>
        <w:t xml:space="preserve"> Directive 2000/78</w:t>
      </w:r>
      <w:r w:rsidRPr="008D517D">
        <w:rPr>
          <w:lang w:val="en-GB"/>
        </w:rPr>
        <w:t>/CE</w:t>
      </w:r>
      <w:r w:rsidRPr="00955C72">
        <w:rPr>
          <w:rFonts w:cs="Times New Roman"/>
          <w:lang w:val="en-GB"/>
        </w:rPr>
        <w:t>, art. 1</w:t>
      </w:r>
      <w:r w:rsidRPr="00955C72">
        <w:rPr>
          <w:rFonts w:cs="Times New Roman"/>
          <w:vertAlign w:val="superscript"/>
          <w:lang w:val="en-GB"/>
        </w:rPr>
        <w:t>er</w:t>
      </w:r>
      <w:r w:rsidRPr="00955C72">
        <w:rPr>
          <w:rFonts w:cs="Times New Roman"/>
          <w:lang w:val="en-GB"/>
        </w:rPr>
        <w:t>.</w:t>
      </w:r>
    </w:p>
  </w:footnote>
  <w:footnote w:id="56">
    <w:p w14:paraId="36C2CBD7" w14:textId="3EC5F041" w:rsidR="000D6C77" w:rsidRPr="00286A39" w:rsidRDefault="000D6C77" w:rsidP="00286A39">
      <w:pPr>
        <w:pStyle w:val="Notedebasdepage"/>
        <w:rPr>
          <w:rFonts w:cs="Times New Roman"/>
          <w:lang w:val="en-GB"/>
        </w:rPr>
      </w:pPr>
      <w:r w:rsidRPr="00022216">
        <w:rPr>
          <w:rStyle w:val="Appelnotedebasdep"/>
          <w:rFonts w:cs="Times New Roman"/>
        </w:rPr>
        <w:footnoteRef/>
      </w:r>
      <w:r w:rsidRPr="00286A39">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{"citationID":"Ta9oe1Ul","properties":{"formattedCitation":"T.J. {\\scaps Gunn}, \\uc0\\u171{}\\uc0\\u160{}The Complexity of Religion and the Definition of \\uc0\\u8220{}Religion\\uc0\\u8221{} in International Law\\uc0\\u160{}\\uc0\\u187{}, {\\i{}Harvard Human Rights Law Journal}, 2003, n\\uc0\\u176{} 16, p. 190.","plainCitation":"T.J. Gunn, « The Complexity of Religion and the Definition of “Religion” in International Law », Harvard Human Rights Law Journal, 2003, n° 16, p. 190.","noteIndex":65},"citationItems":[{"id":1413,"uris":["http://zotero.org/users/5133869/items/G6IWV5R5"],"itemData":{"id":1413,"type":"article-journal","container-title":"Harvard Human Rights Law Journal","issue":"16","page":"189-215","title":"The Complexity of Religion and the Definition of “Religion” in International Law","author":[{"family":"Gunn","given":"T.J"}],"issued":{"date-parts":[["2003"]]}},"locator":"190"}],"schema":"https://github.com/citation-style-language/schema/raw/master/csl-citation.json"} </w:instrText>
      </w:r>
      <w:r w:rsidRPr="00022216">
        <w:rPr>
          <w:rFonts w:cs="Times New Roman"/>
        </w:rPr>
        <w:fldChar w:fldCharType="separate"/>
      </w:r>
      <w:r w:rsidRPr="00286A39">
        <w:rPr>
          <w:rFonts w:cs="Times New Roman"/>
          <w:lang w:val="en-GB"/>
        </w:rPr>
        <w:t xml:space="preserve">T.J. </w:t>
      </w:r>
      <w:r w:rsidRPr="00286A39">
        <w:rPr>
          <w:rFonts w:cs="Times New Roman"/>
          <w:smallCaps/>
          <w:lang w:val="en-GB"/>
        </w:rPr>
        <w:t>Gunn</w:t>
      </w:r>
      <w:r w:rsidRPr="00286A39">
        <w:rPr>
          <w:rFonts w:cs="Times New Roman"/>
          <w:lang w:val="en-GB"/>
        </w:rPr>
        <w:t xml:space="preserve">, « The Complexity of Religion and the Definition of “Religion” in International Law », </w:t>
      </w:r>
      <w:r w:rsidRPr="00286A39">
        <w:rPr>
          <w:rFonts w:cs="Times New Roman"/>
          <w:i/>
          <w:iCs/>
          <w:lang w:val="en-GB"/>
        </w:rPr>
        <w:t>Harvard Human Rights Law Journal</w:t>
      </w:r>
      <w:r w:rsidRPr="00286A39">
        <w:rPr>
          <w:rFonts w:cs="Times New Roman"/>
          <w:lang w:val="en-GB"/>
        </w:rPr>
        <w:t>, 2003, n° 16, p. 190.</w:t>
      </w:r>
      <w:r w:rsidRPr="00022216">
        <w:rPr>
          <w:rFonts w:cs="Times New Roman"/>
        </w:rPr>
        <w:fldChar w:fldCharType="end"/>
      </w:r>
    </w:p>
  </w:footnote>
  <w:footnote w:id="57">
    <w:p w14:paraId="6A12BAC3" w14:textId="3B4DA387" w:rsidR="000D6C77" w:rsidRPr="00651F72" w:rsidRDefault="000D6C77" w:rsidP="00286A39">
      <w:pPr>
        <w:pStyle w:val="Notedebasdepage"/>
        <w:rPr>
          <w:rFonts w:cs="Times New Roman"/>
        </w:rPr>
      </w:pPr>
      <w:r w:rsidRPr="00022216">
        <w:rPr>
          <w:rStyle w:val="Appelnotedebasdep"/>
          <w:rFonts w:cs="Times New Roman"/>
        </w:rPr>
        <w:footnoteRef/>
      </w:r>
      <w:r w:rsidRPr="00022216">
        <w:rPr>
          <w:rFonts w:cs="Times New Roman"/>
        </w:rPr>
        <w:t xml:space="preserve"> Sur ce point,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{"citationID":"CtyventI","properties":{"formattedCitation":"S. {\\scaps Balian}, {\\i{}Droit &amp; langage}, Paris, La Maison du Dictionnaire, 2018\\uc0\\u160{}; P. {\\scaps Brunet}, \\uc0\\u171{}\\uc0\\u160{}Alf Ross et la conception r\\uc0\\u233{}f\\uc0\\u233{}rentielle de la signification en droit\\uc0\\u160{}\\uc0\\u187{}, {\\i{}Droit et soci\\uc0\\u233{}t\\uc0\\u233{}}, 2002, vol. 50, n\\uc0\\u176{} 1, pp. 19\\uc0\\u8209{}29.","plainCitation":"S. Balian, Droit &amp; langage, Paris, La Maison du Dictionnaire, 2018 ; P. Brunet, « Alf Ross et la conception référentielle de la signification en droit », Droit et société, 2002, vol. 50, n° 1, pp. 19‑29.","noteIndex":66},"citationItems":[{"id":2318,"uris":["http://zotero.org/users/5133869/items/XVQFKRUI"],"itemData":{"id":2318,"type":"book","event-place":"Paris","ISBN":"978-2-85608-337-6","language":"French","note":"OCLC: 1027716173","publisher":"La Maison du Dictionnaire","publisher-place":"Paris","source":"Open WorldCat","title":"Droit &amp; langage","title-short":"Droit &amp; langage","author":[{"family":"Balian","given":"Serge"}],"issued":{"date-parts":[["2018"]]}}},{"id":296,"uris":["http://zotero.org/users/5133869/items/QWSQHLIJ"],"itemData":{"id":296,"type":"article-journal","container-title":"Droit et société","issue":"1","page":"19-29","title":"Alf Ross et la conception référentielle de la signification en droit","volume":"50","author":[{"family":"Brunet","given":"Pierre"}],"issued":{"date-parts":[["2002"]]}}}],"schema":"https://github.com/citation-style-language/schema/raw/master/csl-citation.json"} </w:instrText>
      </w:r>
      <w:r w:rsidRPr="00022216">
        <w:rPr>
          <w:rFonts w:cs="Times New Roman"/>
        </w:rPr>
        <w:fldChar w:fldCharType="separate"/>
      </w:r>
      <w:r w:rsidRPr="0068047A">
        <w:rPr>
          <w:rFonts w:cs="Times New Roman"/>
          <w:szCs w:val="24"/>
        </w:rPr>
        <w:t xml:space="preserve">S. </w:t>
      </w:r>
      <w:proofErr w:type="spellStart"/>
      <w:r w:rsidRPr="0068047A">
        <w:rPr>
          <w:rFonts w:cs="Times New Roman"/>
          <w:smallCaps/>
          <w:szCs w:val="24"/>
        </w:rPr>
        <w:t>Balian</w:t>
      </w:r>
      <w:proofErr w:type="spellEnd"/>
      <w:r w:rsidRPr="0068047A">
        <w:rPr>
          <w:rFonts w:cs="Times New Roman"/>
          <w:szCs w:val="24"/>
        </w:rPr>
        <w:t xml:space="preserve">, </w:t>
      </w:r>
      <w:r w:rsidRPr="0068047A">
        <w:rPr>
          <w:rFonts w:cs="Times New Roman"/>
          <w:i/>
          <w:iCs/>
          <w:szCs w:val="24"/>
        </w:rPr>
        <w:t>Droit &amp; langage</w:t>
      </w:r>
      <w:r w:rsidRPr="0068047A">
        <w:rPr>
          <w:rFonts w:cs="Times New Roman"/>
          <w:szCs w:val="24"/>
        </w:rPr>
        <w:t xml:space="preserve">, Paris, La Maison du Dictionnaire, 2018 ; P. </w:t>
      </w:r>
      <w:r w:rsidRPr="0068047A">
        <w:rPr>
          <w:rFonts w:cs="Times New Roman"/>
          <w:smallCaps/>
          <w:szCs w:val="24"/>
        </w:rPr>
        <w:t>Brunet</w:t>
      </w:r>
      <w:r w:rsidRPr="0068047A">
        <w:rPr>
          <w:rFonts w:cs="Times New Roman"/>
          <w:szCs w:val="24"/>
        </w:rPr>
        <w:t xml:space="preserve">, « Alf Ross et la conception référentielle de la signification en droit », </w:t>
      </w:r>
      <w:r w:rsidRPr="0068047A">
        <w:rPr>
          <w:rFonts w:cs="Times New Roman"/>
          <w:i/>
          <w:iCs/>
          <w:szCs w:val="24"/>
        </w:rPr>
        <w:t>Droit et société</w:t>
      </w:r>
      <w:r w:rsidRPr="0068047A">
        <w:rPr>
          <w:rFonts w:cs="Times New Roman"/>
          <w:szCs w:val="24"/>
        </w:rPr>
        <w:t>, 2002, vol. 50, n° 1, pp. 19‑29.</w:t>
      </w:r>
      <w:r w:rsidRPr="00022216">
        <w:rPr>
          <w:rFonts w:cs="Times New Roman"/>
        </w:rPr>
        <w:fldChar w:fldCharType="end"/>
      </w:r>
    </w:p>
  </w:footnote>
  <w:footnote w:id="58">
    <w:p w14:paraId="5CD121D2" w14:textId="037DADC7" w:rsidR="000D6C77" w:rsidRPr="00122D37" w:rsidRDefault="000D6C77" w:rsidP="00122D37">
      <w:pPr>
        <w:pStyle w:val="Notedebasdepage"/>
        <w:rPr>
          <w:rFonts w:cs="Times New Roman"/>
          <w:lang w:val="en-GB"/>
        </w:rPr>
      </w:pPr>
      <w:r w:rsidRPr="00022216">
        <w:rPr>
          <w:rStyle w:val="Appelnotedebasdep"/>
          <w:rFonts w:cs="Times New Roman"/>
        </w:rPr>
        <w:footnoteRef/>
      </w:r>
      <w:r w:rsidRPr="00122D37">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{"citationID":"k2RtouLQ","properties":{"formattedCitation":"A. {\\scaps Jamal}, \\uc0\\u171{}\\uc0\\u160{}The impact of definitional issues on the right of freedom of religion and belief\\uc0\\u160{}\\uc0\\u187{}, {\\i{}in} S. {\\scaps Ferrari} (\\uc0\\u233{}d.), {\\i{}Handbook of Law and Religion}, New York, Routledge, 2015, p. 91\\uc0\\u160{}; J.-M. {\\scaps Woehrling}, \\uc0\\u171{}\\uc0\\u160{}Religion (d\\uc0\\u233{}finition)\\uc0\\u160{}\\uc0\\u187{}, {\\i{}in} F. {\\scaps Messner} (\\uc0\\u233{}d.), {\\i{}Dictionnaire de droit des religions}, Paris, CNRS \\uc0\\u233{}ditions, 2010, p. 618\\uc0\\u160{}; G. {\\scaps van der}\\uc0\\u160{}{\\scaps Schyff}, \\uc0\\u171{}\\uc0\\u160{}The Legal Definition of Religion and its Application\\uc0\\u160{}\\uc0\\u187{}, {\\i{}The South African Law Journal}, 2002, vol. 199, p. 289.","plainCitation":"A. Jamal, « The impact of definitional issues on the right of freedom of religion and belief », in S. Ferrari (éd.), Handbook of Law and Religion, New York, Routledge, 2015, p. 91 ; J.-M. Woehrling, « Religion (définition) », in F. Messner (éd.), Dictionnaire de droit des religions, Paris, CNRS éditions, 2010, p. 618 ; G. van der Schyff, « The Legal Definition of Religion and its Application », The South African Law Journal, 2002, vol. 199, p. 289.","noteIndex":67},"citationItems":[{"id":1257,"uris":["http://zotero.org/users/5133869/items/8XTC7DB8"],"itemData":{"id":1257,"type":"chapter","container-title":"Handbook of Law and Religion","event-place":"New York","page":"246-262","publisher":"Routledge","publisher-place":"New York","title":"The impact of definitional issues on the right of freedom of religion and belief","author":[{"family":"Jamal","given":"A"}],"editor":[{"family":"Ferrari","given":"Silvio"}],"issued":{"date-parts":[["2015"]]}},"locator":"91"},{"id":2316,"uris":["http://zotero.org/users/5133869/items/F3C4YW2G"],"itemData":{"id":2316,"type":"chapter","call-number":"K3280 .D76 2010","container-title":"Dictionnaire de droit des religions","event-place":"Paris","ISBN":"978-2-271-07112-5","note":"OCLC: ocn703208921","page":"615-620","publisher":"CNRS éditions","publisher-place":"Paris","source":"Library of Congress ISBN","title":"Religion (définition)","editor":[{"family":"Messner","given":"Francis"}],"author":[{"family":"Woehrling","given":"Jean-Marie"}],"issued":{"date-parts":[["2010"]]}},"locator":"618"},{"id":1577,"uris":["http://zotero.org/users/5133869/items/EJIVMQJR"],"itemData":{"id":1577,"type":"article-journal","container-title":"The South African Law Journal","page":"288-294","title":"The Legal Definition of Religion and its Application","volume":"199","author":[{"family":"Schyff","given":"G","non-dropping-particle":"van der"}],"issued":{"date-parts":[["2002"]]}},"locator":"289"}],"schema":"https://github.com/citation-style-language/schema/raw/master/csl-citation.json"} </w:instrText>
      </w:r>
      <w:r w:rsidRPr="00022216">
        <w:rPr>
          <w:rFonts w:cs="Times New Roman"/>
        </w:rPr>
        <w:fldChar w:fldCharType="separate"/>
      </w:r>
      <w:r w:rsidRPr="008D517D">
        <w:rPr>
          <w:rFonts w:cs="Times New Roman"/>
          <w:szCs w:val="24"/>
          <w:lang w:val="en-US"/>
        </w:rPr>
        <w:t xml:space="preserve">A. </w:t>
      </w:r>
      <w:r w:rsidRPr="008D517D">
        <w:rPr>
          <w:rFonts w:cs="Times New Roman"/>
          <w:smallCaps/>
          <w:szCs w:val="24"/>
          <w:lang w:val="en-US"/>
        </w:rPr>
        <w:t>Jamal</w:t>
      </w:r>
      <w:r w:rsidRPr="008D517D">
        <w:rPr>
          <w:rFonts w:cs="Times New Roman"/>
          <w:szCs w:val="24"/>
          <w:lang w:val="en-US"/>
        </w:rPr>
        <w:t xml:space="preserve">, « The impact of definitional issues on the right of freedom of religion and belief », </w:t>
      </w:r>
      <w:r w:rsidRPr="008D517D">
        <w:rPr>
          <w:rFonts w:cs="Times New Roman"/>
          <w:i/>
          <w:iCs/>
          <w:szCs w:val="24"/>
          <w:lang w:val="en-US"/>
        </w:rPr>
        <w:t>in</w:t>
      </w:r>
      <w:r w:rsidRPr="008D517D">
        <w:rPr>
          <w:rFonts w:cs="Times New Roman"/>
          <w:szCs w:val="24"/>
          <w:lang w:val="en-US"/>
        </w:rPr>
        <w:t xml:space="preserve"> S. </w:t>
      </w:r>
      <w:r w:rsidRPr="008D517D">
        <w:rPr>
          <w:rFonts w:cs="Times New Roman"/>
          <w:smallCaps/>
          <w:szCs w:val="24"/>
          <w:lang w:val="en-US"/>
        </w:rPr>
        <w:t>Ferrari</w:t>
      </w:r>
      <w:r w:rsidRPr="008D517D">
        <w:rPr>
          <w:rFonts w:cs="Times New Roman"/>
          <w:szCs w:val="24"/>
          <w:lang w:val="en-US"/>
        </w:rPr>
        <w:t xml:space="preserve"> (</w:t>
      </w:r>
      <w:proofErr w:type="spellStart"/>
      <w:r w:rsidRPr="008D517D">
        <w:rPr>
          <w:rFonts w:cs="Times New Roman"/>
          <w:szCs w:val="24"/>
          <w:lang w:val="en-US"/>
        </w:rPr>
        <w:t>éd</w:t>
      </w:r>
      <w:proofErr w:type="spellEnd"/>
      <w:r w:rsidRPr="008D517D">
        <w:rPr>
          <w:rFonts w:cs="Times New Roman"/>
          <w:szCs w:val="24"/>
          <w:lang w:val="en-US"/>
        </w:rPr>
        <w:t xml:space="preserve">.), </w:t>
      </w:r>
      <w:r w:rsidRPr="008D517D">
        <w:rPr>
          <w:rFonts w:cs="Times New Roman"/>
          <w:i/>
          <w:iCs/>
          <w:szCs w:val="24"/>
          <w:lang w:val="en-US"/>
        </w:rPr>
        <w:t>Handbook of Law and Religion</w:t>
      </w:r>
      <w:r w:rsidRPr="008D517D">
        <w:rPr>
          <w:rFonts w:cs="Times New Roman"/>
          <w:szCs w:val="24"/>
          <w:lang w:val="en-US"/>
        </w:rPr>
        <w:t xml:space="preserve">, New York, Routledge, 2015, p. 91 ; J.-M. </w:t>
      </w:r>
      <w:proofErr w:type="spellStart"/>
      <w:r w:rsidRPr="008D517D">
        <w:rPr>
          <w:rFonts w:cs="Times New Roman"/>
          <w:smallCaps/>
          <w:szCs w:val="24"/>
          <w:lang w:val="en-US"/>
        </w:rPr>
        <w:t>Woehrling</w:t>
      </w:r>
      <w:proofErr w:type="spellEnd"/>
      <w:r w:rsidRPr="008D517D">
        <w:rPr>
          <w:rFonts w:cs="Times New Roman"/>
          <w:szCs w:val="24"/>
          <w:lang w:val="en-US"/>
        </w:rPr>
        <w:t>, « Religion (</w:t>
      </w:r>
      <w:proofErr w:type="spellStart"/>
      <w:r w:rsidRPr="008D517D">
        <w:rPr>
          <w:rFonts w:cs="Times New Roman"/>
          <w:szCs w:val="24"/>
          <w:lang w:val="en-US"/>
        </w:rPr>
        <w:t>définition</w:t>
      </w:r>
      <w:proofErr w:type="spellEnd"/>
      <w:r w:rsidRPr="008D517D">
        <w:rPr>
          <w:rFonts w:cs="Times New Roman"/>
          <w:szCs w:val="24"/>
          <w:lang w:val="en-US"/>
        </w:rPr>
        <w:t xml:space="preserve">) », </w:t>
      </w:r>
      <w:r w:rsidRPr="008D517D">
        <w:rPr>
          <w:rFonts w:cs="Times New Roman"/>
          <w:i/>
          <w:iCs/>
          <w:szCs w:val="24"/>
          <w:lang w:val="en-US"/>
        </w:rPr>
        <w:t>in</w:t>
      </w:r>
      <w:r w:rsidRPr="008D517D">
        <w:rPr>
          <w:rFonts w:cs="Times New Roman"/>
          <w:szCs w:val="24"/>
          <w:lang w:val="en-US"/>
        </w:rPr>
        <w:t xml:space="preserve"> F. </w:t>
      </w:r>
      <w:r w:rsidRPr="008D517D">
        <w:rPr>
          <w:rFonts w:cs="Times New Roman"/>
          <w:smallCaps/>
          <w:szCs w:val="24"/>
          <w:lang w:val="en-US"/>
        </w:rPr>
        <w:t>Messner</w:t>
      </w:r>
      <w:r w:rsidRPr="008D517D">
        <w:rPr>
          <w:rFonts w:cs="Times New Roman"/>
          <w:szCs w:val="24"/>
          <w:lang w:val="en-US"/>
        </w:rPr>
        <w:t xml:space="preserve"> (</w:t>
      </w:r>
      <w:proofErr w:type="spellStart"/>
      <w:r w:rsidRPr="008D517D">
        <w:rPr>
          <w:rFonts w:cs="Times New Roman"/>
          <w:szCs w:val="24"/>
          <w:lang w:val="en-US"/>
        </w:rPr>
        <w:t>éd</w:t>
      </w:r>
      <w:proofErr w:type="spellEnd"/>
      <w:r w:rsidRPr="008D517D">
        <w:rPr>
          <w:rFonts w:cs="Times New Roman"/>
          <w:szCs w:val="24"/>
          <w:lang w:val="en-US"/>
        </w:rPr>
        <w:t xml:space="preserve">.), </w:t>
      </w:r>
      <w:proofErr w:type="spellStart"/>
      <w:r w:rsidRPr="008D517D">
        <w:rPr>
          <w:rFonts w:cs="Times New Roman"/>
          <w:i/>
          <w:iCs/>
          <w:szCs w:val="24"/>
          <w:lang w:val="en-US"/>
        </w:rPr>
        <w:t>Dictionnaire</w:t>
      </w:r>
      <w:proofErr w:type="spellEnd"/>
      <w:r w:rsidRPr="008D517D">
        <w:rPr>
          <w:rFonts w:cs="Times New Roman"/>
          <w:i/>
          <w:iCs/>
          <w:szCs w:val="24"/>
          <w:lang w:val="en-US"/>
        </w:rPr>
        <w:t xml:space="preserve"> de droit des religions</w:t>
      </w:r>
      <w:r w:rsidRPr="008D517D">
        <w:rPr>
          <w:rFonts w:cs="Times New Roman"/>
          <w:szCs w:val="24"/>
          <w:lang w:val="en-US"/>
        </w:rPr>
        <w:t xml:space="preserve">, Paris, CNRS </w:t>
      </w:r>
      <w:proofErr w:type="spellStart"/>
      <w:r w:rsidRPr="008D517D">
        <w:rPr>
          <w:rFonts w:cs="Times New Roman"/>
          <w:szCs w:val="24"/>
          <w:lang w:val="en-US"/>
        </w:rPr>
        <w:t>éditions</w:t>
      </w:r>
      <w:proofErr w:type="spellEnd"/>
      <w:r w:rsidRPr="008D517D">
        <w:rPr>
          <w:rFonts w:cs="Times New Roman"/>
          <w:szCs w:val="24"/>
          <w:lang w:val="en-US"/>
        </w:rPr>
        <w:t xml:space="preserve">, 2010, p. 618 ; G. </w:t>
      </w:r>
      <w:r w:rsidRPr="008D517D">
        <w:rPr>
          <w:rFonts w:cs="Times New Roman"/>
          <w:smallCaps/>
          <w:szCs w:val="24"/>
          <w:lang w:val="en-US"/>
        </w:rPr>
        <w:t>van der</w:t>
      </w:r>
      <w:r w:rsidRPr="008D517D">
        <w:rPr>
          <w:rFonts w:cs="Times New Roman"/>
          <w:szCs w:val="24"/>
          <w:lang w:val="en-US"/>
        </w:rPr>
        <w:t> </w:t>
      </w:r>
      <w:proofErr w:type="spellStart"/>
      <w:r w:rsidRPr="008D517D">
        <w:rPr>
          <w:rFonts w:cs="Times New Roman"/>
          <w:smallCaps/>
          <w:szCs w:val="24"/>
          <w:lang w:val="en-US"/>
        </w:rPr>
        <w:t>Schyff</w:t>
      </w:r>
      <w:proofErr w:type="spellEnd"/>
      <w:r w:rsidRPr="008D517D">
        <w:rPr>
          <w:rFonts w:cs="Times New Roman"/>
          <w:szCs w:val="24"/>
          <w:lang w:val="en-US"/>
        </w:rPr>
        <w:t xml:space="preserve">, « The Legal Definition of Religion and its Application », </w:t>
      </w:r>
      <w:r w:rsidRPr="008D517D">
        <w:rPr>
          <w:rFonts w:cs="Times New Roman"/>
          <w:i/>
          <w:iCs/>
          <w:szCs w:val="24"/>
          <w:lang w:val="en-US"/>
        </w:rPr>
        <w:t>The South African Law Journal</w:t>
      </w:r>
      <w:r w:rsidRPr="008D517D">
        <w:rPr>
          <w:rFonts w:cs="Times New Roman"/>
          <w:szCs w:val="24"/>
          <w:lang w:val="en-US"/>
        </w:rPr>
        <w:t>, 2002, vol. 199, p. 289.</w:t>
      </w:r>
      <w:r w:rsidRPr="00022216">
        <w:rPr>
          <w:rFonts w:cs="Times New Roman"/>
        </w:rPr>
        <w:fldChar w:fldCharType="end"/>
      </w:r>
    </w:p>
  </w:footnote>
  <w:footnote w:id="59">
    <w:p w14:paraId="5E12C940" w14:textId="12F28FDF" w:rsidR="000D6C77" w:rsidRPr="008D517D" w:rsidRDefault="000D6C77">
      <w:pPr>
        <w:pStyle w:val="Notedebasdepage"/>
        <w:rPr>
          <w:lang w:val="en-US"/>
        </w:rPr>
      </w:pPr>
      <w:r>
        <w:rPr>
          <w:rStyle w:val="Appelnotedebasdep"/>
        </w:rPr>
        <w:footnoteRef/>
      </w:r>
      <w:r w:rsidRPr="008D517D">
        <w:rPr>
          <w:lang w:val="en-US"/>
        </w:rPr>
        <w:t xml:space="preserve"> </w:t>
      </w:r>
      <w:r w:rsidRPr="00022216">
        <w:rPr>
          <w:rFonts w:cs="Times New Roman"/>
        </w:rPr>
        <w:fldChar w:fldCharType="begin"/>
      </w:r>
      <w:r>
        <w:rPr>
          <w:rFonts w:cs="Times New Roman"/>
          <w:lang w:val="en-GB"/>
        </w:rPr>
        <w:instrText xml:space="preserve"> ADDIN ZOTERO_ITEM CSL_CITATION {"citationID":"Xz94gzwW","properties":{"formattedCitation":"L. {\\scaps Peroni}, \\uc0\\u171{}\\uc0\\u160{}Deconstructing \\uc0\\u8216{}Legal\\uc0\\u8217{} Religion in Strasbourg\\uc0\\u160{}\\uc0\\u187{}, {\\i{}Oxford Journal of Law and Religion}, 2014, n\\uc0\\u176{} 2, p. 235.","plainCitation":"L. Peroni, « Deconstructing ‘Legal’ Religion in Strasbourg », Oxford Journal of Law and Religion, 2014, n° 2, p. 235.","noteIndex":69},"citationItems":[{"id":1481,"uris":["http://zotero.org/users/5133869/items/2KTFCXKF"],"itemData":{"id":1481,"type":"article-journal","container-title":"Oxford Journal of Law and Religion","issue":"2","page":"235-257","title":"Deconstructing ‘Legal’ Religion in Strasbourg","author":[{"family":"Peroni","given":"Lourdes"}],"issued":{"date-parts":[["2014"]]}},"locator":"235"}],"schema":"https://github.com/citation-style-language/schema/raw/master/csl-citation.json"} </w:instrText>
      </w:r>
      <w:r w:rsidRPr="00022216">
        <w:rPr>
          <w:rFonts w:cs="Times New Roman"/>
        </w:rPr>
        <w:fldChar w:fldCharType="separate"/>
      </w:r>
      <w:r w:rsidRPr="00473258">
        <w:rPr>
          <w:rFonts w:cs="Times New Roman"/>
          <w:szCs w:val="24"/>
          <w:lang w:val="en-GB"/>
        </w:rPr>
        <w:t xml:space="preserve">L. </w:t>
      </w:r>
      <w:r w:rsidRPr="00473258">
        <w:rPr>
          <w:rFonts w:cs="Times New Roman"/>
          <w:smallCaps/>
          <w:szCs w:val="24"/>
          <w:lang w:val="en-GB"/>
        </w:rPr>
        <w:t>Peroni</w:t>
      </w:r>
      <w:r w:rsidRPr="00473258">
        <w:rPr>
          <w:rFonts w:cs="Times New Roman"/>
          <w:szCs w:val="24"/>
          <w:lang w:val="en-GB"/>
        </w:rPr>
        <w:t xml:space="preserve">, « Deconstructing ‘Legal’ Religion in Strasbourg », </w:t>
      </w:r>
      <w:r w:rsidRPr="00473258">
        <w:rPr>
          <w:rFonts w:cs="Times New Roman"/>
          <w:i/>
          <w:iCs/>
          <w:szCs w:val="24"/>
          <w:lang w:val="en-GB"/>
        </w:rPr>
        <w:t>Oxford Journal of Law and Religion</w:t>
      </w:r>
      <w:r w:rsidRPr="00473258">
        <w:rPr>
          <w:rFonts w:cs="Times New Roman"/>
          <w:szCs w:val="24"/>
          <w:lang w:val="en-GB"/>
        </w:rPr>
        <w:t>, 2014, n° 2, p. 235.</w:t>
      </w:r>
      <w:r w:rsidRPr="00022216">
        <w:rPr>
          <w:rFonts w:cs="Times New Roman"/>
        </w:rPr>
        <w:fldChar w:fldCharType="end"/>
      </w:r>
    </w:p>
  </w:footnote>
  <w:footnote w:id="60">
    <w:p w14:paraId="3E8053D4" w14:textId="4CD1895D" w:rsidR="000D6C77" w:rsidRPr="00BF017B" w:rsidRDefault="000D6C77">
      <w:pPr>
        <w:pStyle w:val="Notedebasdepage"/>
      </w:pPr>
      <w:r>
        <w:rPr>
          <w:rStyle w:val="Appelnotedebasdep"/>
        </w:rPr>
        <w:footnoteRef/>
      </w:r>
      <w:r>
        <w:t xml:space="preserve"> En </w:t>
      </w:r>
      <w:r w:rsidRPr="00C60E75">
        <w:t xml:space="preserve">vertu de l’article 52 de la Charte de l’UE, </w:t>
      </w:r>
      <w:r>
        <w:t xml:space="preserve">la CJUE est tenue </w:t>
      </w:r>
      <w:r w:rsidRPr="00C60E75">
        <w:t>d’interpréter les droits fondamentaux liés à la religion en concordance avec la jurisprudence strasbourgeoise</w:t>
      </w:r>
      <w:r>
        <w:t xml:space="preserve">. Depuis les arrêts </w:t>
      </w:r>
      <w:proofErr w:type="spellStart"/>
      <w:r>
        <w:rPr>
          <w:i/>
        </w:rPr>
        <w:t>Achbita</w:t>
      </w:r>
      <w:proofErr w:type="spellEnd"/>
      <w:r>
        <w:t xml:space="preserve"> </w:t>
      </w:r>
      <w:r w:rsidRPr="00C60E75">
        <w:t>et</w:t>
      </w:r>
      <w:r>
        <w:t xml:space="preserve"> </w:t>
      </w:r>
      <w:r>
        <w:rPr>
          <w:i/>
        </w:rPr>
        <w:t>Bougnaoui</w:t>
      </w:r>
      <w:r>
        <w:t xml:space="preserve">, la CJUE revendique du reste elle-même </w:t>
      </w:r>
      <w:r w:rsidRPr="00C60E75">
        <w:t>cette orientation</w:t>
      </w:r>
      <w:r>
        <w:t xml:space="preserve"> : </w:t>
      </w:r>
      <w:r w:rsidRPr="006B1BEB">
        <w:rPr>
          <w:rFonts w:cs="Times New Roman"/>
        </w:rPr>
        <w:t>« </w:t>
      </w:r>
      <w:r>
        <w:rPr>
          <w:rFonts w:cs="Times New Roman"/>
        </w:rPr>
        <w:t>[d</w:t>
      </w:r>
      <w:r w:rsidRPr="006B1BEB">
        <w:rPr>
          <w:rFonts w:cs="Times New Roman"/>
        </w:rPr>
        <w:t>ans</w:t>
      </w:r>
      <w:r>
        <w:rPr>
          <w:rFonts w:cs="Times New Roman"/>
        </w:rPr>
        <w:t>]</w:t>
      </w:r>
      <w:r w:rsidRPr="006B1BEB">
        <w:rPr>
          <w:rFonts w:cs="Times New Roman"/>
        </w:rPr>
        <w:t xml:space="preserve"> la mesure où la CEDH et, par la suite, la Charte donnent une acception large de la notion de ‘religion’, en ce qu’elles incluent dans cette notion la liberté des personnes de manifester leur religion, il y a lieu de considérer que le législateur de l’Union a entendu retenir la même approche lors de l’adoption de la directive 2000/78, de sorte qu’il convient d’interpréter la notion de ‘religion’ figurant à l’article 1er de cette directive comme couvrant tant le </w:t>
      </w:r>
      <w:r w:rsidRPr="006B1BEB">
        <w:rPr>
          <w:rFonts w:cs="Times New Roman"/>
          <w:i/>
          <w:iCs/>
        </w:rPr>
        <w:t xml:space="preserve">forum </w:t>
      </w:r>
      <w:proofErr w:type="spellStart"/>
      <w:r w:rsidRPr="006B1BEB">
        <w:rPr>
          <w:rFonts w:cs="Times New Roman"/>
          <w:i/>
          <w:iCs/>
        </w:rPr>
        <w:t>internum</w:t>
      </w:r>
      <w:proofErr w:type="spellEnd"/>
      <w:r w:rsidRPr="006B1BEB">
        <w:rPr>
          <w:rFonts w:cs="Times New Roman"/>
          <w:i/>
          <w:iCs/>
        </w:rPr>
        <w:fldChar w:fldCharType="begin"/>
      </w:r>
      <w:r w:rsidRPr="006B1BEB">
        <w:rPr>
          <w:rFonts w:cs="Times New Roman"/>
          <w:i/>
          <w:iCs/>
        </w:rPr>
        <w:instrText xml:space="preserve"> XE "</w:instrText>
      </w:r>
      <w:r w:rsidRPr="006B1BEB">
        <w:rPr>
          <w:rFonts w:ascii="Cambria" w:eastAsia="Times New Roman" w:hAnsi="Cambria" w:cs="Calibri"/>
          <w:i/>
          <w:iCs/>
          <w:color w:val="000000"/>
          <w:lang w:eastAsia="fr-BE"/>
        </w:rPr>
        <w:instrText>Forum internum</w:instrText>
      </w:r>
      <w:r w:rsidRPr="006B1BEB">
        <w:rPr>
          <w:rFonts w:ascii="Cambria" w:eastAsia="Times New Roman" w:hAnsi="Cambria" w:cs="Calibri"/>
          <w:color w:val="000000"/>
          <w:lang w:eastAsia="fr-BE"/>
        </w:rPr>
        <w:instrText xml:space="preserve"> et </w:instrText>
      </w:r>
      <w:r w:rsidRPr="006B1BEB">
        <w:rPr>
          <w:rFonts w:ascii="Cambria" w:eastAsia="Times New Roman" w:hAnsi="Cambria" w:cs="Calibri"/>
          <w:i/>
          <w:iCs/>
          <w:color w:val="000000"/>
          <w:lang w:eastAsia="fr-BE"/>
        </w:rPr>
        <w:instrText>Forum externum"</w:instrText>
      </w:r>
      <w:r w:rsidRPr="006B1BEB">
        <w:rPr>
          <w:rFonts w:cs="Times New Roman"/>
          <w:i/>
          <w:iCs/>
        </w:rPr>
        <w:instrText xml:space="preserve"> </w:instrText>
      </w:r>
      <w:r w:rsidRPr="006B1BEB">
        <w:rPr>
          <w:rFonts w:cs="Times New Roman"/>
          <w:i/>
          <w:iCs/>
        </w:rPr>
        <w:fldChar w:fldCharType="end"/>
      </w:r>
      <w:r w:rsidRPr="006B1BEB">
        <w:rPr>
          <w:rFonts w:cs="Times New Roman"/>
        </w:rPr>
        <w:t xml:space="preserve">, à savoir le fait d’avoir des convictions, que le </w:t>
      </w:r>
      <w:r w:rsidRPr="006B1BEB">
        <w:rPr>
          <w:rFonts w:cs="Times New Roman"/>
          <w:i/>
          <w:iCs/>
        </w:rPr>
        <w:t xml:space="preserve">forum </w:t>
      </w:r>
      <w:proofErr w:type="spellStart"/>
      <w:r w:rsidRPr="006B1BEB">
        <w:rPr>
          <w:rFonts w:cs="Times New Roman"/>
          <w:i/>
          <w:iCs/>
        </w:rPr>
        <w:t>externum</w:t>
      </w:r>
      <w:proofErr w:type="spellEnd"/>
      <w:r w:rsidRPr="006B1BEB">
        <w:rPr>
          <w:rFonts w:cs="Times New Roman"/>
        </w:rPr>
        <w:t>, à savoir la manifestation en public de la foi religieuse »</w:t>
      </w:r>
      <w:r>
        <w:rPr>
          <w:rFonts w:cs="Times New Roman"/>
        </w:rPr>
        <w:t xml:space="preserve"> (</w:t>
      </w:r>
      <w:r w:rsidRPr="006B1BEB">
        <w:rPr>
          <w:rFonts w:cs="Times New Roman"/>
        </w:rPr>
        <w:t xml:space="preserve">CJUE, </w:t>
      </w:r>
      <w:r w:rsidRPr="006B1BEB">
        <w:rPr>
          <w:rFonts w:cs="Times New Roman"/>
          <w:i/>
        </w:rPr>
        <w:t>Bougnaoui</w:t>
      </w:r>
      <w:r w:rsidRPr="006B1BEB">
        <w:rPr>
          <w:rFonts w:cs="Times New Roman"/>
        </w:rPr>
        <w:t>, para. 30</w:t>
      </w:r>
      <w:r>
        <w:rPr>
          <w:rFonts w:cs="Times New Roman"/>
        </w:rPr>
        <w:t>)</w:t>
      </w:r>
      <w:r w:rsidRPr="006B1BEB">
        <w:rPr>
          <w:rFonts w:cs="Times New Roman"/>
        </w:rPr>
        <w:t>.</w:t>
      </w:r>
      <w:r>
        <w:rPr>
          <w:rFonts w:cs="Times New Roman"/>
        </w:rPr>
        <w:t xml:space="preserve"> </w:t>
      </w:r>
      <w:proofErr w:type="spellStart"/>
      <w:r w:rsidRPr="006B1BEB">
        <w:rPr>
          <w:rFonts w:cs="Times New Roman"/>
        </w:rPr>
        <w:t>Voy</w:t>
      </w:r>
      <w:proofErr w:type="spellEnd"/>
      <w:r w:rsidRPr="006B1BEB">
        <w:rPr>
          <w:rFonts w:cs="Times New Roman"/>
        </w:rPr>
        <w:t xml:space="preserve">. aussi, plus largement, </w:t>
      </w:r>
      <w:r w:rsidRPr="006B1BEB">
        <w:rPr>
          <w:rFonts w:cs="Times New Roman"/>
        </w:rPr>
        <w:fldChar w:fldCharType="begin"/>
      </w:r>
      <w:r>
        <w:rPr>
          <w:rFonts w:cs="Times New Roman"/>
        </w:rPr>
        <w:instrText xml:space="preserve"> ADDIN ZOTERO_ITEM CSL_CITATION {"citationID":"JYJOciVm","properties":{"formattedCitation":"L. {\\scaps Vickers}, {\\i{}Religious freedom, religious discrimination and the workplace}, Oxford, Hart Publishing, 2016, pp. 138 et s\\uc0\\u160{}; G. {\\scaps Gonzalez}, \\uc0\\u171{}\\uc0\\u160{}La libert\\uc0\\u233{} de religion \\uc0\\u224{} l\\uc0\\u8217{}\\uc0\\u233{}preuve de la jurisprudence de la Cour de justice de l\\uc0\\u8217{}Union europ\\uc0\\u233{}enne\\uc0\\u160{}\\uc0\\u187{}, {\\i{}Rev. trim. dr. h.}, 2020, n\\uc0\\u176{} 122, pp. 107\\uc0\\u8209{}110.","plainCitation":"L. Vickers, Religious freedom, religious discrimination and the workplace, Oxford, Hart Publishing, 2016, pp. 138 et s ; G. Gonzalez, « La liberté de religion à l’épreuve de la jurisprudence de la Cour de justice de l’Union européenne », Rev. trim. dr. h., 2020, n° 122, pp. 107‑110.","noteIndex":71},"citationItems":[{"id":1018,"uris":["http://zotero.org/users/5133869/items/CUTNB9U8"],"itemData":{"id":1018,"type":"book","call-number":"K1771.5 .V53 2016","event-place":"Oxford","ISBN":"978-1-84946-636-3","number-of-pages":"289","publisher":"Hart Publishing","publisher-place":"Oxford","source":"Library of Congress ISBN","title":"Religious freedom, religious discrimination and the workplace","author":[{"family":"Vickers","given":"Lucy"}],"issued":{"date-parts":[["2016"]]}},"locator":"138 et s"},{"id":2669,"uris":["http://zotero.org/users/5133869/items/GRTDRLLZ"],"itemData":{"id":2669,"type":"article-journal","container-title":"Rev. trim. dr. h.","issue":"122","journalAbbreviation":"RevTrimDrH","language":"French","note":"publisher: Anthemis","page":"104-122","title":"La liberté de religion à l’épreuve de la jurisprudence de la Cour de justice de l’Union européenne","author":[{"family":"Gonzalez","given":"Gérard"}],"issued":{"date-parts":[["2020"]]}},"locator":"107-110"}],"schema":"https://github.com/citation-style-language/schema/raw/master/csl-citation.json"} </w:instrText>
      </w:r>
      <w:r w:rsidRPr="006B1BEB">
        <w:rPr>
          <w:rFonts w:cs="Times New Roman"/>
        </w:rPr>
        <w:fldChar w:fldCharType="separate"/>
      </w:r>
      <w:r w:rsidRPr="006B1BEB">
        <w:rPr>
          <w:rFonts w:cs="Times New Roman"/>
          <w:szCs w:val="24"/>
        </w:rPr>
        <w:t xml:space="preserve">L. </w:t>
      </w:r>
      <w:r w:rsidRPr="006B1BEB">
        <w:rPr>
          <w:rFonts w:cs="Times New Roman"/>
          <w:smallCaps/>
          <w:szCs w:val="24"/>
        </w:rPr>
        <w:t>Vickers</w:t>
      </w:r>
      <w:r w:rsidRPr="006B1BEB">
        <w:rPr>
          <w:rFonts w:cs="Times New Roman"/>
          <w:szCs w:val="24"/>
        </w:rPr>
        <w:t xml:space="preserve">, </w:t>
      </w:r>
      <w:proofErr w:type="spellStart"/>
      <w:r w:rsidRPr="006B1BEB">
        <w:rPr>
          <w:rFonts w:cs="Times New Roman"/>
          <w:i/>
          <w:iCs/>
          <w:szCs w:val="24"/>
        </w:rPr>
        <w:t>Religious</w:t>
      </w:r>
      <w:proofErr w:type="spellEnd"/>
      <w:r w:rsidRPr="006B1BEB">
        <w:rPr>
          <w:rFonts w:cs="Times New Roman"/>
          <w:i/>
          <w:iCs/>
          <w:szCs w:val="24"/>
        </w:rPr>
        <w:t xml:space="preserve"> </w:t>
      </w:r>
      <w:proofErr w:type="spellStart"/>
      <w:r w:rsidRPr="006B1BEB">
        <w:rPr>
          <w:rFonts w:cs="Times New Roman"/>
          <w:i/>
          <w:iCs/>
          <w:szCs w:val="24"/>
        </w:rPr>
        <w:t>freedom</w:t>
      </w:r>
      <w:proofErr w:type="spellEnd"/>
      <w:r w:rsidRPr="006B1BEB">
        <w:rPr>
          <w:rFonts w:cs="Times New Roman"/>
          <w:i/>
          <w:iCs/>
          <w:szCs w:val="24"/>
        </w:rPr>
        <w:t xml:space="preserve">, </w:t>
      </w:r>
      <w:proofErr w:type="spellStart"/>
      <w:r w:rsidRPr="006B1BEB">
        <w:rPr>
          <w:rFonts w:cs="Times New Roman"/>
          <w:i/>
          <w:iCs/>
          <w:szCs w:val="24"/>
        </w:rPr>
        <w:t>religious</w:t>
      </w:r>
      <w:proofErr w:type="spellEnd"/>
      <w:r w:rsidRPr="006B1BEB">
        <w:rPr>
          <w:rFonts w:cs="Times New Roman"/>
          <w:i/>
          <w:iCs/>
          <w:szCs w:val="24"/>
        </w:rPr>
        <w:t xml:space="preserve"> discrimination and the </w:t>
      </w:r>
      <w:proofErr w:type="spellStart"/>
      <w:r w:rsidRPr="006B1BEB">
        <w:rPr>
          <w:rFonts w:cs="Times New Roman"/>
          <w:i/>
          <w:iCs/>
          <w:szCs w:val="24"/>
        </w:rPr>
        <w:t>workplace</w:t>
      </w:r>
      <w:proofErr w:type="spellEnd"/>
      <w:r w:rsidRPr="006B1BEB">
        <w:rPr>
          <w:rFonts w:cs="Times New Roman"/>
          <w:szCs w:val="24"/>
        </w:rPr>
        <w:t xml:space="preserve">, Oxford, Hart </w:t>
      </w:r>
      <w:proofErr w:type="spellStart"/>
      <w:r w:rsidRPr="006B1BEB">
        <w:rPr>
          <w:rFonts w:cs="Times New Roman"/>
          <w:szCs w:val="24"/>
        </w:rPr>
        <w:t>Publishing</w:t>
      </w:r>
      <w:proofErr w:type="spellEnd"/>
      <w:r w:rsidRPr="006B1BEB">
        <w:rPr>
          <w:rFonts w:cs="Times New Roman"/>
          <w:szCs w:val="24"/>
        </w:rPr>
        <w:t xml:space="preserve">, 2016, pp. 138 et s ; G. </w:t>
      </w:r>
      <w:r w:rsidRPr="006B1BEB">
        <w:rPr>
          <w:rFonts w:cs="Times New Roman"/>
          <w:smallCaps/>
          <w:szCs w:val="24"/>
        </w:rPr>
        <w:t>Gonzalez</w:t>
      </w:r>
      <w:r w:rsidRPr="006B1BEB">
        <w:rPr>
          <w:rFonts w:cs="Times New Roman"/>
          <w:szCs w:val="24"/>
        </w:rPr>
        <w:t xml:space="preserve">, « La liberté de religion à l’épreuve de la jurisprudence de la Cour de justice de l’Union européenne », </w:t>
      </w:r>
      <w:proofErr w:type="spellStart"/>
      <w:r w:rsidRPr="006B1BEB">
        <w:rPr>
          <w:rFonts w:cs="Times New Roman"/>
          <w:i/>
          <w:iCs/>
          <w:szCs w:val="24"/>
        </w:rPr>
        <w:t>Rev</w:t>
      </w:r>
      <w:proofErr w:type="spellEnd"/>
      <w:r w:rsidRPr="006B1BEB">
        <w:rPr>
          <w:rFonts w:cs="Times New Roman"/>
          <w:i/>
          <w:iCs/>
          <w:szCs w:val="24"/>
        </w:rPr>
        <w:t xml:space="preserve">. trim. </w:t>
      </w:r>
      <w:proofErr w:type="spellStart"/>
      <w:r w:rsidRPr="006B1BEB">
        <w:rPr>
          <w:rFonts w:cs="Times New Roman"/>
          <w:i/>
          <w:iCs/>
          <w:szCs w:val="24"/>
        </w:rPr>
        <w:t>dr</w:t>
      </w:r>
      <w:proofErr w:type="spellEnd"/>
      <w:r w:rsidRPr="006B1BEB">
        <w:rPr>
          <w:rFonts w:cs="Times New Roman"/>
          <w:i/>
          <w:iCs/>
          <w:szCs w:val="24"/>
        </w:rPr>
        <w:t>. h.</w:t>
      </w:r>
      <w:r w:rsidRPr="006B1BEB">
        <w:rPr>
          <w:rFonts w:cs="Times New Roman"/>
          <w:szCs w:val="24"/>
        </w:rPr>
        <w:t>, 2020, n° 122, pp. 107‑110.</w:t>
      </w:r>
      <w:r w:rsidRPr="006B1BEB">
        <w:rPr>
          <w:rFonts w:cs="Times New Roman"/>
        </w:rPr>
        <w:fldChar w:fldCharType="end"/>
      </w:r>
    </w:p>
  </w:footnote>
  <w:footnote w:id="61">
    <w:p w14:paraId="2405B95F" w14:textId="68025101" w:rsidR="000D6C77" w:rsidRPr="00022216" w:rsidRDefault="000D6C77" w:rsidP="00E95822">
      <w:pPr>
        <w:pStyle w:val="Notedebasdepage"/>
        <w:rPr>
          <w:rFonts w:cs="Times New Roman"/>
        </w:rPr>
      </w:pPr>
      <w:r w:rsidRPr="006B1BEB">
        <w:rPr>
          <w:rStyle w:val="Appelnotedebasdep"/>
          <w:rFonts w:cs="Times New Roman"/>
        </w:rPr>
        <w:footnoteRef/>
      </w:r>
      <w:r w:rsidRPr="006B1BEB">
        <w:rPr>
          <w:rFonts w:cs="Times New Roman"/>
        </w:rPr>
        <w:t xml:space="preserve"> </w:t>
      </w:r>
      <w:r w:rsidRPr="006B1BEB">
        <w:t xml:space="preserve">CourEDH, arrêt </w:t>
      </w:r>
      <w:proofErr w:type="spellStart"/>
      <w:r w:rsidRPr="006B1BEB">
        <w:rPr>
          <w:i/>
          <w:iCs/>
        </w:rPr>
        <w:t>Kokkinakis</w:t>
      </w:r>
      <w:proofErr w:type="spellEnd"/>
      <w:r w:rsidRPr="006B1BEB">
        <w:rPr>
          <w:i/>
          <w:iCs/>
        </w:rPr>
        <w:t xml:space="preserve"> c. Grèce</w:t>
      </w:r>
      <w:r w:rsidRPr="006B1BEB">
        <w:t>, 25 mai 1993</w:t>
      </w:r>
      <w:r w:rsidRPr="006B1BEB">
        <w:rPr>
          <w:rFonts w:cs="Times New Roman"/>
        </w:rPr>
        <w:t>, para. 31.</w:t>
      </w:r>
    </w:p>
  </w:footnote>
  <w:footnote w:id="62">
    <w:p w14:paraId="379BFEA1" w14:textId="73F9425A" w:rsidR="000D6C77" w:rsidRPr="00022216" w:rsidRDefault="000D6C77" w:rsidP="00AE2711">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para. 80.</w:t>
      </w:r>
    </w:p>
  </w:footnote>
  <w:footnote w:id="63">
    <w:p w14:paraId="0D8F64A3" w14:textId="33DD5684" w:rsidR="000D6C77" w:rsidRPr="00022216" w:rsidRDefault="000D6C77" w:rsidP="006F3EB0">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para. 81.</w:t>
      </w:r>
    </w:p>
  </w:footnote>
  <w:footnote w:id="64">
    <w:p w14:paraId="790DD7FB" w14:textId="39E0034E" w:rsidR="000D6C77" w:rsidRPr="00926893" w:rsidRDefault="000D6C77" w:rsidP="00926893">
      <w:pPr>
        <w:pStyle w:val="Notedebasdepage"/>
        <w:rPr>
          <w:rFonts w:cs="Times New Roman"/>
          <w:lang w:val="en-GB"/>
        </w:rPr>
      </w:pPr>
      <w:r w:rsidRPr="00022216">
        <w:rPr>
          <w:rStyle w:val="Appelnotedebasdep"/>
          <w:rFonts w:cs="Times New Roman"/>
        </w:rPr>
        <w:footnoteRef/>
      </w:r>
      <w:r w:rsidRPr="00022216">
        <w:rPr>
          <w:rFonts w:cs="Times New Roman"/>
        </w:rPr>
        <w:t xml:space="preserve"> Directive 2000/78</w:t>
      </w:r>
      <w:r>
        <w:t>/CE</w:t>
      </w:r>
      <w:r w:rsidRPr="00022216">
        <w:rPr>
          <w:rFonts w:cs="Times New Roman"/>
        </w:rPr>
        <w:t>, art. 1</w:t>
      </w:r>
      <w:r w:rsidRPr="00022216">
        <w:rPr>
          <w:rFonts w:cs="Times New Roman"/>
          <w:vertAlign w:val="superscript"/>
        </w:rPr>
        <w:t>er</w:t>
      </w:r>
      <w:r w:rsidRPr="00022216">
        <w:rPr>
          <w:rFonts w:cs="Times New Roman"/>
        </w:rPr>
        <w:t>. Notons que « convictions » correspond, dans la version anglaise de la Directive, à « </w:t>
      </w:r>
      <w:proofErr w:type="spellStart"/>
      <w:r w:rsidRPr="00022216">
        <w:rPr>
          <w:rFonts w:cs="Times New Roman"/>
          <w:i/>
          <w:iCs/>
        </w:rPr>
        <w:t>belief</w:t>
      </w:r>
      <w:proofErr w:type="spellEnd"/>
      <w:r w:rsidRPr="00022216">
        <w:rPr>
          <w:rFonts w:cs="Times New Roman"/>
        </w:rPr>
        <w:t> », terme que l’on rapprocherait pourtant plutôt du mot « croyance ». La version néerlandaise se rapproche d’ailleurs davantage du terme « convictions », à travers le mot « </w:t>
      </w:r>
      <w:proofErr w:type="spellStart"/>
      <w:r w:rsidRPr="00022216">
        <w:rPr>
          <w:rFonts w:cs="Times New Roman"/>
          <w:i/>
          <w:iCs/>
        </w:rPr>
        <w:t>overtuiging</w:t>
      </w:r>
      <w:proofErr w:type="spellEnd"/>
      <w:r w:rsidRPr="00022216">
        <w:rPr>
          <w:rFonts w:cs="Times New Roman"/>
        </w:rPr>
        <w:t> ». Enfin, la version allemande parle de « </w:t>
      </w:r>
      <w:r w:rsidRPr="00022216">
        <w:rPr>
          <w:rFonts w:cs="Times New Roman"/>
          <w:i/>
          <w:iCs/>
        </w:rPr>
        <w:t>Weltanscha</w:t>
      </w:r>
      <w:r>
        <w:rPr>
          <w:rFonts w:cs="Times New Roman"/>
          <w:i/>
          <w:iCs/>
        </w:rPr>
        <w:t>u</w:t>
      </w:r>
      <w:r w:rsidRPr="00022216">
        <w:rPr>
          <w:rFonts w:cs="Times New Roman"/>
          <w:i/>
          <w:iCs/>
        </w:rPr>
        <w:t>ung</w:t>
      </w:r>
      <w:r w:rsidRPr="00022216">
        <w:rPr>
          <w:rFonts w:cs="Times New Roman"/>
        </w:rPr>
        <w:t xml:space="preserve"> » (philosophie de vie »). Sur ce point,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{"citationID":"yLr5K80G","properties":{"formattedCitation":"F. {\\scaps Dorssemont}, \\uc0\\u171{}\\uc0\\u160{}Le droit des syndicats d\\uc0\\u8217{}expulser des membres en raison de leurs convictions politiques, Cour europ\\uc0\\u233{}enne des droits de l\\uc0\\u8217{}homme, Associated Society of Locomotive Engineers &amp; Fireman (A.S.L.E.F.) c. Royaume-Uni, 27 f\\uc0\\u233{}vrier 2007\\uc0\\u160{}\\uc0\\u187{}, {\\i{}Rev. trim. dr. h.}, 2008, vol. 74, pp. 569\\uc0\\u8209{}570\\uc0\\u160{}; G. {\\scaps Calv\\uc0\\u232{}s}, \\uc0\\u171{}\\uc0\\u160{}Le crit\\uc0\\u232{}re \\uc0\\u8216{}religion ou convictions\\uc0\\u8217{}, m\\uc0\\u234{}me sens et m\\uc0\\u234{}me port\\uc0\\u233{}e \\uc0\\u224{} Luxembourg et \\uc0\\u224{} Strasbourg\\uc0\\u8239{}?\\uc0\\u160{}\\uc0\\u187{}, {\\i{}Droit social}, 2018, n\\uc0\\u176{} 4, p. 328, note 41.","plainCitation":"F. Dorssemont, « Le droit des syndicats d’expulser des membres en raison de leurs convictions politiques, Cour européenne des droits de l’homme, Associated Society of Locomotive Engineers &amp; Fireman (A.S.L.E.F.) c. Royaume-Uni, 27 février 2007 », Rev. trim. dr. h., 2008, vol. 74, pp. 569‑570 ; G. Calvès, « Le critère ‘religion ou convictions’, même sens et même portée à Luxembourg et à Strasbourg ? », Droit social, 2018, n° 4, p. 328, note 41.","noteIndex":76},"citationItems":[{"id":1378,"uris":["http://zotero.org/users/5133869/items/B7QEPETW"],"itemData":{"id":1378,"type":"article-journal","container-title":"Rev. trim. dr. h.","page":"549-572","title":"Le droit des syndicats d’expulser des membres en raison de leurs convictions politiques, Cour européenne des droits de l’homme, Associated Society of Locomotive Engineers &amp; Fireman (A.S.L.E.F.) c. Royaume-Uni, 27 février 2007","volume":"74","author":[{"family":"Dorssemont","given":"Filip"}],"issued":{"date-parts":[["2008"]]}},"locator":"569-570"},{"id":1349,"uris":["http://zotero.org/users/5133869/items/LMBDJA6G"],"itemData":{"id":1349,"type":"article-journal","container-title":"Droit social","issue":"4","page":"323-329","title":"Le critère ‘religion ou convictions’, même sens et même portée à Luxembourg et à Strasbourg ?","author":[{"family":"Calvès","given":"Gwénaële"}],"issued":{"date-parts":[["2018"]]}},"locator":"328","suffix":", note 41"}],"schema":"https://github.com/citation-style-language/schema/raw/master/csl-citation.json"} </w:instrText>
      </w:r>
      <w:r w:rsidRPr="00022216">
        <w:rPr>
          <w:rFonts w:cs="Times New Roman"/>
        </w:rPr>
        <w:fldChar w:fldCharType="separate"/>
      </w:r>
      <w:r w:rsidRPr="00387DD6">
        <w:rPr>
          <w:rFonts w:cs="Times New Roman"/>
          <w:szCs w:val="24"/>
        </w:rPr>
        <w:t xml:space="preserve">F. </w:t>
      </w:r>
      <w:r w:rsidRPr="00387DD6">
        <w:rPr>
          <w:rFonts w:cs="Times New Roman"/>
          <w:smallCaps/>
          <w:szCs w:val="24"/>
        </w:rPr>
        <w:t>Dorssemont</w:t>
      </w:r>
      <w:r w:rsidRPr="00387DD6">
        <w:rPr>
          <w:rFonts w:cs="Times New Roman"/>
          <w:szCs w:val="24"/>
        </w:rPr>
        <w:t xml:space="preserve">, « Le droit des syndicats d’expulser des membres en raison de leurs convictions politiques, Cour européenne des droits de l’homme, Associated Society of Locomotive </w:t>
      </w:r>
      <w:proofErr w:type="spellStart"/>
      <w:r w:rsidRPr="00387DD6">
        <w:rPr>
          <w:rFonts w:cs="Times New Roman"/>
          <w:szCs w:val="24"/>
        </w:rPr>
        <w:t>Engineers</w:t>
      </w:r>
      <w:proofErr w:type="spellEnd"/>
      <w:r w:rsidRPr="00387DD6">
        <w:rPr>
          <w:rFonts w:cs="Times New Roman"/>
          <w:szCs w:val="24"/>
        </w:rPr>
        <w:t xml:space="preserve"> &amp; </w:t>
      </w:r>
      <w:proofErr w:type="spellStart"/>
      <w:r w:rsidRPr="00387DD6">
        <w:rPr>
          <w:rFonts w:cs="Times New Roman"/>
          <w:szCs w:val="24"/>
        </w:rPr>
        <w:t>Fireman</w:t>
      </w:r>
      <w:proofErr w:type="spellEnd"/>
      <w:r w:rsidRPr="00387DD6">
        <w:rPr>
          <w:rFonts w:cs="Times New Roman"/>
          <w:szCs w:val="24"/>
        </w:rPr>
        <w:t xml:space="preserve"> (A.S.L.E.F.) c. Royaume-Uni, 27 février 2007 », </w:t>
      </w:r>
      <w:proofErr w:type="spellStart"/>
      <w:r w:rsidRPr="00387DD6">
        <w:rPr>
          <w:rFonts w:cs="Times New Roman"/>
          <w:i/>
          <w:iCs/>
          <w:szCs w:val="24"/>
        </w:rPr>
        <w:t>Rev</w:t>
      </w:r>
      <w:proofErr w:type="spellEnd"/>
      <w:r w:rsidRPr="00387DD6">
        <w:rPr>
          <w:rFonts w:cs="Times New Roman"/>
          <w:i/>
          <w:iCs/>
          <w:szCs w:val="24"/>
        </w:rPr>
        <w:t xml:space="preserve">. trim. </w:t>
      </w:r>
      <w:proofErr w:type="spellStart"/>
      <w:r w:rsidRPr="00387DD6">
        <w:rPr>
          <w:rFonts w:cs="Times New Roman"/>
          <w:i/>
          <w:iCs/>
          <w:szCs w:val="24"/>
        </w:rPr>
        <w:t>dr</w:t>
      </w:r>
      <w:proofErr w:type="spellEnd"/>
      <w:r w:rsidRPr="00387DD6">
        <w:rPr>
          <w:rFonts w:cs="Times New Roman"/>
          <w:i/>
          <w:iCs/>
          <w:szCs w:val="24"/>
        </w:rPr>
        <w:t>. h.</w:t>
      </w:r>
      <w:r w:rsidRPr="00387DD6">
        <w:rPr>
          <w:rFonts w:cs="Times New Roman"/>
          <w:szCs w:val="24"/>
        </w:rPr>
        <w:t xml:space="preserve">, 2008, vol. 74, pp. 569‑570 ; G. </w:t>
      </w:r>
      <w:r w:rsidRPr="00387DD6">
        <w:rPr>
          <w:rFonts w:cs="Times New Roman"/>
          <w:smallCaps/>
          <w:szCs w:val="24"/>
        </w:rPr>
        <w:t>Calvès</w:t>
      </w:r>
      <w:r w:rsidRPr="00387DD6">
        <w:rPr>
          <w:rFonts w:cs="Times New Roman"/>
          <w:szCs w:val="24"/>
        </w:rPr>
        <w:t xml:space="preserve">, « Le critère ‘religion ou convictions’, même sens et même portée à Luxembourg et à Strasbourg ? », </w:t>
      </w:r>
      <w:r w:rsidRPr="00387DD6">
        <w:rPr>
          <w:rFonts w:cs="Times New Roman"/>
          <w:i/>
          <w:iCs/>
          <w:szCs w:val="24"/>
        </w:rPr>
        <w:t>Droit social</w:t>
      </w:r>
      <w:r w:rsidRPr="00387DD6">
        <w:rPr>
          <w:rFonts w:cs="Times New Roman"/>
          <w:szCs w:val="24"/>
        </w:rPr>
        <w:t>, 2018, n° 4, p. 328, note 41.</w:t>
      </w:r>
      <w:r w:rsidRPr="00022216">
        <w:rPr>
          <w:rFonts w:cs="Times New Roman"/>
        </w:rPr>
        <w:fldChar w:fldCharType="end"/>
      </w:r>
      <w:r>
        <w:rPr>
          <w:rFonts w:cs="Times New Roman"/>
        </w:rPr>
        <w:t xml:space="preserve"> </w:t>
      </w:r>
      <w:proofErr w:type="spellStart"/>
      <w:r w:rsidRPr="00926893">
        <w:rPr>
          <w:rFonts w:cs="Times New Roman"/>
          <w:lang w:val="en-GB"/>
        </w:rPr>
        <w:t>Voy</w:t>
      </w:r>
      <w:proofErr w:type="spellEnd"/>
      <w:r w:rsidRPr="00926893">
        <w:rPr>
          <w:rFonts w:cs="Times New Roman"/>
          <w:lang w:val="en-GB"/>
        </w:rPr>
        <w:t xml:space="preserve">. </w:t>
      </w:r>
      <w:proofErr w:type="spellStart"/>
      <w:r w:rsidRPr="00926893">
        <w:rPr>
          <w:rFonts w:cs="Times New Roman"/>
          <w:lang w:val="en-GB"/>
        </w:rPr>
        <w:t>aussi</w:t>
      </w:r>
      <w:proofErr w:type="spellEnd"/>
      <w:r w:rsidRPr="00926893">
        <w:rPr>
          <w:rFonts w:cs="Times New Roman"/>
          <w:lang w:val="en-GB"/>
        </w:rPr>
        <w:t xml:space="preserve"> </w:t>
      </w:r>
      <w:r>
        <w:rPr>
          <w:rFonts w:cs="Times New Roman"/>
        </w:rPr>
        <w:fldChar w:fldCharType="begin"/>
      </w:r>
      <w:r>
        <w:rPr>
          <w:rFonts w:cs="Times New Roman"/>
          <w:lang w:val="en-GB"/>
        </w:rPr>
        <w:instrText xml:space="preserve"> ADDIN ZOTERO_ITEM CSL_CITATION {"citationID":"xMGAL3C6","properties":{"formattedCitation":"K. {\\scaps Alidadi}, {\\i{}Religion, equality and employment in Europe}, {\\i{}op. cit.}, pp. 82\\uc0\\u8209{}90.","plainCitation":"K. Alidadi, Religion, equality and employment in Europe, op. cit., pp. 82‑90.","noteIndex":76},"citationItems":[{"id":185,"uris":["http://zotero.org/users/5133869/items/FM6WAUT9"],"itemData":{"id":185,"type":"book","call-number":"KJC2945.R44 A84 2017","event-place":"Oxford ; Portland , Oregon","ISBN":"978-1-5099-1137-0","language":"en","number-of-pages":"289","publisher":"Hart Publishing","publisher-place":"Oxford ; Portland , Oregon","source":"Library of Congress ISBN","title":"Religion, equality and employment in Europe: the case for reasonable accommodation","title-short":"Religion, equality and employment in Europe","author":[{"family":"Alidadi","given":"Katayoun"}],"issued":{"date-parts":[["2017"]]}},"locator":"82-90"}],"schema":"https://github.com/citation-style-language/schema/raw/master/csl-citation.json"} </w:instrText>
      </w:r>
      <w:r>
        <w:rPr>
          <w:rFonts w:cs="Times New Roman"/>
        </w:rPr>
        <w:fldChar w:fldCharType="separate"/>
      </w:r>
      <w:r w:rsidRPr="008D517D">
        <w:rPr>
          <w:rFonts w:cs="Times New Roman"/>
          <w:szCs w:val="24"/>
          <w:lang w:val="en-GB"/>
        </w:rPr>
        <w:t xml:space="preserve">K. </w:t>
      </w:r>
      <w:proofErr w:type="spellStart"/>
      <w:r w:rsidRPr="008D517D">
        <w:rPr>
          <w:rFonts w:cs="Times New Roman"/>
          <w:smallCaps/>
          <w:szCs w:val="24"/>
          <w:lang w:val="en-GB"/>
        </w:rPr>
        <w:t>Alidadi</w:t>
      </w:r>
      <w:proofErr w:type="spellEnd"/>
      <w:r w:rsidRPr="008D517D">
        <w:rPr>
          <w:rFonts w:cs="Times New Roman"/>
          <w:szCs w:val="24"/>
          <w:lang w:val="en-GB"/>
        </w:rPr>
        <w:t xml:space="preserve">, </w:t>
      </w:r>
      <w:r w:rsidRPr="008D517D">
        <w:rPr>
          <w:rFonts w:cs="Times New Roman"/>
          <w:i/>
          <w:iCs/>
          <w:szCs w:val="24"/>
          <w:lang w:val="en-GB"/>
        </w:rPr>
        <w:t>Religion, equality and employment in Europe</w:t>
      </w:r>
      <w:r w:rsidRPr="008D517D">
        <w:rPr>
          <w:rFonts w:cs="Times New Roman"/>
          <w:szCs w:val="24"/>
          <w:lang w:val="en-GB"/>
        </w:rPr>
        <w:t xml:space="preserve">, </w:t>
      </w:r>
      <w:r w:rsidRPr="008D517D">
        <w:rPr>
          <w:rFonts w:cs="Times New Roman"/>
          <w:i/>
          <w:iCs/>
          <w:szCs w:val="24"/>
          <w:lang w:val="en-GB"/>
        </w:rPr>
        <w:t>op. cit.</w:t>
      </w:r>
      <w:r w:rsidRPr="008D517D">
        <w:rPr>
          <w:rFonts w:cs="Times New Roman"/>
          <w:szCs w:val="24"/>
          <w:lang w:val="en-GB"/>
        </w:rPr>
        <w:t>, pp. 82‑90.</w:t>
      </w:r>
      <w:r>
        <w:rPr>
          <w:rFonts w:cs="Times New Roman"/>
        </w:rPr>
        <w:fldChar w:fldCharType="end"/>
      </w:r>
    </w:p>
  </w:footnote>
  <w:footnote w:id="65">
    <w:p w14:paraId="3242C000" w14:textId="645C6F04" w:rsidR="000D6C77" w:rsidRPr="00022216" w:rsidRDefault="000D6C77" w:rsidP="00473B12">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{"citationID":"pEGrADMD","properties":{"formattedCitation":"{\\scaps Cour europ\\uc0\\u233{}enne des droits de l\\uc0\\u8217{}homme}, \\uc0\\u171{}\\uc0\\u160{}Guide sur l\\uc0\\u8217{}article 9 de la Convention europ\\uc0\\u233{}enne des droits de l\\uc0\\u8217{}homme - Libert\\uc0\\u233{} de pens\\uc0\\u233{}e, de conscience et de religion\\uc0\\u160{}\\uc0\\u187{}, 30 avril 2022, p. 9, disponible sur www.echr.coe.int/Documents/Guide_Art_9_FRA.pdf (Consult\\uc0\\u233{} le 27 juillet 2022).","plainCitation":"Cour européenne des droits de l’homme, « Guide sur l’article 9 de la Convention européenne des droits de l’homme - Liberté de pensée, de conscience et de religion », 30 avril 2022, p. 9, disponible sur www.echr.coe.int/Documents/Guide_Art_9_FRA.pdf (Consulté le 27 juillet 2022).","noteIndex":77},"citationItems":[{"id":2329,"uris":["http://zotero.org/users/5133869/items/MXE6Q2VN"],"itemData":{"id":2329,"type":"document","title":"Guide sur l’article 9 de la Convention européenne des droits de l’homme - Liberté de pensée, de conscience et de religion","URL":"www.echr.coe.int/Documents/Guide_Art_9_FRA.pdf","author":[{"family":"Cour européenne des droits de l'homme","given":""}],"accessed":{"date-parts":[["2022",7,27]]},"issued":{"date-parts":[["2022",4,30]]}},"locator":"9"}],"schema":"https://github.com/citation-style-language/schema/raw/master/csl-citation.json"} </w:instrText>
      </w:r>
      <w:r w:rsidRPr="00022216">
        <w:rPr>
          <w:rFonts w:cs="Times New Roman"/>
        </w:rPr>
        <w:fldChar w:fldCharType="separate"/>
      </w:r>
      <w:r w:rsidRPr="00387DD6">
        <w:rPr>
          <w:rFonts w:cs="Times New Roman"/>
          <w:smallCaps/>
          <w:szCs w:val="24"/>
        </w:rPr>
        <w:t>Cour européenne des droits de l’homme</w:t>
      </w:r>
      <w:r w:rsidRPr="00387DD6">
        <w:rPr>
          <w:rFonts w:cs="Times New Roman"/>
          <w:szCs w:val="24"/>
        </w:rPr>
        <w:t>, « Guide sur l’article 9 de la Convention européenne des droits de l’homme - Liberté de pensée, de conscience et de religion », 30 avril 2022, p. 9, disponible sur www.echr.coe.int/Documents/Guide_Art_9_FRA.pdf (Consulté le 27 juillet 2022).</w:t>
      </w:r>
      <w:r w:rsidRPr="00022216">
        <w:rPr>
          <w:rFonts w:cs="Times New Roman"/>
        </w:rPr>
        <w:fldChar w:fldCharType="end"/>
      </w:r>
      <w:r>
        <w:rPr>
          <w:rFonts w:cs="Times New Roman"/>
        </w:rPr>
        <w:t xml:space="preserve"> Entre autres exemples tirés de la jurisprudence de la CourEDH, citons le</w:t>
      </w:r>
      <w:r w:rsidRPr="0025465C">
        <w:rPr>
          <w:rFonts w:cs="Times New Roman"/>
        </w:rPr>
        <w:t xml:space="preserve"> pacifisme</w:t>
      </w:r>
      <w:r>
        <w:rPr>
          <w:rFonts w:cs="Times New Roman"/>
        </w:rPr>
        <w:t>, le</w:t>
      </w:r>
      <w:r w:rsidRPr="0025465C">
        <w:rPr>
          <w:rFonts w:cs="Times New Roman"/>
        </w:rPr>
        <w:t xml:space="preserve"> véganisme, l’opposition à l’avortement, ainsi que «</w:t>
      </w:r>
      <w:r>
        <w:rPr>
          <w:rFonts w:cs="Times New Roman"/>
        </w:rPr>
        <w:t> </w:t>
      </w:r>
      <w:r w:rsidRPr="0025465C">
        <w:rPr>
          <w:rFonts w:cs="Times New Roman"/>
        </w:rPr>
        <w:t>l’attachement à la laïcité »</w:t>
      </w:r>
      <w:r>
        <w:rPr>
          <w:rFonts w:cs="Times New Roman"/>
        </w:rPr>
        <w:t>. Nous reviendrons sur cette dernière hypothèse en deuxième partie.</w:t>
      </w:r>
    </w:p>
  </w:footnote>
  <w:footnote w:id="66">
    <w:p w14:paraId="3ACECAA5" w14:textId="6D38B72C" w:rsidR="000D6C77" w:rsidRPr="00022216" w:rsidRDefault="000D6C77" w:rsidP="00D327F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{"citationID":"Bx7gpiJT","properties":{"formattedCitation":"H. {\\scaps Dumont}, \\uc0\\u171{}\\uc0\\u160{}A quoi sert un pr\\uc0\\u233{}ambule constitutionnel\\uc0\\u8239{}? R\\uc0\\u233{}flexions de th\\uc0\\u233{}orie du droit en marge du d\\uc0\\u233{}bat sur l\\uc0\\u8217{}inscription d\\uc0\\u8217{}un principe de la\\uc0\\u239{}cit\\uc0\\u233{} dans un pr\\uc0\\u233{}ambule ajout\\uc0\\u233{} \\uc0\\u224{} la Constitution belge\\uc0\\u160{}\\uc0\\u187{}, {\\i{}in} Y. {\\scaps Cartuyvels} (\\uc0\\u233{}d.), {\\i{}Le droit malgr\\uc0\\u233{} tout. Hommage \\uc0\\u224{} Fran\\uc0\\u231{}ois Ost}, Bruxelles, Presses de l\\uc0\\u8217{}Universit\\uc0\\u233{} Saint-Louis - Bruxelles, 2018, p. 814.","plainCitation":"H. Dumont, « A quoi sert un préambule constitutionnel ? Réflexions de théorie du droit en marge du débat sur l’inscription d’un principe de laïcité dans un préambule ajouté à la Constitution belge », in Y. Cartuyvels (éd.), Le droit malgré tout. Hommage à François Ost, Bruxelles, Presses de l’Université Saint-Louis - Bruxelles, 2018, p. 814.","noteIndex":78},"citationItems":[{"id":1168,"uris":["http://zotero.org/users/5133869/items/BTRR33NF"],"itemData":{"id":1168,"type":"chapter","container-title":"Le droit malgré tout. Hommage à François Ost","event-place":"Bruxelles","page":"785-825","publisher":"Presses de l'Université Saint-Louis - Bruxelles","publisher-place":"Bruxelles","title":"A quoi sert un préambule constitutionnel ? Réflexions de théorie du droit en marge du débat sur l'inscription d'un principe de laïcité dans un préambule ajouté à la Constitution belge","author":[{"family":"Dumont","given":"Hugues"}],"editor":[{"family":"Cartuyvels","given":"Yves"}],"issued":{"date-parts":[["2018"]]}},"locator":"814"}],"schema":"https://github.com/citation-style-language/schema/raw/master/csl-citation.json"} </w:instrText>
      </w:r>
      <w:r w:rsidRPr="00022216">
        <w:rPr>
          <w:rFonts w:cs="Times New Roman"/>
        </w:rPr>
        <w:fldChar w:fldCharType="separate"/>
      </w:r>
      <w:r w:rsidRPr="00387DD6">
        <w:rPr>
          <w:rFonts w:cs="Times New Roman"/>
          <w:szCs w:val="24"/>
        </w:rPr>
        <w:t xml:space="preserve">H. </w:t>
      </w:r>
      <w:r w:rsidRPr="00387DD6">
        <w:rPr>
          <w:rFonts w:cs="Times New Roman"/>
          <w:smallCaps/>
          <w:szCs w:val="24"/>
        </w:rPr>
        <w:t>Dumont</w:t>
      </w:r>
      <w:r w:rsidRPr="00387DD6">
        <w:rPr>
          <w:rFonts w:cs="Times New Roman"/>
          <w:szCs w:val="24"/>
        </w:rPr>
        <w:t xml:space="preserve">, « A quoi sert un préambule constitutionnel ? Réflexions de théorie du droit en marge du débat sur l’inscription d’un principe de laïcité dans un préambule ajouté à la Constitution belge », </w:t>
      </w:r>
      <w:r w:rsidRPr="00387DD6">
        <w:rPr>
          <w:rFonts w:cs="Times New Roman"/>
          <w:i/>
          <w:iCs/>
          <w:szCs w:val="24"/>
        </w:rPr>
        <w:t>in</w:t>
      </w:r>
      <w:r w:rsidRPr="00387DD6">
        <w:rPr>
          <w:rFonts w:cs="Times New Roman"/>
          <w:szCs w:val="24"/>
        </w:rPr>
        <w:t xml:space="preserve"> Y. </w:t>
      </w:r>
      <w:proofErr w:type="spellStart"/>
      <w:r w:rsidRPr="00387DD6">
        <w:rPr>
          <w:rFonts w:cs="Times New Roman"/>
          <w:smallCaps/>
          <w:szCs w:val="24"/>
        </w:rPr>
        <w:t>Cartuyvels</w:t>
      </w:r>
      <w:proofErr w:type="spellEnd"/>
      <w:r w:rsidRPr="00387DD6">
        <w:rPr>
          <w:rFonts w:cs="Times New Roman"/>
          <w:szCs w:val="24"/>
        </w:rPr>
        <w:t xml:space="preserve"> (éd.), </w:t>
      </w:r>
      <w:r w:rsidRPr="00387DD6">
        <w:rPr>
          <w:rFonts w:cs="Times New Roman"/>
          <w:i/>
          <w:iCs/>
          <w:szCs w:val="24"/>
        </w:rPr>
        <w:t>Le droit malgré tout. Hommage à François Ost</w:t>
      </w:r>
      <w:r w:rsidRPr="00387DD6">
        <w:rPr>
          <w:rFonts w:cs="Times New Roman"/>
          <w:szCs w:val="24"/>
        </w:rPr>
        <w:t>, Bruxelles, Presses de l’Université Saint-Louis - Bruxelles, 2018, p. 814.</w:t>
      </w:r>
      <w:r w:rsidRPr="00022216">
        <w:rPr>
          <w:rFonts w:cs="Times New Roman"/>
        </w:rPr>
        <w:fldChar w:fldCharType="end"/>
      </w:r>
      <w:r>
        <w:rPr>
          <w:rFonts w:cs="Times New Roman"/>
        </w:rPr>
        <w:t xml:space="preserve"> Voyons aussi l’expression analogue de « convictions de conscience » utilisée par </w:t>
      </w:r>
      <w:r w:rsidRPr="00022216">
        <w:rPr>
          <w:rFonts w:cs="Times New Roman"/>
        </w:rPr>
        <w:t xml:space="preserve">J. </w:t>
      </w:r>
      <w:r w:rsidRPr="00022216">
        <w:rPr>
          <w:rFonts w:cs="Times New Roman"/>
          <w:smallCaps/>
        </w:rPr>
        <w:t>Maclure</w:t>
      </w:r>
      <w:r w:rsidRPr="00022216">
        <w:rPr>
          <w:rFonts w:cs="Times New Roman"/>
        </w:rPr>
        <w:t xml:space="preserve"> et C. </w:t>
      </w:r>
      <w:r w:rsidRPr="00022216">
        <w:rPr>
          <w:rFonts w:cs="Times New Roman"/>
          <w:smallCaps/>
        </w:rPr>
        <w:t>Taylor</w:t>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{"citationID":"Vhyfj60k","properties":{"formattedCitation":"(voy. {\\i{}La\\uc0\\u239{}cit\\uc0\\u233{} et libert\\uc0\\u233{} de conscience}, {\\i{}op. cit.}, pp. 156\\uc0\\u8209{}157).","plainCitation":"(voy. Laïcité et liberté de conscience, op. cit., pp. 156‑157).","noteIndex":78},"citationItems":[{"id":973,"uris":["http://zotero.org/users/5133869/items/LVFF94XT"],"itemData":{"id":973,"type":"book","event-place":"Paris","ISBN":"978-2-7071-6647-0","language":"French","note":"OCLC: 1025706332","publisher":"La Découverte","publisher-place":"Paris","source":"Open WorldCat","title":"Laïcité et liberté de conscience","author":[{"family":"Maclure","given":"Jocelyn"},{"family":"Taylor","given":"Charles"}],"issued":{"date-parts":[["2010"]]}},"locator":"156-157","suppress-author":true,"prefix":"(voy.","suffix":")"}],"schema":"https://github.com/citation-style-language/schema/raw/master/csl-citation.json"} </w:instrText>
      </w:r>
      <w:r w:rsidRPr="00022216">
        <w:rPr>
          <w:rFonts w:cs="Times New Roman"/>
        </w:rPr>
        <w:fldChar w:fldCharType="separate"/>
      </w:r>
      <w:r w:rsidRPr="00022216">
        <w:rPr>
          <w:rFonts w:cs="Times New Roman"/>
        </w:rPr>
        <w:t>(</w:t>
      </w:r>
      <w:proofErr w:type="spellStart"/>
      <w:r w:rsidRPr="00022216">
        <w:rPr>
          <w:rFonts w:cs="Times New Roman"/>
        </w:rPr>
        <w:t>voy</w:t>
      </w:r>
      <w:proofErr w:type="spellEnd"/>
      <w:r w:rsidRPr="00022216">
        <w:rPr>
          <w:rFonts w:cs="Times New Roman"/>
        </w:rPr>
        <w:t xml:space="preserve">. </w:t>
      </w:r>
      <w:r w:rsidRPr="00022216">
        <w:rPr>
          <w:rFonts w:cs="Times New Roman"/>
          <w:i/>
          <w:iCs/>
        </w:rPr>
        <w:t>Laïcité et liberté de conscience</w:t>
      </w:r>
      <w:r>
        <w:rPr>
          <w:rFonts w:cs="Times New Roman"/>
          <w:i/>
          <w:iCs/>
        </w:rPr>
        <w:fldChar w:fldCharType="begin"/>
      </w:r>
      <w:r>
        <w:rPr>
          <w:rFonts w:cs="Times New Roman"/>
          <w:i/>
          <w:iCs/>
        </w:rPr>
        <w:instrText xml:space="preserve"> XE "</w:instrText>
      </w:r>
      <w:r w:rsidRPr="0015339B">
        <w:rPr>
          <w:rFonts w:ascii="Cambria" w:eastAsia="Times New Roman" w:hAnsi="Cambria" w:cs="Calibri"/>
          <w:color w:val="000000"/>
          <w:lang w:eastAsia="fr-BE"/>
        </w:rPr>
        <w:instrText>Conscience"</w:instrText>
      </w:r>
      <w:r>
        <w:rPr>
          <w:rFonts w:cs="Times New Roman"/>
          <w:i/>
          <w:iCs/>
        </w:rPr>
        <w:instrText xml:space="preserve"> </w:instrText>
      </w:r>
      <w:r>
        <w:rPr>
          <w:rFonts w:cs="Times New Roman"/>
          <w:i/>
          <w:iCs/>
        </w:rPr>
        <w:fldChar w:fldCharType="end"/>
      </w:r>
      <w:r w:rsidRPr="00022216">
        <w:rPr>
          <w:rFonts w:cs="Times New Roman"/>
        </w:rPr>
        <w:t xml:space="preserve">,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156‑157).</w:t>
      </w:r>
      <w:r w:rsidRPr="00022216">
        <w:rPr>
          <w:rFonts w:cs="Times New Roman"/>
        </w:rPr>
        <w:fldChar w:fldCharType="end"/>
      </w:r>
    </w:p>
  </w:footnote>
  <w:footnote w:id="67">
    <w:p w14:paraId="7B764781" w14:textId="7EB0D30D" w:rsidR="000D6C77" w:rsidRPr="00022216" w:rsidRDefault="000D6C77" w:rsidP="001F5331">
      <w:pPr>
        <w:pStyle w:val="Notedebasdepage"/>
        <w:rPr>
          <w:rFonts w:cs="Times New Roman"/>
        </w:rPr>
      </w:pPr>
      <w:r w:rsidRPr="00022216">
        <w:rPr>
          <w:rStyle w:val="Appelnotedebasdep"/>
          <w:rFonts w:cs="Times New Roman"/>
        </w:rPr>
        <w:footnoteRef/>
      </w:r>
      <w:r w:rsidRPr="00022216">
        <w:rPr>
          <w:rFonts w:cs="Times New Roman"/>
        </w:rPr>
        <w:t xml:space="preserve"> Notons toutefois que certains </w:t>
      </w:r>
      <w:r>
        <w:rPr>
          <w:rFonts w:cs="Times New Roman"/>
        </w:rPr>
        <w:t>États</w:t>
      </w:r>
      <w:r w:rsidRPr="00022216">
        <w:rPr>
          <w:rFonts w:cs="Times New Roman"/>
        </w:rPr>
        <w:t xml:space="preserve"> membres ont élargi la notion de conviction à d’autres types de conviction. C’est ainsi le cas de la Belgique, </w:t>
      </w:r>
      <w:r>
        <w:rPr>
          <w:rFonts w:cs="Times New Roman"/>
        </w:rPr>
        <w:t xml:space="preserve">dont </w:t>
      </w:r>
      <w:r w:rsidRPr="00022216">
        <w:rPr>
          <w:rFonts w:cs="Times New Roman"/>
        </w:rPr>
        <w:t>la loi du 10 mai 2007 intègre</w:t>
      </w:r>
      <w:r>
        <w:rPr>
          <w:rFonts w:cs="Times New Roman"/>
        </w:rPr>
        <w:t>, en son article 3,</w:t>
      </w:r>
      <w:r w:rsidRPr="00022216">
        <w:rPr>
          <w:rFonts w:cs="Times New Roman"/>
        </w:rPr>
        <w:t xml:space="preserve"> les convictions politiques et syndicales comme critères protégés supplémentaires.</w:t>
      </w:r>
    </w:p>
  </w:footnote>
  <w:footnote w:id="68">
    <w:p w14:paraId="307CD3F3" w14:textId="150C6A6C" w:rsidR="000D6C77" w:rsidRPr="008D517D" w:rsidRDefault="000D6C77">
      <w:pPr>
        <w:pStyle w:val="Notedebasdepage"/>
        <w:rPr>
          <w:lang w:val="fr-FR"/>
        </w:rPr>
      </w:pPr>
      <w:r>
        <w:rPr>
          <w:rStyle w:val="Appelnotedebasdep"/>
        </w:rPr>
        <w:footnoteRef/>
      </w:r>
      <w:r>
        <w:t xml:space="preserve"> </w:t>
      </w:r>
      <w:r>
        <w:rPr>
          <w:i/>
        </w:rPr>
        <w:t>LF c. SCRL</w:t>
      </w:r>
      <w:r>
        <w:t>, para. 27 : « </w:t>
      </w:r>
      <w:r w:rsidRPr="00437617">
        <w:t>le motif de discrimination</w:t>
      </w:r>
      <w:r>
        <w:t xml:space="preserve"> </w:t>
      </w:r>
      <w:r w:rsidRPr="00437617">
        <w:t xml:space="preserve">fondé sur </w:t>
      </w:r>
      <w:r>
        <w:rPr>
          <w:rFonts w:cs="Times New Roman"/>
        </w:rPr>
        <w:t>"</w:t>
      </w:r>
      <w:r w:rsidRPr="00437617">
        <w:t>la religion ou les convictions</w:t>
      </w:r>
      <w:r>
        <w:rPr>
          <w:rFonts w:cs="Times New Roman"/>
        </w:rPr>
        <w:t>"</w:t>
      </w:r>
      <w:r w:rsidRPr="00437617">
        <w:t xml:space="preserve"> est à distinguer du motif tiré des </w:t>
      </w:r>
      <w:r>
        <w:rPr>
          <w:rFonts w:cs="Times New Roman"/>
        </w:rPr>
        <w:t>"</w:t>
      </w:r>
      <w:r w:rsidRPr="00437617">
        <w:t>opinions politiques ou[de] toute autre opinion</w:t>
      </w:r>
      <w:r>
        <w:rPr>
          <w:rFonts w:cs="Times New Roman"/>
        </w:rPr>
        <w:t>"</w:t>
      </w:r>
      <w:r w:rsidRPr="00437617">
        <w:t xml:space="preserve"> et couvre dès lors tant les convictions religieuses que les convictions</w:t>
      </w:r>
      <w:r>
        <w:t xml:space="preserve"> </w:t>
      </w:r>
      <w:r w:rsidRPr="00437617">
        <w:t>philosophiques ou spirituelles</w:t>
      </w:r>
      <w:r>
        <w:t> ».</w:t>
      </w:r>
    </w:p>
  </w:footnote>
  <w:footnote w:id="69">
    <w:p w14:paraId="4C26A485" w14:textId="41F26599" w:rsidR="000D6C77" w:rsidRPr="00A84D11" w:rsidRDefault="000D6C77">
      <w:pPr>
        <w:pStyle w:val="Notedebasdepage"/>
        <w:rPr>
          <w:lang w:val="en-GB"/>
        </w:rPr>
      </w:pPr>
      <w:r>
        <w:rPr>
          <w:rStyle w:val="Appelnotedebasdep"/>
        </w:rPr>
        <w:footnoteRef/>
      </w:r>
      <w:r>
        <w:t xml:space="preserve"> Si la</w:t>
      </w:r>
      <w:r w:rsidRPr="00A4609F">
        <w:t xml:space="preserve"> jurisprudence </w:t>
      </w:r>
      <w:r>
        <w:t xml:space="preserve">de la CourEDH est </w:t>
      </w:r>
      <w:r w:rsidRPr="00A4609F">
        <w:t>relativement avare de précisions quant au contenu exact de ce for interne</w:t>
      </w:r>
      <w:r>
        <w:t xml:space="preserve">, l’on y intègre classiquement </w:t>
      </w:r>
      <w:r w:rsidRPr="00A4609F">
        <w:t>la liberté d’avoir ou de ne pas avoir de convictions religieuses, mais également de changer de religio</w:t>
      </w:r>
      <w:r>
        <w:t xml:space="preserve">n : sur ce point, </w:t>
      </w:r>
      <w:proofErr w:type="spellStart"/>
      <w:r>
        <w:t>voy</w:t>
      </w:r>
      <w:proofErr w:type="spellEnd"/>
      <w:r>
        <w:t xml:space="preserve">. </w:t>
      </w:r>
      <w:r w:rsidRPr="00387DD6">
        <w:fldChar w:fldCharType="begin"/>
      </w:r>
      <w:r>
        <w:instrText xml:space="preserve"> ADDIN ZOTERO_ITEM CSL_CITATION {"citationID":"qTbJv0C9","properties":{"formattedCitation":"M.D. {\\scaps Evans}, {\\i{}Manual on the wearing of religious symbols in public areas}, Leiden, Nijhoff, 2009, pp. 8\\uc0\\u8209{}9.","plainCitation":"M.D. Evans, Manual on the wearing of religious symbols in public areas, Leiden, Nijhoff, 2009, pp. 8‑9.","noteIndex":81},"citationItems":[{"id":1386,"uris":["http://zotero.org/users/5133869/items/MEMGJBR7"],"itemData":{"id":1386,"type":"book","event-place":"Leiden","ISBN":"978-90-04-17276-0","language":"eng","note":"OCLC: 297226416","number-of-pages":"126","publisher":"Nijhoff","publisher-place":"Leiden","source":"Gemeinsamer Bibliotheksverbund ISBN","title":"Manual on the wearing of religious symbols in public areas","author":[{"family":"Evans","given":"Malcolm D."}],"issued":{"date-parts":[["2009"]]}},"locator":"8-9"}],"schema":"https://github.com/citation-style-language/schema/raw/master/csl-citation.json"} </w:instrText>
      </w:r>
      <w:r w:rsidRPr="00387DD6">
        <w:fldChar w:fldCharType="separate"/>
      </w:r>
      <w:r w:rsidRPr="00A84D11">
        <w:rPr>
          <w:rFonts w:cs="Times New Roman"/>
          <w:szCs w:val="24"/>
          <w:lang w:val="en-GB"/>
        </w:rPr>
        <w:t xml:space="preserve">M.D. </w:t>
      </w:r>
      <w:r w:rsidRPr="00A84D11">
        <w:rPr>
          <w:rFonts w:cs="Times New Roman"/>
          <w:smallCaps/>
          <w:szCs w:val="24"/>
          <w:lang w:val="en-GB"/>
        </w:rPr>
        <w:t>Evans</w:t>
      </w:r>
      <w:r w:rsidRPr="00A84D11">
        <w:rPr>
          <w:rFonts w:cs="Times New Roman"/>
          <w:szCs w:val="24"/>
          <w:lang w:val="en-GB"/>
        </w:rPr>
        <w:t xml:space="preserve">, </w:t>
      </w:r>
      <w:r w:rsidRPr="00A84D11">
        <w:rPr>
          <w:rFonts w:cs="Times New Roman"/>
          <w:i/>
          <w:iCs/>
          <w:szCs w:val="24"/>
          <w:lang w:val="en-GB"/>
        </w:rPr>
        <w:t>Manual on the wearing of religious symbols in public areas</w:t>
      </w:r>
      <w:r w:rsidRPr="00A84D11">
        <w:rPr>
          <w:rFonts w:cs="Times New Roman"/>
          <w:szCs w:val="24"/>
          <w:lang w:val="en-GB"/>
        </w:rPr>
        <w:t xml:space="preserve">, Leiden, </w:t>
      </w:r>
      <w:proofErr w:type="spellStart"/>
      <w:r w:rsidRPr="00A84D11">
        <w:rPr>
          <w:rFonts w:cs="Times New Roman"/>
          <w:szCs w:val="24"/>
          <w:lang w:val="en-GB"/>
        </w:rPr>
        <w:t>Nijhoff</w:t>
      </w:r>
      <w:proofErr w:type="spellEnd"/>
      <w:r w:rsidRPr="00A84D11">
        <w:rPr>
          <w:rFonts w:cs="Times New Roman"/>
          <w:szCs w:val="24"/>
          <w:lang w:val="en-GB"/>
        </w:rPr>
        <w:t>, 2009, pp. 8‑9.</w:t>
      </w:r>
      <w:r w:rsidRPr="00387DD6">
        <w:fldChar w:fldCharType="end"/>
      </w:r>
    </w:p>
  </w:footnote>
  <w:footnote w:id="70">
    <w:p w14:paraId="145CED48" w14:textId="7DFB3B60" w:rsidR="000D6C77" w:rsidRDefault="000D6C77" w:rsidP="00315F19">
      <w:pPr>
        <w:pStyle w:val="Notedebasdepage"/>
      </w:pPr>
      <w:r>
        <w:rPr>
          <w:rStyle w:val="Appelnotedebasdep"/>
        </w:rPr>
        <w:footnoteRef/>
      </w:r>
      <w:r>
        <w:t xml:space="preserve"> « La liberté de manifester sa religion ou ses convictions ne peut faire l’objet d’autres restrictions que celles qui, prévues par la loi, constituent des mesures nécessaires, dans une société démocratique, à la sécurité publique, à la protection de l’ordre, de la santé ou de la morale publiques, ou à la protection des droits et libertés d’autrui ».</w:t>
      </w:r>
    </w:p>
  </w:footnote>
  <w:footnote w:id="71">
    <w:p w14:paraId="309A2E40" w14:textId="48903169" w:rsidR="000D6C77" w:rsidRPr="00022216" w:rsidRDefault="000D6C77" w:rsidP="00434B8C">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sidRPr="00022216">
        <w:rPr>
          <w:rFonts w:cs="Times New Roman"/>
          <w:i/>
          <w:iCs/>
        </w:rPr>
        <w:t>Eweida</w:t>
      </w:r>
      <w:proofErr w:type="spellEnd"/>
      <w:r>
        <w:rPr>
          <w:rFonts w:cs="Times New Roman"/>
          <w:i/>
          <w:iCs/>
        </w:rPr>
        <w:t xml:space="preserve"> e.a.</w:t>
      </w:r>
      <w:r w:rsidRPr="00022216">
        <w:rPr>
          <w:rFonts w:cs="Times New Roman"/>
        </w:rPr>
        <w:t>, para. 82</w:t>
      </w:r>
      <w:r>
        <w:rPr>
          <w:rFonts w:cs="Times New Roman"/>
        </w:rPr>
        <w:t>.</w:t>
      </w:r>
    </w:p>
  </w:footnote>
  <w:footnote w:id="72">
    <w:p w14:paraId="5D054F61" w14:textId="33D7F5F7" w:rsidR="000D6C77" w:rsidRPr="00B72C73" w:rsidRDefault="000D6C77" w:rsidP="002A5595">
      <w:pPr>
        <w:pStyle w:val="Notedebasdepage"/>
      </w:pPr>
      <w:r>
        <w:rPr>
          <w:rStyle w:val="Appelnotedebasdep"/>
        </w:rPr>
        <w:footnoteRef/>
      </w:r>
      <w:r w:rsidRPr="00B72C73">
        <w:t xml:space="preserve"> </w:t>
      </w:r>
      <w:r>
        <w:fldChar w:fldCharType="begin"/>
      </w:r>
      <w:r>
        <w:instrText xml:space="preserve"> ADDIN ZOTERO_ITEM CSL_CITATION {"citationID":"k58hf3kN","properties":{"formattedCitation":"A. {\\scaps Yernaux}, {\\i{}Les convictions du travailleur et l\\uc0\\u8217{}entreprise. Du dilemme entre vie professionnelle et \\uc0\\u233{}thique personnelle}, Bruxelles, Kluwer, 2014, p. 17.","plainCitation":"A. Yernaux, Les convictions du travailleur et l’entreprise. Du dilemme entre vie professionnelle et éthique personnelle, Bruxelles, Kluwer, 2014, p. 17.","noteIndex":84},"citationItems":[{"id":191,"uris":["http://zotero.org/users/5133869/items/Q3IN8X3J"],"itemData":{"id":191,"type":"book","event-place":"Bruxelles","publisher":"Kluwer","publisher-place":"Bruxelles","title":"Les convictions du travailleur et l’entreprise. Du dilemme entre vie professionnelle et éthique personnelle","author":[{"family":"Yernaux","given":"Alan"}],"issued":{"date-parts":[["2014"]]}},"locator":"17"}],"schema":"https://github.com/citation-style-language/schema/raw/master/csl-citation.json"} </w:instrText>
      </w:r>
      <w:r>
        <w:fldChar w:fldCharType="separate"/>
      </w:r>
      <w:r w:rsidRPr="00CB6A54">
        <w:rPr>
          <w:rFonts w:cs="Times New Roman"/>
          <w:szCs w:val="24"/>
        </w:rPr>
        <w:t xml:space="preserve">A. </w:t>
      </w:r>
      <w:proofErr w:type="spellStart"/>
      <w:r w:rsidRPr="00CB6A54">
        <w:rPr>
          <w:rFonts w:cs="Times New Roman"/>
          <w:smallCaps/>
          <w:szCs w:val="24"/>
        </w:rPr>
        <w:t>Yernaux</w:t>
      </w:r>
      <w:proofErr w:type="spellEnd"/>
      <w:r w:rsidRPr="00CB6A54">
        <w:rPr>
          <w:rFonts w:cs="Times New Roman"/>
          <w:szCs w:val="24"/>
        </w:rPr>
        <w:t xml:space="preserve">, </w:t>
      </w:r>
      <w:r w:rsidRPr="00CB6A54">
        <w:rPr>
          <w:rFonts w:cs="Times New Roman"/>
          <w:i/>
          <w:iCs/>
          <w:szCs w:val="24"/>
        </w:rPr>
        <w:t>Les convictions du travailleur et l’entreprise. Du dilemme entre vie professionnelle et éthique personnelle</w:t>
      </w:r>
      <w:r w:rsidRPr="00CB6A54">
        <w:rPr>
          <w:rFonts w:cs="Times New Roman"/>
          <w:szCs w:val="24"/>
        </w:rPr>
        <w:t>, Bruxelles, Kluwer, 2014, p. 17.</w:t>
      </w:r>
      <w:r>
        <w:fldChar w:fldCharType="end"/>
      </w:r>
    </w:p>
  </w:footnote>
  <w:footnote w:id="73">
    <w:p w14:paraId="7B6F5D97" w14:textId="4C9F6780" w:rsidR="000D6C77" w:rsidRPr="008D517D" w:rsidRDefault="000D6C77" w:rsidP="00437617">
      <w:pPr>
        <w:pStyle w:val="Notedebasdepage"/>
        <w:rPr>
          <w:lang w:val="en-US"/>
        </w:rPr>
      </w:pPr>
      <w:r>
        <w:rPr>
          <w:rStyle w:val="Appelnotedebasdep"/>
        </w:rPr>
        <w:footnoteRef/>
      </w:r>
      <w:r w:rsidRPr="008D517D">
        <w:rPr>
          <w:lang w:val="en-US"/>
        </w:rPr>
        <w:t xml:space="preserve"> </w:t>
      </w:r>
      <w:r>
        <w:fldChar w:fldCharType="begin"/>
      </w:r>
      <w:r>
        <w:rPr>
          <w:lang w:val="en-US"/>
        </w:rPr>
        <w:instrText xml:space="preserve"> ADDIN ZOTERO_ITEM CSL_CITATION {"citationID":"h7GGyA6a","properties":{"formattedCitation":"K. {\\scaps Brooks}, \\uc0\\u171{}\\uc0\\u160{}Too Heavy a Burden: Testing Complicity-Based Claims Under the Religious Freedom Restoration Act\\uc0\\u160{}\\uc0\\u187{}, {\\i{}Indiana Law Journal}, 2016, vol. 92, pp. 40\\uc0\\u8209{}60\\uc0\\u160{}; A.J. {\\scaps Sepinwall}, \\uc0\\u171{}\\uc0\\u160{}Conscience and Complicity: Assessing Pleas for Religious Exemptions in Hobby Lobby\\uc0\\u8217{}s Wake\\uc0\\u160{}\\uc0\\u187{}, {\\i{}The University of Chicago Law Review}, 2015, vol. 82, pp. 1897\\uc0\\u8209{}1980.","plainCitation":"K. Brooks, « Too Heavy a Burden: Testing Complicity-Based Claims Under the Religious Freedom Restoration Act », Indiana Law Journal, 2016, vol. 92, pp. 40‑60 ; A.J. Sepinwall, « Conscience and Complicity: Assessing Pleas for Religious Exemptions in Hobby Lobby’s Wake », The University of Chicago Law Review, 2015, vol. 82, pp. 1897‑1980.","noteIndex":85},"citationItems":[{"id":589,"uris":["http://zotero.org/users/5133869/items/IU4GCJPR"],"itemData":{"id":589,"type":"article-journal","container-title":"Indiana Law Journal","language":"en","page":"40-60","source":"Zotero","title":"Too Heavy a Burden: Testing Complicity-Based Claims Under the Religious Freedom Restoration Act","volume":"92","author":[{"family":"Brooks","given":"Kaleb"}],"issued":{"date-parts":[["2016"]]}}},{"id":570,"uris":["http://zotero.org/users/5133869/items/L62VZCZD"],"itemData":{"id":570,"type":"article-journal","container-title":"The University of Chicago Law Review","page":"1897-1980","title":"Conscience and Complicity: Assessing Pleas for Religious Exemptions in Hobby Lobby's Wake","volume":"82","author":[{"family":"Sepinwall","given":"Amy J."}],"issued":{"date-parts":[["2015"]]}}}],"schema":"https://github.com/citation-style-language/schema/raw/master/csl-citation.json"} </w:instrText>
      </w:r>
      <w:r>
        <w:fldChar w:fldCharType="separate"/>
      </w:r>
      <w:r w:rsidRPr="008D517D">
        <w:rPr>
          <w:rFonts w:cs="Times New Roman"/>
          <w:szCs w:val="24"/>
          <w:lang w:val="en-US"/>
        </w:rPr>
        <w:t xml:space="preserve">K. </w:t>
      </w:r>
      <w:r w:rsidRPr="008D517D">
        <w:rPr>
          <w:rFonts w:cs="Times New Roman"/>
          <w:smallCaps/>
          <w:szCs w:val="24"/>
          <w:lang w:val="en-US"/>
        </w:rPr>
        <w:t>Brooks</w:t>
      </w:r>
      <w:r w:rsidRPr="008D517D">
        <w:rPr>
          <w:rFonts w:cs="Times New Roman"/>
          <w:szCs w:val="24"/>
          <w:lang w:val="en-US"/>
        </w:rPr>
        <w:t xml:space="preserve">, « Too Heavy a Burden: Testing Complicity-Based Claims Under the Religious Freedom Restoration Act », </w:t>
      </w:r>
      <w:r w:rsidRPr="008D517D">
        <w:rPr>
          <w:rFonts w:cs="Times New Roman"/>
          <w:i/>
          <w:iCs/>
          <w:szCs w:val="24"/>
          <w:lang w:val="en-US"/>
        </w:rPr>
        <w:t>Indiana Law Journal</w:t>
      </w:r>
      <w:r w:rsidRPr="008D517D">
        <w:rPr>
          <w:rFonts w:cs="Times New Roman"/>
          <w:szCs w:val="24"/>
          <w:lang w:val="en-US"/>
        </w:rPr>
        <w:t xml:space="preserve">, 2016, vol. 92, pp. 40‑60 ; A.J. </w:t>
      </w:r>
      <w:r w:rsidRPr="008D517D">
        <w:rPr>
          <w:rFonts w:cs="Times New Roman"/>
          <w:smallCaps/>
          <w:szCs w:val="24"/>
          <w:lang w:val="en-US"/>
        </w:rPr>
        <w:t>Sepinwall</w:t>
      </w:r>
      <w:r w:rsidRPr="008D517D">
        <w:rPr>
          <w:rFonts w:cs="Times New Roman"/>
          <w:szCs w:val="24"/>
          <w:lang w:val="en-US"/>
        </w:rPr>
        <w:t xml:space="preserve">, « Conscience and Complicity: Assessing Pleas for Religious Exemptions in Hobby Lobby’s Wake », </w:t>
      </w:r>
      <w:r w:rsidRPr="008D517D">
        <w:rPr>
          <w:rFonts w:cs="Times New Roman"/>
          <w:i/>
          <w:iCs/>
          <w:szCs w:val="24"/>
          <w:lang w:val="en-US"/>
        </w:rPr>
        <w:t>The University of Chicago Law Review</w:t>
      </w:r>
      <w:r w:rsidRPr="008D517D">
        <w:rPr>
          <w:rFonts w:cs="Times New Roman"/>
          <w:szCs w:val="24"/>
          <w:lang w:val="en-US"/>
        </w:rPr>
        <w:t>, 2015, vol. 82, pp. 1897‑1980.</w:t>
      </w:r>
      <w:r>
        <w:fldChar w:fldCharType="end"/>
      </w:r>
    </w:p>
  </w:footnote>
  <w:footnote w:id="74">
    <w:p w14:paraId="2FC31B40" w14:textId="32DD4B5A" w:rsidR="000D6C77" w:rsidRPr="002A5595" w:rsidRDefault="000D6C77" w:rsidP="002A5595">
      <w:pPr>
        <w:pStyle w:val="Notedebasdepage"/>
        <w:rPr>
          <w:lang w:val="en-GB"/>
        </w:rPr>
      </w:pPr>
      <w:r>
        <w:rPr>
          <w:rStyle w:val="Appelnotedebasdep"/>
        </w:rPr>
        <w:footnoteRef/>
      </w:r>
      <w:r w:rsidRPr="002A5595">
        <w:rPr>
          <w:lang w:val="en-GB"/>
        </w:rPr>
        <w:t xml:space="preserve"> </w:t>
      </w:r>
      <w:r>
        <w:fldChar w:fldCharType="begin"/>
      </w:r>
      <w:r>
        <w:rPr>
          <w:lang w:val="en-GB"/>
        </w:rPr>
        <w:instrText xml:space="preserve"> ADDIN ZOTERO_ITEM CSL_CITATION {"citationID":"N82hhW7O","properties":{"formattedCitation":"T. {\\scaps Loenen}, \\uc0\\u171{}\\uc0\\u160{}Framing Headscarves and other Multi-Cultural Issues as Religious, Cultural, Racial or Gendered: The Role of Human Rights Law\\uc0\\u160{}\\uc0\\u187{}, {\\i{}Netherlands Quarterly of Human Rights}, d\\uc0\\u233{}cembre 2012, vol. 30, n\\uc0\\u176{} 4, p. 477.","plainCitation":"T. Loenen, « Framing Headscarves and other Multi-Cultural Issues as Religious, Cultural, Racial or Gendered: The Role of Human Rights Law », Netherlands Quarterly of Human Rights, décembre 2012, vol. 30, n° 4, p. 477.","noteIndex":86},"citationItems":[{"id":935,"uris":["http://zotero.org/users/5133869/items/XECQ38E3"],"itemData":{"id":935,"type":"article-journal","abstract":"In many European societies emotions run high on claims for accommodating religious and/or cultural manifestations, such as wearing a headscarf at work or not being required to shake hands with persons of the opposite sex. People may perceive these issues in different ways as being about religion, culture, gender or race/ethnic origin. This article explores the question how human rights law feeds into this process of framing, concentrating on European human rights standards. What does human rights law (potentially) add to the way the issues are perceived and interpreted? What specific ways of framing will human rights law perhaps enable or stimulate? The overall conclusion is that human rights law is not a neutral factor in framing the headscarf and shaking hands issues as either cultural, religious, racial and/or gendered.","container-title":"Netherlands Quarterly of Human Rights","DOI":"10.1177/016934411203000406","ISSN":"0924-0519, 2214-7357","issue":"4","language":"en","page":"472-488","source":"Crossref","title":"Framing Headscarves and other Multi-Cultural Issues as Religious, Cultural, Racial or Gendered: The Role of Human Rights Law","title-short":"Framing Headscarves and other Multi-Cultural Issues as Religious, Cultural, Racial or Gendered","volume":"30","author":[{"family":"Loenen","given":"Titia"}],"issued":{"date-parts":[["2012",12]]}},"locator":"477"}],"schema":"https://github.com/citation-style-language/schema/raw/master/csl-citation.json"} </w:instrText>
      </w:r>
      <w:r>
        <w:fldChar w:fldCharType="separate"/>
      </w:r>
      <w:r w:rsidRPr="002A5595">
        <w:rPr>
          <w:rFonts w:cs="Times New Roman"/>
          <w:szCs w:val="24"/>
          <w:lang w:val="en-GB"/>
        </w:rPr>
        <w:t xml:space="preserve">T. </w:t>
      </w:r>
      <w:proofErr w:type="spellStart"/>
      <w:r w:rsidRPr="002A5595">
        <w:rPr>
          <w:rFonts w:cs="Times New Roman"/>
          <w:smallCaps/>
          <w:szCs w:val="24"/>
          <w:lang w:val="en-GB"/>
        </w:rPr>
        <w:t>Loenen</w:t>
      </w:r>
      <w:proofErr w:type="spellEnd"/>
      <w:r w:rsidRPr="002A5595">
        <w:rPr>
          <w:rFonts w:cs="Times New Roman"/>
          <w:szCs w:val="24"/>
          <w:lang w:val="en-GB"/>
        </w:rPr>
        <w:t xml:space="preserve">, « Framing Headscarves and other Multi-Cultural Issues as Religious, Cultural, Racial or Gendered: The Role of Human Rights Law », </w:t>
      </w:r>
      <w:r w:rsidRPr="002A5595">
        <w:rPr>
          <w:rFonts w:cs="Times New Roman"/>
          <w:i/>
          <w:iCs/>
          <w:szCs w:val="24"/>
          <w:lang w:val="en-GB"/>
        </w:rPr>
        <w:t>Netherlands Quarterly of Human Rights</w:t>
      </w:r>
      <w:r w:rsidRPr="002A5595">
        <w:rPr>
          <w:rFonts w:cs="Times New Roman"/>
          <w:szCs w:val="24"/>
          <w:lang w:val="en-GB"/>
        </w:rPr>
        <w:t xml:space="preserve">, </w:t>
      </w:r>
      <w:proofErr w:type="spellStart"/>
      <w:r w:rsidRPr="002A5595">
        <w:rPr>
          <w:rFonts w:cs="Times New Roman"/>
          <w:szCs w:val="24"/>
          <w:lang w:val="en-GB"/>
        </w:rPr>
        <w:t>décembre</w:t>
      </w:r>
      <w:proofErr w:type="spellEnd"/>
      <w:r w:rsidRPr="002A5595">
        <w:rPr>
          <w:rFonts w:cs="Times New Roman"/>
          <w:szCs w:val="24"/>
          <w:lang w:val="en-GB"/>
        </w:rPr>
        <w:t xml:space="preserve"> 2012, vol. 30, n° 4, p. 477.</w:t>
      </w:r>
      <w:r>
        <w:fldChar w:fldCharType="end"/>
      </w:r>
    </w:p>
  </w:footnote>
  <w:footnote w:id="75">
    <w:p w14:paraId="7DA9538E" w14:textId="77777777" w:rsidR="000D6C77" w:rsidRPr="008D517D" w:rsidRDefault="000D6C77" w:rsidP="00437617">
      <w:pPr>
        <w:pStyle w:val="Notedebasdepage"/>
        <w:rPr>
          <w:lang w:val="nl-BE"/>
        </w:rPr>
      </w:pPr>
      <w:r w:rsidRPr="00B029DA">
        <w:rPr>
          <w:rStyle w:val="Appelnotedebasdep"/>
        </w:rPr>
        <w:footnoteRef/>
      </w:r>
      <w:r w:rsidRPr="00B029DA">
        <w:t xml:space="preserve"> Sur l’exemple d’un travailleur musulman refusant d’entrer en contact avec de la viande de porc, </w:t>
      </w:r>
      <w:proofErr w:type="spellStart"/>
      <w:r w:rsidRPr="00B029DA">
        <w:t>voy</w:t>
      </w:r>
      <w:proofErr w:type="spellEnd"/>
      <w:r w:rsidRPr="00B029DA">
        <w:t xml:space="preserve">. </w:t>
      </w:r>
      <w:r w:rsidRPr="00B029DA">
        <w:rPr>
          <w:rFonts w:cs="Times New Roman"/>
        </w:rPr>
        <w:t>Cass</w:t>
      </w:r>
      <w:r w:rsidRPr="00022216">
        <w:rPr>
          <w:rFonts w:cs="Times New Roman"/>
        </w:rPr>
        <w:t xml:space="preserve">. </w:t>
      </w:r>
      <w:proofErr w:type="spellStart"/>
      <w:r w:rsidRPr="00022216">
        <w:rPr>
          <w:rFonts w:cs="Times New Roman"/>
        </w:rPr>
        <w:t>fr</w:t>
      </w:r>
      <w:proofErr w:type="spellEnd"/>
      <w:r w:rsidRPr="00022216">
        <w:rPr>
          <w:rFonts w:cs="Times New Roman"/>
        </w:rPr>
        <w:t xml:space="preserve"> (ch. soc.), 24 mars 1998, </w:t>
      </w:r>
      <w:r w:rsidRPr="00022216">
        <w:rPr>
          <w:rFonts w:cs="Times New Roman"/>
          <w:i/>
        </w:rPr>
        <w:t>Droit Social</w:t>
      </w:r>
      <w:r w:rsidRPr="00022216">
        <w:rPr>
          <w:rFonts w:cs="Times New Roman"/>
        </w:rPr>
        <w:t xml:space="preserve">, 1998, n° 6, pp. 614-616, obs. J. </w:t>
      </w:r>
      <w:proofErr w:type="spellStart"/>
      <w:r w:rsidRPr="00022216">
        <w:rPr>
          <w:rFonts w:cs="Times New Roman"/>
          <w:smallCaps/>
        </w:rPr>
        <w:t>Savatier</w:t>
      </w:r>
      <w:proofErr w:type="spellEnd"/>
      <w:r w:rsidRPr="00022216">
        <w:rPr>
          <w:rFonts w:cs="Times New Roman"/>
        </w:rPr>
        <w:t xml:space="preserve">. Dans le même sens, </w:t>
      </w:r>
      <w:proofErr w:type="spellStart"/>
      <w:r w:rsidRPr="00022216">
        <w:rPr>
          <w:rFonts w:cs="Times New Roman"/>
        </w:rPr>
        <w:t>voy</w:t>
      </w:r>
      <w:proofErr w:type="spellEnd"/>
      <w:r w:rsidRPr="00022216">
        <w:rPr>
          <w:rFonts w:cs="Times New Roman"/>
        </w:rPr>
        <w:t xml:space="preserve">. : T.A. Lyon, 19 février 2015, n° 1202679 (relatif à un apprenti en centre de formation) ; C. trav. </w:t>
      </w:r>
      <w:r w:rsidRPr="0031477A">
        <w:rPr>
          <w:rFonts w:cs="Times New Roman"/>
          <w:lang w:val="nl-BE"/>
        </w:rPr>
        <w:t xml:space="preserve">Bruxelles, 7 </w:t>
      </w:r>
      <w:proofErr w:type="spellStart"/>
      <w:r w:rsidRPr="0031477A">
        <w:rPr>
          <w:rFonts w:cs="Times New Roman"/>
          <w:lang w:val="nl-BE"/>
        </w:rPr>
        <w:t>novembre</w:t>
      </w:r>
      <w:proofErr w:type="spellEnd"/>
      <w:r w:rsidRPr="0031477A">
        <w:rPr>
          <w:rFonts w:cs="Times New Roman"/>
          <w:lang w:val="nl-BE"/>
        </w:rPr>
        <w:t xml:space="preserve"> 1974, </w:t>
      </w:r>
      <w:r w:rsidRPr="0031477A">
        <w:rPr>
          <w:rFonts w:cs="Times New Roman"/>
          <w:i/>
          <w:lang w:val="nl-BE"/>
        </w:rPr>
        <w:t>Tijdschrift voor Bestuurswetenschappen en Publiekrecht</w:t>
      </w:r>
      <w:r w:rsidRPr="0031477A">
        <w:rPr>
          <w:rFonts w:cs="Times New Roman"/>
          <w:lang w:val="nl-BE"/>
        </w:rPr>
        <w:t>, 1975, p. 164</w:t>
      </w:r>
      <w:r w:rsidRPr="0031477A">
        <w:rPr>
          <w:rFonts w:cs="Times New Roman"/>
          <w:lang w:val="nl-BE"/>
        </w:rPr>
        <w:noBreakHyphen/>
        <w:t xml:space="preserve">166, </w:t>
      </w:r>
      <w:proofErr w:type="spellStart"/>
      <w:r w:rsidRPr="0031477A">
        <w:rPr>
          <w:rFonts w:cs="Times New Roman"/>
          <w:lang w:val="nl-BE"/>
        </w:rPr>
        <w:t>note</w:t>
      </w:r>
      <w:proofErr w:type="spellEnd"/>
      <w:r w:rsidRPr="0031477A">
        <w:rPr>
          <w:rFonts w:cs="Times New Roman"/>
          <w:lang w:val="nl-BE"/>
        </w:rPr>
        <w:t xml:space="preserve">. </w:t>
      </w:r>
      <w:r w:rsidRPr="008D517D">
        <w:rPr>
          <w:rFonts w:cs="Times New Roman"/>
          <w:lang w:val="nl-BE"/>
        </w:rPr>
        <w:t xml:space="preserve">R. </w:t>
      </w:r>
      <w:r w:rsidRPr="008D517D">
        <w:rPr>
          <w:rFonts w:cs="Times New Roman"/>
          <w:smallCaps/>
          <w:lang w:val="nl-BE"/>
        </w:rPr>
        <w:t>Elst</w:t>
      </w:r>
      <w:r w:rsidRPr="008D517D">
        <w:rPr>
          <w:lang w:val="nl-BE"/>
        </w:rPr>
        <w:t>.</w:t>
      </w:r>
    </w:p>
  </w:footnote>
  <w:footnote w:id="76">
    <w:p w14:paraId="60A457C8" w14:textId="1E3E4BA9" w:rsidR="000D6C77" w:rsidRPr="00377CED" w:rsidRDefault="000D6C77">
      <w:pPr>
        <w:pStyle w:val="Notedebasdepage"/>
      </w:pPr>
      <w:r>
        <w:rPr>
          <w:rStyle w:val="Appelnotedebasdep"/>
        </w:rPr>
        <w:footnoteRef/>
      </w:r>
      <w:r>
        <w:t xml:space="preserve"> </w:t>
      </w:r>
      <w:r>
        <w:rPr>
          <w:rFonts w:cs="Times New Roman"/>
        </w:rPr>
        <w:t xml:space="preserve">Notons, à l’instar de S. Van </w:t>
      </w:r>
      <w:proofErr w:type="spellStart"/>
      <w:r w:rsidRPr="00377CED">
        <w:rPr>
          <w:rFonts w:cs="Times New Roman"/>
          <w:smallCaps/>
        </w:rPr>
        <w:t>Drooghenbroeck</w:t>
      </w:r>
      <w:proofErr w:type="spellEnd"/>
      <w:r>
        <w:rPr>
          <w:rFonts w:cs="Times New Roman"/>
        </w:rPr>
        <w:t>, que </w:t>
      </w:r>
      <w:r w:rsidRPr="00022216">
        <w:rPr>
          <w:rFonts w:cs="Times New Roman"/>
        </w:rPr>
        <w:t xml:space="preserve">l’esprit de la loi </w:t>
      </w:r>
      <w:r>
        <w:rPr>
          <w:rFonts w:cs="Times New Roman"/>
        </w:rPr>
        <w:t>belge anti-discrimination</w:t>
      </w:r>
      <w:r w:rsidRPr="00022216">
        <w:rPr>
          <w:rFonts w:cs="Times New Roman"/>
        </w:rPr>
        <w:t xml:space="preserve"> </w:t>
      </w:r>
      <w:r>
        <w:rPr>
          <w:rFonts w:cs="Times New Roman"/>
        </w:rPr>
        <w:t>« </w:t>
      </w:r>
      <w:r w:rsidRPr="00022216">
        <w:rPr>
          <w:rFonts w:cs="Times New Roman"/>
        </w:rPr>
        <w:t xml:space="preserve">ne limite nullement sa protection aux seules situations placées hors du choix des individus – songeons ici à l’état civil, ou encore aux convictions religieuses ou philosophiques » </w:t>
      </w:r>
      <w:r w:rsidRPr="00022216">
        <w:rPr>
          <w:rFonts w:cs="Times New Roman"/>
        </w:rPr>
        <w:fldChar w:fldCharType="begin"/>
      </w:r>
      <w:r>
        <w:rPr>
          <w:rFonts w:cs="Times New Roman"/>
        </w:rPr>
        <w:instrText xml:space="preserve"> ADDIN ZOTERO_ITEM CSL_CITATION {"citationID":"JgbPq4G3","properties":{"formattedCitation":"(\\uc0\\u171{}\\uc0\\u160{}La loi du 25 f\\uc0\\u233{}vrier 2003 tendant \\uc0\\u224{} lutter contre la discrimination\\uc0\\u8239{}: les d\\uc0\\u233{}fis d\\uc0\\u8217{}une \\uc0\\u8220{}horizontalisation\\uc0\\u8221{} des droits de l\\uc0\\u8217{}homme\\uc0\\u160{}\\uc0\\u187{}, {\\i{}Administration Publique}, 2003, n\\uc0\\u176{} 3\\uc0\\u8209{}4, p. 225).","plainCitation":"(« La loi du 25 février 2003 tendant à lutter contre la discrimination : les défis d’une “horizontalisation” des droits de l’homme », Administration Publique, 2003, n° 3‑4, p. 225).","noteIndex":98},"citationItems":[{"id":706,"uris":["http://zotero.org/users/5133869/items/XCC3RWVS"],"itemData":{"id":706,"type":"article-journal","container-title":"Administration Publique","issue":"3-4","language":"fr","page":"208-252","source":"Zotero","title":"La loi du 25 février 2003 tendant à lutter contre la discrimination : les défis d'une \"horizontalisation\" des droits de l'homme","author":[{"family":"Drooghenbroeck","given":"Sébastien","non-dropping-particle":"van"}],"issued":{"date-parts":[["2003"]]}},"locator":"225","suppress-author":true,"prefix":"(","suffix":")"}],"schema":"https://github.com/citation-style-language/schema/raw/master/csl-citation.json"} </w:instrText>
      </w:r>
      <w:r w:rsidRPr="00022216">
        <w:rPr>
          <w:rFonts w:cs="Times New Roman"/>
        </w:rPr>
        <w:fldChar w:fldCharType="separate"/>
      </w:r>
      <w:r w:rsidRPr="00377CED">
        <w:rPr>
          <w:rFonts w:cs="Times New Roman"/>
          <w:szCs w:val="24"/>
        </w:rPr>
        <w:t xml:space="preserve">(« La loi du 25 février 2003 tendant à lutter contre la discrimination : les défis d’une “horizontalisation” des droits de l’homme », </w:t>
      </w:r>
      <w:r w:rsidRPr="00377CED">
        <w:rPr>
          <w:rFonts w:cs="Times New Roman"/>
          <w:i/>
          <w:iCs/>
          <w:szCs w:val="24"/>
        </w:rPr>
        <w:t>Administration Publique</w:t>
      </w:r>
      <w:r w:rsidRPr="00377CED">
        <w:rPr>
          <w:rFonts w:cs="Times New Roman"/>
          <w:szCs w:val="24"/>
        </w:rPr>
        <w:t>, 2003, n° 3‑4, p. 225).</w:t>
      </w:r>
      <w:r w:rsidRPr="00022216">
        <w:rPr>
          <w:rFonts w:cs="Times New Roman"/>
        </w:rPr>
        <w:fldChar w:fldCharType="end"/>
      </w:r>
    </w:p>
  </w:footnote>
  <w:footnote w:id="77">
    <w:p w14:paraId="11CA0795" w14:textId="378C2922" w:rsidR="000D6C77" w:rsidRPr="000C2632" w:rsidRDefault="000D6C77">
      <w:pPr>
        <w:pStyle w:val="Notedebasdepage"/>
        <w:rPr>
          <w:lang w:val="en-US"/>
        </w:rPr>
      </w:pPr>
      <w:r>
        <w:rPr>
          <w:rStyle w:val="Appelnotedebasdep"/>
        </w:rPr>
        <w:footnoteRef/>
      </w:r>
      <w:r>
        <w:t xml:space="preserve"> Précisons que la discussion relative à l’influence du caractère potentiellement choisi – même partiellement – du critère de discrimination sur son degré de protection n’échappe pas non plus à d’autres critères, tels que le sexe, l’orientation sexuelle voire le handicap : pour une proposition de catégorisation en ce sens, </w:t>
      </w:r>
      <w:proofErr w:type="spellStart"/>
      <w:r>
        <w:t>voy</w:t>
      </w:r>
      <w:proofErr w:type="spellEnd"/>
      <w:r>
        <w:t xml:space="preserve">. </w:t>
      </w:r>
      <w:r>
        <w:fldChar w:fldCharType="begin"/>
      </w:r>
      <w:r>
        <w:instrText xml:space="preserve"> ADDIN ZOTERO_ITEM CSL_CITATION {"citationID":"ivKrlPnh","properties":{"formattedCitation":"D. {\\scaps Schiek}, \\uc0\\u171{}\\uc0\\u160{}A New Framework on Equal Treatment of Persons in EC Law?\\uc0\\u160{}\\uc0\\u187{}, {\\i{}European Law Journal}, 2002, vol. 8, n\\uc0\\u176{} 2, pp. 290\\uc0\\u8209{}314.","plainCitation":"D. Schiek, « A New Framework on Equal Treatment of Persons in EC Law? », European Law Journal, 2002, vol. 8, n° 2, pp. 290‑314.","noteIndex":99},"citationItems":[{"id":2312,"uris":["http://zotero.org/users/5133869/items/UW66E4UD"],"itemData":{"id":2312,"type":"article-journal","container-title":"European Law Journal","DOI":"10.1111/1468-0386.00154","ISSN":"13515993, 14680386","issue":"2","language":"en","page":"290-314","source":"DOI.org (Crossref)","title":"A New Framework on Equal Treatment of Persons in EC Law?","volume":"8","author":[{"family":"Schiek","given":"Dagmar"}],"issued":{"date-parts":[["2002"]]}}}],"schema":"https://github.com/citation-style-language/schema/raw/master/csl-citation.json"} </w:instrText>
      </w:r>
      <w:r>
        <w:fldChar w:fldCharType="separate"/>
      </w:r>
      <w:r w:rsidRPr="000C2632">
        <w:rPr>
          <w:rFonts w:cs="Times New Roman"/>
          <w:szCs w:val="24"/>
          <w:lang w:val="en-US"/>
        </w:rPr>
        <w:t xml:space="preserve">D. </w:t>
      </w:r>
      <w:proofErr w:type="spellStart"/>
      <w:r w:rsidRPr="000C2632">
        <w:rPr>
          <w:rFonts w:cs="Times New Roman"/>
          <w:smallCaps/>
          <w:szCs w:val="24"/>
          <w:lang w:val="en-US"/>
        </w:rPr>
        <w:t>Schiek</w:t>
      </w:r>
      <w:proofErr w:type="spellEnd"/>
      <w:r w:rsidRPr="000C2632">
        <w:rPr>
          <w:rFonts w:cs="Times New Roman"/>
          <w:szCs w:val="24"/>
          <w:lang w:val="en-US"/>
        </w:rPr>
        <w:t xml:space="preserve">, « A New Framework on Equal Treatment of Persons in EC Law? », </w:t>
      </w:r>
      <w:r w:rsidRPr="000C2632">
        <w:rPr>
          <w:rFonts w:cs="Times New Roman"/>
          <w:i/>
          <w:iCs/>
          <w:szCs w:val="24"/>
          <w:lang w:val="en-US"/>
        </w:rPr>
        <w:t>European Law Journal</w:t>
      </w:r>
      <w:r w:rsidRPr="000C2632">
        <w:rPr>
          <w:rFonts w:cs="Times New Roman"/>
          <w:szCs w:val="24"/>
          <w:lang w:val="en-US"/>
        </w:rPr>
        <w:t>, 2002, vol. 8, n° 2, pp. 290‑314.</w:t>
      </w:r>
      <w:r>
        <w:fldChar w:fldCharType="end"/>
      </w:r>
    </w:p>
  </w:footnote>
  <w:footnote w:id="78">
    <w:p w14:paraId="03FBB718" w14:textId="5349E1B6" w:rsidR="000D6C77" w:rsidRPr="00022216" w:rsidRDefault="000D6C77" w:rsidP="00E378EC">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{"citationID":"Epn02s7Z","properties":{"formattedCitation":"L.-L. {\\scaps Christians}, \\uc0\\u171{}\\uc0\\u160{}Vers une typologie ouverte des d\\uc0\\u233{}rives religieuses en droit contemporain\\uc0\\u160{}\\uc0\\u187{}, in {\\i{}La religion hors-la-loi. L\\uc0\\u8217{}\\uc0\\u201{}tat lib\\uc0\\u233{}ral \\uc0\\u224{} l\\uc0\\u8217{}\\uc0\\u233{}preuve des religions minoritaires}, Bruxelles, Bruylant, 2017, pp. 34\\uc0\\u8209{}35.","plainCitation":"L.-L. Christians, « Vers une typologie ouverte des dérives religieuses en droit contemporain », in La religion hors-la-loi. L’État libéral à l’épreuve des religions minoritaires, Bruxelles, Bruylant, 2017, pp. 34‑35.","noteIndex":100},"citationItems":[{"id":655,"uris":["http://zotero.org/users/5133869/items/Y3TXHZRZ"],"itemData":{"id":655,"type":"chapter","container-title":"La religion hors-la-loi. L'État libéral à l'épreuve des religions minoritaires","event-place":"Bruxelles","page":"28-34","publisher":"Bruylant","publisher-place":"Bruxelles","title":"Vers une typologie ouverte des dérives religieuses en droit contemporain","author":[{"family":"Christians","given":"Louis-Léon"}],"issued":{"date-parts":[["2017"]]}},"locator":"34-35"}],"schema":"https://github.com/citation-style-language/schema/raw/master/csl-citation.json"} </w:instrText>
      </w:r>
      <w:r w:rsidRPr="00022216">
        <w:rPr>
          <w:rFonts w:cs="Times New Roman"/>
        </w:rPr>
        <w:fldChar w:fldCharType="separate"/>
      </w:r>
      <w:r w:rsidRPr="00356B91">
        <w:rPr>
          <w:rFonts w:cs="Times New Roman"/>
          <w:szCs w:val="24"/>
        </w:rPr>
        <w:t xml:space="preserve">L.-L. </w:t>
      </w:r>
      <w:r w:rsidRPr="00356B91">
        <w:rPr>
          <w:rFonts w:cs="Times New Roman"/>
          <w:smallCaps/>
          <w:szCs w:val="24"/>
        </w:rPr>
        <w:t>Christians</w:t>
      </w:r>
      <w:r w:rsidRPr="00356B91">
        <w:rPr>
          <w:rFonts w:cs="Times New Roman"/>
          <w:szCs w:val="24"/>
        </w:rPr>
        <w:t xml:space="preserve">, « Vers une typologie ouverte des dérives religieuses en droit contemporain », in </w:t>
      </w:r>
      <w:r w:rsidRPr="00356B91">
        <w:rPr>
          <w:rFonts w:cs="Times New Roman"/>
          <w:i/>
          <w:iCs/>
          <w:szCs w:val="24"/>
        </w:rPr>
        <w:t>La religion hors-la-loi. L’État libéral à l’épreuve des religions minoritaires</w:t>
      </w:r>
      <w:r w:rsidRPr="00356B91">
        <w:rPr>
          <w:rFonts w:cs="Times New Roman"/>
          <w:szCs w:val="24"/>
        </w:rPr>
        <w:t>, Bruxelles, Bruylant, 2017, pp. 34‑35.</w:t>
      </w:r>
      <w:r w:rsidRPr="00022216">
        <w:rPr>
          <w:rFonts w:cs="Times New Roman"/>
        </w:rPr>
        <w:fldChar w:fldCharType="end"/>
      </w:r>
    </w:p>
  </w:footnote>
  <w:footnote w:id="79">
    <w:p w14:paraId="6AABBA9B" w14:textId="2ECB6630" w:rsidR="000D6C77" w:rsidRPr="00022216" w:rsidRDefault="000D6C77" w:rsidP="00E378EC">
      <w:pPr>
        <w:pStyle w:val="Notedebasdepage"/>
        <w:rPr>
          <w:rFonts w:cs="Times New Roman"/>
        </w:rPr>
      </w:pPr>
      <w:r w:rsidRPr="00022216">
        <w:rPr>
          <w:rStyle w:val="Appelnotedebasdep"/>
          <w:rFonts w:cs="Times New Roman"/>
        </w:rPr>
        <w:footnoteRef/>
      </w:r>
      <w:r w:rsidRPr="00022216">
        <w:rPr>
          <w:rFonts w:cs="Times New Roman"/>
        </w:rPr>
        <w:t xml:space="preserve"> R. </w:t>
      </w:r>
      <w:proofErr w:type="spellStart"/>
      <w:r w:rsidRPr="00022216">
        <w:rPr>
          <w:rFonts w:cs="Times New Roman"/>
          <w:smallCaps/>
        </w:rPr>
        <w:t>McCrea</w:t>
      </w:r>
      <w:proofErr w:type="spellEnd"/>
      <w:r w:rsidRPr="00022216">
        <w:rPr>
          <w:rFonts w:cs="Times New Roman"/>
        </w:rPr>
        <w:t xml:space="preserve"> prend ainsi l’exemple d’une situation de prosélytisme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Prosélytisme"</w:instrText>
      </w:r>
      <w:r>
        <w:rPr>
          <w:rFonts w:cs="Times New Roman"/>
        </w:rPr>
        <w:instrText xml:space="preserve"> </w:instrText>
      </w:r>
      <w:r>
        <w:rPr>
          <w:rFonts w:cs="Times New Roman"/>
        </w:rPr>
        <w:fldChar w:fldCharType="end"/>
      </w:r>
      <w:r w:rsidRPr="00022216">
        <w:rPr>
          <w:rFonts w:cs="Times New Roman"/>
        </w:rPr>
        <w:t xml:space="preserve"> abusif, où il conviendra plutôt de considérer la conviction religieuse comme un choix et non comme un aspect immuable de la personne : </w:t>
      </w:r>
      <w:r w:rsidRPr="00022216">
        <w:rPr>
          <w:rFonts w:cs="Times New Roman"/>
        </w:rPr>
        <w:fldChar w:fldCharType="begin"/>
      </w:r>
      <w:r>
        <w:rPr>
          <w:rFonts w:cs="Times New Roman"/>
        </w:rPr>
        <w:instrText xml:space="preserve"> ADDIN ZOTERO_ITEM CSL_CITATION {"citationID":"HRnTOQnI","properties":{"formattedCitation":"\\uc0\\u171{}\\uc0\\u160{}Secularism before the Strasbourg Court: Abstract Constitutional Principles as a Basis for Limiting Rights\\uc0\\u160{}\\uc0\\u187{}, {\\i{}Modern Law Review}, 2016, vol. 79, n\\uc0\\u176{} 4, p. 703.","plainCitation":"« Secularism before the Strasbourg Court: Abstract Constitutional Principles as a Basis for Limiting Rights », Modern Law Review, 2016, vol. 79, n° 4, p. 703.","noteIndex":101},"citationItems":[{"id":1461,"uris":["http://zotero.org/users/5133869/items/CU6H9JPE"],"itemData":{"id":1461,"type":"article-journal","container-title":"Modern Law Review","issue":"4","page":"678-705","title":"Secularism before the Strasbourg Court: Abstract Constitutional Principles as a Basis for Limiting Rights","volume":"79","author":[{"family":"McCrea","given":"Ronan"}],"issued":{"date-parts":[["2016"]]}},"locator":"703","suppress-author":true}],"schema":"https://github.com/citation-style-language/schema/raw/master/csl-citation.json"} </w:instrText>
      </w:r>
      <w:r w:rsidRPr="00022216">
        <w:rPr>
          <w:rFonts w:cs="Times New Roman"/>
        </w:rPr>
        <w:fldChar w:fldCharType="separate"/>
      </w:r>
      <w:r w:rsidRPr="00356B91">
        <w:rPr>
          <w:rFonts w:cs="Times New Roman"/>
          <w:szCs w:val="24"/>
        </w:rPr>
        <w:t>« </w:t>
      </w:r>
      <w:proofErr w:type="spellStart"/>
      <w:r w:rsidRPr="00356B91">
        <w:rPr>
          <w:rFonts w:cs="Times New Roman"/>
          <w:szCs w:val="24"/>
        </w:rPr>
        <w:t>Secularism</w:t>
      </w:r>
      <w:proofErr w:type="spellEnd"/>
      <w:r w:rsidRPr="00356B91">
        <w:rPr>
          <w:rFonts w:cs="Times New Roman"/>
          <w:szCs w:val="24"/>
        </w:rPr>
        <w:t xml:space="preserve"> </w:t>
      </w:r>
      <w:proofErr w:type="spellStart"/>
      <w:r w:rsidRPr="00356B91">
        <w:rPr>
          <w:rFonts w:cs="Times New Roman"/>
          <w:szCs w:val="24"/>
        </w:rPr>
        <w:t>before</w:t>
      </w:r>
      <w:proofErr w:type="spellEnd"/>
      <w:r w:rsidRPr="00356B91">
        <w:rPr>
          <w:rFonts w:cs="Times New Roman"/>
          <w:szCs w:val="24"/>
        </w:rPr>
        <w:t xml:space="preserve"> the Strasbourg Court: Abstract </w:t>
      </w:r>
      <w:proofErr w:type="spellStart"/>
      <w:r w:rsidRPr="00356B91">
        <w:rPr>
          <w:rFonts w:cs="Times New Roman"/>
          <w:szCs w:val="24"/>
        </w:rPr>
        <w:t>Constitutional</w:t>
      </w:r>
      <w:proofErr w:type="spellEnd"/>
      <w:r w:rsidRPr="00356B91">
        <w:rPr>
          <w:rFonts w:cs="Times New Roman"/>
          <w:szCs w:val="24"/>
        </w:rPr>
        <w:t xml:space="preserve"> Principles as a Basis for </w:t>
      </w:r>
      <w:proofErr w:type="spellStart"/>
      <w:r w:rsidRPr="00356B91">
        <w:rPr>
          <w:rFonts w:cs="Times New Roman"/>
          <w:szCs w:val="24"/>
        </w:rPr>
        <w:t>Limiting</w:t>
      </w:r>
      <w:proofErr w:type="spellEnd"/>
      <w:r w:rsidRPr="00356B91">
        <w:rPr>
          <w:rFonts w:cs="Times New Roman"/>
          <w:szCs w:val="24"/>
        </w:rPr>
        <w:t xml:space="preserve"> </w:t>
      </w:r>
      <w:proofErr w:type="spellStart"/>
      <w:r w:rsidRPr="00356B91">
        <w:rPr>
          <w:rFonts w:cs="Times New Roman"/>
          <w:szCs w:val="24"/>
        </w:rPr>
        <w:t>Rights</w:t>
      </w:r>
      <w:proofErr w:type="spellEnd"/>
      <w:r w:rsidRPr="00356B91">
        <w:rPr>
          <w:rFonts w:cs="Times New Roman"/>
          <w:szCs w:val="24"/>
        </w:rPr>
        <w:t xml:space="preserve"> », </w:t>
      </w:r>
      <w:r w:rsidRPr="00356B91">
        <w:rPr>
          <w:rFonts w:cs="Times New Roman"/>
          <w:i/>
          <w:iCs/>
          <w:szCs w:val="24"/>
        </w:rPr>
        <w:t xml:space="preserve">Modern Law </w:t>
      </w:r>
      <w:proofErr w:type="spellStart"/>
      <w:r w:rsidRPr="00356B91">
        <w:rPr>
          <w:rFonts w:cs="Times New Roman"/>
          <w:i/>
          <w:iCs/>
          <w:szCs w:val="24"/>
        </w:rPr>
        <w:t>Review</w:t>
      </w:r>
      <w:proofErr w:type="spellEnd"/>
      <w:r w:rsidRPr="00356B91">
        <w:rPr>
          <w:rFonts w:cs="Times New Roman"/>
          <w:szCs w:val="24"/>
        </w:rPr>
        <w:t>, 2016, vol. 79, n° 4, p. 703.</w:t>
      </w:r>
      <w:r w:rsidRPr="00022216">
        <w:rPr>
          <w:rFonts w:cs="Times New Roman"/>
        </w:rPr>
        <w:fldChar w:fldCharType="end"/>
      </w:r>
      <w:r>
        <w:rPr>
          <w:rFonts w:cs="Times New Roman"/>
        </w:rPr>
        <w:t xml:space="preserve"> </w:t>
      </w:r>
    </w:p>
  </w:footnote>
  <w:footnote w:id="80">
    <w:p w14:paraId="627960F2" w14:textId="408FB53A" w:rsidR="000D6C77" w:rsidRPr="00B029DA" w:rsidRDefault="000D6C77" w:rsidP="00B029DA">
      <w:pPr>
        <w:pStyle w:val="Notedebasdepage"/>
        <w:rPr>
          <w:rFonts w:cs="Times New Roman"/>
          <w:lang w:val="en-US"/>
        </w:rPr>
      </w:pPr>
      <w:r w:rsidRPr="00022216">
        <w:rPr>
          <w:rStyle w:val="Appelnotedebasdep"/>
          <w:rFonts w:cs="Times New Roman"/>
        </w:rPr>
        <w:footnoteRef/>
      </w:r>
      <w:r w:rsidRPr="00B029DA">
        <w:rPr>
          <w:rFonts w:cs="Times New Roman"/>
          <w:lang w:val="en-US"/>
        </w:rPr>
        <w:t xml:space="preserve"> </w:t>
      </w:r>
      <w:r w:rsidRPr="00022216">
        <w:rPr>
          <w:rFonts w:cs="Times New Roman"/>
        </w:rPr>
        <w:fldChar w:fldCharType="begin"/>
      </w:r>
      <w:r>
        <w:rPr>
          <w:rFonts w:cs="Times New Roman"/>
          <w:lang w:val="en-US"/>
        </w:rPr>
        <w:instrText xml:space="preserve"> ADDIN ZOTERO_ITEM CSL_CITATION {"citationID":"foq3nHV7","properties":{"formattedCitation":"A. {\\scaps Su}, \\uc0\\u171{}\\uc0\\u160{}Judging Religious Sincerity\\uc0\\u160{}\\uc0\\u187{}, {\\i{}Oxford Journal of Law and Religion}, 2015, vol. 5, n\\uc0\\u176{} 1, pp. 2\\uc0\\u8209{}3.","plainCitation":"A. Su, « Judging Religious Sincerity », Oxford Journal of Law and Religion, 2015, vol. 5, n° 1, pp. 2‑3.","noteIndex":102},"citationItems":[{"id":1499,"uris":["http://zotero.org/users/5133869/items/ZHWYRX7Q"],"itemData":{"id":1499,"type":"article-journal","container-title":"Oxford Journal of Law and Religion","issue":"1","page":"1-21","title":"Judging Religious Sincerity","volume":"5","author":[{"family":"Su","given":"A"}],"issued":{"date-parts":[["2015"]]}},"locator":"2-3"}],"schema":"https://github.com/citation-style-language/schema/raw/master/csl-citation.json"} </w:instrText>
      </w:r>
      <w:r w:rsidRPr="00022216">
        <w:rPr>
          <w:rFonts w:cs="Times New Roman"/>
        </w:rPr>
        <w:fldChar w:fldCharType="separate"/>
      </w:r>
      <w:r w:rsidRPr="00B029DA">
        <w:rPr>
          <w:rFonts w:cs="Times New Roman"/>
          <w:lang w:val="en-US"/>
        </w:rPr>
        <w:t xml:space="preserve">A. </w:t>
      </w:r>
      <w:proofErr w:type="spellStart"/>
      <w:r w:rsidRPr="00B029DA">
        <w:rPr>
          <w:rFonts w:cs="Times New Roman"/>
          <w:smallCaps/>
          <w:lang w:val="en-US"/>
        </w:rPr>
        <w:t>Su</w:t>
      </w:r>
      <w:proofErr w:type="spellEnd"/>
      <w:r w:rsidRPr="00B029DA">
        <w:rPr>
          <w:rFonts w:cs="Times New Roman"/>
          <w:lang w:val="en-US"/>
        </w:rPr>
        <w:t xml:space="preserve">, « Judging Religious Sincerity », </w:t>
      </w:r>
      <w:r w:rsidRPr="00B029DA">
        <w:rPr>
          <w:rFonts w:cs="Times New Roman"/>
          <w:i/>
          <w:iCs/>
          <w:lang w:val="en-US"/>
        </w:rPr>
        <w:t>Oxford Journal of Law and Religion</w:t>
      </w:r>
      <w:r w:rsidRPr="00B029DA">
        <w:rPr>
          <w:rFonts w:cs="Times New Roman"/>
          <w:lang w:val="en-US"/>
        </w:rPr>
        <w:t>, 2015, vol. 5, n° 1, pp. 2‑3.</w:t>
      </w:r>
      <w:r w:rsidRPr="00022216">
        <w:rPr>
          <w:rFonts w:cs="Times New Roman"/>
        </w:rPr>
        <w:fldChar w:fldCharType="end"/>
      </w:r>
    </w:p>
  </w:footnote>
  <w:footnote w:id="81">
    <w:p w14:paraId="014AC04A" w14:textId="5934B5AF" w:rsidR="000D6C77" w:rsidRPr="0089441F" w:rsidRDefault="000D6C77" w:rsidP="0089441F">
      <w:pPr>
        <w:pStyle w:val="Notedebasdepage"/>
        <w:rPr>
          <w:rFonts w:cs="Times New Roman"/>
          <w:lang w:val="en-US"/>
        </w:rPr>
      </w:pPr>
      <w:bookmarkStart w:id="10" w:name="_Ref29142739"/>
      <w:r w:rsidRPr="00022216">
        <w:rPr>
          <w:rStyle w:val="Appelnotedebasdep"/>
          <w:rFonts w:cs="Times New Roman"/>
        </w:rPr>
        <w:footnoteRef/>
      </w:r>
      <w:r w:rsidRPr="0089441F">
        <w:rPr>
          <w:rFonts w:cs="Times New Roman"/>
          <w:lang w:val="en-US"/>
        </w:rPr>
        <w:t xml:space="preserve"> </w:t>
      </w:r>
      <w:r w:rsidRPr="00022216">
        <w:rPr>
          <w:rFonts w:cs="Times New Roman"/>
        </w:rPr>
        <w:fldChar w:fldCharType="begin"/>
      </w:r>
      <w:r>
        <w:rPr>
          <w:rFonts w:cs="Times New Roman"/>
          <w:lang w:val="en-US"/>
        </w:rPr>
        <w:instrText xml:space="preserve"> ADDIN ZOTERO_ITEM CSL_CITATION {"citationID":"Z86UpBmu","properties":{"formattedCitation":"L. {\\scaps Beaman}, \\uc0\\u171{}\\uc0\\u160{}Defining Religion: The Promise and the Peril of Legal Interpretation\\uc0\\u160{}\\uc0\\u187{}, {\\i{}in} R. {\\scaps Moon} (\\uc0\\u233{}d.), {\\i{}Law and Religious Pluralism in Canada}, Vancouver, UBC Press, 2008, pp. 193\\uc0\\u8209{}194.","plainCitation":"L. Beaman, « Defining Religion: The Promise and the Peril of Legal Interpretation », in R. Moon (éd.), Law and Religious Pluralism in Canada, Vancouver, UBC Press, 2008, pp. 193‑194.","noteIndex":103},"citationItems":[{"id":1220,"uris":["http://zotero.org/users/5133869/items/Z4UX2TK3"],"itemData":{"id":1220,"type":"chapter","container-title":"Law and Religious Pluralism in Canada","event-place":"Vancouver","page":"192-216","publisher":"UBC Press","publisher-place":"Vancouver","title":"Defining Religion: The Promise and the Peril of Legal Interpretation","author":[{"family":"Beaman","given":"Lori"}],"editor":[{"family":"Moon","given":"Richard"}],"issued":{"date-parts":[["2008"]]}},"locator":"193-194"}],"schema":"https://github.com/citation-style-language/schema/raw/master/csl-citation.json"} </w:instrText>
      </w:r>
      <w:r w:rsidRPr="00022216">
        <w:rPr>
          <w:rFonts w:cs="Times New Roman"/>
        </w:rPr>
        <w:fldChar w:fldCharType="separate"/>
      </w:r>
      <w:r w:rsidRPr="008D517D">
        <w:rPr>
          <w:rFonts w:cs="Times New Roman"/>
          <w:szCs w:val="24"/>
          <w:lang w:val="en-US"/>
        </w:rPr>
        <w:t xml:space="preserve">L. </w:t>
      </w:r>
      <w:r w:rsidRPr="008D517D">
        <w:rPr>
          <w:rFonts w:cs="Times New Roman"/>
          <w:smallCaps/>
          <w:szCs w:val="24"/>
          <w:lang w:val="en-US"/>
        </w:rPr>
        <w:t>Beaman</w:t>
      </w:r>
      <w:r w:rsidRPr="008D517D">
        <w:rPr>
          <w:rFonts w:cs="Times New Roman"/>
          <w:szCs w:val="24"/>
          <w:lang w:val="en-US"/>
        </w:rPr>
        <w:t xml:space="preserve">, « Defining Religion: The Promise and the Peril of Legal Interpretation », </w:t>
      </w:r>
      <w:r w:rsidRPr="008D517D">
        <w:rPr>
          <w:rFonts w:cs="Times New Roman"/>
          <w:i/>
          <w:iCs/>
          <w:szCs w:val="24"/>
          <w:lang w:val="en-US"/>
        </w:rPr>
        <w:t>in</w:t>
      </w:r>
      <w:r w:rsidRPr="008D517D">
        <w:rPr>
          <w:rFonts w:cs="Times New Roman"/>
          <w:szCs w:val="24"/>
          <w:lang w:val="en-US"/>
        </w:rPr>
        <w:t xml:space="preserve"> R. </w:t>
      </w:r>
      <w:r w:rsidRPr="008D517D">
        <w:rPr>
          <w:rFonts w:cs="Times New Roman"/>
          <w:smallCaps/>
          <w:szCs w:val="24"/>
          <w:lang w:val="en-US"/>
        </w:rPr>
        <w:t>Moon</w:t>
      </w:r>
      <w:r w:rsidRPr="008D517D">
        <w:rPr>
          <w:rFonts w:cs="Times New Roman"/>
          <w:szCs w:val="24"/>
          <w:lang w:val="en-US"/>
        </w:rPr>
        <w:t xml:space="preserve"> (</w:t>
      </w:r>
      <w:proofErr w:type="spellStart"/>
      <w:r w:rsidRPr="008D517D">
        <w:rPr>
          <w:rFonts w:cs="Times New Roman"/>
          <w:szCs w:val="24"/>
          <w:lang w:val="en-US"/>
        </w:rPr>
        <w:t>éd</w:t>
      </w:r>
      <w:proofErr w:type="spellEnd"/>
      <w:r w:rsidRPr="008D517D">
        <w:rPr>
          <w:rFonts w:cs="Times New Roman"/>
          <w:szCs w:val="24"/>
          <w:lang w:val="en-US"/>
        </w:rPr>
        <w:t xml:space="preserve">.), </w:t>
      </w:r>
      <w:r w:rsidRPr="008D517D">
        <w:rPr>
          <w:rFonts w:cs="Times New Roman"/>
          <w:i/>
          <w:iCs/>
          <w:szCs w:val="24"/>
          <w:lang w:val="en-US"/>
        </w:rPr>
        <w:t>Law and Religious Pluralism in Canada</w:t>
      </w:r>
      <w:r w:rsidRPr="008D517D">
        <w:rPr>
          <w:rFonts w:cs="Times New Roman"/>
          <w:szCs w:val="24"/>
          <w:lang w:val="en-US"/>
        </w:rPr>
        <w:t>, Vancouver, UBC Press, 2008, pp. 193‑194.</w:t>
      </w:r>
      <w:r w:rsidRPr="00022216">
        <w:rPr>
          <w:rFonts w:cs="Times New Roman"/>
        </w:rPr>
        <w:fldChar w:fldCharType="end"/>
      </w:r>
      <w:bookmarkEnd w:id="10"/>
    </w:p>
  </w:footnote>
  <w:footnote w:id="82">
    <w:p w14:paraId="7A08CE7D" w14:textId="7F03DC9E" w:rsidR="000D6C77" w:rsidRPr="00A85FF9" w:rsidRDefault="000D6C77">
      <w:pPr>
        <w:pStyle w:val="Notedebasdepage"/>
      </w:pPr>
      <w:r>
        <w:rPr>
          <w:rStyle w:val="Appelnotedebasdep"/>
        </w:rPr>
        <w:footnoteRef/>
      </w:r>
      <w:r w:rsidRPr="00A85FF9">
        <w:t xml:space="preserve"> </w:t>
      </w:r>
      <w:proofErr w:type="spellStart"/>
      <w:r w:rsidRPr="00A85FF9">
        <w:t>Voy</w:t>
      </w:r>
      <w:proofErr w:type="spellEnd"/>
      <w:r w:rsidRPr="00A85FF9">
        <w:t xml:space="preserve">. </w:t>
      </w:r>
      <w:r>
        <w:t xml:space="preserve">en particulier CourEDH, </w:t>
      </w:r>
      <w:proofErr w:type="spellStart"/>
      <w:r>
        <w:rPr>
          <w:i/>
        </w:rPr>
        <w:t>Eweida</w:t>
      </w:r>
      <w:proofErr w:type="spellEnd"/>
      <w:r>
        <w:rPr>
          <w:i/>
        </w:rPr>
        <w:t xml:space="preserve"> e.a.</w:t>
      </w:r>
      <w:r>
        <w:t>, para. 82 : « </w:t>
      </w:r>
      <w:r w:rsidRPr="00A85FF9">
        <w:t>le requérant n'est aucunement tenu d'établir qu'il a agi conformément à un commandement de la religion en question.</w:t>
      </w:r>
      <w:r>
        <w:t xml:space="preserve"> ». Pour un exemple belge, </w:t>
      </w:r>
      <w:proofErr w:type="spellStart"/>
      <w:r>
        <w:t>voy</w:t>
      </w:r>
      <w:proofErr w:type="spellEnd"/>
      <w:r>
        <w:t xml:space="preserve">. l’arrêt rendu en 1995 par la </w:t>
      </w:r>
      <w:r>
        <w:rPr>
          <w:lang w:val="fr-CA"/>
        </w:rPr>
        <w:t xml:space="preserve">Cour d’appel de Liège, à travers lequel celle-ci précise </w:t>
      </w:r>
      <w:r w:rsidRPr="00470A91">
        <w:rPr>
          <w:lang w:val="fr-CA"/>
        </w:rPr>
        <w:t>« qu’il est certain qu’il n’appartient pas au pouvoir judiciaire ou aux autorités étatiques de définir le contenu d’une religion ou d’interpréter les commandements ou recommandations qu’elle impose à ses adeptes</w:t>
      </w:r>
      <w:r>
        <w:rPr>
          <w:lang w:val="fr-CA"/>
        </w:rPr>
        <w:t> » (</w:t>
      </w:r>
      <w:r w:rsidRPr="00022216">
        <w:rPr>
          <w:rFonts w:cs="Times New Roman"/>
        </w:rPr>
        <w:t xml:space="preserve">23 février 1995, </w:t>
      </w:r>
      <w:r>
        <w:rPr>
          <w:rFonts w:cs="Times New Roman"/>
          <w:i/>
        </w:rPr>
        <w:t>J.T.</w:t>
      </w:r>
      <w:r w:rsidRPr="00022216">
        <w:rPr>
          <w:rFonts w:cs="Times New Roman"/>
        </w:rPr>
        <w:t xml:space="preserve">, 1995, pp. 720-725, obs. L.-L. </w:t>
      </w:r>
      <w:r w:rsidRPr="00022216">
        <w:rPr>
          <w:rFonts w:cs="Times New Roman"/>
          <w:smallCaps/>
        </w:rPr>
        <w:t>Christians</w:t>
      </w:r>
      <w:r>
        <w:rPr>
          <w:rFonts w:cs="Times New Roman"/>
          <w:smallCaps/>
        </w:rPr>
        <w:t>).</w:t>
      </w:r>
    </w:p>
  </w:footnote>
  <w:footnote w:id="83">
    <w:p w14:paraId="217E230D" w14:textId="726AB160" w:rsidR="000D6C77" w:rsidRPr="00A85FF9" w:rsidRDefault="000D6C77" w:rsidP="0089441F">
      <w:pPr>
        <w:pStyle w:val="Notedebasdepage"/>
        <w:rPr>
          <w:rFonts w:cs="Times New Roman"/>
        </w:rPr>
      </w:pPr>
      <w:r w:rsidRPr="00022216">
        <w:rPr>
          <w:rStyle w:val="Appelnotedebasdep"/>
          <w:rFonts w:cs="Times New Roman"/>
        </w:rPr>
        <w:footnoteRef/>
      </w:r>
      <w:r w:rsidRPr="00A85FF9">
        <w:rPr>
          <w:rFonts w:cs="Times New Roman"/>
        </w:rPr>
        <w:t xml:space="preserve"> </w:t>
      </w:r>
      <w:r w:rsidRPr="00022216">
        <w:rPr>
          <w:rFonts w:cs="Times New Roman"/>
        </w:rPr>
        <w:fldChar w:fldCharType="begin"/>
      </w:r>
      <w:r>
        <w:rPr>
          <w:rFonts w:cs="Times New Roman"/>
        </w:rPr>
        <w:instrText xml:space="preserve"> ADDIN ZOTERO_ITEM CSL_CITATION {"citationID":"VmHKJu4k","properties":{"formattedCitation":"K. {\\scaps el}\\uc0\\u160{}{\\scaps Chazli} et P. {\\scaps Cavana}, \\uc0\\u171{}\\uc0\\u160{}Subjectivisme et objectivisme dans l\\uc0\\u8217{}appr\\uc0\\u233{}hension judiciaire des croyances et pratiques islamiques \\uc0\\u8211{} \\uc0\\u201{}tude comparative\\uc0\\u160{}\\uc0\\u187{},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pp. 452\\uc0\\u8209{}453\\uc0\\u160{}; P. {\\scaps Billingham}, \\uc0\\u171{}\\uc0\\u160{}How Should Claims for Religious Exemptions be Weighed?\\uc0\\u160{}\\uc0\\u187{}, {\\i{}Oxford Journal of Law and Religion}, 2017, n\\uc0\\u176{} 6, pp. 1\\uc0\\u8209{}23.","plainCitation":"K. el Chazli et P. Cavana, « Subjectivisme et objectivisme dans l’appréhension judiciaire des croyances et pratiques islamiques – Étude comparative », in B. Callebat, H. de Courrèges et V. Louvel-Parisot (éds.), Les religions et le droit du travail : regards croisés, d’ici et d’ailleurs [actes du colloque international, Université de Rouen, 20 et 21 octobre 2016], Collection Droit et religion, n° 9, Bruxelles, Bruylant, 2017, pp. 452‑453 ; P. Billingham, « How Should Claims for Religious Exemptions be Weighed? », Oxford Journal of Law and Religion, 2017, n° 6, pp. 1‑23.","noteIndex":109},"citationItems":[{"id":2158,"uris":["http://zotero.org/users/5133869/items/8LKRUCLQ"],"itemData":{"id":2158,"type":"chapter","collection-number":"9","collection-title":"Collection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1057455736","page":"451-481","publisher":"Bruylant","publisher-place":"Bruxelles","source":"Gemeinsamer Bibliotheksverbund ISBN","title":"Subjectivisme et objectivisme dans l’appréhension judiciaire des croyances et pratiques islamiques – Étude comparative","editor":[{"family":"Callebat","given":"Bernard"},{"family":"Courrèges","given":"Hélène","non-dropping-particle":"de"},{"family":"Louvel-Parisot","given":"Valérie"}],"author":[{"family":"Chazli","given":"Karim","non-dropping-particle":"el"},{"family":"Cavana","given":"Paola"}],"issued":{"date-parts":[["2017"]]}},"locator":"452-453"},{"id":698,"uris":["http://zotero.org/users/5133869/items/YMBGAXJD"],"itemData":{"id":698,"type":"article-journal","abstract":"Many philosophers and jurists believe that individuals should sometimes be granted religiously-grounded exemptions from laws or rules. To determine whether an exemption is merited in a particular case, the religious claim must be weighed against the countervailing values that favour the uniform application of the law or rule. This article develops and applies a framework for assessing the weight of religious claims to exemption, across two dimensions. First, the importance of the burdened religious practice, which is determined by its level of obligatoriness and centrality, according to the beliefs of the individual claimant. Second, the extent of the burden on the practice, which depends on the cost the individual bears if she both undertakes the religious practice and obeys the law or rule, where costs are assessed using an impartial account of individual interests. Exemptions should be granted when claims are weighty on either of these dimensions and the countervailing value is relatively weak. The ﬁnal section of the article responds to an important objection to this approach, which concerns administrability.","container-title":"Oxford Journal of Law and Religion","DOI":"10.1093/ojlr/rww055","ISSN":"2047-0770, 2047-0789","issue":"6","language":"en","page":"1-23","source":"Crossref","title":"How Should Claims for Religious Exemptions be Weighed?","author":[{"family":"Billingham","given":"Paul"}],"issued":{"date-parts":[["2017"]]}}}],"schema":"https://github.com/citation-style-language/schema/raw/master/csl-citation.json"} </w:instrText>
      </w:r>
      <w:r w:rsidRPr="00022216">
        <w:rPr>
          <w:rFonts w:cs="Times New Roman"/>
        </w:rPr>
        <w:fldChar w:fldCharType="separate"/>
      </w:r>
      <w:r w:rsidRPr="00457877">
        <w:rPr>
          <w:rFonts w:cs="Times New Roman"/>
          <w:szCs w:val="24"/>
        </w:rPr>
        <w:t xml:space="preserve">K. </w:t>
      </w:r>
      <w:r w:rsidRPr="00457877">
        <w:rPr>
          <w:rFonts w:cs="Times New Roman"/>
          <w:smallCaps/>
          <w:szCs w:val="24"/>
        </w:rPr>
        <w:t>el</w:t>
      </w:r>
      <w:r w:rsidRPr="00457877">
        <w:rPr>
          <w:rFonts w:cs="Times New Roman"/>
          <w:szCs w:val="24"/>
        </w:rPr>
        <w:t> </w:t>
      </w:r>
      <w:proofErr w:type="spellStart"/>
      <w:r w:rsidRPr="00457877">
        <w:rPr>
          <w:rFonts w:cs="Times New Roman"/>
          <w:smallCaps/>
          <w:szCs w:val="24"/>
        </w:rPr>
        <w:t>Chazli</w:t>
      </w:r>
      <w:proofErr w:type="spellEnd"/>
      <w:r w:rsidRPr="00457877">
        <w:rPr>
          <w:rFonts w:cs="Times New Roman"/>
          <w:szCs w:val="24"/>
        </w:rPr>
        <w:t xml:space="preserve"> et P. </w:t>
      </w:r>
      <w:proofErr w:type="spellStart"/>
      <w:r w:rsidRPr="00457877">
        <w:rPr>
          <w:rFonts w:cs="Times New Roman"/>
          <w:smallCaps/>
          <w:szCs w:val="24"/>
        </w:rPr>
        <w:t>Cavana</w:t>
      </w:r>
      <w:proofErr w:type="spellEnd"/>
      <w:r w:rsidRPr="00457877">
        <w:rPr>
          <w:rFonts w:cs="Times New Roman"/>
          <w:szCs w:val="24"/>
        </w:rPr>
        <w:t xml:space="preserve">, « Subjectivisme et objectivisme dans l’appréhension judiciaire des croyances et pratiques islamiques – Étude comparative », </w:t>
      </w:r>
      <w:r w:rsidRPr="00457877">
        <w:rPr>
          <w:rFonts w:cs="Times New Roman"/>
          <w:i/>
          <w:iCs/>
          <w:szCs w:val="24"/>
        </w:rPr>
        <w:t>in</w:t>
      </w:r>
      <w:r w:rsidRPr="00457877">
        <w:rPr>
          <w:rFonts w:cs="Times New Roman"/>
          <w:szCs w:val="24"/>
        </w:rPr>
        <w:t xml:space="preserve"> B. </w:t>
      </w:r>
      <w:proofErr w:type="spellStart"/>
      <w:r w:rsidRPr="00457877">
        <w:rPr>
          <w:rFonts w:cs="Times New Roman"/>
          <w:smallCaps/>
          <w:szCs w:val="24"/>
        </w:rPr>
        <w:t>Callebat</w:t>
      </w:r>
      <w:proofErr w:type="spellEnd"/>
      <w:r w:rsidRPr="00457877">
        <w:rPr>
          <w:rFonts w:cs="Times New Roman"/>
          <w:szCs w:val="24"/>
        </w:rPr>
        <w:t xml:space="preserve">, H. </w:t>
      </w:r>
      <w:r w:rsidRPr="00457877">
        <w:rPr>
          <w:rFonts w:cs="Times New Roman"/>
          <w:smallCaps/>
          <w:szCs w:val="24"/>
        </w:rPr>
        <w:t>de</w:t>
      </w:r>
      <w:r w:rsidRPr="00457877">
        <w:rPr>
          <w:rFonts w:cs="Times New Roman"/>
          <w:szCs w:val="24"/>
        </w:rPr>
        <w:t> </w:t>
      </w:r>
      <w:r w:rsidRPr="00457877">
        <w:rPr>
          <w:rFonts w:cs="Times New Roman"/>
          <w:smallCaps/>
          <w:szCs w:val="24"/>
        </w:rPr>
        <w:t>Courrèges</w:t>
      </w:r>
      <w:r w:rsidRPr="00457877">
        <w:rPr>
          <w:rFonts w:cs="Times New Roman"/>
          <w:szCs w:val="24"/>
        </w:rPr>
        <w:t xml:space="preserve"> et V. </w:t>
      </w:r>
      <w:r w:rsidRPr="00457877">
        <w:rPr>
          <w:rFonts w:cs="Times New Roman"/>
          <w:smallCaps/>
          <w:szCs w:val="24"/>
        </w:rPr>
        <w:t>Louvel-Parisot</w:t>
      </w:r>
      <w:r w:rsidRPr="00457877">
        <w:rPr>
          <w:rFonts w:cs="Times New Roman"/>
          <w:szCs w:val="24"/>
        </w:rPr>
        <w:t xml:space="preserve"> (</w:t>
      </w:r>
      <w:proofErr w:type="spellStart"/>
      <w:r w:rsidRPr="00457877">
        <w:rPr>
          <w:rFonts w:cs="Times New Roman"/>
          <w:szCs w:val="24"/>
        </w:rPr>
        <w:t>éds</w:t>
      </w:r>
      <w:proofErr w:type="spellEnd"/>
      <w:r w:rsidRPr="00457877">
        <w:rPr>
          <w:rFonts w:cs="Times New Roman"/>
          <w:szCs w:val="24"/>
        </w:rPr>
        <w:t xml:space="preserve">.), </w:t>
      </w:r>
      <w:r w:rsidRPr="00457877">
        <w:rPr>
          <w:rFonts w:cs="Times New Roman"/>
          <w:i/>
          <w:iCs/>
          <w:szCs w:val="24"/>
        </w:rPr>
        <w:t>Les religions et le droit du travail : regards croisés, d’ici et d’ailleurs [actes du colloque international, Université de Rouen, 20 et 21 octobre 2016]</w:t>
      </w:r>
      <w:r w:rsidRPr="00457877">
        <w:rPr>
          <w:rFonts w:cs="Times New Roman"/>
          <w:szCs w:val="24"/>
        </w:rPr>
        <w:t xml:space="preserve">, Collection Droit et religion, n° 9, Bruxelles, Bruylant, 2017, pp. 452‑453 ; P. </w:t>
      </w:r>
      <w:proofErr w:type="spellStart"/>
      <w:r w:rsidRPr="00457877">
        <w:rPr>
          <w:rFonts w:cs="Times New Roman"/>
          <w:smallCaps/>
          <w:szCs w:val="24"/>
        </w:rPr>
        <w:t>Billingham</w:t>
      </w:r>
      <w:proofErr w:type="spellEnd"/>
      <w:r w:rsidRPr="00457877">
        <w:rPr>
          <w:rFonts w:cs="Times New Roman"/>
          <w:szCs w:val="24"/>
        </w:rPr>
        <w:t xml:space="preserve">, « How </w:t>
      </w:r>
      <w:proofErr w:type="spellStart"/>
      <w:r w:rsidRPr="00457877">
        <w:rPr>
          <w:rFonts w:cs="Times New Roman"/>
          <w:szCs w:val="24"/>
        </w:rPr>
        <w:t>Should</w:t>
      </w:r>
      <w:proofErr w:type="spellEnd"/>
      <w:r w:rsidRPr="00457877">
        <w:rPr>
          <w:rFonts w:cs="Times New Roman"/>
          <w:szCs w:val="24"/>
        </w:rPr>
        <w:t xml:space="preserve"> Claims for </w:t>
      </w:r>
      <w:proofErr w:type="spellStart"/>
      <w:r w:rsidRPr="00457877">
        <w:rPr>
          <w:rFonts w:cs="Times New Roman"/>
          <w:szCs w:val="24"/>
        </w:rPr>
        <w:t>Religious</w:t>
      </w:r>
      <w:proofErr w:type="spellEnd"/>
      <w:r w:rsidRPr="00457877">
        <w:rPr>
          <w:rFonts w:cs="Times New Roman"/>
          <w:szCs w:val="24"/>
        </w:rPr>
        <w:t xml:space="preserve"> Exemptions </w:t>
      </w:r>
      <w:proofErr w:type="spellStart"/>
      <w:r w:rsidRPr="00457877">
        <w:rPr>
          <w:rFonts w:cs="Times New Roman"/>
          <w:szCs w:val="24"/>
        </w:rPr>
        <w:t>be</w:t>
      </w:r>
      <w:proofErr w:type="spellEnd"/>
      <w:r w:rsidRPr="00457877">
        <w:rPr>
          <w:rFonts w:cs="Times New Roman"/>
          <w:szCs w:val="24"/>
        </w:rPr>
        <w:t xml:space="preserve"> </w:t>
      </w:r>
      <w:proofErr w:type="spellStart"/>
      <w:r w:rsidRPr="00457877">
        <w:rPr>
          <w:rFonts w:cs="Times New Roman"/>
          <w:szCs w:val="24"/>
        </w:rPr>
        <w:t>Weighed</w:t>
      </w:r>
      <w:proofErr w:type="spellEnd"/>
      <w:r w:rsidRPr="00457877">
        <w:rPr>
          <w:rFonts w:cs="Times New Roman"/>
          <w:szCs w:val="24"/>
        </w:rPr>
        <w:t xml:space="preserve">? », </w:t>
      </w:r>
      <w:r w:rsidRPr="00457877">
        <w:rPr>
          <w:rFonts w:cs="Times New Roman"/>
          <w:i/>
          <w:iCs/>
          <w:szCs w:val="24"/>
        </w:rPr>
        <w:t>Oxford Journal of Law and Religion</w:t>
      </w:r>
      <w:r w:rsidRPr="00457877">
        <w:rPr>
          <w:rFonts w:cs="Times New Roman"/>
          <w:szCs w:val="24"/>
        </w:rPr>
        <w:t>, 2017, n° 6, pp. 1‑23.</w:t>
      </w:r>
      <w:r w:rsidRPr="00022216">
        <w:rPr>
          <w:rFonts w:cs="Times New Roman"/>
        </w:rPr>
        <w:fldChar w:fldCharType="end"/>
      </w:r>
    </w:p>
  </w:footnote>
  <w:footnote w:id="84">
    <w:p w14:paraId="68A4FBDB" w14:textId="28979781" w:rsidR="000D6C77" w:rsidRPr="00B029DA" w:rsidRDefault="000D6C77" w:rsidP="00B029DA">
      <w:pPr>
        <w:pStyle w:val="Notedebasdepage"/>
        <w:rPr>
          <w:rFonts w:cs="Times New Roman"/>
          <w:lang w:val="en-US"/>
        </w:rPr>
      </w:pPr>
      <w:r w:rsidRPr="00022216">
        <w:rPr>
          <w:rStyle w:val="Appelnotedebasdep"/>
          <w:rFonts w:cs="Times New Roman"/>
        </w:rPr>
        <w:footnoteRef/>
      </w:r>
      <w:r w:rsidRPr="00B029DA">
        <w:rPr>
          <w:rFonts w:cs="Times New Roman"/>
          <w:lang w:val="en-US"/>
        </w:rPr>
        <w:t xml:space="preserve"> </w:t>
      </w:r>
      <w:r w:rsidRPr="00022216">
        <w:rPr>
          <w:rFonts w:cs="Times New Roman"/>
        </w:rPr>
        <w:fldChar w:fldCharType="begin"/>
      </w:r>
      <w:r>
        <w:rPr>
          <w:rFonts w:cs="Times New Roman"/>
          <w:lang w:val="en-US"/>
        </w:rPr>
        <w:instrText xml:space="preserve"> ADDIN ZOTERO_ITEM CSL_CITATION {"citationID":"0qfn95RY","properties":{"formattedCitation":"A. {\\scaps Eisenberg}, \\uc0\\u171{}\\uc0\\u160{}What is wrong with a liberal assessment of religious authenticy?\\uc0\\u160{}\\uc0\\u187{}, {\\i{}in} G.B. {\\scaps Levey} (\\uc0\\u233{}d.), {\\i{}Authenticity, autonomy and multiculturalism}, New York, Routledge, 2015, p. 148.","plainCitation":"A. Eisenberg, « What is wrong with a liberal assessment of religious authenticy? », in G.B. Levey (éd.), Authenticity, autonomy and multiculturalism, New York, Routledge, 2015, p. 148.","noteIndex":110},"citationItems":[{"id":1194,"uris":["http://zotero.org/users/5133869/items/F4HMAAAL"],"itemData":{"id":1194,"type":"chapter","container-title":"Authenticity, autonomy and multiculturalism","event-place":"New York","page":"145-162","publisher":"Routledge","publisher-place":"New York","title":"What is wrong with a liberal assessment of religious authenticy?","author":[{"family":"Eisenberg","given":"Avigail"}],"editor":[{"family":"Levey","given":"G.B"}],"issued":{"date-parts":[["2015"]]}},"locator":"148"}],"schema":"https://github.com/citation-style-language/schema/raw/master/csl-citation.json"} </w:instrText>
      </w:r>
      <w:r w:rsidRPr="00022216">
        <w:rPr>
          <w:rFonts w:cs="Times New Roman"/>
        </w:rPr>
        <w:fldChar w:fldCharType="separate"/>
      </w:r>
      <w:r w:rsidRPr="008D517D">
        <w:rPr>
          <w:rFonts w:cs="Times New Roman"/>
          <w:szCs w:val="24"/>
          <w:lang w:val="en-US"/>
        </w:rPr>
        <w:t xml:space="preserve">A. </w:t>
      </w:r>
      <w:r w:rsidRPr="008D517D">
        <w:rPr>
          <w:rFonts w:cs="Times New Roman"/>
          <w:smallCaps/>
          <w:szCs w:val="24"/>
          <w:lang w:val="en-US"/>
        </w:rPr>
        <w:t>Eisenberg</w:t>
      </w:r>
      <w:r w:rsidRPr="008D517D">
        <w:rPr>
          <w:rFonts w:cs="Times New Roman"/>
          <w:szCs w:val="24"/>
          <w:lang w:val="en-US"/>
        </w:rPr>
        <w:t xml:space="preserve">, « What is wrong with a liberal assessment of religious </w:t>
      </w:r>
      <w:proofErr w:type="spellStart"/>
      <w:r w:rsidRPr="008D517D">
        <w:rPr>
          <w:rFonts w:cs="Times New Roman"/>
          <w:szCs w:val="24"/>
          <w:lang w:val="en-US"/>
        </w:rPr>
        <w:t>authenticy</w:t>
      </w:r>
      <w:proofErr w:type="spellEnd"/>
      <w:r w:rsidRPr="008D517D">
        <w:rPr>
          <w:rFonts w:cs="Times New Roman"/>
          <w:szCs w:val="24"/>
          <w:lang w:val="en-US"/>
        </w:rPr>
        <w:t xml:space="preserve">? », </w:t>
      </w:r>
      <w:r w:rsidRPr="008D517D">
        <w:rPr>
          <w:rFonts w:cs="Times New Roman"/>
          <w:i/>
          <w:iCs/>
          <w:szCs w:val="24"/>
          <w:lang w:val="en-US"/>
        </w:rPr>
        <w:t>in</w:t>
      </w:r>
      <w:r w:rsidRPr="008D517D">
        <w:rPr>
          <w:rFonts w:cs="Times New Roman"/>
          <w:szCs w:val="24"/>
          <w:lang w:val="en-US"/>
        </w:rPr>
        <w:t xml:space="preserve"> G.B. </w:t>
      </w:r>
      <w:r w:rsidRPr="008D517D">
        <w:rPr>
          <w:rFonts w:cs="Times New Roman"/>
          <w:smallCaps/>
          <w:szCs w:val="24"/>
          <w:lang w:val="en-US"/>
        </w:rPr>
        <w:t>Levey</w:t>
      </w:r>
      <w:r w:rsidRPr="008D517D">
        <w:rPr>
          <w:rFonts w:cs="Times New Roman"/>
          <w:szCs w:val="24"/>
          <w:lang w:val="en-US"/>
        </w:rPr>
        <w:t xml:space="preserve"> (</w:t>
      </w:r>
      <w:proofErr w:type="spellStart"/>
      <w:r w:rsidRPr="008D517D">
        <w:rPr>
          <w:rFonts w:cs="Times New Roman"/>
          <w:szCs w:val="24"/>
          <w:lang w:val="en-US"/>
        </w:rPr>
        <w:t>éd</w:t>
      </w:r>
      <w:proofErr w:type="spellEnd"/>
      <w:r w:rsidRPr="008D517D">
        <w:rPr>
          <w:rFonts w:cs="Times New Roman"/>
          <w:szCs w:val="24"/>
          <w:lang w:val="en-US"/>
        </w:rPr>
        <w:t xml:space="preserve">.), </w:t>
      </w:r>
      <w:r w:rsidRPr="008D517D">
        <w:rPr>
          <w:rFonts w:cs="Times New Roman"/>
          <w:i/>
          <w:iCs/>
          <w:szCs w:val="24"/>
          <w:lang w:val="en-US"/>
        </w:rPr>
        <w:t>Authenticity, autonomy and multiculturalism</w:t>
      </w:r>
      <w:r w:rsidRPr="008D517D">
        <w:rPr>
          <w:rFonts w:cs="Times New Roman"/>
          <w:szCs w:val="24"/>
          <w:lang w:val="en-US"/>
        </w:rPr>
        <w:t>, New York, Routledge, 2015, p. 148.</w:t>
      </w:r>
      <w:r w:rsidRPr="00022216">
        <w:rPr>
          <w:rFonts w:cs="Times New Roman"/>
        </w:rPr>
        <w:fldChar w:fldCharType="end"/>
      </w:r>
    </w:p>
  </w:footnote>
  <w:footnote w:id="85">
    <w:p w14:paraId="1C5EF872" w14:textId="0803590B" w:rsidR="000D6C77" w:rsidRPr="00DB5012" w:rsidRDefault="000D6C77" w:rsidP="00B029DA">
      <w:pPr>
        <w:pStyle w:val="Notedebasdepage"/>
        <w:rPr>
          <w:rFonts w:cs="Times New Roman"/>
          <w:lang w:val="en-US"/>
        </w:rPr>
      </w:pPr>
      <w:r w:rsidRPr="00022216">
        <w:rPr>
          <w:rStyle w:val="Appelnotedebasdep"/>
          <w:rFonts w:cs="Times New Roman"/>
        </w:rPr>
        <w:footnoteRef/>
      </w:r>
      <w:r w:rsidRPr="00DB5012">
        <w:rPr>
          <w:rFonts w:cs="Times New Roman"/>
          <w:lang w:val="en-US"/>
        </w:rPr>
        <w:t xml:space="preserve"> Sur </w:t>
      </w:r>
      <w:proofErr w:type="spellStart"/>
      <w:r w:rsidRPr="00DB5012">
        <w:rPr>
          <w:rFonts w:cs="Times New Roman"/>
          <w:lang w:val="en-US"/>
        </w:rPr>
        <w:t>ce</w:t>
      </w:r>
      <w:proofErr w:type="spellEnd"/>
      <w:r w:rsidRPr="00DB5012">
        <w:rPr>
          <w:rFonts w:cs="Times New Roman"/>
          <w:lang w:val="en-US"/>
        </w:rPr>
        <w:t xml:space="preserve"> point, </w:t>
      </w:r>
      <w:proofErr w:type="spellStart"/>
      <w:r w:rsidRPr="00DB5012">
        <w:rPr>
          <w:rFonts w:cs="Times New Roman"/>
          <w:lang w:val="en-US"/>
        </w:rPr>
        <w:t>voir</w:t>
      </w:r>
      <w:proofErr w:type="spellEnd"/>
      <w:r w:rsidRPr="00DB5012">
        <w:rPr>
          <w:rFonts w:cs="Times New Roman"/>
          <w:lang w:val="en-US"/>
        </w:rPr>
        <w:t xml:space="preserve"> </w:t>
      </w:r>
      <w:r w:rsidRPr="00022216">
        <w:rPr>
          <w:rFonts w:cs="Times New Roman"/>
        </w:rPr>
        <w:fldChar w:fldCharType="begin"/>
      </w:r>
      <w:r w:rsidRPr="00DB5012">
        <w:rPr>
          <w:rFonts w:cs="Times New Roman"/>
          <w:lang w:val="en-US"/>
        </w:rPr>
        <w:instrText xml:space="preserve"> ADDIN ZOTERO_ITEM CSL_CITATION {"citationID":"lyOX3tsa","properties":{"formattedCitation":"R.E. {\\scaps De Winter}, \\uc0\\u171{}\\uc0\\u160{}Godsdienst als alibi\\uc0\\u160{}\\uc0\\u187{}, {\\i{}Nederlands Juristenblad}, 1996, pp. 1\\uc0\\u8209{}8.","plainCitation":"R.E. De Winter, « Godsdienst als alibi », Nederlands Juristenblad, 1996, pp. 1‑8.","noteIndex":111},"citationItems":[{"id":1372,"uris":["http://zotero.org/users/5133869/items/T8AVFEG5"],"itemData":{"id":1372,"type":"article-journal","container-title":"Nederlands Juristenblad","page":"1-8","title":"Godsdienst als alibi","author":[{"family":"De Winter","given":"R.E"}],"issued":{"date-parts":[["1996"]]}}}],"schema":"https://github.com/citation-style-language/schema/raw/master/csl-citation.json"} </w:instrText>
      </w:r>
      <w:r w:rsidRPr="00022216">
        <w:rPr>
          <w:rFonts w:cs="Times New Roman"/>
        </w:rPr>
        <w:fldChar w:fldCharType="separate"/>
      </w:r>
      <w:r w:rsidRPr="00DB5012">
        <w:rPr>
          <w:rFonts w:cs="Times New Roman"/>
          <w:lang w:val="en-US"/>
        </w:rPr>
        <w:t xml:space="preserve">R.E. </w:t>
      </w:r>
      <w:r w:rsidRPr="00DB5012">
        <w:rPr>
          <w:rFonts w:cs="Times New Roman"/>
          <w:smallCaps/>
          <w:lang w:val="en-US"/>
        </w:rPr>
        <w:t>De Winter</w:t>
      </w:r>
      <w:r w:rsidRPr="00DB5012">
        <w:rPr>
          <w:rFonts w:cs="Times New Roman"/>
          <w:lang w:val="en-US"/>
        </w:rPr>
        <w:t>, « </w:t>
      </w:r>
      <w:proofErr w:type="spellStart"/>
      <w:r w:rsidRPr="00DB5012">
        <w:rPr>
          <w:rFonts w:cs="Times New Roman"/>
          <w:lang w:val="en-US"/>
        </w:rPr>
        <w:t>Godsdienst</w:t>
      </w:r>
      <w:proofErr w:type="spellEnd"/>
      <w:r w:rsidRPr="00DB5012">
        <w:rPr>
          <w:rFonts w:cs="Times New Roman"/>
          <w:lang w:val="en-US"/>
        </w:rPr>
        <w:t xml:space="preserve"> </w:t>
      </w:r>
      <w:proofErr w:type="spellStart"/>
      <w:r w:rsidRPr="00DB5012">
        <w:rPr>
          <w:rFonts w:cs="Times New Roman"/>
          <w:lang w:val="en-US"/>
        </w:rPr>
        <w:t>als</w:t>
      </w:r>
      <w:proofErr w:type="spellEnd"/>
      <w:r w:rsidRPr="00DB5012">
        <w:rPr>
          <w:rFonts w:cs="Times New Roman"/>
          <w:lang w:val="en-US"/>
        </w:rPr>
        <w:t xml:space="preserve"> alibi », </w:t>
      </w:r>
      <w:proofErr w:type="spellStart"/>
      <w:r w:rsidRPr="00DB5012">
        <w:rPr>
          <w:rFonts w:cs="Times New Roman"/>
          <w:i/>
          <w:iCs/>
          <w:lang w:val="en-US"/>
        </w:rPr>
        <w:t>Nederlands</w:t>
      </w:r>
      <w:proofErr w:type="spellEnd"/>
      <w:r w:rsidRPr="00DB5012">
        <w:rPr>
          <w:rFonts w:cs="Times New Roman"/>
          <w:i/>
          <w:iCs/>
          <w:lang w:val="en-US"/>
        </w:rPr>
        <w:t xml:space="preserve"> </w:t>
      </w:r>
      <w:proofErr w:type="spellStart"/>
      <w:r w:rsidRPr="00DB5012">
        <w:rPr>
          <w:rFonts w:cs="Times New Roman"/>
          <w:i/>
          <w:iCs/>
          <w:lang w:val="en-US"/>
        </w:rPr>
        <w:t>Juristenblad</w:t>
      </w:r>
      <w:proofErr w:type="spellEnd"/>
      <w:r w:rsidRPr="00DB5012">
        <w:rPr>
          <w:rFonts w:cs="Times New Roman"/>
          <w:lang w:val="en-US"/>
        </w:rPr>
        <w:t>, 1996, pp. 1‑8.</w:t>
      </w:r>
      <w:r w:rsidRPr="00022216">
        <w:rPr>
          <w:rFonts w:cs="Times New Roman"/>
        </w:rPr>
        <w:fldChar w:fldCharType="end"/>
      </w:r>
    </w:p>
  </w:footnote>
  <w:footnote w:id="86">
    <w:p w14:paraId="5C436539" w14:textId="54252A10" w:rsidR="000D6C77" w:rsidRPr="00DB5012" w:rsidRDefault="000D6C77" w:rsidP="00A85FF9">
      <w:pPr>
        <w:pStyle w:val="Notedebasdepage"/>
        <w:rPr>
          <w:rFonts w:cs="Times New Roman"/>
          <w:lang w:val="en-US"/>
        </w:rPr>
      </w:pPr>
      <w:r w:rsidRPr="00022216">
        <w:rPr>
          <w:rStyle w:val="Appelnotedebasdep"/>
          <w:rFonts w:cs="Times New Roman"/>
        </w:rPr>
        <w:footnoteRef/>
      </w:r>
      <w:r w:rsidRPr="00DB5012">
        <w:rPr>
          <w:rFonts w:cs="Times New Roman"/>
          <w:lang w:val="en-US"/>
        </w:rPr>
        <w:t xml:space="preserve"> </w:t>
      </w:r>
      <w:r w:rsidRPr="00022216">
        <w:rPr>
          <w:rFonts w:cs="Times New Roman"/>
        </w:rPr>
        <w:fldChar w:fldCharType="begin"/>
      </w:r>
      <w:r w:rsidRPr="00DB5012">
        <w:rPr>
          <w:rFonts w:cs="Times New Roman"/>
          <w:lang w:val="en-US"/>
        </w:rPr>
        <w:instrText xml:space="preserve"> ADDIN ZOTERO_ITEM CSL_CITATION {"citationID":"Tbuv6lCR","properties":{"formattedCitation":"A. {\\scaps Su}, \\uc0\\u171{}\\uc0\\u160{}Judging Religious Sincerity\\uc0\\u160{}\\uc0\\u187{}, {\\i{}op. cit.}, pp. 14\\uc0\\u8209{}16.","plainCitation":"A. Su, « Judging Religious Sincerity », op. cit., pp. 14‑16.","noteIndex":113},"citationItems":[{"id":1499,"uris":["http://zotero.org/users/5133869/items/ZHWYRX7Q"],"itemData":{"id":1499,"type":"article-journal","container-title":"Oxford Journal of Law and Religion","issue":"1","page":"1-21","title":"Judging Religious Sincerity","volume":"5","author":[{"family":"Su","given":"A"}],"issued":{"date-parts":[["2015"]]}},"locator":"14-16"}],"schema":"https://github.com/citation-style-language/schema/raw/master/csl-citation.json"} </w:instrText>
      </w:r>
      <w:r w:rsidRPr="00022216">
        <w:rPr>
          <w:rFonts w:cs="Times New Roman"/>
        </w:rPr>
        <w:fldChar w:fldCharType="separate"/>
      </w:r>
      <w:r w:rsidRPr="00DB5012">
        <w:rPr>
          <w:rFonts w:cs="Times New Roman"/>
          <w:lang w:val="en-US"/>
        </w:rPr>
        <w:t xml:space="preserve">A. </w:t>
      </w:r>
      <w:proofErr w:type="spellStart"/>
      <w:r w:rsidRPr="00DB5012">
        <w:rPr>
          <w:rFonts w:cs="Times New Roman"/>
          <w:smallCaps/>
          <w:lang w:val="en-US"/>
        </w:rPr>
        <w:t>Su</w:t>
      </w:r>
      <w:proofErr w:type="spellEnd"/>
      <w:r w:rsidRPr="00DB5012">
        <w:rPr>
          <w:rFonts w:cs="Times New Roman"/>
          <w:lang w:val="en-US"/>
        </w:rPr>
        <w:t xml:space="preserve">, « Judging Religious Sincerity », </w:t>
      </w:r>
      <w:r w:rsidRPr="00DB5012">
        <w:rPr>
          <w:rFonts w:cs="Times New Roman"/>
          <w:i/>
          <w:iCs/>
          <w:lang w:val="en-US"/>
        </w:rPr>
        <w:t>op. cit.</w:t>
      </w:r>
      <w:r w:rsidRPr="00DB5012">
        <w:rPr>
          <w:rFonts w:cs="Times New Roman"/>
          <w:lang w:val="en-US"/>
        </w:rPr>
        <w:t>, pp. 14‑16.</w:t>
      </w:r>
      <w:r w:rsidRPr="00022216">
        <w:rPr>
          <w:rFonts w:cs="Times New Roman"/>
        </w:rPr>
        <w:fldChar w:fldCharType="end"/>
      </w:r>
    </w:p>
  </w:footnote>
  <w:footnote w:id="87">
    <w:p w14:paraId="2F2D7678" w14:textId="4A057B2B" w:rsidR="000D6C77" w:rsidRPr="002D0B3C" w:rsidRDefault="000D6C77">
      <w:pPr>
        <w:pStyle w:val="Notedebasdepage"/>
      </w:pPr>
      <w:r>
        <w:rPr>
          <w:rStyle w:val="Appelnotedebasdep"/>
        </w:rPr>
        <w:footnoteRef/>
      </w:r>
      <w:r>
        <w:t xml:space="preserve"> </w:t>
      </w:r>
      <w:r w:rsidRPr="002D0B3C">
        <w:t>Dans l’arrêt précité de la Cour d</w:t>
      </w:r>
      <w:r>
        <w:t xml:space="preserve">’appel </w:t>
      </w:r>
      <w:r w:rsidRPr="002D0B3C">
        <w:t>de Liège, celle-ci, après avoir affirmé qu’il ne lui appartenait pas de définir ou d’interpréter la religion pour parvenir au règlement des litiges, prend ensuite précisément appui sur un verset du Coran pour indiquer que le port du voile peut être légitimement considéré comme obligatoire selon la religion musulmane</w:t>
      </w:r>
      <w:r>
        <w:t xml:space="preserve"> (</w:t>
      </w:r>
      <w:r w:rsidRPr="00022216">
        <w:rPr>
          <w:rFonts w:cs="Times New Roman"/>
        </w:rPr>
        <w:t xml:space="preserve">23 février 1995, </w:t>
      </w:r>
      <w:r>
        <w:rPr>
          <w:rFonts w:cs="Times New Roman"/>
          <w:i/>
        </w:rPr>
        <w:t>J.T.</w:t>
      </w:r>
      <w:r w:rsidRPr="00022216">
        <w:rPr>
          <w:rFonts w:cs="Times New Roman"/>
        </w:rPr>
        <w:t xml:space="preserve">, 1995, pp. </w:t>
      </w:r>
      <w:r>
        <w:rPr>
          <w:rFonts w:cs="Times New Roman"/>
        </w:rPr>
        <w:t>722</w:t>
      </w:r>
      <w:r>
        <w:rPr>
          <w:rFonts w:cs="Times New Roman"/>
          <w:smallCaps/>
        </w:rPr>
        <w:t>).</w:t>
      </w:r>
    </w:p>
  </w:footnote>
  <w:footnote w:id="88">
    <w:p w14:paraId="7E771E6F" w14:textId="3E3861BF" w:rsidR="000D6C77" w:rsidRPr="009071FB" w:rsidRDefault="000D6C77">
      <w:pPr>
        <w:pStyle w:val="Notedebasdepage"/>
      </w:pPr>
      <w:r>
        <w:rPr>
          <w:rStyle w:val="Appelnotedebasdep"/>
        </w:rPr>
        <w:footnoteRef/>
      </w:r>
      <w:r>
        <w:t xml:space="preserve"> </w:t>
      </w:r>
      <w:r w:rsidRPr="009071FB">
        <w:t xml:space="preserve">À titre d’exemple, prenons l’arrêt rendu en référé, </w:t>
      </w:r>
      <w:r>
        <w:t>le 16 septembre</w:t>
      </w:r>
      <w:r w:rsidRPr="009071FB">
        <w:t xml:space="preserve"> 2015, par le </w:t>
      </w:r>
      <w:r w:rsidR="0094723B">
        <w:t>t</w:t>
      </w:r>
      <w:r w:rsidRPr="009071FB">
        <w:t xml:space="preserve">ribunal de première instance de Bruxelles </w:t>
      </w:r>
      <w:r>
        <w:t>(</w:t>
      </w:r>
      <w:r w:rsidRPr="00022216">
        <w:rPr>
          <w:rFonts w:cs="Times New Roman"/>
        </w:rPr>
        <w:t>n° 15/81/C</w:t>
      </w:r>
      <w:r>
        <w:rPr>
          <w:rFonts w:cs="Times New Roman"/>
        </w:rPr>
        <w:t xml:space="preserve">, disponible sur </w:t>
      </w:r>
      <w:hyperlink r:id="rId1" w:history="1">
        <w:r w:rsidRPr="0041010D">
          <w:rPr>
            <w:rStyle w:val="Lienhypertexte"/>
            <w:rFonts w:cs="Times New Roman"/>
          </w:rPr>
          <w:t>www.juportal.be</w:t>
        </w:r>
      </w:hyperlink>
      <w:r>
        <w:rPr>
          <w:rFonts w:cs="Times New Roman"/>
        </w:rPr>
        <w:t>)</w:t>
      </w:r>
      <w:r w:rsidRPr="009071FB">
        <w:t xml:space="preserve"> au sujet de la réglementation flamande </w:t>
      </w:r>
      <w:r>
        <w:t xml:space="preserve">imposant l’étourdissement préalable </w:t>
      </w:r>
      <w:r w:rsidRPr="009071FB">
        <w:t>en matière d’abattage rituel</w:t>
      </w:r>
      <w:r>
        <w:t> :</w:t>
      </w:r>
      <w:r w:rsidRPr="009071FB">
        <w:t xml:space="preserve"> le juge</w:t>
      </w:r>
      <w:r>
        <w:t>, sans remettre en question la sincérité des convictions des requérants,</w:t>
      </w:r>
      <w:r w:rsidRPr="009071FB">
        <w:t xml:space="preserve"> minimise le degré d’atteinte portée à </w:t>
      </w:r>
      <w:r>
        <w:t>leur</w:t>
      </w:r>
      <w:r w:rsidRPr="009071FB">
        <w:t xml:space="preserve"> liberté de religion, mettant en avant le fait qu’une grande partie des musulmans de Belgique sont en réalité ouverts à l’idée d’étourdir l’animal avant abattage, se basant à cet égard sur une enquête d’opinion</w:t>
      </w:r>
      <w:r>
        <w:t>.</w:t>
      </w:r>
    </w:p>
  </w:footnote>
  <w:footnote w:id="89">
    <w:p w14:paraId="327D92BF" w14:textId="1387400A" w:rsidR="000D6C77" w:rsidRPr="001F0716" w:rsidRDefault="000D6C77" w:rsidP="00332403">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{"citationID":"SoIMGjxT","properties":{"formattedCitation":"F. {\\scaps K\\uc0\\u233{}fer}, \\uc0\\u171{}\\uc0\\u160{}L\\uc0\\u8217{}expression des convictions religieuses dans les relations de travail\\uc0\\u160{}\\uc0\\u187{}, {\\i{}Revue de Droit Social}, 2017, n\\uc0\\u176{} 3, p. 544.","plainCitation":"F. Kéfer, « L’expression des convictions religieuses dans les relations de travail », Revue de Droit Social, 2017, n° 3, p. 544.","noteIndex":118},"citationItems":[{"id":1427,"uris":["http://zotero.org/users/5133869/items/C7TEAJD8"],"itemData":{"id":1427,"type":"article-journal","container-title":"Revue de Droit Social","issue":"3","page":"528-583","title":"L’expression des convictions religieuses dans les relations de travail","author":[{"family":"Kéfer","given":"Fabienne"}],"issued":{"date-parts":[["2017"]]}},"locator":"544"}],"schema":"https://github.com/citation-style-language/schema/raw/master/csl-citation.json"} </w:instrText>
      </w:r>
      <w:r w:rsidRPr="00022216">
        <w:rPr>
          <w:rFonts w:cs="Times New Roman"/>
        </w:rPr>
        <w:fldChar w:fldCharType="separate"/>
      </w:r>
      <w:r w:rsidRPr="00356B91">
        <w:rPr>
          <w:rFonts w:cs="Times New Roman"/>
          <w:szCs w:val="24"/>
        </w:rPr>
        <w:t xml:space="preserve">F. </w:t>
      </w:r>
      <w:proofErr w:type="spellStart"/>
      <w:r w:rsidRPr="00356B91">
        <w:rPr>
          <w:rFonts w:cs="Times New Roman"/>
          <w:smallCaps/>
          <w:szCs w:val="24"/>
        </w:rPr>
        <w:t>Kéfer</w:t>
      </w:r>
      <w:proofErr w:type="spellEnd"/>
      <w:r w:rsidRPr="00356B91">
        <w:rPr>
          <w:rFonts w:cs="Times New Roman"/>
          <w:szCs w:val="24"/>
        </w:rPr>
        <w:t xml:space="preserve">, « L’expression des convictions religieuses dans les relations de travail », </w:t>
      </w:r>
      <w:r w:rsidRPr="00356B91">
        <w:rPr>
          <w:rFonts w:cs="Times New Roman"/>
          <w:i/>
          <w:iCs/>
          <w:szCs w:val="24"/>
        </w:rPr>
        <w:t>Revue de Droit Social</w:t>
      </w:r>
      <w:r w:rsidRPr="00356B91">
        <w:rPr>
          <w:rFonts w:cs="Times New Roman"/>
          <w:szCs w:val="24"/>
        </w:rPr>
        <w:t>, 2017, n° 3, p. 544.</w:t>
      </w:r>
      <w:r w:rsidRPr="00022216">
        <w:rPr>
          <w:rFonts w:cs="Times New Roman"/>
        </w:rPr>
        <w:fldChar w:fldCharType="end"/>
      </w:r>
      <w:r>
        <w:rPr>
          <w:rFonts w:cs="Times New Roman"/>
        </w:rPr>
        <w:t xml:space="preserve"> Ce paradoxe est implicitement évoqué par le tribunal du travail de Bruxelles (17 juillet 2020, réf., disponible sur </w:t>
      </w:r>
      <w:hyperlink r:id="rId2" w:history="1">
        <w:r w:rsidRPr="00FC17CB">
          <w:rPr>
            <w:rStyle w:val="Lienhypertexte"/>
            <w:rFonts w:cs="Times New Roman"/>
          </w:rPr>
          <w:t>www.unia.be</w:t>
        </w:r>
      </w:hyperlink>
      <w:r>
        <w:rPr>
          <w:rFonts w:cs="Times New Roman"/>
        </w:rPr>
        <w:t xml:space="preserve">) dans son renvoi préjudiciel devant la CJUE, dans le cadre de l’affaire </w:t>
      </w:r>
      <w:r>
        <w:rPr>
          <w:rFonts w:cs="Times New Roman"/>
          <w:i/>
          <w:iCs/>
        </w:rPr>
        <w:t>LF c. SCRL </w:t>
      </w:r>
      <w:r>
        <w:rPr>
          <w:rFonts w:cs="Times New Roman"/>
        </w:rPr>
        <w:t xml:space="preserve">: parmi les questions adressées, figure celle de savoir comment distinguer un bandana d’un foulard sur le plan de leur « marquage convictionnel », tenant compte </w:t>
      </w:r>
      <w:r w:rsidRPr="00D61B94">
        <w:rPr>
          <w:rFonts w:cs="Times New Roman"/>
        </w:rPr>
        <w:t>du</w:t>
      </w:r>
      <w:r>
        <w:rPr>
          <w:rFonts w:cs="Times New Roman"/>
        </w:rPr>
        <w:t xml:space="preserve"> fait que « </w:t>
      </w:r>
      <w:r w:rsidRPr="00D61B94">
        <w:rPr>
          <w:rFonts w:cs="Times New Roman"/>
        </w:rPr>
        <w:t>l’aspect négatif de la liberté de manifester ses convictions</w:t>
      </w:r>
      <w:r>
        <w:rPr>
          <w:rFonts w:cs="Times New Roman"/>
        </w:rPr>
        <w:t xml:space="preserve"> </w:t>
      </w:r>
      <w:r w:rsidRPr="00D61B94">
        <w:rPr>
          <w:rFonts w:cs="Times New Roman"/>
        </w:rPr>
        <w:t>religieuses signifie également que l’individu ne peut pas être obligé de révéler son</w:t>
      </w:r>
      <w:r>
        <w:rPr>
          <w:rFonts w:cs="Times New Roman"/>
        </w:rPr>
        <w:t xml:space="preserve"> </w:t>
      </w:r>
      <w:r w:rsidRPr="00D61B94">
        <w:rPr>
          <w:rFonts w:cs="Times New Roman"/>
        </w:rPr>
        <w:t>appartenance ou ses convictions religieuses</w:t>
      </w:r>
      <w:r>
        <w:rPr>
          <w:rFonts w:cs="Times New Roman"/>
        </w:rPr>
        <w:t xml:space="preserve"> ». </w:t>
      </w:r>
      <w:r w:rsidRPr="00286355">
        <w:t xml:space="preserve">À </w:t>
      </w:r>
      <w:r>
        <w:rPr>
          <w:rFonts w:cs="Times New Roman"/>
        </w:rPr>
        <w:t>cette question, la CJUE n’apportera aucun élément de réponse.</w:t>
      </w:r>
    </w:p>
  </w:footnote>
  <w:footnote w:id="90">
    <w:p w14:paraId="1091D91B" w14:textId="11085988" w:rsidR="000D6C77" w:rsidRPr="00022216" w:rsidRDefault="000D6C77" w:rsidP="00626F7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{"citationID":"jCalcbtr","properties":{"formattedCitation":"J.-M. {\\scaps Woehrling}, \\uc0\\u171{}\\uc0\\u160{}Religion (d\\uc0\\u233{}finition)\\uc0\\u160{}\\uc0\\u187{}, {\\i{}op. cit.}, p. 615.","plainCitation":"J.-M. Woehrling, « Religion (définition) », op. cit., p. 615.","noteIndex":119},"citationItems":[{"id":2316,"uris":["http://zotero.org/users/5133869/items/F3C4YW2G"],"itemData":{"id":2316,"type":"chapter","call-number":"K3280 .D76 2010","container-title":"Dictionnaire de droit des religions","event-place":"Paris","ISBN":"978-2-271-07112-5","note":"OCLC: ocn703208921","page":"615-620","publisher":"CNRS éditions","publisher-place":"Paris","source":"Library of Congress ISBN","title":"Religion (définition)","editor":[{"family":"Messner","given":"Francis"}],"author":[{"family":"Woehrling","given":"Jean-Marie"}],"issued":{"date-parts":[["2010"]]}},"locator":"615","label":"page"}],"schema":"https://github.com/citation-style-language/schema/raw/master/csl-citation.json"} </w:instrText>
      </w:r>
      <w:r w:rsidRPr="00022216">
        <w:rPr>
          <w:rFonts w:cs="Times New Roman"/>
        </w:rPr>
        <w:fldChar w:fldCharType="separate"/>
      </w:r>
      <w:r w:rsidRPr="00864488">
        <w:rPr>
          <w:rFonts w:cs="Times New Roman"/>
          <w:szCs w:val="24"/>
        </w:rPr>
        <w:t xml:space="preserve">J.-M. </w:t>
      </w:r>
      <w:proofErr w:type="spellStart"/>
      <w:r w:rsidRPr="00864488">
        <w:rPr>
          <w:rFonts w:cs="Times New Roman"/>
          <w:smallCaps/>
          <w:szCs w:val="24"/>
        </w:rPr>
        <w:t>Woehrling</w:t>
      </w:r>
      <w:proofErr w:type="spellEnd"/>
      <w:r w:rsidRPr="00864488">
        <w:rPr>
          <w:rFonts w:cs="Times New Roman"/>
          <w:szCs w:val="24"/>
        </w:rPr>
        <w:t xml:space="preserve">, « Religion (définition) », </w:t>
      </w:r>
      <w:r w:rsidRPr="00864488">
        <w:rPr>
          <w:rFonts w:cs="Times New Roman"/>
          <w:i/>
          <w:iCs/>
          <w:szCs w:val="24"/>
        </w:rPr>
        <w:t xml:space="preserve">op. </w:t>
      </w:r>
      <w:proofErr w:type="spellStart"/>
      <w:r w:rsidRPr="00864488">
        <w:rPr>
          <w:rFonts w:cs="Times New Roman"/>
          <w:i/>
          <w:iCs/>
          <w:szCs w:val="24"/>
        </w:rPr>
        <w:t>cit</w:t>
      </w:r>
      <w:proofErr w:type="spellEnd"/>
      <w:r w:rsidRPr="00864488">
        <w:rPr>
          <w:rFonts w:cs="Times New Roman"/>
          <w:i/>
          <w:iCs/>
          <w:szCs w:val="24"/>
        </w:rPr>
        <w:t>.</w:t>
      </w:r>
      <w:r w:rsidRPr="00864488">
        <w:rPr>
          <w:rFonts w:cs="Times New Roman"/>
          <w:szCs w:val="24"/>
        </w:rPr>
        <w:t>, p. 615.</w:t>
      </w:r>
      <w:r w:rsidRPr="00022216">
        <w:rPr>
          <w:rFonts w:cs="Times New Roman"/>
        </w:rPr>
        <w:fldChar w:fldCharType="end"/>
      </w:r>
    </w:p>
  </w:footnote>
  <w:footnote w:id="91">
    <w:p w14:paraId="1430CD5B" w14:textId="62648E1D" w:rsidR="000D6C77" w:rsidRPr="00022216" w:rsidRDefault="000D6C77" w:rsidP="00626F7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{"citationID":"VuXQGzDo","properties":{"formattedCitation":"M. {\\scaps Sweeney}, \\uc0\\u171{}\\uc0\\u160{}Les r\\uc0\\u232{}gles (civiles) de non-discrimination en raison de la religion\\uc0\\u160{}\\uc0\\u187{},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pp. 301\\uc0\\u8209{}302.","plainCitation":"M. Sweeney, « Les règles (civiles) de non-discrimination en raison de la religion », in B. Callebat, H. de Courrèges et V. Louvel-Parisot (éds.), Les religions et le droit du travail : regards croisés, d’ici et d’ailleurs [actes du colloque international, Université de Rouen, 20 et 21 octobre 2016], Collection Droit et religion, n° 9, Bruxelles, Bruylant, 2017, pp. 301‑302.","noteIndex":120},"citationItems":[{"id":2161,"uris":["http://zotero.org/users/5133869/items/Z6UZVY2E"],"itemData":{"id":2161,"type":"chapter","collection-number":"9","collection-title":"Collection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1057455736","page":"287-329","publisher":"Bruylant","publisher-place":"Bruxelles","source":"Gemeinsamer Bibliotheksverbund ISBN","title":"Les règles (civiles) de non-discrimination en raison de la religion","editor":[{"family":"Callebat","given":"Bernard"},{"family":"Courrèges","given":"Hélène","non-dropping-particle":"de"},{"family":"Louvel-Parisot","given":"Valérie"}],"author":[{"family":"Sweeney","given":"Morgan"}],"issued":{"date-parts":[["2017"]]}},"locator":"301-302"}],"schema":"https://github.com/citation-style-language/schema/raw/master/csl-citation.json"} </w:instrText>
      </w:r>
      <w:r w:rsidRPr="00022216">
        <w:rPr>
          <w:rFonts w:cs="Times New Roman"/>
        </w:rPr>
        <w:fldChar w:fldCharType="separate"/>
      </w:r>
      <w:r w:rsidRPr="00457877">
        <w:rPr>
          <w:rFonts w:cs="Times New Roman"/>
          <w:szCs w:val="24"/>
        </w:rPr>
        <w:t xml:space="preserve">M. </w:t>
      </w:r>
      <w:r w:rsidRPr="00457877">
        <w:rPr>
          <w:rFonts w:cs="Times New Roman"/>
          <w:smallCaps/>
          <w:szCs w:val="24"/>
        </w:rPr>
        <w:t>Sweeney</w:t>
      </w:r>
      <w:r w:rsidRPr="00457877">
        <w:rPr>
          <w:rFonts w:cs="Times New Roman"/>
          <w:szCs w:val="24"/>
        </w:rPr>
        <w:t xml:space="preserve">, « Les règles (civiles) de non-discrimination en raison de la religion », </w:t>
      </w:r>
      <w:r w:rsidRPr="00457877">
        <w:rPr>
          <w:rFonts w:cs="Times New Roman"/>
          <w:i/>
          <w:iCs/>
          <w:szCs w:val="24"/>
        </w:rPr>
        <w:t>in</w:t>
      </w:r>
      <w:r w:rsidRPr="00457877">
        <w:rPr>
          <w:rFonts w:cs="Times New Roman"/>
          <w:szCs w:val="24"/>
        </w:rPr>
        <w:t xml:space="preserve"> B. </w:t>
      </w:r>
      <w:proofErr w:type="spellStart"/>
      <w:r w:rsidRPr="00457877">
        <w:rPr>
          <w:rFonts w:cs="Times New Roman"/>
          <w:smallCaps/>
          <w:szCs w:val="24"/>
        </w:rPr>
        <w:t>Callebat</w:t>
      </w:r>
      <w:proofErr w:type="spellEnd"/>
      <w:r w:rsidRPr="00457877">
        <w:rPr>
          <w:rFonts w:cs="Times New Roman"/>
          <w:szCs w:val="24"/>
        </w:rPr>
        <w:t xml:space="preserve">, H. </w:t>
      </w:r>
      <w:r w:rsidRPr="00457877">
        <w:rPr>
          <w:rFonts w:cs="Times New Roman"/>
          <w:smallCaps/>
          <w:szCs w:val="24"/>
        </w:rPr>
        <w:t>de</w:t>
      </w:r>
      <w:r w:rsidRPr="00457877">
        <w:rPr>
          <w:rFonts w:cs="Times New Roman"/>
          <w:szCs w:val="24"/>
        </w:rPr>
        <w:t> </w:t>
      </w:r>
      <w:r w:rsidRPr="00457877">
        <w:rPr>
          <w:rFonts w:cs="Times New Roman"/>
          <w:smallCaps/>
          <w:szCs w:val="24"/>
        </w:rPr>
        <w:t>Courrèges</w:t>
      </w:r>
      <w:r w:rsidRPr="00457877">
        <w:rPr>
          <w:rFonts w:cs="Times New Roman"/>
          <w:szCs w:val="24"/>
        </w:rPr>
        <w:t xml:space="preserve"> et V. </w:t>
      </w:r>
      <w:r w:rsidRPr="00457877">
        <w:rPr>
          <w:rFonts w:cs="Times New Roman"/>
          <w:smallCaps/>
          <w:szCs w:val="24"/>
        </w:rPr>
        <w:t>Louvel-Parisot</w:t>
      </w:r>
      <w:r w:rsidRPr="00457877">
        <w:rPr>
          <w:rFonts w:cs="Times New Roman"/>
          <w:szCs w:val="24"/>
        </w:rPr>
        <w:t xml:space="preserve"> (</w:t>
      </w:r>
      <w:proofErr w:type="spellStart"/>
      <w:r w:rsidRPr="00457877">
        <w:rPr>
          <w:rFonts w:cs="Times New Roman"/>
          <w:szCs w:val="24"/>
        </w:rPr>
        <w:t>éds</w:t>
      </w:r>
      <w:proofErr w:type="spellEnd"/>
      <w:r w:rsidRPr="00457877">
        <w:rPr>
          <w:rFonts w:cs="Times New Roman"/>
          <w:szCs w:val="24"/>
        </w:rPr>
        <w:t xml:space="preserve">.), </w:t>
      </w:r>
      <w:r w:rsidRPr="00457877">
        <w:rPr>
          <w:rFonts w:cs="Times New Roman"/>
          <w:i/>
          <w:iCs/>
          <w:szCs w:val="24"/>
        </w:rPr>
        <w:t>Les religions et le droit du travail : regards croisés, d’ici et d’ailleurs [actes du colloque international, Université de Rouen, 20 et 21 octobre 2016]</w:t>
      </w:r>
      <w:r w:rsidRPr="00457877">
        <w:rPr>
          <w:rFonts w:cs="Times New Roman"/>
          <w:szCs w:val="24"/>
        </w:rPr>
        <w:t>, Collection Droit et religion, n° 9, Bruxelles, Bruylant, 2017, pp. 301‑302.</w:t>
      </w:r>
      <w:r w:rsidRPr="00022216">
        <w:rPr>
          <w:rFonts w:cs="Times New Roman"/>
        </w:rPr>
        <w:fldChar w:fldCharType="end"/>
      </w:r>
    </w:p>
  </w:footnote>
  <w:footnote w:id="92">
    <w:p w14:paraId="2FDFE5E8" w14:textId="768C8179" w:rsidR="000D6C77" w:rsidRPr="00022216" w:rsidRDefault="000D6C77" w:rsidP="003630EF">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{"citationID":"preBpGEz","properties":{"formattedCitation":"V. {\\scaps Fortier}, \\uc0\\u171{}\\uc0\\u160{}Le pros\\uc0\\u233{}lytisme au regard du droit\\uc0\\u8239{}: une libert\\uc0\\u233{} sous contr\\uc0\\u244{}le\\uc0\\u160{}\\uc0\\u187{}, {\\i{}Cahiers d\\uc0\\u8217{}\\uc0\\u233{}tudes du religieux}, juillet 2008, n\\uc0\\u176{} 3, \\uc0\\u167{} 21.","plainCitation":"V. Fortier, « Le prosélytisme au regard du droit : une liberté sous contrôle », Cahiers d’études du religieux, juillet 2008, n° 3, § 21.","noteIndex":121},"citationItems":[{"id":2533,"uris":["http://zotero.org/users/5133869/items/UCLBYWFS"],"itemData":{"id":2533,"type":"article-journal","container-title":"Cahiers d’études du religieux","DOI":"10.4000/cerri.144","ISSN":"1760-5776","issue":"3","language":"fr","source":"Crossref","title":"Le prosélytisme au regard du droit : une liberté sous contrôle","title-short":"Le prosélytisme au regard du droit","author":[{"family":"Fortier","given":"Vincente"}],"issued":{"date-parts":[["2008",7,4]]}},"locator":"21","label":"paragraph"}],"schema":"https://github.com/citation-style-language/schema/raw/master/csl-citation.json"} </w:instrText>
      </w:r>
      <w:r w:rsidRPr="00022216">
        <w:rPr>
          <w:rFonts w:cs="Times New Roman"/>
        </w:rPr>
        <w:fldChar w:fldCharType="separate"/>
      </w:r>
      <w:r w:rsidRPr="00457877">
        <w:rPr>
          <w:rFonts w:cs="Times New Roman"/>
          <w:szCs w:val="24"/>
        </w:rPr>
        <w:t xml:space="preserve">V. </w:t>
      </w:r>
      <w:r w:rsidRPr="00457877">
        <w:rPr>
          <w:rFonts w:cs="Times New Roman"/>
          <w:smallCaps/>
          <w:szCs w:val="24"/>
        </w:rPr>
        <w:t>Fortier</w:t>
      </w:r>
      <w:r w:rsidRPr="00457877">
        <w:rPr>
          <w:rFonts w:cs="Times New Roman"/>
          <w:szCs w:val="24"/>
        </w:rPr>
        <w:t xml:space="preserve">, « Le prosélytisme au regard du droit : une liberté sous contrôle », </w:t>
      </w:r>
      <w:r w:rsidRPr="00457877">
        <w:rPr>
          <w:rFonts w:cs="Times New Roman"/>
          <w:i/>
          <w:iCs/>
          <w:szCs w:val="24"/>
        </w:rPr>
        <w:t>Cahiers d’études du religieux</w:t>
      </w:r>
      <w:r w:rsidRPr="00457877">
        <w:rPr>
          <w:rFonts w:cs="Times New Roman"/>
          <w:szCs w:val="24"/>
        </w:rPr>
        <w:t>, juillet 2008, n° 3, § 21.</w:t>
      </w:r>
      <w:r w:rsidRPr="00022216">
        <w:rPr>
          <w:rFonts w:cs="Times New Roman"/>
        </w:rPr>
        <w:fldChar w:fldCharType="end"/>
      </w:r>
    </w:p>
  </w:footnote>
  <w:footnote w:id="93">
    <w:p w14:paraId="05AED63D" w14:textId="1AE090CE" w:rsidR="000D6C77" w:rsidRPr="00E74ED6" w:rsidRDefault="000D6C77" w:rsidP="00457877">
      <w:pPr>
        <w:pStyle w:val="Notedebasdepage"/>
        <w:rPr>
          <w:lang w:val="fr-FR"/>
        </w:rPr>
      </w:pPr>
      <w:bookmarkStart w:id="14" w:name="_Ref90989827"/>
      <w:r>
        <w:rPr>
          <w:rStyle w:val="Appelnotedebasdep"/>
        </w:rPr>
        <w:footnoteRef/>
      </w:r>
      <w:r w:rsidRPr="00E74ED6">
        <w:t xml:space="preserve"> Sur la théorie du contrat</w:t>
      </w:r>
      <w:r>
        <w:t xml:space="preserve">, </w:t>
      </w:r>
      <w:proofErr w:type="spellStart"/>
      <w:r>
        <w:t>voy</w:t>
      </w:r>
      <w:proofErr w:type="spellEnd"/>
      <w:r>
        <w:t xml:space="preserve">. </w:t>
      </w:r>
      <w:r>
        <w:fldChar w:fldCharType="begin"/>
      </w:r>
      <w:r>
        <w:instrText xml:space="preserve"> ADDIN ZOTERO_ITEM CSL_CITATION {"citationID":"DnY6TcuO","properties":{"formattedCitation":"J. {\\scaps Bouveresse}, \\uc0\\u171{}\\uc0\\u160{}La France, l\\uc0\\u8217{}\\uc0\\u201{}glise et le droit du travail\\uc0\\u160{}\\uc0\\u187{},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pp. 81\\uc0\\u8209{}83\\uc0\\u160{}; A. {\\scaps Supiot}, {\\i{}Critique du droit du travail}, Paris, Presses Universitaires de France, 1994, pp. 15\\uc0\\u8209{}16\\uc0\\u160{}; J. {\\scaps Clesse} et F. {\\scaps K\\uc0\\u233{}fer}, {\\i{}Manuel de droit du travail}, Bruxelles, Larcier, 2018, pp. 7\\uc0\\u8209{}13\\uc0\\u160{}; V. {\\scaps van der}\\uc0\\u160{}{\\scaps Plancke} et N. {\\scaps Van Leuven}, \\uc0\\u171{}\\uc0\\u160{}La privatisation du respect de la Convention europ\\uc0\\u233{}enne des droits de l\\uc0\\u8217{}homme\\uc0\\u8239{}: faut-il reconna\\uc0\\u238{}tre un effet horizontal g\\uc0\\u233{}n\\uc0\\u233{}ralis\\uc0\\u233{}\\uc0\\u8239{}?\\uc0\\u160{}\\uc0\\u187{}, {\\i{}op. cit.}, p. 193\\uc0\\u160{}; M. {\\scaps Jamoulle}, {\\i{}Le contrat de travail}, I, Li\\uc0\\u232{}ge, Facult\\uc0\\u233{} de Droit, d\\uc0\\u8217{}Economie et de Sciences sociales de Li\\uc0\\u232{}ge, 1982, pp. 7\\uc0\\u8209{}18.","plainCitation":"J. Bouveresse, « La France, l’Église et le droit du travail », in B. Callebat, H. de Courrèges et V. Louvel-Parisot (éds.), Les religions et le droit du travail : regards croisés, d’ici et d’ailleurs [actes du colloque international, Université de Rouen, 20 et 21 octobre 2016], Collection Droit et religion, n° 9, Bruxelles, Bruylant, 2017, pp. 81‑83 ; A. Supiot, Critique du droit du travail, Paris, Presses Universitaires de France, 1994, pp. 15‑16 ; J. Clesse et F. Kéfer, Manuel de droit du travail, Bruxelles, Larcier, 2018, pp. 7‑13 ; V. van der Plancke et N. Van Leuven, « La privatisation du respect de la Convention européenne des droits de l’homme : faut-il reconnaître un effet horizontal généralisé ? », op. cit., p. 193 ; M. Jamoulle, Le contrat de travail, I, Liège, Faculté de Droit, d’Economie et de Sciences sociales de Liège, 1982, pp. 7‑18.","noteIndex":122},"citationItems":[{"id":2540,"uris":["http://zotero.org/users/5133869/items/TH22J8QS"],"itemData":{"id":2540,"type":"chapter","collection-number":"9","collection-title":"Collection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1057455736","page":"81-108","publisher":"Bruylant","publisher-place":"Bruxelles","source":"Gemeinsamer Bibliotheksverbund ISBN","title":"La France, l’Église et le droit du travail","editor":[{"family":"Callebat","given":"Bernard"},{"family":"Courrèges","given":"Hélène","non-dropping-particle":"de"},{"family":"Louvel-Parisot","given":"Valérie"}],"author":[{"family":"Bouveresse","given":"Jacques"}],"issued":{"date-parts":[["2017"]]}},"locator":"81-83"},{"id":301,"uris":["http://zotero.org/users/5133869/items/DQUQFI6D"],"itemData":{"id":301,"type":"book","edition":"1e édition","event-place":"Paris","publisher":"Presses Universitaires de France","publisher-place":"Paris","title":"Critique du droit du travail","author":[{"family":"Supiot","given":"Alain"}],"issued":{"date-parts":[["1994"]]}},"locator":"15-16"},{"id":2923,"uris":["http://zotero.org/users/5133869/items/Q9EWFLVM"],"itemData":{"id":2923,"type":"book","abstract":"La 4e de couverture indique : \"Écrit à quatre mains, cet ouvrage est l'aboutissement d'un dialogue constant entre les deux auteurs, nourri par leurs expériences de chercheurs, d'enseignants et d'avocats.Le droit du travail est tout à la fois une composante du système socio-économique, un instrument pour la conduite des affaires de la Cité, une ligne de conduite pour la gestion des entreprises, un déterminant de la vie professionnelle de millions de travailleurs. Pour en rendre compte dans un ouvrage raisonnablement concis, la forme du manuel a été retenue. Ce choix a conduit les auteurs à faire œuvre de synthèse : identifier l'essentiel, lui donner la préférence sur l'accessoire, dégager d'un droit positif touffu et changeant les normes structurantes, en principe durables. Cette méthode permet de faire tenir en un peu moins de 500 pages les éléments essentiels du droit du travail. Après un examen des sources formelles du droit du travail et de leurs zones d'influences, l'ouvrage envisage successivement les relations collectives et la relation individuelle de travail. Le propos est étayé, justifié par de nombreuses références à la jurisprudence et à la doctrine. Le lecteur, qu'il soit juriste accompli, néophyte ou encore étudiant, les consultera pour approfondir ses connaissances, trouver des réponses à des questions plus précises ou nouvelles. Comme dans sa première édition, l'ouvrage contient un lexique français/ néerlandais ; en outre, la table des matières est rédigée dans les deux langues.\"","edition":"2e éd.","event-place":"Bruxelles","ISBN":"978-2-8079-0617-4","language":"French","note":"OCLC: 1076273076","publisher":"Larcier","publisher-place":"Bruxelles","source":"Open WorldCat","title":"Manuel de droit du travail","author":[{"family":"Clesse","given":"Jacques"},{"family":"Kéfer","given":"Fabienne"}],"issued":{"date-parts":[["2018"]]}},"locator":"7-13"},{"id":1578,"uris":["http://zotero.org/users/5133869/items/4Y8DKDDG"],"itemData":{"id":1578,"type":"chapter","container-title":"Entre ombres et lumières : cinquante ans d'application de la Convention européenne des droits de l'homme en Belgique","event-place":"Bruxelles","page":"191-279","publisher":"Bruylant","publisher-place":"Bruxelles","title":"La privatisation du respect de la Convention européenne des droits de l’homme : faut-il reconnaître un effet horizontal généralisé ?","author":[{"family":"Plancke","given":"Véronique","non-dropping-particle":"van der"},{"family":"Van Leuven","given":"Nathalie"}],"editor":[{"family":"Pieret","given":"Julien"},{"family":"Chapaux","given":"Vincent"},{"family":"Schaus","given":"Annemie"}],"issued":{"date-parts":[["2008"]]}},"locator":"193"},{"id":3280,"uris":["http://zotero.org/users/5133869/items/YH43VL74"],"itemData":{"id":3280,"type":"book","event-place":"Liège","publisher":"Faculté de Droit, d'Economie et de Sciences sociales de Liège","publisher-place":"Liège","title":"Le contrat de travail","volume":"I","author":[{"family":"Jamoulle","given":"Micheline"}],"issued":{"date-parts":[["1982"]]}},"locator":"7-18","label":"page"}],"schema":"https://github.com/citation-style-language/schema/raw/master/csl-citation.json"} </w:instrText>
      </w:r>
      <w:r>
        <w:fldChar w:fldCharType="separate"/>
      </w:r>
      <w:r w:rsidRPr="00E974DF">
        <w:rPr>
          <w:rFonts w:cs="Times New Roman"/>
          <w:szCs w:val="24"/>
        </w:rPr>
        <w:t xml:space="preserve">J. </w:t>
      </w:r>
      <w:r w:rsidRPr="00E974DF">
        <w:rPr>
          <w:rFonts w:cs="Times New Roman"/>
          <w:smallCaps/>
          <w:szCs w:val="24"/>
        </w:rPr>
        <w:t>Bouveresse</w:t>
      </w:r>
      <w:r w:rsidRPr="00E974DF">
        <w:rPr>
          <w:rFonts w:cs="Times New Roman"/>
          <w:szCs w:val="24"/>
        </w:rPr>
        <w:t xml:space="preserve">, « La France, l’Église et le droit du travail », </w:t>
      </w:r>
      <w:r w:rsidRPr="00E974DF">
        <w:rPr>
          <w:rFonts w:cs="Times New Roman"/>
          <w:i/>
          <w:iCs/>
          <w:szCs w:val="24"/>
        </w:rPr>
        <w:t>in</w:t>
      </w:r>
      <w:r w:rsidRPr="00E974DF">
        <w:rPr>
          <w:rFonts w:cs="Times New Roman"/>
          <w:szCs w:val="24"/>
        </w:rPr>
        <w:t xml:space="preserve"> B. </w:t>
      </w:r>
      <w:proofErr w:type="spellStart"/>
      <w:r w:rsidRPr="00E974DF">
        <w:rPr>
          <w:rFonts w:cs="Times New Roman"/>
          <w:smallCaps/>
          <w:szCs w:val="24"/>
        </w:rPr>
        <w:t>Callebat</w:t>
      </w:r>
      <w:proofErr w:type="spellEnd"/>
      <w:r w:rsidRPr="00E974DF">
        <w:rPr>
          <w:rFonts w:cs="Times New Roman"/>
          <w:szCs w:val="24"/>
        </w:rPr>
        <w:t xml:space="preserve">, H. </w:t>
      </w:r>
      <w:r w:rsidRPr="00E974DF">
        <w:rPr>
          <w:rFonts w:cs="Times New Roman"/>
          <w:smallCaps/>
          <w:szCs w:val="24"/>
        </w:rPr>
        <w:t>de</w:t>
      </w:r>
      <w:r w:rsidRPr="00E974DF">
        <w:rPr>
          <w:rFonts w:cs="Times New Roman"/>
          <w:szCs w:val="24"/>
        </w:rPr>
        <w:t> </w:t>
      </w:r>
      <w:r w:rsidRPr="00E974DF">
        <w:rPr>
          <w:rFonts w:cs="Times New Roman"/>
          <w:smallCaps/>
          <w:szCs w:val="24"/>
        </w:rPr>
        <w:t>Courrèges</w:t>
      </w:r>
      <w:r w:rsidRPr="00E974DF">
        <w:rPr>
          <w:rFonts w:cs="Times New Roman"/>
          <w:szCs w:val="24"/>
        </w:rPr>
        <w:t xml:space="preserve"> et V. </w:t>
      </w:r>
      <w:r w:rsidRPr="00E974DF">
        <w:rPr>
          <w:rFonts w:cs="Times New Roman"/>
          <w:smallCaps/>
          <w:szCs w:val="24"/>
        </w:rPr>
        <w:t>Louvel-Parisot</w:t>
      </w:r>
      <w:r w:rsidRPr="00E974DF">
        <w:rPr>
          <w:rFonts w:cs="Times New Roman"/>
          <w:szCs w:val="24"/>
        </w:rPr>
        <w:t xml:space="preserve"> (</w:t>
      </w:r>
      <w:proofErr w:type="spellStart"/>
      <w:r w:rsidRPr="00E974DF">
        <w:rPr>
          <w:rFonts w:cs="Times New Roman"/>
          <w:szCs w:val="24"/>
        </w:rPr>
        <w:t>éds</w:t>
      </w:r>
      <w:proofErr w:type="spellEnd"/>
      <w:r w:rsidRPr="00E974DF">
        <w:rPr>
          <w:rFonts w:cs="Times New Roman"/>
          <w:szCs w:val="24"/>
        </w:rPr>
        <w:t xml:space="preserve">.), </w:t>
      </w:r>
      <w:r w:rsidRPr="00E974DF">
        <w:rPr>
          <w:rFonts w:cs="Times New Roman"/>
          <w:i/>
          <w:iCs/>
          <w:szCs w:val="24"/>
        </w:rPr>
        <w:t>Les religions et le droit du travail : regards croisés, d’ici et d’ailleurs [actes du colloque international, Université de Rouen, 20 et 21 octobre 2016]</w:t>
      </w:r>
      <w:r w:rsidRPr="00E974DF">
        <w:rPr>
          <w:rFonts w:cs="Times New Roman"/>
          <w:szCs w:val="24"/>
        </w:rPr>
        <w:t xml:space="preserve">, Collection Droit et religion, n° 9, Bruxelles, Bruylant, 2017, pp. 81‑83 ; A. </w:t>
      </w:r>
      <w:proofErr w:type="spellStart"/>
      <w:r w:rsidRPr="00E974DF">
        <w:rPr>
          <w:rFonts w:cs="Times New Roman"/>
          <w:smallCaps/>
          <w:szCs w:val="24"/>
        </w:rPr>
        <w:t>Supiot</w:t>
      </w:r>
      <w:proofErr w:type="spellEnd"/>
      <w:r w:rsidRPr="00E974DF">
        <w:rPr>
          <w:rFonts w:cs="Times New Roman"/>
          <w:szCs w:val="24"/>
        </w:rPr>
        <w:t xml:space="preserve">, </w:t>
      </w:r>
      <w:r w:rsidRPr="00E974DF">
        <w:rPr>
          <w:rFonts w:cs="Times New Roman"/>
          <w:i/>
          <w:iCs/>
          <w:szCs w:val="24"/>
        </w:rPr>
        <w:t>Critique du droit du travail</w:t>
      </w:r>
      <w:r w:rsidRPr="00E974DF">
        <w:rPr>
          <w:rFonts w:cs="Times New Roman"/>
          <w:szCs w:val="24"/>
        </w:rPr>
        <w:t xml:space="preserve">, Paris, Presses Universitaires de France, 1994, pp. 15‑16 ; J. </w:t>
      </w:r>
      <w:proofErr w:type="spellStart"/>
      <w:r w:rsidRPr="00E974DF">
        <w:rPr>
          <w:rFonts w:cs="Times New Roman"/>
          <w:smallCaps/>
          <w:szCs w:val="24"/>
        </w:rPr>
        <w:t>Clesse</w:t>
      </w:r>
      <w:proofErr w:type="spellEnd"/>
      <w:r w:rsidRPr="00E974DF">
        <w:rPr>
          <w:rFonts w:cs="Times New Roman"/>
          <w:szCs w:val="24"/>
        </w:rPr>
        <w:t xml:space="preserve"> et F. </w:t>
      </w:r>
      <w:proofErr w:type="spellStart"/>
      <w:r w:rsidRPr="00E974DF">
        <w:rPr>
          <w:rFonts w:cs="Times New Roman"/>
          <w:smallCaps/>
          <w:szCs w:val="24"/>
        </w:rPr>
        <w:t>Kéfer</w:t>
      </w:r>
      <w:proofErr w:type="spellEnd"/>
      <w:r w:rsidRPr="00E974DF">
        <w:rPr>
          <w:rFonts w:cs="Times New Roman"/>
          <w:szCs w:val="24"/>
        </w:rPr>
        <w:t xml:space="preserve">, </w:t>
      </w:r>
      <w:r w:rsidRPr="00E974DF">
        <w:rPr>
          <w:rFonts w:cs="Times New Roman"/>
          <w:i/>
          <w:iCs/>
          <w:szCs w:val="24"/>
        </w:rPr>
        <w:t>Manuel de droit du travail</w:t>
      </w:r>
      <w:r w:rsidRPr="00E974DF">
        <w:rPr>
          <w:rFonts w:cs="Times New Roman"/>
          <w:szCs w:val="24"/>
        </w:rPr>
        <w:t xml:space="preserve">, Bruxelles, Larcier, 2018, pp. 7‑13 ; V. </w:t>
      </w:r>
      <w:r w:rsidRPr="00E974DF">
        <w:rPr>
          <w:rFonts w:cs="Times New Roman"/>
          <w:smallCaps/>
          <w:szCs w:val="24"/>
        </w:rPr>
        <w:t>van der</w:t>
      </w:r>
      <w:r w:rsidRPr="00E974DF">
        <w:rPr>
          <w:rFonts w:cs="Times New Roman"/>
          <w:szCs w:val="24"/>
        </w:rPr>
        <w:t> </w:t>
      </w:r>
      <w:proofErr w:type="spellStart"/>
      <w:r w:rsidRPr="00E974DF">
        <w:rPr>
          <w:rFonts w:cs="Times New Roman"/>
          <w:smallCaps/>
          <w:szCs w:val="24"/>
        </w:rPr>
        <w:t>Plancke</w:t>
      </w:r>
      <w:proofErr w:type="spellEnd"/>
      <w:r w:rsidRPr="00E974DF">
        <w:rPr>
          <w:rFonts w:cs="Times New Roman"/>
          <w:szCs w:val="24"/>
        </w:rPr>
        <w:t xml:space="preserve"> et N. </w:t>
      </w:r>
      <w:r w:rsidRPr="00E974DF">
        <w:rPr>
          <w:rFonts w:cs="Times New Roman"/>
          <w:smallCaps/>
          <w:szCs w:val="24"/>
        </w:rPr>
        <w:t>Van Leuven</w:t>
      </w:r>
      <w:r w:rsidRPr="00E974DF">
        <w:rPr>
          <w:rFonts w:cs="Times New Roman"/>
          <w:szCs w:val="24"/>
        </w:rPr>
        <w:t xml:space="preserve">, « La privatisation du respect de la Convention européenne des droits de l’homme : faut-il reconnaître un effet horizontal généralisé ? », </w:t>
      </w:r>
      <w:r w:rsidRPr="00E974DF">
        <w:rPr>
          <w:rFonts w:cs="Times New Roman"/>
          <w:i/>
          <w:iCs/>
          <w:szCs w:val="24"/>
        </w:rPr>
        <w:t xml:space="preserve">op. </w:t>
      </w:r>
      <w:proofErr w:type="spellStart"/>
      <w:r w:rsidRPr="00E974DF">
        <w:rPr>
          <w:rFonts w:cs="Times New Roman"/>
          <w:i/>
          <w:iCs/>
          <w:szCs w:val="24"/>
        </w:rPr>
        <w:t>cit</w:t>
      </w:r>
      <w:proofErr w:type="spellEnd"/>
      <w:r w:rsidRPr="00E974DF">
        <w:rPr>
          <w:rFonts w:cs="Times New Roman"/>
          <w:i/>
          <w:iCs/>
          <w:szCs w:val="24"/>
        </w:rPr>
        <w:t>.</w:t>
      </w:r>
      <w:r w:rsidRPr="00E974DF">
        <w:rPr>
          <w:rFonts w:cs="Times New Roman"/>
          <w:szCs w:val="24"/>
        </w:rPr>
        <w:t xml:space="preserve">, p. 193 ; M. </w:t>
      </w:r>
      <w:proofErr w:type="spellStart"/>
      <w:r w:rsidRPr="00E974DF">
        <w:rPr>
          <w:rFonts w:cs="Times New Roman"/>
          <w:smallCaps/>
          <w:szCs w:val="24"/>
        </w:rPr>
        <w:t>Jamoulle</w:t>
      </w:r>
      <w:proofErr w:type="spellEnd"/>
      <w:r w:rsidRPr="00E974DF">
        <w:rPr>
          <w:rFonts w:cs="Times New Roman"/>
          <w:szCs w:val="24"/>
        </w:rPr>
        <w:t xml:space="preserve">, </w:t>
      </w:r>
      <w:r w:rsidRPr="00E974DF">
        <w:rPr>
          <w:rFonts w:cs="Times New Roman"/>
          <w:i/>
          <w:iCs/>
          <w:szCs w:val="24"/>
        </w:rPr>
        <w:t>Le contrat de travail</w:t>
      </w:r>
      <w:r w:rsidRPr="00E974DF">
        <w:rPr>
          <w:rFonts w:cs="Times New Roman"/>
          <w:szCs w:val="24"/>
        </w:rPr>
        <w:t>, I, Liège, Faculté de Droit, d’Economie et de Sciences sociales de Liège, 1982, pp. 7‑18.</w:t>
      </w:r>
      <w:r>
        <w:fldChar w:fldCharType="end"/>
      </w:r>
      <w:bookmarkEnd w:id="14"/>
    </w:p>
  </w:footnote>
  <w:footnote w:id="94">
    <w:p w14:paraId="6B906C58" w14:textId="7C8CC47F" w:rsidR="000D6C77" w:rsidRPr="00FD6AB1" w:rsidRDefault="000D6C77" w:rsidP="00FD6AB1">
      <w:pPr>
        <w:pStyle w:val="Notedebasdepage"/>
        <w:rPr>
          <w:rFonts w:cs="Times New Roman"/>
          <w:lang w:val="en-US"/>
        </w:rPr>
      </w:pPr>
      <w:r w:rsidRPr="00022216">
        <w:rPr>
          <w:rStyle w:val="Appelnotedebasdep"/>
          <w:rFonts w:cs="Times New Roman"/>
        </w:rPr>
        <w:footnoteRef/>
      </w:r>
      <w:r w:rsidRPr="00022216">
        <w:rPr>
          <w:rFonts w:cs="Times New Roman"/>
        </w:rPr>
        <w:t xml:space="preserve"> Sur cette tension entre liberté et égalité des agents économiques,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{"citationID":"5qa1r34n","properties":{"formattedCitation":"O. {\\scaps De Schutter}, \\uc0\\u171{}\\uc0\\u160{}Human Rights in Employment Relationships: Contracts as Power\\uc0\\u160{}\\uc0\\u187{}, {\\i{}European Journal of Human Rights}, 2013, n\\uc0\\u176{} 1, pp. 57\\uc0\\u8209{}61.","plainCitation":"O. De Schutter, « Human Rights in Employment Relationships: Contracts as Power », European Journal of Human Rights, 2013, n° 1, pp. 57‑61.","noteIndex":123},"citationItems":[{"id":1371,"uris":["http://zotero.org/users/5133869/items/QVNN3RB3"],"itemData":{"id":1371,"type":"article-journal","container-title":"European Journal of Human Rights","issue":"1","page":"21-56","title":"Human Rights in Employment Relationships: Contracts as Power","author":[{"family":"De Schutter","given":"Olivier"}],"issued":{"date-parts":[["2013"]]}},"locator":"57-61"}],"schema":"https://github.com/citation-style-language/schema/raw/master/csl-citation.json"} </w:instrText>
      </w:r>
      <w:r w:rsidRPr="00022216">
        <w:rPr>
          <w:rFonts w:cs="Times New Roman"/>
        </w:rPr>
        <w:fldChar w:fldCharType="separate"/>
      </w:r>
      <w:r w:rsidRPr="00457877">
        <w:rPr>
          <w:rFonts w:cs="Times New Roman"/>
          <w:szCs w:val="24"/>
          <w:lang w:val="en-US"/>
        </w:rPr>
        <w:t xml:space="preserve">O. </w:t>
      </w:r>
      <w:r w:rsidRPr="00457877">
        <w:rPr>
          <w:rFonts w:cs="Times New Roman"/>
          <w:smallCaps/>
          <w:szCs w:val="24"/>
          <w:lang w:val="en-US"/>
        </w:rPr>
        <w:t xml:space="preserve">De </w:t>
      </w:r>
      <w:proofErr w:type="spellStart"/>
      <w:r w:rsidRPr="00457877">
        <w:rPr>
          <w:rFonts w:cs="Times New Roman"/>
          <w:smallCaps/>
          <w:szCs w:val="24"/>
          <w:lang w:val="en-US"/>
        </w:rPr>
        <w:t>Schutter</w:t>
      </w:r>
      <w:proofErr w:type="spellEnd"/>
      <w:r w:rsidRPr="00457877">
        <w:rPr>
          <w:rFonts w:cs="Times New Roman"/>
          <w:szCs w:val="24"/>
          <w:lang w:val="en-US"/>
        </w:rPr>
        <w:t xml:space="preserve">, « Human Rights in Employment Relationships: Contracts as Power », </w:t>
      </w:r>
      <w:r w:rsidRPr="00457877">
        <w:rPr>
          <w:rFonts w:cs="Times New Roman"/>
          <w:i/>
          <w:iCs/>
          <w:szCs w:val="24"/>
          <w:lang w:val="en-US"/>
        </w:rPr>
        <w:t>European Journal of Human Rights</w:t>
      </w:r>
      <w:r w:rsidRPr="00457877">
        <w:rPr>
          <w:rFonts w:cs="Times New Roman"/>
          <w:szCs w:val="24"/>
          <w:lang w:val="en-US"/>
        </w:rPr>
        <w:t>, 2013, n° 1, pp. 57‑61.</w:t>
      </w:r>
      <w:r w:rsidRPr="00022216">
        <w:rPr>
          <w:rFonts w:cs="Times New Roman"/>
        </w:rPr>
        <w:fldChar w:fldCharType="end"/>
      </w:r>
    </w:p>
  </w:footnote>
  <w:footnote w:id="95">
    <w:p w14:paraId="450D74B0" w14:textId="3A36936A" w:rsidR="000D6C77" w:rsidRPr="00E74ED6" w:rsidRDefault="000D6C77" w:rsidP="002365A2">
      <w:pPr>
        <w:pStyle w:val="Notedebasdepage"/>
        <w:rPr>
          <w:lang w:val="fr-FR"/>
        </w:rPr>
      </w:pPr>
      <w:r>
        <w:rPr>
          <w:rStyle w:val="Appelnotedebasdep"/>
        </w:rPr>
        <w:footnoteRef/>
      </w:r>
      <w:r w:rsidRPr="001B1295">
        <w:t xml:space="preserve"> </w:t>
      </w:r>
      <w:r>
        <w:t xml:space="preserve">Sur la théorie de l’institution, </w:t>
      </w:r>
      <w:proofErr w:type="spellStart"/>
      <w:r>
        <w:t>voy</w:t>
      </w:r>
      <w:proofErr w:type="spellEnd"/>
      <w:r>
        <w:t xml:space="preserve">. </w:t>
      </w:r>
      <w:r>
        <w:fldChar w:fldCharType="begin"/>
      </w:r>
      <w:r>
        <w:instrText xml:space="preserve"> ADDIN ZOTERO_ITEM CSL_CITATION {"citationID":"I7dEPhQB","properties":{"formattedCitation":"G. {\\scaps Renard}, {\\i{}La th\\uc0\\u233{}orie de l\\uc0\\u8217{}institution}, Paris, Sirey, 1930\\uc0\\u160{}; M. {\\scaps Hauriou}, \\uc0\\u171{}\\uc0\\u160{}La th\\uc0\\u233{}orie de l\\uc0\\u8217{}institution et de la fondation. Essai de vitalisme social\\uc0\\u160{}\\uc0\\u187{}, in {\\i{}Aux sources du droit\\uc0\\u8239{}: le pouvoir, l\\uc0\\u8217{}ordre et la libert\\uc0\\u233{}}, Paris, Bloud &amp; Gay, 1933\\uc0\\u160{}; S. {\\scaps Romano}, {\\i{}L\\uc0\\u8217{}ordre juridique}, Paris, Dalloz, 1975\\uc0\\u160{}; A. {\\scaps Rouast} et P. {\\scaps Durand}, {\\i{}Pr\\uc0\\u233{}cis de l\\uc0\\u233{}gislation industrielle\\uc0\\u8239{}: droit du travail}, Paris, Dalloz, 1951\\uc0\\u160{}; F. {\\scaps Dorssemont}, \\uc0\\u171{}\\uc0\\u160{}De onderneming\\uc0\\u8239{}: arbeidsgemeenschap of rechtsorde\\uc0\\u8239{}?\\uc0\\u160{}\\uc0\\u187{}, {\\i{}Tijdschrift voor Privaatrecht}, 2003, pp. 1313\\uc0\\u8209{}1412\\uc0\\u160{}; A. {\\scaps Broderick} {\\i{}et al.}, {\\i{}The French institutionalists: Maurice Hauriou, Georges Renard, Joseph T. Delos}, 20th century legal philosophy series, n\\uc0\\u176{} v. 8, Cambridge, Harvard University Press, 1970\\uc0\\u160{}; M. {\\scaps Jamoulle}, {\\i{}Le contrat de travail}, I, {\\i{}op. cit.}, pp. 11\\uc0\\u8209{}35.","plainCitation":"G. Renard, La théorie de l’institution, Paris, Sirey, 1930 ; M. Hauriou, « La théorie de l’institution et de la fondation. Essai de vitalisme social », in Aux sources du droit : le pouvoir, l’ordre et la liberté, Paris, Bloud &amp; Gay, 1933 ; S. Romano, L’ordre juridique, Paris, Dalloz, 1975 ; A. Rouast et P. Durand, Précis de législation industrielle : droit du travail, Paris, Dalloz, 1951 ; F. Dorssemont, « De onderneming : arbeidsgemeenschap of rechtsorde ? », Tijdschrift voor Privaatrecht, 2003, pp. 1313‑1412 ; A. Broderick et al., The French institutionalists: Maurice Hauriou, Georges Renard, Joseph T. Delos, 20th century legal philosophy series, n° v. 8, Cambridge, Harvard University Press, 1970 ; M. Jamoulle, Le contrat de travail, I, op. cit., pp. 11‑35.","noteIndex":125},"citationItems":[{"id":286,"uris":["http://zotero.org/users/5133869/items/JY98YR49"],"itemData":{"id":286,"type":"book","event-place":"Paris","publisher":"Sirey","publisher-place":"Paris","title":"La théorie de l’institution","author":[{"family":"Renard","given":"Georges"}],"issued":{"date-parts":[["1930"]]}}},{"id":2541,"uris":["http://zotero.org/users/5133869/items/YP28UCFN"],"itemData":{"id":2541,"type":"chapter","container-title":"Aux sources du droit : le pouvoir, l'ordre et la liberté","event-place":"Paris","publisher":"Bloud &amp; Gay","publisher-place":"Paris","title":"La théorie de l’institution et de la fondation. Essai de vitalisme social","author":[{"family":"Hauriou","given":"Maurice"}],"issued":{"date-parts":[["1933"]]}}},{"id":617,"uris":["http://zotero.org/users/5133869/items/JVRYXMBK"],"itemData":{"id":617,"type":"book","edition":"2e éd.","event-place":"Paris","publisher":"Dalloz","publisher-place":"Paris","title":"L'ordre juridique","author":[{"family":"Romano","given":"Santi"}],"issued":{"date-parts":[["1975"]]}}},{"id":319,"uris":["http://zotero.org/users/5133869/items/PU8V5VEI"],"itemData":{"id":319,"type":"book","event-place":"Paris","publisher":"Dalloz","publisher-place":"Paris","title":"Précis de législation industrielle : droit du travail","author":[{"family":"Rouast","given":"André"},{"family":"Durand","given":"Paul"}],"issued":{"date-parts":[["1951"]]}}},{"id":320,"uris":["http://zotero.org/users/5133869/items/TQJUNE7T"],"itemData":{"id":320,"type":"article-journal","container-title":"Tijdschrift voor Privaatrecht","page":"1313-1412","title":"De onderneming : arbeidsgemeenschap of rechtsorde ?","author":[{"family":"Dorssemont","given":"Filip"}],"issued":{"date-parts":[["2003"]]}}},{"id":325,"uris":["http://zotero.org/users/5133869/items/524YYILZ"],"itemData":{"id":325,"type":"book","call-number":"KJV284 .B763 1970","collection-number":"v. 8","collection-title":"20th century legal philosophy series","event-place":"Cambridge","ISBN":"978-0-674-32125-0","language":"engund","number-of-pages":"370","publisher":"Harvard University Press","publisher-place":"Cambridge","source":"Library of Congress ISBN","title":"The French institutionalists: Maurice Hauriou, Georges Renard, Joseph T. Delos","title-short":"The French institutionalists","author":[{"family":"Broderick","given":"Albert"},{"family":"Hauriou","given":"Maurice"},{"family":"Renard","given":"Georges"},{"family":"Delos","given":"Joseph Thomas"}],"issued":{"date-parts":[["1970"]]}}},{"id":3280,"uris":["http://zotero.org/users/5133869/items/YH43VL74"],"itemData":{"id":3280,"type":"book","event-place":"Liège","publisher":"Faculté de Droit, d'Economie et de Sciences sociales de Liège","publisher-place":"Liège","title":"Le contrat de travail","volume":"I","author":[{"family":"Jamoulle","given":"Micheline"}],"issued":{"date-parts":[["1982"]]}},"locator":"11-35","label":"page"}],"schema":"https://github.com/citation-style-language/schema/raw/master/csl-citation.json"} </w:instrText>
      </w:r>
      <w:r>
        <w:fldChar w:fldCharType="separate"/>
      </w:r>
      <w:r w:rsidRPr="00FF65AB">
        <w:rPr>
          <w:rFonts w:cs="Times New Roman"/>
          <w:szCs w:val="24"/>
        </w:rPr>
        <w:t xml:space="preserve">G. </w:t>
      </w:r>
      <w:r w:rsidRPr="00FF65AB">
        <w:rPr>
          <w:rFonts w:cs="Times New Roman"/>
          <w:smallCaps/>
          <w:szCs w:val="24"/>
        </w:rPr>
        <w:t>Renard</w:t>
      </w:r>
      <w:r w:rsidRPr="00FF65AB">
        <w:rPr>
          <w:rFonts w:cs="Times New Roman"/>
          <w:szCs w:val="24"/>
        </w:rPr>
        <w:t xml:space="preserve">, </w:t>
      </w:r>
      <w:r w:rsidRPr="00FF65AB">
        <w:rPr>
          <w:rFonts w:cs="Times New Roman"/>
          <w:i/>
          <w:iCs/>
          <w:szCs w:val="24"/>
        </w:rPr>
        <w:t>La théorie de l’institution</w:t>
      </w:r>
      <w:r w:rsidRPr="00FF65AB">
        <w:rPr>
          <w:rFonts w:cs="Times New Roman"/>
          <w:szCs w:val="24"/>
        </w:rPr>
        <w:t xml:space="preserve">, Paris, Sirey, 1930 ; M. </w:t>
      </w:r>
      <w:r w:rsidRPr="00FF65AB">
        <w:rPr>
          <w:rFonts w:cs="Times New Roman"/>
          <w:smallCaps/>
          <w:szCs w:val="24"/>
        </w:rPr>
        <w:t>Hauriou</w:t>
      </w:r>
      <w:r w:rsidRPr="00FF65AB">
        <w:rPr>
          <w:rFonts w:cs="Times New Roman"/>
          <w:szCs w:val="24"/>
        </w:rPr>
        <w:t xml:space="preserve">, « La théorie de l’institution et de la fondation. Essai de vitalisme social », in </w:t>
      </w:r>
      <w:r w:rsidRPr="00FF65AB">
        <w:rPr>
          <w:rFonts w:cs="Times New Roman"/>
          <w:i/>
          <w:iCs/>
          <w:szCs w:val="24"/>
        </w:rPr>
        <w:t>Aux sources du droit : le pouvoir, l’ordre et la liberté</w:t>
      </w:r>
      <w:r w:rsidRPr="00FF65AB">
        <w:rPr>
          <w:rFonts w:cs="Times New Roman"/>
          <w:szCs w:val="24"/>
        </w:rPr>
        <w:t xml:space="preserve">, Paris, </w:t>
      </w:r>
      <w:proofErr w:type="spellStart"/>
      <w:r w:rsidRPr="00FF65AB">
        <w:rPr>
          <w:rFonts w:cs="Times New Roman"/>
          <w:szCs w:val="24"/>
        </w:rPr>
        <w:t>Bloud</w:t>
      </w:r>
      <w:proofErr w:type="spellEnd"/>
      <w:r w:rsidRPr="00FF65AB">
        <w:rPr>
          <w:rFonts w:cs="Times New Roman"/>
          <w:szCs w:val="24"/>
        </w:rPr>
        <w:t xml:space="preserve"> &amp; Gay, 1933 ; S. </w:t>
      </w:r>
      <w:r w:rsidRPr="00FF65AB">
        <w:rPr>
          <w:rFonts w:cs="Times New Roman"/>
          <w:smallCaps/>
          <w:szCs w:val="24"/>
        </w:rPr>
        <w:t>Romano</w:t>
      </w:r>
      <w:r w:rsidRPr="00FF65AB">
        <w:rPr>
          <w:rFonts w:cs="Times New Roman"/>
          <w:szCs w:val="24"/>
        </w:rPr>
        <w:t xml:space="preserve">, </w:t>
      </w:r>
      <w:r w:rsidRPr="00FF65AB">
        <w:rPr>
          <w:rFonts w:cs="Times New Roman"/>
          <w:i/>
          <w:iCs/>
          <w:szCs w:val="24"/>
        </w:rPr>
        <w:t>L’ordre juridique</w:t>
      </w:r>
      <w:r w:rsidRPr="00FF65AB">
        <w:rPr>
          <w:rFonts w:cs="Times New Roman"/>
          <w:szCs w:val="24"/>
        </w:rPr>
        <w:t xml:space="preserve">, Paris, Dalloz, 1975 ; A. </w:t>
      </w:r>
      <w:proofErr w:type="spellStart"/>
      <w:r w:rsidRPr="00FF65AB">
        <w:rPr>
          <w:rFonts w:cs="Times New Roman"/>
          <w:smallCaps/>
          <w:szCs w:val="24"/>
        </w:rPr>
        <w:t>Rouast</w:t>
      </w:r>
      <w:proofErr w:type="spellEnd"/>
      <w:r w:rsidRPr="00FF65AB">
        <w:rPr>
          <w:rFonts w:cs="Times New Roman"/>
          <w:szCs w:val="24"/>
        </w:rPr>
        <w:t xml:space="preserve"> et P. </w:t>
      </w:r>
      <w:r w:rsidRPr="00FF65AB">
        <w:rPr>
          <w:rFonts w:cs="Times New Roman"/>
          <w:smallCaps/>
          <w:szCs w:val="24"/>
        </w:rPr>
        <w:t>Durand</w:t>
      </w:r>
      <w:r w:rsidRPr="00FF65AB">
        <w:rPr>
          <w:rFonts w:cs="Times New Roman"/>
          <w:szCs w:val="24"/>
        </w:rPr>
        <w:t xml:space="preserve">, </w:t>
      </w:r>
      <w:r w:rsidRPr="00FF65AB">
        <w:rPr>
          <w:rFonts w:cs="Times New Roman"/>
          <w:i/>
          <w:iCs/>
          <w:szCs w:val="24"/>
        </w:rPr>
        <w:t>Précis de législation industrielle : droit du travail</w:t>
      </w:r>
      <w:r w:rsidRPr="00FF65AB">
        <w:rPr>
          <w:rFonts w:cs="Times New Roman"/>
          <w:szCs w:val="24"/>
        </w:rPr>
        <w:t xml:space="preserve">, Paris, Dalloz, 1951 ; F. </w:t>
      </w:r>
      <w:r w:rsidRPr="00FF65AB">
        <w:rPr>
          <w:rFonts w:cs="Times New Roman"/>
          <w:smallCaps/>
          <w:szCs w:val="24"/>
        </w:rPr>
        <w:t>Dorssemont</w:t>
      </w:r>
      <w:r w:rsidRPr="00FF65AB">
        <w:rPr>
          <w:rFonts w:cs="Times New Roman"/>
          <w:szCs w:val="24"/>
        </w:rPr>
        <w:t xml:space="preserve">, « De </w:t>
      </w:r>
      <w:proofErr w:type="spellStart"/>
      <w:r w:rsidRPr="00FF65AB">
        <w:rPr>
          <w:rFonts w:cs="Times New Roman"/>
          <w:szCs w:val="24"/>
        </w:rPr>
        <w:t>onderneming</w:t>
      </w:r>
      <w:proofErr w:type="spellEnd"/>
      <w:r w:rsidRPr="00FF65AB">
        <w:rPr>
          <w:rFonts w:cs="Times New Roman"/>
          <w:szCs w:val="24"/>
        </w:rPr>
        <w:t xml:space="preserve"> : </w:t>
      </w:r>
      <w:proofErr w:type="spellStart"/>
      <w:r w:rsidRPr="00FF65AB">
        <w:rPr>
          <w:rFonts w:cs="Times New Roman"/>
          <w:szCs w:val="24"/>
        </w:rPr>
        <w:t>arbeidsgemeenschap</w:t>
      </w:r>
      <w:proofErr w:type="spellEnd"/>
      <w:r w:rsidRPr="00FF65AB">
        <w:rPr>
          <w:rFonts w:cs="Times New Roman"/>
          <w:szCs w:val="24"/>
        </w:rPr>
        <w:t xml:space="preserve"> of </w:t>
      </w:r>
      <w:proofErr w:type="spellStart"/>
      <w:r w:rsidRPr="00FF65AB">
        <w:rPr>
          <w:rFonts w:cs="Times New Roman"/>
          <w:szCs w:val="24"/>
        </w:rPr>
        <w:t>rechtsorde</w:t>
      </w:r>
      <w:proofErr w:type="spellEnd"/>
      <w:r w:rsidRPr="00FF65AB">
        <w:rPr>
          <w:rFonts w:cs="Times New Roman"/>
          <w:szCs w:val="24"/>
        </w:rPr>
        <w:t xml:space="preserve"> ? », </w:t>
      </w:r>
      <w:proofErr w:type="spellStart"/>
      <w:r w:rsidRPr="00FF65AB">
        <w:rPr>
          <w:rFonts w:cs="Times New Roman"/>
          <w:i/>
          <w:iCs/>
          <w:szCs w:val="24"/>
        </w:rPr>
        <w:t>Tijdschrift</w:t>
      </w:r>
      <w:proofErr w:type="spellEnd"/>
      <w:r w:rsidRPr="00FF65AB">
        <w:rPr>
          <w:rFonts w:cs="Times New Roman"/>
          <w:i/>
          <w:iCs/>
          <w:szCs w:val="24"/>
        </w:rPr>
        <w:t xml:space="preserve"> </w:t>
      </w:r>
      <w:proofErr w:type="spellStart"/>
      <w:r w:rsidRPr="00FF65AB">
        <w:rPr>
          <w:rFonts w:cs="Times New Roman"/>
          <w:i/>
          <w:iCs/>
          <w:szCs w:val="24"/>
        </w:rPr>
        <w:t>voor</w:t>
      </w:r>
      <w:proofErr w:type="spellEnd"/>
      <w:r w:rsidRPr="00FF65AB">
        <w:rPr>
          <w:rFonts w:cs="Times New Roman"/>
          <w:i/>
          <w:iCs/>
          <w:szCs w:val="24"/>
        </w:rPr>
        <w:t xml:space="preserve"> </w:t>
      </w:r>
      <w:proofErr w:type="spellStart"/>
      <w:r w:rsidRPr="00FF65AB">
        <w:rPr>
          <w:rFonts w:cs="Times New Roman"/>
          <w:i/>
          <w:iCs/>
          <w:szCs w:val="24"/>
        </w:rPr>
        <w:t>Privaatrecht</w:t>
      </w:r>
      <w:proofErr w:type="spellEnd"/>
      <w:r w:rsidRPr="00FF65AB">
        <w:rPr>
          <w:rFonts w:cs="Times New Roman"/>
          <w:szCs w:val="24"/>
        </w:rPr>
        <w:t xml:space="preserve">, 2003, pp. 1313‑1412 ; A. </w:t>
      </w:r>
      <w:proofErr w:type="spellStart"/>
      <w:r w:rsidRPr="00FF65AB">
        <w:rPr>
          <w:rFonts w:cs="Times New Roman"/>
          <w:smallCaps/>
          <w:szCs w:val="24"/>
        </w:rPr>
        <w:t>Broderick</w:t>
      </w:r>
      <w:proofErr w:type="spellEnd"/>
      <w:r w:rsidRPr="00FF65AB">
        <w:rPr>
          <w:rFonts w:cs="Times New Roman"/>
          <w:szCs w:val="24"/>
        </w:rPr>
        <w:t xml:space="preserve"> </w:t>
      </w:r>
      <w:r w:rsidRPr="00FF65AB">
        <w:rPr>
          <w:rFonts w:cs="Times New Roman"/>
          <w:i/>
          <w:iCs/>
          <w:szCs w:val="24"/>
        </w:rPr>
        <w:t>et al.</w:t>
      </w:r>
      <w:r w:rsidRPr="00FF65AB">
        <w:rPr>
          <w:rFonts w:cs="Times New Roman"/>
          <w:szCs w:val="24"/>
        </w:rPr>
        <w:t xml:space="preserve">, </w:t>
      </w:r>
      <w:r w:rsidRPr="00FF65AB">
        <w:rPr>
          <w:rFonts w:cs="Times New Roman"/>
          <w:i/>
          <w:iCs/>
          <w:szCs w:val="24"/>
        </w:rPr>
        <w:t xml:space="preserve">The French </w:t>
      </w:r>
      <w:proofErr w:type="spellStart"/>
      <w:r w:rsidRPr="00FF65AB">
        <w:rPr>
          <w:rFonts w:cs="Times New Roman"/>
          <w:i/>
          <w:iCs/>
          <w:szCs w:val="24"/>
        </w:rPr>
        <w:t>institutionalists</w:t>
      </w:r>
      <w:proofErr w:type="spellEnd"/>
      <w:r w:rsidRPr="00FF65AB">
        <w:rPr>
          <w:rFonts w:cs="Times New Roman"/>
          <w:i/>
          <w:iCs/>
          <w:szCs w:val="24"/>
        </w:rPr>
        <w:t xml:space="preserve">: Maurice Hauriou, Georges Renard, Joseph T. </w:t>
      </w:r>
      <w:proofErr w:type="spellStart"/>
      <w:r w:rsidRPr="00FF65AB">
        <w:rPr>
          <w:rFonts w:cs="Times New Roman"/>
          <w:i/>
          <w:iCs/>
          <w:szCs w:val="24"/>
        </w:rPr>
        <w:t>Delos</w:t>
      </w:r>
      <w:proofErr w:type="spellEnd"/>
      <w:r w:rsidRPr="00FF65AB">
        <w:rPr>
          <w:rFonts w:cs="Times New Roman"/>
          <w:szCs w:val="24"/>
        </w:rPr>
        <w:t xml:space="preserve">, 20th century </w:t>
      </w:r>
      <w:proofErr w:type="spellStart"/>
      <w:r w:rsidRPr="00FF65AB">
        <w:rPr>
          <w:rFonts w:cs="Times New Roman"/>
          <w:szCs w:val="24"/>
        </w:rPr>
        <w:t>legal</w:t>
      </w:r>
      <w:proofErr w:type="spellEnd"/>
      <w:r w:rsidRPr="00FF65AB">
        <w:rPr>
          <w:rFonts w:cs="Times New Roman"/>
          <w:szCs w:val="24"/>
        </w:rPr>
        <w:t xml:space="preserve"> </w:t>
      </w:r>
      <w:proofErr w:type="spellStart"/>
      <w:r w:rsidRPr="00FF65AB">
        <w:rPr>
          <w:rFonts w:cs="Times New Roman"/>
          <w:szCs w:val="24"/>
        </w:rPr>
        <w:t>philosophy</w:t>
      </w:r>
      <w:proofErr w:type="spellEnd"/>
      <w:r w:rsidRPr="00FF65AB">
        <w:rPr>
          <w:rFonts w:cs="Times New Roman"/>
          <w:szCs w:val="24"/>
        </w:rPr>
        <w:t xml:space="preserve"> </w:t>
      </w:r>
      <w:proofErr w:type="spellStart"/>
      <w:r w:rsidRPr="00FF65AB">
        <w:rPr>
          <w:rFonts w:cs="Times New Roman"/>
          <w:szCs w:val="24"/>
        </w:rPr>
        <w:t>series</w:t>
      </w:r>
      <w:proofErr w:type="spellEnd"/>
      <w:r w:rsidRPr="00FF65AB">
        <w:rPr>
          <w:rFonts w:cs="Times New Roman"/>
          <w:szCs w:val="24"/>
        </w:rPr>
        <w:t xml:space="preserve">, n° v. 8, Cambridge, Harvard </w:t>
      </w:r>
      <w:proofErr w:type="spellStart"/>
      <w:r w:rsidRPr="00FF65AB">
        <w:rPr>
          <w:rFonts w:cs="Times New Roman"/>
          <w:szCs w:val="24"/>
        </w:rPr>
        <w:t>University</w:t>
      </w:r>
      <w:proofErr w:type="spellEnd"/>
      <w:r w:rsidRPr="00FF65AB">
        <w:rPr>
          <w:rFonts w:cs="Times New Roman"/>
          <w:szCs w:val="24"/>
        </w:rPr>
        <w:t xml:space="preserve"> </w:t>
      </w:r>
      <w:proofErr w:type="spellStart"/>
      <w:r w:rsidRPr="00FF65AB">
        <w:rPr>
          <w:rFonts w:cs="Times New Roman"/>
          <w:szCs w:val="24"/>
        </w:rPr>
        <w:t>Press</w:t>
      </w:r>
      <w:proofErr w:type="spellEnd"/>
      <w:r w:rsidRPr="00FF65AB">
        <w:rPr>
          <w:rFonts w:cs="Times New Roman"/>
          <w:szCs w:val="24"/>
        </w:rPr>
        <w:t xml:space="preserve">, 1970 ; M. </w:t>
      </w:r>
      <w:proofErr w:type="spellStart"/>
      <w:r w:rsidRPr="00FF65AB">
        <w:rPr>
          <w:rFonts w:cs="Times New Roman"/>
          <w:smallCaps/>
          <w:szCs w:val="24"/>
        </w:rPr>
        <w:t>Jamoulle</w:t>
      </w:r>
      <w:proofErr w:type="spellEnd"/>
      <w:r w:rsidRPr="00FF65AB">
        <w:rPr>
          <w:rFonts w:cs="Times New Roman"/>
          <w:szCs w:val="24"/>
        </w:rPr>
        <w:t xml:space="preserve">, </w:t>
      </w:r>
      <w:r w:rsidRPr="00FF65AB">
        <w:rPr>
          <w:rFonts w:cs="Times New Roman"/>
          <w:i/>
          <w:iCs/>
          <w:szCs w:val="24"/>
        </w:rPr>
        <w:t>Le contrat de travail</w:t>
      </w:r>
      <w:r w:rsidRPr="00FF65AB">
        <w:rPr>
          <w:rFonts w:cs="Times New Roman"/>
          <w:szCs w:val="24"/>
        </w:rPr>
        <w:t xml:space="preserve">, I, </w:t>
      </w:r>
      <w:r w:rsidRPr="00FF65AB">
        <w:rPr>
          <w:rFonts w:cs="Times New Roman"/>
          <w:i/>
          <w:iCs/>
          <w:szCs w:val="24"/>
        </w:rPr>
        <w:t xml:space="preserve">op. </w:t>
      </w:r>
      <w:proofErr w:type="spellStart"/>
      <w:r w:rsidRPr="00FF65AB">
        <w:rPr>
          <w:rFonts w:cs="Times New Roman"/>
          <w:i/>
          <w:iCs/>
          <w:szCs w:val="24"/>
        </w:rPr>
        <w:t>cit</w:t>
      </w:r>
      <w:proofErr w:type="spellEnd"/>
      <w:r w:rsidRPr="00FF65AB">
        <w:rPr>
          <w:rFonts w:cs="Times New Roman"/>
          <w:i/>
          <w:iCs/>
          <w:szCs w:val="24"/>
        </w:rPr>
        <w:t>.</w:t>
      </w:r>
      <w:r w:rsidRPr="00FF65AB">
        <w:rPr>
          <w:rFonts w:cs="Times New Roman"/>
          <w:szCs w:val="24"/>
        </w:rPr>
        <w:t>, pp. 11‑35.</w:t>
      </w:r>
      <w:r>
        <w:fldChar w:fldCharType="end"/>
      </w:r>
    </w:p>
  </w:footnote>
  <w:footnote w:id="96">
    <w:p w14:paraId="5244BCF4" w14:textId="01916515" w:rsidR="000D6C77" w:rsidRPr="0045620A" w:rsidRDefault="000D6C77">
      <w:pPr>
        <w:pStyle w:val="Notedebasdepage"/>
      </w:pPr>
      <w:r>
        <w:rPr>
          <w:rStyle w:val="Appelnotedebasdep"/>
        </w:rPr>
        <w:footnoteRef/>
      </w:r>
      <w:r>
        <w:t xml:space="preserve"> </w:t>
      </w:r>
      <w:proofErr w:type="spellStart"/>
      <w:r>
        <w:t>Voy</w:t>
      </w:r>
      <w:proofErr w:type="spellEnd"/>
      <w:r>
        <w:t xml:space="preserve">. à cet égard </w:t>
      </w:r>
      <w:r>
        <w:fldChar w:fldCharType="begin"/>
      </w:r>
      <w:r>
        <w:instrText xml:space="preserve"> ADDIN ZOTERO_ITEM CSL_CITATION {"citationID":"FbX4sUzn","properties":{"formattedCitation":"M. {\\scaps Jamoulle}, {\\i{}Le contrat de travail}, I, {\\i{}op. cit.}, pp. 71\\uc0\\u8209{}131\\uc0\\u160{}; \\uc0\\u171{}\\uc0\\u160{}L\\uc0\\u8217{}option contractuelle du droit belge\\uc0\\u160{}\\uc0\\u187{}, in {\\i{}Seize le\\uc0\\u231{}ons sur le droit du travail}, Li\\uc0\\u232{}ge, Collection scientifique de la Facult\\uc0\\u233{} de droit de Li\\uc0\\u232{}ge, 1994, pp. 74\\uc0\\u8209{}91.","plainCitation":"M. Jamoulle, Le contrat de travail, I, op. cit., pp. 71‑131 ; « L’option contractuelle du droit belge », in Seize leçons sur le droit du travail, Liège, Collection scientifique de la Faculté de droit de Liège, 1994, pp. 74‑91.","noteIndex":126},"citationItems":[{"id":3280,"uris":["http://zotero.org/users/5133869/items/YH43VL74"],"itemData":{"id":3280,"type":"book","event-place":"Liège","publisher":"Faculté de Droit, d'Economie et de Sciences sociales de Liège","publisher-place":"Liège","title":"Le contrat de travail","volume":"I","author":[{"family":"Jamoulle","given":"Micheline"}],"issued":{"date-parts":[["1982"]]}},"locator":"71-131","label":"page"},{"id":3279,"uris":["http://zotero.org/users/5133869/items/P6IZ29XE"],"itemData":{"id":3279,"type":"chapter","container-title":"Seize leçons sur le droit du travail","event-place":"Liège","page":"74-91","publisher":"Collection scientifique de la Faculté de droit de Liège","publisher-place":"Liège","title":"L’option contractuelle du droit belge","author":[{"family":"Jamoulle","given":"Micheline"}],"issued":{"date-parts":[["1994"]]}},"label":"page","suppress-author":true}],"schema":"https://github.com/citation-style-language/schema/raw/master/csl-citation.json"} </w:instrText>
      </w:r>
      <w:r>
        <w:fldChar w:fldCharType="separate"/>
      </w:r>
      <w:r w:rsidRPr="005A0F3A">
        <w:rPr>
          <w:rFonts w:cs="Times New Roman"/>
          <w:szCs w:val="24"/>
        </w:rPr>
        <w:t xml:space="preserve">M. </w:t>
      </w:r>
      <w:proofErr w:type="spellStart"/>
      <w:r w:rsidRPr="005A0F3A">
        <w:rPr>
          <w:rFonts w:cs="Times New Roman"/>
          <w:smallCaps/>
          <w:szCs w:val="24"/>
        </w:rPr>
        <w:t>Jamoulle</w:t>
      </w:r>
      <w:proofErr w:type="spellEnd"/>
      <w:r w:rsidRPr="005A0F3A">
        <w:rPr>
          <w:rFonts w:cs="Times New Roman"/>
          <w:szCs w:val="24"/>
        </w:rPr>
        <w:t xml:space="preserve">, </w:t>
      </w:r>
      <w:r w:rsidRPr="005A0F3A">
        <w:rPr>
          <w:rFonts w:cs="Times New Roman"/>
          <w:i/>
          <w:iCs/>
          <w:szCs w:val="24"/>
        </w:rPr>
        <w:t>Le contrat de travail</w:t>
      </w:r>
      <w:r w:rsidRPr="005A0F3A">
        <w:rPr>
          <w:rFonts w:cs="Times New Roman"/>
          <w:szCs w:val="24"/>
        </w:rPr>
        <w:t xml:space="preserve">, I, </w:t>
      </w:r>
      <w:r w:rsidRPr="005A0F3A">
        <w:rPr>
          <w:rFonts w:cs="Times New Roman"/>
          <w:i/>
          <w:iCs/>
          <w:szCs w:val="24"/>
        </w:rPr>
        <w:t xml:space="preserve">op. </w:t>
      </w:r>
      <w:proofErr w:type="spellStart"/>
      <w:r w:rsidRPr="005A0F3A">
        <w:rPr>
          <w:rFonts w:cs="Times New Roman"/>
          <w:i/>
          <w:iCs/>
          <w:szCs w:val="24"/>
        </w:rPr>
        <w:t>cit</w:t>
      </w:r>
      <w:proofErr w:type="spellEnd"/>
      <w:r w:rsidRPr="005A0F3A">
        <w:rPr>
          <w:rFonts w:cs="Times New Roman"/>
          <w:i/>
          <w:iCs/>
          <w:szCs w:val="24"/>
        </w:rPr>
        <w:t>.</w:t>
      </w:r>
      <w:r w:rsidRPr="005A0F3A">
        <w:rPr>
          <w:rFonts w:cs="Times New Roman"/>
          <w:szCs w:val="24"/>
        </w:rPr>
        <w:t xml:space="preserve">, pp. 71‑131 ; « L’option contractuelle du droit belge », in </w:t>
      </w:r>
      <w:r w:rsidRPr="005A0F3A">
        <w:rPr>
          <w:rFonts w:cs="Times New Roman"/>
          <w:i/>
          <w:iCs/>
          <w:szCs w:val="24"/>
        </w:rPr>
        <w:t>Seize leçons sur le droit du travail</w:t>
      </w:r>
      <w:r w:rsidRPr="005A0F3A">
        <w:rPr>
          <w:rFonts w:cs="Times New Roman"/>
          <w:szCs w:val="24"/>
        </w:rPr>
        <w:t>, Liège, Collection scientifique de la Faculté de droit de Liège, 1994, pp. 74‑91.</w:t>
      </w:r>
      <w:r>
        <w:fldChar w:fldCharType="end"/>
      </w:r>
    </w:p>
  </w:footnote>
  <w:footnote w:id="97">
    <w:p w14:paraId="5BEE2B8D" w14:textId="1129047E" w:rsidR="000D6C77" w:rsidRPr="00022216" w:rsidRDefault="000D6C77" w:rsidP="00457877">
      <w:pPr>
        <w:pStyle w:val="Notedebasdepage"/>
        <w:rPr>
          <w:rFonts w:cs="Times New Roman"/>
        </w:rPr>
      </w:pPr>
      <w:r w:rsidRPr="00022216">
        <w:rPr>
          <w:rStyle w:val="Appelnotedebasdep"/>
          <w:rFonts w:cs="Times New Roman"/>
        </w:rPr>
        <w:footnoteRef/>
      </w:r>
      <w:r w:rsidRPr="00022216">
        <w:rPr>
          <w:rFonts w:cs="Times New Roman"/>
        </w:rPr>
        <w:t xml:space="preserve"> </w:t>
      </w:r>
      <w:bookmarkStart w:id="16" w:name="_Hlk48397438"/>
      <w:r w:rsidRPr="00022216">
        <w:rPr>
          <w:rFonts w:cs="Times New Roman"/>
        </w:rPr>
        <w:fldChar w:fldCharType="begin"/>
      </w:r>
      <w:r>
        <w:rPr>
          <w:rFonts w:cs="Times New Roman"/>
        </w:rPr>
        <w:instrText xml:space="preserve"> ADDIN ZOTERO_ITEM CSL_CITATION {"citationID":"tMfDFCaz","properties":{"formattedCitation":"S. {\\scaps Romano}, {\\i{}L\\uc0\\u8217{}ordre juridique}, {\\i{}op. cit.}","plainCitation":"S. Romano, L’ordre juridique, op. cit.","noteIndex":127},"citationItems":[{"id":617,"uris":["http://zotero.org/users/5133869/items/JVRYXMBK"],"itemData":{"id":617,"type":"book","edition":"2e éd.","event-place":"Paris","publisher":"Dalloz","publisher-place":"Paris","title":"L'ordre juridique","author":[{"family":"Romano","given":"Santi"}],"issued":{"date-parts":[["1975"]]}},"label":"page"}],"schema":"https://github.com/citation-style-language/schema/raw/master/csl-citation.json"} </w:instrText>
      </w:r>
      <w:r w:rsidRPr="00022216">
        <w:rPr>
          <w:rFonts w:cs="Times New Roman"/>
        </w:rPr>
        <w:fldChar w:fldCharType="separate"/>
      </w:r>
      <w:r w:rsidRPr="00A97B4F">
        <w:rPr>
          <w:rFonts w:cs="Times New Roman"/>
          <w:szCs w:val="24"/>
        </w:rPr>
        <w:t xml:space="preserve">S. </w:t>
      </w:r>
      <w:r w:rsidRPr="00A97B4F">
        <w:rPr>
          <w:rFonts w:cs="Times New Roman"/>
          <w:smallCaps/>
          <w:szCs w:val="24"/>
        </w:rPr>
        <w:t>Romano</w:t>
      </w:r>
      <w:r w:rsidRPr="00A97B4F">
        <w:rPr>
          <w:rFonts w:cs="Times New Roman"/>
          <w:szCs w:val="24"/>
        </w:rPr>
        <w:t xml:space="preserve">, </w:t>
      </w:r>
      <w:r w:rsidRPr="00A97B4F">
        <w:rPr>
          <w:rFonts w:cs="Times New Roman"/>
          <w:i/>
          <w:iCs/>
          <w:szCs w:val="24"/>
        </w:rPr>
        <w:t>L’ordre juridique</w:t>
      </w:r>
      <w:r w:rsidRPr="00A97B4F">
        <w:rPr>
          <w:rFonts w:cs="Times New Roman"/>
          <w:szCs w:val="24"/>
        </w:rPr>
        <w:t xml:space="preserve">, </w:t>
      </w:r>
      <w:r w:rsidRPr="00A97B4F">
        <w:rPr>
          <w:rFonts w:cs="Times New Roman"/>
          <w:i/>
          <w:iCs/>
          <w:szCs w:val="24"/>
        </w:rPr>
        <w:t xml:space="preserve">op. </w:t>
      </w:r>
      <w:proofErr w:type="spellStart"/>
      <w:r w:rsidRPr="00A97B4F">
        <w:rPr>
          <w:rFonts w:cs="Times New Roman"/>
          <w:i/>
          <w:iCs/>
          <w:szCs w:val="24"/>
        </w:rPr>
        <w:t>cit</w:t>
      </w:r>
      <w:proofErr w:type="spellEnd"/>
      <w:r w:rsidRPr="00A97B4F">
        <w:rPr>
          <w:rFonts w:cs="Times New Roman"/>
          <w:i/>
          <w:iCs/>
          <w:szCs w:val="24"/>
        </w:rPr>
        <w:t>.</w:t>
      </w:r>
      <w:r w:rsidRPr="00022216">
        <w:rPr>
          <w:rFonts w:cs="Times New Roman"/>
        </w:rPr>
        <w:fldChar w:fldCharType="end"/>
      </w:r>
      <w:bookmarkEnd w:id="16"/>
      <w:r>
        <w:rPr>
          <w:rFonts w:cs="Times New Roman"/>
        </w:rPr>
        <w:t>.</w:t>
      </w:r>
    </w:p>
  </w:footnote>
  <w:footnote w:id="98">
    <w:p w14:paraId="1A2273EF" w14:textId="057DA6B5" w:rsidR="000D6C77" w:rsidRPr="00FD6AB1" w:rsidRDefault="000D6C77" w:rsidP="00941CB1">
      <w:pPr>
        <w:pStyle w:val="Notedebasdepage"/>
        <w:rPr>
          <w:lang w:val="en-US"/>
        </w:rPr>
      </w:pPr>
      <w:r w:rsidRPr="00022216">
        <w:rPr>
          <w:rStyle w:val="Appelnotedebasdep"/>
        </w:rPr>
        <w:footnoteRef/>
      </w:r>
      <w:r w:rsidRPr="00022216">
        <w:t xml:space="preserve"> </w:t>
      </w:r>
      <w:r w:rsidRPr="00022216">
        <w:fldChar w:fldCharType="begin"/>
      </w:r>
      <w:r>
        <w:instrText xml:space="preserve"> ADDIN ZOTERO_ITEM CSL_CITATION {"citationID":"5GJcvgv1","properties":{"formattedCitation":"A. {\\scaps Supiot}, \\uc0\\u171{}\\uc0\\u160{}Note sur l\\uc0\\u8217{}avis de la CNCDH sur la la\\uc0\\u239{}cit\\uc0\\u233{}\\uc0\\u160{}\\uc0\\u187{}, in {\\i{}Les grands avis de la Commission nationale consultative des droits de l\\uc0\\u8217{}homme}, Paris, Dalloz, 2016, pp. 293\\uc0\\u8209{}308\\uc0\\u8239{}:","plainCitation":"A. Supiot, « Note sur l’avis de la CNCDH sur la laïcité », in Les grands avis de la Commission nationale consultative des droits de l’homme, Paris, Dalloz, 2016, pp. 293‑308 :","noteIndex":128},"citationItems":[{"id":467,"uris":["http://zotero.org/users/5133869/items/468WKD29"],"itemData":{"id":467,"type":"chapter","container-title":"Les grands avis de la Commission nationale consultative des droits de l'homme","event-place":"Paris","page":"293-308","publisher":"Dalloz","publisher-place":"Paris","title":"Note sur l'avis de la CNCDH sur la laïcité","author":[{"family":"Supiot","given":"Alain"}],"issued":{"date-parts":[["2016"]]}},"suffix":" :"}],"schema":"https://github.com/citation-style-language/schema/raw/master/csl-citation.json"} </w:instrText>
      </w:r>
      <w:r w:rsidRPr="00022216">
        <w:fldChar w:fldCharType="separate"/>
      </w:r>
      <w:r w:rsidRPr="009C502A">
        <w:rPr>
          <w:rFonts w:cs="Times New Roman"/>
          <w:szCs w:val="24"/>
        </w:rPr>
        <w:t xml:space="preserve">A. </w:t>
      </w:r>
      <w:proofErr w:type="spellStart"/>
      <w:r w:rsidRPr="009C502A">
        <w:rPr>
          <w:rFonts w:cs="Times New Roman"/>
          <w:smallCaps/>
          <w:szCs w:val="24"/>
        </w:rPr>
        <w:t>Supiot</w:t>
      </w:r>
      <w:proofErr w:type="spellEnd"/>
      <w:r w:rsidRPr="009C502A">
        <w:rPr>
          <w:rFonts w:cs="Times New Roman"/>
          <w:szCs w:val="24"/>
        </w:rPr>
        <w:t xml:space="preserve">, « Note sur l’avis de la CNCDH sur la laïcité », in </w:t>
      </w:r>
      <w:r w:rsidRPr="009C502A">
        <w:rPr>
          <w:rFonts w:cs="Times New Roman"/>
          <w:i/>
          <w:iCs/>
          <w:szCs w:val="24"/>
        </w:rPr>
        <w:t>Les grands avis de la Commission nationale consultative des droits de l’homme</w:t>
      </w:r>
      <w:r w:rsidRPr="009C502A">
        <w:rPr>
          <w:rFonts w:cs="Times New Roman"/>
          <w:szCs w:val="24"/>
        </w:rPr>
        <w:t>, Paris, Dalloz, 2016, pp. 293‑308 :</w:t>
      </w:r>
      <w:r w:rsidRPr="00022216">
        <w:fldChar w:fldCharType="end"/>
      </w:r>
      <w:r>
        <w:t xml:space="preserve"> </w:t>
      </w:r>
      <w:r w:rsidRPr="00B601A0">
        <w:t>« Dans ses rapports avec ses salariés, l’employeur se trouve, comme l’État dans ses relations avec les citoyens, soumis au principe de laïcité : il doit à la fois faire preuve de neutralité religieuse et empêcher que chaque salarié puisse arguer de ses convictions religieuses pour échapper à la loi commune, qui soude la collectivité de travail et permet à l’entreprise de réaliser son objet. Cette mise en œuvre du principe de laïcité dans l’entreprise s’opère sous le contrôle de l’État (juge ou inspecteur du travail) et obéit aux règles générales d’objectivité et de proportionnalité fixées par le code du travail. Mais la liberté d’entreprendre (et, dans l’affaire Baby Loup, la liberté d’association) commandent de laisser à l’employeur une marge d’appréciation suffisante et de tenir compte de la situation concrète de l’entreprise ».</w:t>
      </w:r>
      <w:r>
        <w:t> </w:t>
      </w:r>
      <w:r w:rsidRPr="00941CB1">
        <w:t xml:space="preserve">Dans le même sens, </w:t>
      </w:r>
      <w:proofErr w:type="spellStart"/>
      <w:r w:rsidRPr="00941CB1">
        <w:t>voy</w:t>
      </w:r>
      <w:proofErr w:type="spellEnd"/>
      <w:r w:rsidRPr="00941CB1">
        <w:t xml:space="preserve">. </w:t>
      </w:r>
      <w:r>
        <w:fldChar w:fldCharType="begin"/>
      </w:r>
      <w:r>
        <w:rPr>
          <w:lang w:val="en-US"/>
        </w:rPr>
        <w:instrText xml:space="preserve"> ADDIN ZOTERO_ITEM CSL_CITATION {"citationID":"PTCABfnM","properties":{"formattedCitation":"V. {\\scaps Valentin}, \\uc0\\u171{}\\uc0\\u160{}Freedom of conscience in private company. An economic or a political problem?\\uc0\\u160{}\\uc0\\u187{}, {\\i{}in} C. {\\scaps Proeschel}, D. {\\scaps Koussens} et F. {\\scaps Piraino} (\\uc0\\u233{}ds.), {\\i{}Religion, Law and the Politics of Ethical Diversity. Conscientious Objection and Contestation of Civil Norms}, London, Routledge, 2021, p. 87.","plainCitation":"V. Valentin, « Freedom of conscience in private company. An economic or a political problem? », in C. Proeschel, D. Koussens et F. Piraino (éds.), Religion, Law and the Politics of Ethical Diversity. Conscientious Objection and Contestation of Civil Norms, London, Routledge, 2021, p. 87.","noteIndex":128},"citationItems":[{"id":2506,"uris":["http://zotero.org/users/5133869/items/KAPS7XYI"],"itemData":{"id":2506,"type":"chapter","container-title":"Religion,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locator":"87","label":"page"}],"schema":"https://github.com/citation-style-language/schema/raw/master/csl-citation.json"} </w:instrText>
      </w:r>
      <w:r>
        <w:fldChar w:fldCharType="separate"/>
      </w:r>
      <w:r w:rsidRPr="008D517D">
        <w:rPr>
          <w:rFonts w:cs="Times New Roman"/>
          <w:szCs w:val="24"/>
          <w:lang w:val="en-GB"/>
        </w:rPr>
        <w:t xml:space="preserve">V. </w:t>
      </w:r>
      <w:r w:rsidRPr="008D517D">
        <w:rPr>
          <w:rFonts w:cs="Times New Roman"/>
          <w:smallCaps/>
          <w:szCs w:val="24"/>
          <w:lang w:val="en-GB"/>
        </w:rPr>
        <w:t>Valentin</w:t>
      </w:r>
      <w:r w:rsidRPr="008D517D">
        <w:rPr>
          <w:rFonts w:cs="Times New Roman"/>
          <w:szCs w:val="24"/>
          <w:lang w:val="en-GB"/>
        </w:rPr>
        <w:t xml:space="preserve">, « Freedom of conscience in private company. An economic or a political problem? », </w:t>
      </w:r>
      <w:r w:rsidRPr="008D517D">
        <w:rPr>
          <w:rFonts w:cs="Times New Roman"/>
          <w:i/>
          <w:iCs/>
          <w:szCs w:val="24"/>
          <w:lang w:val="en-GB"/>
        </w:rPr>
        <w:t>in</w:t>
      </w:r>
      <w:r w:rsidRPr="008D517D">
        <w:rPr>
          <w:rFonts w:cs="Times New Roman"/>
          <w:szCs w:val="24"/>
          <w:lang w:val="en-GB"/>
        </w:rPr>
        <w:t xml:space="preserve"> C. </w:t>
      </w:r>
      <w:r w:rsidRPr="008D517D">
        <w:rPr>
          <w:rFonts w:cs="Times New Roman"/>
          <w:smallCaps/>
          <w:szCs w:val="24"/>
          <w:lang w:val="en-GB"/>
        </w:rPr>
        <w:t>Proeschel</w:t>
      </w:r>
      <w:r w:rsidRPr="008D517D">
        <w:rPr>
          <w:rFonts w:cs="Times New Roman"/>
          <w:szCs w:val="24"/>
          <w:lang w:val="en-GB"/>
        </w:rPr>
        <w:t xml:space="preserve">, D. </w:t>
      </w:r>
      <w:r w:rsidRPr="008D517D">
        <w:rPr>
          <w:rFonts w:cs="Times New Roman"/>
          <w:smallCaps/>
          <w:szCs w:val="24"/>
          <w:lang w:val="en-GB"/>
        </w:rPr>
        <w:t>Koussens</w:t>
      </w:r>
      <w:r w:rsidRPr="008D517D">
        <w:rPr>
          <w:rFonts w:cs="Times New Roman"/>
          <w:szCs w:val="24"/>
          <w:lang w:val="en-GB"/>
        </w:rPr>
        <w:t xml:space="preserve"> et F. </w:t>
      </w:r>
      <w:proofErr w:type="spellStart"/>
      <w:r w:rsidRPr="008D517D">
        <w:rPr>
          <w:rFonts w:cs="Times New Roman"/>
          <w:smallCaps/>
          <w:szCs w:val="24"/>
          <w:lang w:val="en-GB"/>
        </w:rPr>
        <w:t>Piraino</w:t>
      </w:r>
      <w:proofErr w:type="spellEnd"/>
      <w:r w:rsidRPr="008D517D">
        <w:rPr>
          <w:rFonts w:cs="Times New Roman"/>
          <w:szCs w:val="24"/>
          <w:lang w:val="en-GB"/>
        </w:rPr>
        <w:t xml:space="preserve"> (</w:t>
      </w:r>
      <w:proofErr w:type="spellStart"/>
      <w:r w:rsidRPr="008D517D">
        <w:rPr>
          <w:rFonts w:cs="Times New Roman"/>
          <w:szCs w:val="24"/>
          <w:lang w:val="en-GB"/>
        </w:rPr>
        <w:t>éds</w:t>
      </w:r>
      <w:proofErr w:type="spellEnd"/>
      <w:r w:rsidRPr="008D517D">
        <w:rPr>
          <w:rFonts w:cs="Times New Roman"/>
          <w:szCs w:val="24"/>
          <w:lang w:val="en-GB"/>
        </w:rPr>
        <w:t xml:space="preserve">.), </w:t>
      </w:r>
      <w:r w:rsidRPr="008D517D">
        <w:rPr>
          <w:rFonts w:cs="Times New Roman"/>
          <w:i/>
          <w:iCs/>
          <w:szCs w:val="24"/>
          <w:lang w:val="en-GB"/>
        </w:rPr>
        <w:t>Religion, Law and the Politics of Ethical Diversity. Conscientious Objection and Contestation of Civil Norms</w:t>
      </w:r>
      <w:r w:rsidRPr="008D517D">
        <w:rPr>
          <w:rFonts w:cs="Times New Roman"/>
          <w:szCs w:val="24"/>
          <w:lang w:val="en-GB"/>
        </w:rPr>
        <w:t>, London, Routledge, 2021, p. 87.</w:t>
      </w:r>
      <w:r>
        <w:fldChar w:fldCharType="end"/>
      </w:r>
      <w:r w:rsidRPr="00FD6AB1">
        <w:rPr>
          <w:lang w:val="en-US"/>
        </w:rPr>
        <w:t xml:space="preserve"> </w:t>
      </w:r>
      <w:r w:rsidRPr="00941CB1">
        <w:rPr>
          <w:i/>
          <w:iCs/>
          <w:lang w:val="en-US"/>
        </w:rPr>
        <w:t xml:space="preserve"> </w:t>
      </w:r>
    </w:p>
  </w:footnote>
  <w:footnote w:id="99">
    <w:p w14:paraId="062E3C62" w14:textId="1A55A6E6" w:rsidR="000D6C77" w:rsidRPr="00FD6AB1" w:rsidRDefault="000D6C77" w:rsidP="00941CB1">
      <w:pPr>
        <w:pStyle w:val="Notedebasdepage"/>
        <w:rPr>
          <w:lang w:val="en-US"/>
        </w:rPr>
      </w:pPr>
      <w:r>
        <w:rPr>
          <w:rStyle w:val="Appelnotedebasdep"/>
        </w:rPr>
        <w:footnoteRef/>
      </w:r>
      <w:r w:rsidRPr="00FD6AB1">
        <w:rPr>
          <w:lang w:val="en-US"/>
        </w:rPr>
        <w:t xml:space="preserve"> </w:t>
      </w:r>
      <w:r>
        <w:fldChar w:fldCharType="begin"/>
      </w:r>
      <w:r>
        <w:rPr>
          <w:lang w:val="en-US"/>
        </w:rPr>
        <w:instrText xml:space="preserve"> ADDIN ZOTERO_ITEM CSL_CITATION {"citationID":"E1rPzOV7","properties":{"formattedCitation":"V. {\\scaps Valentin}, \\uc0\\u171{}\\uc0\\u160{}Freedom of conscience in private company. An economic or a political problem?\\uc0\\u160{}\\uc0\\u187{}, {\\i{}op. cit.}, p. 87.","plainCitation":"V. Valentin, « Freedom of conscience in private company. An economic or a political problem? », op. cit., p. 87.","noteIndex":129},"citationItems":[{"id":2506,"uris":["http://zotero.org/users/5133869/items/KAPS7XYI"],"itemData":{"id":2506,"type":"chapter","container-title":"Religion,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locator":"87","label":"page"}],"schema":"https://github.com/citation-style-language/schema/raw/master/csl-citation.json"} </w:instrText>
      </w:r>
      <w:r>
        <w:fldChar w:fldCharType="separate"/>
      </w:r>
      <w:r w:rsidRPr="008D517D">
        <w:rPr>
          <w:rFonts w:cs="Times New Roman"/>
          <w:szCs w:val="24"/>
          <w:lang w:val="en-GB"/>
        </w:rPr>
        <w:t xml:space="preserve">V. </w:t>
      </w:r>
      <w:r w:rsidRPr="008D517D">
        <w:rPr>
          <w:rFonts w:cs="Times New Roman"/>
          <w:smallCaps/>
          <w:szCs w:val="24"/>
          <w:lang w:val="en-GB"/>
        </w:rPr>
        <w:t>Valentin</w:t>
      </w:r>
      <w:r w:rsidRPr="008D517D">
        <w:rPr>
          <w:rFonts w:cs="Times New Roman"/>
          <w:szCs w:val="24"/>
          <w:lang w:val="en-GB"/>
        </w:rPr>
        <w:t xml:space="preserve">, « Freedom of conscience in private company. An economic or a political problem? », </w:t>
      </w:r>
      <w:r w:rsidRPr="008D517D">
        <w:rPr>
          <w:rFonts w:cs="Times New Roman"/>
          <w:i/>
          <w:iCs/>
          <w:szCs w:val="24"/>
          <w:lang w:val="en-GB"/>
        </w:rPr>
        <w:t>op. cit.</w:t>
      </w:r>
      <w:r w:rsidRPr="008D517D">
        <w:rPr>
          <w:rFonts w:cs="Times New Roman"/>
          <w:szCs w:val="24"/>
          <w:lang w:val="en-GB"/>
        </w:rPr>
        <w:t>, p. 87.</w:t>
      </w:r>
      <w:r>
        <w:fldChar w:fldCharType="end"/>
      </w:r>
    </w:p>
  </w:footnote>
  <w:footnote w:id="100">
    <w:p w14:paraId="417FAE38" w14:textId="1BBF8AB5" w:rsidR="000D6C77" w:rsidRPr="008D517D" w:rsidRDefault="000D6C77" w:rsidP="00FD6AB1">
      <w:pPr>
        <w:pStyle w:val="Notedebasdepage"/>
        <w:rPr>
          <w:rFonts w:cs="Times New Roman"/>
        </w:rPr>
      </w:pPr>
      <w:r w:rsidRPr="00022216">
        <w:rPr>
          <w:rStyle w:val="Appelnotedebasdep"/>
          <w:rFonts w:cs="Times New Roman"/>
        </w:rPr>
        <w:footnoteRef/>
      </w:r>
      <w:r w:rsidRPr="008D517D">
        <w:rPr>
          <w:rFonts w:cs="Times New Roman"/>
          <w:lang w:val="en-GB"/>
        </w:rPr>
        <w:t xml:space="preserve"> Trib. trav. </w:t>
      </w:r>
      <w:r w:rsidRPr="00022216">
        <w:rPr>
          <w:rFonts w:cs="Times New Roman"/>
        </w:rPr>
        <w:t xml:space="preserve">Tongres, 2 janvier 2013, </w:t>
      </w:r>
      <w:r w:rsidRPr="008F6055">
        <w:rPr>
          <w:rFonts w:cs="Times New Roman"/>
          <w:i/>
        </w:rPr>
        <w:t xml:space="preserve">Chr. D.S. – Soc. </w:t>
      </w:r>
      <w:r w:rsidRPr="008D517D">
        <w:rPr>
          <w:rFonts w:cs="Times New Roman"/>
          <w:i/>
        </w:rPr>
        <w:t>Kron.</w:t>
      </w:r>
      <w:r w:rsidRPr="008D517D">
        <w:rPr>
          <w:rFonts w:cs="Times New Roman"/>
        </w:rPr>
        <w:t>, 2014, n° 7, pp. 356-362.</w:t>
      </w:r>
    </w:p>
  </w:footnote>
  <w:footnote w:id="101">
    <w:p w14:paraId="4658824B" w14:textId="7A6D0BFE" w:rsidR="000D6C77" w:rsidRPr="00710B17" w:rsidRDefault="000D6C77">
      <w:pPr>
        <w:pStyle w:val="Notedebasdepage"/>
      </w:pPr>
      <w:r>
        <w:rPr>
          <w:rStyle w:val="Appelnotedebasdep"/>
        </w:rPr>
        <w:footnoteRef/>
      </w:r>
      <w:r w:rsidRPr="00710B17">
        <w:t xml:space="preserve"> L’on précisera au surplus que le magasin belge concerné avait, avant de se raviser, mis à disposition de la travailleuse un foulard d’uniforme aux couleurs de </w:t>
      </w:r>
      <w:proofErr w:type="spellStart"/>
      <w:r w:rsidRPr="00710B17">
        <w:rPr>
          <w:i/>
          <w:iCs/>
        </w:rPr>
        <w:t>Hema</w:t>
      </w:r>
      <w:proofErr w:type="spellEnd"/>
      <w:r w:rsidRPr="00710B17">
        <w:rPr>
          <w:i/>
          <w:iCs/>
        </w:rPr>
        <w:fldChar w:fldCharType="begin"/>
      </w:r>
      <w:r w:rsidRPr="00710B17">
        <w:rPr>
          <w:i/>
          <w:iCs/>
        </w:rPr>
        <w:instrText xml:space="preserve"> XE "Hema </w:instrText>
      </w:r>
      <w:r w:rsidRPr="00710B17">
        <w:instrText>(affaire)"</w:instrText>
      </w:r>
      <w:r w:rsidRPr="00710B17">
        <w:rPr>
          <w:i/>
          <w:iCs/>
        </w:rPr>
        <w:instrText xml:space="preserve"> </w:instrText>
      </w:r>
      <w:r w:rsidRPr="00710B17">
        <w:rPr>
          <w:i/>
          <w:iCs/>
        </w:rPr>
        <w:fldChar w:fldCharType="end"/>
      </w:r>
      <w:r w:rsidRPr="00710B17">
        <w:t>, conçue pour les travailleuses des magasins néerlandais</w:t>
      </w:r>
      <w:r>
        <w:t>.</w:t>
      </w:r>
    </w:p>
  </w:footnote>
  <w:footnote w:id="102">
    <w:p w14:paraId="5A4B6DD0" w14:textId="3ECF14DB" w:rsidR="000D6C77" w:rsidRPr="0031477A" w:rsidRDefault="000D6C77" w:rsidP="00FD6AB1">
      <w:pPr>
        <w:pStyle w:val="Notedebasdepage"/>
        <w:rPr>
          <w:rFonts w:cs="Times New Roman"/>
          <w:i/>
          <w:lang w:val="nl-BE"/>
        </w:rPr>
      </w:pPr>
      <w:r w:rsidRPr="00022216">
        <w:rPr>
          <w:rStyle w:val="Appelnotedebasdep"/>
          <w:rFonts w:cs="Times New Roman"/>
        </w:rPr>
        <w:footnoteRef/>
      </w:r>
      <w:r w:rsidRPr="0031477A">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{"citationID":"8ukujjNe","properties":{"formattedCitation":"{\\scaps HEMA}, \\uc0\\u171{}\\uc0\\u160{}Standpunt HEMA inzake hoofddoekgebruik in Belgische winkels. Nederlandse winkelketen respecteert Belgische gewoonten\\uc0\\u160{}\\uc0\\u187{}, 8 mars 2011.","plainCitation":"HEMA, « Standpunt HEMA inzake hoofddoekgebruik in Belgische winkels. Nederlandse winkelketen respecteert Belgische gewoonten », 8 mars 2011.","noteIndex":132},"citationItems":[{"id":2553,"uris":["http://zotero.org/users/5133869/items/Q539KI66"],"itemData":{"id":2553,"type":"document","publisher":"Communiqué de presse","title":"Standpunt HEMA inzake hoofddoekgebruik in Belgische winkels. Nederlandse winkelketen respecteert Belgische gewoonten","author":[{"literal":"HEMA"}],"issued":{"date-parts":[["2011",3,8]]}}}],"schema":"https://github.com/citation-style-language/schema/raw/master/csl-citation.json"} </w:instrText>
      </w:r>
      <w:r w:rsidRPr="00022216">
        <w:rPr>
          <w:rFonts w:cs="Times New Roman"/>
        </w:rPr>
        <w:fldChar w:fldCharType="separate"/>
      </w:r>
      <w:r w:rsidRPr="00997CF3">
        <w:rPr>
          <w:rFonts w:cs="Times New Roman"/>
          <w:smallCaps/>
          <w:szCs w:val="24"/>
          <w:lang w:val="nl-BE"/>
        </w:rPr>
        <w:t>HEMA</w:t>
      </w:r>
      <w:r w:rsidRPr="00997CF3">
        <w:rPr>
          <w:rFonts w:cs="Times New Roman"/>
          <w:szCs w:val="24"/>
          <w:lang w:val="nl-BE"/>
        </w:rPr>
        <w:t xml:space="preserve">, « Standpunt HEMA inzake hoofddoekgebruik in Belgische winkels. </w:t>
      </w:r>
      <w:r w:rsidRPr="0077607B">
        <w:rPr>
          <w:rFonts w:cs="Times New Roman"/>
          <w:szCs w:val="24"/>
          <w:lang w:val="nl-BE"/>
        </w:rPr>
        <w:t>Nederlandse winkelketen respecteert Belgische gewoonten », 8 mars 2011.</w:t>
      </w:r>
      <w:r w:rsidRPr="00022216">
        <w:rPr>
          <w:rFonts w:cs="Times New Roman"/>
        </w:rPr>
        <w:fldChar w:fldCharType="end"/>
      </w:r>
    </w:p>
  </w:footnote>
  <w:footnote w:id="103">
    <w:p w14:paraId="1AC0ABBE" w14:textId="122FC043" w:rsidR="000D6C77" w:rsidRPr="0031477A" w:rsidRDefault="000D6C77" w:rsidP="00FD6AB1">
      <w:pPr>
        <w:pStyle w:val="Notedebasdepage"/>
        <w:rPr>
          <w:rFonts w:cs="Times New Roman"/>
          <w:lang w:val="nl-BE"/>
        </w:rPr>
      </w:pPr>
      <w:r w:rsidRPr="00022216">
        <w:rPr>
          <w:rStyle w:val="Appelnotedebasdep"/>
          <w:rFonts w:cs="Times New Roman"/>
        </w:rPr>
        <w:footnoteRef/>
      </w:r>
      <w:r w:rsidRPr="0031477A">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{"citationID":"v2N5ivMF","properties":{"formattedCitation":"{\\scaps HEMA}, \\uc0\\u171{}\\uc0\\u160{}HEMA verfijnt intern reglement bedrijfskleding\\uc0\\u160{}\\uc0\\u187{}, 11 mars 2011.","plainCitation":"HEMA, « HEMA verfijnt intern reglement bedrijfskleding », 11 mars 2011.","noteIndex":133},"citationItems":[{"id":2554,"uris":["http://zotero.org/users/5133869/items/W7JBAJCI"],"itemData":{"id":2554,"type":"document","publisher":"Communiqué de presse","title":"HEMA verfijnt intern reglement bedrijfskleding","author":[{"literal":"HEMA"}],"issued":{"date-parts":[["2011",3,11]]}}}],"schema":"https://github.com/citation-style-language/schema/raw/master/csl-citation.json"} </w:instrText>
      </w:r>
      <w:r w:rsidRPr="00022216">
        <w:rPr>
          <w:rFonts w:cs="Times New Roman"/>
        </w:rPr>
        <w:fldChar w:fldCharType="separate"/>
      </w:r>
      <w:r w:rsidRPr="0031477A">
        <w:rPr>
          <w:rFonts w:cs="Times New Roman"/>
          <w:smallCaps/>
          <w:lang w:val="nl-BE"/>
        </w:rPr>
        <w:t>HEMA</w:t>
      </w:r>
      <w:r w:rsidRPr="0031477A">
        <w:rPr>
          <w:rFonts w:cs="Times New Roman"/>
          <w:lang w:val="nl-BE"/>
        </w:rPr>
        <w:t>, « HEMA verfijnt intern reglement bedrijfskleding », 11 mars 2011.</w:t>
      </w:r>
      <w:r w:rsidRPr="00022216">
        <w:rPr>
          <w:rFonts w:cs="Times New Roman"/>
        </w:rPr>
        <w:fldChar w:fldCharType="end"/>
      </w:r>
    </w:p>
  </w:footnote>
  <w:footnote w:id="104">
    <w:p w14:paraId="2C680D78" w14:textId="4A45ED8C"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{"citationID":"7PuLk8iW","properties":{"formattedCitation":"R. {\\scaps Debray} et D. {\\scaps Leschi}, {\\i{}La la\\uc0\\u239{}cit\\uc0\\u233{} au quotidien\\uc0\\u8239{}: guide pratique}, Paris, Gallimard, 2016, p. 73.","plainCitation":"R. Debray et D. Leschi, La laïcité au quotidien : guide pratique, Paris, Gallimard, 2016, p. 73.","noteIndex":138},"citationItems":[{"id":1006,"uris":["http://zotero.org/users/5133869/items/DNWHCTQI"],"itemData":{"id":1006,"type":"book","call-number":"BL2765.F8 D43 2016","event-place":"Paris","ISBN":"978-2-07-046962-8","number-of-pages":"154","publisher":"Gallimard","publisher-place":"Paris","source":"Library of Congress ISBN","title":"La laïcité au quotidien : guide pratique","title-short":"La laïcité au quotidien","author":[{"family":"Debray","given":"Régis"},{"family":"Leschi","given":"Didier"}],"issued":{"date-parts":[["2016"]]}},"locator":"73"}],"schema":"https://github.com/citation-style-language/schema/raw/master/csl-citation.json"} </w:instrText>
      </w:r>
      <w:r w:rsidRPr="00022216">
        <w:rPr>
          <w:rFonts w:cs="Times New Roman"/>
        </w:rPr>
        <w:fldChar w:fldCharType="separate"/>
      </w:r>
      <w:r w:rsidRPr="00457877">
        <w:rPr>
          <w:rFonts w:cs="Times New Roman"/>
          <w:szCs w:val="24"/>
        </w:rPr>
        <w:t xml:space="preserve">R. </w:t>
      </w:r>
      <w:r w:rsidRPr="00457877">
        <w:rPr>
          <w:rFonts w:cs="Times New Roman"/>
          <w:smallCaps/>
          <w:szCs w:val="24"/>
        </w:rPr>
        <w:t>Debray</w:t>
      </w:r>
      <w:r w:rsidRPr="00457877">
        <w:rPr>
          <w:rFonts w:cs="Times New Roman"/>
          <w:szCs w:val="24"/>
        </w:rPr>
        <w:t xml:space="preserve"> et D. </w:t>
      </w:r>
      <w:proofErr w:type="spellStart"/>
      <w:r w:rsidRPr="00457877">
        <w:rPr>
          <w:rFonts w:cs="Times New Roman"/>
          <w:smallCaps/>
          <w:szCs w:val="24"/>
        </w:rPr>
        <w:t>Leschi</w:t>
      </w:r>
      <w:proofErr w:type="spellEnd"/>
      <w:r w:rsidRPr="00457877">
        <w:rPr>
          <w:rFonts w:cs="Times New Roman"/>
          <w:szCs w:val="24"/>
        </w:rPr>
        <w:t xml:space="preserve">, </w:t>
      </w:r>
      <w:r w:rsidRPr="00457877">
        <w:rPr>
          <w:rFonts w:cs="Times New Roman"/>
          <w:i/>
          <w:iCs/>
          <w:szCs w:val="24"/>
        </w:rPr>
        <w:t>La laïcité au quotidien : guide pratique</w:t>
      </w:r>
      <w:r w:rsidRPr="00457877">
        <w:rPr>
          <w:rFonts w:cs="Times New Roman"/>
          <w:szCs w:val="24"/>
        </w:rPr>
        <w:t>, Paris, Gallimard, 2016, p. 73.</w:t>
      </w:r>
      <w:r w:rsidRPr="00022216">
        <w:rPr>
          <w:rFonts w:cs="Times New Roman"/>
        </w:rPr>
        <w:fldChar w:fldCharType="end"/>
      </w:r>
    </w:p>
  </w:footnote>
  <w:footnote w:id="105">
    <w:p w14:paraId="69F258BD" w14:textId="6F27499D" w:rsidR="000D6C77" w:rsidRPr="00D86A51" w:rsidRDefault="000D6C77" w:rsidP="00FD6AB1">
      <w:pPr>
        <w:pStyle w:val="Notedebasdepage"/>
        <w:rPr>
          <w:rFonts w:cs="Times New Roman"/>
        </w:rPr>
      </w:pPr>
      <w:r w:rsidRPr="00022216">
        <w:rPr>
          <w:rStyle w:val="Appelnotedebasdep"/>
          <w:rFonts w:cs="Times New Roman"/>
        </w:rPr>
        <w:footnoteRef/>
      </w:r>
      <w:r w:rsidRPr="00D86A51">
        <w:rPr>
          <w:rFonts w:cs="Times New Roman"/>
        </w:rPr>
        <w:t xml:space="preserve"> </w:t>
      </w:r>
      <w:r w:rsidRPr="00022216">
        <w:rPr>
          <w:rFonts w:cs="Times New Roman"/>
        </w:rPr>
        <w:fldChar w:fldCharType="begin"/>
      </w:r>
      <w:r>
        <w:rPr>
          <w:rFonts w:cs="Times New Roman"/>
        </w:rPr>
        <w:instrText xml:space="preserve"> ADDIN ZOTERO_ITEM CSL_CITATION {"citationID":"eU00Ddmu","properties":{"formattedCitation":"D. {\\scaps Maillard}, {\\i{}Quand la religion s\\uc0\\u8217{}invite dans l\\uc0\\u8217{}entreprise}, Paris, Fayard, 2017, p. 70.","plainCitation":"D. Maillard, Quand la religion s’invite dans l’entreprise, Paris, Fayard, 2017, p. 70.","noteIndex":140},"citationItems":[{"id":1013,"uris":["http://zotero.org/users/5133869/items/UMABSIDT"],"itemData":{"id":1013,"type":"book","call-number":"BL65.W67 M33 2017","event-place":"Paris","ISBN":"978-2-213-70542-2","number-of-pages":"227","publisher":"Fayard","publisher-place":"Paris","source":"Library of Congress ISBN","title":"Quand la religion s'invite dans l'entreprise","author":[{"family":"Maillard","given":"Denis"}],"issued":{"date-parts":[["2017"]]}},"locator":"70"}],"schema":"https://github.com/citation-style-language/schema/raw/master/csl-citation.json"} </w:instrText>
      </w:r>
      <w:r w:rsidRPr="00022216">
        <w:rPr>
          <w:rFonts w:cs="Times New Roman"/>
        </w:rPr>
        <w:fldChar w:fldCharType="separate"/>
      </w:r>
      <w:r w:rsidRPr="006D3522">
        <w:rPr>
          <w:rFonts w:cs="Times New Roman"/>
          <w:szCs w:val="24"/>
        </w:rPr>
        <w:t xml:space="preserve">D. </w:t>
      </w:r>
      <w:r w:rsidRPr="006D3522">
        <w:rPr>
          <w:rFonts w:cs="Times New Roman"/>
          <w:smallCaps/>
          <w:szCs w:val="24"/>
        </w:rPr>
        <w:t>Maillard</w:t>
      </w:r>
      <w:r w:rsidRPr="006D3522">
        <w:rPr>
          <w:rFonts w:cs="Times New Roman"/>
          <w:szCs w:val="24"/>
        </w:rPr>
        <w:t xml:space="preserve">, </w:t>
      </w:r>
      <w:r w:rsidRPr="006D3522">
        <w:rPr>
          <w:rFonts w:cs="Times New Roman"/>
          <w:i/>
          <w:iCs/>
          <w:szCs w:val="24"/>
        </w:rPr>
        <w:t>Quand la religion s’invite dans l’entreprise</w:t>
      </w:r>
      <w:r w:rsidRPr="006D3522">
        <w:rPr>
          <w:rFonts w:cs="Times New Roman"/>
          <w:szCs w:val="24"/>
        </w:rPr>
        <w:t>, Paris, Fayard, 2017, p. 70.</w:t>
      </w:r>
      <w:r w:rsidRPr="00022216">
        <w:rPr>
          <w:rFonts w:cs="Times New Roman"/>
        </w:rPr>
        <w:fldChar w:fldCharType="end"/>
      </w:r>
    </w:p>
  </w:footnote>
  <w:footnote w:id="106">
    <w:p w14:paraId="067CF599" w14:textId="62F0835E" w:rsidR="000D6C77" w:rsidRPr="002920C0" w:rsidRDefault="000D6C77">
      <w:pPr>
        <w:pStyle w:val="Notedebasdepage"/>
      </w:pPr>
      <w:r>
        <w:rPr>
          <w:rStyle w:val="Appelnotedebasdep"/>
        </w:rPr>
        <w:footnoteRef/>
      </w:r>
      <w:r w:rsidRPr="000134F9">
        <w:t xml:space="preserve"> </w:t>
      </w:r>
      <w:proofErr w:type="spellStart"/>
      <w:r w:rsidRPr="000134F9">
        <w:t>Voy</w:t>
      </w:r>
      <w:proofErr w:type="spellEnd"/>
      <w:r w:rsidRPr="000134F9">
        <w:t xml:space="preserve">. </w:t>
      </w:r>
      <w:r>
        <w:t>l’ordonnance rendue par le tribunal du travail de Bruxelles (réf.</w:t>
      </w:r>
      <w:r w:rsidRPr="000134F9">
        <w:t xml:space="preserve">, 3 mai 2021, </w:t>
      </w:r>
      <w:r>
        <w:rPr>
          <w:rFonts w:cs="Times New Roman"/>
          <w:i/>
        </w:rPr>
        <w:t>J.T.T.</w:t>
      </w:r>
      <w:r>
        <w:rPr>
          <w:rFonts w:cs="Times New Roman"/>
        </w:rPr>
        <w:t>, n° 18, pp. 318-333) au sujet de la STIB : alors que l’</w:t>
      </w:r>
      <w:r w:rsidRPr="00D86A51">
        <w:rPr>
          <w:rFonts w:cs="Times New Roman"/>
        </w:rPr>
        <w:t xml:space="preserve">organisme d’intérêt </w:t>
      </w:r>
      <w:r w:rsidRPr="002920C0">
        <w:rPr>
          <w:rFonts w:cs="Times New Roman"/>
        </w:rPr>
        <w:t>public bruxellois déduit de son règlement – qui prévoit que « le port de tout insigne autre que de service est interdit aux membres du personnel en uniforme, ainsi qu’à ceux en tenue civile pendant la durée de leur service » – l’interdiction du port de tout signe vestimentaire à caractère religieux, le président du tribunal considère cette restriction directement discriminatoire à l’égard d’une candidate à un emploi au sein de l’organisation</w:t>
      </w:r>
      <w:r>
        <w:rPr>
          <w:rFonts w:cs="Times New Roman"/>
        </w:rPr>
        <w:t>, par ailleurs désireuse</w:t>
      </w:r>
      <w:r w:rsidRPr="002920C0">
        <w:rPr>
          <w:rFonts w:cs="Times New Roman"/>
        </w:rPr>
        <w:t xml:space="preserve"> d</w:t>
      </w:r>
      <w:r>
        <w:rPr>
          <w:rFonts w:cs="Times New Roman"/>
        </w:rPr>
        <w:t>’y</w:t>
      </w:r>
      <w:r w:rsidRPr="002920C0">
        <w:rPr>
          <w:rFonts w:cs="Times New Roman"/>
        </w:rPr>
        <w:t xml:space="preserve"> travailler en portant le foulard islamique.</w:t>
      </w:r>
    </w:p>
  </w:footnote>
  <w:footnote w:id="107">
    <w:p w14:paraId="11432D7E" w14:textId="614C18EF" w:rsidR="000D6C77" w:rsidRPr="00FD6AB1" w:rsidRDefault="000D6C77" w:rsidP="00FD6AB1">
      <w:pPr>
        <w:pStyle w:val="Notedebasdepage"/>
        <w:rPr>
          <w:lang w:val="en-US"/>
        </w:rPr>
      </w:pPr>
      <w:r>
        <w:rPr>
          <w:rStyle w:val="Appelnotedebasdep"/>
        </w:rPr>
        <w:footnoteRef/>
      </w:r>
      <w:r w:rsidRPr="00FD6AB1">
        <w:rPr>
          <w:lang w:val="en-US"/>
        </w:rPr>
        <w:t xml:space="preserve"> </w:t>
      </w:r>
      <w:r>
        <w:fldChar w:fldCharType="begin"/>
      </w:r>
      <w:r>
        <w:rPr>
          <w:lang w:val="en-US"/>
        </w:rPr>
        <w:instrText xml:space="preserve"> ADDIN ZOTERO_ITEM CSL_CITATION {"citationID":"W2bgh9Xi","properties":{"formattedCitation":"P. {\\scaps Banon} et J.-F. {\\scaps Chanlat}, \\uc0\\u171{}\\uc0\\u160{}The French Principle of La\\uc0\\u239{}cit\\uc0\\u233{} and Religious Pluralism in the Workplace: Main Findings and Issues\\uc0\\u160{}\\uc0\\u187{}, {\\i{}in} J. {\\scaps Syed} (\\uc0\\u233{}d.), {\\i{}Religious diversity in the workplace}, Cambridge, United Kingdom\\uc0\\u8239{}; New York, NY, US, Cambridge University Press, 2018, p. 289.","plainCitation":"P. Banon et J.-F. Chanlat, « The French Principle of Laïcité and Religious Pluralism in the Workplace: Main Findings and Issues », in J. Syed (éd.), Religious diversity in the workplace, Cambridge, United Kingdom ; New York, NY, US, Cambridge University Press, 2018, p. 289.","noteIndex":142},"citationItems":[{"id":1763,"uris":["http://zotero.org/users/5133869/items/XBBZDQRF"],"itemData":{"id":1763,"type":"chapter","call-number":"BL65.W67 R45 2018","container-title":"Religious diversity in the workplace","event-place":"Cambridge, United Kingdom ; New York, NY, US","ISBN":"978-1-107-13603-8","page":"264-304","publisher":"Cambridge University Press","publisher-place":"Cambridge, United Kingdom ; New York, NY, US","source":"Library of Congress ISBN","title":"The French Principle of Laïcité and Religious Pluralism in the Workplace: Main Findings and Issues","editor":[{"family":"Syed","given":"Jawad"}],"author":[{"family":"Banon","given":"Patrick"},{"family":"Chanlat","given":"Jean-François"}],"issued":{"date-parts":[["2018"]]}},"locator":"289"}],"schema":"https://github.com/citation-style-language/schema/raw/master/csl-citation.json"} </w:instrText>
      </w:r>
      <w:r>
        <w:fldChar w:fldCharType="separate"/>
      </w:r>
      <w:r w:rsidRPr="00FD6AB1">
        <w:rPr>
          <w:rFonts w:cs="Times New Roman"/>
          <w:szCs w:val="24"/>
          <w:lang w:val="en-US"/>
        </w:rPr>
        <w:t xml:space="preserve">P. </w:t>
      </w:r>
      <w:proofErr w:type="spellStart"/>
      <w:r w:rsidRPr="00FD6AB1">
        <w:rPr>
          <w:rFonts w:cs="Times New Roman"/>
          <w:smallCaps/>
          <w:szCs w:val="24"/>
          <w:lang w:val="en-US"/>
        </w:rPr>
        <w:t>Banon</w:t>
      </w:r>
      <w:proofErr w:type="spellEnd"/>
      <w:r w:rsidRPr="00FD6AB1">
        <w:rPr>
          <w:rFonts w:cs="Times New Roman"/>
          <w:szCs w:val="24"/>
          <w:lang w:val="en-US"/>
        </w:rPr>
        <w:t xml:space="preserve"> et J.-F. </w:t>
      </w:r>
      <w:proofErr w:type="spellStart"/>
      <w:r w:rsidRPr="00FD6AB1">
        <w:rPr>
          <w:rFonts w:cs="Times New Roman"/>
          <w:smallCaps/>
          <w:szCs w:val="24"/>
          <w:lang w:val="en-US"/>
        </w:rPr>
        <w:t>Chanlat</w:t>
      </w:r>
      <w:proofErr w:type="spellEnd"/>
      <w:r w:rsidRPr="00FD6AB1">
        <w:rPr>
          <w:rFonts w:cs="Times New Roman"/>
          <w:szCs w:val="24"/>
          <w:lang w:val="en-US"/>
        </w:rPr>
        <w:t xml:space="preserve">, « The French Principle of </w:t>
      </w:r>
      <w:proofErr w:type="spellStart"/>
      <w:r w:rsidRPr="00FD6AB1">
        <w:rPr>
          <w:rFonts w:cs="Times New Roman"/>
          <w:szCs w:val="24"/>
          <w:lang w:val="en-US"/>
        </w:rPr>
        <w:t>Laïcité</w:t>
      </w:r>
      <w:proofErr w:type="spellEnd"/>
      <w:r w:rsidRPr="00FD6AB1">
        <w:rPr>
          <w:rFonts w:cs="Times New Roman"/>
          <w:szCs w:val="24"/>
          <w:lang w:val="en-US"/>
        </w:rPr>
        <w:t xml:space="preserve"> and Religious Pluralism in the Workplace: Main Findings and Issues », </w:t>
      </w:r>
      <w:r w:rsidRPr="00FD6AB1">
        <w:rPr>
          <w:rFonts w:cs="Times New Roman"/>
          <w:i/>
          <w:iCs/>
          <w:szCs w:val="24"/>
          <w:lang w:val="en-US"/>
        </w:rPr>
        <w:t>in</w:t>
      </w:r>
      <w:r w:rsidRPr="00FD6AB1">
        <w:rPr>
          <w:rFonts w:cs="Times New Roman"/>
          <w:szCs w:val="24"/>
          <w:lang w:val="en-US"/>
        </w:rPr>
        <w:t xml:space="preserve"> J. </w:t>
      </w:r>
      <w:r w:rsidRPr="00FD6AB1">
        <w:rPr>
          <w:rFonts w:cs="Times New Roman"/>
          <w:smallCaps/>
          <w:szCs w:val="24"/>
          <w:lang w:val="en-US"/>
        </w:rPr>
        <w:t>Syed</w:t>
      </w:r>
      <w:r w:rsidRPr="00FD6AB1">
        <w:rPr>
          <w:rFonts w:cs="Times New Roman"/>
          <w:szCs w:val="24"/>
          <w:lang w:val="en-US"/>
        </w:rPr>
        <w:t xml:space="preserve"> (</w:t>
      </w:r>
      <w:proofErr w:type="spellStart"/>
      <w:r w:rsidRPr="00FD6AB1">
        <w:rPr>
          <w:rFonts w:cs="Times New Roman"/>
          <w:szCs w:val="24"/>
          <w:lang w:val="en-US"/>
        </w:rPr>
        <w:t>éd</w:t>
      </w:r>
      <w:proofErr w:type="spellEnd"/>
      <w:r w:rsidRPr="00FD6AB1">
        <w:rPr>
          <w:rFonts w:cs="Times New Roman"/>
          <w:szCs w:val="24"/>
          <w:lang w:val="en-US"/>
        </w:rPr>
        <w:t xml:space="preserve">.), </w:t>
      </w:r>
      <w:r w:rsidRPr="00FD6AB1">
        <w:rPr>
          <w:rFonts w:cs="Times New Roman"/>
          <w:i/>
          <w:iCs/>
          <w:szCs w:val="24"/>
          <w:lang w:val="en-US"/>
        </w:rPr>
        <w:t>Religious diversity in the workplace</w:t>
      </w:r>
      <w:r w:rsidRPr="00FD6AB1">
        <w:rPr>
          <w:rFonts w:cs="Times New Roman"/>
          <w:szCs w:val="24"/>
          <w:lang w:val="en-US"/>
        </w:rPr>
        <w:t>, Cambridge, United Kingdom ; New York, NY, US, Cambridge University Press, 2018, p. 289.</w:t>
      </w:r>
      <w:r>
        <w:fldChar w:fldCharType="end"/>
      </w:r>
    </w:p>
  </w:footnote>
  <w:footnote w:id="108">
    <w:p w14:paraId="593504A7" w14:textId="68C6A667"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{"citationID":"V8akf39i","properties":{"formattedCitation":"P. {\\scaps Obert}, \\uc0\\u171{}\\uc0\\u160{}Table ronde 1\\uc0\\u8239{}: RH en crise de foi. La gestion du fait religieux \\uc0\\u224{} la RATP\\uc0\\u160{}\\uc0\\u187{}, {\\i{}La Semaine Juridique - Edition Sociale}, septembre 2017, n\\uc0\\u176{} 35, p. 1261.","plainCitation":"P. Obert, « Table ronde 1 : RH en crise de foi. La gestion du fait religieux à la RATP », La Semaine Juridique - Edition Sociale, septembre 2017, n° 35, p. 1261.","noteIndex":143},"citationItems":[{"id":200,"uris":["http://zotero.org/users/5133869/items/2B84KWR7"],"itemData":{"id":200,"type":"article-journal","container-title":"La Semaine Juridique - Edition Sociale","issue":"35","page":"1261","title":"Table ronde 1 : RH en crise de foi. La gestion du fait religieux à la RATP","author":[{"family":"Obert","given":"Patrice"}],"issued":{"date-parts":[["2017",9,5]]}}}],"schema":"https://github.com/citation-style-language/schema/raw/master/csl-citation.json"} </w:instrText>
      </w:r>
      <w:r w:rsidRPr="00022216">
        <w:rPr>
          <w:rFonts w:cs="Times New Roman"/>
        </w:rPr>
        <w:fldChar w:fldCharType="separate"/>
      </w:r>
      <w:r w:rsidRPr="00022216">
        <w:rPr>
          <w:rFonts w:cs="Times New Roman"/>
        </w:rPr>
        <w:t xml:space="preserve">P. </w:t>
      </w:r>
      <w:proofErr w:type="spellStart"/>
      <w:r w:rsidRPr="00022216">
        <w:rPr>
          <w:rFonts w:cs="Times New Roman"/>
          <w:smallCaps/>
        </w:rPr>
        <w:t>Obert</w:t>
      </w:r>
      <w:proofErr w:type="spellEnd"/>
      <w:r w:rsidRPr="00022216">
        <w:rPr>
          <w:rFonts w:cs="Times New Roman"/>
        </w:rPr>
        <w:t xml:space="preserve">, « Table ronde 1 : RH en crise de foi. La gestion du fait religieux à la RATP », </w:t>
      </w:r>
      <w:r w:rsidRPr="00022216">
        <w:rPr>
          <w:rFonts w:cs="Times New Roman"/>
          <w:i/>
          <w:iCs/>
        </w:rPr>
        <w:t>La Semaine Juridique - Edition Sociale</w:t>
      </w:r>
      <w:r w:rsidRPr="00022216">
        <w:rPr>
          <w:rFonts w:cs="Times New Roman"/>
        </w:rPr>
        <w:t>, septembre 2017, n° 35, p. 1261.</w:t>
      </w:r>
      <w:r w:rsidRPr="00022216">
        <w:rPr>
          <w:rFonts w:cs="Times New Roman"/>
        </w:rPr>
        <w:fldChar w:fldCharType="end"/>
      </w:r>
    </w:p>
  </w:footnote>
  <w:footnote w:id="109">
    <w:p w14:paraId="62005840" w14:textId="3FECA7BB" w:rsidR="000D6C77" w:rsidRPr="00FD6AB1" w:rsidRDefault="000D6C77" w:rsidP="00FD6AB1">
      <w:pPr>
        <w:pStyle w:val="Notedebasdepage"/>
        <w:rPr>
          <w:rFonts w:cs="Times New Roman"/>
          <w:lang w:val="en-US"/>
        </w:rPr>
      </w:pPr>
      <w:r w:rsidRPr="00022216">
        <w:rPr>
          <w:rStyle w:val="Appelnotedebasdep"/>
          <w:rFonts w:cs="Times New Roman"/>
        </w:rPr>
        <w:footnoteRef/>
      </w:r>
      <w:r w:rsidRPr="00022216">
        <w:rPr>
          <w:rFonts w:cs="Times New Roman"/>
        </w:rPr>
        <w:t xml:space="preserve"> </w:t>
      </w:r>
      <w:r w:rsidRPr="001804E5">
        <w:rPr>
          <w:rFonts w:cs="Times New Roman"/>
        </w:rPr>
        <w:t xml:space="preserve">CJUE, </w:t>
      </w:r>
      <w:r w:rsidRPr="00022216">
        <w:rPr>
          <w:rFonts w:cs="Times New Roman"/>
          <w:i/>
        </w:rPr>
        <w:t>Bougnaoui</w:t>
      </w:r>
      <w:r w:rsidRPr="00022216">
        <w:rPr>
          <w:rFonts w:cs="Times New Roman"/>
        </w:rPr>
        <w:t xml:space="preserve">, conclusions </w:t>
      </w:r>
      <w:r>
        <w:rPr>
          <w:rFonts w:cs="Times New Roman"/>
        </w:rPr>
        <w:t>a</w:t>
      </w:r>
      <w:r w:rsidRPr="00022216">
        <w:rPr>
          <w:rFonts w:cs="Times New Roman"/>
        </w:rPr>
        <w:t xml:space="preserve">v. </w:t>
      </w:r>
      <w:proofErr w:type="spellStart"/>
      <w:r w:rsidRPr="00022216">
        <w:rPr>
          <w:rFonts w:cs="Times New Roman"/>
        </w:rPr>
        <w:t>gén</w:t>
      </w:r>
      <w:proofErr w:type="spellEnd"/>
      <w:r w:rsidRPr="00022216">
        <w:rPr>
          <w:rFonts w:cs="Times New Roman"/>
        </w:rPr>
        <w:t xml:space="preserve">. </w:t>
      </w:r>
      <w:proofErr w:type="spellStart"/>
      <w:r w:rsidRPr="00022216">
        <w:rPr>
          <w:rFonts w:cs="Times New Roman"/>
        </w:rPr>
        <w:t>Sharpston</w:t>
      </w:r>
      <w:proofErr w:type="spellEnd"/>
      <w:r w:rsidRPr="00022216">
        <w:rPr>
          <w:rFonts w:cs="Times New Roman"/>
        </w:rPr>
        <w:t>, para. 125.</w:t>
      </w:r>
      <w:r>
        <w:rPr>
          <w:rFonts w:cs="Times New Roman"/>
        </w:rPr>
        <w:t xml:space="preserve"> En ce sens, </w:t>
      </w:r>
      <w:proofErr w:type="spellStart"/>
      <w:r>
        <w:rPr>
          <w:rFonts w:cs="Times New Roman"/>
        </w:rPr>
        <w:t>voy</w:t>
      </w:r>
      <w:proofErr w:type="spellEnd"/>
      <w:r>
        <w:rPr>
          <w:rFonts w:cs="Times New Roman"/>
        </w:rPr>
        <w:t xml:space="preserve">. </w:t>
      </w:r>
      <w:r>
        <w:rPr>
          <w:rFonts w:cs="Times New Roman"/>
        </w:rPr>
        <w:fldChar w:fldCharType="begin"/>
      </w:r>
      <w:r>
        <w:rPr>
          <w:rFonts w:cs="Times New Roman"/>
        </w:rPr>
        <w:instrText xml:space="preserve"> ADDIN ZOTERO_ITEM CSL_CITATION {"citationID":"TwX6dmRN","properties":{"formattedCitation":"V. {\\scaps van der}\\uc0\\u160{}{\\scaps Plancke} et N. {\\scaps Van Leuven}, \\uc0\\u171{}\\uc0\\u160{}La privatisation du respect de la Convention europ\\uc0\\u233{}enne des droits de l\\uc0\\u8217{}homme\\uc0\\u8239{}: faut-il reconna\\uc0\\u238{}tre un effet horizontal g\\uc0\\u233{}n\\uc0\\u233{}ralis\\uc0\\u233{}\\uc0\\u8239{}?\\uc0\\u160{}\\uc0\\u187{}, {\\i{}op. cit.}, p. 262.","plainCitation":"V. van der Plancke et N. Van Leuven, « La privatisation du respect de la Convention européenne des droits de l’homme : faut-il reconnaître un effet horizontal généralisé ? », op. cit., p. 262.","noteIndex":144},"citationItems":[{"id":1578,"uris":["http://zotero.org/users/5133869/items/4Y8DKDDG"],"itemData":{"id":1578,"type":"chapter","container-title":"Entre ombres et lumières : cinquante ans d'application de la Convention européenne des droits de l'homme en Belgique","event-place":"Bruxelles","page":"191-279","publisher":"Bruylant","publisher-place":"Bruxelles","title":"La privatisation du respect de la Convention européenne des droits de l’homme : faut-il reconnaître un effet horizontal généralisé ?","author":[{"family":"Plancke","given":"Véronique","non-dropping-particle":"van der"},{"family":"Van Leuven","given":"Nathalie"}],"editor":[{"family":"Pieret","given":"Julien"},{"family":"Chapaux","given":"Vincent"},{"family":"Schaus","given":"Annemie"}],"issued":{"date-parts":[["2008"]]}},"locator":"262"}],"schema":"https://github.com/citation-style-language/schema/raw/master/csl-citation.json"} </w:instrText>
      </w:r>
      <w:r>
        <w:rPr>
          <w:rFonts w:cs="Times New Roman"/>
        </w:rPr>
        <w:fldChar w:fldCharType="separate"/>
      </w:r>
      <w:r w:rsidRPr="00DA17EF">
        <w:rPr>
          <w:rFonts w:cs="Times New Roman"/>
          <w:szCs w:val="24"/>
        </w:rPr>
        <w:t xml:space="preserve">V. </w:t>
      </w:r>
      <w:r w:rsidRPr="00DA17EF">
        <w:rPr>
          <w:rFonts w:cs="Times New Roman"/>
          <w:smallCaps/>
          <w:szCs w:val="24"/>
        </w:rPr>
        <w:t>van der</w:t>
      </w:r>
      <w:r w:rsidRPr="00DA17EF">
        <w:rPr>
          <w:rFonts w:cs="Times New Roman"/>
          <w:szCs w:val="24"/>
        </w:rPr>
        <w:t> </w:t>
      </w:r>
      <w:proofErr w:type="spellStart"/>
      <w:r w:rsidRPr="00DA17EF">
        <w:rPr>
          <w:rFonts w:cs="Times New Roman"/>
          <w:smallCaps/>
          <w:szCs w:val="24"/>
        </w:rPr>
        <w:t>Plancke</w:t>
      </w:r>
      <w:proofErr w:type="spellEnd"/>
      <w:r w:rsidRPr="00DA17EF">
        <w:rPr>
          <w:rFonts w:cs="Times New Roman"/>
          <w:szCs w:val="24"/>
        </w:rPr>
        <w:t xml:space="preserve"> et N. </w:t>
      </w:r>
      <w:r w:rsidRPr="00DA17EF">
        <w:rPr>
          <w:rFonts w:cs="Times New Roman"/>
          <w:smallCaps/>
          <w:szCs w:val="24"/>
        </w:rPr>
        <w:t>Van Leuven</w:t>
      </w:r>
      <w:r w:rsidRPr="00DA17EF">
        <w:rPr>
          <w:rFonts w:cs="Times New Roman"/>
          <w:szCs w:val="24"/>
        </w:rPr>
        <w:t xml:space="preserve">, « La privatisation du respect de la Convention européenne des droits de l’homme : faut-il reconnaître un effet horizontal généralisé ? », </w:t>
      </w:r>
      <w:r w:rsidRPr="00DA17EF">
        <w:rPr>
          <w:rFonts w:cs="Times New Roman"/>
          <w:i/>
          <w:iCs/>
          <w:szCs w:val="24"/>
        </w:rPr>
        <w:t xml:space="preserve">op. </w:t>
      </w:r>
      <w:proofErr w:type="spellStart"/>
      <w:r w:rsidRPr="00DA17EF">
        <w:rPr>
          <w:rFonts w:cs="Times New Roman"/>
          <w:i/>
          <w:iCs/>
          <w:szCs w:val="24"/>
        </w:rPr>
        <w:t>cit</w:t>
      </w:r>
      <w:proofErr w:type="spellEnd"/>
      <w:r w:rsidRPr="00DA17EF">
        <w:rPr>
          <w:rFonts w:cs="Times New Roman"/>
          <w:i/>
          <w:iCs/>
          <w:szCs w:val="24"/>
        </w:rPr>
        <w:t>.</w:t>
      </w:r>
      <w:r w:rsidRPr="00DA17EF">
        <w:rPr>
          <w:rFonts w:cs="Times New Roman"/>
          <w:szCs w:val="24"/>
        </w:rPr>
        <w:t>, p. 262.</w:t>
      </w:r>
      <w:r>
        <w:rPr>
          <w:rFonts w:cs="Times New Roman"/>
        </w:rPr>
        <w:fldChar w:fldCharType="end"/>
      </w:r>
      <w:r>
        <w:rPr>
          <w:rFonts w:cs="Times New Roman"/>
        </w:rPr>
        <w:t xml:space="preserve"> Plus largement, sur l’absence d’impact de la taille de l’entreprise sur la pratique de la discrimination à l’embauche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Recrutement"</w:instrText>
      </w:r>
      <w:r>
        <w:rPr>
          <w:rFonts w:cs="Times New Roman"/>
        </w:rPr>
        <w:instrText xml:space="preserve"> </w:instrText>
      </w:r>
      <w:r>
        <w:rPr>
          <w:rFonts w:cs="Times New Roman"/>
        </w:rPr>
        <w:fldChar w:fldCharType="end"/>
      </w:r>
      <w:r>
        <w:rPr>
          <w:rFonts w:cs="Times New Roman"/>
        </w:rPr>
        <w:t xml:space="preserve">, </w:t>
      </w:r>
      <w:proofErr w:type="spellStart"/>
      <w:r>
        <w:rPr>
          <w:rFonts w:cs="Times New Roman"/>
        </w:rPr>
        <w:t>voy</w:t>
      </w:r>
      <w:proofErr w:type="spellEnd"/>
      <w:r>
        <w:rPr>
          <w:rFonts w:cs="Times New Roman"/>
        </w:rPr>
        <w:t xml:space="preserve">. </w:t>
      </w:r>
      <w:r>
        <w:rPr>
          <w:rFonts w:cs="Times New Roman"/>
        </w:rPr>
        <w:fldChar w:fldCharType="begin"/>
      </w:r>
      <w:r>
        <w:rPr>
          <w:rFonts w:cs="Times New Roman"/>
        </w:rPr>
        <w:instrText xml:space="preserve"> ADDIN ZOTERO_ITEM CSL_CITATION {"citationID":"1UL8Q4a2","properties":{"formattedCitation":"S. {\\scaps Baert} {\\i{}et al.}, \\uc0\\u171{}\\uc0\\u160{}Does size matter? Hiring discrimination and firm size\\uc0\\u160{}\\uc0\\u187{}, {\\i{}International Journal of Manpower}, juillet 2018, vol. 39, n\\uc0\\u176{} 4, pp. 550\\uc0\\u8209{}566.","plainCitation":"S. Baert et al., « Does size matter? Hiring discrimination and firm size », International Journal of Manpower, juillet 2018, vol. 39, n° 4, pp. 550‑566.","noteIndex":144},"citationItems":[{"id":714,"uris":["http://zotero.org/users/5133869/items/2UDABHA3"],"itemData":{"id":714,"type":"article-journal","container-title":"International Journal of Manpower","DOI":"10.1108/IJM-09-2017-0239","ISSN":"0143-7720","issue":"4","language":"en","page":"550-566","source":"Crossref","title":"Does size matter? Hiring discrimination and firm size","title-short":"Does size matter?","volume":"39","author":[{"family":"Baert","given":"Stijn"},{"family":"De Meyer","given":"Ann-Sofie"},{"family":"Moerman","given":"Yentl"},{"family":"Omey","given":"Eddy"}],"issued":{"date-parts":[["2018",7,2]]}}}],"schema":"https://github.com/citation-style-language/schema/raw/master/csl-citation.json"} </w:instrText>
      </w:r>
      <w:r>
        <w:rPr>
          <w:rFonts w:cs="Times New Roman"/>
        </w:rPr>
        <w:fldChar w:fldCharType="separate"/>
      </w:r>
      <w:r w:rsidRPr="00FD6AB1">
        <w:rPr>
          <w:rFonts w:cs="Times New Roman"/>
          <w:szCs w:val="24"/>
          <w:lang w:val="en-US"/>
        </w:rPr>
        <w:t xml:space="preserve">S. </w:t>
      </w:r>
      <w:proofErr w:type="spellStart"/>
      <w:r w:rsidRPr="00FD6AB1">
        <w:rPr>
          <w:rFonts w:cs="Times New Roman"/>
          <w:smallCaps/>
          <w:szCs w:val="24"/>
          <w:lang w:val="en-US"/>
        </w:rPr>
        <w:t>Baert</w:t>
      </w:r>
      <w:proofErr w:type="spellEnd"/>
      <w:r w:rsidRPr="00FD6AB1">
        <w:rPr>
          <w:rFonts w:cs="Times New Roman"/>
          <w:szCs w:val="24"/>
          <w:lang w:val="en-US"/>
        </w:rPr>
        <w:t xml:space="preserve"> </w:t>
      </w:r>
      <w:r w:rsidRPr="00FD6AB1">
        <w:rPr>
          <w:rFonts w:cs="Times New Roman"/>
          <w:i/>
          <w:iCs/>
          <w:szCs w:val="24"/>
          <w:lang w:val="en-US"/>
        </w:rPr>
        <w:t>et al.</w:t>
      </w:r>
      <w:r w:rsidRPr="00FD6AB1">
        <w:rPr>
          <w:rFonts w:cs="Times New Roman"/>
          <w:szCs w:val="24"/>
          <w:lang w:val="en-US"/>
        </w:rPr>
        <w:t xml:space="preserve">, « Does size matter? Hiring discrimination and firm size », </w:t>
      </w:r>
      <w:r w:rsidRPr="00FD6AB1">
        <w:rPr>
          <w:rFonts w:cs="Times New Roman"/>
          <w:i/>
          <w:iCs/>
          <w:szCs w:val="24"/>
          <w:lang w:val="en-US"/>
        </w:rPr>
        <w:t>International Journal of Manpower</w:t>
      </w:r>
      <w:r w:rsidRPr="00FD6AB1">
        <w:rPr>
          <w:rFonts w:cs="Times New Roman"/>
          <w:szCs w:val="24"/>
          <w:lang w:val="en-US"/>
        </w:rPr>
        <w:t xml:space="preserve">, </w:t>
      </w:r>
      <w:proofErr w:type="spellStart"/>
      <w:r w:rsidRPr="00FD6AB1">
        <w:rPr>
          <w:rFonts w:cs="Times New Roman"/>
          <w:szCs w:val="24"/>
          <w:lang w:val="en-US"/>
        </w:rPr>
        <w:t>juillet</w:t>
      </w:r>
      <w:proofErr w:type="spellEnd"/>
      <w:r w:rsidRPr="00FD6AB1">
        <w:rPr>
          <w:rFonts w:cs="Times New Roman"/>
          <w:szCs w:val="24"/>
          <w:lang w:val="en-US"/>
        </w:rPr>
        <w:t xml:space="preserve"> 2018, vol. 39, n° 4, pp. 550‑566.</w:t>
      </w:r>
      <w:r>
        <w:rPr>
          <w:rFonts w:cs="Times New Roman"/>
        </w:rPr>
        <w:fldChar w:fldCharType="end"/>
      </w:r>
    </w:p>
  </w:footnote>
  <w:footnote w:id="110">
    <w:p w14:paraId="42468A6F" w14:textId="0C2914BE"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4D023C">
        <w:rPr>
          <w:rFonts w:cs="Times New Roman"/>
        </w:rPr>
        <w:t xml:space="preserve">CJUE, </w:t>
      </w:r>
      <w:proofErr w:type="spellStart"/>
      <w:r w:rsidRPr="00F4323B">
        <w:rPr>
          <w:rFonts w:cs="Times New Roman"/>
          <w:i/>
        </w:rPr>
        <w:t>Achbita</w:t>
      </w:r>
      <w:proofErr w:type="spellEnd"/>
      <w:r w:rsidRPr="00F4323B">
        <w:rPr>
          <w:rFonts w:cs="Times New Roman"/>
        </w:rPr>
        <w:t>, para. 43</w:t>
      </w:r>
      <w:r w:rsidRPr="00022216">
        <w:rPr>
          <w:rFonts w:cs="Times New Roman"/>
        </w:rPr>
        <w:t xml:space="preserve">. La </w:t>
      </w:r>
      <w:r>
        <w:rPr>
          <w:rFonts w:cs="Times New Roman"/>
        </w:rPr>
        <w:t>Cour</w:t>
      </w:r>
      <w:r w:rsidRPr="00022216">
        <w:rPr>
          <w:rFonts w:cs="Times New Roman"/>
        </w:rPr>
        <w:t xml:space="preserve"> précise au surplus qu’il s’agit d’évaluer cette possibilité « sans que [l’entreprise] ait à subir une charge supplémentaire » : </w:t>
      </w:r>
      <w:proofErr w:type="spellStart"/>
      <w:r w:rsidRPr="006D1AA8">
        <w:rPr>
          <w:rFonts w:cs="Times New Roman"/>
        </w:rPr>
        <w:t>voy</w:t>
      </w:r>
      <w:proofErr w:type="spellEnd"/>
      <w:r w:rsidRPr="006D1AA8">
        <w:rPr>
          <w:rFonts w:cs="Times New Roman"/>
        </w:rPr>
        <w:t xml:space="preserve">. </w:t>
      </w:r>
      <w:r w:rsidRPr="006D1AA8">
        <w:rPr>
          <w:rFonts w:cs="Times New Roman"/>
          <w:i/>
          <w:iCs/>
        </w:rPr>
        <w:t>infra</w:t>
      </w:r>
      <w:r w:rsidRPr="006D1AA8">
        <w:rPr>
          <w:rFonts w:cs="Times New Roman"/>
        </w:rPr>
        <w:t xml:space="preserve">, </w:t>
      </w:r>
      <w:r>
        <w:rPr>
          <w:rFonts w:cs="Times New Roman"/>
        </w:rPr>
        <w:t>para</w:t>
      </w:r>
      <w:r w:rsidRPr="006D1AA8">
        <w:rPr>
          <w:rFonts w:cs="Times New Roman"/>
        </w:rPr>
        <w:t xml:space="preserve">. </w:t>
      </w:r>
      <w:r w:rsidRPr="006D1AA8">
        <w:rPr>
          <w:rFonts w:cs="Times New Roman"/>
        </w:rPr>
        <w:fldChar w:fldCharType="begin"/>
      </w:r>
      <w:r w:rsidRPr="006D1AA8">
        <w:rPr>
          <w:rFonts w:cs="Times New Roman"/>
        </w:rPr>
        <w:instrText xml:space="preserve"> REF _Ref112863667 \r \h </w:instrText>
      </w:r>
      <w:r>
        <w:rPr>
          <w:rFonts w:cs="Times New Roman"/>
        </w:rPr>
        <w:instrText xml:space="preserve"> \* MERGEFORMAT </w:instrText>
      </w:r>
      <w:r w:rsidRPr="006D1AA8">
        <w:rPr>
          <w:rFonts w:cs="Times New Roman"/>
        </w:rPr>
      </w:r>
      <w:r w:rsidRPr="006D1AA8">
        <w:rPr>
          <w:rFonts w:cs="Times New Roman"/>
        </w:rPr>
        <w:fldChar w:fldCharType="separate"/>
      </w:r>
      <w:r w:rsidRPr="006D1AA8">
        <w:rPr>
          <w:rFonts w:cs="Times New Roman"/>
        </w:rPr>
        <w:t>100</w:t>
      </w:r>
      <w:r w:rsidRPr="006D1AA8">
        <w:rPr>
          <w:rFonts w:cs="Times New Roman"/>
        </w:rPr>
        <w:fldChar w:fldCharType="end"/>
      </w:r>
      <w:r w:rsidRPr="006D1AA8">
        <w:rPr>
          <w:rFonts w:cs="Times New Roman"/>
        </w:rPr>
        <w:t>.</w:t>
      </w:r>
    </w:p>
  </w:footnote>
  <w:footnote w:id="111">
    <w:p w14:paraId="27398F7B" w14:textId="2E89C320"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C.A. Paris, </w:t>
      </w:r>
      <w:r w:rsidRPr="00AC0A42">
        <w:rPr>
          <w:rFonts w:cs="Times New Roman"/>
        </w:rPr>
        <w:t>25 novembre 2015, n° 13/05179 (</w:t>
      </w:r>
      <w:proofErr w:type="spellStart"/>
      <w:r w:rsidRPr="00AC0A42">
        <w:rPr>
          <w:rFonts w:cs="Times New Roman"/>
        </w:rPr>
        <w:t>inéd</w:t>
      </w:r>
      <w:proofErr w:type="spellEnd"/>
      <w:r w:rsidRPr="00AC0A42">
        <w:rPr>
          <w:rFonts w:cs="Times New Roman"/>
        </w:rPr>
        <w:t>.)</w:t>
      </w:r>
      <w:r>
        <w:rPr>
          <w:rFonts w:cs="Times New Roman"/>
        </w:rPr>
        <w:t> : « </w:t>
      </w:r>
      <w:r w:rsidRPr="00BF29DF">
        <w:rPr>
          <w:rFonts w:cs="Times New Roman"/>
        </w:rPr>
        <w:t>il est […] indiscutable qu’avec plusieurs dizaines d’agences et des centaines de collaborateurs dans le Val-de-Marne, et eu égard aux termes du contrat de travail de Mme […] prévoyant que ses fonctions pouvaient évoluer si l’intérêt et la bonne marche de l’entreprise le nécessitaient, LCL […] ne justifie pas, avec [des] pièces d’ailleurs contredites par la publicité donnée à sa campagne de recrutement</w:t>
      </w:r>
      <w:r w:rsidRPr="00BF29DF">
        <w:rPr>
          <w:rFonts w:cs="Times New Roman"/>
        </w:rPr>
        <w:fldChar w:fldCharType="begin"/>
      </w:r>
      <w:r w:rsidRPr="00BF29DF">
        <w:rPr>
          <w:rFonts w:cs="Times New Roman"/>
        </w:rPr>
        <w:instrText xml:space="preserve"> XE "Recrutement" </w:instrText>
      </w:r>
      <w:r w:rsidRPr="00BF29DF">
        <w:rPr>
          <w:rFonts w:cs="Times New Roman"/>
        </w:rPr>
        <w:fldChar w:fldCharType="end"/>
      </w:r>
      <w:r w:rsidRPr="00BF29DF">
        <w:rPr>
          <w:rFonts w:cs="Times New Roman"/>
        </w:rPr>
        <w:t xml:space="preserve"> de </w:t>
      </w:r>
      <w:proofErr w:type="spellStart"/>
      <w:r w:rsidRPr="00BF29DF">
        <w:rPr>
          <w:rFonts w:cs="Times New Roman"/>
        </w:rPr>
        <w:t>télé-conseillers</w:t>
      </w:r>
      <w:proofErr w:type="spellEnd"/>
      <w:r w:rsidRPr="00BF29DF">
        <w:rPr>
          <w:rFonts w:cs="Times New Roman"/>
        </w:rPr>
        <w:t>, de ce qu’il n’avait aucun poste de conseiller à distance à proposer à la salariée</w:t>
      </w:r>
      <w:r>
        <w:rPr>
          <w:rFonts w:cs="Times New Roman"/>
        </w:rPr>
        <w:t xml:space="preserve"> ». </w:t>
      </w:r>
      <w:r w:rsidRPr="00AC0A42">
        <w:rPr>
          <w:rFonts w:cs="Times New Roman"/>
        </w:rPr>
        <w:t xml:space="preserve">Sur la question du reclassement interne comme condition de proportionnalité, </w:t>
      </w:r>
      <w:proofErr w:type="spellStart"/>
      <w:r w:rsidRPr="00AC0A42">
        <w:rPr>
          <w:rFonts w:cs="Times New Roman"/>
        </w:rPr>
        <w:t>voy</w:t>
      </w:r>
      <w:proofErr w:type="spellEnd"/>
      <w:r w:rsidRPr="00AC0A42">
        <w:rPr>
          <w:rFonts w:cs="Times New Roman"/>
        </w:rPr>
        <w:t xml:space="preserve">. </w:t>
      </w:r>
      <w:r w:rsidRPr="00AC0A42">
        <w:rPr>
          <w:rFonts w:cs="Times New Roman"/>
          <w:i/>
          <w:iCs/>
        </w:rPr>
        <w:t>infra</w:t>
      </w:r>
      <w:r w:rsidRPr="00AC0A42">
        <w:rPr>
          <w:rFonts w:cs="Times New Roman"/>
        </w:rPr>
        <w:t xml:space="preserve">, </w:t>
      </w:r>
      <w:r>
        <w:rPr>
          <w:rFonts w:cs="Times New Roman"/>
        </w:rPr>
        <w:t>para</w:t>
      </w:r>
      <w:r w:rsidRPr="00AC0A42">
        <w:rPr>
          <w:rFonts w:cs="Times New Roman"/>
        </w:rPr>
        <w:t xml:space="preserve">. </w:t>
      </w:r>
      <w:r w:rsidRPr="00AC0A42">
        <w:rPr>
          <w:rFonts w:cs="Times New Roman"/>
        </w:rPr>
        <w:fldChar w:fldCharType="begin"/>
      </w:r>
      <w:r w:rsidRPr="00AC0A42">
        <w:rPr>
          <w:rFonts w:cs="Times New Roman"/>
        </w:rPr>
        <w:instrText xml:space="preserve"> REF _Ref112863667 \r \h </w:instrText>
      </w:r>
      <w:r>
        <w:rPr>
          <w:rFonts w:cs="Times New Roman"/>
        </w:rPr>
        <w:instrText xml:space="preserve"> \* MERGEFORMAT </w:instrText>
      </w:r>
      <w:r w:rsidRPr="00AC0A42">
        <w:rPr>
          <w:rFonts w:cs="Times New Roman"/>
        </w:rPr>
      </w:r>
      <w:r w:rsidRPr="00AC0A42">
        <w:rPr>
          <w:rFonts w:cs="Times New Roman"/>
        </w:rPr>
        <w:fldChar w:fldCharType="separate"/>
      </w:r>
      <w:r w:rsidRPr="00AC0A42">
        <w:rPr>
          <w:rFonts w:cs="Times New Roman"/>
        </w:rPr>
        <w:t>100</w:t>
      </w:r>
      <w:r w:rsidRPr="00AC0A42">
        <w:rPr>
          <w:rFonts w:cs="Times New Roman"/>
        </w:rPr>
        <w:fldChar w:fldCharType="end"/>
      </w:r>
      <w:r w:rsidRPr="00AC0A42">
        <w:rPr>
          <w:rFonts w:cs="Times New Roman"/>
        </w:rPr>
        <w:t>.</w:t>
      </w:r>
    </w:p>
  </w:footnote>
  <w:footnote w:id="112">
    <w:p w14:paraId="66421C47" w14:textId="760F6ADA" w:rsidR="000D6C77" w:rsidRPr="00645B7B" w:rsidRDefault="000D6C77" w:rsidP="00FD6AB1">
      <w:pPr>
        <w:pStyle w:val="Notedebasdepage"/>
      </w:pPr>
      <w:r>
        <w:rPr>
          <w:rStyle w:val="Appelnotedebasdep"/>
        </w:rPr>
        <w:footnoteRef/>
      </w:r>
      <w:r w:rsidRPr="00E0141C">
        <w:t xml:space="preserve"> </w:t>
      </w:r>
      <w:r w:rsidRPr="00022216">
        <w:rPr>
          <w:rFonts w:cs="Times New Roman"/>
        </w:rPr>
        <w:t xml:space="preserve">Cass. </w:t>
      </w:r>
      <w:proofErr w:type="spellStart"/>
      <w:r w:rsidRPr="00022216">
        <w:rPr>
          <w:rFonts w:cs="Times New Roman"/>
        </w:rPr>
        <w:t>fr.</w:t>
      </w:r>
      <w:proofErr w:type="spellEnd"/>
      <w:r w:rsidRPr="00022216">
        <w:rPr>
          <w:rFonts w:cs="Times New Roman"/>
        </w:rPr>
        <w:t xml:space="preserve"> (</w:t>
      </w:r>
      <w:proofErr w:type="spellStart"/>
      <w:r w:rsidRPr="00022216">
        <w:rPr>
          <w:rFonts w:cs="Times New Roman"/>
        </w:rPr>
        <w:t>ass</w:t>
      </w:r>
      <w:proofErr w:type="spellEnd"/>
      <w:r w:rsidRPr="00022216">
        <w:rPr>
          <w:rFonts w:cs="Times New Roman"/>
        </w:rPr>
        <w:t xml:space="preserve">. </w:t>
      </w:r>
      <w:proofErr w:type="spellStart"/>
      <w:r w:rsidRPr="00022216">
        <w:rPr>
          <w:rFonts w:cs="Times New Roman"/>
        </w:rPr>
        <w:t>plén</w:t>
      </w:r>
      <w:proofErr w:type="spellEnd"/>
      <w:r w:rsidRPr="00022216">
        <w:rPr>
          <w:rFonts w:cs="Times New Roman"/>
        </w:rPr>
        <w:t xml:space="preserve">.), 25 juin 2014, n° 13-28.369, </w:t>
      </w:r>
      <w:r w:rsidRPr="00022216">
        <w:rPr>
          <w:rFonts w:cs="Times New Roman"/>
          <w:i/>
        </w:rPr>
        <w:t>R.F.D.A.</w:t>
      </w:r>
      <w:r w:rsidRPr="00022216">
        <w:rPr>
          <w:rFonts w:cs="Times New Roman"/>
        </w:rPr>
        <w:t>, 2014, p. 962</w:t>
      </w:r>
      <w:r>
        <w:rPr>
          <w:rFonts w:cs="Times New Roman"/>
        </w:rPr>
        <w:t xml:space="preserve"> (nous soulignons).</w:t>
      </w:r>
    </w:p>
  </w:footnote>
  <w:footnote w:id="113">
    <w:p w14:paraId="1143AB49" w14:textId="7DEA5329"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{"citationID":"F1BkTf7R","properties":{"formattedCitation":"M. {\\scaps Ferrary}, \\uc0\\u171{}\\uc0\\u160{}Comp\\uc0\\u233{}titivit\\uc0\\u233{} de la firme et management strat\\uc0\\u233{}gique des ressources humaines\\uc0\\u160{}\\uc0\\u187{}, {\\i{}Revue d\\uc0\\u8217{}\\uc0\\u233{}conomie industrielle}, 2010, n\\uc0\\u176{} 132, pp. 127\\uc0\\u8209{}154.","plainCitation":"M. Ferrary, « Compétitivité de la firme et management stratégique des ressources humaines », Revue d’économie industrielle, 2010, n° 132, pp. 127‑154.","noteIndex":148},"citationItems":[{"id":314,"uris":["http://zotero.org/users/5133869/items/Y3GDXGUG"],"itemData":{"id":314,"type":"article-journal","container-title":"Revue d’économie industrielle","DOI":"10.4000/rei.4317","ISSN":"0154-3229, 1773-0198","issue":"132","language":"fr","page":"127-154","source":"Crossref","title":"Compétitivité de la firme et management stratégique des ressources humaines","author":[{"family":"Ferrary","given":"Michel"}],"issued":{"date-parts":[["2010"]]}}}],"schema":"https://github.com/citation-style-language/schema/raw/master/csl-citation.json"} </w:instrText>
      </w:r>
      <w:r w:rsidRPr="00022216">
        <w:rPr>
          <w:rFonts w:cs="Times New Roman"/>
        </w:rPr>
        <w:fldChar w:fldCharType="separate"/>
      </w:r>
      <w:r w:rsidRPr="00022216">
        <w:rPr>
          <w:rFonts w:cs="Times New Roman"/>
        </w:rPr>
        <w:t xml:space="preserve">M. </w:t>
      </w:r>
      <w:proofErr w:type="spellStart"/>
      <w:r w:rsidRPr="00022216">
        <w:rPr>
          <w:rFonts w:cs="Times New Roman"/>
          <w:smallCaps/>
        </w:rPr>
        <w:t>Ferrary</w:t>
      </w:r>
      <w:proofErr w:type="spellEnd"/>
      <w:r w:rsidRPr="00022216">
        <w:rPr>
          <w:rFonts w:cs="Times New Roman"/>
        </w:rPr>
        <w:t xml:space="preserve">, « Compétitivité de la firme et management stratégique des ressources humaines », </w:t>
      </w:r>
      <w:r w:rsidRPr="00022216">
        <w:rPr>
          <w:rFonts w:cs="Times New Roman"/>
          <w:i/>
          <w:iCs/>
        </w:rPr>
        <w:t>Revue d’économie industrielle</w:t>
      </w:r>
      <w:r w:rsidRPr="00022216">
        <w:rPr>
          <w:rFonts w:cs="Times New Roman"/>
        </w:rPr>
        <w:t>, 2010, n° 132, pp. 127‑154.</w:t>
      </w:r>
      <w:r w:rsidRPr="00022216">
        <w:rPr>
          <w:rFonts w:cs="Times New Roman"/>
        </w:rPr>
        <w:fldChar w:fldCharType="end"/>
      </w:r>
    </w:p>
  </w:footnote>
  <w:footnote w:id="114">
    <w:p w14:paraId="6C0EBAAD" w14:textId="7A6FCA96"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{"citationID":"68YoxwDI","properties":{"formattedCitation":"G. {\\scaps Galindo} et H. {\\scaps Zannad}, \\uc0\\u171{}\\uc0\\u160{}Quelques cl\\uc0\\u233{}s pour mieux g\\uc0\\u233{}rer le fait religieux dans les entreprises\\uc0\\u160{}\\uc0\\u187{}, {\\i{}in} I. {\\scaps Barth} (\\uc0\\u233{}d.), {\\i{}Management et religions\\uc0\\u8239{}: D\\uc0\\u233{}cryptage d\\uc0\\u8217{}un lien ind\\uc0\\u233{}fectible}, Paris, Editions EMS, 2012, pp. 73\\uc0\\u8209{}75.","plainCitation":"G. Galindo et H. Zannad, « Quelques clés pour mieux gérer le fait religieux dans les entreprises », in I. Barth (éd.), Management et religions : Décryptage d’un lien indéfectible, Paris, Editions EMS, 2012, pp. 73‑75.","noteIndex":149},"citationItems":[{"id":2557,"uris":["http://zotero.org/users/5133869/items/CJZ87MS8"],"itemData":{"id":2557,"type":"chapter","container-title":"Management et religions : Décryptage d'un lien indéfectible","event-place":"Paris","page":"73-75","publisher":"Editions EMS","publisher-place":"Paris","title":"Quelques clés pour mieux gérer le fait religieux dans les entreprises","editor":[{"family":"Barth","given":"Isabelle"}],"author":[{"family":"Galindo","given":"Géraldine"},{"family":"Zannad","given":"Hédia"}],"issued":{"date-parts":[["2012"]]}}}],"schema":"https://github.com/citation-style-language/schema/raw/master/csl-citation.json"} </w:instrText>
      </w:r>
      <w:r w:rsidRPr="00022216">
        <w:rPr>
          <w:rFonts w:cs="Times New Roman"/>
        </w:rPr>
        <w:fldChar w:fldCharType="separate"/>
      </w:r>
      <w:r w:rsidRPr="00022216">
        <w:rPr>
          <w:rFonts w:cs="Times New Roman"/>
        </w:rPr>
        <w:t xml:space="preserve">G. </w:t>
      </w:r>
      <w:r w:rsidRPr="00022216">
        <w:rPr>
          <w:rFonts w:cs="Times New Roman"/>
          <w:smallCaps/>
        </w:rPr>
        <w:t>Galindo</w:t>
      </w:r>
      <w:r w:rsidRPr="00022216">
        <w:rPr>
          <w:rFonts w:cs="Times New Roman"/>
        </w:rPr>
        <w:t xml:space="preserve"> et H. </w:t>
      </w:r>
      <w:proofErr w:type="spellStart"/>
      <w:r w:rsidRPr="00022216">
        <w:rPr>
          <w:rFonts w:cs="Times New Roman"/>
          <w:smallCaps/>
        </w:rPr>
        <w:t>Zannad</w:t>
      </w:r>
      <w:proofErr w:type="spellEnd"/>
      <w:r w:rsidRPr="00022216">
        <w:rPr>
          <w:rFonts w:cs="Times New Roman"/>
        </w:rPr>
        <w:t xml:space="preserve">, « Quelques clés pour mieux gérer le fait religieux dans les entreprises », </w:t>
      </w:r>
      <w:r w:rsidRPr="00022216">
        <w:rPr>
          <w:rFonts w:cs="Times New Roman"/>
          <w:i/>
          <w:iCs/>
        </w:rPr>
        <w:t>in</w:t>
      </w:r>
      <w:r w:rsidRPr="00022216">
        <w:rPr>
          <w:rFonts w:cs="Times New Roman"/>
        </w:rPr>
        <w:t xml:space="preserve"> I. </w:t>
      </w:r>
      <w:r w:rsidRPr="00022216">
        <w:rPr>
          <w:rFonts w:cs="Times New Roman"/>
          <w:smallCaps/>
        </w:rPr>
        <w:t>Barth</w:t>
      </w:r>
      <w:r w:rsidRPr="00022216">
        <w:rPr>
          <w:rFonts w:cs="Times New Roman"/>
        </w:rPr>
        <w:t xml:space="preserve"> (éd.), </w:t>
      </w:r>
      <w:r w:rsidRPr="00022216">
        <w:rPr>
          <w:rFonts w:cs="Times New Roman"/>
          <w:i/>
          <w:iCs/>
        </w:rPr>
        <w:t>Management et religions : Décryptage d’un lien indéfectible</w:t>
      </w:r>
      <w:r w:rsidRPr="00022216">
        <w:rPr>
          <w:rFonts w:cs="Times New Roman"/>
        </w:rPr>
        <w:t>, Paris, Editions EMS, 2012, pp. 73‑75.</w:t>
      </w:r>
      <w:r w:rsidRPr="00022216">
        <w:rPr>
          <w:rFonts w:cs="Times New Roman"/>
        </w:rPr>
        <w:fldChar w:fldCharType="end"/>
      </w:r>
    </w:p>
  </w:footnote>
  <w:footnote w:id="115">
    <w:p w14:paraId="0C1C70AB" w14:textId="6E191A90"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{"citationID":"DGtwL9tM","properties":{"formattedCitation":"{\\i{}Ibid.}, p. 75.","plainCitation":"Ibid., p. 75.","noteIndex":150},"citationItems":[{"id":2557,"uris":["http://zotero.org/users/5133869/items/CJZ87MS8"],"itemData":{"id":2557,"type":"chapter","container-title":"Management et religions : Décryptage d'un lien indéfectible","event-place":"Paris","page":"73-75","publisher":"Editions EMS","publisher-place":"Paris","title":"Quelques clés pour mieux gérer le fait religieux dans les entreprises","editor":[{"family":"Barth","given":"Isabelle"}],"author":[{"family":"Galindo","given":"Géraldine"},{"family":"Zannad","given":"Hédia"}],"issued":{"date-parts":[["2012"]]}},"locator":"75"}],"schema":"https://github.com/citation-style-language/schema/raw/master/csl-citation.json"} </w:instrText>
      </w:r>
      <w:r w:rsidRPr="00022216">
        <w:rPr>
          <w:rFonts w:cs="Times New Roman"/>
        </w:rPr>
        <w:fldChar w:fldCharType="separate"/>
      </w:r>
      <w:r w:rsidRPr="00BC04CF">
        <w:rPr>
          <w:rFonts w:cs="Times New Roman"/>
          <w:i/>
          <w:iCs/>
          <w:szCs w:val="24"/>
        </w:rPr>
        <w:t>Ibid.</w:t>
      </w:r>
      <w:r w:rsidRPr="00BC04CF">
        <w:rPr>
          <w:rFonts w:cs="Times New Roman"/>
          <w:szCs w:val="24"/>
        </w:rPr>
        <w:t>, p. 75.</w:t>
      </w:r>
      <w:r w:rsidRPr="00022216">
        <w:rPr>
          <w:rFonts w:cs="Times New Roman"/>
        </w:rPr>
        <w:fldChar w:fldCharType="end"/>
      </w:r>
    </w:p>
  </w:footnote>
  <w:footnote w:id="116">
    <w:p w14:paraId="1EBF21D1" w14:textId="090D832E" w:rsidR="000D6C77" w:rsidRPr="00022216" w:rsidRDefault="000D6C77" w:rsidP="00FD6AB1">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i/>
        </w:rPr>
        <w:fldChar w:fldCharType="begin"/>
      </w:r>
      <w:r>
        <w:rPr>
          <w:rFonts w:cs="Times New Roman"/>
          <w:i/>
        </w:rPr>
        <w:instrText xml:space="preserve"> ADDIN ZOTERO_ITEM CSL_CITATION {"citationID":"yDJzmac4","properties":{"formattedCitation":"D. {\\scaps Maillard}, {\\i{}Quand la religion s\\uc0\\u8217{}invite dans l\\uc0\\u8217{}entreprise}, {\\i{}op. cit.}, pp. 59\\uc0\\u8209{}65.","plainCitation":"D. Maillard, Quand la religion s’invite dans l’entreprise, op. cit., pp. 59‑65.","noteIndex":153},"citationItems":[{"id":1013,"uris":["http://zotero.org/users/5133869/items/UMABSIDT"],"itemData":{"id":1013,"type":"book","call-number":"BL65.W67 M33 2017","event-place":"Paris","ISBN":"978-2-213-70542-2","number-of-pages":"227","publisher":"Fayard","publisher-place":"Paris","source":"Library of Congress ISBN","title":"Quand la religion s'invite dans l'entreprise","author":[{"family":"Maillard","given":"Denis"}],"issued":{"date-parts":[["2017"]]}},"locator":"59-65"}],"schema":"https://github.com/citation-style-language/schema/raw/master/csl-citation.json"} </w:instrText>
      </w:r>
      <w:r w:rsidRPr="00022216">
        <w:rPr>
          <w:rFonts w:cs="Times New Roman"/>
          <w:i/>
        </w:rPr>
        <w:fldChar w:fldCharType="separate"/>
      </w:r>
      <w:r w:rsidRPr="00BC04CF">
        <w:rPr>
          <w:rFonts w:cs="Times New Roman"/>
          <w:szCs w:val="24"/>
        </w:rPr>
        <w:t xml:space="preserve">D. </w:t>
      </w:r>
      <w:r w:rsidRPr="00BC04CF">
        <w:rPr>
          <w:rFonts w:cs="Times New Roman"/>
          <w:smallCaps/>
          <w:szCs w:val="24"/>
        </w:rPr>
        <w:t>Maillard</w:t>
      </w:r>
      <w:r w:rsidRPr="00BC04CF">
        <w:rPr>
          <w:rFonts w:cs="Times New Roman"/>
          <w:szCs w:val="24"/>
        </w:rPr>
        <w:t xml:space="preserve">, </w:t>
      </w:r>
      <w:r w:rsidRPr="00BC04CF">
        <w:rPr>
          <w:rFonts w:cs="Times New Roman"/>
          <w:i/>
          <w:iCs/>
          <w:szCs w:val="24"/>
        </w:rPr>
        <w:t>Quand la religion s’invite dans l’entreprise</w:t>
      </w:r>
      <w:r w:rsidRPr="00BC04CF">
        <w:rPr>
          <w:rFonts w:cs="Times New Roman"/>
          <w:szCs w:val="24"/>
        </w:rPr>
        <w:t xml:space="preserve">, </w:t>
      </w:r>
      <w:r w:rsidRPr="00BC04CF">
        <w:rPr>
          <w:rFonts w:cs="Times New Roman"/>
          <w:i/>
          <w:iCs/>
          <w:szCs w:val="24"/>
        </w:rPr>
        <w:t xml:space="preserve">op. </w:t>
      </w:r>
      <w:proofErr w:type="spellStart"/>
      <w:r w:rsidRPr="00BC04CF">
        <w:rPr>
          <w:rFonts w:cs="Times New Roman"/>
          <w:i/>
          <w:iCs/>
          <w:szCs w:val="24"/>
        </w:rPr>
        <w:t>cit</w:t>
      </w:r>
      <w:proofErr w:type="spellEnd"/>
      <w:r w:rsidRPr="00BC04CF">
        <w:rPr>
          <w:rFonts w:cs="Times New Roman"/>
          <w:i/>
          <w:iCs/>
          <w:szCs w:val="24"/>
        </w:rPr>
        <w:t>.</w:t>
      </w:r>
      <w:r w:rsidRPr="00BC04CF">
        <w:rPr>
          <w:rFonts w:cs="Times New Roman"/>
          <w:szCs w:val="24"/>
        </w:rPr>
        <w:t>, pp. 59‑65.</w:t>
      </w:r>
      <w:r w:rsidRPr="00022216">
        <w:rPr>
          <w:rFonts w:cs="Times New Roman"/>
          <w:i/>
        </w:rPr>
        <w:fldChar w:fldCharType="end"/>
      </w:r>
    </w:p>
  </w:footnote>
  <w:footnote w:id="117">
    <w:p w14:paraId="2C292259" w14:textId="45ECF39A" w:rsidR="000D6C77" w:rsidRPr="00F87826" w:rsidRDefault="000D6C77" w:rsidP="003049AC">
      <w:pPr>
        <w:pStyle w:val="Notedebasdepage"/>
      </w:pPr>
      <w:r>
        <w:rPr>
          <w:rStyle w:val="Appelnotedebasdep"/>
        </w:rPr>
        <w:footnoteRef/>
      </w:r>
      <w:r w:rsidRPr="00F87826">
        <w:t xml:space="preserve"> </w:t>
      </w:r>
      <w:r>
        <w:fldChar w:fldCharType="begin"/>
      </w:r>
      <w:r>
        <w:instrText xml:space="preserve"> ADDIN ZOTERO_ITEM CSL_CITATION {"citationID":"0cx69Iqr","properties":{"formattedCitation":"S. {\\scaps Hennette-Vauchez} et V. {\\scaps Valentin}, {\\i{}L\\uc0\\u8217{}affaire Baby Loup ou la Nouvelle La\\uc0\\u239{}cit\\uc0\\u233{}}, {\\i{}op. cit.}, pp. 48\\uc0\\u8209{}49.","plainCitation":"S. Hennette-Vauchez et V. Valentin, L’affaire Baby Loup ou la Nouvelle Laïcité, op. cit., pp. 48‑49.","noteIndex":154},"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Laïcité","author":[{"family":"Hennette-Vauchez","given":"Stéphanie"},{"family":"Valentin","given":"Vincent"}],"issued":{"date-parts":[["2014"]]}},"locator":"48-49"}],"schema":"https://github.com/citation-style-language/schema/raw/master/csl-citation.json"} </w:instrText>
      </w:r>
      <w:r>
        <w:fldChar w:fldCharType="separate"/>
      </w:r>
      <w:r w:rsidRPr="000B3841">
        <w:rPr>
          <w:rFonts w:cs="Times New Roman"/>
          <w:szCs w:val="24"/>
        </w:rPr>
        <w:t xml:space="preserve">S. </w:t>
      </w:r>
      <w:r w:rsidRPr="000B3841">
        <w:rPr>
          <w:rFonts w:cs="Times New Roman"/>
          <w:smallCaps/>
          <w:szCs w:val="24"/>
        </w:rPr>
        <w:t>Hennette-Vauchez</w:t>
      </w:r>
      <w:r w:rsidRPr="000B3841">
        <w:rPr>
          <w:rFonts w:cs="Times New Roman"/>
          <w:szCs w:val="24"/>
        </w:rPr>
        <w:t xml:space="preserve"> et V. </w:t>
      </w:r>
      <w:r w:rsidRPr="000B3841">
        <w:rPr>
          <w:rFonts w:cs="Times New Roman"/>
          <w:smallCaps/>
          <w:szCs w:val="24"/>
        </w:rPr>
        <w:t>Valentin</w:t>
      </w:r>
      <w:r w:rsidRPr="000B3841">
        <w:rPr>
          <w:rFonts w:cs="Times New Roman"/>
          <w:szCs w:val="24"/>
        </w:rPr>
        <w:t xml:space="preserve">, </w:t>
      </w:r>
      <w:r w:rsidRPr="000B3841">
        <w:rPr>
          <w:rFonts w:cs="Times New Roman"/>
          <w:i/>
          <w:iCs/>
          <w:szCs w:val="24"/>
        </w:rPr>
        <w:t>L’affaire Baby Loup ou la Nouvelle Laïcité</w:t>
      </w:r>
      <w:r w:rsidRPr="000B3841">
        <w:rPr>
          <w:rFonts w:cs="Times New Roman"/>
          <w:szCs w:val="24"/>
        </w:rPr>
        <w:t xml:space="preserve">, </w:t>
      </w:r>
      <w:r w:rsidRPr="000B3841">
        <w:rPr>
          <w:rFonts w:cs="Times New Roman"/>
          <w:i/>
          <w:iCs/>
          <w:szCs w:val="24"/>
        </w:rPr>
        <w:t xml:space="preserve">op. </w:t>
      </w:r>
      <w:proofErr w:type="spellStart"/>
      <w:r w:rsidRPr="000B3841">
        <w:rPr>
          <w:rFonts w:cs="Times New Roman"/>
          <w:i/>
          <w:iCs/>
          <w:szCs w:val="24"/>
        </w:rPr>
        <w:t>cit</w:t>
      </w:r>
      <w:proofErr w:type="spellEnd"/>
      <w:r w:rsidRPr="000B3841">
        <w:rPr>
          <w:rFonts w:cs="Times New Roman"/>
          <w:i/>
          <w:iCs/>
          <w:szCs w:val="24"/>
        </w:rPr>
        <w:t>.</w:t>
      </w:r>
      <w:r w:rsidRPr="000B3841">
        <w:rPr>
          <w:rFonts w:cs="Times New Roman"/>
          <w:szCs w:val="24"/>
        </w:rPr>
        <w:t>, pp. 48‑49.</w:t>
      </w:r>
      <w:r>
        <w:fldChar w:fldCharType="end"/>
      </w:r>
    </w:p>
  </w:footnote>
  <w:footnote w:id="118">
    <w:p w14:paraId="4665E0B8" w14:textId="797ED70E" w:rsidR="000D6C77" w:rsidRPr="00022216" w:rsidRDefault="000D6C77" w:rsidP="003D3025">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{"citationID":"lwvYlwWS","properties":{"formattedCitation":"J. {\\scaps Ringelheim}, \\uc0\\u171{}\\uc0\\u160{}Les interdictions de port du foulard visant des femmes adultes. Analyse de la Ligue des droits de l\\uc0\\u8217{}Homme\\uc0\\u160{}\\uc0\\u187{}, octobre 2017, disponible sur www.liguedh.be (Consult\\uc0\\u233{} le 31 ao\\uc0\\u251{}t 2022).","plainCitation":"J. Ringelheim, « Les interdictions de port du foulard visant des femmes adultes. Analyse de la Ligue des droits de l’Homme », octobre 2017, disponible sur www.liguedh.be (Consulté le 31 août 2022).","noteIndex":156},"citationItems":[{"id":2576,"uris":["http://zotero.org/users/5133869/items/GG4Z9FYN"],"itemData":{"id":2576,"type":"document","publisher":"Ligue des droits de l'homme","title":"Les interdictions de port du foulard visant des femmes adultes. Analyse de la Ligue des droits de l’Homme","URL":"www.liguedh.be","author":[{"family":"Ringelheim","given":"Julie"}],"accessed":{"date-parts":[["2022",8,31]]},"issued":{"date-parts":[["2017",10]]}}}],"schema":"https://github.com/citation-style-language/schema/raw/master/csl-citation.json"} </w:instrText>
      </w:r>
      <w:r w:rsidRPr="00022216">
        <w:rPr>
          <w:rFonts w:cs="Times New Roman"/>
        </w:rPr>
        <w:fldChar w:fldCharType="separate"/>
      </w:r>
      <w:r w:rsidRPr="009B4956">
        <w:rPr>
          <w:rFonts w:cs="Times New Roman"/>
          <w:szCs w:val="24"/>
        </w:rPr>
        <w:t xml:space="preserve">J. </w:t>
      </w:r>
      <w:r w:rsidRPr="009B4956">
        <w:rPr>
          <w:rFonts w:cs="Times New Roman"/>
          <w:smallCaps/>
          <w:szCs w:val="24"/>
        </w:rPr>
        <w:t>Ringelheim</w:t>
      </w:r>
      <w:r w:rsidRPr="009B4956">
        <w:rPr>
          <w:rFonts w:cs="Times New Roman"/>
          <w:szCs w:val="24"/>
        </w:rPr>
        <w:t>, « Les interdictions de port du foulard visant des femmes adultes. Analyse de la Ligue des droits de l’Homme », octobre 2017, disponible sur www.liguedh.be (Consulté le 31 août 2022).</w:t>
      </w:r>
      <w:r w:rsidRPr="00022216">
        <w:rPr>
          <w:rFonts w:cs="Times New Roman"/>
        </w:rPr>
        <w:fldChar w:fldCharType="end"/>
      </w:r>
      <w:r w:rsidRPr="00022216">
        <w:rPr>
          <w:rFonts w:cs="Times New Roman"/>
        </w:rPr>
        <w:t xml:space="preserve"> </w:t>
      </w:r>
    </w:p>
  </w:footnote>
  <w:footnote w:id="119">
    <w:p w14:paraId="4D6AD899" w14:textId="46A0BDFD" w:rsidR="000D6C77" w:rsidRPr="00022216" w:rsidRDefault="000D6C77" w:rsidP="003D3025">
      <w:pPr>
        <w:pStyle w:val="Notedebasdepage"/>
        <w:rPr>
          <w:rFonts w:cs="Times New Roman"/>
        </w:rPr>
      </w:pPr>
      <w:r w:rsidRPr="00022216">
        <w:rPr>
          <w:rStyle w:val="Appelnotedebasdep"/>
          <w:rFonts w:cs="Times New Roman"/>
        </w:rPr>
        <w:footnoteRef/>
      </w:r>
      <w:r>
        <w:rPr>
          <w:rFonts w:cs="Times New Roman"/>
        </w:rPr>
        <w:t xml:space="preserve"> En témoigne en effet l’examen conjoint, par de nombreuses </w:t>
      </w:r>
      <w:r w:rsidR="00421FA6">
        <w:rPr>
          <w:rFonts w:cs="Times New Roman"/>
        </w:rPr>
        <w:t>juridictions</w:t>
      </w:r>
      <w:r>
        <w:rPr>
          <w:rFonts w:cs="Times New Roman"/>
        </w:rPr>
        <w:t xml:space="preserve"> nationales, de la liberté religieuse et de la non-discrimination : </w:t>
      </w:r>
      <w:proofErr w:type="spellStart"/>
      <w:r>
        <w:rPr>
          <w:rFonts w:cs="Times New Roman"/>
        </w:rPr>
        <w:t>voy</w:t>
      </w:r>
      <w:proofErr w:type="spellEnd"/>
      <w:r>
        <w:rPr>
          <w:rFonts w:cs="Times New Roman"/>
        </w:rPr>
        <w:t xml:space="preserve">. par exemple l’arrêt rendu par la chambre sociale de la Cour de cassation française (22 novembre 2017, </w:t>
      </w:r>
      <w:r w:rsidRPr="00C856FE">
        <w:rPr>
          <w:rFonts w:cs="Times New Roman"/>
        </w:rPr>
        <w:t>n° 13/19855</w:t>
      </w:r>
      <w:r>
        <w:rPr>
          <w:rFonts w:cs="Times New Roman"/>
        </w:rPr>
        <w:t>)</w:t>
      </w:r>
      <w:r w:rsidRPr="00022216">
        <w:rPr>
          <w:rFonts w:cs="Times New Roman"/>
        </w:rPr>
        <w:t xml:space="preserve"> </w:t>
      </w:r>
      <w:r>
        <w:rPr>
          <w:rFonts w:cs="Times New Roman"/>
        </w:rPr>
        <w:t xml:space="preserve">dans l’affaire </w:t>
      </w:r>
      <w:r>
        <w:rPr>
          <w:rFonts w:cs="Times New Roman"/>
          <w:i/>
          <w:iCs/>
        </w:rPr>
        <w:t>Bougnaoui</w:t>
      </w:r>
      <w:r>
        <w:rPr>
          <w:rFonts w:cs="Times New Roman"/>
        </w:rPr>
        <w:t xml:space="preserve">, à la suite de l’arrêt de la CJUE. En ce sens, </w:t>
      </w:r>
      <w:proofErr w:type="spellStart"/>
      <w:r>
        <w:rPr>
          <w:rFonts w:cs="Times New Roman"/>
        </w:rPr>
        <w:t>voy</w:t>
      </w:r>
      <w:proofErr w:type="spellEnd"/>
      <w:r>
        <w:rPr>
          <w:rFonts w:cs="Times New Roman"/>
        </w:rPr>
        <w:t xml:space="preserve">. aussi </w:t>
      </w:r>
      <w:r w:rsidRPr="00022216">
        <w:rPr>
          <w:rFonts w:cs="Times New Roman"/>
        </w:rPr>
        <w:fldChar w:fldCharType="begin"/>
      </w:r>
      <w:r>
        <w:rPr>
          <w:rFonts w:cs="Times New Roman"/>
        </w:rPr>
        <w:instrText xml:space="preserve"> ADDIN ZOTERO_ITEM CSL_CITATION {"citationID":"XeNTVR7k","properties":{"formattedCitation":"P. {\\scaps Adam}, \\uc0\\u171{}\\uc0\\u160{}Discrimination, libert\\uc0\\u233{} et religion\\uc0\\u8239{}: de Luxembourg \\uc0\\u224{} Paris, un voyage aller-d\\uc0\\u233{}tour(s)\\uc0\\u160{}\\uc0\\u187{}, {\\i{}Semaine sociale Lamy}, novembre 2017.","plainCitation":"P. Adam, « Discrimination, liberté et religion : de Luxembourg à Paris, un voyage aller-détour(s) », Semaine sociale Lamy, novembre 2017.","noteIndex":157},"citationItems":[{"id":254,"uris":["http://zotero.org/users/5133869/items/TKTRSM57"],"itemData":{"id":254,"type":"article-journal","container-title":"Semaine sociale Lamy","title":"Discrimination, liberté et religion : de Luxembourg à Paris, un voyage aller-détour(s)","author":[{"family":"Adam","given":"Patrice"}],"issued":{"date-parts":[["2017",11,24]]}}}],"schema":"https://github.com/citation-style-language/schema/raw/master/csl-citation.json"} </w:instrText>
      </w:r>
      <w:r w:rsidRPr="00022216">
        <w:rPr>
          <w:rFonts w:cs="Times New Roman"/>
        </w:rPr>
        <w:fldChar w:fldCharType="separate"/>
      </w:r>
      <w:r w:rsidRPr="00022216">
        <w:rPr>
          <w:rFonts w:cs="Times New Roman"/>
        </w:rPr>
        <w:t xml:space="preserve">P. </w:t>
      </w:r>
      <w:r w:rsidRPr="00022216">
        <w:rPr>
          <w:rFonts w:cs="Times New Roman"/>
          <w:smallCaps/>
        </w:rPr>
        <w:t>Adam</w:t>
      </w:r>
      <w:r w:rsidRPr="00022216">
        <w:rPr>
          <w:rFonts w:cs="Times New Roman"/>
        </w:rPr>
        <w:t xml:space="preserve">, « Discrimination, liberté et religion : de Luxembourg à Paris, un voyage </w:t>
      </w:r>
      <w:proofErr w:type="spellStart"/>
      <w:r w:rsidRPr="00022216">
        <w:rPr>
          <w:rFonts w:cs="Times New Roman"/>
        </w:rPr>
        <w:t>aller-détour</w:t>
      </w:r>
      <w:proofErr w:type="spellEnd"/>
      <w:r w:rsidRPr="00022216">
        <w:rPr>
          <w:rFonts w:cs="Times New Roman"/>
        </w:rPr>
        <w:t xml:space="preserve">(s) », </w:t>
      </w:r>
      <w:r w:rsidRPr="00022216">
        <w:rPr>
          <w:rFonts w:cs="Times New Roman"/>
          <w:i/>
          <w:iCs/>
        </w:rPr>
        <w:t>Semaine sociale Lamy</w:t>
      </w:r>
      <w:r w:rsidRPr="00022216">
        <w:rPr>
          <w:rFonts w:cs="Times New Roman"/>
        </w:rPr>
        <w:t>, novembre 2017.</w:t>
      </w:r>
      <w:r w:rsidRPr="00022216">
        <w:rPr>
          <w:rFonts w:cs="Times New Roman"/>
        </w:rPr>
        <w:fldChar w:fldCharType="end"/>
      </w:r>
    </w:p>
  </w:footnote>
  <w:footnote w:id="120">
    <w:p w14:paraId="7A6BBB2D" w14:textId="77777777" w:rsidR="000D6C77" w:rsidRPr="00022216" w:rsidRDefault="000D6C77" w:rsidP="0004077A">
      <w:pPr>
        <w:pStyle w:val="Notedebasdepage"/>
        <w:rPr>
          <w:rFonts w:cs="Times New Roman"/>
        </w:rPr>
      </w:pPr>
      <w:r w:rsidRPr="00022216">
        <w:rPr>
          <w:rStyle w:val="Appelnotedebasdep"/>
          <w:rFonts w:cs="Times New Roman"/>
        </w:rPr>
        <w:footnoteRef/>
      </w:r>
      <w:r w:rsidRPr="00022216">
        <w:rPr>
          <w:rFonts w:cs="Times New Roman"/>
        </w:rPr>
        <w:t xml:space="preserve"> Nous utiliserons ici le terme « légalité » pour désigner l’exigence d’inscription de la restriction dans un instrument normatif. Sur le caractère légalement admissible, nous privilégierons le terme de « licéité ».</w:t>
      </w:r>
    </w:p>
  </w:footnote>
  <w:footnote w:id="121">
    <w:p w14:paraId="5C8ADDE0" w14:textId="02B9428E" w:rsidR="000D6C77" w:rsidRPr="008D517D" w:rsidRDefault="000D6C77" w:rsidP="001C50C0">
      <w:pPr>
        <w:pStyle w:val="Notedebasdepage"/>
        <w:rPr>
          <w:rFonts w:cs="Times New Roman"/>
        </w:rPr>
      </w:pPr>
      <w:r w:rsidRPr="00022216">
        <w:rPr>
          <w:rStyle w:val="Appelnotedebasdep"/>
          <w:rFonts w:cs="Times New Roman"/>
        </w:rPr>
        <w:footnoteRef/>
      </w:r>
      <w:r w:rsidRPr="00022216">
        <w:rPr>
          <w:rFonts w:cs="Times New Roman"/>
        </w:rPr>
        <w:t xml:space="preserve"> Pour un exemple d’appréciation particulièrement souple de la condition de légalité, </w:t>
      </w:r>
      <w:proofErr w:type="spellStart"/>
      <w:r w:rsidRPr="00022216">
        <w:rPr>
          <w:rFonts w:cs="Times New Roman"/>
        </w:rPr>
        <w:t>voy</w:t>
      </w:r>
      <w:proofErr w:type="spellEnd"/>
      <w:r w:rsidRPr="00022216">
        <w:rPr>
          <w:rFonts w:cs="Times New Roman"/>
        </w:rPr>
        <w:t xml:space="preserve">. </w:t>
      </w:r>
      <w:r>
        <w:rPr>
          <w:rFonts w:cs="Times New Roman"/>
        </w:rPr>
        <w:t>CourEDH</w:t>
      </w:r>
      <w:r w:rsidRPr="00022216">
        <w:rPr>
          <w:rFonts w:cs="Times New Roman"/>
        </w:rPr>
        <w:t xml:space="preserve">, arrêt </w:t>
      </w:r>
      <w:proofErr w:type="spellStart"/>
      <w:r w:rsidRPr="00022216">
        <w:rPr>
          <w:rFonts w:cs="Times New Roman"/>
          <w:i/>
        </w:rPr>
        <w:t>Hamidović</w:t>
      </w:r>
      <w:proofErr w:type="spellEnd"/>
      <w:r w:rsidRPr="00022216">
        <w:rPr>
          <w:rFonts w:cs="Times New Roman"/>
          <w:i/>
        </w:rPr>
        <w:t xml:space="preserve"> c. Bosnie-Herzégovine,</w:t>
      </w:r>
      <w:r w:rsidRPr="00022216">
        <w:rPr>
          <w:rFonts w:cs="Times New Roman"/>
        </w:rPr>
        <w:t xml:space="preserve"> 5 décembre 2017, </w:t>
      </w:r>
      <w:proofErr w:type="spellStart"/>
      <w:r w:rsidRPr="00022216">
        <w:rPr>
          <w:rFonts w:cs="Times New Roman"/>
        </w:rPr>
        <w:t>req</w:t>
      </w:r>
      <w:proofErr w:type="spellEnd"/>
      <w:r w:rsidRPr="00022216">
        <w:rPr>
          <w:rFonts w:cs="Times New Roman"/>
        </w:rPr>
        <w:t>. n° 57792/15, para. 33. La Cour considère en l’espèce que l’interdiction du port du foulard islamique dans la salle d’audience du tribunal répondait à la condition de légalité, se basant en l’occurrence sur le pouvoir général de maintien de l’ordre dont jouit le tribunal.</w:t>
      </w:r>
    </w:p>
  </w:footnote>
  <w:footnote w:id="122">
    <w:p w14:paraId="566EC78B" w14:textId="570E31F8" w:rsidR="000D6C77" w:rsidRPr="00022216" w:rsidRDefault="000D6C77" w:rsidP="001C50C0">
      <w:pPr>
        <w:pStyle w:val="Notedebasdepage"/>
        <w:rPr>
          <w:rFonts w:cs="Times New Roman"/>
        </w:rPr>
      </w:pPr>
      <w:r w:rsidRPr="00022216">
        <w:rPr>
          <w:rStyle w:val="Appelnotedebasdep"/>
          <w:rFonts w:cs="Times New Roman"/>
        </w:rPr>
        <w:footnoteRef/>
      </w:r>
      <w:r w:rsidRPr="00022216">
        <w:rPr>
          <w:rFonts w:cs="Times New Roman"/>
        </w:rPr>
        <w:t xml:space="preserve"> Selon F. </w:t>
      </w:r>
      <w:proofErr w:type="spellStart"/>
      <w:r w:rsidRPr="00022216">
        <w:rPr>
          <w:rFonts w:cs="Times New Roman"/>
          <w:smallCaps/>
        </w:rPr>
        <w:t>Kéfer</w:t>
      </w:r>
      <w:proofErr w:type="spellEnd"/>
      <w:r w:rsidRPr="00022216">
        <w:rPr>
          <w:rFonts w:cs="Times New Roman"/>
        </w:rPr>
        <w:t xml:space="preserve">, « [appliquée] aux relations entre un employeur et un travailleur, cette condition est remplie si l’ingérence est prévue par une convention collective de travail, le règlement de travail ou le contrat de travail, qui peuvent être considérés comme une loi au sens de l’article 9.2. ; il en est de même d’une règle orale bien connue de tous en dépit du fait qu’elle ne soit pas inscrite dans le règlement de travail » </w:t>
      </w:r>
      <w:r w:rsidRPr="00022216">
        <w:rPr>
          <w:rFonts w:cs="Times New Roman"/>
        </w:rPr>
        <w:fldChar w:fldCharType="begin"/>
      </w:r>
      <w:r>
        <w:rPr>
          <w:rFonts w:cs="Times New Roman"/>
        </w:rPr>
        <w:instrText xml:space="preserve"> ADDIN ZOTERO_ITEM CSL_CITATION {"citationID":"A5aEwWRh","properties":{"formattedCitation":"(\\uc0\\u171{}\\uc0\\u160{}L\\uc0\\u8217{}expression des convictions religieuses dans les relations de travail\\uc0\\u160{}\\uc0\\u187{}, {\\i{}op. cit.}, p. 544).","plainCitation":"(« L’expression des convictions religieuses dans les relations de travail », op. cit., p. 544).","noteIndex":160},"citationItems":[{"id":1427,"uris":["http://zotero.org/users/5133869/items/C7TEAJD8"],"itemData":{"id":1427,"type":"article-journal","container-title":"Revue de Droit Social","issue":"3","page":"528-583","title":"L’expression des convictions religieuses dans les relations de travail","author":[{"family":"Kéfer","given":"Fabienne"}],"issued":{"date-parts":[["2017"]]}},"locator":"544","suppress-author":true,"prefix":"(","suffix":")"}],"schema":"https://github.com/citation-style-language/schema/raw/master/csl-citation.json"} </w:instrText>
      </w:r>
      <w:r w:rsidRPr="00022216">
        <w:rPr>
          <w:rFonts w:cs="Times New Roman"/>
        </w:rPr>
        <w:fldChar w:fldCharType="separate"/>
      </w:r>
      <w:r w:rsidRPr="00022216">
        <w:rPr>
          <w:rFonts w:cs="Times New Roman"/>
        </w:rPr>
        <w:t xml:space="preserve">(«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544).</w:t>
      </w:r>
      <w:r w:rsidRPr="00022216">
        <w:rPr>
          <w:rFonts w:cs="Times New Roman"/>
        </w:rPr>
        <w:fldChar w:fldCharType="end"/>
      </w:r>
      <w:r w:rsidRPr="00022216">
        <w:rPr>
          <w:rFonts w:cs="Times New Roman"/>
        </w:rPr>
        <w:t xml:space="preserve"> Dans le même sens, </w:t>
      </w:r>
      <w:proofErr w:type="spellStart"/>
      <w:r>
        <w:rPr>
          <w:rFonts w:cs="Times New Roman"/>
        </w:rPr>
        <w:t>voy</w:t>
      </w:r>
      <w:proofErr w:type="spellEnd"/>
      <w:r>
        <w:rPr>
          <w:rFonts w:cs="Times New Roman"/>
        </w:rPr>
        <w:t xml:space="preserve">. </w:t>
      </w:r>
      <w:r w:rsidRPr="00022216">
        <w:rPr>
          <w:rFonts w:cs="Times New Roman"/>
        </w:rPr>
        <w:fldChar w:fldCharType="begin"/>
      </w:r>
      <w:r>
        <w:rPr>
          <w:rFonts w:cs="Times New Roman"/>
        </w:rPr>
        <w:instrText xml:space="preserve"> ADDIN ZOTERO_ITEM CSL_CITATION {"citationID":"0Z4zve5L","properties":{"formattedCitation":"E. {\\scaps Morelli} et I. {\\scaps Plets}, \\uc0\\u171{}\\uc0\\u160{}Port des signes religieux dans le secteur priv\\uc0\\u233{}\\uc0\\u8239{}: un commentaire de la jurisprudence belge\\uc0\\u160{}\\uc0\\u187{}, {\\i{}Orientations}, 2013, n\\uc0\\u176{} 10, p. 20.","plainCitation":"E. Morelli et I. Plets, « Port des signes religieux dans le secteur privé : un commentaire de la jurisprudence belge », Orientations, 2013, n° 10, p. 20.","noteIndex":160},"citationItems":[{"id":188,"uris":["http://zotero.org/users/5133869/items/95D2HEMD"],"itemData":{"id":188,"type":"article-journal","container-title":"Orientations","issue":"10","language":"fr","page":"19-28","source":"Zotero","title":"Port des signes religieux dans le secteur privé : un commentaire de la jurisprudence belge","author":[{"family":"Morelli","given":"Emilie"},{"family":"Plets","given":"Isabel"}],"issued":{"date-parts":[["2013"]]}},"locator":"20","label":"page"}],"schema":"https://github.com/citation-style-language/schema/raw/master/csl-citation.json"} </w:instrText>
      </w:r>
      <w:r w:rsidRPr="00022216">
        <w:rPr>
          <w:rFonts w:cs="Times New Roman"/>
        </w:rPr>
        <w:fldChar w:fldCharType="separate"/>
      </w:r>
      <w:r w:rsidRPr="009207CC">
        <w:rPr>
          <w:rFonts w:cs="Times New Roman"/>
          <w:szCs w:val="24"/>
        </w:rPr>
        <w:t xml:space="preserve">E. </w:t>
      </w:r>
      <w:r w:rsidRPr="009207CC">
        <w:rPr>
          <w:rFonts w:cs="Times New Roman"/>
          <w:smallCaps/>
          <w:szCs w:val="24"/>
        </w:rPr>
        <w:t>Morelli</w:t>
      </w:r>
      <w:r w:rsidRPr="009207CC">
        <w:rPr>
          <w:rFonts w:cs="Times New Roman"/>
          <w:szCs w:val="24"/>
        </w:rPr>
        <w:t xml:space="preserve"> et I. </w:t>
      </w:r>
      <w:proofErr w:type="spellStart"/>
      <w:r w:rsidRPr="009207CC">
        <w:rPr>
          <w:rFonts w:cs="Times New Roman"/>
          <w:smallCaps/>
          <w:szCs w:val="24"/>
        </w:rPr>
        <w:t>Plets</w:t>
      </w:r>
      <w:proofErr w:type="spellEnd"/>
      <w:r w:rsidRPr="009207CC">
        <w:rPr>
          <w:rFonts w:cs="Times New Roman"/>
          <w:szCs w:val="24"/>
        </w:rPr>
        <w:t xml:space="preserve">, « Port des signes religieux dans le secteur privé : un commentaire de la jurisprudence belge », </w:t>
      </w:r>
      <w:r w:rsidRPr="009207CC">
        <w:rPr>
          <w:rFonts w:cs="Times New Roman"/>
          <w:i/>
          <w:iCs/>
          <w:szCs w:val="24"/>
        </w:rPr>
        <w:t>Orientations</w:t>
      </w:r>
      <w:r w:rsidRPr="009207CC">
        <w:rPr>
          <w:rFonts w:cs="Times New Roman"/>
          <w:szCs w:val="24"/>
        </w:rPr>
        <w:t>, 2013, n° 10, p. 20.</w:t>
      </w:r>
      <w:r w:rsidRPr="00022216">
        <w:rPr>
          <w:rFonts w:cs="Times New Roman"/>
        </w:rPr>
        <w:fldChar w:fldCharType="end"/>
      </w:r>
      <w:r w:rsidRPr="00022216">
        <w:rPr>
          <w:rFonts w:cs="Times New Roman"/>
        </w:rPr>
        <w:t xml:space="preserve"> </w:t>
      </w:r>
    </w:p>
  </w:footnote>
  <w:footnote w:id="123">
    <w:p w14:paraId="3475FAD7" w14:textId="07A7E1D3" w:rsidR="000D6C77" w:rsidRPr="00022216" w:rsidRDefault="000D6C77" w:rsidP="00F2064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{"citationID":"rE248cds","properties":{"formattedCitation":"F. {\\scaps K\\uc0\\u233{}fer}, \\uc0\\u171{}\\uc0\\u160{}L\\uc0\\u8217{}expression des convictions religieuses dans les relations de travail\\uc0\\u160{}\\uc0\\u187{}, {\\i{}op. cit.}, p. 577.","plainCitation":"F. Kéfer, « L’expression des convictions religieuses dans les relations de travail », op. cit., p. 577.","noteIndex":161},"citationItems":[{"id":1427,"uris":["http://zotero.org/users/5133869/items/C7TEAJD8"],"itemData":{"id":1427,"type":"article-journal","container-title":"Revue de Droit Social","issue":"3","page":"528-583","title":"L’expression des convictions religieuses dans les relations de travail","author":[{"family":"Kéfer","given":"Fabienne"}],"issued":{"date-parts":[["2017"]]}},"locator":"577"}],"schema":"https://github.com/citation-style-language/schema/raw/master/csl-citation.json"} </w:instrText>
      </w:r>
      <w:r w:rsidRPr="00022216">
        <w:rPr>
          <w:rFonts w:cs="Times New Roman"/>
        </w:rPr>
        <w:fldChar w:fldCharType="separate"/>
      </w:r>
      <w:r w:rsidRPr="00022216">
        <w:rPr>
          <w:rFonts w:cs="Times New Roman"/>
        </w:rPr>
        <w:t xml:space="preserve">F. </w:t>
      </w:r>
      <w:proofErr w:type="spellStart"/>
      <w:r w:rsidRPr="00022216">
        <w:rPr>
          <w:rFonts w:cs="Times New Roman"/>
          <w:smallCaps/>
        </w:rPr>
        <w:t>Kéfer</w:t>
      </w:r>
      <w:proofErr w:type="spellEnd"/>
      <w:r w:rsidRPr="00022216">
        <w:rPr>
          <w:rFonts w:cs="Times New Roman"/>
        </w:rPr>
        <w:t xml:space="preserve">, «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577.</w:t>
      </w:r>
      <w:r w:rsidRPr="00022216">
        <w:rPr>
          <w:rFonts w:cs="Times New Roman"/>
        </w:rPr>
        <w:fldChar w:fldCharType="end"/>
      </w:r>
    </w:p>
  </w:footnote>
  <w:footnote w:id="124">
    <w:p w14:paraId="2D24E332" w14:textId="77777777" w:rsidR="000D6C77" w:rsidRPr="00022216" w:rsidRDefault="000D6C77" w:rsidP="00F2064A">
      <w:pPr>
        <w:pStyle w:val="Notedebasdepage"/>
        <w:rPr>
          <w:rFonts w:cs="Times New Roman"/>
        </w:rPr>
      </w:pPr>
      <w:r w:rsidRPr="00022216">
        <w:rPr>
          <w:rStyle w:val="Appelnotedebasdep"/>
          <w:rFonts w:cs="Times New Roman"/>
        </w:rPr>
        <w:footnoteRef/>
      </w:r>
      <w:r w:rsidRPr="00022216">
        <w:rPr>
          <w:rFonts w:cs="Times New Roman"/>
        </w:rPr>
        <w:t xml:space="preserve"> Directive 2000/8, art. 4.1.</w:t>
      </w:r>
    </w:p>
  </w:footnote>
  <w:footnote w:id="125">
    <w:p w14:paraId="1EBBCAAB" w14:textId="4AA00DDB" w:rsidR="000D6C77" w:rsidRPr="00022216" w:rsidRDefault="000D6C77" w:rsidP="00BF18A7">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{"citationID":"8IHvtiQe","properties":{"formattedCitation":"E. {\\scaps Morelli} et I. {\\scaps Plets}, \\uc0\\u171{}\\uc0\\u160{}Port des signes religieux dans le secteur priv\\uc0\\u233{}\\uc0\\u8239{}: un commentaire de la jurisprudence belge\\uc0\\u160{}\\uc0\\u187{}, {\\i{}op. cit.}, p. 25.","plainCitation":"E. Morelli et I. Plets, « Port des signes religieux dans le secteur privé : un commentaire de la jurisprudence belge », op. cit., p. 25.","noteIndex":163},"citationItems":[{"id":188,"uris":["http://zotero.org/users/5133869/items/95D2HEMD"],"itemData":{"id":188,"type":"article-journal","container-title":"Orientations","issue":"10","language":"fr","page":"19-28","source":"Zotero","title":"Port des signes religieux dans le secteur privé : un commentaire de la jurisprudence belge","author":[{"family":"Morelli","given":"Emilie"},{"family":"Plets","given":"Isabel"}],"issued":{"date-parts":[["2013"]]}},"locator":"25"}],"schema":"https://github.com/citation-style-language/schema/raw/master/csl-citation.json"} </w:instrText>
      </w:r>
      <w:r w:rsidRPr="00022216">
        <w:rPr>
          <w:rFonts w:cs="Times New Roman"/>
        </w:rPr>
        <w:fldChar w:fldCharType="separate"/>
      </w:r>
      <w:r w:rsidRPr="003216AF">
        <w:rPr>
          <w:rFonts w:cs="Times New Roman"/>
          <w:szCs w:val="24"/>
        </w:rPr>
        <w:t xml:space="preserve">E. </w:t>
      </w:r>
      <w:r w:rsidRPr="003216AF">
        <w:rPr>
          <w:rFonts w:cs="Times New Roman"/>
          <w:smallCaps/>
          <w:szCs w:val="24"/>
        </w:rPr>
        <w:t>Morelli</w:t>
      </w:r>
      <w:r w:rsidRPr="003216AF">
        <w:rPr>
          <w:rFonts w:cs="Times New Roman"/>
          <w:szCs w:val="24"/>
        </w:rPr>
        <w:t xml:space="preserve"> et I. </w:t>
      </w:r>
      <w:proofErr w:type="spellStart"/>
      <w:r w:rsidRPr="003216AF">
        <w:rPr>
          <w:rFonts w:cs="Times New Roman"/>
          <w:smallCaps/>
          <w:szCs w:val="24"/>
        </w:rPr>
        <w:t>Plets</w:t>
      </w:r>
      <w:proofErr w:type="spellEnd"/>
      <w:r w:rsidRPr="003216AF">
        <w:rPr>
          <w:rFonts w:cs="Times New Roman"/>
          <w:szCs w:val="24"/>
        </w:rPr>
        <w:t xml:space="preserve">, « Port des signes religieux dans le secteur privé : un commentaire de la jurisprudence belge », </w:t>
      </w:r>
      <w:r w:rsidRPr="003216AF">
        <w:rPr>
          <w:rFonts w:cs="Times New Roman"/>
          <w:i/>
          <w:iCs/>
          <w:szCs w:val="24"/>
        </w:rPr>
        <w:t xml:space="preserve">op. </w:t>
      </w:r>
      <w:proofErr w:type="spellStart"/>
      <w:r w:rsidRPr="003216AF">
        <w:rPr>
          <w:rFonts w:cs="Times New Roman"/>
          <w:i/>
          <w:iCs/>
          <w:szCs w:val="24"/>
        </w:rPr>
        <w:t>cit</w:t>
      </w:r>
      <w:proofErr w:type="spellEnd"/>
      <w:r w:rsidRPr="003216AF">
        <w:rPr>
          <w:rFonts w:cs="Times New Roman"/>
          <w:i/>
          <w:iCs/>
          <w:szCs w:val="24"/>
        </w:rPr>
        <w:t>.</w:t>
      </w:r>
      <w:r w:rsidRPr="003216AF">
        <w:rPr>
          <w:rFonts w:cs="Times New Roman"/>
          <w:szCs w:val="24"/>
        </w:rPr>
        <w:t>, p. 25.</w:t>
      </w:r>
      <w:r w:rsidRPr="00022216">
        <w:rPr>
          <w:rFonts w:cs="Times New Roman"/>
        </w:rPr>
        <w:fldChar w:fldCharType="end"/>
      </w:r>
    </w:p>
  </w:footnote>
  <w:footnote w:id="126">
    <w:p w14:paraId="26C443DD" w14:textId="0C03ED81" w:rsidR="000D6C77" w:rsidRPr="00022216" w:rsidRDefault="000D6C77" w:rsidP="00BF18A7">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{"citationID":"xmPoKIk7","properties":{"formattedCitation":"J. {\\scaps Mouly}, \\uc0\\u171{}\\uc0\\u160{}L\\uc0\\u8217{}exigence de neutralit\\uc0\\u233{}, entre discrimination directe et indirecte\\uc0\\u160{}\\uc0\\u187{}, {\\i{}Droit social}, 2018, n\\uc0\\u176{} 4, p. 332.","plainCitation":"J. Mouly, « L’exigence de neutralité, entre discrimination directe et indirecte », Droit social, 2018, n° 4, p. 332.","noteIndex":164},"citationItems":[{"id":213,"uris":["http://zotero.org/users/5133869/items/FITF3QRA"],"itemData":{"id":213,"type":"article-journal","container-title":"Droit social","issue":"4","page":"330-336","title":"L'exigence de neutralité, entre discrimination directe et indirecte","author":[{"family":"Mouly","given":"Jean"}],"issued":{"date-parts":[["2018"]]}},"locator":"332"}],"schema":"https://github.com/citation-style-language/schema/raw/master/csl-citation.json"} </w:instrText>
      </w:r>
      <w:r w:rsidRPr="00022216">
        <w:rPr>
          <w:rFonts w:cs="Times New Roman"/>
        </w:rPr>
        <w:fldChar w:fldCharType="separate"/>
      </w:r>
      <w:r w:rsidRPr="00E74ED6">
        <w:rPr>
          <w:rFonts w:cs="Times New Roman"/>
          <w:szCs w:val="24"/>
        </w:rPr>
        <w:t xml:space="preserve">J. </w:t>
      </w:r>
      <w:proofErr w:type="spellStart"/>
      <w:r w:rsidRPr="00E74ED6">
        <w:rPr>
          <w:rFonts w:cs="Times New Roman"/>
          <w:smallCaps/>
          <w:szCs w:val="24"/>
        </w:rPr>
        <w:t>Mouly</w:t>
      </w:r>
      <w:proofErr w:type="spellEnd"/>
      <w:r w:rsidRPr="00E74ED6">
        <w:rPr>
          <w:rFonts w:cs="Times New Roman"/>
          <w:szCs w:val="24"/>
        </w:rPr>
        <w:t xml:space="preserve">, « L’exigence de neutralité, entre discrimination directe et indirecte », </w:t>
      </w:r>
      <w:r w:rsidRPr="00E74ED6">
        <w:rPr>
          <w:rFonts w:cs="Times New Roman"/>
          <w:i/>
          <w:iCs/>
          <w:szCs w:val="24"/>
        </w:rPr>
        <w:t>Droit social</w:t>
      </w:r>
      <w:r w:rsidRPr="00E74ED6">
        <w:rPr>
          <w:rFonts w:cs="Times New Roman"/>
          <w:szCs w:val="24"/>
        </w:rPr>
        <w:t>, 2018, n° 4, p. 332.</w:t>
      </w:r>
      <w:r w:rsidRPr="00022216">
        <w:rPr>
          <w:rFonts w:cs="Times New Roman"/>
        </w:rPr>
        <w:fldChar w:fldCharType="end"/>
      </w:r>
    </w:p>
  </w:footnote>
  <w:footnote w:id="127">
    <w:p w14:paraId="526C4CF3" w14:textId="6EEFDEF8" w:rsidR="000D6C77" w:rsidRPr="00022216" w:rsidRDefault="000D6C77" w:rsidP="00BF18A7">
      <w:pPr>
        <w:pStyle w:val="Notedebasdepage"/>
        <w:rPr>
          <w:rFonts w:cs="Times New Roman"/>
        </w:rPr>
      </w:pPr>
      <w:r w:rsidRPr="00022216">
        <w:rPr>
          <w:rStyle w:val="Appelnotedebasdep"/>
          <w:rFonts w:cs="Times New Roman"/>
        </w:rPr>
        <w:footnoteRef/>
      </w:r>
      <w:r w:rsidRPr="00022216">
        <w:rPr>
          <w:rFonts w:cs="Times New Roman"/>
        </w:rPr>
        <w:t xml:space="preserve"> </w:t>
      </w:r>
      <w:r w:rsidRPr="001804E5">
        <w:rPr>
          <w:rFonts w:cs="Times New Roman"/>
        </w:rPr>
        <w:t xml:space="preserve">CJUE, </w:t>
      </w:r>
      <w:r w:rsidRPr="00022216">
        <w:rPr>
          <w:rFonts w:cs="Times New Roman"/>
          <w:i/>
          <w:iCs/>
        </w:rPr>
        <w:t>Bougnaoui</w:t>
      </w:r>
      <w:r w:rsidRPr="00022216">
        <w:rPr>
          <w:rFonts w:cs="Times New Roman"/>
        </w:rPr>
        <w:t>, para. 31-34.</w:t>
      </w:r>
    </w:p>
  </w:footnote>
  <w:footnote w:id="128">
    <w:p w14:paraId="1FD0F40D" w14:textId="5844C5C5" w:rsidR="000D6C77" w:rsidRPr="00022216" w:rsidRDefault="000D6C77" w:rsidP="00BF18A7">
      <w:pPr>
        <w:pStyle w:val="Notedebasdepage"/>
        <w:rPr>
          <w:rFonts w:cs="Times New Roman"/>
        </w:rPr>
      </w:pPr>
      <w:r w:rsidRPr="00022216">
        <w:rPr>
          <w:rStyle w:val="Appelnotedebasdep"/>
          <w:rFonts w:cs="Times New Roman"/>
        </w:rPr>
        <w:footnoteRef/>
      </w:r>
      <w:r w:rsidRPr="00022216">
        <w:rPr>
          <w:rFonts w:cs="Times New Roman"/>
        </w:rPr>
        <w:t xml:space="preserve"> Dans le même sens, citons la décision du </w:t>
      </w:r>
      <w:r>
        <w:rPr>
          <w:rFonts w:cs="Times New Roman"/>
        </w:rPr>
        <w:t>tribunal</w:t>
      </w:r>
      <w:r w:rsidRPr="00022216">
        <w:rPr>
          <w:rFonts w:cs="Times New Roman"/>
        </w:rPr>
        <w:t xml:space="preserve"> du travail de Tongres rendue en 2013 – soit antérieurement à l’arrêt </w:t>
      </w:r>
      <w:proofErr w:type="spellStart"/>
      <w:r w:rsidRPr="00022216">
        <w:rPr>
          <w:rFonts w:cs="Times New Roman"/>
          <w:i/>
          <w:iCs/>
        </w:rPr>
        <w:t>Achbita</w:t>
      </w:r>
      <w:proofErr w:type="spellEnd"/>
      <w:r w:rsidRPr="00022216">
        <w:rPr>
          <w:rFonts w:cs="Times New Roman"/>
        </w:rPr>
        <w:t xml:space="preserve"> – dans l’affaire du magasin </w:t>
      </w:r>
      <w:proofErr w:type="spellStart"/>
      <w:r w:rsidRPr="00022216">
        <w:rPr>
          <w:rFonts w:cs="Times New Roman"/>
          <w:i/>
          <w:iCs/>
        </w:rPr>
        <w:t>Hema</w:t>
      </w:r>
      <w:proofErr w:type="spellEnd"/>
      <w:r>
        <w:rPr>
          <w:rFonts w:cs="Times New Roman"/>
          <w:i/>
          <w:iCs/>
        </w:rPr>
        <w:fldChar w:fldCharType="begin"/>
      </w:r>
      <w:r>
        <w:rPr>
          <w:rFonts w:cs="Times New Roman"/>
          <w:i/>
          <w:iCs/>
        </w:rPr>
        <w:instrText xml:space="preserve"> XE "</w:instrText>
      </w:r>
      <w:r w:rsidRPr="005F6D4C">
        <w:rPr>
          <w:rFonts w:ascii="Cambria" w:eastAsia="Times New Roman" w:hAnsi="Cambria" w:cs="Calibri"/>
          <w:i/>
          <w:iCs/>
          <w:color w:val="000000"/>
          <w:lang w:eastAsia="fr-BE"/>
        </w:rPr>
        <w:instrText xml:space="preserve">Hema </w:instrText>
      </w:r>
      <w:r w:rsidRPr="005F6D4C">
        <w:rPr>
          <w:rFonts w:ascii="Cambria" w:eastAsia="Times New Roman" w:hAnsi="Cambria" w:cs="Calibri"/>
          <w:color w:val="000000"/>
          <w:lang w:eastAsia="fr-BE"/>
        </w:rPr>
        <w:instrText>(affaire)"</w:instrText>
      </w:r>
      <w:r>
        <w:rPr>
          <w:rFonts w:cs="Times New Roman"/>
          <w:i/>
          <w:iCs/>
        </w:rPr>
        <w:instrText xml:space="preserve"> </w:instrText>
      </w:r>
      <w:r>
        <w:rPr>
          <w:rFonts w:cs="Times New Roman"/>
          <w:i/>
          <w:iCs/>
        </w:rPr>
        <w:fldChar w:fldCharType="end"/>
      </w:r>
      <w:r w:rsidRPr="00022216">
        <w:rPr>
          <w:rFonts w:cs="Times New Roman"/>
          <w:i/>
          <w:iCs/>
        </w:rPr>
        <w:t> </w:t>
      </w:r>
      <w:r w:rsidRPr="00022216">
        <w:rPr>
          <w:rFonts w:cs="Times New Roman"/>
        </w:rPr>
        <w:t xml:space="preserve">: dans le cas d’espèce, pour justifier le licenciement d’une vendeuse, également au motif que celle-ci refusait de retirer son foulard dans le cadre de son travail, l’employeur n’a pas réussi à prouver l’existence d’une politique de neutralité, à tout le moins implicite, en vigueur au moment des faits – auquel cas il aurait été question de discrimination indirecte. Le tribunal en déduit l’existence d’une discrimination directe (2 janvier 2013, </w:t>
      </w:r>
      <w:r w:rsidRPr="008F6055">
        <w:rPr>
          <w:rFonts w:cs="Times New Roman"/>
          <w:i/>
        </w:rPr>
        <w:t>Chr. D.S. – Soc. Kron.</w:t>
      </w:r>
      <w:r w:rsidRPr="00022216">
        <w:rPr>
          <w:rFonts w:cs="Times New Roman"/>
        </w:rPr>
        <w:t xml:space="preserve">, </w:t>
      </w:r>
      <w:r>
        <w:rPr>
          <w:rFonts w:cs="Times New Roman"/>
        </w:rPr>
        <w:t>2014, n° 7</w:t>
      </w:r>
      <w:r w:rsidRPr="00022216">
        <w:rPr>
          <w:rFonts w:cs="Times New Roman"/>
        </w:rPr>
        <w:t xml:space="preserve">, pp. </w:t>
      </w:r>
      <w:r>
        <w:rPr>
          <w:rFonts w:cs="Times New Roman"/>
        </w:rPr>
        <w:t>356-362</w:t>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aussi la décision du </w:t>
      </w:r>
      <w:r>
        <w:rPr>
          <w:rFonts w:cs="Times New Roman"/>
        </w:rPr>
        <w:t>tribunal</w:t>
      </w:r>
      <w:r w:rsidRPr="00022216">
        <w:rPr>
          <w:rFonts w:cs="Times New Roman"/>
        </w:rPr>
        <w:t xml:space="preserve"> du travail de Charleroi au sujet d’une vendeuse travaillant au sein d’un magasin de </w:t>
      </w:r>
      <w:r>
        <w:rPr>
          <w:rFonts w:cs="Times New Roman"/>
        </w:rPr>
        <w:t>chaussures</w:t>
      </w:r>
      <w:r w:rsidRPr="00022216">
        <w:rPr>
          <w:rFonts w:cs="Times New Roman"/>
        </w:rPr>
        <w:t xml:space="preserve">, licenciée au motif qu’elle portait des vêtements longs et amples, perçus par l’employeur comme un signe religieux. L’absence de tout code vestimentaire au sein du magasin conduit le tribunal à invalider le licenciement pour faute grave (26 octobre 1992, </w:t>
      </w:r>
      <w:r w:rsidRPr="008F6055">
        <w:rPr>
          <w:rFonts w:cs="Times New Roman"/>
          <w:i/>
        </w:rPr>
        <w:t>Chr. D.S. – Soc. Kron.</w:t>
      </w:r>
      <w:r w:rsidRPr="00022216">
        <w:rPr>
          <w:rFonts w:cs="Times New Roman"/>
        </w:rPr>
        <w:t>,</w:t>
      </w:r>
      <w:r>
        <w:rPr>
          <w:rFonts w:cs="Times New Roman"/>
        </w:rPr>
        <w:t xml:space="preserve"> </w:t>
      </w:r>
      <w:r w:rsidRPr="00022216">
        <w:rPr>
          <w:rFonts w:cs="Times New Roman"/>
        </w:rPr>
        <w:t xml:space="preserve">1993, pp. 84-85). </w:t>
      </w:r>
      <w:proofErr w:type="spellStart"/>
      <w:r w:rsidRPr="00022216">
        <w:rPr>
          <w:rFonts w:cs="Times New Roman"/>
        </w:rPr>
        <w:t>Voy</w:t>
      </w:r>
      <w:proofErr w:type="spellEnd"/>
      <w:r w:rsidRPr="00022216">
        <w:rPr>
          <w:rFonts w:cs="Times New Roman"/>
        </w:rPr>
        <w:t xml:space="preserve">. enfin </w:t>
      </w:r>
      <w:r>
        <w:rPr>
          <w:rFonts w:cs="Times New Roman"/>
        </w:rPr>
        <w:t>t</w:t>
      </w:r>
      <w:r w:rsidRPr="00022216">
        <w:rPr>
          <w:rFonts w:cs="Times New Roman"/>
        </w:rPr>
        <w:t>rib. trav. Bruxelles (</w:t>
      </w:r>
      <w:proofErr w:type="spellStart"/>
      <w:r w:rsidRPr="00022216">
        <w:rPr>
          <w:rFonts w:cs="Times New Roman"/>
        </w:rPr>
        <w:t>cess</w:t>
      </w:r>
      <w:proofErr w:type="spellEnd"/>
      <w:r w:rsidRPr="00022216">
        <w:rPr>
          <w:rFonts w:cs="Times New Roman"/>
        </w:rPr>
        <w:t xml:space="preserve">.), 9 juin 2016, n° 15/7170/A, disponible sur </w:t>
      </w:r>
      <w:hyperlink r:id="rId3" w:history="1">
        <w:r w:rsidRPr="00022216">
          <w:rPr>
            <w:rStyle w:val="Lienhypertexte"/>
            <w:rFonts w:cs="Times New Roman"/>
          </w:rPr>
          <w:t>www.unia.be</w:t>
        </w:r>
      </w:hyperlink>
      <w:r w:rsidRPr="00022216">
        <w:rPr>
          <w:rFonts w:cs="Times New Roman"/>
        </w:rPr>
        <w:t>).</w:t>
      </w:r>
    </w:p>
  </w:footnote>
  <w:footnote w:id="129">
    <w:p w14:paraId="15CB0E5C" w14:textId="77777777" w:rsidR="000D6C77" w:rsidRDefault="000D6C77" w:rsidP="00B003D0">
      <w:pPr>
        <w:pStyle w:val="Notedebasdepage"/>
      </w:pPr>
      <w:r>
        <w:rPr>
          <w:rStyle w:val="Appelnotedebasdep"/>
        </w:rPr>
        <w:footnoteRef/>
      </w:r>
      <w:r>
        <w:t xml:space="preserve"> </w:t>
      </w:r>
      <w:r w:rsidRPr="00963039">
        <w:t xml:space="preserve">L’on peut citer l’arrêt </w:t>
      </w:r>
      <w:proofErr w:type="spellStart"/>
      <w:r w:rsidRPr="00963039">
        <w:rPr>
          <w:i/>
          <w:iCs/>
        </w:rPr>
        <w:t>Eweida</w:t>
      </w:r>
      <w:proofErr w:type="spellEnd"/>
      <w:r w:rsidRPr="00963039">
        <w:rPr>
          <w:i/>
          <w:iCs/>
        </w:rPr>
        <w:t xml:space="preserve"> e.a.</w:t>
      </w:r>
      <w:r w:rsidRPr="00963039">
        <w:t xml:space="preserve"> à l’appui de ce raisonnement : pour conclure à la violation de la liberté religieuse de Mme </w:t>
      </w:r>
      <w:proofErr w:type="spellStart"/>
      <w:r w:rsidRPr="00963039">
        <w:t>Eweida</w:t>
      </w:r>
      <w:proofErr w:type="spellEnd"/>
      <w:r w:rsidRPr="00963039">
        <w:t xml:space="preserve">, la CourEDH souligne notamment le fait que la politique de </w:t>
      </w:r>
      <w:r w:rsidRPr="00963039">
        <w:rPr>
          <w:i/>
          <w:iCs/>
        </w:rPr>
        <w:t>British Airways</w:t>
      </w:r>
      <w:r w:rsidRPr="00963039">
        <w:t xml:space="preserve"> excluait le port visible de la croix chrétienne, tout en autorisant le port d’autres vêtements religieux, tels que « le turban ou le hijab » </w:t>
      </w:r>
      <w:r>
        <w:t>(para. 94)</w:t>
      </w:r>
      <w:r w:rsidRPr="00963039">
        <w:t>. Peu regardante sur la qualité du règlement vestimentaire de la compagnie aérienne au stade de la légalité, la CourEDH s’appuie par la suite sur le manque de clarté et de prévisibilité de ce règlement pour conclure au caractère disproportionné de la restriction que celui-ci provoque.</w:t>
      </w:r>
    </w:p>
  </w:footnote>
  <w:footnote w:id="130">
    <w:p w14:paraId="59BDEE14" w14:textId="50225B6A" w:rsidR="000D6C77" w:rsidRPr="00022216" w:rsidRDefault="000D6C77" w:rsidP="006710DF">
      <w:pPr>
        <w:pStyle w:val="Notedebasdepage"/>
        <w:rPr>
          <w:rFonts w:cs="Times New Roman"/>
        </w:rPr>
      </w:pPr>
      <w:r w:rsidRPr="00022216">
        <w:rPr>
          <w:rStyle w:val="Appelnotedebasdep"/>
          <w:rFonts w:cs="Times New Roman"/>
        </w:rPr>
        <w:footnoteRef/>
      </w:r>
      <w:r w:rsidRPr="00022216">
        <w:rPr>
          <w:rFonts w:cs="Times New Roman"/>
        </w:rPr>
        <w:t xml:space="preserve"> Il importe en effet de préciser, à l’instar de F. </w:t>
      </w:r>
      <w:r w:rsidRPr="00022216">
        <w:rPr>
          <w:rFonts w:cs="Times New Roman"/>
          <w:smallCaps/>
        </w:rPr>
        <w:t>Dorssemont</w:t>
      </w:r>
      <w:r w:rsidRPr="00022216">
        <w:rPr>
          <w:rFonts w:cs="Times New Roman"/>
        </w:rPr>
        <w:t xml:space="preserve">, que Mme </w:t>
      </w:r>
      <w:proofErr w:type="spellStart"/>
      <w:r w:rsidRPr="00022216">
        <w:rPr>
          <w:rFonts w:cs="Times New Roman"/>
        </w:rPr>
        <w:t>Achbita</w:t>
      </w:r>
      <w:proofErr w:type="spellEnd"/>
      <w:r w:rsidRPr="00022216">
        <w:rPr>
          <w:rFonts w:cs="Times New Roman"/>
        </w:rPr>
        <w:t xml:space="preserve"> est licenciée par son employeur la veille de l’entrée en vigueur de la politique explicite de neutralité telle qu’inscrite dans le règlement de travail de </w:t>
      </w:r>
      <w:r w:rsidRPr="00022216">
        <w:rPr>
          <w:rFonts w:cs="Times New Roman"/>
          <w:i/>
        </w:rPr>
        <w:t>G4S</w:t>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{"citationID":"PZZTAtN8","properties":{"formattedCitation":"(\\uc0\\u171{}\\uc0\\u160{}Vrijheid van religie op de werkplaats en het Hof van Justitie: Terug naar cuius regio, illius religio?\\uc0\\u160{}\\uc0\\u187{}, {\\i{}Recht, religie en samenleving}, 2016, n\\uc0\\u176{} 2, p. 68).","plainCitation":"(« Vrijheid van religie op de werkplaats en het Hof van Justitie: Terug naar cuius regio, illius religio? », Recht, religie en samenleving, 2016, n° 2, p. 68).","noteIndex":170},"citationItems":[{"id":224,"uris":["http://zotero.org/users/5133869/items/4555LCMF"],"itemData":{"id":224,"type":"article-journal","container-title":"Recht, religie en samenleving","issue":"2","page":"65-105","title":"Vrijheid van religie op de werkplaats en het Hof van Justitie: Terug naar cuius regio, illius religio?","author":[{"family":"Dorssemont","given":"Filip"}],"issued":{"date-parts":[["2016"]]}},"locator":"68","suppress-author":true,"prefix":"(","suffix":")"}],"schema":"https://github.com/citation-style-language/schema/raw/master/csl-citation.json"} </w:instrText>
      </w:r>
      <w:r w:rsidRPr="00022216">
        <w:rPr>
          <w:rFonts w:cs="Times New Roman"/>
        </w:rPr>
        <w:fldChar w:fldCharType="separate"/>
      </w:r>
      <w:r w:rsidRPr="006A1BA6">
        <w:rPr>
          <w:rFonts w:cs="Times New Roman"/>
          <w:szCs w:val="24"/>
        </w:rPr>
        <w:t>(« </w:t>
      </w:r>
      <w:proofErr w:type="spellStart"/>
      <w:r w:rsidRPr="006A1BA6">
        <w:rPr>
          <w:rFonts w:cs="Times New Roman"/>
          <w:szCs w:val="24"/>
        </w:rPr>
        <w:t>Vrijheid</w:t>
      </w:r>
      <w:proofErr w:type="spellEnd"/>
      <w:r w:rsidRPr="006A1BA6">
        <w:rPr>
          <w:rFonts w:cs="Times New Roman"/>
          <w:szCs w:val="24"/>
        </w:rPr>
        <w:t xml:space="preserve"> van </w:t>
      </w:r>
      <w:proofErr w:type="spellStart"/>
      <w:r w:rsidRPr="006A1BA6">
        <w:rPr>
          <w:rFonts w:cs="Times New Roman"/>
          <w:szCs w:val="24"/>
        </w:rPr>
        <w:t>religie</w:t>
      </w:r>
      <w:proofErr w:type="spellEnd"/>
      <w:r w:rsidRPr="006A1BA6">
        <w:rPr>
          <w:rFonts w:cs="Times New Roman"/>
          <w:szCs w:val="24"/>
        </w:rPr>
        <w:t xml:space="preserve"> op de </w:t>
      </w:r>
      <w:proofErr w:type="spellStart"/>
      <w:r w:rsidRPr="006A1BA6">
        <w:rPr>
          <w:rFonts w:cs="Times New Roman"/>
          <w:szCs w:val="24"/>
        </w:rPr>
        <w:t>werkplaats</w:t>
      </w:r>
      <w:proofErr w:type="spellEnd"/>
      <w:r w:rsidRPr="006A1BA6">
        <w:rPr>
          <w:rFonts w:cs="Times New Roman"/>
          <w:szCs w:val="24"/>
        </w:rPr>
        <w:t xml:space="preserve"> en het Hof van </w:t>
      </w:r>
      <w:proofErr w:type="spellStart"/>
      <w:r w:rsidRPr="006A1BA6">
        <w:rPr>
          <w:rFonts w:cs="Times New Roman"/>
          <w:szCs w:val="24"/>
        </w:rPr>
        <w:t>Justitie</w:t>
      </w:r>
      <w:proofErr w:type="spellEnd"/>
      <w:r w:rsidRPr="006A1BA6">
        <w:rPr>
          <w:rFonts w:cs="Times New Roman"/>
          <w:szCs w:val="24"/>
        </w:rPr>
        <w:t xml:space="preserve">: </w:t>
      </w:r>
      <w:proofErr w:type="spellStart"/>
      <w:r w:rsidRPr="006A1BA6">
        <w:rPr>
          <w:rFonts w:cs="Times New Roman"/>
          <w:szCs w:val="24"/>
        </w:rPr>
        <w:t>Terug</w:t>
      </w:r>
      <w:proofErr w:type="spellEnd"/>
      <w:r w:rsidRPr="006A1BA6">
        <w:rPr>
          <w:rFonts w:cs="Times New Roman"/>
          <w:szCs w:val="24"/>
        </w:rPr>
        <w:t xml:space="preserve"> </w:t>
      </w:r>
      <w:proofErr w:type="spellStart"/>
      <w:r w:rsidRPr="006A1BA6">
        <w:rPr>
          <w:rFonts w:cs="Times New Roman"/>
          <w:szCs w:val="24"/>
        </w:rPr>
        <w:t>naar</w:t>
      </w:r>
      <w:proofErr w:type="spellEnd"/>
      <w:r w:rsidRPr="006A1BA6">
        <w:rPr>
          <w:rFonts w:cs="Times New Roman"/>
          <w:szCs w:val="24"/>
        </w:rPr>
        <w:t xml:space="preserve"> </w:t>
      </w:r>
      <w:proofErr w:type="spellStart"/>
      <w:r w:rsidRPr="006A1BA6">
        <w:rPr>
          <w:rFonts w:cs="Times New Roman"/>
          <w:szCs w:val="24"/>
        </w:rPr>
        <w:t>cuius</w:t>
      </w:r>
      <w:proofErr w:type="spellEnd"/>
      <w:r w:rsidRPr="006A1BA6">
        <w:rPr>
          <w:rFonts w:cs="Times New Roman"/>
          <w:szCs w:val="24"/>
        </w:rPr>
        <w:t xml:space="preserve"> </w:t>
      </w:r>
      <w:proofErr w:type="spellStart"/>
      <w:r w:rsidRPr="006A1BA6">
        <w:rPr>
          <w:rFonts w:cs="Times New Roman"/>
          <w:szCs w:val="24"/>
        </w:rPr>
        <w:t>regio</w:t>
      </w:r>
      <w:proofErr w:type="spellEnd"/>
      <w:r w:rsidRPr="006A1BA6">
        <w:rPr>
          <w:rFonts w:cs="Times New Roman"/>
          <w:szCs w:val="24"/>
        </w:rPr>
        <w:t xml:space="preserve">, </w:t>
      </w:r>
      <w:proofErr w:type="spellStart"/>
      <w:r w:rsidRPr="006A1BA6">
        <w:rPr>
          <w:rFonts w:cs="Times New Roman"/>
          <w:szCs w:val="24"/>
        </w:rPr>
        <w:t>illius</w:t>
      </w:r>
      <w:proofErr w:type="spellEnd"/>
      <w:r w:rsidRPr="006A1BA6">
        <w:rPr>
          <w:rFonts w:cs="Times New Roman"/>
          <w:szCs w:val="24"/>
        </w:rPr>
        <w:t xml:space="preserve"> </w:t>
      </w:r>
      <w:proofErr w:type="spellStart"/>
      <w:r w:rsidRPr="006A1BA6">
        <w:rPr>
          <w:rFonts w:cs="Times New Roman"/>
          <w:szCs w:val="24"/>
        </w:rPr>
        <w:t>religio</w:t>
      </w:r>
      <w:proofErr w:type="spellEnd"/>
      <w:r w:rsidRPr="006A1BA6">
        <w:rPr>
          <w:rFonts w:cs="Times New Roman"/>
          <w:szCs w:val="24"/>
        </w:rPr>
        <w:t xml:space="preserve">? », </w:t>
      </w:r>
      <w:proofErr w:type="spellStart"/>
      <w:r w:rsidRPr="006A1BA6">
        <w:rPr>
          <w:rFonts w:cs="Times New Roman"/>
          <w:i/>
          <w:iCs/>
          <w:szCs w:val="24"/>
        </w:rPr>
        <w:t>Recht</w:t>
      </w:r>
      <w:proofErr w:type="spellEnd"/>
      <w:r w:rsidRPr="006A1BA6">
        <w:rPr>
          <w:rFonts w:cs="Times New Roman"/>
          <w:i/>
          <w:iCs/>
          <w:szCs w:val="24"/>
        </w:rPr>
        <w:t xml:space="preserve">, </w:t>
      </w:r>
      <w:proofErr w:type="spellStart"/>
      <w:r w:rsidRPr="006A1BA6">
        <w:rPr>
          <w:rFonts w:cs="Times New Roman"/>
          <w:i/>
          <w:iCs/>
          <w:szCs w:val="24"/>
        </w:rPr>
        <w:t>religie</w:t>
      </w:r>
      <w:proofErr w:type="spellEnd"/>
      <w:r w:rsidRPr="006A1BA6">
        <w:rPr>
          <w:rFonts w:cs="Times New Roman"/>
          <w:i/>
          <w:iCs/>
          <w:szCs w:val="24"/>
        </w:rPr>
        <w:t xml:space="preserve"> en </w:t>
      </w:r>
      <w:proofErr w:type="spellStart"/>
      <w:r w:rsidRPr="006A1BA6">
        <w:rPr>
          <w:rFonts w:cs="Times New Roman"/>
          <w:i/>
          <w:iCs/>
          <w:szCs w:val="24"/>
        </w:rPr>
        <w:t>samenleving</w:t>
      </w:r>
      <w:proofErr w:type="spellEnd"/>
      <w:r w:rsidRPr="006A1BA6">
        <w:rPr>
          <w:rFonts w:cs="Times New Roman"/>
          <w:szCs w:val="24"/>
        </w:rPr>
        <w:t>, 2016, n° 2, p. 68).</w:t>
      </w:r>
      <w:r w:rsidRPr="00022216">
        <w:rPr>
          <w:rFonts w:cs="Times New Roman"/>
        </w:rPr>
        <w:fldChar w:fldCharType="end"/>
      </w:r>
    </w:p>
  </w:footnote>
  <w:footnote w:id="131">
    <w:p w14:paraId="66636D4C" w14:textId="5401A0D2" w:rsidR="000D6C77" w:rsidRPr="00022216" w:rsidRDefault="000D6C77" w:rsidP="006710DF">
      <w:pPr>
        <w:pStyle w:val="Notedebasdepage"/>
        <w:rPr>
          <w:rFonts w:cs="Times New Roman"/>
        </w:rPr>
      </w:pPr>
      <w:r w:rsidRPr="00022216">
        <w:rPr>
          <w:rStyle w:val="Appelnotedebasdep"/>
          <w:rFonts w:cs="Times New Roman"/>
        </w:rPr>
        <w:footnoteRef/>
      </w:r>
      <w:r w:rsidRPr="00022216">
        <w:rPr>
          <w:rFonts w:cs="Times New Roman"/>
        </w:rPr>
        <w:t xml:space="preserve"> Trib. trav. Anvers (2</w:t>
      </w:r>
      <w:r w:rsidRPr="00022216">
        <w:rPr>
          <w:rFonts w:cs="Times New Roman"/>
          <w:vertAlign w:val="superscript"/>
        </w:rPr>
        <w:t>e</w:t>
      </w:r>
      <w:r w:rsidRPr="00022216">
        <w:rPr>
          <w:rFonts w:cs="Times New Roman"/>
        </w:rPr>
        <w:t xml:space="preserve"> ch.), 27 avril 2010</w:t>
      </w:r>
      <w:r w:rsidRPr="007A46FF">
        <w:rPr>
          <w:rFonts w:cs="Times New Roman"/>
        </w:rPr>
        <w:t xml:space="preserve">, disponible sur </w:t>
      </w:r>
      <w:hyperlink r:id="rId4" w:history="1">
        <w:r w:rsidRPr="007A46FF">
          <w:rPr>
            <w:rStyle w:val="Lienhypertexte"/>
            <w:rFonts w:cs="Times New Roman"/>
          </w:rPr>
          <w:t>www.unia.be</w:t>
        </w:r>
      </w:hyperlink>
      <w:r w:rsidRPr="007A46FF">
        <w:rPr>
          <w:rFonts w:cs="Times New Roman"/>
        </w:rPr>
        <w:t>.</w:t>
      </w:r>
      <w:r w:rsidRPr="00022216">
        <w:rPr>
          <w:rFonts w:cs="Times New Roman"/>
        </w:rPr>
        <w:t xml:space="preserve"> L’effectivité de cette règle non écrite n’a pas été remise en cause dans les arrêts rendus ultérieurement par </w:t>
      </w:r>
      <w:r>
        <w:rPr>
          <w:rFonts w:cs="Times New Roman"/>
        </w:rPr>
        <w:t>les</w:t>
      </w:r>
      <w:r w:rsidRPr="00022216">
        <w:rPr>
          <w:rFonts w:cs="Times New Roman"/>
        </w:rPr>
        <w:t xml:space="preserve"> Cour</w:t>
      </w:r>
      <w:r>
        <w:rPr>
          <w:rFonts w:cs="Times New Roman"/>
        </w:rPr>
        <w:t>s</w:t>
      </w:r>
      <w:r w:rsidRPr="00022216">
        <w:rPr>
          <w:rFonts w:cs="Times New Roman"/>
        </w:rPr>
        <w:t xml:space="preserve"> du travail</w:t>
      </w:r>
      <w:r>
        <w:rPr>
          <w:rFonts w:cs="Times New Roman"/>
        </w:rPr>
        <w:t xml:space="preserve"> d’Anvers et de Gand, ni dans ceux rendues par </w:t>
      </w:r>
      <w:r w:rsidRPr="00022216">
        <w:rPr>
          <w:rFonts w:cs="Times New Roman"/>
        </w:rPr>
        <w:t>la Cour de cassation.</w:t>
      </w:r>
    </w:p>
  </w:footnote>
  <w:footnote w:id="132">
    <w:p w14:paraId="0F64FC5E" w14:textId="17D5011E" w:rsidR="000D6C77" w:rsidRPr="007A46FF" w:rsidRDefault="000D6C77" w:rsidP="006710DF">
      <w:pPr>
        <w:pStyle w:val="Notedebasdepage"/>
        <w:rPr>
          <w:rFonts w:cs="Times New Roman"/>
          <w:i/>
        </w:rPr>
      </w:pPr>
      <w:r w:rsidRPr="00022216">
        <w:rPr>
          <w:rStyle w:val="Appelnotedebasdep"/>
          <w:rFonts w:cs="Times New Roman"/>
        </w:rPr>
        <w:footnoteRef/>
      </w:r>
      <w:r w:rsidRPr="00022216">
        <w:rPr>
          <w:rFonts w:cs="Times New Roman"/>
        </w:rPr>
        <w:t xml:space="preserve"> Trib. trav. Bruxelles (2</w:t>
      </w:r>
      <w:r w:rsidRPr="00022216">
        <w:rPr>
          <w:rFonts w:cs="Times New Roman"/>
          <w:vertAlign w:val="superscript"/>
        </w:rPr>
        <w:t>e</w:t>
      </w:r>
      <w:r w:rsidRPr="00022216">
        <w:rPr>
          <w:rFonts w:cs="Times New Roman"/>
        </w:rPr>
        <w:t xml:space="preserve"> ch.), 2 novembre 2010, </w:t>
      </w:r>
      <w:proofErr w:type="spellStart"/>
      <w:r w:rsidRPr="00022216">
        <w:rPr>
          <w:rFonts w:cs="Times New Roman"/>
        </w:rPr>
        <w:t>req</w:t>
      </w:r>
      <w:proofErr w:type="spellEnd"/>
      <w:r w:rsidRPr="00022216">
        <w:rPr>
          <w:rFonts w:cs="Times New Roman"/>
        </w:rPr>
        <w:t xml:space="preserve">. n° 05/22188/A, disponible sur </w:t>
      </w:r>
      <w:hyperlink r:id="rId5" w:history="1">
        <w:r w:rsidRPr="00022216">
          <w:rPr>
            <w:rStyle w:val="Lienhypertexte"/>
            <w:rFonts w:cs="Times New Roman"/>
          </w:rPr>
          <w:t>www.unia.be</w:t>
        </w:r>
      </w:hyperlink>
      <w:r w:rsidRPr="00022216">
        <w:rPr>
          <w:rStyle w:val="Lienhypertexte"/>
          <w:rFonts w:cs="Times New Roman"/>
        </w:rPr>
        <w:t xml:space="preserve"> </w:t>
      </w:r>
      <w:r w:rsidRPr="00022216">
        <w:rPr>
          <w:rFonts w:cs="Times New Roman"/>
        </w:rPr>
        <w:t xml:space="preserve">; </w:t>
      </w:r>
      <w:r>
        <w:rPr>
          <w:rFonts w:cs="Times New Roman"/>
        </w:rPr>
        <w:t>t</w:t>
      </w:r>
      <w:r w:rsidRPr="00022216">
        <w:rPr>
          <w:rFonts w:cs="Times New Roman"/>
        </w:rPr>
        <w:t>rib. trav. Bruxelles (</w:t>
      </w:r>
      <w:proofErr w:type="spellStart"/>
      <w:r w:rsidRPr="00022216">
        <w:rPr>
          <w:rFonts w:cs="Times New Roman"/>
        </w:rPr>
        <w:t>cess</w:t>
      </w:r>
      <w:proofErr w:type="spellEnd"/>
      <w:r w:rsidRPr="00022216">
        <w:rPr>
          <w:rFonts w:cs="Times New Roman"/>
        </w:rPr>
        <w:t xml:space="preserve">.), 9 juin 2016, n° 15/7170/A, disponible sur </w:t>
      </w:r>
      <w:hyperlink r:id="rId6" w:history="1">
        <w:r w:rsidRPr="00022216">
          <w:rPr>
            <w:rStyle w:val="Lienhypertexte"/>
            <w:rFonts w:cs="Times New Roman"/>
          </w:rPr>
          <w:t>www.unia.be</w:t>
        </w:r>
      </w:hyperlink>
      <w:r>
        <w:rPr>
          <w:rStyle w:val="Lienhypertexte"/>
          <w:rFonts w:cs="Times New Roman"/>
        </w:rPr>
        <w:t xml:space="preserve"> </w:t>
      </w:r>
      <w:r>
        <w:rPr>
          <w:rFonts w:cs="Times New Roman"/>
        </w:rPr>
        <w:t>; t</w:t>
      </w:r>
      <w:r w:rsidRPr="00022216">
        <w:rPr>
          <w:rFonts w:cs="Times New Roman"/>
        </w:rPr>
        <w:t>rib. trav. Liège (div. Verviers), 20 février 2019, n° 15/678/</w:t>
      </w:r>
      <w:r w:rsidRPr="007A46FF">
        <w:rPr>
          <w:rFonts w:cs="Times New Roman"/>
        </w:rPr>
        <w:t xml:space="preserve">A, disponible sur </w:t>
      </w:r>
      <w:hyperlink r:id="rId7" w:history="1">
        <w:r w:rsidRPr="007A46FF">
          <w:rPr>
            <w:rStyle w:val="Lienhypertexte"/>
            <w:rFonts w:cs="Times New Roman"/>
          </w:rPr>
          <w:t>www.unia.be</w:t>
        </w:r>
      </w:hyperlink>
      <w:r w:rsidRPr="007A46FF">
        <w:rPr>
          <w:rFonts w:cs="Times New Roman"/>
        </w:rPr>
        <w:t xml:space="preserve"> et </w:t>
      </w:r>
      <w:r w:rsidRPr="007A46FF">
        <w:t xml:space="preserve">C. trav. Liège, 30 avril 2021, </w:t>
      </w:r>
      <w:r w:rsidRPr="007A46FF">
        <w:rPr>
          <w:i/>
        </w:rPr>
        <w:t>J.T.T.</w:t>
      </w:r>
      <w:r w:rsidRPr="007A46FF">
        <w:t>, 2021, n° 18, pp. 310-318.</w:t>
      </w:r>
    </w:p>
  </w:footnote>
  <w:footnote w:id="133">
    <w:p w14:paraId="1CC23E81" w14:textId="59F0B4F9" w:rsidR="000D6C77" w:rsidRPr="00022216" w:rsidRDefault="000D6C77" w:rsidP="00745AD8">
      <w:pPr>
        <w:pStyle w:val="Notedebasdepage"/>
        <w:rPr>
          <w:rFonts w:cs="Times New Roman"/>
        </w:rPr>
      </w:pPr>
      <w:r w:rsidRPr="00A03728">
        <w:rPr>
          <w:rStyle w:val="Appelnotedebasdep"/>
          <w:rFonts w:cs="Times New Roman"/>
        </w:rPr>
        <w:footnoteRef/>
      </w:r>
      <w:r w:rsidRPr="00A03728">
        <w:rPr>
          <w:rFonts w:cs="Times New Roman"/>
        </w:rPr>
        <w:t xml:space="preserve"> </w:t>
      </w:r>
      <w:r w:rsidRPr="00E74ED6">
        <w:rPr>
          <w:rFonts w:cs="Times New Roman"/>
        </w:rPr>
        <w:t xml:space="preserve">Sur ce point, </w:t>
      </w:r>
      <w:proofErr w:type="spellStart"/>
      <w:r w:rsidRPr="00E74ED6">
        <w:rPr>
          <w:rFonts w:cs="Times New Roman"/>
        </w:rPr>
        <w:t>voy</w:t>
      </w:r>
      <w:proofErr w:type="spellEnd"/>
      <w:r w:rsidRPr="00E74ED6">
        <w:rPr>
          <w:rFonts w:cs="Times New Roman"/>
        </w:rPr>
        <w:t xml:space="preserve">. en particulier </w:t>
      </w:r>
      <w:r w:rsidRPr="00374856">
        <w:rPr>
          <w:rFonts w:cs="Times New Roman"/>
        </w:rPr>
        <w:fldChar w:fldCharType="begin"/>
      </w:r>
      <w:r>
        <w:rPr>
          <w:rFonts w:cs="Times New Roman"/>
        </w:rPr>
        <w:instrText xml:space="preserve"> ADDIN ZOTERO_ITEM CSL_CITATION {"citationID":"MvjAa5CT","properties":{"formattedCitation":"S. {\\scaps van}\\uc0\\u160{}{\\scaps Drooghenbroeck}, \\uc0\\u171{}\\uc0\\u160{}Les transformations du concept de neutralit\\uc0\\u233{} de l\\uc0\\u8217{}\\uc0\\u201{}tat\\uc0\\u8239{}: quelques r\\uc0\\u233{}flexions provocatrices\\uc0\\u160{}\\uc0\\u187{}, {\\i{}op. cit.}, pp. 116\\uc0\\u8209{}117.","plainCitation":"S. van Drooghenbroeck, « Les transformations du concept de neutralité de l’État : quelques réflexions provocatrices », op. cit., pp. 116‑117.","noteIndex":173},"citationItems":[{"id":1271,"uris":["http://zotero.org/users/5133869/items/GHSFQ2CG"],"itemData":{"id":1271,"type":"chapter","container-title":"Le droit et la diversité culturelle","event-place":"Bruxelles","page":"75-120","publisher":"Bruylant","publisher-place":"Bruxelles","title":"Les transformations du concept de neutralité de l’État : quelques réflexions provocatrices","author":[{"family":"Drooghenbroeck","given":"Sébastien","non-dropping-particle":"van"}],"editor":[{"family":"Ringelheim","given":"Julie"}],"issued":{"date-parts":[["2011"]]}},"locator":"116-117"}],"schema":"https://github.com/citation-style-language/schema/raw/master/csl-citation.json"} </w:instrText>
      </w:r>
      <w:r w:rsidRPr="00374856">
        <w:rPr>
          <w:rFonts w:cs="Times New Roman"/>
        </w:rPr>
        <w:fldChar w:fldCharType="separate"/>
      </w:r>
      <w:r w:rsidRPr="004E1078">
        <w:rPr>
          <w:rFonts w:cs="Times New Roman"/>
          <w:szCs w:val="24"/>
        </w:rPr>
        <w:t xml:space="preserve">S. </w:t>
      </w:r>
      <w:r w:rsidRPr="004E1078">
        <w:rPr>
          <w:rFonts w:cs="Times New Roman"/>
          <w:smallCaps/>
          <w:szCs w:val="24"/>
        </w:rPr>
        <w:t>van</w:t>
      </w:r>
      <w:r w:rsidRPr="004E1078">
        <w:rPr>
          <w:rFonts w:cs="Times New Roman"/>
          <w:szCs w:val="24"/>
        </w:rPr>
        <w:t> </w:t>
      </w:r>
      <w:proofErr w:type="spellStart"/>
      <w:r w:rsidRPr="004E1078">
        <w:rPr>
          <w:rFonts w:cs="Times New Roman"/>
          <w:smallCaps/>
          <w:szCs w:val="24"/>
        </w:rPr>
        <w:t>Drooghenbroeck</w:t>
      </w:r>
      <w:proofErr w:type="spellEnd"/>
      <w:r w:rsidRPr="004E1078">
        <w:rPr>
          <w:rFonts w:cs="Times New Roman"/>
          <w:szCs w:val="24"/>
        </w:rPr>
        <w:t xml:space="preserve">, « Les transformations du concept de neutralité de l’État : quelques réflexions provocatrices », </w:t>
      </w:r>
      <w:r w:rsidRPr="004E1078">
        <w:rPr>
          <w:rFonts w:cs="Times New Roman"/>
          <w:i/>
          <w:iCs/>
          <w:szCs w:val="24"/>
        </w:rPr>
        <w:t xml:space="preserve">op. </w:t>
      </w:r>
      <w:proofErr w:type="spellStart"/>
      <w:r w:rsidRPr="004E1078">
        <w:rPr>
          <w:rFonts w:cs="Times New Roman"/>
          <w:i/>
          <w:iCs/>
          <w:szCs w:val="24"/>
        </w:rPr>
        <w:t>cit</w:t>
      </w:r>
      <w:proofErr w:type="spellEnd"/>
      <w:r w:rsidRPr="004E1078">
        <w:rPr>
          <w:rFonts w:cs="Times New Roman"/>
          <w:i/>
          <w:iCs/>
          <w:szCs w:val="24"/>
        </w:rPr>
        <w:t>.</w:t>
      </w:r>
      <w:r w:rsidRPr="004E1078">
        <w:rPr>
          <w:rFonts w:cs="Times New Roman"/>
          <w:szCs w:val="24"/>
        </w:rPr>
        <w:t>, pp. 116‑117.</w:t>
      </w:r>
      <w:r w:rsidRPr="00374856">
        <w:rPr>
          <w:rFonts w:cs="Times New Roman"/>
        </w:rPr>
        <w:fldChar w:fldCharType="end"/>
      </w:r>
      <w:r w:rsidRPr="00A03728">
        <w:rPr>
          <w:rFonts w:cs="Times New Roman"/>
        </w:rPr>
        <w:t>.</w:t>
      </w:r>
    </w:p>
  </w:footnote>
  <w:footnote w:id="134">
    <w:p w14:paraId="26B4C1A6" w14:textId="6C38D839" w:rsidR="000D6C77" w:rsidRPr="00093A8C" w:rsidRDefault="000D6C77">
      <w:pPr>
        <w:pStyle w:val="Notedebasdepage"/>
      </w:pPr>
      <w:r>
        <w:rPr>
          <w:rStyle w:val="Appelnotedebasdep"/>
        </w:rPr>
        <w:footnoteRef/>
      </w:r>
      <w:r>
        <w:t xml:space="preserve"> CJUE, </w:t>
      </w:r>
      <w:r>
        <w:rPr>
          <w:i/>
          <w:iCs/>
        </w:rPr>
        <w:t>LF c. SCRL</w:t>
      </w:r>
      <w:r>
        <w:t>, para. 40-41.</w:t>
      </w:r>
    </w:p>
  </w:footnote>
  <w:footnote w:id="135">
    <w:p w14:paraId="1892A3D3" w14:textId="1C022A90" w:rsidR="000D6C77" w:rsidRPr="005C0806" w:rsidRDefault="000D6C77">
      <w:pPr>
        <w:pStyle w:val="Notedebasdepage"/>
      </w:pPr>
      <w:r>
        <w:rPr>
          <w:rStyle w:val="Appelnotedebasdep"/>
        </w:rPr>
        <w:footnoteRef/>
      </w:r>
      <w:r>
        <w:t xml:space="preserve"> CJUE, </w:t>
      </w:r>
      <w:r>
        <w:rPr>
          <w:i/>
          <w:iCs/>
        </w:rPr>
        <w:t>LF c. SCRL</w:t>
      </w:r>
      <w:r>
        <w:t>, para. 41.</w:t>
      </w:r>
    </w:p>
  </w:footnote>
  <w:footnote w:id="136">
    <w:p w14:paraId="23B739B3" w14:textId="77777777" w:rsidR="000D6C77" w:rsidRPr="00022216" w:rsidRDefault="000D6C77" w:rsidP="00745AD8">
      <w:pPr>
        <w:pStyle w:val="Notedebasdepage"/>
        <w:rPr>
          <w:rFonts w:cs="Times New Roman"/>
        </w:rPr>
      </w:pPr>
      <w:r w:rsidRPr="00022216">
        <w:rPr>
          <w:rStyle w:val="Appelnotedebasdep"/>
          <w:rFonts w:cs="Times New Roman"/>
        </w:rPr>
        <w:footnoteRef/>
      </w:r>
      <w:r w:rsidRPr="00022216">
        <w:rPr>
          <w:rFonts w:cs="Times New Roman"/>
        </w:rPr>
        <w:t xml:space="preserve"> Trib. trav. Bruxelles (</w:t>
      </w:r>
      <w:proofErr w:type="spellStart"/>
      <w:r w:rsidRPr="00022216">
        <w:rPr>
          <w:rFonts w:cs="Times New Roman"/>
        </w:rPr>
        <w:t>cess</w:t>
      </w:r>
      <w:proofErr w:type="spellEnd"/>
      <w:r w:rsidRPr="00022216">
        <w:rPr>
          <w:rFonts w:cs="Times New Roman"/>
        </w:rPr>
        <w:t xml:space="preserve">.), 16 novembre 2015, </w:t>
      </w:r>
      <w:r w:rsidRPr="00022216">
        <w:rPr>
          <w:rFonts w:cs="Times New Roman"/>
          <w:i/>
        </w:rPr>
        <w:t>Administration Publique</w:t>
      </w:r>
      <w:r w:rsidRPr="00022216">
        <w:rPr>
          <w:rFonts w:cs="Times New Roman"/>
        </w:rPr>
        <w:t xml:space="preserve">, 2016, pp. 491-516, obs. I. </w:t>
      </w:r>
      <w:proofErr w:type="spellStart"/>
      <w:r w:rsidRPr="00022216">
        <w:rPr>
          <w:rFonts w:cs="Times New Roman"/>
          <w:smallCaps/>
        </w:rPr>
        <w:t>Rorive</w:t>
      </w:r>
      <w:proofErr w:type="spellEnd"/>
      <w:r w:rsidRPr="00022216">
        <w:rPr>
          <w:rFonts w:cs="Times New Roman"/>
        </w:rPr>
        <w:t>.</w:t>
      </w:r>
    </w:p>
  </w:footnote>
  <w:footnote w:id="137">
    <w:p w14:paraId="472D3FEC" w14:textId="7B0BD495" w:rsidR="000D6C77" w:rsidRPr="00022216" w:rsidRDefault="000D6C77" w:rsidP="00745AD8">
      <w:pPr>
        <w:pStyle w:val="Notedebasdepage"/>
        <w:rPr>
          <w:rFonts w:cs="Times New Roman"/>
        </w:rPr>
      </w:pPr>
      <w:r w:rsidRPr="00022216">
        <w:rPr>
          <w:rStyle w:val="Appelnotedebasdep"/>
          <w:rFonts w:cs="Times New Roman"/>
        </w:rPr>
        <w:footnoteRef/>
      </w:r>
      <w:r w:rsidRPr="00022216">
        <w:rPr>
          <w:rFonts w:cs="Times New Roman"/>
        </w:rPr>
        <w:t xml:space="preserve"> Ainsi, selon le </w:t>
      </w:r>
      <w:r w:rsidR="0094723B">
        <w:rPr>
          <w:rFonts w:cs="Times New Roman"/>
        </w:rPr>
        <w:t>t</w:t>
      </w:r>
      <w:r w:rsidRPr="00022216">
        <w:rPr>
          <w:rFonts w:cs="Times New Roman"/>
        </w:rPr>
        <w:t>ribunal, « la distinction entre le front et le back-office repose déjà sur la prémisse d’une neutralité exclusive en front office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Visibilité:Contact visuel"</w:instrText>
      </w:r>
      <w:r>
        <w:rPr>
          <w:rFonts w:cs="Times New Roman"/>
        </w:rPr>
        <w:instrText xml:space="preserve"> </w:instrText>
      </w:r>
      <w:r>
        <w:rPr>
          <w:rFonts w:cs="Times New Roman"/>
        </w:rPr>
        <w:fldChar w:fldCharType="end"/>
      </w:r>
      <w:r w:rsidRPr="00022216">
        <w:rPr>
          <w:rFonts w:cs="Times New Roman"/>
        </w:rPr>
        <w:t xml:space="preserve">, </w:t>
      </w:r>
      <w:r w:rsidRPr="00022216">
        <w:rPr>
          <w:rFonts w:cs="Times New Roman"/>
          <w:i/>
          <w:iCs/>
        </w:rPr>
        <w:t>comme si elle s’imposait de soi</w:t>
      </w:r>
      <w:r w:rsidRPr="00022216">
        <w:rPr>
          <w:rFonts w:cs="Times New Roman"/>
        </w:rPr>
        <w:t> » (</w:t>
      </w:r>
      <w:r w:rsidRPr="00022216">
        <w:rPr>
          <w:rFonts w:cs="Times New Roman"/>
          <w:i/>
          <w:iCs/>
        </w:rPr>
        <w:t xml:space="preserve">ibid., </w:t>
      </w:r>
      <w:r w:rsidRPr="00022216">
        <w:rPr>
          <w:rFonts w:cs="Times New Roman"/>
        </w:rPr>
        <w:t>nous soulignons).</w:t>
      </w:r>
    </w:p>
  </w:footnote>
  <w:footnote w:id="138">
    <w:p w14:paraId="71BFE9B5" w14:textId="4BA9084A" w:rsidR="000D6C77" w:rsidRPr="008D517D" w:rsidRDefault="000D6C77" w:rsidP="00745AD8">
      <w:pPr>
        <w:pStyle w:val="Notedebasdepage"/>
        <w:rPr>
          <w:lang w:val="nl-BE"/>
        </w:rPr>
      </w:pPr>
      <w:r>
        <w:rPr>
          <w:rStyle w:val="Appelnotedebasdep"/>
        </w:rPr>
        <w:footnoteRef/>
      </w:r>
      <w:r w:rsidRPr="00E74ED6">
        <w:t xml:space="preserve"> </w:t>
      </w:r>
      <w:r>
        <w:t>Trib. trav. Bruxelles (</w:t>
      </w:r>
      <w:proofErr w:type="spellStart"/>
      <w:r>
        <w:t>cess</w:t>
      </w:r>
      <w:proofErr w:type="spellEnd"/>
      <w:r>
        <w:t xml:space="preserve">.), 3 mai 2021, </w:t>
      </w:r>
      <w:r w:rsidRPr="00F15D9C">
        <w:rPr>
          <w:i/>
        </w:rPr>
        <w:t>J.T.T.</w:t>
      </w:r>
      <w:r w:rsidRPr="00F15D9C">
        <w:t>, n° 18, pp. 318-333</w:t>
      </w:r>
      <w:r>
        <w:t xml:space="preserve">. </w:t>
      </w:r>
      <w:r w:rsidRPr="008D517D">
        <w:rPr>
          <w:lang w:val="nl-BE"/>
        </w:rPr>
        <w:t xml:space="preserve">Pour </w:t>
      </w:r>
      <w:proofErr w:type="spellStart"/>
      <w:r w:rsidRPr="008D517D">
        <w:rPr>
          <w:lang w:val="nl-BE"/>
        </w:rPr>
        <w:t>un</w:t>
      </w:r>
      <w:proofErr w:type="spellEnd"/>
      <w:r w:rsidRPr="008D517D">
        <w:rPr>
          <w:lang w:val="nl-BE"/>
        </w:rPr>
        <w:t xml:space="preserve"> </w:t>
      </w:r>
      <w:proofErr w:type="spellStart"/>
      <w:r w:rsidRPr="008D517D">
        <w:rPr>
          <w:lang w:val="nl-BE"/>
        </w:rPr>
        <w:t>commentaire</w:t>
      </w:r>
      <w:proofErr w:type="spellEnd"/>
      <w:r w:rsidRPr="008D517D">
        <w:rPr>
          <w:lang w:val="nl-BE"/>
        </w:rPr>
        <w:t xml:space="preserve"> de </w:t>
      </w:r>
      <w:proofErr w:type="spellStart"/>
      <w:r w:rsidRPr="008D517D">
        <w:rPr>
          <w:lang w:val="nl-BE"/>
        </w:rPr>
        <w:t>cet</w:t>
      </w:r>
      <w:proofErr w:type="spellEnd"/>
      <w:r w:rsidRPr="008D517D">
        <w:rPr>
          <w:lang w:val="nl-BE"/>
        </w:rPr>
        <w:t xml:space="preserve"> arrêt, </w:t>
      </w:r>
      <w:proofErr w:type="spellStart"/>
      <w:r w:rsidRPr="008D517D">
        <w:rPr>
          <w:lang w:val="nl-BE"/>
        </w:rPr>
        <w:t>voy</w:t>
      </w:r>
      <w:proofErr w:type="spellEnd"/>
      <w:r w:rsidRPr="008D517D">
        <w:rPr>
          <w:lang w:val="nl-BE"/>
        </w:rPr>
        <w:t xml:space="preserve">. </w:t>
      </w:r>
      <w:r>
        <w:fldChar w:fldCharType="begin"/>
      </w:r>
      <w:r w:rsidRPr="008D517D">
        <w:rPr>
          <w:lang w:val="nl-BE"/>
        </w:rPr>
        <w:instrText xml:space="preserve"> ADDIN ZOTERO_ITEM CSL_CITATION {"citationID":"pkRPAAMT","properties":{"formattedCitation":"F. {\\scaps Dorssemont}, \\uc0\\u171{}\\uc0\\u160{}Vrijheid van religie voor werknemers: Nog mogelijk in het post-Achbita-tijdperk?\\uc0\\u160{}\\uc0\\u187{}, {\\i{}Nieuw Juridische Weekblad}, 2021, n\\uc0\\u176{} 450, pp. 761\\uc0\\u8209{}763.","plainCitation":"F. Dorssemont, « Vrijheid van religie voor werknemers: Nog mogelijk in het post-Achbita-tijdperk? », Nieuw Juridische Weekblad, 2021, n° 450, pp. 761‑763.","noteIndex":182},"citationItems":[{"id":3283,"uris":["http://zotero.org/users/5133869/items/DPKNYKN2"],"itemData":{"id":3283,"type":"article-journal","container-title":"Nieuw Juridische Weekblad","issue":"450","language":"nl","page":"750-765","source":"Zotero","title":"Vrijheid van religie voor werknemers: Nog mogelijk in het post-Achbita-tijdperk?","author":[{"family":"Dorssemont","given":"Filip"}],"issued":{"date-parts":[["2021"]]}},"locator":"761-763","label":"page"}],"schema":"https://github.com/citation-style-language/schema/raw/master/csl-citation.json"} </w:instrText>
      </w:r>
      <w:r>
        <w:fldChar w:fldCharType="separate"/>
      </w:r>
      <w:r w:rsidRPr="008D517D">
        <w:rPr>
          <w:rFonts w:cs="Times New Roman"/>
          <w:szCs w:val="24"/>
          <w:lang w:val="nl-BE"/>
        </w:rPr>
        <w:t xml:space="preserve">F. </w:t>
      </w:r>
      <w:r w:rsidRPr="008D517D">
        <w:rPr>
          <w:rFonts w:cs="Times New Roman"/>
          <w:smallCaps/>
          <w:szCs w:val="24"/>
          <w:lang w:val="nl-BE"/>
        </w:rPr>
        <w:t>Dorssemont</w:t>
      </w:r>
      <w:r w:rsidRPr="008D517D">
        <w:rPr>
          <w:rFonts w:cs="Times New Roman"/>
          <w:szCs w:val="24"/>
          <w:lang w:val="nl-BE"/>
        </w:rPr>
        <w:t>, « Vrijheid van religie voor werknemers: Nog mogelijk in het post-</w:t>
      </w:r>
      <w:proofErr w:type="spellStart"/>
      <w:r w:rsidRPr="008D517D">
        <w:rPr>
          <w:rFonts w:cs="Times New Roman"/>
          <w:szCs w:val="24"/>
          <w:lang w:val="nl-BE"/>
        </w:rPr>
        <w:t>Achbita</w:t>
      </w:r>
      <w:proofErr w:type="spellEnd"/>
      <w:r w:rsidRPr="008D517D">
        <w:rPr>
          <w:rFonts w:cs="Times New Roman"/>
          <w:szCs w:val="24"/>
          <w:lang w:val="nl-BE"/>
        </w:rPr>
        <w:t xml:space="preserve">-tijdperk? », </w:t>
      </w:r>
      <w:r w:rsidRPr="008D517D">
        <w:rPr>
          <w:rFonts w:cs="Times New Roman"/>
          <w:i/>
          <w:iCs/>
          <w:szCs w:val="24"/>
          <w:lang w:val="nl-BE"/>
        </w:rPr>
        <w:t>Nieuw Juridische Weekblad</w:t>
      </w:r>
      <w:r w:rsidRPr="008D517D">
        <w:rPr>
          <w:rFonts w:cs="Times New Roman"/>
          <w:szCs w:val="24"/>
          <w:lang w:val="nl-BE"/>
        </w:rPr>
        <w:t>, 2021, n° 450, pp. 761‑763.</w:t>
      </w:r>
      <w:r>
        <w:fldChar w:fldCharType="end"/>
      </w:r>
    </w:p>
  </w:footnote>
  <w:footnote w:id="139">
    <w:p w14:paraId="2E9366A4" w14:textId="0FA3C15F" w:rsidR="000D6C77" w:rsidRPr="00651F72" w:rsidRDefault="000D6C77" w:rsidP="003E2654">
      <w:pPr>
        <w:pStyle w:val="Notedebasdepage"/>
      </w:pPr>
      <w:r>
        <w:rPr>
          <w:rStyle w:val="Appelnotedebasdep"/>
        </w:rPr>
        <w:footnoteRef/>
      </w:r>
      <w:r>
        <w:t xml:space="preserve"> Sur la réalité et la pertinence d’une </w:t>
      </w:r>
      <w:r w:rsidRPr="00651F72">
        <w:rPr>
          <w:rFonts w:cs="Times New Roman"/>
        </w:rPr>
        <w:t>distinction entre ces</w:t>
      </w:r>
      <w:r>
        <w:rPr>
          <w:rFonts w:ascii="Cambria" w:hAnsi="Cambria" w:cs="FrutigerLTStd-Roman"/>
          <w:sz w:val="22"/>
          <w:szCs w:val="22"/>
        </w:rPr>
        <w:t xml:space="preserve"> </w:t>
      </w:r>
      <w:r w:rsidRPr="00651F72">
        <w:t>deux form</w:t>
      </w:r>
      <w:r>
        <w:t>e</w:t>
      </w:r>
      <w:r w:rsidRPr="00651F72">
        <w:t>s de discriminati</w:t>
      </w:r>
      <w:r>
        <w:t xml:space="preserve">on, </w:t>
      </w:r>
      <w:proofErr w:type="spellStart"/>
      <w:r>
        <w:t>voy</w:t>
      </w:r>
      <w:proofErr w:type="spellEnd"/>
      <w:r>
        <w:t>.</w:t>
      </w:r>
      <w:r w:rsidRPr="00651F72">
        <w:t xml:space="preserve"> </w:t>
      </w:r>
      <w:r>
        <w:fldChar w:fldCharType="begin"/>
      </w:r>
      <w:r>
        <w:instrText xml:space="preserve"> ADDIN ZOTERO_ITEM CSL_CITATION {"citationID":"fWbFA0kh","properties":{"formattedCitation":"S. {\\scaps Fredman}, \\uc0\\u171{}\\uc0\\u160{}Direct and Indirect Discrimination: Is There Still a Divide?\\uc0\\u160{}\\uc0\\u187{}, {\\i{}in} H. {\\scaps Collins} et T. {\\scaps Khaitan} (\\uc0\\u233{}ds.), {\\i{}Foundations of indirect discrimination law}, Oxford\\uc0\\u8239{}; Portland, Oregon, Hart Publishing, 2018, pp. 31\\uc0\\u8209{}55\\uc0\\u160{}; C. {\\scaps Bayart} et C. {\\scaps Detteren}, \\uc0\\u171{}\\uc0\\u160{}Direct en indirect onderscheid\\uc0\\u160{}\\uc0\\u187{}, {\\i{}in} C. {\\scaps Bayart}, S. {\\scaps Sottiaux} et S. {\\scaps van}\\uc0\\u160{}{\\scaps Drooghenbroeck} (\\uc0\\u233{}ds.), {\\i{}Les nouvelles lois luttant contre la discrimination}, Bruges, La Charte, 2008, pp. 171\\uc0\\u8209{}225.","plainCitation":"S. Fredman, « Direct and Indirect Discrimination: Is There Still a Divide? », in H. Collins et T. Khaitan (éds.), Foundations of indirect discrimination law, Oxford ; Portland, Oregon, Hart Publishing, 2018, pp. 31‑55 ; C. Bayart et C. Detteren, « Direct en indirect onderscheid », in C. Bayart, S. Sottiaux et S. van Drooghenbroeck (éds.), Les nouvelles lois luttant contre la discrimination, Bruges, La Charte, 2008, pp. 171‑225.","noteIndex":183},"citationItems":[{"id":1856,"uris":["http://zotero.org/users/5133869/items/Y9IJUT7P"],"itemData":{"id":1856,"type":"chapter","call-number":"K3239.8 .F68 2018","container-title":"Foundations of indirect discrimination law","event-place":"Oxford ; Portland, Oregon","ISBN":"978-1-5099-1254-4","page":"31-55","publisher":"Hart Publishing","publisher-place":"Oxford ; Portland, Oregon","source":"Library of Congress ISBN","title":"Direct and Indirect Discrimination: Is There Still a Divide?","editor":[{"family":"Collins","given":"Hugh"},{"family":"Khaitan","given":"Tarunabh"}],"author":[{"family":"Fredman","given":"Sandra"}],"issued":{"date-parts":[["2018"]]}}},{"id":1221,"uris":["http://zotero.org/users/5133869/items/CMMDZFYT"],"itemData":{"id":1221,"type":"chapter","container-title":"Les nouvelles lois luttant contre la discrimination","event-place":"Bruges","page":"171-225","publisher":"La Charte","publisher-place":"Bruges","title":"Direct en indirect onderscheid","author":[{"family":"Bayart","given":"Christian"},{"family":"Detteren","given":"C"}],"editor":[{"family":"Bayart","given":"Christian"},{"family":"Sottiaux","given":"S"},{"family":"Drooghenbroeck","given":"Sébastien","non-dropping-particle":"van"}],"issued":{"date-parts":[["2008"]]}}}],"schema":"https://github.com/citation-style-language/schema/raw/master/csl-citation.json"} </w:instrText>
      </w:r>
      <w:r>
        <w:fldChar w:fldCharType="separate"/>
      </w:r>
      <w:r w:rsidRPr="00085FBD">
        <w:rPr>
          <w:rFonts w:cs="Times New Roman"/>
          <w:szCs w:val="24"/>
        </w:rPr>
        <w:t xml:space="preserve">S. </w:t>
      </w:r>
      <w:proofErr w:type="spellStart"/>
      <w:r w:rsidRPr="00085FBD">
        <w:rPr>
          <w:rFonts w:cs="Times New Roman"/>
          <w:smallCaps/>
          <w:szCs w:val="24"/>
        </w:rPr>
        <w:t>Fredman</w:t>
      </w:r>
      <w:proofErr w:type="spellEnd"/>
      <w:r w:rsidRPr="00085FBD">
        <w:rPr>
          <w:rFonts w:cs="Times New Roman"/>
          <w:szCs w:val="24"/>
        </w:rPr>
        <w:t xml:space="preserve">, « Direct and Indirect Discrimination: Is There </w:t>
      </w:r>
      <w:proofErr w:type="spellStart"/>
      <w:r w:rsidRPr="00085FBD">
        <w:rPr>
          <w:rFonts w:cs="Times New Roman"/>
          <w:szCs w:val="24"/>
        </w:rPr>
        <w:t>Still</w:t>
      </w:r>
      <w:proofErr w:type="spellEnd"/>
      <w:r w:rsidRPr="00085FBD">
        <w:rPr>
          <w:rFonts w:cs="Times New Roman"/>
          <w:szCs w:val="24"/>
        </w:rPr>
        <w:t xml:space="preserve"> a </w:t>
      </w:r>
      <w:proofErr w:type="spellStart"/>
      <w:r w:rsidRPr="00085FBD">
        <w:rPr>
          <w:rFonts w:cs="Times New Roman"/>
          <w:szCs w:val="24"/>
        </w:rPr>
        <w:t>Divide</w:t>
      </w:r>
      <w:proofErr w:type="spellEnd"/>
      <w:r w:rsidRPr="00085FBD">
        <w:rPr>
          <w:rFonts w:cs="Times New Roman"/>
          <w:szCs w:val="24"/>
        </w:rPr>
        <w:t xml:space="preserve">? », </w:t>
      </w:r>
      <w:r w:rsidRPr="00085FBD">
        <w:rPr>
          <w:rFonts w:cs="Times New Roman"/>
          <w:i/>
          <w:iCs/>
          <w:szCs w:val="24"/>
        </w:rPr>
        <w:t>in</w:t>
      </w:r>
      <w:r w:rsidRPr="00085FBD">
        <w:rPr>
          <w:rFonts w:cs="Times New Roman"/>
          <w:szCs w:val="24"/>
        </w:rPr>
        <w:t xml:space="preserve"> H. </w:t>
      </w:r>
      <w:r w:rsidRPr="00085FBD">
        <w:rPr>
          <w:rFonts w:cs="Times New Roman"/>
          <w:smallCaps/>
          <w:szCs w:val="24"/>
        </w:rPr>
        <w:t>Collins</w:t>
      </w:r>
      <w:r w:rsidRPr="00085FBD">
        <w:rPr>
          <w:rFonts w:cs="Times New Roman"/>
          <w:szCs w:val="24"/>
        </w:rPr>
        <w:t xml:space="preserve"> et T. </w:t>
      </w:r>
      <w:proofErr w:type="spellStart"/>
      <w:r w:rsidRPr="00085FBD">
        <w:rPr>
          <w:rFonts w:cs="Times New Roman"/>
          <w:smallCaps/>
          <w:szCs w:val="24"/>
        </w:rPr>
        <w:t>Khaitan</w:t>
      </w:r>
      <w:proofErr w:type="spellEnd"/>
      <w:r w:rsidRPr="00085FBD">
        <w:rPr>
          <w:rFonts w:cs="Times New Roman"/>
          <w:szCs w:val="24"/>
        </w:rPr>
        <w:t xml:space="preserve"> (</w:t>
      </w:r>
      <w:proofErr w:type="spellStart"/>
      <w:r w:rsidRPr="00085FBD">
        <w:rPr>
          <w:rFonts w:cs="Times New Roman"/>
          <w:szCs w:val="24"/>
        </w:rPr>
        <w:t>éds</w:t>
      </w:r>
      <w:proofErr w:type="spellEnd"/>
      <w:r w:rsidRPr="00085FBD">
        <w:rPr>
          <w:rFonts w:cs="Times New Roman"/>
          <w:szCs w:val="24"/>
        </w:rPr>
        <w:t xml:space="preserve">.), </w:t>
      </w:r>
      <w:proofErr w:type="spellStart"/>
      <w:r w:rsidRPr="00085FBD">
        <w:rPr>
          <w:rFonts w:cs="Times New Roman"/>
          <w:i/>
          <w:iCs/>
          <w:szCs w:val="24"/>
        </w:rPr>
        <w:t>Foundations</w:t>
      </w:r>
      <w:proofErr w:type="spellEnd"/>
      <w:r w:rsidRPr="00085FBD">
        <w:rPr>
          <w:rFonts w:cs="Times New Roman"/>
          <w:i/>
          <w:iCs/>
          <w:szCs w:val="24"/>
        </w:rPr>
        <w:t xml:space="preserve"> of indirect discrimination </w:t>
      </w:r>
      <w:proofErr w:type="spellStart"/>
      <w:r w:rsidRPr="00085FBD">
        <w:rPr>
          <w:rFonts w:cs="Times New Roman"/>
          <w:i/>
          <w:iCs/>
          <w:szCs w:val="24"/>
        </w:rPr>
        <w:t>law</w:t>
      </w:r>
      <w:proofErr w:type="spellEnd"/>
      <w:r w:rsidRPr="00085FBD">
        <w:rPr>
          <w:rFonts w:cs="Times New Roman"/>
          <w:szCs w:val="24"/>
        </w:rPr>
        <w:t xml:space="preserve">, Oxford ; Portland, Oregon, Hart </w:t>
      </w:r>
      <w:proofErr w:type="spellStart"/>
      <w:r w:rsidRPr="00085FBD">
        <w:rPr>
          <w:rFonts w:cs="Times New Roman"/>
          <w:szCs w:val="24"/>
        </w:rPr>
        <w:t>Publishing</w:t>
      </w:r>
      <w:proofErr w:type="spellEnd"/>
      <w:r w:rsidRPr="00085FBD">
        <w:rPr>
          <w:rFonts w:cs="Times New Roman"/>
          <w:szCs w:val="24"/>
        </w:rPr>
        <w:t xml:space="preserve">, 2018, pp. 31‑55 ; C. </w:t>
      </w:r>
      <w:r w:rsidRPr="00085FBD">
        <w:rPr>
          <w:rFonts w:cs="Times New Roman"/>
          <w:smallCaps/>
          <w:szCs w:val="24"/>
        </w:rPr>
        <w:t>Bayart</w:t>
      </w:r>
      <w:r w:rsidRPr="00085FBD">
        <w:rPr>
          <w:rFonts w:cs="Times New Roman"/>
          <w:szCs w:val="24"/>
        </w:rPr>
        <w:t xml:space="preserve"> et C. </w:t>
      </w:r>
      <w:proofErr w:type="spellStart"/>
      <w:r w:rsidRPr="00085FBD">
        <w:rPr>
          <w:rFonts w:cs="Times New Roman"/>
          <w:smallCaps/>
          <w:szCs w:val="24"/>
        </w:rPr>
        <w:t>Detteren</w:t>
      </w:r>
      <w:proofErr w:type="spellEnd"/>
      <w:r w:rsidRPr="00085FBD">
        <w:rPr>
          <w:rFonts w:cs="Times New Roman"/>
          <w:szCs w:val="24"/>
        </w:rPr>
        <w:t xml:space="preserve">, « Direct en indirect </w:t>
      </w:r>
      <w:proofErr w:type="spellStart"/>
      <w:r w:rsidRPr="00085FBD">
        <w:rPr>
          <w:rFonts w:cs="Times New Roman"/>
          <w:szCs w:val="24"/>
        </w:rPr>
        <w:t>onderscheid</w:t>
      </w:r>
      <w:proofErr w:type="spellEnd"/>
      <w:r w:rsidRPr="00085FBD">
        <w:rPr>
          <w:rFonts w:cs="Times New Roman"/>
          <w:szCs w:val="24"/>
        </w:rPr>
        <w:t xml:space="preserve"> », </w:t>
      </w:r>
      <w:r w:rsidRPr="00085FBD">
        <w:rPr>
          <w:rFonts w:cs="Times New Roman"/>
          <w:i/>
          <w:iCs/>
          <w:szCs w:val="24"/>
        </w:rPr>
        <w:t>in</w:t>
      </w:r>
      <w:r w:rsidRPr="00085FBD">
        <w:rPr>
          <w:rFonts w:cs="Times New Roman"/>
          <w:szCs w:val="24"/>
        </w:rPr>
        <w:t xml:space="preserve"> C. </w:t>
      </w:r>
      <w:r w:rsidRPr="00085FBD">
        <w:rPr>
          <w:rFonts w:cs="Times New Roman"/>
          <w:smallCaps/>
          <w:szCs w:val="24"/>
        </w:rPr>
        <w:t>Bayart</w:t>
      </w:r>
      <w:r w:rsidRPr="00085FBD">
        <w:rPr>
          <w:rFonts w:cs="Times New Roman"/>
          <w:szCs w:val="24"/>
        </w:rPr>
        <w:t xml:space="preserve">, S. </w:t>
      </w:r>
      <w:proofErr w:type="spellStart"/>
      <w:r w:rsidRPr="00085FBD">
        <w:rPr>
          <w:rFonts w:cs="Times New Roman"/>
          <w:smallCaps/>
          <w:szCs w:val="24"/>
        </w:rPr>
        <w:t>Sottiaux</w:t>
      </w:r>
      <w:proofErr w:type="spellEnd"/>
      <w:r w:rsidRPr="00085FBD">
        <w:rPr>
          <w:rFonts w:cs="Times New Roman"/>
          <w:szCs w:val="24"/>
        </w:rPr>
        <w:t xml:space="preserve"> et S. </w:t>
      </w:r>
      <w:r w:rsidRPr="00085FBD">
        <w:rPr>
          <w:rFonts w:cs="Times New Roman"/>
          <w:smallCaps/>
          <w:szCs w:val="24"/>
        </w:rPr>
        <w:t>van</w:t>
      </w:r>
      <w:r w:rsidRPr="00085FBD">
        <w:rPr>
          <w:rFonts w:cs="Times New Roman"/>
          <w:szCs w:val="24"/>
        </w:rPr>
        <w:t> </w:t>
      </w:r>
      <w:proofErr w:type="spellStart"/>
      <w:r w:rsidRPr="00085FBD">
        <w:rPr>
          <w:rFonts w:cs="Times New Roman"/>
          <w:smallCaps/>
          <w:szCs w:val="24"/>
        </w:rPr>
        <w:t>Drooghenbroeck</w:t>
      </w:r>
      <w:proofErr w:type="spellEnd"/>
      <w:r w:rsidRPr="00085FBD">
        <w:rPr>
          <w:rFonts w:cs="Times New Roman"/>
          <w:szCs w:val="24"/>
        </w:rPr>
        <w:t xml:space="preserve"> (</w:t>
      </w:r>
      <w:proofErr w:type="spellStart"/>
      <w:r w:rsidRPr="00085FBD">
        <w:rPr>
          <w:rFonts w:cs="Times New Roman"/>
          <w:szCs w:val="24"/>
        </w:rPr>
        <w:t>éds</w:t>
      </w:r>
      <w:proofErr w:type="spellEnd"/>
      <w:r w:rsidRPr="00085FBD">
        <w:rPr>
          <w:rFonts w:cs="Times New Roman"/>
          <w:szCs w:val="24"/>
        </w:rPr>
        <w:t xml:space="preserve">.), </w:t>
      </w:r>
      <w:r w:rsidRPr="00085FBD">
        <w:rPr>
          <w:rFonts w:cs="Times New Roman"/>
          <w:i/>
          <w:iCs/>
          <w:szCs w:val="24"/>
        </w:rPr>
        <w:t>Les nouvelles lois luttant contre la discrimination</w:t>
      </w:r>
      <w:r w:rsidRPr="00085FBD">
        <w:rPr>
          <w:rFonts w:cs="Times New Roman"/>
          <w:szCs w:val="24"/>
        </w:rPr>
        <w:t>, Bruges, La Charte, 2008, pp. 171‑225.</w:t>
      </w:r>
      <w:r>
        <w:fldChar w:fldCharType="end"/>
      </w:r>
    </w:p>
  </w:footnote>
  <w:footnote w:id="140">
    <w:p w14:paraId="67D55B7F" w14:textId="0DAD7592" w:rsidR="000D6C77" w:rsidRPr="008D517D" w:rsidRDefault="000D6C77" w:rsidP="003E2654">
      <w:pPr>
        <w:pStyle w:val="Notedebasdepage"/>
        <w:rPr>
          <w:rFonts w:cs="Times New Roman"/>
        </w:rPr>
      </w:pPr>
      <w:r w:rsidRPr="00022216">
        <w:rPr>
          <w:rStyle w:val="Appelnotedebasdep"/>
          <w:rFonts w:cs="Times New Roman"/>
        </w:rPr>
        <w:footnoteRef/>
      </w:r>
      <w:r w:rsidRPr="00022216">
        <w:rPr>
          <w:rFonts w:cs="Times New Roman"/>
        </w:rPr>
        <w:t xml:space="preserve"> Ceci s’explique en grande partie par l’absence d’existence propre de l’article 14, dont l’activation n’a lieu qu’en conjonction avec une liberté protégée par la CEDH, en l’occurrence l’article 9.</w:t>
      </w:r>
    </w:p>
  </w:footnote>
  <w:footnote w:id="141">
    <w:p w14:paraId="7F2400A2" w14:textId="26AB859B" w:rsidR="000D6C77" w:rsidRPr="00022216" w:rsidRDefault="000D6C77" w:rsidP="003E2654">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{"citationID":"3p4kFNRl","properties":{"formattedCitation":"J. {\\scaps Mouly}, \\uc0\\u171{}\\uc0\\u160{}L\\uc0\\u8217{}exigence de neutralit\\uc0\\u233{}, entre discrimination directe et indirecte\\uc0\\u160{}\\uc0\\u187{}, {\\i{}op. cit.}, pp. 331\\uc0\\u8209{}332.","plainCitation":"J. Mouly, « L’exigence de neutralité, entre discrimination directe et indirecte », op. cit., pp. 331‑332.","noteIndex":185},"citationItems":[{"id":213,"uris":["http://zotero.org/users/5133869/items/FITF3QRA"],"itemData":{"id":213,"type":"article-journal","container-title":"Droit social","issue":"4","page":"330-336","title":"L'exigence de neutralité, entre discrimination directe et indirecte","author":[{"family":"Mouly","given":"Jean"}],"issued":{"date-parts":[["2018"]]}},"locator":"331-332"}],"schema":"https://github.com/citation-style-language/schema/raw/master/csl-citation.json"} </w:instrText>
      </w:r>
      <w:r w:rsidRPr="00022216">
        <w:rPr>
          <w:rFonts w:cs="Times New Roman"/>
        </w:rPr>
        <w:fldChar w:fldCharType="separate"/>
      </w:r>
      <w:r w:rsidRPr="00022216">
        <w:rPr>
          <w:rFonts w:cs="Times New Roman"/>
        </w:rPr>
        <w:t xml:space="preserve">J. </w:t>
      </w:r>
      <w:proofErr w:type="spellStart"/>
      <w:r w:rsidRPr="00022216">
        <w:rPr>
          <w:rFonts w:cs="Times New Roman"/>
          <w:smallCaps/>
        </w:rPr>
        <w:t>Mouly</w:t>
      </w:r>
      <w:proofErr w:type="spellEnd"/>
      <w:r w:rsidRPr="00022216">
        <w:rPr>
          <w:rFonts w:cs="Times New Roman"/>
        </w:rPr>
        <w:t xml:space="preserve">, « L’exigence de neutralité, entre discrimination directe et indirecte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331‑332.</w:t>
      </w:r>
      <w:r w:rsidRPr="00022216">
        <w:rPr>
          <w:rFonts w:cs="Times New Roman"/>
        </w:rPr>
        <w:fldChar w:fldCharType="end"/>
      </w:r>
    </w:p>
  </w:footnote>
  <w:footnote w:id="142">
    <w:p w14:paraId="23393D77" w14:textId="4D52FDEC" w:rsidR="000D6C77" w:rsidRPr="003E2654" w:rsidRDefault="000D6C77" w:rsidP="003E2654">
      <w:pPr>
        <w:pStyle w:val="Notedebasdepage"/>
        <w:rPr>
          <w:rFonts w:cs="Times New Roman"/>
          <w:lang w:val="en-GB"/>
        </w:rPr>
      </w:pPr>
      <w:r w:rsidRPr="00022216">
        <w:rPr>
          <w:rStyle w:val="Appelnotedebasdep"/>
          <w:rFonts w:cs="Times New Roman"/>
        </w:rPr>
        <w:footnoteRef/>
      </w:r>
      <w:r w:rsidRPr="003E2654">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{"citationID":"9Ajz9rht","properties":{"formattedCitation":"E. {\\scaps Ellis} et P. {\\scaps Watson}, {\\i{}EU anti-discrimination law}, Oxford EU law library, Oxford, United Kingdom, Oxford University Press, 2012, pp. 171\\uc0\\u8209{}174.","plainCitation":"E. Ellis et P. Watson, EU anti-discrimination law, Oxford EU law library, Oxford, United Kingdom, Oxford University Press, 2012, pp. 171‑174.","noteIndex":186},"citationItems":[{"id":613,"uris":["http://zotero.org/users/5133869/items/5HTQX72N"],"itemData":{"id":613,"type":"book","call-number":"KJE5142 .E445 2012","collection-title":"Oxford EU law library","edition":"Second edition","event-place":"Oxford, United Kingdom","ISBN":"978-0-19-969846-2","number-of-pages":"519","publisher":"Oxford University Press","publisher-place":"Oxford, United Kingdom","source":"Library of Congress ISBN","title":"EU anti-discrimination law","author":[{"family":"Ellis","given":"Evelyn"},{"family":"Watson","given":"Philippa"}],"issued":{"date-parts":[["2012"]]}},"locator":"171-174"}],"schema":"https://github.com/citation-style-language/schema/raw/master/csl-citation.json"} </w:instrText>
      </w:r>
      <w:r w:rsidRPr="00022216">
        <w:rPr>
          <w:rFonts w:cs="Times New Roman"/>
        </w:rPr>
        <w:fldChar w:fldCharType="separate"/>
      </w:r>
      <w:r w:rsidRPr="003E2654">
        <w:rPr>
          <w:rFonts w:cs="Times New Roman"/>
          <w:lang w:val="en-GB"/>
        </w:rPr>
        <w:t xml:space="preserve">E. </w:t>
      </w:r>
      <w:r w:rsidRPr="003E2654">
        <w:rPr>
          <w:rFonts w:cs="Times New Roman"/>
          <w:smallCaps/>
          <w:lang w:val="en-GB"/>
        </w:rPr>
        <w:t>Ellis</w:t>
      </w:r>
      <w:r w:rsidRPr="003E2654">
        <w:rPr>
          <w:rFonts w:cs="Times New Roman"/>
          <w:lang w:val="en-GB"/>
        </w:rPr>
        <w:t xml:space="preserve"> et P. </w:t>
      </w:r>
      <w:r w:rsidRPr="003E2654">
        <w:rPr>
          <w:rFonts w:cs="Times New Roman"/>
          <w:smallCaps/>
          <w:lang w:val="en-GB"/>
        </w:rPr>
        <w:t>Watson</w:t>
      </w:r>
      <w:r w:rsidRPr="003E2654">
        <w:rPr>
          <w:rFonts w:cs="Times New Roman"/>
          <w:lang w:val="en-GB"/>
        </w:rPr>
        <w:t xml:space="preserve">, </w:t>
      </w:r>
      <w:r w:rsidRPr="003E2654">
        <w:rPr>
          <w:rFonts w:cs="Times New Roman"/>
          <w:i/>
          <w:iCs/>
          <w:lang w:val="en-GB"/>
        </w:rPr>
        <w:t>EU anti-discrimination law</w:t>
      </w:r>
      <w:r w:rsidRPr="003E2654">
        <w:rPr>
          <w:rFonts w:cs="Times New Roman"/>
          <w:lang w:val="en-GB"/>
        </w:rPr>
        <w:t>, Oxford EU law library, Oxford, United Kingdom, Oxford University Press, 2012, pp. 171‑174.</w:t>
      </w:r>
      <w:r w:rsidRPr="00022216">
        <w:rPr>
          <w:rFonts w:cs="Times New Roman"/>
        </w:rPr>
        <w:fldChar w:fldCharType="end"/>
      </w:r>
    </w:p>
  </w:footnote>
  <w:footnote w:id="143">
    <w:p w14:paraId="019359E7" w14:textId="648B40AF" w:rsidR="000D6C77" w:rsidRPr="008D517D" w:rsidRDefault="000D6C77" w:rsidP="008B26E1">
      <w:pPr>
        <w:pStyle w:val="Notedebasdepage"/>
        <w:rPr>
          <w:rFonts w:cs="Times New Roman"/>
        </w:rPr>
      </w:pPr>
      <w:r w:rsidRPr="00022216">
        <w:rPr>
          <w:rStyle w:val="Appelnotedebasdep"/>
          <w:rFonts w:cs="Times New Roman"/>
        </w:rPr>
        <w:footnoteRef/>
      </w:r>
      <w:r w:rsidRPr="008D517D">
        <w:rPr>
          <w:rFonts w:cs="Times New Roman"/>
        </w:rPr>
        <w:t xml:space="preserve"> Directive 2000/78</w:t>
      </w:r>
      <w:r>
        <w:t>/CE</w:t>
      </w:r>
      <w:r w:rsidRPr="008D517D">
        <w:rPr>
          <w:rFonts w:cs="Times New Roman"/>
        </w:rPr>
        <w:t>, art. 2.2.a.</w:t>
      </w:r>
    </w:p>
  </w:footnote>
  <w:footnote w:id="144">
    <w:p w14:paraId="0CEC9A2F" w14:textId="68B43D66" w:rsidR="000D6C77" w:rsidRPr="008D517D" w:rsidRDefault="000D6C77" w:rsidP="008B26E1">
      <w:pPr>
        <w:pStyle w:val="Notedebasdepage"/>
        <w:rPr>
          <w:rFonts w:cs="Times New Roman"/>
        </w:rPr>
      </w:pPr>
      <w:r w:rsidRPr="00022216">
        <w:rPr>
          <w:rStyle w:val="Appelnotedebasdep"/>
          <w:rFonts w:cs="Times New Roman"/>
        </w:rPr>
        <w:footnoteRef/>
      </w:r>
      <w:r w:rsidRPr="008D517D">
        <w:rPr>
          <w:rFonts w:cs="Times New Roman"/>
        </w:rPr>
        <w:t xml:space="preserve"> Directive 2000/78</w:t>
      </w:r>
      <w:r>
        <w:t>/CE</w:t>
      </w:r>
      <w:r w:rsidRPr="008D517D">
        <w:rPr>
          <w:rFonts w:cs="Times New Roman"/>
        </w:rPr>
        <w:t>, art. 2.2.b.</w:t>
      </w:r>
    </w:p>
  </w:footnote>
  <w:footnote w:id="145">
    <w:p w14:paraId="6BE3B771" w14:textId="77777777" w:rsidR="000D6C77" w:rsidRPr="00022216" w:rsidRDefault="000D6C77" w:rsidP="008B26E1">
      <w:pPr>
        <w:pStyle w:val="Notedebasdepage"/>
        <w:rPr>
          <w:rFonts w:cs="Times New Roman"/>
        </w:rPr>
      </w:pPr>
      <w:r w:rsidRPr="00022216">
        <w:rPr>
          <w:rStyle w:val="Appelnotedebasdep"/>
          <w:rFonts w:cs="Times New Roman"/>
        </w:rPr>
        <w:footnoteRef/>
      </w:r>
      <w:r w:rsidRPr="00022216">
        <w:rPr>
          <w:rFonts w:cs="Times New Roman"/>
        </w:rPr>
        <w:t xml:space="preserve"> Précisons que la loi belge de lutte contre les discriminations de 2007 parle quant à elle de « distinction » qui, lorsqu’elle n’est pas dûment justifiée, constitue une discrimination (loi du 10 mai 2007 tendant à lutter contre certaines formes de discrimination, </w:t>
      </w:r>
      <w:r w:rsidRPr="00022216">
        <w:rPr>
          <w:rFonts w:cs="Times New Roman"/>
          <w:i/>
          <w:iCs/>
        </w:rPr>
        <w:t>M.B.</w:t>
      </w:r>
      <w:r w:rsidRPr="00022216">
        <w:rPr>
          <w:rFonts w:cs="Times New Roman"/>
        </w:rPr>
        <w:t>, 30 mai 2007, art. 4, al. 6 à 9).</w:t>
      </w:r>
    </w:p>
  </w:footnote>
  <w:footnote w:id="146">
    <w:p w14:paraId="1A016280" w14:textId="528420E7" w:rsidR="000D6C77" w:rsidRPr="00022216" w:rsidRDefault="000D6C77" w:rsidP="008B26E1">
      <w:pPr>
        <w:pStyle w:val="Notedebasdepage"/>
        <w:rPr>
          <w:rFonts w:cs="Times New Roman"/>
        </w:rPr>
      </w:pPr>
      <w:r w:rsidRPr="00022216">
        <w:rPr>
          <w:rStyle w:val="Appelnotedebasdep"/>
          <w:rFonts w:cs="Times New Roman"/>
        </w:rPr>
        <w:footnoteRef/>
      </w:r>
      <w:r w:rsidRPr="00022216">
        <w:rPr>
          <w:rFonts w:cs="Times New Roman"/>
        </w:rPr>
        <w:t xml:space="preserve"> Notons d’ailleurs que, dans </w:t>
      </w:r>
      <w:r>
        <w:rPr>
          <w:rFonts w:cs="Times New Roman"/>
        </w:rPr>
        <w:t>les arrêts</w:t>
      </w:r>
      <w:r w:rsidRPr="00022216">
        <w:rPr>
          <w:rFonts w:cs="Times New Roman"/>
        </w:rPr>
        <w:t xml:space="preserve"> </w:t>
      </w:r>
      <w:proofErr w:type="spellStart"/>
      <w:r w:rsidRPr="00022216">
        <w:rPr>
          <w:rFonts w:cs="Times New Roman"/>
          <w:i/>
          <w:iCs/>
        </w:rPr>
        <w:t>Achbita</w:t>
      </w:r>
      <w:proofErr w:type="spellEnd"/>
      <w:r w:rsidRPr="00022216">
        <w:rPr>
          <w:rFonts w:cs="Times New Roman"/>
        </w:rPr>
        <w:t xml:space="preserve">, </w:t>
      </w:r>
      <w:r>
        <w:rPr>
          <w:rFonts w:cs="Times New Roman"/>
          <w:i/>
          <w:iCs/>
        </w:rPr>
        <w:t>WABE-</w:t>
      </w:r>
      <w:r w:rsidRPr="00293B92">
        <w:rPr>
          <w:rFonts w:cs="Times New Roman"/>
          <w:i/>
          <w:iCs/>
        </w:rPr>
        <w:t>Müller</w:t>
      </w:r>
      <w:r>
        <w:rPr>
          <w:rFonts w:cs="Times New Roman"/>
        </w:rPr>
        <w:t xml:space="preserve"> et </w:t>
      </w:r>
      <w:r>
        <w:rPr>
          <w:rFonts w:cs="Times New Roman"/>
          <w:i/>
          <w:iCs/>
        </w:rPr>
        <w:t xml:space="preserve">LF c. </w:t>
      </w:r>
      <w:r w:rsidRPr="00293B92">
        <w:rPr>
          <w:rFonts w:cs="Times New Roman"/>
          <w:i/>
          <w:iCs/>
        </w:rPr>
        <w:t>SCRL</w:t>
      </w:r>
      <w:r>
        <w:rPr>
          <w:rFonts w:cs="Times New Roman"/>
        </w:rPr>
        <w:t xml:space="preserve">, </w:t>
      </w:r>
      <w:r w:rsidRPr="00293B92">
        <w:rPr>
          <w:rFonts w:cs="Times New Roman"/>
        </w:rPr>
        <w:t>la</w:t>
      </w:r>
      <w:r w:rsidRPr="00022216">
        <w:rPr>
          <w:rFonts w:cs="Times New Roman"/>
        </w:rPr>
        <w:t xml:space="preserve"> CJUE reformule sensiblement ce critère, en parlant non pas de mesure </w:t>
      </w:r>
      <w:r w:rsidRPr="00022216">
        <w:rPr>
          <w:rFonts w:cs="Times New Roman"/>
          <w:i/>
          <w:iCs/>
        </w:rPr>
        <w:t>susceptible</w:t>
      </w:r>
      <w:r w:rsidRPr="00022216">
        <w:rPr>
          <w:rFonts w:cs="Times New Roman"/>
        </w:rPr>
        <w:t xml:space="preserve"> d’entraîner un désavantage particulier, mais bien d’une mesure qui « aboutit, </w:t>
      </w:r>
      <w:r w:rsidRPr="00022216">
        <w:rPr>
          <w:rFonts w:cs="Times New Roman"/>
          <w:i/>
          <w:iCs/>
        </w:rPr>
        <w:t>en fait</w:t>
      </w:r>
      <w:r w:rsidRPr="00022216">
        <w:rPr>
          <w:rFonts w:cs="Times New Roman"/>
        </w:rPr>
        <w:t>, à un désavantage particulier » (</w:t>
      </w:r>
      <w:proofErr w:type="spellStart"/>
      <w:r w:rsidRPr="00022216">
        <w:rPr>
          <w:rFonts w:cs="Times New Roman"/>
          <w:i/>
          <w:iCs/>
        </w:rPr>
        <w:t>Achbita</w:t>
      </w:r>
      <w:proofErr w:type="spellEnd"/>
      <w:r w:rsidRPr="00022216">
        <w:rPr>
          <w:rFonts w:cs="Times New Roman"/>
        </w:rPr>
        <w:t xml:space="preserve">, para. 34, nous soulignons). D. </w:t>
      </w:r>
      <w:r w:rsidRPr="00022216">
        <w:rPr>
          <w:rFonts w:cs="Times New Roman"/>
          <w:smallCaps/>
        </w:rPr>
        <w:t>Martin</w:t>
      </w:r>
      <w:r w:rsidRPr="00022216">
        <w:rPr>
          <w:rFonts w:cs="Times New Roman"/>
        </w:rPr>
        <w:t xml:space="preserve"> considère à cet égard avec pertinence qu’une telle différence « n’est à l’évidence pas anodine, en particulier en termes de rapport de la preuve d’une discrimination » </w:t>
      </w:r>
      <w:r w:rsidRPr="00022216">
        <w:rPr>
          <w:rFonts w:cs="Times New Roman"/>
        </w:rPr>
        <w:fldChar w:fldCharType="begin"/>
      </w:r>
      <w:r>
        <w:rPr>
          <w:rFonts w:cs="Times New Roman"/>
        </w:rPr>
        <w:instrText xml:space="preserve"> ADDIN ZOTERO_ITEM CSL_CITATION {"citationID":"M2Sa8jJh","properties":{"formattedCitation":"(\\uc0\\u171{}\\uc0\\u160{}Cachez ce voile que je ne saurais voir\\uc0\\u8239{}! L\\uc0\\u8217{}interdiction de discrimination fond\\uc0\\u233{}e sur la religion vue par la CJUE\\uc0\\u160{}\\uc0\\u187{}, {\\i{}Droit social}, 2018, n\\uc0\\u176{} 4, p. 318).","plainCitation":"(« Cachez ce voile que je ne saurais voir ! L’interdiction de discrimination fondée sur la religion vue par la CJUE », Droit social, 2018, n° 4, p. 318).","noteIndex":191},"citationItems":[{"id":215,"uris":["http://zotero.org/users/5133869/items/UVHIJSB5"],"itemData":{"id":215,"type":"article-journal","container-title":"Droit social","issue":"4","page":"314-322","title":"Cachez ce voile que je ne saurais voir ! L'interdiction de discrimination fondée sur la religion vue par la CJUE","author":[{"family":"Martin","given":"Denis"}],"issued":{"date-parts":[["2018"]]}},"locator":"318","suppress-author":true,"prefix":"(","suffix":")"}],"schema":"https://github.com/citation-style-language/schema/raw/master/csl-citation.json"} </w:instrText>
      </w:r>
      <w:r w:rsidRPr="00022216">
        <w:rPr>
          <w:rFonts w:cs="Times New Roman"/>
        </w:rPr>
        <w:fldChar w:fldCharType="separate"/>
      </w:r>
      <w:r w:rsidRPr="006A1BA6">
        <w:rPr>
          <w:rFonts w:cs="Times New Roman"/>
          <w:szCs w:val="24"/>
        </w:rPr>
        <w:t xml:space="preserve">(« Cachez ce voile que je ne saurais voir ! L’interdiction de discrimination fondée sur la religion vue par la CJUE », </w:t>
      </w:r>
      <w:r w:rsidRPr="006A1BA6">
        <w:rPr>
          <w:rFonts w:cs="Times New Roman"/>
          <w:i/>
          <w:iCs/>
          <w:szCs w:val="24"/>
        </w:rPr>
        <w:t>Droit social</w:t>
      </w:r>
      <w:r w:rsidRPr="006A1BA6">
        <w:rPr>
          <w:rFonts w:cs="Times New Roman"/>
          <w:szCs w:val="24"/>
        </w:rPr>
        <w:t>, 2018, n° 4, p. 318).</w:t>
      </w:r>
      <w:r w:rsidRPr="00022216">
        <w:rPr>
          <w:rFonts w:cs="Times New Roman"/>
        </w:rPr>
        <w:fldChar w:fldCharType="end"/>
      </w:r>
      <w:r w:rsidRPr="00022216">
        <w:rPr>
          <w:rFonts w:cs="Times New Roman"/>
        </w:rPr>
        <w:t xml:space="preserve"> </w:t>
      </w:r>
    </w:p>
  </w:footnote>
  <w:footnote w:id="147">
    <w:p w14:paraId="74D2EB53" w14:textId="3FF34145" w:rsidR="000D6C77" w:rsidRDefault="000D6C77">
      <w:pPr>
        <w:pStyle w:val="Notedebasdepage"/>
      </w:pPr>
      <w:r>
        <w:rPr>
          <w:rStyle w:val="Appelnotedebasdep"/>
        </w:rPr>
        <w:footnoteRef/>
      </w:r>
      <w:r>
        <w:t xml:space="preserve"> </w:t>
      </w:r>
      <w:r w:rsidRPr="00D42268">
        <w:t>Il convient à cet égard de rappeler la différence fondamentale entre, d’une part, le renvoi au vocable de neutralité par l’auteur de la mesure lui-même, et, d’autre part, le caractère effectivement neutre de la mesure en question, y compris du point de vue de son application concrète. En d’autres termes, le fait qu’un employeur accole le qualificatif « neutre » au règlement qu’il adopte ne signifie pas automatiquement que ce règlement soit effectivement considéré comme « apparemment neutre » au sens de la Directive.</w:t>
      </w:r>
    </w:p>
  </w:footnote>
  <w:footnote w:id="148">
    <w:p w14:paraId="2841FB9D" w14:textId="305D8756" w:rsidR="000D6C77" w:rsidRPr="008D517D" w:rsidRDefault="000D6C77">
      <w:pPr>
        <w:pStyle w:val="Notedebasdepage"/>
        <w:rPr>
          <w:rFonts w:cs="Times New Roman"/>
        </w:rPr>
      </w:pPr>
      <w:r w:rsidRPr="005A10C3">
        <w:rPr>
          <w:rStyle w:val="Appelnotedebasdep"/>
        </w:rPr>
        <w:footnoteRef/>
      </w:r>
      <w:r w:rsidRPr="005A10C3">
        <w:t xml:space="preserve"> </w:t>
      </w:r>
      <w:r w:rsidRPr="005A10C3">
        <w:rPr>
          <w:rFonts w:cs="Times New Roman"/>
        </w:rPr>
        <w:fldChar w:fldCharType="begin"/>
      </w:r>
      <w:r>
        <w:rPr>
          <w:rFonts w:cs="Times New Roman"/>
        </w:rPr>
        <w:instrText xml:space="preserve"> ADDIN ZOTERO_ITEM CSL_CITATION {"citationID":"3pHlaO7z","properties":{"formattedCitation":"F. {\\scaps Dorssemont}, \\uc0\\u171{}\\uc0\\u160{}Vrijheid van religie op de werkplaats en het Hof van Justitie: Terug naar cuius regio, illius religio?\\uc0\\u160{}\\uc0\\u187{}, {\\i{}op. cit.}, pp. 86\\uc0\\u8209{}87\\uc0\\u160{}; K. {\\scaps Alidadi}, \\uc0\\u171{}\\uc0\\u160{}Geloof en levensbeschouwing op de Europese en Belgische arbeidsmarkt: juridisch kader en recente ontwikkelingen\\uc0\\u160{}\\uc0\\u187{}, {\\i{}Tijdschrift voor mensenrechten}, 2015, n\\uc0\\u176{} 4, pp. 7\\uc0\\u8209{}11\\uc0\\u160{}; C. {\\scaps Wolmark}, \\uc0\\u171{}\\uc0\\u160{}La neutralit\\uc0\\u233{} du salari\\uc0\\u233{}\\uc0\\u160{}\\uc0\\u187{}, {\\i{}op. cit.}, p. 732\\uc0\\u160{}; E. {\\scaps Cloots}, \\uc0\\u171{}\\uc0\\u160{}Het Hof van Justitie en de hoofddoek op het werk: Achbita en Bougnaoui\\uc0\\u160{}\\uc0\\u187{}, {\\i{}TORB}, 2018 2017, n\\uc0\\u176{} 3, p. 156.","plainCitation":"F. Dorssemont, « Vrijheid van religie op de werkplaats en het Hof van Justitie: Terug naar cuius regio, illius religio? », op. cit., pp. 86‑87 ; K. Alidadi, « Geloof en levensbeschouwing op de Europese en Belgische arbeidsmarkt: juridisch kader en recente ontwikkelingen », Tijdschrift voor mensenrechten, 2015, n° 4, pp. 7‑11 ; C. Wolmark, « La neutralité du salarié », op. cit., p. 732 ; E. Cloots, « Het Hof van Justitie en de hoofddoek op het werk: Achbita en Bougnaoui », TORB, 2018 2017, n° 3, p. 156.","noteIndex":193},"citationItems":[{"id":224,"uris":["http://zotero.org/users/5133869/items/4555LCMF"],"itemData":{"id":224,"type":"article-journal","container-title":"Recht, religie en samenleving","issue":"2","page":"65-105","title":"Vrijheid van religie op de werkplaats en het Hof van Justitie: Terug naar cuius regio, illius religio?","author":[{"family":"Dorssemont","given":"Filip"}],"issued":{"date-parts":[["2016"]]}},"locator":"86-87"},{"id":1326,"uris":["http://zotero.org/users/5133869/items/N9QE77EC"],"itemData":{"id":1326,"type":"article-journal","container-title":"Tijdschrift voor mensenrechten","issue":"4","page":"7-11","title":"Geloof en levensbeschouwing op de Europese en Belgische arbeidsmarkt: juridisch kader en recente ontwikkelingen","author":[{"family":"Alidadi","given":"Katayoun"}],"issued":{"date-parts":[["2015"]]}},"locator":"7-11"},{"id":99,"uris":["http://zotero.org/users/5133869/items/6C7TXAS6"],"itemData":{"id":99,"type":"article-journal","container-title":"Revue de Droit du Travail","page":"726-734","title":"La neutralité du salarié","author":[{"family":"Wolmark","given":"Cyril"}],"issued":{"date-parts":[["2018"]]}},"locator":"732"},{"id":230,"uris":["http://zotero.org/users/5133869/items/4Y99L7P6"],"itemData":{"id":230,"type":"article-journal","container-title":"TORB","issue":"3","page":"148-161","title":"Het Hof van Justitie en de hoofddoek op het werk: Achbita en Bougnaoui","author":[{"family":"Cloots","given":"Elke"}],"issued":{"date-parts":[["2017"]],"season":"2018"}},"locator":"156","label":"page"}],"schema":"https://github.com/citation-style-language/schema/raw/master/csl-citation.json"} </w:instrText>
      </w:r>
      <w:r w:rsidRPr="005A10C3">
        <w:rPr>
          <w:rFonts w:cs="Times New Roman"/>
        </w:rPr>
        <w:fldChar w:fldCharType="separate"/>
      </w:r>
      <w:r w:rsidRPr="00781475">
        <w:rPr>
          <w:rFonts w:cs="Times New Roman"/>
          <w:szCs w:val="24"/>
        </w:rPr>
        <w:t xml:space="preserve">F. </w:t>
      </w:r>
      <w:r w:rsidRPr="00781475">
        <w:rPr>
          <w:rFonts w:cs="Times New Roman"/>
          <w:smallCaps/>
          <w:szCs w:val="24"/>
        </w:rPr>
        <w:t>Dorssemont</w:t>
      </w:r>
      <w:r w:rsidRPr="00781475">
        <w:rPr>
          <w:rFonts w:cs="Times New Roman"/>
          <w:szCs w:val="24"/>
        </w:rPr>
        <w:t>, « </w:t>
      </w:r>
      <w:proofErr w:type="spellStart"/>
      <w:r w:rsidRPr="00781475">
        <w:rPr>
          <w:rFonts w:cs="Times New Roman"/>
          <w:szCs w:val="24"/>
        </w:rPr>
        <w:t>Vrijheid</w:t>
      </w:r>
      <w:proofErr w:type="spellEnd"/>
      <w:r w:rsidRPr="00781475">
        <w:rPr>
          <w:rFonts w:cs="Times New Roman"/>
          <w:szCs w:val="24"/>
        </w:rPr>
        <w:t xml:space="preserve"> van </w:t>
      </w:r>
      <w:proofErr w:type="spellStart"/>
      <w:r w:rsidRPr="00781475">
        <w:rPr>
          <w:rFonts w:cs="Times New Roman"/>
          <w:szCs w:val="24"/>
        </w:rPr>
        <w:t>religie</w:t>
      </w:r>
      <w:proofErr w:type="spellEnd"/>
      <w:r w:rsidRPr="00781475">
        <w:rPr>
          <w:rFonts w:cs="Times New Roman"/>
          <w:szCs w:val="24"/>
        </w:rPr>
        <w:t xml:space="preserve"> op de </w:t>
      </w:r>
      <w:proofErr w:type="spellStart"/>
      <w:r w:rsidRPr="00781475">
        <w:rPr>
          <w:rFonts w:cs="Times New Roman"/>
          <w:szCs w:val="24"/>
        </w:rPr>
        <w:t>werkplaats</w:t>
      </w:r>
      <w:proofErr w:type="spellEnd"/>
      <w:r w:rsidRPr="00781475">
        <w:rPr>
          <w:rFonts w:cs="Times New Roman"/>
          <w:szCs w:val="24"/>
        </w:rPr>
        <w:t xml:space="preserve"> en het Hof van </w:t>
      </w:r>
      <w:proofErr w:type="spellStart"/>
      <w:r w:rsidRPr="00781475">
        <w:rPr>
          <w:rFonts w:cs="Times New Roman"/>
          <w:szCs w:val="24"/>
        </w:rPr>
        <w:t>Justitie</w:t>
      </w:r>
      <w:proofErr w:type="spellEnd"/>
      <w:r w:rsidRPr="00781475">
        <w:rPr>
          <w:rFonts w:cs="Times New Roman"/>
          <w:szCs w:val="24"/>
        </w:rPr>
        <w:t xml:space="preserve">: </w:t>
      </w:r>
      <w:proofErr w:type="spellStart"/>
      <w:r w:rsidRPr="00781475">
        <w:rPr>
          <w:rFonts w:cs="Times New Roman"/>
          <w:szCs w:val="24"/>
        </w:rPr>
        <w:t>Terug</w:t>
      </w:r>
      <w:proofErr w:type="spellEnd"/>
      <w:r w:rsidRPr="00781475">
        <w:rPr>
          <w:rFonts w:cs="Times New Roman"/>
          <w:szCs w:val="24"/>
        </w:rPr>
        <w:t xml:space="preserve"> </w:t>
      </w:r>
      <w:proofErr w:type="spellStart"/>
      <w:r w:rsidRPr="00781475">
        <w:rPr>
          <w:rFonts w:cs="Times New Roman"/>
          <w:szCs w:val="24"/>
        </w:rPr>
        <w:t>naar</w:t>
      </w:r>
      <w:proofErr w:type="spellEnd"/>
      <w:r w:rsidRPr="00781475">
        <w:rPr>
          <w:rFonts w:cs="Times New Roman"/>
          <w:szCs w:val="24"/>
        </w:rPr>
        <w:t xml:space="preserve"> </w:t>
      </w:r>
      <w:proofErr w:type="spellStart"/>
      <w:r w:rsidRPr="00781475">
        <w:rPr>
          <w:rFonts w:cs="Times New Roman"/>
          <w:szCs w:val="24"/>
        </w:rPr>
        <w:t>cuius</w:t>
      </w:r>
      <w:proofErr w:type="spellEnd"/>
      <w:r w:rsidRPr="00781475">
        <w:rPr>
          <w:rFonts w:cs="Times New Roman"/>
          <w:szCs w:val="24"/>
        </w:rPr>
        <w:t xml:space="preserve"> </w:t>
      </w:r>
      <w:proofErr w:type="spellStart"/>
      <w:r w:rsidRPr="00781475">
        <w:rPr>
          <w:rFonts w:cs="Times New Roman"/>
          <w:szCs w:val="24"/>
        </w:rPr>
        <w:t>regio</w:t>
      </w:r>
      <w:proofErr w:type="spellEnd"/>
      <w:r w:rsidRPr="00781475">
        <w:rPr>
          <w:rFonts w:cs="Times New Roman"/>
          <w:szCs w:val="24"/>
        </w:rPr>
        <w:t xml:space="preserve">, </w:t>
      </w:r>
      <w:proofErr w:type="spellStart"/>
      <w:r w:rsidRPr="00781475">
        <w:rPr>
          <w:rFonts w:cs="Times New Roman"/>
          <w:szCs w:val="24"/>
        </w:rPr>
        <w:t>illius</w:t>
      </w:r>
      <w:proofErr w:type="spellEnd"/>
      <w:r w:rsidRPr="00781475">
        <w:rPr>
          <w:rFonts w:cs="Times New Roman"/>
          <w:szCs w:val="24"/>
        </w:rPr>
        <w:t xml:space="preserve"> </w:t>
      </w:r>
      <w:proofErr w:type="spellStart"/>
      <w:r w:rsidRPr="00781475">
        <w:rPr>
          <w:rFonts w:cs="Times New Roman"/>
          <w:szCs w:val="24"/>
        </w:rPr>
        <w:t>religio</w:t>
      </w:r>
      <w:proofErr w:type="spellEnd"/>
      <w:r w:rsidRPr="00781475">
        <w:rPr>
          <w:rFonts w:cs="Times New Roman"/>
          <w:szCs w:val="24"/>
        </w:rPr>
        <w:t xml:space="preserve">? », </w:t>
      </w:r>
      <w:r w:rsidRPr="00781475">
        <w:rPr>
          <w:rFonts w:cs="Times New Roman"/>
          <w:i/>
          <w:iCs/>
          <w:szCs w:val="24"/>
        </w:rPr>
        <w:t xml:space="preserve">op. </w:t>
      </w:r>
      <w:proofErr w:type="spellStart"/>
      <w:r w:rsidRPr="00781475">
        <w:rPr>
          <w:rFonts w:cs="Times New Roman"/>
          <w:i/>
          <w:iCs/>
          <w:szCs w:val="24"/>
        </w:rPr>
        <w:t>cit</w:t>
      </w:r>
      <w:proofErr w:type="spellEnd"/>
      <w:r w:rsidRPr="00781475">
        <w:rPr>
          <w:rFonts w:cs="Times New Roman"/>
          <w:i/>
          <w:iCs/>
          <w:szCs w:val="24"/>
        </w:rPr>
        <w:t>.</w:t>
      </w:r>
      <w:r w:rsidRPr="00781475">
        <w:rPr>
          <w:rFonts w:cs="Times New Roman"/>
          <w:szCs w:val="24"/>
        </w:rPr>
        <w:t xml:space="preserve">, pp. 86‑87 ; K. </w:t>
      </w:r>
      <w:proofErr w:type="spellStart"/>
      <w:r w:rsidRPr="00781475">
        <w:rPr>
          <w:rFonts w:cs="Times New Roman"/>
          <w:smallCaps/>
          <w:szCs w:val="24"/>
        </w:rPr>
        <w:t>Alidadi</w:t>
      </w:r>
      <w:proofErr w:type="spellEnd"/>
      <w:r w:rsidRPr="00781475">
        <w:rPr>
          <w:rFonts w:cs="Times New Roman"/>
          <w:szCs w:val="24"/>
        </w:rPr>
        <w:t>, « </w:t>
      </w:r>
      <w:proofErr w:type="spellStart"/>
      <w:r w:rsidRPr="00781475">
        <w:rPr>
          <w:rFonts w:cs="Times New Roman"/>
          <w:szCs w:val="24"/>
        </w:rPr>
        <w:t>Geloof</w:t>
      </w:r>
      <w:proofErr w:type="spellEnd"/>
      <w:r w:rsidRPr="00781475">
        <w:rPr>
          <w:rFonts w:cs="Times New Roman"/>
          <w:szCs w:val="24"/>
        </w:rPr>
        <w:t xml:space="preserve"> en </w:t>
      </w:r>
      <w:proofErr w:type="spellStart"/>
      <w:r w:rsidRPr="00781475">
        <w:rPr>
          <w:rFonts w:cs="Times New Roman"/>
          <w:szCs w:val="24"/>
        </w:rPr>
        <w:t>levensbeschouwing</w:t>
      </w:r>
      <w:proofErr w:type="spellEnd"/>
      <w:r w:rsidRPr="00781475">
        <w:rPr>
          <w:rFonts w:cs="Times New Roman"/>
          <w:szCs w:val="24"/>
        </w:rPr>
        <w:t xml:space="preserve"> op de </w:t>
      </w:r>
      <w:proofErr w:type="spellStart"/>
      <w:r w:rsidRPr="00781475">
        <w:rPr>
          <w:rFonts w:cs="Times New Roman"/>
          <w:szCs w:val="24"/>
        </w:rPr>
        <w:t>Europese</w:t>
      </w:r>
      <w:proofErr w:type="spellEnd"/>
      <w:r w:rsidRPr="00781475">
        <w:rPr>
          <w:rFonts w:cs="Times New Roman"/>
          <w:szCs w:val="24"/>
        </w:rPr>
        <w:t xml:space="preserve"> en </w:t>
      </w:r>
      <w:proofErr w:type="spellStart"/>
      <w:r w:rsidRPr="00781475">
        <w:rPr>
          <w:rFonts w:cs="Times New Roman"/>
          <w:szCs w:val="24"/>
        </w:rPr>
        <w:t>Belgische</w:t>
      </w:r>
      <w:proofErr w:type="spellEnd"/>
      <w:r w:rsidRPr="00781475">
        <w:rPr>
          <w:rFonts w:cs="Times New Roman"/>
          <w:szCs w:val="24"/>
        </w:rPr>
        <w:t xml:space="preserve"> </w:t>
      </w:r>
      <w:proofErr w:type="spellStart"/>
      <w:r w:rsidRPr="00781475">
        <w:rPr>
          <w:rFonts w:cs="Times New Roman"/>
          <w:szCs w:val="24"/>
        </w:rPr>
        <w:t>arbeidsmarkt</w:t>
      </w:r>
      <w:proofErr w:type="spellEnd"/>
      <w:r w:rsidRPr="00781475">
        <w:rPr>
          <w:rFonts w:cs="Times New Roman"/>
          <w:szCs w:val="24"/>
        </w:rPr>
        <w:t xml:space="preserve">: </w:t>
      </w:r>
      <w:proofErr w:type="spellStart"/>
      <w:r w:rsidRPr="00781475">
        <w:rPr>
          <w:rFonts w:cs="Times New Roman"/>
          <w:szCs w:val="24"/>
        </w:rPr>
        <w:t>juridisch</w:t>
      </w:r>
      <w:proofErr w:type="spellEnd"/>
      <w:r w:rsidRPr="00781475">
        <w:rPr>
          <w:rFonts w:cs="Times New Roman"/>
          <w:szCs w:val="24"/>
        </w:rPr>
        <w:t xml:space="preserve"> </w:t>
      </w:r>
      <w:proofErr w:type="spellStart"/>
      <w:r w:rsidRPr="00781475">
        <w:rPr>
          <w:rFonts w:cs="Times New Roman"/>
          <w:szCs w:val="24"/>
        </w:rPr>
        <w:t>kader</w:t>
      </w:r>
      <w:proofErr w:type="spellEnd"/>
      <w:r w:rsidRPr="00781475">
        <w:rPr>
          <w:rFonts w:cs="Times New Roman"/>
          <w:szCs w:val="24"/>
        </w:rPr>
        <w:t xml:space="preserve"> en </w:t>
      </w:r>
      <w:proofErr w:type="spellStart"/>
      <w:r w:rsidRPr="00781475">
        <w:rPr>
          <w:rFonts w:cs="Times New Roman"/>
          <w:szCs w:val="24"/>
        </w:rPr>
        <w:t>recente</w:t>
      </w:r>
      <w:proofErr w:type="spellEnd"/>
      <w:r w:rsidRPr="00781475">
        <w:rPr>
          <w:rFonts w:cs="Times New Roman"/>
          <w:szCs w:val="24"/>
        </w:rPr>
        <w:t xml:space="preserve"> </w:t>
      </w:r>
      <w:proofErr w:type="spellStart"/>
      <w:r w:rsidRPr="00781475">
        <w:rPr>
          <w:rFonts w:cs="Times New Roman"/>
          <w:szCs w:val="24"/>
        </w:rPr>
        <w:t>ontwikkelingen</w:t>
      </w:r>
      <w:proofErr w:type="spellEnd"/>
      <w:r w:rsidRPr="00781475">
        <w:rPr>
          <w:rFonts w:cs="Times New Roman"/>
          <w:szCs w:val="24"/>
        </w:rPr>
        <w:t xml:space="preserve"> », </w:t>
      </w:r>
      <w:proofErr w:type="spellStart"/>
      <w:r w:rsidRPr="00781475">
        <w:rPr>
          <w:rFonts w:cs="Times New Roman"/>
          <w:i/>
          <w:iCs/>
          <w:szCs w:val="24"/>
        </w:rPr>
        <w:t>Tijdschrift</w:t>
      </w:r>
      <w:proofErr w:type="spellEnd"/>
      <w:r w:rsidRPr="00781475">
        <w:rPr>
          <w:rFonts w:cs="Times New Roman"/>
          <w:i/>
          <w:iCs/>
          <w:szCs w:val="24"/>
        </w:rPr>
        <w:t xml:space="preserve"> </w:t>
      </w:r>
      <w:proofErr w:type="spellStart"/>
      <w:r w:rsidRPr="00781475">
        <w:rPr>
          <w:rFonts w:cs="Times New Roman"/>
          <w:i/>
          <w:iCs/>
          <w:szCs w:val="24"/>
        </w:rPr>
        <w:t>voor</w:t>
      </w:r>
      <w:proofErr w:type="spellEnd"/>
      <w:r w:rsidRPr="00781475">
        <w:rPr>
          <w:rFonts w:cs="Times New Roman"/>
          <w:i/>
          <w:iCs/>
          <w:szCs w:val="24"/>
        </w:rPr>
        <w:t xml:space="preserve"> </w:t>
      </w:r>
      <w:proofErr w:type="spellStart"/>
      <w:r w:rsidRPr="00781475">
        <w:rPr>
          <w:rFonts w:cs="Times New Roman"/>
          <w:i/>
          <w:iCs/>
          <w:szCs w:val="24"/>
        </w:rPr>
        <w:t>mensenrechten</w:t>
      </w:r>
      <w:proofErr w:type="spellEnd"/>
      <w:r w:rsidRPr="00781475">
        <w:rPr>
          <w:rFonts w:cs="Times New Roman"/>
          <w:szCs w:val="24"/>
        </w:rPr>
        <w:t xml:space="preserve">, 2015, n° 4, pp. 7‑11 ; C. </w:t>
      </w:r>
      <w:r w:rsidRPr="00781475">
        <w:rPr>
          <w:rFonts w:cs="Times New Roman"/>
          <w:smallCaps/>
          <w:szCs w:val="24"/>
        </w:rPr>
        <w:t>Wolmark</w:t>
      </w:r>
      <w:r w:rsidRPr="00781475">
        <w:rPr>
          <w:rFonts w:cs="Times New Roman"/>
          <w:szCs w:val="24"/>
        </w:rPr>
        <w:t xml:space="preserve">, « La neutralité du salarié », </w:t>
      </w:r>
      <w:r w:rsidRPr="00781475">
        <w:rPr>
          <w:rFonts w:cs="Times New Roman"/>
          <w:i/>
          <w:iCs/>
          <w:szCs w:val="24"/>
        </w:rPr>
        <w:t xml:space="preserve">op. </w:t>
      </w:r>
      <w:proofErr w:type="spellStart"/>
      <w:r w:rsidRPr="00781475">
        <w:rPr>
          <w:rFonts w:cs="Times New Roman"/>
          <w:i/>
          <w:iCs/>
          <w:szCs w:val="24"/>
        </w:rPr>
        <w:t>cit</w:t>
      </w:r>
      <w:proofErr w:type="spellEnd"/>
      <w:r w:rsidRPr="00781475">
        <w:rPr>
          <w:rFonts w:cs="Times New Roman"/>
          <w:i/>
          <w:iCs/>
          <w:szCs w:val="24"/>
        </w:rPr>
        <w:t>.</w:t>
      </w:r>
      <w:r w:rsidRPr="00781475">
        <w:rPr>
          <w:rFonts w:cs="Times New Roman"/>
          <w:szCs w:val="24"/>
        </w:rPr>
        <w:t xml:space="preserve">, p. 732 ; E. </w:t>
      </w:r>
      <w:r w:rsidRPr="00781475">
        <w:rPr>
          <w:rFonts w:cs="Times New Roman"/>
          <w:smallCaps/>
          <w:szCs w:val="24"/>
        </w:rPr>
        <w:t>Cloots</w:t>
      </w:r>
      <w:r w:rsidRPr="00781475">
        <w:rPr>
          <w:rFonts w:cs="Times New Roman"/>
          <w:szCs w:val="24"/>
        </w:rPr>
        <w:t xml:space="preserve">, « Het Hof van </w:t>
      </w:r>
      <w:proofErr w:type="spellStart"/>
      <w:r w:rsidRPr="00781475">
        <w:rPr>
          <w:rFonts w:cs="Times New Roman"/>
          <w:szCs w:val="24"/>
        </w:rPr>
        <w:t>Justitie</w:t>
      </w:r>
      <w:proofErr w:type="spellEnd"/>
      <w:r w:rsidRPr="00781475">
        <w:rPr>
          <w:rFonts w:cs="Times New Roman"/>
          <w:szCs w:val="24"/>
        </w:rPr>
        <w:t xml:space="preserve"> en de </w:t>
      </w:r>
      <w:proofErr w:type="spellStart"/>
      <w:r w:rsidRPr="00781475">
        <w:rPr>
          <w:rFonts w:cs="Times New Roman"/>
          <w:szCs w:val="24"/>
        </w:rPr>
        <w:t>hoofddoek</w:t>
      </w:r>
      <w:proofErr w:type="spellEnd"/>
      <w:r w:rsidRPr="00781475">
        <w:rPr>
          <w:rFonts w:cs="Times New Roman"/>
          <w:szCs w:val="24"/>
        </w:rPr>
        <w:t xml:space="preserve"> op het </w:t>
      </w:r>
      <w:proofErr w:type="spellStart"/>
      <w:r w:rsidRPr="00781475">
        <w:rPr>
          <w:rFonts w:cs="Times New Roman"/>
          <w:szCs w:val="24"/>
        </w:rPr>
        <w:t>werk</w:t>
      </w:r>
      <w:proofErr w:type="spellEnd"/>
      <w:r w:rsidRPr="00781475">
        <w:rPr>
          <w:rFonts w:cs="Times New Roman"/>
          <w:szCs w:val="24"/>
        </w:rPr>
        <w:t xml:space="preserve">: </w:t>
      </w:r>
      <w:proofErr w:type="spellStart"/>
      <w:r w:rsidRPr="00781475">
        <w:rPr>
          <w:rFonts w:cs="Times New Roman"/>
          <w:szCs w:val="24"/>
        </w:rPr>
        <w:t>Achbita</w:t>
      </w:r>
      <w:proofErr w:type="spellEnd"/>
      <w:r w:rsidRPr="00781475">
        <w:rPr>
          <w:rFonts w:cs="Times New Roman"/>
          <w:szCs w:val="24"/>
        </w:rPr>
        <w:t xml:space="preserve"> en Bougnaoui », </w:t>
      </w:r>
      <w:r w:rsidRPr="00781475">
        <w:rPr>
          <w:rFonts w:cs="Times New Roman"/>
          <w:i/>
          <w:iCs/>
          <w:szCs w:val="24"/>
        </w:rPr>
        <w:t>TORB</w:t>
      </w:r>
      <w:r w:rsidRPr="00781475">
        <w:rPr>
          <w:rFonts w:cs="Times New Roman"/>
          <w:szCs w:val="24"/>
        </w:rPr>
        <w:t>, 2018 2017, n° 3, p. 156.</w:t>
      </w:r>
      <w:r w:rsidRPr="005A10C3">
        <w:rPr>
          <w:rFonts w:cs="Times New Roman"/>
        </w:rPr>
        <w:fldChar w:fldCharType="end"/>
      </w:r>
    </w:p>
  </w:footnote>
  <w:footnote w:id="149">
    <w:p w14:paraId="5B1D2C7F" w14:textId="33AB23D3" w:rsidR="000D6C77" w:rsidRPr="00E74ED6" w:rsidRDefault="000D6C77" w:rsidP="008B26E1">
      <w:pPr>
        <w:pStyle w:val="Notedebasdepage"/>
        <w:rPr>
          <w:rFonts w:cs="Times New Roman"/>
        </w:rPr>
      </w:pPr>
      <w:r w:rsidRPr="00022216">
        <w:rPr>
          <w:rStyle w:val="Appelnotedebasdep"/>
          <w:rFonts w:cs="Times New Roman"/>
        </w:rPr>
        <w:footnoteRef/>
      </w:r>
      <w:r w:rsidRPr="00E74ED6">
        <w:rPr>
          <w:rFonts w:cs="Times New Roman"/>
        </w:rPr>
        <w:t xml:space="preserve"> </w:t>
      </w:r>
      <w:proofErr w:type="spellStart"/>
      <w:r>
        <w:rPr>
          <w:rFonts w:cs="Times New Roman"/>
        </w:rPr>
        <w:t>Voy</w:t>
      </w:r>
      <w:proofErr w:type="spellEnd"/>
      <w:r>
        <w:rPr>
          <w:rFonts w:cs="Times New Roman"/>
        </w:rPr>
        <w:t xml:space="preserve">. en particulier </w:t>
      </w:r>
      <w:r w:rsidRPr="00022216">
        <w:rPr>
          <w:rFonts w:cs="Times New Roman"/>
        </w:rPr>
        <w:fldChar w:fldCharType="begin"/>
      </w:r>
      <w:r>
        <w:rPr>
          <w:rFonts w:cs="Times New Roman"/>
        </w:rPr>
        <w:instrText xml:space="preserve"> ADDIN ZOTERO_ITEM CSL_CITATION {"citationID":"4E64p0gf","properties":{"formattedCitation":"L. {\\scaps Vickers}, {\\i{}Religion and belief discrimination in employment: the EU law}, Commission europ\\uc0\\u233{}enne, Direction g\\uc0\\u233{}n\\uc0\\u233{}rale de l\\uc0\\u8217{}emploi, des affaires sociales et de l\\uc0\\u8217{}\\uc0\\u233{}galit\\uc0\\u233{} des chances, novembre 2006, p. 43.","plainCitation":"L. Vickers, Religion and belief discrimination in employment: the EU law, Commission européenne, Direction générale de l’emploi, des affaires sociales et de l’égalité des chances, novembre 2006, p. 43.","noteIndex":194},"citationItems":[{"id":603,"uris":["http://zotero.org/users/5133869/items/TK39YVD8"],"itemData":{"id":603,"type":"book","collection-title":"Commission européenne, Direction générale de l'emploi, des affaires sociales et de l'égalité des chances","language":"eng","note":"OCLC: 845774399","source":"Gemeinsamer Bibliotheksverbund ISBN","title":"Religion and belief discrimination in employment: the EU law","title-short":"Religion and belief discrimination in employment","author":[{"family":"Vickers","given":"Lucy"}],"issued":{"date-parts":[["2006",11]]}},"locator":"43"}],"schema":"https://github.com/citation-style-language/schema/raw/master/csl-citation.json"} </w:instrText>
      </w:r>
      <w:r w:rsidRPr="00022216">
        <w:rPr>
          <w:rFonts w:cs="Times New Roman"/>
        </w:rPr>
        <w:fldChar w:fldCharType="separate"/>
      </w:r>
      <w:r w:rsidRPr="00E74ED6">
        <w:rPr>
          <w:rFonts w:cs="Times New Roman"/>
          <w:szCs w:val="24"/>
        </w:rPr>
        <w:t xml:space="preserve">L. </w:t>
      </w:r>
      <w:r w:rsidRPr="00E74ED6">
        <w:rPr>
          <w:rFonts w:cs="Times New Roman"/>
          <w:smallCaps/>
          <w:szCs w:val="24"/>
        </w:rPr>
        <w:t>Vickers</w:t>
      </w:r>
      <w:r w:rsidRPr="00E74ED6">
        <w:rPr>
          <w:rFonts w:cs="Times New Roman"/>
          <w:szCs w:val="24"/>
        </w:rPr>
        <w:t xml:space="preserve">, </w:t>
      </w:r>
      <w:r w:rsidRPr="00E74ED6">
        <w:rPr>
          <w:rFonts w:cs="Times New Roman"/>
          <w:i/>
          <w:iCs/>
          <w:szCs w:val="24"/>
        </w:rPr>
        <w:t xml:space="preserve">Religion and </w:t>
      </w:r>
      <w:proofErr w:type="spellStart"/>
      <w:r w:rsidRPr="00E74ED6">
        <w:rPr>
          <w:rFonts w:cs="Times New Roman"/>
          <w:i/>
          <w:iCs/>
          <w:szCs w:val="24"/>
        </w:rPr>
        <w:t>belief</w:t>
      </w:r>
      <w:proofErr w:type="spellEnd"/>
      <w:r w:rsidRPr="00E74ED6">
        <w:rPr>
          <w:rFonts w:cs="Times New Roman"/>
          <w:i/>
          <w:iCs/>
          <w:szCs w:val="24"/>
        </w:rPr>
        <w:t xml:space="preserve"> discrimination in </w:t>
      </w:r>
      <w:proofErr w:type="spellStart"/>
      <w:r w:rsidRPr="00E74ED6">
        <w:rPr>
          <w:rFonts w:cs="Times New Roman"/>
          <w:i/>
          <w:iCs/>
          <w:szCs w:val="24"/>
        </w:rPr>
        <w:t>employment</w:t>
      </w:r>
      <w:proofErr w:type="spellEnd"/>
      <w:r w:rsidRPr="00E74ED6">
        <w:rPr>
          <w:rFonts w:cs="Times New Roman"/>
          <w:i/>
          <w:iCs/>
          <w:szCs w:val="24"/>
        </w:rPr>
        <w:t xml:space="preserve">: the EU </w:t>
      </w:r>
      <w:proofErr w:type="spellStart"/>
      <w:r w:rsidRPr="00E74ED6">
        <w:rPr>
          <w:rFonts w:cs="Times New Roman"/>
          <w:i/>
          <w:iCs/>
          <w:szCs w:val="24"/>
        </w:rPr>
        <w:t>law</w:t>
      </w:r>
      <w:proofErr w:type="spellEnd"/>
      <w:r w:rsidRPr="00E74ED6">
        <w:rPr>
          <w:rFonts w:cs="Times New Roman"/>
          <w:szCs w:val="24"/>
        </w:rPr>
        <w:t>, Commission européenne, Direction générale de l’emploi, des affaires sociales et de l’égalité des chances, novembre 2006, p. 43.</w:t>
      </w:r>
      <w:r w:rsidRPr="00022216">
        <w:rPr>
          <w:rFonts w:cs="Times New Roman"/>
        </w:rPr>
        <w:fldChar w:fldCharType="end"/>
      </w:r>
    </w:p>
  </w:footnote>
  <w:footnote w:id="150">
    <w:p w14:paraId="4B3ABE4B" w14:textId="6B9DDDC0" w:rsidR="000D6C77" w:rsidRPr="008D517D" w:rsidRDefault="000D6C77" w:rsidP="008B26E1">
      <w:pPr>
        <w:pStyle w:val="Notedebasdepage"/>
        <w:rPr>
          <w:rFonts w:cs="Times New Roman"/>
          <w:lang w:val="en-GB"/>
        </w:rPr>
      </w:pPr>
      <w:r w:rsidRPr="00022216">
        <w:rPr>
          <w:rStyle w:val="Appelnotedebasdep"/>
          <w:rFonts w:cs="Times New Roman"/>
        </w:rPr>
        <w:footnoteRef/>
      </w:r>
      <w:r w:rsidRPr="0031477A">
        <w:rPr>
          <w:rFonts w:cs="Times New Roman"/>
        </w:rPr>
        <w:t xml:space="preserve"> </w:t>
      </w:r>
      <w:r>
        <w:rPr>
          <w:rFonts w:cs="Times New Roman"/>
        </w:rPr>
        <w:t xml:space="preserve">CJUE, </w:t>
      </w:r>
      <w:proofErr w:type="spellStart"/>
      <w:r w:rsidRPr="0031477A">
        <w:rPr>
          <w:rFonts w:cs="Times New Roman"/>
          <w:i/>
          <w:iCs/>
        </w:rPr>
        <w:t>Achbita</w:t>
      </w:r>
      <w:proofErr w:type="spellEnd"/>
      <w:r w:rsidRPr="0031477A">
        <w:rPr>
          <w:rFonts w:cs="Times New Roman"/>
        </w:rPr>
        <w:t>, para. 30.</w:t>
      </w:r>
      <w:r>
        <w:rPr>
          <w:rFonts w:cs="Times New Roman"/>
        </w:rPr>
        <w:t xml:space="preserve"> </w:t>
      </w:r>
      <w:r w:rsidRPr="00EC728C">
        <w:rPr>
          <w:rFonts w:cs="Times New Roman"/>
        </w:rPr>
        <w:t xml:space="preserve">La position de la CJUE est reprise par la Cour du travail de Gand, à travers l’arrêt de renvoi rendu dans l’affaire </w:t>
      </w:r>
      <w:proofErr w:type="spellStart"/>
      <w:r w:rsidRPr="00EC728C">
        <w:rPr>
          <w:rFonts w:cs="Times New Roman"/>
          <w:i/>
          <w:iCs/>
        </w:rPr>
        <w:t>Achbita</w:t>
      </w:r>
      <w:proofErr w:type="spellEnd"/>
      <w:r w:rsidRPr="00EC728C">
        <w:rPr>
          <w:rFonts w:cs="Times New Roman"/>
        </w:rPr>
        <w:t xml:space="preserve"> : selon la Cour, il n’existe pas de discrimination indirecte </w:t>
      </w:r>
      <w:r w:rsidRPr="00EC728C">
        <w:rPr>
          <w:rFonts w:cs="Times New Roman"/>
          <w:i/>
          <w:iCs/>
        </w:rPr>
        <w:t xml:space="preserve">in </w:t>
      </w:r>
      <w:proofErr w:type="spellStart"/>
      <w:r w:rsidRPr="00EC728C">
        <w:rPr>
          <w:rFonts w:cs="Times New Roman"/>
          <w:i/>
          <w:iCs/>
        </w:rPr>
        <w:t>casu</w:t>
      </w:r>
      <w:proofErr w:type="spellEnd"/>
      <w:r w:rsidRPr="00EC728C">
        <w:rPr>
          <w:rFonts w:cs="Times New Roman"/>
        </w:rPr>
        <w:t>, dès lors que la catégorie des personnes jugeant « obligatoire » ou « important » d’extérioriser leurs croyances religieuses ne constitue pas un groupe protégé au sens de la Directive 2000/78</w:t>
      </w:r>
      <w:r>
        <w:rPr>
          <w:rFonts w:cs="Times New Roman"/>
        </w:rPr>
        <w:t xml:space="preserve"> (</w:t>
      </w:r>
      <w:r w:rsidRPr="00EC728C">
        <w:rPr>
          <w:rFonts w:cs="Times New Roman"/>
        </w:rPr>
        <w:t xml:space="preserve">12 octobre 2020, </w:t>
      </w:r>
      <w:r w:rsidRPr="00EC728C">
        <w:rPr>
          <w:rFonts w:cs="Times New Roman"/>
          <w:i/>
          <w:iCs/>
        </w:rPr>
        <w:t>J.T.T.</w:t>
      </w:r>
      <w:r w:rsidRPr="00EC728C">
        <w:rPr>
          <w:rFonts w:cs="Times New Roman"/>
        </w:rPr>
        <w:t xml:space="preserve">, 2021, pp. 154-167, obs. E. </w:t>
      </w:r>
      <w:proofErr w:type="spellStart"/>
      <w:r w:rsidRPr="008D517D">
        <w:rPr>
          <w:rFonts w:cs="Times New Roman"/>
          <w:smallCaps/>
        </w:rPr>
        <w:t>Bribosia</w:t>
      </w:r>
      <w:proofErr w:type="spellEnd"/>
      <w:r w:rsidRPr="00EC728C">
        <w:rPr>
          <w:rFonts w:cs="Times New Roman"/>
        </w:rPr>
        <w:t xml:space="preserve">, R. </w:t>
      </w:r>
      <w:proofErr w:type="spellStart"/>
      <w:r w:rsidRPr="008D517D">
        <w:rPr>
          <w:rFonts w:cs="Times New Roman"/>
          <w:smallCaps/>
        </w:rPr>
        <w:t>Medard</w:t>
      </w:r>
      <w:proofErr w:type="spellEnd"/>
      <w:r w:rsidRPr="00EC728C">
        <w:rPr>
          <w:rFonts w:cs="Times New Roman"/>
        </w:rPr>
        <w:t xml:space="preserve"> </w:t>
      </w:r>
      <w:proofErr w:type="spellStart"/>
      <w:r w:rsidRPr="008D517D">
        <w:rPr>
          <w:rFonts w:cs="Times New Roman"/>
          <w:smallCaps/>
        </w:rPr>
        <w:t>Inghilterra</w:t>
      </w:r>
      <w:proofErr w:type="spellEnd"/>
      <w:r w:rsidRPr="00EC728C">
        <w:rPr>
          <w:rFonts w:cs="Times New Roman"/>
        </w:rPr>
        <w:t xml:space="preserve"> et I. </w:t>
      </w:r>
      <w:proofErr w:type="spellStart"/>
      <w:r w:rsidRPr="008D517D">
        <w:rPr>
          <w:rFonts w:cs="Times New Roman"/>
          <w:smallCaps/>
        </w:rPr>
        <w:t>Rorive</w:t>
      </w:r>
      <w:proofErr w:type="spellEnd"/>
      <w:r w:rsidRPr="008D517D">
        <w:rPr>
          <w:rFonts w:cs="Times New Roman"/>
        </w:rPr>
        <w:t>).</w:t>
      </w:r>
      <w:r w:rsidRPr="00EC728C">
        <w:rPr>
          <w:rFonts w:cs="Times New Roman"/>
          <w:i/>
          <w:iCs/>
        </w:rPr>
        <w:t xml:space="preserve"> </w:t>
      </w:r>
      <w:r w:rsidRPr="00EC728C">
        <w:rPr>
          <w:rFonts w:cs="Times New Roman"/>
        </w:rPr>
        <w:t xml:space="preserve">En ce sens, </w:t>
      </w:r>
      <w:proofErr w:type="spellStart"/>
      <w:r w:rsidRPr="00EC728C">
        <w:rPr>
          <w:rFonts w:cs="Times New Roman"/>
        </w:rPr>
        <w:t>voy</w:t>
      </w:r>
      <w:proofErr w:type="spellEnd"/>
      <w:r w:rsidRPr="00EC728C">
        <w:rPr>
          <w:rFonts w:cs="Times New Roman"/>
        </w:rPr>
        <w:t xml:space="preserve">. aussi CJUE, </w:t>
      </w:r>
      <w:proofErr w:type="spellStart"/>
      <w:r w:rsidRPr="00EC728C">
        <w:rPr>
          <w:rFonts w:cs="Times New Roman"/>
          <w:i/>
        </w:rPr>
        <w:t>Achbita</w:t>
      </w:r>
      <w:proofErr w:type="spellEnd"/>
      <w:r w:rsidRPr="00EC728C">
        <w:rPr>
          <w:rFonts w:cs="Times New Roman"/>
        </w:rPr>
        <w:t xml:space="preserve">, conclusions av. </w:t>
      </w:r>
      <w:proofErr w:type="spellStart"/>
      <w:r w:rsidRPr="00EC728C">
        <w:rPr>
          <w:rFonts w:cs="Times New Roman"/>
        </w:rPr>
        <w:t>gén</w:t>
      </w:r>
      <w:proofErr w:type="spellEnd"/>
      <w:r w:rsidRPr="00EC728C">
        <w:rPr>
          <w:rFonts w:cs="Times New Roman"/>
        </w:rPr>
        <w:t xml:space="preserve">. </w:t>
      </w:r>
      <w:proofErr w:type="spellStart"/>
      <w:r w:rsidRPr="008D517D">
        <w:rPr>
          <w:rFonts w:cs="Times New Roman"/>
          <w:lang w:val="en-GB"/>
        </w:rPr>
        <w:t>Kokott</w:t>
      </w:r>
      <w:proofErr w:type="spellEnd"/>
      <w:r w:rsidRPr="008D517D">
        <w:rPr>
          <w:rFonts w:cs="Times New Roman"/>
          <w:lang w:val="en-GB"/>
        </w:rPr>
        <w:t>, para. 53</w:t>
      </w:r>
    </w:p>
  </w:footnote>
  <w:footnote w:id="151">
    <w:p w14:paraId="27A326AE" w14:textId="77777777" w:rsidR="000D6C77" w:rsidRPr="008D517D" w:rsidRDefault="000D6C77" w:rsidP="008B26E1">
      <w:pPr>
        <w:pStyle w:val="Notedebasdepage"/>
        <w:rPr>
          <w:rFonts w:cs="Times New Roman"/>
          <w:lang w:val="en-GB"/>
        </w:rPr>
      </w:pPr>
      <w:r w:rsidRPr="00022216">
        <w:rPr>
          <w:rStyle w:val="Appelnotedebasdep"/>
          <w:rFonts w:cs="Times New Roman"/>
        </w:rPr>
        <w:footnoteRef/>
      </w:r>
      <w:r w:rsidRPr="008D517D">
        <w:rPr>
          <w:rFonts w:cs="Times New Roman"/>
          <w:lang w:val="en-GB"/>
        </w:rPr>
        <w:t xml:space="preserve"> </w:t>
      </w:r>
      <w:r w:rsidRPr="008D517D">
        <w:rPr>
          <w:rFonts w:cs="Times New Roman"/>
          <w:i/>
          <w:iCs/>
          <w:lang w:val="en-GB"/>
        </w:rPr>
        <w:t>Ibid.</w:t>
      </w:r>
      <w:r w:rsidRPr="008D517D">
        <w:rPr>
          <w:rFonts w:cs="Times New Roman"/>
          <w:lang w:val="en-GB"/>
        </w:rPr>
        <w:t>, para. 31.</w:t>
      </w:r>
    </w:p>
  </w:footnote>
  <w:footnote w:id="152">
    <w:p w14:paraId="390F961C" w14:textId="31EF26F8" w:rsidR="000D6C77" w:rsidRPr="005942BE" w:rsidRDefault="000D6C77" w:rsidP="008B26E1">
      <w:pPr>
        <w:pStyle w:val="Notedebasdepage"/>
      </w:pPr>
      <w:r>
        <w:rPr>
          <w:rStyle w:val="Appelnotedebasdep"/>
        </w:rPr>
        <w:footnoteRef/>
      </w:r>
      <w:r w:rsidRPr="008D517D">
        <w:rPr>
          <w:lang w:val="en-GB"/>
        </w:rPr>
        <w:t xml:space="preserve"> CJUE, </w:t>
      </w:r>
      <w:r w:rsidRPr="008D517D">
        <w:rPr>
          <w:i/>
          <w:lang w:val="en-GB"/>
        </w:rPr>
        <w:t>WABE-Müller</w:t>
      </w:r>
      <w:r w:rsidRPr="008D517D">
        <w:rPr>
          <w:lang w:val="en-GB"/>
        </w:rPr>
        <w:t>, para. 52-</w:t>
      </w:r>
      <w:proofErr w:type="gramStart"/>
      <w:r w:rsidRPr="008D517D">
        <w:rPr>
          <w:lang w:val="en-GB"/>
        </w:rPr>
        <w:t>53 ;</w:t>
      </w:r>
      <w:proofErr w:type="gramEnd"/>
      <w:r w:rsidRPr="008D517D">
        <w:rPr>
          <w:lang w:val="en-GB"/>
        </w:rPr>
        <w:t xml:space="preserve"> </w:t>
      </w:r>
      <w:r w:rsidRPr="008D517D">
        <w:rPr>
          <w:i/>
          <w:iCs/>
          <w:lang w:val="en-GB"/>
        </w:rPr>
        <w:t>LF c. SCRL</w:t>
      </w:r>
      <w:r w:rsidRPr="008D517D">
        <w:rPr>
          <w:lang w:val="en-GB"/>
        </w:rPr>
        <w:t xml:space="preserve">, para. </w:t>
      </w:r>
      <w:r>
        <w:t>33.</w:t>
      </w:r>
    </w:p>
  </w:footnote>
  <w:footnote w:id="153">
    <w:p w14:paraId="201E44AC" w14:textId="2530674F" w:rsidR="000D6C77" w:rsidRDefault="000D6C77">
      <w:pPr>
        <w:pStyle w:val="Notedebasdepage"/>
      </w:pPr>
      <w:r>
        <w:rPr>
          <w:rStyle w:val="Appelnotedebasdep"/>
        </w:rPr>
        <w:footnoteRef/>
      </w:r>
      <w:r>
        <w:t xml:space="preserve"> </w:t>
      </w:r>
      <w:r w:rsidRPr="0063660B">
        <w:t xml:space="preserve">CJUE, </w:t>
      </w:r>
      <w:r w:rsidRPr="0063660B">
        <w:rPr>
          <w:i/>
        </w:rPr>
        <w:t>WABE-Müller</w:t>
      </w:r>
      <w:r w:rsidRPr="0063660B">
        <w:t xml:space="preserve">, para. </w:t>
      </w:r>
      <w:r>
        <w:t>78.</w:t>
      </w:r>
    </w:p>
  </w:footnote>
  <w:footnote w:id="154">
    <w:p w14:paraId="00A79D5F" w14:textId="3EB6C4E5" w:rsidR="000D6C77" w:rsidRPr="008D517D" w:rsidRDefault="000D6C77" w:rsidP="004F0465">
      <w:pPr>
        <w:pStyle w:val="Notedebasdepage"/>
        <w:rPr>
          <w:rFonts w:cs="Times New Roman"/>
          <w:lang w:val="en-GB"/>
        </w:rPr>
      </w:pPr>
      <w:r w:rsidRPr="00022216">
        <w:rPr>
          <w:rStyle w:val="Appelnotedebasdep"/>
          <w:rFonts w:cs="Times New Roman"/>
        </w:rPr>
        <w:footnoteRef/>
      </w:r>
      <w:r w:rsidRPr="00022216">
        <w:rPr>
          <w:rFonts w:cs="Times New Roman"/>
        </w:rPr>
        <w:t xml:space="preserve"> </w:t>
      </w:r>
      <w:r w:rsidRPr="001804E5">
        <w:rPr>
          <w:rFonts w:cs="Times New Roman"/>
        </w:rPr>
        <w:t xml:space="preserve">CJUE, </w:t>
      </w:r>
      <w:r w:rsidRPr="00022216">
        <w:rPr>
          <w:rFonts w:cs="Times New Roman"/>
          <w:i/>
        </w:rPr>
        <w:t>Bougnaoui</w:t>
      </w:r>
      <w:r w:rsidRPr="00022216">
        <w:rPr>
          <w:rFonts w:cs="Times New Roman"/>
        </w:rPr>
        <w:t xml:space="preserve">, conclusions </w:t>
      </w:r>
      <w:r>
        <w:rPr>
          <w:rFonts w:cs="Times New Roman"/>
        </w:rPr>
        <w:t>a</w:t>
      </w:r>
      <w:r w:rsidRPr="00022216">
        <w:rPr>
          <w:rFonts w:cs="Times New Roman"/>
        </w:rPr>
        <w:t xml:space="preserve">v. </w:t>
      </w:r>
      <w:proofErr w:type="spellStart"/>
      <w:r w:rsidRPr="00022216">
        <w:rPr>
          <w:rFonts w:cs="Times New Roman"/>
        </w:rPr>
        <w:t>gén</w:t>
      </w:r>
      <w:proofErr w:type="spellEnd"/>
      <w:r w:rsidRPr="00022216">
        <w:rPr>
          <w:rFonts w:cs="Times New Roman"/>
        </w:rPr>
        <w:t xml:space="preserve">. </w:t>
      </w:r>
      <w:proofErr w:type="spellStart"/>
      <w:r w:rsidRPr="00022216">
        <w:rPr>
          <w:rFonts w:cs="Times New Roman"/>
        </w:rPr>
        <w:t>Sharpston</w:t>
      </w:r>
      <w:proofErr w:type="spellEnd"/>
      <w:r w:rsidRPr="00022216">
        <w:rPr>
          <w:rFonts w:cs="Times New Roman"/>
        </w:rPr>
        <w:t xml:space="preserve">, para. 108. En ce sens,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{"citationID":"iS3Lbw3g","properties":{"formattedCitation":"F. {\\scaps Dorssemont}, \\uc0\\u171{}\\uc0\\u160{}Vrijheid van ondernemen botst op godsdienstvrijheid\\uc0\\u160{}\\uc0\\u187{}, {\\i{}De Juristenkrant}, septembre 2016, n\\uc0\\u176{} 334, p. 16\\uc0\\u160{}; E. {\\scaps Brems} et J. {\\scaps Vrielink}, \\uc0\\u171{}\\uc0\\u160{}Floors or Ceilings: European Supranational Courts and Their Authority in Human Rights Matters\\uc0\\u160{}\\uc0\\u187{}, {\\i{}in} K. {\\scaps Lemmens}, S. {\\scaps Parmentier} et L. {\\scaps Reyntjens} (\\uc0\\u233{}ds.), {\\i{}Human rights with a human touch.: Liber amicorum Paul Lemmens}, Mortsel, Intersentia, 2019, pp. 292\\uc0\\u8209{}293.","plainCitation":"F. Dorssemont, « Vrijheid van ondernemen botst op godsdienstvrijheid », De Juristenkrant, septembre 2016, n° 334, p. 16 ; E. Brems et J. Vrielink, « Floors or Ceilings: European Supranational Courts and Their Authority in Human Rights Matters », in K. Lemmens, S. Parmentier et L. Reyntjens (éds.), Human rights with a human touch.: Liber amicorum Paul Lemmens, Mortsel, Intersentia, 2019, pp. 292‑293.","noteIndex":199},"citationItems":[{"id":199,"uris":["http://zotero.org/users/5133869/items/9PDNA9MZ"],"itemData":{"id":199,"type":"article-journal","container-title":"De Juristenkrant","issue":"334","page":"16","title</w:instrText>
      </w:r>
      <w:r w:rsidRPr="00DB5012">
        <w:rPr>
          <w:rFonts w:cs="Times New Roman"/>
          <w:lang w:val="en-US"/>
        </w:rPr>
        <w:instrText xml:space="preserve">":"Vrijheid van ondernemen botst op godsdienstvrijheid","author":[{"family":"Dorssemont","given":"Filip"}],"issued":{"date-parts":[["2016",9,28]]}}},{"id":2613,"uris":["http://zotero.org/users/5133869/items/QFFWB8RX"],"itemData":{"id":2613,"type":"chapter","abstract":"With this tribute book we have tried to avoid the classic pitfalls. The work in your hands contains contributions that are focused on human rights, in all their diversity, but with a strong emphasis on the European Convention on Human Rights. The contributions were also subjected to a stringent peer review, so that this book could just as well be a classically edited academic work. It therefore meets, we hope, the highest academic standards, as Paul Lemmens has always embodied them","container-title":"Human rights with a human touch.: Liber amicorum Paul Lemmens","event-place":"Mortsel","ISBN":"978-1-78068-874-9","language":"English","note":"OCLC: 1135471111","page":"271-302","publisher":"Intersentia","publisher-place":"Mortsel","source":"Open WorldCat","title":"Floors or Ceilings: European Supranational Courts and Their Authority in Human Rights Matters","editor":[{"family":"Lemmens","given":"Koen"},{"family":"Parmentier","given":"Stephan"},{"family":"Reyntjens","given":"Louise"}],"author":[{"family":"Brems","given":"Eva"},{"family":"Vrielink","given":"Jogchum"}],"issued":{"date-parts":[["2019"]]}},"locator":"292-293"}],"schema":"https://github.com/citation-style-language/schema/raw/master/csl-citation.json"} </w:instrText>
      </w:r>
      <w:r w:rsidRPr="00022216">
        <w:rPr>
          <w:rFonts w:cs="Times New Roman"/>
        </w:rPr>
        <w:fldChar w:fldCharType="separate"/>
      </w:r>
      <w:r w:rsidRPr="008D517D">
        <w:rPr>
          <w:rFonts w:cs="Times New Roman"/>
          <w:szCs w:val="24"/>
          <w:lang w:val="en-GB"/>
        </w:rPr>
        <w:t xml:space="preserve">F. </w:t>
      </w:r>
      <w:r w:rsidRPr="008D517D">
        <w:rPr>
          <w:rFonts w:cs="Times New Roman"/>
          <w:smallCaps/>
          <w:szCs w:val="24"/>
          <w:lang w:val="en-GB"/>
        </w:rPr>
        <w:t>Dorssemont</w:t>
      </w:r>
      <w:r w:rsidRPr="008D517D">
        <w:rPr>
          <w:rFonts w:cs="Times New Roman"/>
          <w:szCs w:val="24"/>
          <w:lang w:val="en-GB"/>
        </w:rPr>
        <w:t>, « </w:t>
      </w:r>
      <w:proofErr w:type="spellStart"/>
      <w:r w:rsidRPr="008D517D">
        <w:rPr>
          <w:rFonts w:cs="Times New Roman"/>
          <w:szCs w:val="24"/>
          <w:lang w:val="en-GB"/>
        </w:rPr>
        <w:t>Vrijheid</w:t>
      </w:r>
      <w:proofErr w:type="spellEnd"/>
      <w:r w:rsidRPr="008D517D">
        <w:rPr>
          <w:rFonts w:cs="Times New Roman"/>
          <w:szCs w:val="24"/>
          <w:lang w:val="en-GB"/>
        </w:rPr>
        <w:t xml:space="preserve"> van </w:t>
      </w:r>
      <w:proofErr w:type="spellStart"/>
      <w:r w:rsidRPr="008D517D">
        <w:rPr>
          <w:rFonts w:cs="Times New Roman"/>
          <w:szCs w:val="24"/>
          <w:lang w:val="en-GB"/>
        </w:rPr>
        <w:t>ondernemen</w:t>
      </w:r>
      <w:proofErr w:type="spellEnd"/>
      <w:r w:rsidRPr="008D517D">
        <w:rPr>
          <w:rFonts w:cs="Times New Roman"/>
          <w:szCs w:val="24"/>
          <w:lang w:val="en-GB"/>
        </w:rPr>
        <w:t xml:space="preserve"> </w:t>
      </w:r>
      <w:proofErr w:type="spellStart"/>
      <w:r w:rsidRPr="008D517D">
        <w:rPr>
          <w:rFonts w:cs="Times New Roman"/>
          <w:szCs w:val="24"/>
          <w:lang w:val="en-GB"/>
        </w:rPr>
        <w:t>botst</w:t>
      </w:r>
      <w:proofErr w:type="spellEnd"/>
      <w:r w:rsidRPr="008D517D">
        <w:rPr>
          <w:rFonts w:cs="Times New Roman"/>
          <w:szCs w:val="24"/>
          <w:lang w:val="en-GB"/>
        </w:rPr>
        <w:t xml:space="preserve"> op </w:t>
      </w:r>
      <w:proofErr w:type="spellStart"/>
      <w:r w:rsidRPr="008D517D">
        <w:rPr>
          <w:rFonts w:cs="Times New Roman"/>
          <w:szCs w:val="24"/>
          <w:lang w:val="en-GB"/>
        </w:rPr>
        <w:t>godsdienstvrijheid</w:t>
      </w:r>
      <w:proofErr w:type="spellEnd"/>
      <w:r w:rsidRPr="008D517D">
        <w:rPr>
          <w:rFonts w:cs="Times New Roman"/>
          <w:szCs w:val="24"/>
          <w:lang w:val="en-GB"/>
        </w:rPr>
        <w:t xml:space="preserve"> », </w:t>
      </w:r>
      <w:r w:rsidRPr="008D517D">
        <w:rPr>
          <w:rFonts w:cs="Times New Roman"/>
          <w:i/>
          <w:iCs/>
          <w:szCs w:val="24"/>
          <w:lang w:val="en-GB"/>
        </w:rPr>
        <w:t xml:space="preserve">De </w:t>
      </w:r>
      <w:proofErr w:type="spellStart"/>
      <w:r w:rsidRPr="008D517D">
        <w:rPr>
          <w:rFonts w:cs="Times New Roman"/>
          <w:i/>
          <w:iCs/>
          <w:szCs w:val="24"/>
          <w:lang w:val="en-GB"/>
        </w:rPr>
        <w:t>Juristenkrant</w:t>
      </w:r>
      <w:proofErr w:type="spellEnd"/>
      <w:r w:rsidRPr="008D517D">
        <w:rPr>
          <w:rFonts w:cs="Times New Roman"/>
          <w:szCs w:val="24"/>
          <w:lang w:val="en-GB"/>
        </w:rPr>
        <w:t xml:space="preserve">, </w:t>
      </w:r>
      <w:proofErr w:type="spellStart"/>
      <w:r w:rsidRPr="008D517D">
        <w:rPr>
          <w:rFonts w:cs="Times New Roman"/>
          <w:szCs w:val="24"/>
          <w:lang w:val="en-GB"/>
        </w:rPr>
        <w:t>septembre</w:t>
      </w:r>
      <w:proofErr w:type="spellEnd"/>
      <w:r w:rsidRPr="008D517D">
        <w:rPr>
          <w:rFonts w:cs="Times New Roman"/>
          <w:szCs w:val="24"/>
          <w:lang w:val="en-GB"/>
        </w:rPr>
        <w:t xml:space="preserve"> 2016, n° 334, p. </w:t>
      </w:r>
      <w:proofErr w:type="gramStart"/>
      <w:r w:rsidRPr="008D517D">
        <w:rPr>
          <w:rFonts w:cs="Times New Roman"/>
          <w:szCs w:val="24"/>
          <w:lang w:val="en-GB"/>
        </w:rPr>
        <w:t>16 ;</w:t>
      </w:r>
      <w:proofErr w:type="gramEnd"/>
      <w:r w:rsidRPr="008D517D">
        <w:rPr>
          <w:rFonts w:cs="Times New Roman"/>
          <w:szCs w:val="24"/>
          <w:lang w:val="en-GB"/>
        </w:rPr>
        <w:t xml:space="preserve"> E. </w:t>
      </w:r>
      <w:proofErr w:type="spellStart"/>
      <w:r w:rsidRPr="008D517D">
        <w:rPr>
          <w:rFonts w:cs="Times New Roman"/>
          <w:smallCaps/>
          <w:szCs w:val="24"/>
          <w:lang w:val="en-GB"/>
        </w:rPr>
        <w:t>Brems</w:t>
      </w:r>
      <w:proofErr w:type="spellEnd"/>
      <w:r w:rsidRPr="008D517D">
        <w:rPr>
          <w:rFonts w:cs="Times New Roman"/>
          <w:szCs w:val="24"/>
          <w:lang w:val="en-GB"/>
        </w:rPr>
        <w:t xml:space="preserve"> et J. </w:t>
      </w:r>
      <w:proofErr w:type="spellStart"/>
      <w:r w:rsidRPr="008D517D">
        <w:rPr>
          <w:rFonts w:cs="Times New Roman"/>
          <w:smallCaps/>
          <w:szCs w:val="24"/>
          <w:lang w:val="en-GB"/>
        </w:rPr>
        <w:t>Vrielink</w:t>
      </w:r>
      <w:proofErr w:type="spellEnd"/>
      <w:r w:rsidRPr="008D517D">
        <w:rPr>
          <w:rFonts w:cs="Times New Roman"/>
          <w:szCs w:val="24"/>
          <w:lang w:val="en-GB"/>
        </w:rPr>
        <w:t xml:space="preserve">, « Floors or Ceilings: European Supranational Courts and Their Authority in Human Rights Matters », </w:t>
      </w:r>
      <w:r w:rsidRPr="008D517D">
        <w:rPr>
          <w:rFonts w:cs="Times New Roman"/>
          <w:i/>
          <w:iCs/>
          <w:szCs w:val="24"/>
          <w:lang w:val="en-GB"/>
        </w:rPr>
        <w:t>in</w:t>
      </w:r>
      <w:r w:rsidRPr="008D517D">
        <w:rPr>
          <w:rFonts w:cs="Times New Roman"/>
          <w:szCs w:val="24"/>
          <w:lang w:val="en-GB"/>
        </w:rPr>
        <w:t xml:space="preserve"> K. </w:t>
      </w:r>
      <w:r w:rsidRPr="008D517D">
        <w:rPr>
          <w:rFonts w:cs="Times New Roman"/>
          <w:smallCaps/>
          <w:szCs w:val="24"/>
          <w:lang w:val="en-GB"/>
        </w:rPr>
        <w:t>Lemmens</w:t>
      </w:r>
      <w:r w:rsidRPr="008D517D">
        <w:rPr>
          <w:rFonts w:cs="Times New Roman"/>
          <w:szCs w:val="24"/>
          <w:lang w:val="en-GB"/>
        </w:rPr>
        <w:t xml:space="preserve">, S. </w:t>
      </w:r>
      <w:proofErr w:type="spellStart"/>
      <w:r w:rsidRPr="008D517D">
        <w:rPr>
          <w:rFonts w:cs="Times New Roman"/>
          <w:smallCaps/>
          <w:szCs w:val="24"/>
          <w:lang w:val="en-GB"/>
        </w:rPr>
        <w:t>Parmentier</w:t>
      </w:r>
      <w:proofErr w:type="spellEnd"/>
      <w:r w:rsidRPr="008D517D">
        <w:rPr>
          <w:rFonts w:cs="Times New Roman"/>
          <w:szCs w:val="24"/>
          <w:lang w:val="en-GB"/>
        </w:rPr>
        <w:t xml:space="preserve"> et L. </w:t>
      </w:r>
      <w:proofErr w:type="spellStart"/>
      <w:r w:rsidRPr="008D517D">
        <w:rPr>
          <w:rFonts w:cs="Times New Roman"/>
          <w:smallCaps/>
          <w:szCs w:val="24"/>
          <w:lang w:val="en-GB"/>
        </w:rPr>
        <w:t>Reyntjens</w:t>
      </w:r>
      <w:proofErr w:type="spellEnd"/>
      <w:r w:rsidRPr="008D517D">
        <w:rPr>
          <w:rFonts w:cs="Times New Roman"/>
          <w:szCs w:val="24"/>
          <w:lang w:val="en-GB"/>
        </w:rPr>
        <w:t xml:space="preserve"> (</w:t>
      </w:r>
      <w:proofErr w:type="spellStart"/>
      <w:r w:rsidRPr="008D517D">
        <w:rPr>
          <w:rFonts w:cs="Times New Roman"/>
          <w:szCs w:val="24"/>
          <w:lang w:val="en-GB"/>
        </w:rPr>
        <w:t>éds</w:t>
      </w:r>
      <w:proofErr w:type="spellEnd"/>
      <w:r w:rsidRPr="008D517D">
        <w:rPr>
          <w:rFonts w:cs="Times New Roman"/>
          <w:szCs w:val="24"/>
          <w:lang w:val="en-GB"/>
        </w:rPr>
        <w:t xml:space="preserve">.), </w:t>
      </w:r>
      <w:r w:rsidRPr="008D517D">
        <w:rPr>
          <w:rFonts w:cs="Times New Roman"/>
          <w:i/>
          <w:iCs/>
          <w:szCs w:val="24"/>
          <w:lang w:val="en-GB"/>
        </w:rPr>
        <w:t xml:space="preserve">Human rights with a human touch.: Liber </w:t>
      </w:r>
      <w:proofErr w:type="spellStart"/>
      <w:r w:rsidRPr="008D517D">
        <w:rPr>
          <w:rFonts w:cs="Times New Roman"/>
          <w:i/>
          <w:iCs/>
          <w:szCs w:val="24"/>
          <w:lang w:val="en-GB"/>
        </w:rPr>
        <w:t>amicorum</w:t>
      </w:r>
      <w:proofErr w:type="spellEnd"/>
      <w:r w:rsidRPr="008D517D">
        <w:rPr>
          <w:rFonts w:cs="Times New Roman"/>
          <w:i/>
          <w:iCs/>
          <w:szCs w:val="24"/>
          <w:lang w:val="en-GB"/>
        </w:rPr>
        <w:t xml:space="preserve"> Paul Lemmens</w:t>
      </w:r>
      <w:r w:rsidRPr="008D517D">
        <w:rPr>
          <w:rFonts w:cs="Times New Roman"/>
          <w:szCs w:val="24"/>
          <w:lang w:val="en-GB"/>
        </w:rPr>
        <w:t xml:space="preserve">, Mortsel, </w:t>
      </w:r>
      <w:proofErr w:type="spellStart"/>
      <w:r w:rsidRPr="008D517D">
        <w:rPr>
          <w:rFonts w:cs="Times New Roman"/>
          <w:szCs w:val="24"/>
          <w:lang w:val="en-GB"/>
        </w:rPr>
        <w:t>Intersentia</w:t>
      </w:r>
      <w:proofErr w:type="spellEnd"/>
      <w:r w:rsidRPr="008D517D">
        <w:rPr>
          <w:rFonts w:cs="Times New Roman"/>
          <w:szCs w:val="24"/>
          <w:lang w:val="en-GB"/>
        </w:rPr>
        <w:t>, 2019, pp. 292‑293.</w:t>
      </w:r>
      <w:r w:rsidRPr="00022216">
        <w:rPr>
          <w:rFonts w:cs="Times New Roman"/>
        </w:rPr>
        <w:fldChar w:fldCharType="end"/>
      </w:r>
    </w:p>
  </w:footnote>
  <w:footnote w:id="155">
    <w:p w14:paraId="394CFA0A" w14:textId="7D29F12B" w:rsidR="000D6C77" w:rsidRPr="00022216" w:rsidRDefault="000D6C77" w:rsidP="004F0465">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{"citationID":"lfyc9Qb0","properties":{"formattedCitation":"Y. {\\scaps Pagnerre}, \\uc0\\u171{}\\uc0\\u160{}[Libert\\uc0\\u233{} de] Religion vs [Libert\\uc0\\u233{} d\\uc0\\u8217{}] Entreprise\\uc0\\u160{}\\uc0\\u187{}, {\\i{}Droit social}, 2017, n\\uc0\\u176{} 3, p. 456.","plainCitation":"Y. Pagnerre, « [Liberté de] Religion vs [Liberté d’] Entreprise », Droit social, 2017, n° 3, p. 456.","noteIndex":200},"citationItems":[{"id":211,"uris":["http://zotero.org/users/5133869/items/S335M3ND"],"itemData":{"id":211,"type":"article-journal","container-title":"Droit social","issue":"3","page":"450-462","title":"[Liberté de] Religion vs [Liberté d'] Entreprise","author":[{"family":"Pagnerre","given":"Yannick"}],"issued":{"date-parts":[["2017"]]}},"locator":"456"}],"schema":"https://github.com/citation-style-language/schema/raw/master/csl-citation.json"} </w:instrText>
      </w:r>
      <w:r w:rsidRPr="00022216">
        <w:rPr>
          <w:rFonts w:cs="Times New Roman"/>
        </w:rPr>
        <w:fldChar w:fldCharType="separate"/>
      </w:r>
      <w:r w:rsidRPr="006A1BA6">
        <w:rPr>
          <w:rFonts w:cs="Times New Roman"/>
          <w:szCs w:val="24"/>
        </w:rPr>
        <w:t xml:space="preserve">Y. </w:t>
      </w:r>
      <w:proofErr w:type="spellStart"/>
      <w:r w:rsidRPr="006A1BA6">
        <w:rPr>
          <w:rFonts w:cs="Times New Roman"/>
          <w:smallCaps/>
          <w:szCs w:val="24"/>
        </w:rPr>
        <w:t>Pagnerre</w:t>
      </w:r>
      <w:proofErr w:type="spellEnd"/>
      <w:r w:rsidRPr="006A1BA6">
        <w:rPr>
          <w:rFonts w:cs="Times New Roman"/>
          <w:szCs w:val="24"/>
        </w:rPr>
        <w:t xml:space="preserve">, « [Liberté de] Religion vs [Liberté d’] Entreprise », </w:t>
      </w:r>
      <w:r w:rsidRPr="006A1BA6">
        <w:rPr>
          <w:rFonts w:cs="Times New Roman"/>
          <w:i/>
          <w:iCs/>
          <w:szCs w:val="24"/>
        </w:rPr>
        <w:t>Droit social</w:t>
      </w:r>
      <w:r w:rsidRPr="006A1BA6">
        <w:rPr>
          <w:rFonts w:cs="Times New Roman"/>
          <w:szCs w:val="24"/>
        </w:rPr>
        <w:t>, 2017, n° 3, p. 456.</w:t>
      </w:r>
      <w:r w:rsidRPr="00022216">
        <w:rPr>
          <w:rFonts w:cs="Times New Roman"/>
        </w:rPr>
        <w:fldChar w:fldCharType="end"/>
      </w:r>
    </w:p>
  </w:footnote>
  <w:footnote w:id="156">
    <w:p w14:paraId="57DDE90D" w14:textId="43FEBF04" w:rsidR="000D6C77" w:rsidRPr="0099542D" w:rsidRDefault="000D6C77">
      <w:pPr>
        <w:pStyle w:val="Notedebasdepage"/>
      </w:pPr>
      <w:r>
        <w:rPr>
          <w:rStyle w:val="Appelnotedebasdep"/>
        </w:rPr>
        <w:footnoteRef/>
      </w:r>
      <w:r>
        <w:t xml:space="preserve"> CJUE, </w:t>
      </w:r>
      <w:r>
        <w:rPr>
          <w:i/>
          <w:iCs/>
        </w:rPr>
        <w:t>LF c. SCRL</w:t>
      </w:r>
      <w:r>
        <w:t>, para. 41.</w:t>
      </w:r>
    </w:p>
  </w:footnote>
  <w:footnote w:id="157">
    <w:p w14:paraId="7DD31F4F" w14:textId="61E089FC" w:rsidR="000D6C77" w:rsidRDefault="000D6C77">
      <w:pPr>
        <w:pStyle w:val="Notedebasdepage"/>
      </w:pPr>
      <w:r w:rsidRPr="00B601A0">
        <w:rPr>
          <w:rStyle w:val="Appelnotedebasdep"/>
        </w:rPr>
        <w:footnoteRef/>
      </w:r>
      <w:r w:rsidRPr="00B601A0">
        <w:t xml:space="preserve"> Pourtant, comme le note Denis </w:t>
      </w:r>
      <w:r w:rsidRPr="00B601A0">
        <w:rPr>
          <w:smallCaps/>
        </w:rPr>
        <w:t>Martin</w:t>
      </w:r>
      <w:r w:rsidRPr="00B601A0">
        <w:t xml:space="preserve">, la directive 2000/78/CE ne protège que les convictions religieuses, à l’exclusion des autres convictions, en particulier politiques : l’inclusion d’autres convictions n’apparaît donc pas pertinent dans l’évaluation du type de discrimination en cause au regard de la Directive </w:t>
      </w:r>
      <w:r w:rsidRPr="00B601A0">
        <w:fldChar w:fldCharType="begin"/>
      </w:r>
      <w:r w:rsidRPr="00B601A0">
        <w:instrText xml:space="preserve"> ADDIN ZOTERO_ITEM CSL_CITATION {"citationID":"Vhf4yk4f","properties":{"formattedCitation":"(\\uc0\\u171{}\\uc0\\u160{}Cachez ce voile que je ne saurais voir\\uc0\\u8239{}! L\\uc0\\u8217{}interdiction de discrimination fond\\uc0\\u233{}e sur la religion vue par la CJUE\\uc0\\u160{}\\uc0\\u187{}, {\\i{}op. cit.}, p. 316).","plainCitation":"(« Cachez ce voile que je ne saurais voir ! L’interdiction de discrimination fondée sur la religion vue par la CJUE », op. cit., p. 316).","noteIndex":202},"citationItems":[{"id":215,"uris":["http://zotero.org/users/5133869/items/UVHIJSB5"],"itemData":{"id":215,"type":"article-journal","container-title":"Droit social","issue":"4","page":"314-322","title":"Cachez ce voile que je ne saurais voir ! L'interdiction de discrimination fondée sur la religion vue par la CJUE","author":[{"family":"Martin","given":"Denis"}],"issued":{"date-parts":[["2018"]]}},"locator":"316","label":"page","suppress-author":true,"prefix":"(","suffix":")"}],"schema":"https://github.com/citation-style-language/schema/raw/master/csl-citation.json"} </w:instrText>
      </w:r>
      <w:r w:rsidRPr="00B601A0">
        <w:fldChar w:fldCharType="separate"/>
      </w:r>
      <w:r w:rsidRPr="00B601A0">
        <w:rPr>
          <w:rFonts w:cs="Times New Roman"/>
          <w:szCs w:val="24"/>
        </w:rPr>
        <w:t xml:space="preserve">(« Cachez ce voile que je ne saurais voir ! L’interdiction de discrimination fondée sur la religion vue par la CJUE », </w:t>
      </w:r>
      <w:r w:rsidRPr="00B601A0">
        <w:rPr>
          <w:rFonts w:cs="Times New Roman"/>
          <w:i/>
          <w:iCs/>
          <w:szCs w:val="24"/>
        </w:rPr>
        <w:t xml:space="preserve">op. </w:t>
      </w:r>
      <w:proofErr w:type="spellStart"/>
      <w:r w:rsidRPr="00B601A0">
        <w:rPr>
          <w:rFonts w:cs="Times New Roman"/>
          <w:i/>
          <w:iCs/>
          <w:szCs w:val="24"/>
        </w:rPr>
        <w:t>cit</w:t>
      </w:r>
      <w:proofErr w:type="spellEnd"/>
      <w:r w:rsidRPr="00B601A0">
        <w:rPr>
          <w:rFonts w:cs="Times New Roman"/>
          <w:i/>
          <w:iCs/>
          <w:szCs w:val="24"/>
        </w:rPr>
        <w:t>.</w:t>
      </w:r>
      <w:r w:rsidRPr="00B601A0">
        <w:rPr>
          <w:rFonts w:cs="Times New Roman"/>
          <w:szCs w:val="24"/>
        </w:rPr>
        <w:t>, p. 316).</w:t>
      </w:r>
      <w:r w:rsidRPr="00B601A0">
        <w:fldChar w:fldCharType="end"/>
      </w:r>
    </w:p>
  </w:footnote>
  <w:footnote w:id="158">
    <w:p w14:paraId="25A67ACB" w14:textId="3564E456" w:rsidR="000D6C77" w:rsidRPr="00022216" w:rsidRDefault="000D6C77" w:rsidP="006A1BA6">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{"citationID":"mw4cTvKy","properties":{"formattedCitation":"J. {\\scaps Mouly}, \\uc0\\u171{}\\uc0\\u160{}L\\uc0\\u8217{}exigence de neutralit\\uc0\\u233{}, entre discrimination directe et indirecte\\uc0\\u160{}\\uc0\\u187{}, {\\i{}op. cit.}, p. 335.","plainCitation":"J. Mouly, « L’exigence de neutralité, entre discrimination directe et indirecte », op. cit., p. 335.","noteIndex":203},"citationItems":[{"id":213,"uris":["http://zotero.org/users/5133869/items/FITF3QRA"],"itemData":{"id":213,"type":"article-journal","container-title":"Droit social","issue":"4","page":"330-336","title":"L'exigence de neutralité, entre discrimination directe et indirecte","author":[{"family":"Mouly","given":"Jean"}],"issued":{"date-parts":[["2018"]]}},"locator":"335"}],"schema":"https://github.com/citation-style-language/schema/raw/master/csl-citation.json"} </w:instrText>
      </w:r>
      <w:r w:rsidRPr="00022216">
        <w:rPr>
          <w:rFonts w:cs="Times New Roman"/>
        </w:rPr>
        <w:fldChar w:fldCharType="separate"/>
      </w:r>
      <w:r w:rsidRPr="00022216">
        <w:rPr>
          <w:rFonts w:cs="Times New Roman"/>
        </w:rPr>
        <w:t xml:space="preserve">J. </w:t>
      </w:r>
      <w:proofErr w:type="spellStart"/>
      <w:r w:rsidRPr="00022216">
        <w:rPr>
          <w:rFonts w:cs="Times New Roman"/>
          <w:smallCaps/>
        </w:rPr>
        <w:t>Mouly</w:t>
      </w:r>
      <w:proofErr w:type="spellEnd"/>
      <w:r w:rsidRPr="00022216">
        <w:rPr>
          <w:rFonts w:cs="Times New Roman"/>
        </w:rPr>
        <w:t xml:space="preserve">, « L’exigence de neutralité, entre discrimination directe et indirecte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335.</w:t>
      </w:r>
      <w:r w:rsidRPr="00022216">
        <w:rPr>
          <w:rFonts w:cs="Times New Roman"/>
        </w:rPr>
        <w:fldChar w:fldCharType="end"/>
      </w:r>
    </w:p>
  </w:footnote>
  <w:footnote w:id="159">
    <w:p w14:paraId="180CE707" w14:textId="27778288" w:rsidR="000D6C77" w:rsidRPr="00022216" w:rsidRDefault="000D6C77" w:rsidP="008731DD">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CJUE, </w:t>
      </w:r>
      <w:proofErr w:type="spellStart"/>
      <w:r w:rsidRPr="00022216">
        <w:rPr>
          <w:rFonts w:cs="Times New Roman"/>
          <w:i/>
        </w:rPr>
        <w:t>Achbita</w:t>
      </w:r>
      <w:proofErr w:type="spellEnd"/>
      <w:r w:rsidRPr="00022216">
        <w:rPr>
          <w:rFonts w:cs="Times New Roman"/>
        </w:rPr>
        <w:t xml:space="preserve">, para. 37-39. </w:t>
      </w:r>
    </w:p>
  </w:footnote>
  <w:footnote w:id="160">
    <w:p w14:paraId="4207AAB8" w14:textId="04C66CBD" w:rsidR="000D6C77" w:rsidRPr="00E74ED6" w:rsidRDefault="000D6C77" w:rsidP="008731DD">
      <w:pPr>
        <w:pStyle w:val="Notedebasdepage"/>
        <w:rPr>
          <w:lang w:val="fr-FR"/>
        </w:rPr>
      </w:pPr>
      <w:r>
        <w:rPr>
          <w:rStyle w:val="Appelnotedebasdep"/>
        </w:rPr>
        <w:footnoteRef/>
      </w:r>
      <w:r w:rsidRPr="00E74ED6">
        <w:t xml:space="preserve"> </w:t>
      </w:r>
      <w:r>
        <w:t xml:space="preserve">CJUE, </w:t>
      </w:r>
      <w:r>
        <w:rPr>
          <w:i/>
          <w:lang w:val="fr-FR"/>
        </w:rPr>
        <w:t>WABE-Müller</w:t>
      </w:r>
      <w:r>
        <w:rPr>
          <w:lang w:val="fr-FR"/>
        </w:rPr>
        <w:t>, para. 62-63.</w:t>
      </w:r>
    </w:p>
  </w:footnote>
  <w:footnote w:id="161">
    <w:p w14:paraId="3FD92A4B" w14:textId="64AD1195" w:rsidR="000D6C77" w:rsidRDefault="000D6C77">
      <w:pPr>
        <w:pStyle w:val="Notedebasdepage"/>
      </w:pPr>
      <w:r>
        <w:rPr>
          <w:rStyle w:val="Appelnotedebasdep"/>
        </w:rPr>
        <w:footnoteRef/>
      </w:r>
      <w:r>
        <w:t xml:space="preserve"> CJUE, </w:t>
      </w:r>
      <w:r w:rsidRPr="008D517D">
        <w:rPr>
          <w:i/>
          <w:iCs/>
        </w:rPr>
        <w:t>LF c. SCRL</w:t>
      </w:r>
      <w:r>
        <w:t>, para. 42.</w:t>
      </w:r>
    </w:p>
  </w:footnote>
  <w:footnote w:id="162">
    <w:p w14:paraId="3B2D3102" w14:textId="2D526059" w:rsidR="000D6C77" w:rsidRPr="00022216" w:rsidRDefault="000D6C77" w:rsidP="008731DD">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para. 94.</w:t>
      </w:r>
    </w:p>
  </w:footnote>
  <w:footnote w:id="163">
    <w:p w14:paraId="4FBDDD3C" w14:textId="23909E65" w:rsidR="000D6C77" w:rsidRPr="008D517D" w:rsidRDefault="000D6C77" w:rsidP="008731DD">
      <w:pPr>
        <w:pStyle w:val="Notedebasdepage"/>
        <w:rPr>
          <w:rFonts w:cs="Times New Roman"/>
        </w:rPr>
      </w:pPr>
      <w:r w:rsidRPr="00022216">
        <w:rPr>
          <w:rStyle w:val="Appelnotedebasdep"/>
          <w:rFonts w:cs="Times New Roman"/>
        </w:rPr>
        <w:footnoteRef/>
      </w:r>
      <w:r w:rsidRPr="00022216">
        <w:rPr>
          <w:rFonts w:cs="Times New Roman"/>
        </w:rPr>
        <w:t xml:space="preserve"> Pour la Belgique, </w:t>
      </w:r>
      <w:proofErr w:type="spellStart"/>
      <w:r w:rsidRPr="00022216">
        <w:rPr>
          <w:rFonts w:cs="Times New Roman"/>
        </w:rPr>
        <w:t>voy</w:t>
      </w:r>
      <w:proofErr w:type="spellEnd"/>
      <w:r w:rsidRPr="00022216">
        <w:rPr>
          <w:rFonts w:cs="Times New Roman"/>
        </w:rPr>
        <w:t xml:space="preserve">. : C. trav. Bruxelles (4e ch.), 15 janvier 2008, </w:t>
      </w:r>
      <w:r>
        <w:rPr>
          <w:rFonts w:cs="Times New Roman"/>
          <w:i/>
        </w:rPr>
        <w:t>J.T.T.</w:t>
      </w:r>
      <w:r w:rsidRPr="00022216">
        <w:rPr>
          <w:rFonts w:cs="Times New Roman"/>
        </w:rPr>
        <w:t xml:space="preserve">, 2008, pp. 140-141 ; </w:t>
      </w:r>
      <w:r>
        <w:rPr>
          <w:rFonts w:cs="Times New Roman"/>
        </w:rPr>
        <w:t>t</w:t>
      </w:r>
      <w:r w:rsidRPr="00022216">
        <w:rPr>
          <w:rFonts w:cs="Times New Roman"/>
        </w:rPr>
        <w:t xml:space="preserve">rib. trav. Bruxelles (2e ch.), 2 novembre 2010, </w:t>
      </w:r>
      <w:proofErr w:type="spellStart"/>
      <w:r w:rsidRPr="00022216">
        <w:rPr>
          <w:rFonts w:cs="Times New Roman"/>
        </w:rPr>
        <w:t>req</w:t>
      </w:r>
      <w:proofErr w:type="spellEnd"/>
      <w:r w:rsidRPr="00022216">
        <w:rPr>
          <w:rFonts w:cs="Times New Roman"/>
        </w:rPr>
        <w:t xml:space="preserve">. n° 05/22188/A, disponible sur </w:t>
      </w:r>
      <w:hyperlink r:id="rId8" w:history="1">
        <w:r w:rsidRPr="00022216">
          <w:rPr>
            <w:rStyle w:val="Lienhypertexte"/>
            <w:rFonts w:cs="Times New Roman"/>
          </w:rPr>
          <w:t>www.unia.be</w:t>
        </w:r>
      </w:hyperlink>
      <w:r w:rsidRPr="00022216">
        <w:rPr>
          <w:rFonts w:cs="Times New Roman"/>
        </w:rPr>
        <w:t xml:space="preserve"> ; </w:t>
      </w:r>
      <w:r>
        <w:rPr>
          <w:rFonts w:cs="Times New Roman"/>
        </w:rPr>
        <w:t>t</w:t>
      </w:r>
      <w:r w:rsidRPr="00022216">
        <w:rPr>
          <w:rFonts w:cs="Times New Roman"/>
        </w:rPr>
        <w:t xml:space="preserve">rib. trav. Bruxelles, 18 mai 2015, disponible sur </w:t>
      </w:r>
      <w:hyperlink r:id="rId9" w:history="1">
        <w:r w:rsidRPr="00022216">
          <w:rPr>
            <w:rStyle w:val="Lienhypertexte"/>
            <w:rFonts w:cs="Times New Roman"/>
          </w:rPr>
          <w:t>www.unia.be</w:t>
        </w:r>
      </w:hyperlink>
      <w:r w:rsidRPr="00022216">
        <w:rPr>
          <w:rFonts w:cs="Times New Roman"/>
        </w:rPr>
        <w:t xml:space="preserve"> ; </w:t>
      </w:r>
      <w:r>
        <w:rPr>
          <w:rFonts w:cs="Times New Roman"/>
        </w:rPr>
        <w:t>t</w:t>
      </w:r>
      <w:r w:rsidRPr="00022216">
        <w:rPr>
          <w:rFonts w:cs="Times New Roman"/>
        </w:rPr>
        <w:t xml:space="preserve">rib. trav. Bruxelles, 28 mai 2018, n° 16/7231/A, disponible sur </w:t>
      </w:r>
      <w:hyperlink r:id="rId10" w:history="1">
        <w:r w:rsidRPr="00022216">
          <w:rPr>
            <w:rStyle w:val="Lienhypertexte"/>
            <w:rFonts w:cs="Times New Roman"/>
          </w:rPr>
          <w:t>www.unia.be</w:t>
        </w:r>
      </w:hyperlink>
      <w:r w:rsidRPr="00022216">
        <w:rPr>
          <w:rFonts w:cs="Times New Roman"/>
        </w:rPr>
        <w:t xml:space="preserve"> ; </w:t>
      </w:r>
      <w:r>
        <w:rPr>
          <w:rFonts w:cs="Times New Roman"/>
        </w:rPr>
        <w:t>t</w:t>
      </w:r>
      <w:r w:rsidRPr="00022216">
        <w:rPr>
          <w:rFonts w:cs="Times New Roman"/>
        </w:rPr>
        <w:t xml:space="preserve">rib. trav. Liège (div. Verviers), 20 février 2019, n° 15/678/A, disponible sur </w:t>
      </w:r>
      <w:hyperlink r:id="rId11" w:history="1">
        <w:r w:rsidRPr="00022216">
          <w:rPr>
            <w:rStyle w:val="Lienhypertexte"/>
            <w:rFonts w:cs="Times New Roman"/>
          </w:rPr>
          <w:t>www.unia.be</w:t>
        </w:r>
      </w:hyperlink>
      <w:r>
        <w:rPr>
          <w:rFonts w:cs="Times New Roman"/>
        </w:rPr>
        <w:t xml:space="preserve"> ; C. trav. Bruxelles, 7 mai 2020, </w:t>
      </w:r>
      <w:r w:rsidRPr="007A46FF">
        <w:rPr>
          <w:i/>
        </w:rPr>
        <w:t>J.T.T.</w:t>
      </w:r>
      <w:r w:rsidRPr="007A46FF">
        <w:t>, 2021, n° 18, pp. 3</w:t>
      </w:r>
      <w:r>
        <w:t>05-310</w:t>
      </w:r>
      <w:r>
        <w:rPr>
          <w:rFonts w:cs="Times New Roman"/>
        </w:rPr>
        <w:t> ; C. trav. Liège, 30 avril 2021</w:t>
      </w:r>
      <w:r>
        <w:t xml:space="preserve">, </w:t>
      </w:r>
      <w:r w:rsidRPr="007A46FF">
        <w:rPr>
          <w:i/>
        </w:rPr>
        <w:t>J.T.T.</w:t>
      </w:r>
      <w:r>
        <w:t>, 2021, n°</w:t>
      </w:r>
      <w:r w:rsidRPr="007A46FF">
        <w:t xml:space="preserve"> 18</w:t>
      </w:r>
      <w:r>
        <w:t>, p</w:t>
      </w:r>
      <w:r w:rsidRPr="007A46FF">
        <w:t>p. 310</w:t>
      </w:r>
      <w:r>
        <w:t>-318</w:t>
      </w:r>
      <w:r>
        <w:rPr>
          <w:rFonts w:cs="Times New Roman"/>
        </w:rPr>
        <w:t xml:space="preserve">. </w:t>
      </w:r>
      <w:r w:rsidRPr="00022216">
        <w:rPr>
          <w:rFonts w:cs="Times New Roman"/>
        </w:rPr>
        <w:t xml:space="preserve">Pour la France, </w:t>
      </w:r>
      <w:proofErr w:type="spellStart"/>
      <w:r w:rsidRPr="00022216">
        <w:rPr>
          <w:rFonts w:cs="Times New Roman"/>
        </w:rPr>
        <w:t>voy</w:t>
      </w:r>
      <w:proofErr w:type="spellEnd"/>
      <w:r w:rsidRPr="00022216">
        <w:rPr>
          <w:rFonts w:cs="Times New Roman"/>
        </w:rPr>
        <w:t>. notamment C.A. Paris, 16 mars 2001, n° 99/31302</w:t>
      </w:r>
      <w:r>
        <w:rPr>
          <w:rFonts w:cs="Times New Roman"/>
        </w:rPr>
        <w:t xml:space="preserve">, </w:t>
      </w:r>
      <w:r w:rsidRPr="0013043A">
        <w:rPr>
          <w:rFonts w:cs="Times New Roman"/>
          <w:i/>
        </w:rPr>
        <w:t>La Semaine Juridique Entreprise et Affaires</w:t>
      </w:r>
      <w:r>
        <w:rPr>
          <w:rFonts w:cs="Times New Roman"/>
          <w:i/>
        </w:rPr>
        <w:t>,</w:t>
      </w:r>
      <w:r w:rsidRPr="0013043A">
        <w:rPr>
          <w:rFonts w:cs="Times New Roman"/>
        </w:rPr>
        <w:t xml:space="preserve"> </w:t>
      </w:r>
      <w:r>
        <w:rPr>
          <w:rFonts w:cs="Times New Roman"/>
        </w:rPr>
        <w:t xml:space="preserve">2001, </w:t>
      </w:r>
      <w:r w:rsidRPr="0013043A">
        <w:rPr>
          <w:rFonts w:cs="Times New Roman"/>
        </w:rPr>
        <w:t>n° 31, p. 1339</w:t>
      </w:r>
      <w:r w:rsidRPr="00022216">
        <w:rPr>
          <w:rFonts w:cs="Times New Roman"/>
        </w:rPr>
        <w:t xml:space="preserve"> ; C.A. Paris, 19 juin 2003 </w:t>
      </w:r>
      <w:r>
        <w:rPr>
          <w:rFonts w:cs="Times New Roman"/>
        </w:rPr>
        <w:t>(</w:t>
      </w:r>
      <w:r w:rsidRPr="00022216">
        <w:rPr>
          <w:rFonts w:cs="Times New Roman"/>
        </w:rPr>
        <w:t>18e ch.</w:t>
      </w:r>
      <w:r>
        <w:rPr>
          <w:rFonts w:cs="Times New Roman"/>
        </w:rPr>
        <w:t>)</w:t>
      </w:r>
      <w:r w:rsidRPr="00022216">
        <w:rPr>
          <w:rFonts w:cs="Times New Roman"/>
        </w:rPr>
        <w:t xml:space="preserve">, </w:t>
      </w:r>
      <w:r w:rsidRPr="00022216">
        <w:rPr>
          <w:rFonts w:cs="Times New Roman"/>
          <w:i/>
        </w:rPr>
        <w:t>R.J.S.</w:t>
      </w:r>
      <w:r w:rsidRPr="00022216">
        <w:rPr>
          <w:rFonts w:cs="Times New Roman"/>
        </w:rPr>
        <w:t xml:space="preserve">, 2003, n° 1116 ; </w:t>
      </w:r>
      <w:r w:rsidRPr="00022216">
        <w:rPr>
          <w:rFonts w:cs="Times New Roman"/>
          <w:i/>
          <w:iCs/>
        </w:rPr>
        <w:t>Dalloz</w:t>
      </w:r>
      <w:r w:rsidRPr="00022216">
        <w:rPr>
          <w:rFonts w:cs="Times New Roman"/>
        </w:rPr>
        <w:t xml:space="preserve">, 2004, n° 3, pp. 175-176, obs. </w:t>
      </w:r>
      <w:r w:rsidRPr="008D517D">
        <w:rPr>
          <w:rFonts w:cs="Times New Roman"/>
        </w:rPr>
        <w:t xml:space="preserve">A. </w:t>
      </w:r>
      <w:proofErr w:type="spellStart"/>
      <w:r w:rsidRPr="008D517D">
        <w:rPr>
          <w:rFonts w:cs="Times New Roman"/>
          <w:smallCaps/>
        </w:rPr>
        <w:t>Pousson</w:t>
      </w:r>
      <w:proofErr w:type="spellEnd"/>
      <w:r w:rsidRPr="008D517D">
        <w:rPr>
          <w:rFonts w:cs="Times New Roman"/>
          <w:smallCaps/>
        </w:rPr>
        <w:t xml:space="preserve"> </w:t>
      </w:r>
      <w:r w:rsidRPr="008D517D">
        <w:rPr>
          <w:rFonts w:cs="Times New Roman"/>
        </w:rPr>
        <w:t xml:space="preserve">; Cass. </w:t>
      </w:r>
      <w:proofErr w:type="spellStart"/>
      <w:r w:rsidRPr="008D517D">
        <w:rPr>
          <w:rFonts w:cs="Times New Roman"/>
        </w:rPr>
        <w:t>fr.</w:t>
      </w:r>
      <w:proofErr w:type="spellEnd"/>
      <w:r w:rsidRPr="008D517D">
        <w:rPr>
          <w:rFonts w:cs="Times New Roman"/>
        </w:rPr>
        <w:t xml:space="preserve"> (soc.), 22 novembre 2017, n° 13/19855.</w:t>
      </w:r>
    </w:p>
  </w:footnote>
  <w:footnote w:id="164">
    <w:p w14:paraId="0D146834" w14:textId="79409293" w:rsidR="000D6C77" w:rsidRPr="00DB5012" w:rsidRDefault="000D6C77">
      <w:pPr>
        <w:pStyle w:val="Notedebasdepage"/>
      </w:pPr>
      <w:r>
        <w:rPr>
          <w:rStyle w:val="Appelnotedebasdep"/>
        </w:rPr>
        <w:footnoteRef/>
      </w:r>
      <w:r w:rsidRPr="00A93193">
        <w:t xml:space="preserve"> </w:t>
      </w:r>
      <w:proofErr w:type="spellStart"/>
      <w:r>
        <w:t>V</w:t>
      </w:r>
      <w:r w:rsidRPr="00A93193">
        <w:t>oy</w:t>
      </w:r>
      <w:proofErr w:type="spellEnd"/>
      <w:r w:rsidRPr="00A93193">
        <w:t xml:space="preserve">., </w:t>
      </w:r>
      <w:r w:rsidRPr="00A93193">
        <w:rPr>
          <w:i/>
          <w:iCs/>
        </w:rPr>
        <w:t>i</w:t>
      </w:r>
      <w:r>
        <w:rPr>
          <w:i/>
          <w:iCs/>
        </w:rPr>
        <w:t>nfra</w:t>
      </w:r>
      <w:r>
        <w:t xml:space="preserve">, les pts. </w:t>
      </w:r>
      <w:r>
        <w:fldChar w:fldCharType="begin"/>
      </w:r>
      <w:r>
        <w:instrText xml:space="preserve"> REF _Ref112879173 \r \h </w:instrText>
      </w:r>
      <w:r>
        <w:fldChar w:fldCharType="separate"/>
      </w:r>
      <w:r w:rsidRPr="00DB5012">
        <w:t>82</w:t>
      </w:r>
      <w:r>
        <w:fldChar w:fldCharType="end"/>
      </w:r>
      <w:r w:rsidRPr="00DB5012">
        <w:t xml:space="preserve"> et s.</w:t>
      </w:r>
    </w:p>
  </w:footnote>
  <w:footnote w:id="165">
    <w:p w14:paraId="1D8EDE3E" w14:textId="59720CBC" w:rsidR="000D6C77" w:rsidRPr="004D023C" w:rsidRDefault="000D6C77" w:rsidP="00FD2825">
      <w:pPr>
        <w:pStyle w:val="Notedebasdepage"/>
        <w:rPr>
          <w:rFonts w:cs="Times New Roman"/>
        </w:rPr>
      </w:pPr>
      <w:r w:rsidRPr="00022216">
        <w:rPr>
          <w:rStyle w:val="Appelnotedebasdep"/>
          <w:rFonts w:cs="Times New Roman"/>
        </w:rPr>
        <w:footnoteRef/>
      </w:r>
      <w:r w:rsidRPr="008D6677">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{"citationID":"9kLrZI1d","properties":{"formattedCitation":"V. {\\scaps Valentin}, \\uc0\\u171{}\\uc0\\u160{}Freedom of conscience in private company. An economic or a political problem?\\uc0\\u160{}\\uc0\\u187{}, {\\i{}op. cit.}","plainCitation":"V. Valentin, « Freedom of conscience in private company. An economic or a political problem? », op. cit.","noteIndex":210},"citationItems":[{"id":2506,"uris":["http://zotero.org/users/5133869/items/KAPS7XYI"],"itemData":{"id":2506,"type":"chapter","container-title":"Religion,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schema":"https://github.com/citation-style-language/schema/raw/master/csl-citation.json"} </w:instrText>
      </w:r>
      <w:r w:rsidRPr="00022216">
        <w:rPr>
          <w:rFonts w:cs="Times New Roman"/>
        </w:rPr>
        <w:fldChar w:fldCharType="separate"/>
      </w:r>
      <w:r w:rsidRPr="00D57414">
        <w:rPr>
          <w:rFonts w:cs="Times New Roman"/>
          <w:szCs w:val="24"/>
          <w:lang w:val="en-GB"/>
        </w:rPr>
        <w:t xml:space="preserve">V. </w:t>
      </w:r>
      <w:r w:rsidRPr="00D57414">
        <w:rPr>
          <w:rFonts w:cs="Times New Roman"/>
          <w:smallCaps/>
          <w:szCs w:val="24"/>
          <w:lang w:val="en-GB"/>
        </w:rPr>
        <w:t>Valentin</w:t>
      </w:r>
      <w:r w:rsidRPr="00D57414">
        <w:rPr>
          <w:rFonts w:cs="Times New Roman"/>
          <w:szCs w:val="24"/>
          <w:lang w:val="en-GB"/>
        </w:rPr>
        <w:t xml:space="preserve">, « Freedom of conscience in private company. </w:t>
      </w:r>
      <w:r w:rsidRPr="004D023C">
        <w:rPr>
          <w:rFonts w:cs="Times New Roman"/>
          <w:szCs w:val="24"/>
        </w:rPr>
        <w:t xml:space="preserve">An </w:t>
      </w:r>
      <w:proofErr w:type="spellStart"/>
      <w:r w:rsidRPr="004D023C">
        <w:rPr>
          <w:rFonts w:cs="Times New Roman"/>
          <w:szCs w:val="24"/>
        </w:rPr>
        <w:t>economic</w:t>
      </w:r>
      <w:proofErr w:type="spellEnd"/>
      <w:r w:rsidRPr="004D023C">
        <w:rPr>
          <w:rFonts w:cs="Times New Roman"/>
          <w:szCs w:val="24"/>
        </w:rPr>
        <w:t xml:space="preserve"> or a </w:t>
      </w:r>
      <w:proofErr w:type="spellStart"/>
      <w:r w:rsidRPr="004D023C">
        <w:rPr>
          <w:rFonts w:cs="Times New Roman"/>
          <w:szCs w:val="24"/>
        </w:rPr>
        <w:t>political</w:t>
      </w:r>
      <w:proofErr w:type="spellEnd"/>
      <w:r w:rsidRPr="004D023C">
        <w:rPr>
          <w:rFonts w:cs="Times New Roman"/>
          <w:szCs w:val="24"/>
        </w:rPr>
        <w:t xml:space="preserve"> </w:t>
      </w:r>
      <w:proofErr w:type="spellStart"/>
      <w:r w:rsidRPr="004D023C">
        <w:rPr>
          <w:rFonts w:cs="Times New Roman"/>
          <w:szCs w:val="24"/>
        </w:rPr>
        <w:t>problem</w:t>
      </w:r>
      <w:proofErr w:type="spellEnd"/>
      <w:r w:rsidRPr="004D023C">
        <w:rPr>
          <w:rFonts w:cs="Times New Roman"/>
          <w:szCs w:val="24"/>
        </w:rPr>
        <w:t xml:space="preserve">? », </w:t>
      </w:r>
      <w:r w:rsidRPr="004D023C">
        <w:rPr>
          <w:rFonts w:cs="Times New Roman"/>
          <w:i/>
          <w:iCs/>
          <w:szCs w:val="24"/>
        </w:rPr>
        <w:t xml:space="preserve">op. </w:t>
      </w:r>
      <w:proofErr w:type="spellStart"/>
      <w:r w:rsidRPr="004D023C">
        <w:rPr>
          <w:rFonts w:cs="Times New Roman"/>
          <w:i/>
          <w:iCs/>
          <w:szCs w:val="24"/>
        </w:rPr>
        <w:t>cit</w:t>
      </w:r>
      <w:proofErr w:type="spellEnd"/>
      <w:r w:rsidRPr="004D023C">
        <w:rPr>
          <w:rFonts w:cs="Times New Roman"/>
          <w:i/>
          <w:iCs/>
          <w:szCs w:val="24"/>
        </w:rPr>
        <w:t>.</w:t>
      </w:r>
      <w:r w:rsidRPr="00022216">
        <w:rPr>
          <w:rFonts w:cs="Times New Roman"/>
        </w:rPr>
        <w:fldChar w:fldCharType="end"/>
      </w:r>
    </w:p>
  </w:footnote>
  <w:footnote w:id="166">
    <w:p w14:paraId="0CF0C4BF" w14:textId="671B8222" w:rsidR="000D6C77" w:rsidRPr="00B675D1" w:rsidRDefault="000D6C77" w:rsidP="00FD2825">
      <w:pPr>
        <w:pStyle w:val="Notedebasdepage"/>
        <w:rPr>
          <w:rFonts w:cs="Times New Roman"/>
        </w:rPr>
      </w:pPr>
      <w:r w:rsidRPr="00022216">
        <w:rPr>
          <w:rStyle w:val="Appelnotedebasdep"/>
          <w:rFonts w:cs="Times New Roman"/>
        </w:rPr>
        <w:footnoteRef/>
      </w:r>
      <w:r w:rsidRPr="00B675D1">
        <w:rPr>
          <w:rFonts w:cs="Times New Roman"/>
        </w:rPr>
        <w:t xml:space="preserve"> </w:t>
      </w:r>
      <w:r w:rsidRPr="00B675D1">
        <w:rPr>
          <w:rFonts w:cs="Times New Roman"/>
          <w:i/>
          <w:iCs/>
        </w:rPr>
        <w:t xml:space="preserve">Doc. </w:t>
      </w:r>
      <w:proofErr w:type="spellStart"/>
      <w:r w:rsidRPr="00B675D1">
        <w:rPr>
          <w:rFonts w:cs="Times New Roman"/>
          <w:i/>
          <w:iCs/>
        </w:rPr>
        <w:t>Parl</w:t>
      </w:r>
      <w:proofErr w:type="spellEnd"/>
      <w:r w:rsidRPr="00B675D1">
        <w:rPr>
          <w:rFonts w:cs="Times New Roman"/>
        </w:rPr>
        <w:t xml:space="preserve">., ch. </w:t>
      </w:r>
      <w:proofErr w:type="spellStart"/>
      <w:r w:rsidRPr="00B675D1">
        <w:rPr>
          <w:rFonts w:cs="Times New Roman"/>
        </w:rPr>
        <w:t>sess</w:t>
      </w:r>
      <w:proofErr w:type="spellEnd"/>
      <w:r w:rsidRPr="00B675D1">
        <w:rPr>
          <w:rFonts w:cs="Times New Roman"/>
        </w:rPr>
        <w:t xml:space="preserve">. ord. 2007-2007, n° 51-2722/1, p. 50-51 : </w:t>
      </w:r>
      <w:r>
        <w:rPr>
          <w:rFonts w:cs="Times New Roman"/>
        </w:rPr>
        <w:t>« </w:t>
      </w:r>
      <w:r w:rsidRPr="00B675D1">
        <w:rPr>
          <w:rFonts w:cs="Times New Roman"/>
        </w:rPr>
        <w:t xml:space="preserve">En examinant la distinction indirecte faite dans le cadre des relations de travail, le juge devra examiner si les moyens choisis (critères neutres) répondent au besoin réel de l’entreprise. En examinant l’objectif légitime, </w:t>
      </w:r>
      <w:r w:rsidRPr="00B675D1">
        <w:rPr>
          <w:rFonts w:cs="Times New Roman"/>
          <w:i/>
          <w:iCs/>
        </w:rPr>
        <w:t>il est donc nécessaire de chercher la raison sous-jacente à l’usage du critère neutre</w:t>
      </w:r>
      <w:r>
        <w:rPr>
          <w:rFonts w:cs="Times New Roman"/>
          <w:i/>
          <w:iCs/>
        </w:rPr>
        <w:t> </w:t>
      </w:r>
      <w:r w:rsidRPr="00B675D1">
        <w:rPr>
          <w:rFonts w:cs="Times New Roman"/>
        </w:rPr>
        <w:t>»</w:t>
      </w:r>
      <w:r>
        <w:rPr>
          <w:rFonts w:cs="Times New Roman"/>
        </w:rPr>
        <w:t xml:space="preserve"> (nous soulignons)</w:t>
      </w:r>
    </w:p>
  </w:footnote>
  <w:footnote w:id="167">
    <w:p w14:paraId="0BB88D29" w14:textId="54704A04" w:rsidR="000D6C77" w:rsidRPr="00022216" w:rsidRDefault="000D6C77" w:rsidP="00FD2825">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{"citationID":"P87F6TcT","properties":{"formattedCitation":"C. {\\scaps Wolmark}, \\uc0\\u171{}\\uc0\\u160{}La neutralit\\uc0\\u233{}, difficult\\uc0\\u233{}s logiques et id\\uc0\\u233{}ologiques\\uc0\\u160{}\\uc0\\u187{}, {\\i{}Revue de Droit du Travail}, 2017, p. 239.","plainCitation":"C. Wolmark, « La neutralité, difficultés logiques et idéologiques », Revue de Droit du Travail, 2017, p. 239.","noteIndex":212},"citationItems":[{"id":236,"uris":["http://zotero.org/users/5133869/items/HTXWBHE7"],"itemData":{"id":236,"type":"article-journal","container-title":"Revue de Droit du Travail","page":"238-241","title":"La neutralité, difficultés logiques et idéologiques","author":[{"family":"Wolmark","given":"Cyril"}],"issued":{"date-parts":[["2017"]]}},"locator":"239"}],"schema":"https://github.com/citation-style-language/schema/raw/master/csl-citation.json"} </w:instrText>
      </w:r>
      <w:r w:rsidRPr="00022216">
        <w:rPr>
          <w:rFonts w:cs="Times New Roman"/>
        </w:rPr>
        <w:fldChar w:fldCharType="separate"/>
      </w:r>
      <w:r w:rsidRPr="00E74ED6">
        <w:rPr>
          <w:rFonts w:cs="Times New Roman"/>
          <w:szCs w:val="24"/>
        </w:rPr>
        <w:t xml:space="preserve">C. </w:t>
      </w:r>
      <w:r w:rsidRPr="00E74ED6">
        <w:rPr>
          <w:rFonts w:cs="Times New Roman"/>
          <w:smallCaps/>
          <w:szCs w:val="24"/>
        </w:rPr>
        <w:t>Wolmark</w:t>
      </w:r>
      <w:r w:rsidRPr="00E74ED6">
        <w:rPr>
          <w:rFonts w:cs="Times New Roman"/>
          <w:szCs w:val="24"/>
        </w:rPr>
        <w:t xml:space="preserve">, « La neutralité, difficultés logiques et idéologiques », </w:t>
      </w:r>
      <w:r w:rsidRPr="00E74ED6">
        <w:rPr>
          <w:rFonts w:cs="Times New Roman"/>
          <w:i/>
          <w:iCs/>
          <w:szCs w:val="24"/>
        </w:rPr>
        <w:t>Revue de Droit du Travail</w:t>
      </w:r>
      <w:r w:rsidRPr="00E74ED6">
        <w:rPr>
          <w:rFonts w:cs="Times New Roman"/>
          <w:szCs w:val="24"/>
        </w:rPr>
        <w:t>, 2017, p. 239.</w:t>
      </w:r>
      <w:r w:rsidRPr="00022216">
        <w:rPr>
          <w:rFonts w:cs="Times New Roman"/>
        </w:rPr>
        <w:fldChar w:fldCharType="end"/>
      </w:r>
    </w:p>
  </w:footnote>
  <w:footnote w:id="168">
    <w:p w14:paraId="5355D6F3" w14:textId="255C3A21" w:rsidR="000D6C77" w:rsidRPr="00022216" w:rsidRDefault="000D6C77" w:rsidP="00FD2825">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CJUE, </w:t>
      </w:r>
      <w:proofErr w:type="spellStart"/>
      <w:r w:rsidRPr="00022216">
        <w:rPr>
          <w:rFonts w:cs="Times New Roman"/>
          <w:i/>
          <w:iCs/>
        </w:rPr>
        <w:t>Achbita</w:t>
      </w:r>
      <w:proofErr w:type="spellEnd"/>
      <w:r w:rsidRPr="00022216">
        <w:rPr>
          <w:rFonts w:cs="Times New Roman"/>
        </w:rPr>
        <w:t xml:space="preserve">, para. 37. La </w:t>
      </w:r>
      <w:r>
        <w:rPr>
          <w:rFonts w:cs="Times New Roman"/>
        </w:rPr>
        <w:t>Cour</w:t>
      </w:r>
      <w:r w:rsidRPr="00022216">
        <w:rPr>
          <w:rFonts w:cs="Times New Roman"/>
        </w:rPr>
        <w:t xml:space="preserve"> ne manque d’ailleurs pas de citer l’arrêt </w:t>
      </w:r>
      <w:proofErr w:type="spellStart"/>
      <w:r>
        <w:rPr>
          <w:rFonts w:cs="Times New Roman"/>
          <w:i/>
        </w:rPr>
        <w:t>Eweida</w:t>
      </w:r>
      <w:proofErr w:type="spellEnd"/>
      <w:r>
        <w:rPr>
          <w:rFonts w:cs="Times New Roman"/>
          <w:i/>
        </w:rPr>
        <w:t xml:space="preserve"> e.a.</w:t>
      </w:r>
      <w:r w:rsidRPr="00022216">
        <w:rPr>
          <w:rFonts w:cs="Times New Roman"/>
          <w:i/>
        </w:rPr>
        <w:t xml:space="preserve"> </w:t>
      </w:r>
      <w:r w:rsidRPr="00022216">
        <w:rPr>
          <w:rFonts w:cs="Times New Roman"/>
        </w:rPr>
        <w:t xml:space="preserve">à l’appui de son raisonnement – même s’il s’agit de la seule référence à la jurisprudence strasbourgeoise dans cet arrêt. Pour un regard critique sur la compatibilité d’une telle référence avec non seulement la lettre, mais aussi l’esprit de l’arrêt de la CourEDH dans cette affaire,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{"citationID":"wSut0wd5","properties":{"formattedCitation":"E. {\\scaps Bribosia} et I. {\\scaps Rorive}, \\uc0\\u171{}\\uc0\\u160{}Affaires Achbita et Bougnaoui\\uc0\\u8239{}: entre neutralit\\uc0\\u233{} et pr\\uc0\\u233{}jug\\uc0\\u233{}s (obs. sous C.J.U.E., Gde Ch., arr\\uc0\\u234{}ts Achbita et Bougnaoui, 14 mars 2017)\\uc0\\u160{}\\uc0\\u187{}, {\\i{}Rev. trim. dr. h.}, 2017, n\\uc0\\u176{} 112, p. 1033, note 77\\uc0\\u160{}; S. {\\scaps Gilson} et C. {\\scaps Menier}, \\uc0\\u171{}\\uc0\\u160{}Signes religieux au travail\\uc0\\u8239{}: cachez ce voile que je ne saurais voir\\uc0\\u8239{}?\\uc0\\u160{}\\uc0\\u187{}, {\\i{}Bulletin juridique &amp; social}, octobre 2019, vol. 636, p. 9.","plainCitation":"E. Bribosia et I. Rorive, « Affaires Achbita et Bougnaoui : entre neutralité et préjugés (obs. sous C.J.U.E., Gde Ch., arrêts Achbita et Bougnaoui, 14 mars 2017) », Rev. trim. dr. h., 2017, n° 112, p. 1033, note 77 ; S. Gilson et C. Menier, « Signes religieux au travail : cachez ce voile que je ne saurais voir ? », Bulletin juridique &amp; social, octobre 2019, vol. 636, p. 9.","noteIndex":215},"citationItems":[{"id":235,"uris":["http://zotero.org/users/5133869/items/U9PZ7BMG"],"itemData":{"id":235,"type":"article-journal","container-title":"Rev. trim. dr. h.","issue":"112","page":"1017-1037","title":"Affaires Achbita et Bougnaoui : entre neutralité et préjugés (obs. sous C.J.U.E., Gde Ch., arrêts Achbita et Bougnaoui, 14 mars 2017)","author":[{"family":"Bribosia","given":"Emmanuelle"},{"family":"Rorive","given":"Isabelle"}],"issued":{"date-parts":[["2017"]]}},"locator":"1033","suffix":", note 77"},{"id":2424,"uris":["http://zotero.org/users/5133869/items/R6V2IK6I"],"itemData":{"id":2424,"type":"article-journal","container-title":"Bulletin juridique &amp; social","page":"7-10","title":"Signes religieux au travail : cachez ce voile que je ne saurais voir ?","volume":"636","author":[{"family":"Gilson","given":"Steve"},{"family":"Menier","given":"Christophe"}],"issued":{"date-parts":[["2019",10]]}},"locator":"9"}],"schema":"https://github.com/citation-style-language/schema/raw/master/csl-citation.json"} </w:instrText>
      </w:r>
      <w:r w:rsidRPr="00022216">
        <w:rPr>
          <w:rFonts w:cs="Times New Roman"/>
        </w:rPr>
        <w:fldChar w:fldCharType="separate"/>
      </w:r>
      <w:r w:rsidRPr="00697495">
        <w:rPr>
          <w:rFonts w:cs="Times New Roman"/>
          <w:szCs w:val="24"/>
        </w:rPr>
        <w:t xml:space="preserve">E. </w:t>
      </w:r>
      <w:proofErr w:type="spellStart"/>
      <w:r w:rsidRPr="00697495">
        <w:rPr>
          <w:rFonts w:cs="Times New Roman"/>
          <w:smallCaps/>
          <w:szCs w:val="24"/>
        </w:rPr>
        <w:t>Bribosia</w:t>
      </w:r>
      <w:proofErr w:type="spellEnd"/>
      <w:r w:rsidRPr="00697495">
        <w:rPr>
          <w:rFonts w:cs="Times New Roman"/>
          <w:szCs w:val="24"/>
        </w:rPr>
        <w:t xml:space="preserve"> et I. </w:t>
      </w:r>
      <w:proofErr w:type="spellStart"/>
      <w:r w:rsidRPr="00697495">
        <w:rPr>
          <w:rFonts w:cs="Times New Roman"/>
          <w:smallCaps/>
          <w:szCs w:val="24"/>
        </w:rPr>
        <w:t>Rorive</w:t>
      </w:r>
      <w:proofErr w:type="spellEnd"/>
      <w:r w:rsidRPr="00697495">
        <w:rPr>
          <w:rFonts w:cs="Times New Roman"/>
          <w:szCs w:val="24"/>
        </w:rPr>
        <w:t xml:space="preserve">, « Affaires </w:t>
      </w:r>
      <w:proofErr w:type="spellStart"/>
      <w:r w:rsidRPr="00697495">
        <w:rPr>
          <w:rFonts w:cs="Times New Roman"/>
          <w:szCs w:val="24"/>
        </w:rPr>
        <w:t>Achbita</w:t>
      </w:r>
      <w:proofErr w:type="spellEnd"/>
      <w:r w:rsidRPr="00697495">
        <w:rPr>
          <w:rFonts w:cs="Times New Roman"/>
          <w:szCs w:val="24"/>
        </w:rPr>
        <w:t xml:space="preserve"> et Bougnaoui : entre neutralité et préjugés (obs. sous C.J.U.E., Gde Ch., arrêts </w:t>
      </w:r>
      <w:proofErr w:type="spellStart"/>
      <w:r w:rsidRPr="00697495">
        <w:rPr>
          <w:rFonts w:cs="Times New Roman"/>
          <w:szCs w:val="24"/>
        </w:rPr>
        <w:t>Achbita</w:t>
      </w:r>
      <w:proofErr w:type="spellEnd"/>
      <w:r w:rsidRPr="00697495">
        <w:rPr>
          <w:rFonts w:cs="Times New Roman"/>
          <w:szCs w:val="24"/>
        </w:rPr>
        <w:t xml:space="preserve"> et Bougnaoui, 14 mars 2017) », </w:t>
      </w:r>
      <w:proofErr w:type="spellStart"/>
      <w:r w:rsidRPr="00697495">
        <w:rPr>
          <w:rFonts w:cs="Times New Roman"/>
          <w:i/>
          <w:iCs/>
          <w:szCs w:val="24"/>
        </w:rPr>
        <w:t>Rev</w:t>
      </w:r>
      <w:proofErr w:type="spellEnd"/>
      <w:r w:rsidRPr="00697495">
        <w:rPr>
          <w:rFonts w:cs="Times New Roman"/>
          <w:i/>
          <w:iCs/>
          <w:szCs w:val="24"/>
        </w:rPr>
        <w:t xml:space="preserve">. trim. </w:t>
      </w:r>
      <w:proofErr w:type="spellStart"/>
      <w:r w:rsidRPr="00697495">
        <w:rPr>
          <w:rFonts w:cs="Times New Roman"/>
          <w:i/>
          <w:iCs/>
          <w:szCs w:val="24"/>
        </w:rPr>
        <w:t>dr</w:t>
      </w:r>
      <w:proofErr w:type="spellEnd"/>
      <w:r w:rsidRPr="00697495">
        <w:rPr>
          <w:rFonts w:cs="Times New Roman"/>
          <w:i/>
          <w:iCs/>
          <w:szCs w:val="24"/>
        </w:rPr>
        <w:t>. h.</w:t>
      </w:r>
      <w:r w:rsidRPr="00697495">
        <w:rPr>
          <w:rFonts w:cs="Times New Roman"/>
          <w:szCs w:val="24"/>
        </w:rPr>
        <w:t xml:space="preserve">, 2017, n° 112, p. 1033, note 77 ; S. </w:t>
      </w:r>
      <w:r w:rsidRPr="00697495">
        <w:rPr>
          <w:rFonts w:cs="Times New Roman"/>
          <w:smallCaps/>
          <w:szCs w:val="24"/>
        </w:rPr>
        <w:t>Gilson</w:t>
      </w:r>
      <w:r w:rsidRPr="00697495">
        <w:rPr>
          <w:rFonts w:cs="Times New Roman"/>
          <w:szCs w:val="24"/>
        </w:rPr>
        <w:t xml:space="preserve"> et C. </w:t>
      </w:r>
      <w:proofErr w:type="spellStart"/>
      <w:r w:rsidRPr="00697495">
        <w:rPr>
          <w:rFonts w:cs="Times New Roman"/>
          <w:smallCaps/>
          <w:szCs w:val="24"/>
        </w:rPr>
        <w:t>Menier</w:t>
      </w:r>
      <w:proofErr w:type="spellEnd"/>
      <w:r w:rsidRPr="00697495">
        <w:rPr>
          <w:rFonts w:cs="Times New Roman"/>
          <w:szCs w:val="24"/>
        </w:rPr>
        <w:t xml:space="preserve">, « Signes religieux au travail : cachez ce voile que je ne saurais voir ? », </w:t>
      </w:r>
      <w:r w:rsidRPr="00697495">
        <w:rPr>
          <w:rFonts w:cs="Times New Roman"/>
          <w:i/>
          <w:iCs/>
          <w:szCs w:val="24"/>
        </w:rPr>
        <w:t>Bulletin juridique &amp; social</w:t>
      </w:r>
      <w:r w:rsidRPr="00697495">
        <w:rPr>
          <w:rFonts w:cs="Times New Roman"/>
          <w:szCs w:val="24"/>
        </w:rPr>
        <w:t>, octobre 2019, vol. 636, p. 9.</w:t>
      </w:r>
      <w:r w:rsidRPr="00022216">
        <w:rPr>
          <w:rFonts w:cs="Times New Roman"/>
        </w:rPr>
        <w:fldChar w:fldCharType="end"/>
      </w:r>
      <w:r w:rsidRPr="00022216">
        <w:rPr>
          <w:rFonts w:cs="Times New Roman"/>
        </w:rPr>
        <w:t xml:space="preserve"> </w:t>
      </w:r>
      <w:r>
        <w:rPr>
          <w:rFonts w:cs="Times New Roman"/>
          <w:i/>
        </w:rPr>
        <w:t>Contra</w:t>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{"citationID":"rNJHcz51","properties":{"formattedCitation":"F. {\\scaps Pinatel}, \\uc0\\u171{}\\uc0\\u160{}Table ronde 2\\uc0\\u8239{}: le droit de croire. \\uc0\\u201{}tat actuel (et \\uc0\\u224{} venir\\uc0\\u8239{}?) de la jurisprudence - Colloque \\uc0\\u8216{}Le silence religieux dans l\\uc0\\u8217{}entreprise\\uc0\\u8217{}\\uc0\\u160{}\\uc0\\u187{}, {\\i{}La Semaine Juridique - Edition Sociale}, septembre 2017, n\\uc0\\u176{} 35, pp. 3\\uc0\\u8209{}4\\uc0\\u160{}; M. {\\scaps Hashemi}, \\uc0\\u171{}\\uc0\\u160{}Eweida versus Achbita: a storm in a teacup?\\uc0\\u160{}\\uc0\\u187{}, {\\i{}European Employment Law Cases}, 2019, vol. 4, n\\uc0\\u176{} 3, pp. 174\\uc0\\u8209{}178.","plainCitation":"F. Pinatel, « Table ronde 2 : le droit de croire. État actuel (et à venir ?) de la jurisprudence - Colloque ‘Le silence religieux dans l’entreprise’ », La Semaine Juridique - Edition Sociale, septembre 2017, n° 35, pp. 3‑4 ; M. Hashemi, « Eweida versus Achbita: a storm in a teacup? », European Employment Law Cases, 2019, vol. 4, n° 3, pp. 174‑178.","noteIndex":215},"citationItems":[{"id":195,"uris":["http://zotero.org/users/5133869/items/JMNH8E9T"],"itemData":{"id":195,"type":"article-journal","container-title":"La Semaine Juridique - Edition Sociale","issue":"35","page":"1265","title":"Table ronde 2 : le droit de croire. État actuel (et à venir ?) de la jurisprudence - Colloque ‘Le silence religieux dans l’entreprise’","author":[{"family":"Pinatel","given":"François"}],"issued":{"date-parts":[["2017",9,5]]}},"locator":"3-4"},{"id":2349,"uris":["http://zotero.org/users/5133869/items/BL4BU8KP"],"itemData":{"id":2349,"type":"article-journal","container-title":"European Employment Law Cases","DOI":"10.5553/EELC/187791072019004003006","ISSN":"1877-9107","issue":"3","page":"174-178","source":"DOI.org (Crossref)","title":"Eweida versus Achbita: a storm in a teacup?","title-short":"2019/29 Eweida versus Achbita","volume":"4","author":[{"family":"Hashemi","given":"Morwarid"}],"issued":{"date-parts":[["2019"]]}}}],"schema":"https://github.com/citation-style-language/schema/raw/master/csl-citation.json"} </w:instrText>
      </w:r>
      <w:r w:rsidRPr="00022216">
        <w:rPr>
          <w:rFonts w:cs="Times New Roman"/>
        </w:rPr>
        <w:fldChar w:fldCharType="separate"/>
      </w:r>
      <w:r w:rsidRPr="00257124">
        <w:rPr>
          <w:rFonts w:cs="Times New Roman"/>
          <w:szCs w:val="24"/>
        </w:rPr>
        <w:t xml:space="preserve">F. </w:t>
      </w:r>
      <w:r w:rsidRPr="00257124">
        <w:rPr>
          <w:rFonts w:cs="Times New Roman"/>
          <w:smallCaps/>
          <w:szCs w:val="24"/>
        </w:rPr>
        <w:t>Pinatel</w:t>
      </w:r>
      <w:r w:rsidRPr="00257124">
        <w:rPr>
          <w:rFonts w:cs="Times New Roman"/>
          <w:szCs w:val="24"/>
        </w:rPr>
        <w:t xml:space="preserve">, « Table ronde 2 : le droit de croire. État actuel (et à venir ?) de la jurisprudence - Colloque ‘Le silence religieux dans l’entreprise’ », </w:t>
      </w:r>
      <w:r w:rsidRPr="00257124">
        <w:rPr>
          <w:rFonts w:cs="Times New Roman"/>
          <w:i/>
          <w:iCs/>
          <w:szCs w:val="24"/>
        </w:rPr>
        <w:t>La Semaine Juridique - Edition Sociale</w:t>
      </w:r>
      <w:r w:rsidRPr="00257124">
        <w:rPr>
          <w:rFonts w:cs="Times New Roman"/>
          <w:szCs w:val="24"/>
        </w:rPr>
        <w:t xml:space="preserve">, septembre 2017, n° 35, pp. 3‑4 ; M. </w:t>
      </w:r>
      <w:proofErr w:type="spellStart"/>
      <w:r w:rsidRPr="00257124">
        <w:rPr>
          <w:rFonts w:cs="Times New Roman"/>
          <w:smallCaps/>
          <w:szCs w:val="24"/>
        </w:rPr>
        <w:t>Hashemi</w:t>
      </w:r>
      <w:proofErr w:type="spellEnd"/>
      <w:r w:rsidRPr="00257124">
        <w:rPr>
          <w:rFonts w:cs="Times New Roman"/>
          <w:szCs w:val="24"/>
        </w:rPr>
        <w:t>, « </w:t>
      </w:r>
      <w:proofErr w:type="spellStart"/>
      <w:r w:rsidRPr="00257124">
        <w:rPr>
          <w:rFonts w:cs="Times New Roman"/>
          <w:szCs w:val="24"/>
        </w:rPr>
        <w:t>Eweida</w:t>
      </w:r>
      <w:proofErr w:type="spellEnd"/>
      <w:r w:rsidRPr="00257124">
        <w:rPr>
          <w:rFonts w:cs="Times New Roman"/>
          <w:szCs w:val="24"/>
        </w:rPr>
        <w:t xml:space="preserve"> versus </w:t>
      </w:r>
      <w:proofErr w:type="spellStart"/>
      <w:r w:rsidRPr="00257124">
        <w:rPr>
          <w:rFonts w:cs="Times New Roman"/>
          <w:szCs w:val="24"/>
        </w:rPr>
        <w:t>Achbita</w:t>
      </w:r>
      <w:proofErr w:type="spellEnd"/>
      <w:r w:rsidRPr="00257124">
        <w:rPr>
          <w:rFonts w:cs="Times New Roman"/>
          <w:szCs w:val="24"/>
        </w:rPr>
        <w:t xml:space="preserve">: </w:t>
      </w:r>
      <w:proofErr w:type="spellStart"/>
      <w:r w:rsidRPr="00257124">
        <w:rPr>
          <w:rFonts w:cs="Times New Roman"/>
          <w:szCs w:val="24"/>
        </w:rPr>
        <w:t>a</w:t>
      </w:r>
      <w:proofErr w:type="spellEnd"/>
      <w:r w:rsidRPr="00257124">
        <w:rPr>
          <w:rFonts w:cs="Times New Roman"/>
          <w:szCs w:val="24"/>
        </w:rPr>
        <w:t xml:space="preserve"> </w:t>
      </w:r>
      <w:proofErr w:type="spellStart"/>
      <w:r w:rsidRPr="00257124">
        <w:rPr>
          <w:rFonts w:cs="Times New Roman"/>
          <w:szCs w:val="24"/>
        </w:rPr>
        <w:t>storm</w:t>
      </w:r>
      <w:proofErr w:type="spellEnd"/>
      <w:r w:rsidRPr="00257124">
        <w:rPr>
          <w:rFonts w:cs="Times New Roman"/>
          <w:szCs w:val="24"/>
        </w:rPr>
        <w:t xml:space="preserve"> in a </w:t>
      </w:r>
      <w:proofErr w:type="spellStart"/>
      <w:r w:rsidRPr="00257124">
        <w:rPr>
          <w:rFonts w:cs="Times New Roman"/>
          <w:szCs w:val="24"/>
        </w:rPr>
        <w:t>teacup</w:t>
      </w:r>
      <w:proofErr w:type="spellEnd"/>
      <w:r w:rsidRPr="00257124">
        <w:rPr>
          <w:rFonts w:cs="Times New Roman"/>
          <w:szCs w:val="24"/>
        </w:rPr>
        <w:t xml:space="preserve">? », </w:t>
      </w:r>
      <w:r w:rsidRPr="00257124">
        <w:rPr>
          <w:rFonts w:cs="Times New Roman"/>
          <w:i/>
          <w:iCs/>
          <w:szCs w:val="24"/>
        </w:rPr>
        <w:t xml:space="preserve">European </w:t>
      </w:r>
      <w:proofErr w:type="spellStart"/>
      <w:r w:rsidRPr="00257124">
        <w:rPr>
          <w:rFonts w:cs="Times New Roman"/>
          <w:i/>
          <w:iCs/>
          <w:szCs w:val="24"/>
        </w:rPr>
        <w:t>Employment</w:t>
      </w:r>
      <w:proofErr w:type="spellEnd"/>
      <w:r w:rsidRPr="00257124">
        <w:rPr>
          <w:rFonts w:cs="Times New Roman"/>
          <w:i/>
          <w:iCs/>
          <w:szCs w:val="24"/>
        </w:rPr>
        <w:t xml:space="preserve"> Law Cases</w:t>
      </w:r>
      <w:r w:rsidRPr="00257124">
        <w:rPr>
          <w:rFonts w:cs="Times New Roman"/>
          <w:szCs w:val="24"/>
        </w:rPr>
        <w:t>, 2019, vol. 4, n° 3, pp. 174‑178.</w:t>
      </w:r>
      <w:r w:rsidRPr="00022216">
        <w:rPr>
          <w:rFonts w:cs="Times New Roman"/>
        </w:rPr>
        <w:fldChar w:fldCharType="end"/>
      </w:r>
    </w:p>
  </w:footnote>
  <w:footnote w:id="169">
    <w:p w14:paraId="1F23FF1F" w14:textId="448B5C03" w:rsidR="000D6C77" w:rsidRPr="00022216" w:rsidRDefault="000D6C77" w:rsidP="00FD2825">
      <w:pPr>
        <w:pStyle w:val="Notedebasdepage"/>
        <w:rPr>
          <w:rFonts w:cs="Times New Roman"/>
        </w:rPr>
      </w:pPr>
      <w:r w:rsidRPr="00022216">
        <w:rPr>
          <w:rStyle w:val="Appelnotedebasdep"/>
          <w:rFonts w:cs="Times New Roman"/>
        </w:rPr>
        <w:footnoteRef/>
      </w:r>
      <w:r w:rsidRPr="00022216">
        <w:rPr>
          <w:rFonts w:cs="Times New Roman"/>
        </w:rPr>
        <w:t xml:space="preserve"> Comme l’indique G. </w:t>
      </w:r>
      <w:proofErr w:type="spellStart"/>
      <w:r w:rsidRPr="00022216">
        <w:rPr>
          <w:rFonts w:cs="Times New Roman"/>
          <w:smallCaps/>
        </w:rPr>
        <w:t>Duchange</w:t>
      </w:r>
      <w:proofErr w:type="spellEnd"/>
      <w:r w:rsidRPr="00022216">
        <w:rPr>
          <w:rFonts w:cs="Times New Roman"/>
        </w:rPr>
        <w:t>, « la</w:t>
      </w:r>
      <w:r>
        <w:rPr>
          <w:rFonts w:cs="Times New Roman"/>
        </w:rPr>
        <w:t xml:space="preserve"> "</w:t>
      </w:r>
      <w:r w:rsidRPr="00022216">
        <w:rPr>
          <w:rFonts w:cs="Times New Roman"/>
        </w:rPr>
        <w:t>politique d’entreprise</w:t>
      </w:r>
      <w:r>
        <w:rPr>
          <w:rFonts w:cs="Times New Roman"/>
        </w:rPr>
        <w:t>"</w:t>
      </w:r>
      <w:r w:rsidRPr="00022216">
        <w:rPr>
          <w:rFonts w:cs="Times New Roman"/>
        </w:rPr>
        <w:t xml:space="preserve"> est donnée, en tant que telle, comme exemple de justification d’une discrimination indirecte indépendamment de ce qui la sous-tend » </w:t>
      </w:r>
      <w:r w:rsidRPr="00022216">
        <w:rPr>
          <w:rFonts w:cs="Times New Roman"/>
        </w:rPr>
        <w:fldChar w:fldCharType="begin"/>
      </w:r>
      <w:r>
        <w:rPr>
          <w:rFonts w:cs="Times New Roman"/>
        </w:rPr>
        <w:instrText xml:space="preserve"> ADDIN ZOTERO_ITEM CSL_CITATION {"citationID":"55CwxPsz","properties":{"formattedCitation":"(\\uc0\\u171{}\\uc0\\u160{}Le pouvoir r\\uc0\\u233{}glementaire de l\\uc0\\u8217{}employeur en mati\\uc0\\u232{}re religieuse\\uc0\\u160{}\\uc0\\u187{}, {\\i{}La Semaine Juridique - Edition Sociale}, f\\uc0\\u233{}vrier 2018, vol. 1044, n\\uc0\\u176{} 5, p. 3).","plainCitation":"(« Le pouvoir réglementaire de l’employeur en matière religieuse », La Semaine Juridique - Edition Sociale, février 2018, vol. 1044, n° 5, p. 3).","noteIndex":216},"citationItems":[{"id":117,"uris":["http://zotero.org/users/5133869/items/DZ75I4W7"],"itemData":{"id":117,"type":"article-journal","container-title":"La Semaine Juridique - Edition Sociale","issue":"5","page":"1-4","title":"Le pouvoir réglementaire de l’employeur en matière religieuse","volume":"1044","author":[{"family":"Duchange","given":"Grégoire"}],"issued":{"date-parts":[["2018",2,6]]}},"locator":"3","suppress-author":true,"prefix":"(","suffix":")"}],"schema":"https://github.com/citation-style-language/schema/raw/master/csl-citation.json"} </w:instrText>
      </w:r>
      <w:r w:rsidRPr="00022216">
        <w:rPr>
          <w:rFonts w:cs="Times New Roman"/>
        </w:rPr>
        <w:fldChar w:fldCharType="separate"/>
      </w:r>
      <w:r w:rsidRPr="00022216">
        <w:rPr>
          <w:rFonts w:cs="Times New Roman"/>
        </w:rPr>
        <w:t xml:space="preserve">(« Le pouvoir réglementaire de l’employeur en matière religieuse », </w:t>
      </w:r>
      <w:r w:rsidRPr="00022216">
        <w:rPr>
          <w:rFonts w:cs="Times New Roman"/>
          <w:i/>
          <w:iCs/>
        </w:rPr>
        <w:t>La Semaine Juridique - Edition Sociale</w:t>
      </w:r>
      <w:r w:rsidRPr="00022216">
        <w:rPr>
          <w:rFonts w:cs="Times New Roman"/>
        </w:rPr>
        <w:t>, février 2018, vol. 1044, n° 5, p. 3).</w:t>
      </w:r>
      <w:r w:rsidRPr="00022216">
        <w:rPr>
          <w:rFonts w:cs="Times New Roman"/>
        </w:rPr>
        <w:fldChar w:fldCharType="end"/>
      </w:r>
    </w:p>
  </w:footnote>
  <w:footnote w:id="170">
    <w:p w14:paraId="5A134E40" w14:textId="4785B88E" w:rsidR="000D6C77" w:rsidRPr="00022216" w:rsidRDefault="000D6C77" w:rsidP="00CA0147">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{"citationID":"7wH64HF2","properties":{"formattedCitation":"H. {\\scaps Nasom-Tissandier}, \\uc0\\u171{}\\uc0\\u160{}Neutralit\\uc0\\u233{} religieuse dans l\\uc0\\u8217{}entreprise\\uc0\\u8239{}: le droit fran\\uc0\\u231{}ais au prisme du droit europ\\uc0\\u233{}en\\uc0\\u160{}\\uc0\\u187{}, {\\i{}Droit social}, 2018, n\\uc0\\u176{} 4, p. 352.","plainCitation":"H. Nasom-Tissandier, « Neutralité religieuse dans l’entreprise : le droit français au prisme du droit européen », Droit social, 2018, n° 4, p. 352.","noteIndex":218},"citationItems":[{"id":242,"uris":["http://zotero.org/users/5133869/items/MRXLGMH9"],"itemData":{"id":242,"type":"article-journal","container-title":"Droit social","issue":"4","page":"348-355","title":"Neutralité religieuse dans l'entreprise : le droit français au prisme du droit européen","author":[{"family":"Nasom-Tissandier","given":"Hélène"}],"issued":{"date-parts":[["2018"]]}},"locator":"352"}],"schema":"https://github.com/citation-style-language/schema/raw/master/csl-citation.json"} </w:instrText>
      </w:r>
      <w:r w:rsidRPr="00022216">
        <w:rPr>
          <w:rFonts w:cs="Times New Roman"/>
        </w:rPr>
        <w:fldChar w:fldCharType="separate"/>
      </w:r>
      <w:r w:rsidRPr="00D57414">
        <w:rPr>
          <w:rFonts w:cs="Times New Roman"/>
          <w:szCs w:val="24"/>
        </w:rPr>
        <w:t xml:space="preserve">H. </w:t>
      </w:r>
      <w:proofErr w:type="spellStart"/>
      <w:r w:rsidRPr="00D57414">
        <w:rPr>
          <w:rFonts w:cs="Times New Roman"/>
          <w:smallCaps/>
          <w:szCs w:val="24"/>
        </w:rPr>
        <w:t>Nasom</w:t>
      </w:r>
      <w:proofErr w:type="spellEnd"/>
      <w:r w:rsidRPr="00D57414">
        <w:rPr>
          <w:rFonts w:cs="Times New Roman"/>
          <w:smallCaps/>
          <w:szCs w:val="24"/>
        </w:rPr>
        <w:t>-Tissandier</w:t>
      </w:r>
      <w:r w:rsidRPr="00D57414">
        <w:rPr>
          <w:rFonts w:cs="Times New Roman"/>
          <w:szCs w:val="24"/>
        </w:rPr>
        <w:t xml:space="preserve">, « Neutralité religieuse dans l’entreprise : le droit français au prisme du droit européen », </w:t>
      </w:r>
      <w:r w:rsidRPr="00D57414">
        <w:rPr>
          <w:rFonts w:cs="Times New Roman"/>
          <w:i/>
          <w:iCs/>
          <w:szCs w:val="24"/>
        </w:rPr>
        <w:t>Droit social</w:t>
      </w:r>
      <w:r w:rsidRPr="00D57414">
        <w:rPr>
          <w:rFonts w:cs="Times New Roman"/>
          <w:szCs w:val="24"/>
        </w:rPr>
        <w:t>, 2018, n° 4, p. 352.</w:t>
      </w:r>
      <w:r w:rsidRPr="00022216">
        <w:rPr>
          <w:rFonts w:cs="Times New Roman"/>
        </w:rPr>
        <w:fldChar w:fldCharType="end"/>
      </w:r>
    </w:p>
  </w:footnote>
  <w:footnote w:id="171">
    <w:p w14:paraId="463B696D" w14:textId="185461D3" w:rsidR="000D6C77" w:rsidRPr="00DF7E86" w:rsidRDefault="000D6C77">
      <w:pPr>
        <w:pStyle w:val="Notedebasdepage"/>
      </w:pPr>
      <w:r>
        <w:rPr>
          <w:rStyle w:val="Appelnotedebasdep"/>
        </w:rPr>
        <w:footnoteRef/>
      </w:r>
      <w:r w:rsidRPr="00DF7E86">
        <w:t xml:space="preserve"> </w:t>
      </w:r>
      <w:r>
        <w:fldChar w:fldCharType="begin"/>
      </w:r>
      <w:r w:rsidRPr="008D517D">
        <w:instrText xml:space="preserve"> ADDIN ZOTERO_ITEM CSL_CITATION {"citationID":"QBsBE0zx","properties":{"formattedCitation":"A. {\\scaps Djelassi}, R. {\\scaps Mertens} et S. {\\scaps Wattier}, \\uc0\\u171{}\\uc0\\u160{}Principe de neutralit\\uc0\\u233{} dans les entreprises priv\\uc0\\u233{}es\\uc0\\u8239{}: la Cour de justice \\uc0\\u233{}toffe sa jurisprudence relative \\uc0\\u224{} l\\uc0\\u8217{}interdiction des signes religieux: (obs. sous C.J.U.E., Gde Ch., arr\\uc0\\u234{}t IX c. WABE eV et MH M\\uc0\\u252{}ller Handels GmbH c. MJ, 15 juillet 2021, aff. jtes no C-804/18 et no C-341/19)\\uc0\\u160{}\\uc0\\u187{}, {\\i{}Rev. trim. dr. h.}, avril 2022, vol. 130, n\\uc0\\u176{} 2, p. 393\\uc0\\u160{}; F. {\\scaps Dorssemont}, \\uc0\\u171{}\\uc0\\u160{}Vrijheid van religie voor werknemers: Nog mogelijk in het post-Achbita-tijdperk?\\uc0\\u160{}\\uc0\\u187{}, {\\i{}op. cit.}, p. 756.","plainCitation":"A. Djelassi, R. Mertens et S. Wattier, « Principe de neutralité dans les entreprises privées : la Cour de justice étoffe sa jurisprudence relative à l’interdiction des signes religieux: (obs. sous C.J.U.E., Gde Ch., arrêt IX c. WABE eV et MH Müller Handels GmbH c. MJ, 15 juillet 2021, aff. jtes no C-804/18 et no C-341/19) », Rev. trim. dr. h., avril 2022, vol. 130, n° 2, p. 393 ; F. Dorssemont, « Vrijheid van religie voor werknemers: Nog mogelijk in het post-Achbita-tijdperk? », op. cit., p. 756.","noteIndex":219},"citationItems":[{"id":3291,"uris":["http://zotero.org/users/5133869/items/CFZ66ZVP"],"itemData":{"id":3291,"type":"article-journal","abstract":"The prohibition of religious symbols in private companies causes a lot of debate. On 15 July 2021, the Court of Justice of the European Union ruled on the interpretation of Directive 2000/78 and the application of the principle of non-discrimination on the basis of religion. This was an opportunity for the Court to clarify, for the </w:instrText>
      </w:r>
      <w:r>
        <w:rPr>
          <w:lang w:val="nl-BE"/>
        </w:rPr>
        <w:instrText>ﬁ</w:instrText>
      </w:r>
      <w:r w:rsidRPr="008D517D">
        <w:instrText xml:space="preserve">rst time, its Achbita and Bougnaoui case law on the Islamic headscarf.","container-title":"Rev. trim. dr. h.","DOI":"10.3917/rtdh.130.0373","ISSN":"0777-3579","issue":"2","language":"fr","page":"373-395","source":"DOI.org (Crossref)","title":"Principe de neutralité dans les entreprises privées : la Cour de justice étoffe sa jurisprudence relative à l’interdiction des signes religieux: (obs. sous C.J.U.E., Gde Ch., arrêt IX c. WABE eV et MH Müller Handels GmbH c. MJ, 15 juillet 2021, aff. jtes no C-804/18 et no C-341/19)","title-short":"Principe de neutralité dans les entreprises privées","volume":"130","author":[{"family":"Djelassi","given":"Anissa"},{"family":"Mertens","given":"Romain"},{"family":"Wattier","given":"Stéphanie"}],"issued":{"date-parts":[["2022",4,4]]}},"locator":"393","label":"page"},{"id":3283,"uris":["http://zotero.org/users/5133869/items/DPKNYKN2"],"itemData":{"id":3283,"type":"article-journal","container-title":"Nieuw Juridische Weekblad","issue":"450","language":"nl","page":"750-765","source":"Zotero","title":"Vrijheid van religie voor werknemers: Nog mogelijk in het post-Achbita-tijdperk?","author":[{"family":"Dorssemont","given":"Filip"}],"issued":{"date-parts":[["2021"]]}},"locator":"756","label":"page"}],"schema":"https://github.com/citation-style-language/schema/raw/master/csl-citation.json"} </w:instrText>
      </w:r>
      <w:r>
        <w:fldChar w:fldCharType="separate"/>
      </w:r>
      <w:r w:rsidRPr="0030517F">
        <w:rPr>
          <w:rFonts w:cs="Times New Roman"/>
          <w:szCs w:val="24"/>
        </w:rPr>
        <w:t xml:space="preserve">A. </w:t>
      </w:r>
      <w:proofErr w:type="spellStart"/>
      <w:r w:rsidRPr="0030517F">
        <w:rPr>
          <w:rFonts w:cs="Times New Roman"/>
          <w:smallCaps/>
          <w:szCs w:val="24"/>
        </w:rPr>
        <w:t>Djelassi</w:t>
      </w:r>
      <w:proofErr w:type="spellEnd"/>
      <w:r w:rsidRPr="0030517F">
        <w:rPr>
          <w:rFonts w:cs="Times New Roman"/>
          <w:szCs w:val="24"/>
        </w:rPr>
        <w:t xml:space="preserve">, R. </w:t>
      </w:r>
      <w:r w:rsidRPr="0030517F">
        <w:rPr>
          <w:rFonts w:cs="Times New Roman"/>
          <w:smallCaps/>
          <w:szCs w:val="24"/>
        </w:rPr>
        <w:t>Mertens</w:t>
      </w:r>
      <w:r w:rsidRPr="0030517F">
        <w:rPr>
          <w:rFonts w:cs="Times New Roman"/>
          <w:szCs w:val="24"/>
        </w:rPr>
        <w:t xml:space="preserve"> et S. </w:t>
      </w:r>
      <w:r w:rsidRPr="0030517F">
        <w:rPr>
          <w:rFonts w:cs="Times New Roman"/>
          <w:smallCaps/>
          <w:szCs w:val="24"/>
        </w:rPr>
        <w:t>Wattier</w:t>
      </w:r>
      <w:r w:rsidRPr="0030517F">
        <w:rPr>
          <w:rFonts w:cs="Times New Roman"/>
          <w:szCs w:val="24"/>
        </w:rPr>
        <w:t xml:space="preserve">, « Principe de neutralité dans les entreprises privées : la Cour de justice étoffe sa jurisprudence relative à l’interdiction des signes religieux: (obs. sous C.J.U.E., Gde Ch., arrêt IX c. WABE eV et MH Müller </w:t>
      </w:r>
      <w:proofErr w:type="spellStart"/>
      <w:r w:rsidRPr="0030517F">
        <w:rPr>
          <w:rFonts w:cs="Times New Roman"/>
          <w:szCs w:val="24"/>
        </w:rPr>
        <w:t>Handels</w:t>
      </w:r>
      <w:proofErr w:type="spellEnd"/>
      <w:r w:rsidRPr="0030517F">
        <w:rPr>
          <w:rFonts w:cs="Times New Roman"/>
          <w:szCs w:val="24"/>
        </w:rPr>
        <w:t xml:space="preserve"> </w:t>
      </w:r>
      <w:proofErr w:type="spellStart"/>
      <w:r w:rsidRPr="0030517F">
        <w:rPr>
          <w:rFonts w:cs="Times New Roman"/>
          <w:szCs w:val="24"/>
        </w:rPr>
        <w:t>GmbH</w:t>
      </w:r>
      <w:proofErr w:type="spellEnd"/>
      <w:r w:rsidRPr="0030517F">
        <w:rPr>
          <w:rFonts w:cs="Times New Roman"/>
          <w:szCs w:val="24"/>
        </w:rPr>
        <w:t xml:space="preserve"> c. MJ, 15 juillet 2021, </w:t>
      </w:r>
      <w:proofErr w:type="spellStart"/>
      <w:r w:rsidRPr="0030517F">
        <w:rPr>
          <w:rFonts w:cs="Times New Roman"/>
          <w:szCs w:val="24"/>
        </w:rPr>
        <w:t>aff.</w:t>
      </w:r>
      <w:proofErr w:type="spellEnd"/>
      <w:r w:rsidRPr="0030517F">
        <w:rPr>
          <w:rFonts w:cs="Times New Roman"/>
          <w:szCs w:val="24"/>
        </w:rPr>
        <w:t xml:space="preserve"> </w:t>
      </w:r>
      <w:proofErr w:type="spellStart"/>
      <w:r w:rsidRPr="0030517F">
        <w:rPr>
          <w:rFonts w:cs="Times New Roman"/>
          <w:szCs w:val="24"/>
        </w:rPr>
        <w:t>jtes</w:t>
      </w:r>
      <w:proofErr w:type="spellEnd"/>
      <w:r w:rsidRPr="0030517F">
        <w:rPr>
          <w:rFonts w:cs="Times New Roman"/>
          <w:szCs w:val="24"/>
        </w:rPr>
        <w:t xml:space="preserve"> no C-804/18 et no C-341/19) », </w:t>
      </w:r>
      <w:proofErr w:type="spellStart"/>
      <w:r w:rsidRPr="0030517F">
        <w:rPr>
          <w:rFonts w:cs="Times New Roman"/>
          <w:i/>
          <w:iCs/>
          <w:szCs w:val="24"/>
        </w:rPr>
        <w:t>Rev</w:t>
      </w:r>
      <w:proofErr w:type="spellEnd"/>
      <w:r w:rsidRPr="0030517F">
        <w:rPr>
          <w:rFonts w:cs="Times New Roman"/>
          <w:i/>
          <w:iCs/>
          <w:szCs w:val="24"/>
        </w:rPr>
        <w:t xml:space="preserve">. trim. </w:t>
      </w:r>
      <w:proofErr w:type="spellStart"/>
      <w:r w:rsidRPr="0030517F">
        <w:rPr>
          <w:rFonts w:cs="Times New Roman"/>
          <w:i/>
          <w:iCs/>
          <w:szCs w:val="24"/>
        </w:rPr>
        <w:t>dr</w:t>
      </w:r>
      <w:proofErr w:type="spellEnd"/>
      <w:r w:rsidRPr="0030517F">
        <w:rPr>
          <w:rFonts w:cs="Times New Roman"/>
          <w:i/>
          <w:iCs/>
          <w:szCs w:val="24"/>
        </w:rPr>
        <w:t>. h.</w:t>
      </w:r>
      <w:r w:rsidRPr="0030517F">
        <w:rPr>
          <w:rFonts w:cs="Times New Roman"/>
          <w:szCs w:val="24"/>
        </w:rPr>
        <w:t xml:space="preserve">, avril 2022, vol. 130, n° 2, p. 393 ; F. </w:t>
      </w:r>
      <w:r w:rsidRPr="0030517F">
        <w:rPr>
          <w:rFonts w:cs="Times New Roman"/>
          <w:smallCaps/>
          <w:szCs w:val="24"/>
        </w:rPr>
        <w:t>Dorssemont</w:t>
      </w:r>
      <w:r w:rsidRPr="0030517F">
        <w:rPr>
          <w:rFonts w:cs="Times New Roman"/>
          <w:szCs w:val="24"/>
        </w:rPr>
        <w:t>, « </w:t>
      </w:r>
      <w:proofErr w:type="spellStart"/>
      <w:r w:rsidRPr="0030517F">
        <w:rPr>
          <w:rFonts w:cs="Times New Roman"/>
          <w:szCs w:val="24"/>
        </w:rPr>
        <w:t>Vrijheid</w:t>
      </w:r>
      <w:proofErr w:type="spellEnd"/>
      <w:r w:rsidRPr="0030517F">
        <w:rPr>
          <w:rFonts w:cs="Times New Roman"/>
          <w:szCs w:val="24"/>
        </w:rPr>
        <w:t xml:space="preserve"> van </w:t>
      </w:r>
      <w:proofErr w:type="spellStart"/>
      <w:r w:rsidRPr="0030517F">
        <w:rPr>
          <w:rFonts w:cs="Times New Roman"/>
          <w:szCs w:val="24"/>
        </w:rPr>
        <w:t>religie</w:t>
      </w:r>
      <w:proofErr w:type="spellEnd"/>
      <w:r w:rsidRPr="0030517F">
        <w:rPr>
          <w:rFonts w:cs="Times New Roman"/>
          <w:szCs w:val="24"/>
        </w:rPr>
        <w:t xml:space="preserve"> </w:t>
      </w:r>
      <w:proofErr w:type="spellStart"/>
      <w:r w:rsidRPr="0030517F">
        <w:rPr>
          <w:rFonts w:cs="Times New Roman"/>
          <w:szCs w:val="24"/>
        </w:rPr>
        <w:t>voor</w:t>
      </w:r>
      <w:proofErr w:type="spellEnd"/>
      <w:r w:rsidRPr="0030517F">
        <w:rPr>
          <w:rFonts w:cs="Times New Roman"/>
          <w:szCs w:val="24"/>
        </w:rPr>
        <w:t xml:space="preserve"> </w:t>
      </w:r>
      <w:proofErr w:type="spellStart"/>
      <w:r w:rsidRPr="0030517F">
        <w:rPr>
          <w:rFonts w:cs="Times New Roman"/>
          <w:szCs w:val="24"/>
        </w:rPr>
        <w:t>werknemers</w:t>
      </w:r>
      <w:proofErr w:type="spellEnd"/>
      <w:r w:rsidRPr="0030517F">
        <w:rPr>
          <w:rFonts w:cs="Times New Roman"/>
          <w:szCs w:val="24"/>
        </w:rPr>
        <w:t xml:space="preserve">: </w:t>
      </w:r>
      <w:proofErr w:type="spellStart"/>
      <w:r w:rsidRPr="0030517F">
        <w:rPr>
          <w:rFonts w:cs="Times New Roman"/>
          <w:szCs w:val="24"/>
        </w:rPr>
        <w:t>Nog</w:t>
      </w:r>
      <w:proofErr w:type="spellEnd"/>
      <w:r w:rsidRPr="0030517F">
        <w:rPr>
          <w:rFonts w:cs="Times New Roman"/>
          <w:szCs w:val="24"/>
        </w:rPr>
        <w:t xml:space="preserve"> </w:t>
      </w:r>
      <w:proofErr w:type="spellStart"/>
      <w:r w:rsidRPr="0030517F">
        <w:rPr>
          <w:rFonts w:cs="Times New Roman"/>
          <w:szCs w:val="24"/>
        </w:rPr>
        <w:t>mogelijk</w:t>
      </w:r>
      <w:proofErr w:type="spellEnd"/>
      <w:r w:rsidRPr="0030517F">
        <w:rPr>
          <w:rFonts w:cs="Times New Roman"/>
          <w:szCs w:val="24"/>
        </w:rPr>
        <w:t xml:space="preserve"> in het post-</w:t>
      </w:r>
      <w:proofErr w:type="spellStart"/>
      <w:r w:rsidRPr="0030517F">
        <w:rPr>
          <w:rFonts w:cs="Times New Roman"/>
          <w:szCs w:val="24"/>
        </w:rPr>
        <w:t>Achbita</w:t>
      </w:r>
      <w:proofErr w:type="spellEnd"/>
      <w:r w:rsidRPr="0030517F">
        <w:rPr>
          <w:rFonts w:cs="Times New Roman"/>
          <w:szCs w:val="24"/>
        </w:rPr>
        <w:t>-</w:t>
      </w:r>
      <w:proofErr w:type="spellStart"/>
      <w:r w:rsidRPr="0030517F">
        <w:rPr>
          <w:rFonts w:cs="Times New Roman"/>
          <w:szCs w:val="24"/>
        </w:rPr>
        <w:t>tijdperk</w:t>
      </w:r>
      <w:proofErr w:type="spellEnd"/>
      <w:r w:rsidRPr="0030517F">
        <w:rPr>
          <w:rFonts w:cs="Times New Roman"/>
          <w:szCs w:val="24"/>
        </w:rPr>
        <w:t xml:space="preserve">? », </w:t>
      </w:r>
      <w:r w:rsidRPr="0030517F">
        <w:rPr>
          <w:rFonts w:cs="Times New Roman"/>
          <w:i/>
          <w:iCs/>
          <w:szCs w:val="24"/>
        </w:rPr>
        <w:t xml:space="preserve">op. </w:t>
      </w:r>
      <w:proofErr w:type="spellStart"/>
      <w:r w:rsidRPr="0030517F">
        <w:rPr>
          <w:rFonts w:cs="Times New Roman"/>
          <w:i/>
          <w:iCs/>
          <w:szCs w:val="24"/>
        </w:rPr>
        <w:t>cit</w:t>
      </w:r>
      <w:proofErr w:type="spellEnd"/>
      <w:r w:rsidRPr="0030517F">
        <w:rPr>
          <w:rFonts w:cs="Times New Roman"/>
          <w:i/>
          <w:iCs/>
          <w:szCs w:val="24"/>
        </w:rPr>
        <w:t>.</w:t>
      </w:r>
      <w:r w:rsidRPr="0030517F">
        <w:rPr>
          <w:rFonts w:cs="Times New Roman"/>
          <w:szCs w:val="24"/>
        </w:rPr>
        <w:t>, p. 756.</w:t>
      </w:r>
      <w:r>
        <w:fldChar w:fldCharType="end"/>
      </w:r>
    </w:p>
  </w:footnote>
  <w:footnote w:id="172">
    <w:p w14:paraId="7DC961FA" w14:textId="311C5E8E" w:rsidR="000D6C77" w:rsidRPr="009066AA" w:rsidRDefault="000D6C77">
      <w:pPr>
        <w:pStyle w:val="Notedebasdepage"/>
        <w:rPr>
          <w:lang w:val="en-US"/>
        </w:rPr>
      </w:pPr>
      <w:r>
        <w:rPr>
          <w:rStyle w:val="Appelnotedebasdep"/>
        </w:rPr>
        <w:footnoteRef/>
      </w:r>
      <w:r w:rsidRPr="00DB5012">
        <w:rPr>
          <w:lang w:val="en-US"/>
        </w:rPr>
        <w:t xml:space="preserve"> CJUE, </w:t>
      </w:r>
      <w:r w:rsidRPr="00DB5012">
        <w:rPr>
          <w:i/>
          <w:iCs/>
          <w:lang w:val="en-US"/>
        </w:rPr>
        <w:t>WABE-Müller</w:t>
      </w:r>
      <w:r w:rsidRPr="00DB5012">
        <w:rPr>
          <w:lang w:val="en-US"/>
        </w:rPr>
        <w:t xml:space="preserve">, para. </w:t>
      </w:r>
      <w:r w:rsidRPr="009066AA">
        <w:rPr>
          <w:lang w:val="en-US"/>
        </w:rPr>
        <w:t>64</w:t>
      </w:r>
    </w:p>
  </w:footnote>
  <w:footnote w:id="173">
    <w:p w14:paraId="348C3EF1" w14:textId="0D5891D1" w:rsidR="000D6C77" w:rsidRPr="009066AA" w:rsidRDefault="000D6C77">
      <w:pPr>
        <w:pStyle w:val="Notedebasdepage"/>
        <w:rPr>
          <w:i/>
          <w:iCs/>
          <w:lang w:val="en-US"/>
        </w:rPr>
      </w:pPr>
      <w:r>
        <w:rPr>
          <w:rStyle w:val="Appelnotedebasdep"/>
        </w:rPr>
        <w:footnoteRef/>
      </w:r>
      <w:r w:rsidRPr="009066AA">
        <w:rPr>
          <w:lang w:val="en-US"/>
        </w:rPr>
        <w:t xml:space="preserve"> </w:t>
      </w:r>
      <w:r w:rsidRPr="009066AA">
        <w:rPr>
          <w:i/>
          <w:iCs/>
          <w:lang w:val="en-US"/>
        </w:rPr>
        <w:t>Ibid.</w:t>
      </w:r>
    </w:p>
  </w:footnote>
  <w:footnote w:id="174">
    <w:p w14:paraId="155F4CF3" w14:textId="7A643142" w:rsidR="000D6C77" w:rsidRDefault="000D6C77">
      <w:pPr>
        <w:pStyle w:val="Notedebasdepage"/>
      </w:pPr>
      <w:r>
        <w:rPr>
          <w:rStyle w:val="Appelnotedebasdep"/>
        </w:rPr>
        <w:footnoteRef/>
      </w:r>
      <w:r>
        <w:t xml:space="preserve"> </w:t>
      </w:r>
      <w:r w:rsidRPr="00552D14">
        <w:t>Exemple peut ici à nouveau être pris de</w:t>
      </w:r>
      <w:r>
        <w:t xml:space="preserve">s </w:t>
      </w:r>
      <w:r w:rsidRPr="00552D14">
        <w:t>arrêt</w:t>
      </w:r>
      <w:r>
        <w:t>s</w:t>
      </w:r>
      <w:r w:rsidRPr="00552D14">
        <w:t xml:space="preserve"> </w:t>
      </w:r>
      <w:proofErr w:type="spellStart"/>
      <w:r w:rsidRPr="00552D14">
        <w:rPr>
          <w:i/>
          <w:iCs/>
        </w:rPr>
        <w:t>Achbita</w:t>
      </w:r>
      <w:proofErr w:type="spellEnd"/>
      <w:r w:rsidRPr="00552D14">
        <w:rPr>
          <w:i/>
          <w:iCs/>
        </w:rPr>
        <w:t> </w:t>
      </w:r>
      <w:r>
        <w:t xml:space="preserve">et </w:t>
      </w:r>
      <w:r>
        <w:rPr>
          <w:i/>
          <w:iCs/>
        </w:rPr>
        <w:t>WABE-Müller </w:t>
      </w:r>
      <w:r>
        <w:t>:</w:t>
      </w:r>
      <w:r w:rsidRPr="00552D14">
        <w:t xml:space="preserve"> pour appuyer son raisonnement en matière de légitimité, la CJUE y précise que « le souhait d’un employeur d’afficher une image de neutralité à l’égard des clients</w:t>
      </w:r>
      <w:r>
        <w:fldChar w:fldCharType="begin"/>
      </w:r>
      <w:r>
        <w:instrText xml:space="preserve"> XE "</w:instrText>
      </w:r>
      <w:r w:rsidRPr="005F6D4C">
        <w:rPr>
          <w:rFonts w:eastAsia="Times New Roman" w:cs="Calibri"/>
          <w:color w:val="000000"/>
          <w:lang w:eastAsia="fr-BE"/>
        </w:rPr>
        <w:instrText>Clientèle"</w:instrText>
      </w:r>
      <w:r>
        <w:instrText xml:space="preserve"> </w:instrText>
      </w:r>
      <w:r>
        <w:fldChar w:fldCharType="end"/>
      </w:r>
      <w:r w:rsidRPr="00552D14">
        <w:t xml:space="preserve"> […] revêt, en principe, un caractère légitime, </w:t>
      </w:r>
      <w:r w:rsidRPr="00552D14">
        <w:rPr>
          <w:i/>
          <w:iCs/>
        </w:rPr>
        <w:t>notamment lorsque seuls sont impliqués par l’employeur dans la poursuite de cet objectif les travailleurs qui sont supposés entrer en contact avec les clients de l’employeur</w:t>
      </w:r>
      <w:r w:rsidRPr="00552D14">
        <w:t> »</w:t>
      </w:r>
      <w:r>
        <w:t xml:space="preserve"> (</w:t>
      </w:r>
      <w:proofErr w:type="spellStart"/>
      <w:r>
        <w:rPr>
          <w:i/>
          <w:iCs/>
        </w:rPr>
        <w:t>Achbita</w:t>
      </w:r>
      <w:proofErr w:type="spellEnd"/>
      <w:r>
        <w:t>,</w:t>
      </w:r>
      <w:r>
        <w:rPr>
          <w:i/>
          <w:iCs/>
        </w:rPr>
        <w:t xml:space="preserve"> </w:t>
      </w:r>
      <w:r w:rsidRPr="00472670">
        <w:t>para. 38</w:t>
      </w:r>
      <w:r>
        <w:t xml:space="preserve">, </w:t>
      </w:r>
      <w:r w:rsidRPr="00472670">
        <w:t>nous soulignons)</w:t>
      </w:r>
      <w:r>
        <w:t> : c</w:t>
      </w:r>
      <w:r w:rsidRPr="00472670">
        <w:t>ette affirmation peut en effet surprendre, dans la mesure où la seconde partie de cette proposition semble relever davantage du contrôle de proportionnalité que du contrôle de légitimité.</w:t>
      </w:r>
      <w:r>
        <w:t xml:space="preserve"> De même, dans l'arrêt </w:t>
      </w:r>
      <w:r>
        <w:rPr>
          <w:i/>
          <w:iCs/>
        </w:rPr>
        <w:t>WABE-Müller,</w:t>
      </w:r>
      <w:r>
        <w:t xml:space="preserve"> la CJUE ne précise pas si la nécessité d’identifier un « </w:t>
      </w:r>
      <w:r w:rsidRPr="0058408D">
        <w:t>besoin véritable</w:t>
      </w:r>
      <w:r>
        <w:t> » dans le chef de l’</w:t>
      </w:r>
      <w:r w:rsidRPr="0058408D">
        <w:t>employeu</w:t>
      </w:r>
      <w:r>
        <w:t>r intervient au stade du test de légitimité ou au stade du test de proportionnalité.</w:t>
      </w:r>
    </w:p>
  </w:footnote>
  <w:footnote w:id="175">
    <w:p w14:paraId="47273C20" w14:textId="783C9F3F" w:rsidR="000D6C77" w:rsidRPr="00022216" w:rsidRDefault="000D6C77" w:rsidP="009066AA">
      <w:pPr>
        <w:pStyle w:val="Notedebasdepage"/>
        <w:rPr>
          <w:rFonts w:cs="Times New Roman"/>
        </w:rPr>
      </w:pPr>
      <w:bookmarkStart w:id="26" w:name="_Ref37675434"/>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{"citationID":"ovuwZbTL","properties":{"formattedCitation":"G. {\\scaps Duchange}, \\uc0\\u171{}\\uc0\\u160{}Le pouvoir r\\uc0\\u233{}glementaire de l\\uc0\\u8217{}employeur en mati\\uc0\\u232{}re religieuse\\uc0\\u160{}\\uc0\\u187{}, {\\i{}op. cit.}, p. 3.","plainCitation":"G. Duchange, « Le pouvoir réglementaire de l’employeur en matière religieuse », op. cit., p. 3.","noteIndex":223},"citationItems":[{"id":117,"uris":["http://zotero.org/users/5133869/items/DZ75I4W7"],"itemData":{"id":117,"type":"article-journal","container-title":"La Semaine Juridique - Edition Sociale","issue":"5","page":"1-4","title":"Le pouvoir réglementaire de l’employeur en matière religieuse","volume":"1044","author":[{"family":"Duchange","given":"Grégoire"}],"issued":{"date-parts":[["2018",2,6]]}},"locator":"3"}],"schema":"https://github.com/citation-style-language/schema/raw/master/csl-citation.json"} </w:instrText>
      </w:r>
      <w:r w:rsidRPr="00022216">
        <w:rPr>
          <w:rFonts w:cs="Times New Roman"/>
        </w:rPr>
        <w:fldChar w:fldCharType="separate"/>
      </w:r>
      <w:r w:rsidRPr="00022216">
        <w:rPr>
          <w:rFonts w:cs="Times New Roman"/>
        </w:rPr>
        <w:t xml:space="preserve">G. </w:t>
      </w:r>
      <w:proofErr w:type="spellStart"/>
      <w:r w:rsidRPr="00022216">
        <w:rPr>
          <w:rFonts w:cs="Times New Roman"/>
          <w:smallCaps/>
        </w:rPr>
        <w:t>Duchange</w:t>
      </w:r>
      <w:proofErr w:type="spellEnd"/>
      <w:r w:rsidRPr="00022216">
        <w:rPr>
          <w:rFonts w:cs="Times New Roman"/>
        </w:rPr>
        <w:t xml:space="preserve">, « Le pouvoir réglementaire de l’employeur en matière religieuse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3.</w:t>
      </w:r>
      <w:r w:rsidRPr="00022216">
        <w:rPr>
          <w:rFonts w:cs="Times New Roman"/>
        </w:rPr>
        <w:fldChar w:fldCharType="end"/>
      </w:r>
      <w:bookmarkEnd w:id="26"/>
    </w:p>
  </w:footnote>
  <w:footnote w:id="176">
    <w:p w14:paraId="3DA3FD26" w14:textId="44FC16DB" w:rsidR="000D6C77" w:rsidRPr="009066AA" w:rsidRDefault="000D6C77">
      <w:pPr>
        <w:pStyle w:val="Notedebasdepage"/>
      </w:pPr>
      <w:r>
        <w:rPr>
          <w:rStyle w:val="Appelnotedebasdep"/>
        </w:rPr>
        <w:footnoteRef/>
      </w:r>
      <w:r>
        <w:t xml:space="preserve"> </w:t>
      </w:r>
      <w:r w:rsidRPr="009066AA">
        <w:t>Il convient toutefois de préciser</w:t>
      </w:r>
      <w:r>
        <w:t xml:space="preserve"> </w:t>
      </w:r>
      <w:r w:rsidRPr="009066AA">
        <w:t>que l’objectif précisément visé par l’invocation de neutralité peut modifier ce constat liminaire d’adéquation de la neutralité. Le caractère approprié d’une neutralité applicable à l’ensemble des travailleurs ne sera pas envisagé de la même façon dans le cas où cette neutralité est invoquée en tant qu’image de marque externe, ou en tant qu’instrument au service du bon fonctionnement de l’ensemble de la communauté de travail. Reste à savoir s’il peut encore être question de mise en œuvre généralisée de la neutralité lorsque celle-ci n’est appliquée qu’à une catégorie spécifique de travailleurs.</w:t>
      </w:r>
    </w:p>
  </w:footnote>
  <w:footnote w:id="177">
    <w:p w14:paraId="74DFF74F" w14:textId="7D667892"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{"citationID":"MziCLOPp","properties":{"formattedCitation":"S. {\\scaps Ganty} et M. {\\scaps Vanderstraeten}, \\uc0\\u171{}\\uc0\\u160{}Actualit\\uc0\\u233{}s de la lutte contre la discrimination dans les biens et services en ce compris l\\uc0\\u8217{}enseignement\\uc0\\u160{}\\uc0\\u187{}, {\\i{}in} E. {\\scaps Bribosia}, I. {\\scaps Rorive} et S. {\\scaps van}\\uc0\\u160{}{\\scaps Drooghenbroeck} (\\uc0\\u233{}ds.), {\\i{}Droit de la non-discrimination\\uc0\\u8239{}: avanc\\uc0\\u233{}es et enjeux}, Bruxelles, Bruylant, 2016, p. 234.","plainCitation":"S. Ganty et M. Vanderstraeten, « Actualités de la lutte contre la discrimination dans les biens et services en ce compris l’enseignement », in E. Bribosia, I. Rorive et S. van Drooghenbroeck (éds.), Droit de la non-discrimination : avancées et enjeux, Bruxelles, Bruylant, 2016, p. 234.","noteIndex":225},"citationItems":[{"id":1225,"uris":["http://zotero.org/users/5133869/items/QUCR2MN8"],"itemData":{"id":1225,"type":"chapter","container-title":"Droit de la non-discrimination : avancées et enjeux","event-place":"Bruxelles","page":"183-246","publisher":"Bruylant","publisher-place":"Bruxelles","title":"Actualités de la lutte contre la discrimination dans les biens et services en ce compris l’enseignement","author":[{"family":"Ganty","given":"Sarah"},{"family":"Vanderstraeten","given":"Maxime"}],"editor":[{"family":"Bribosia","given":"Emmanuelle"},{"family":"Rorive","given":"Isabelle"},{"family":"Drooghenbroeck","given":"Sébastien","non-dropping-particle":"van"}],"issued":{"date-parts":[["2016"]]}},"locator":"234"}],"schema":"https://github.com/citation-style-language/schema/raw/master/csl-citation.json"} </w:instrText>
      </w:r>
      <w:r w:rsidRPr="00022216">
        <w:rPr>
          <w:rFonts w:cs="Times New Roman"/>
        </w:rPr>
        <w:fldChar w:fldCharType="separate"/>
      </w:r>
      <w:r w:rsidRPr="00D57414">
        <w:rPr>
          <w:rFonts w:cs="Times New Roman"/>
          <w:szCs w:val="24"/>
        </w:rPr>
        <w:t xml:space="preserve">S. </w:t>
      </w:r>
      <w:proofErr w:type="spellStart"/>
      <w:r w:rsidRPr="00D57414">
        <w:rPr>
          <w:rFonts w:cs="Times New Roman"/>
          <w:smallCaps/>
          <w:szCs w:val="24"/>
        </w:rPr>
        <w:t>Ganty</w:t>
      </w:r>
      <w:proofErr w:type="spellEnd"/>
      <w:r w:rsidRPr="00D57414">
        <w:rPr>
          <w:rFonts w:cs="Times New Roman"/>
          <w:szCs w:val="24"/>
        </w:rPr>
        <w:t xml:space="preserve"> et M. </w:t>
      </w:r>
      <w:r w:rsidRPr="00D57414">
        <w:rPr>
          <w:rFonts w:cs="Times New Roman"/>
          <w:smallCaps/>
          <w:szCs w:val="24"/>
        </w:rPr>
        <w:t>Vanderstraeten</w:t>
      </w:r>
      <w:r w:rsidRPr="00D57414">
        <w:rPr>
          <w:rFonts w:cs="Times New Roman"/>
          <w:szCs w:val="24"/>
        </w:rPr>
        <w:t xml:space="preserve">, « Actualités de la lutte contre la discrimination dans les biens et services en ce compris l’enseignement », </w:t>
      </w:r>
      <w:r w:rsidRPr="00D57414">
        <w:rPr>
          <w:rFonts w:cs="Times New Roman"/>
          <w:i/>
          <w:iCs/>
          <w:szCs w:val="24"/>
        </w:rPr>
        <w:t>in</w:t>
      </w:r>
      <w:r w:rsidRPr="00D57414">
        <w:rPr>
          <w:rFonts w:cs="Times New Roman"/>
          <w:szCs w:val="24"/>
        </w:rPr>
        <w:t xml:space="preserve"> E. </w:t>
      </w:r>
      <w:proofErr w:type="spellStart"/>
      <w:r w:rsidRPr="00D57414">
        <w:rPr>
          <w:rFonts w:cs="Times New Roman"/>
          <w:smallCaps/>
          <w:szCs w:val="24"/>
        </w:rPr>
        <w:t>Bribosia</w:t>
      </w:r>
      <w:proofErr w:type="spellEnd"/>
      <w:r w:rsidRPr="00D57414">
        <w:rPr>
          <w:rFonts w:cs="Times New Roman"/>
          <w:szCs w:val="24"/>
        </w:rPr>
        <w:t xml:space="preserve">, I. </w:t>
      </w:r>
      <w:proofErr w:type="spellStart"/>
      <w:r w:rsidRPr="00D57414">
        <w:rPr>
          <w:rFonts w:cs="Times New Roman"/>
          <w:smallCaps/>
          <w:szCs w:val="24"/>
        </w:rPr>
        <w:t>Rorive</w:t>
      </w:r>
      <w:proofErr w:type="spellEnd"/>
      <w:r w:rsidRPr="00D57414">
        <w:rPr>
          <w:rFonts w:cs="Times New Roman"/>
          <w:szCs w:val="24"/>
        </w:rPr>
        <w:t xml:space="preserve"> et S. </w:t>
      </w:r>
      <w:r w:rsidRPr="00D57414">
        <w:rPr>
          <w:rFonts w:cs="Times New Roman"/>
          <w:smallCaps/>
          <w:szCs w:val="24"/>
        </w:rPr>
        <w:t>van</w:t>
      </w:r>
      <w:r w:rsidRPr="00D57414">
        <w:rPr>
          <w:rFonts w:cs="Times New Roman"/>
          <w:szCs w:val="24"/>
        </w:rPr>
        <w:t> </w:t>
      </w:r>
      <w:proofErr w:type="spellStart"/>
      <w:r w:rsidRPr="00D57414">
        <w:rPr>
          <w:rFonts w:cs="Times New Roman"/>
          <w:smallCaps/>
          <w:szCs w:val="24"/>
        </w:rPr>
        <w:t>Drooghenbroeck</w:t>
      </w:r>
      <w:proofErr w:type="spellEnd"/>
      <w:r w:rsidRPr="00D57414">
        <w:rPr>
          <w:rFonts w:cs="Times New Roman"/>
          <w:szCs w:val="24"/>
        </w:rPr>
        <w:t xml:space="preserve"> (</w:t>
      </w:r>
      <w:proofErr w:type="spellStart"/>
      <w:r w:rsidRPr="00D57414">
        <w:rPr>
          <w:rFonts w:cs="Times New Roman"/>
          <w:szCs w:val="24"/>
        </w:rPr>
        <w:t>éds</w:t>
      </w:r>
      <w:proofErr w:type="spellEnd"/>
      <w:r w:rsidRPr="00D57414">
        <w:rPr>
          <w:rFonts w:cs="Times New Roman"/>
          <w:szCs w:val="24"/>
        </w:rPr>
        <w:t xml:space="preserve">.), </w:t>
      </w:r>
      <w:r w:rsidRPr="00D57414">
        <w:rPr>
          <w:rFonts w:cs="Times New Roman"/>
          <w:i/>
          <w:iCs/>
          <w:szCs w:val="24"/>
        </w:rPr>
        <w:t>Droit de la non-discrimination : avancées et enjeux</w:t>
      </w:r>
      <w:r w:rsidRPr="00D57414">
        <w:rPr>
          <w:rFonts w:cs="Times New Roman"/>
          <w:szCs w:val="24"/>
        </w:rPr>
        <w:t>, Bruxelles, Bruylant, 2016, p. 234.</w:t>
      </w:r>
      <w:r w:rsidRPr="00022216">
        <w:rPr>
          <w:rFonts w:cs="Times New Roman"/>
        </w:rPr>
        <w:fldChar w:fldCharType="end"/>
      </w:r>
    </w:p>
  </w:footnote>
  <w:footnote w:id="178">
    <w:p w14:paraId="4F1F77E7" w14:textId="354EF162"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{"citationID":"9F4q4e3P","properties":{"formattedCitation":"J. {\\scaps Ringelheim}, \\uc0\\u171{}\\uc0\\u160{}Les interdictions de port du foulard visant des femmes adultes. Analyse de la Ligue des droits de l\\uc0\\u8217{}Homme\\uc0\\u160{}\\uc0\\u187{}, {\\i{}op. cit.}","plainCitation":"J. Ringelheim, « Les interdictions de port du foulard visant des femmes adultes. Analyse de la Ligue des droits de l’Homme », op. cit.","noteIndex":226},"citationItems":[{"id":2576,"uris":["http://zotero.org/users/5133869/items/GG4Z9FYN"],"itemData":{"id":2576,"type":"document","publisher":"Ligue des droits de l'homme","title":"Les interdictions de port du foulard visant des femmes adultes. Analyse de la Ligue des droits de l’Homme","URL":"www.liguedh.be","author":[{"family":"Ringelheim","given":"Julie"}],"accessed":{"date-parts":[["2022",8,31]]},"issued":{"date-parts":[["2017",10]]}}}],"schema":"https://github.com/citation-style-language/schema/raw/master/csl-citation.json"} </w:instrText>
      </w:r>
      <w:r w:rsidRPr="00022216">
        <w:rPr>
          <w:rFonts w:cs="Times New Roman"/>
        </w:rPr>
        <w:fldChar w:fldCharType="separate"/>
      </w:r>
      <w:r w:rsidRPr="00022216">
        <w:rPr>
          <w:rFonts w:cs="Times New Roman"/>
        </w:rPr>
        <w:t xml:space="preserve">J. </w:t>
      </w:r>
      <w:r w:rsidRPr="00022216">
        <w:rPr>
          <w:rFonts w:cs="Times New Roman"/>
          <w:smallCaps/>
        </w:rPr>
        <w:t>Ringelheim</w:t>
      </w:r>
      <w:r w:rsidRPr="00022216">
        <w:rPr>
          <w:rFonts w:cs="Times New Roman"/>
        </w:rPr>
        <w:t xml:space="preserve">, « Les interdictions de port du foulard visant des femmes adultes. Analyse de la Ligue des droits de l’Homme », </w:t>
      </w:r>
      <w:r w:rsidRPr="00022216">
        <w:rPr>
          <w:rFonts w:cs="Times New Roman"/>
          <w:i/>
          <w:iCs/>
        </w:rPr>
        <w:t xml:space="preserve">op. </w:t>
      </w:r>
      <w:proofErr w:type="spellStart"/>
      <w:proofErr w:type="gramStart"/>
      <w:r w:rsidRPr="00022216">
        <w:rPr>
          <w:rFonts w:cs="Times New Roman"/>
          <w:i/>
          <w:iCs/>
        </w:rPr>
        <w:t>cit</w:t>
      </w:r>
      <w:proofErr w:type="spellEnd"/>
      <w:proofErr w:type="gramEnd"/>
      <w:r w:rsidRPr="00022216">
        <w:rPr>
          <w:rFonts w:cs="Times New Roman"/>
          <w:i/>
          <w:iCs/>
        </w:rPr>
        <w:t>.</w:t>
      </w:r>
      <w:r w:rsidRPr="00022216">
        <w:rPr>
          <w:rFonts w:cs="Times New Roman"/>
        </w:rPr>
        <w:fldChar w:fldCharType="end"/>
      </w:r>
      <w:r w:rsidRPr="00022216">
        <w:rPr>
          <w:rFonts w:cs="Times New Roman"/>
        </w:rPr>
        <w:t xml:space="preserve">, qui infère de la jurisprudence </w:t>
      </w:r>
      <w:proofErr w:type="spellStart"/>
      <w:r w:rsidRPr="00022216">
        <w:rPr>
          <w:rFonts w:cs="Times New Roman"/>
          <w:i/>
        </w:rPr>
        <w:t>Eweida</w:t>
      </w:r>
      <w:proofErr w:type="spellEnd"/>
      <w:r w:rsidRPr="00022216">
        <w:rPr>
          <w:rFonts w:cs="Times New Roman"/>
          <w:i/>
        </w:rPr>
        <w:t xml:space="preserve"> </w:t>
      </w:r>
      <w:r w:rsidRPr="00022216">
        <w:rPr>
          <w:rFonts w:cs="Times New Roman"/>
        </w:rPr>
        <w:t>la nécessité d’« apporter, dans chaque cas d’espèce, des éléments concrets et précis démontrant que le port d’un signe religieux par une salariée porte réellement atteinte aux intérêts de l’entreprise ».</w:t>
      </w:r>
    </w:p>
  </w:footnote>
  <w:footnote w:id="179">
    <w:p w14:paraId="3ABB8EE3" w14:textId="5706901F" w:rsidR="000D6C77" w:rsidRPr="00022216" w:rsidRDefault="000D6C77" w:rsidP="00FE117D">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CourEDH</w:t>
      </w:r>
      <w:r w:rsidRPr="00022216">
        <w:rPr>
          <w:rFonts w:cs="Times New Roman"/>
        </w:rPr>
        <w:t xml:space="preserve">, arrêt </w:t>
      </w:r>
      <w:proofErr w:type="spellStart"/>
      <w:r w:rsidRPr="00022216">
        <w:rPr>
          <w:rFonts w:cs="Times New Roman"/>
          <w:i/>
        </w:rPr>
        <w:t>Handyside</w:t>
      </w:r>
      <w:proofErr w:type="spellEnd"/>
      <w:r w:rsidRPr="00022216">
        <w:rPr>
          <w:rFonts w:cs="Times New Roman"/>
          <w:i/>
        </w:rPr>
        <w:t xml:space="preserve"> c. R-U</w:t>
      </w:r>
      <w:r w:rsidRPr="00022216">
        <w:rPr>
          <w:rFonts w:cs="Times New Roman"/>
        </w:rPr>
        <w:t xml:space="preserve">, 7 décembre 1976, </w:t>
      </w:r>
      <w:proofErr w:type="spellStart"/>
      <w:r w:rsidRPr="00022216">
        <w:rPr>
          <w:rFonts w:cs="Times New Roman"/>
        </w:rPr>
        <w:t>req</w:t>
      </w:r>
      <w:proofErr w:type="spellEnd"/>
      <w:r w:rsidRPr="00022216">
        <w:rPr>
          <w:rFonts w:cs="Times New Roman"/>
        </w:rPr>
        <w:t>. n° 5493/72, para. 48.</w:t>
      </w:r>
    </w:p>
  </w:footnote>
  <w:footnote w:id="180">
    <w:p w14:paraId="73378521" w14:textId="2D3DF011" w:rsidR="000D6C77" w:rsidRPr="00022216" w:rsidRDefault="000D6C77" w:rsidP="00903F8F">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{"citationID":"48tKV2Xu","properties":{"formattedCitation":"F. {\\scaps Sudre}, \\uc0\\u171{}\\uc0\\u160{}Le contr\\uc0\\u244{}le de proportionnalit\\uc0\\u233{} de la Cour europ\\uc0\\u233{}enne des droits de l\\uc0\\u8217{}homme. De quoi est-il question\\uc0\\u8239{}?\\uc0\\u160{}\\uc0\\u187{}, {\\i{}La Semaine Juridique - Edition G\\uc0\\u233{}n\\uc0\\u233{}rale}, mars 2017, n\\uc0\\u176{} 11, pp. 504\\uc0\\u8209{}505.","plainCitation":"F. Sudre, « Le contrôle de proportionnalité de la Cour européenne des droits de l’homme. De quoi est-il question ? », La Semaine Juridique - Edition Générale, mars 2017, n° 11, pp. 504‑505.","noteIndex":229},"citationItems":[{"id":2691,"uris":["http://zotero.org/users/5133869/items/LVVTE4ID"],"itemData":{"id":2691,"type":"article-journal","container-title":"La Semaine Juridique - Edition Générale","issue":"11","page":"502-513","title":"Le contrôle de proportionnalité de la Cour européenne des droits de l'homme. De quoi est-il question ?","author":[{"family":"Sudre","given":"Frédéric"}],"issued":{"date-parts":[["2017",3,13]]}},"locator":"504-505"}],"schema":"https://github.com/citation-style-language/schema/raw/master/csl-citation.json"} </w:instrText>
      </w:r>
      <w:r w:rsidRPr="00022216">
        <w:rPr>
          <w:rFonts w:cs="Times New Roman"/>
        </w:rPr>
        <w:fldChar w:fldCharType="separate"/>
      </w:r>
      <w:r w:rsidRPr="00D57414">
        <w:rPr>
          <w:rFonts w:cs="Times New Roman"/>
          <w:szCs w:val="24"/>
        </w:rPr>
        <w:t xml:space="preserve">F. </w:t>
      </w:r>
      <w:r w:rsidRPr="00D57414">
        <w:rPr>
          <w:rFonts w:cs="Times New Roman"/>
          <w:smallCaps/>
          <w:szCs w:val="24"/>
        </w:rPr>
        <w:t>Sudre</w:t>
      </w:r>
      <w:r w:rsidRPr="00D57414">
        <w:rPr>
          <w:rFonts w:cs="Times New Roman"/>
          <w:szCs w:val="24"/>
        </w:rPr>
        <w:t xml:space="preserve">, « Le contrôle de proportionnalité de la Cour européenne des droits de l’homme. De quoi est-il question ? », </w:t>
      </w:r>
      <w:r w:rsidRPr="00D57414">
        <w:rPr>
          <w:rFonts w:cs="Times New Roman"/>
          <w:i/>
          <w:iCs/>
          <w:szCs w:val="24"/>
        </w:rPr>
        <w:t>La Semaine Juridique - Edition Générale</w:t>
      </w:r>
      <w:r w:rsidRPr="00D57414">
        <w:rPr>
          <w:rFonts w:cs="Times New Roman"/>
          <w:szCs w:val="24"/>
        </w:rPr>
        <w:t>, mars 2017, n° 11, pp. 504‑505.</w:t>
      </w:r>
      <w:r w:rsidRPr="00022216">
        <w:rPr>
          <w:rFonts w:cs="Times New Roman"/>
        </w:rPr>
        <w:fldChar w:fldCharType="end"/>
      </w:r>
    </w:p>
  </w:footnote>
  <w:footnote w:id="181">
    <w:p w14:paraId="0482125D" w14:textId="45BA3BAA" w:rsidR="000D6C77" w:rsidRDefault="000D6C77">
      <w:pPr>
        <w:pStyle w:val="Notedebasdepage"/>
      </w:pPr>
      <w:r>
        <w:rPr>
          <w:rStyle w:val="Appelnotedebasdep"/>
        </w:rPr>
        <w:footnoteRef/>
      </w:r>
      <w:r>
        <w:t xml:space="preserve"> La CourEDH reconnaît elle-même une telle marge d’appréciation amplifiée dès sa jurisprudence </w:t>
      </w:r>
      <w:proofErr w:type="spellStart"/>
      <w:r>
        <w:rPr>
          <w:i/>
          <w:iCs/>
        </w:rPr>
        <w:t>Chassagnou</w:t>
      </w:r>
      <w:proofErr w:type="spellEnd"/>
      <w:r>
        <w:rPr>
          <w:i/>
          <w:iCs/>
        </w:rPr>
        <w:t xml:space="preserve"> e.a. c. France</w:t>
      </w:r>
      <w:r>
        <w:t>, indiquant à cette occasion que « [la]</w:t>
      </w:r>
      <w:r w:rsidRPr="00C14DF7">
        <w:t xml:space="preserve"> mise en balance des intérêts éventuellement contradictoires des uns et des autres est alors difficile à faire, et les </w:t>
      </w:r>
      <w:r>
        <w:t>État</w:t>
      </w:r>
      <w:r w:rsidRPr="00C14DF7">
        <w:t>s contractants doivent disposer à cet égard d’une marge d’appréciation importante</w:t>
      </w:r>
      <w:r>
        <w:t> »</w:t>
      </w:r>
      <w:r>
        <w:rPr>
          <w:rFonts w:cs="Times New Roman"/>
          <w:i/>
          <w:iCs/>
        </w:rPr>
        <w:t xml:space="preserve"> </w:t>
      </w:r>
      <w:r>
        <w:rPr>
          <w:rFonts w:cs="Times New Roman"/>
        </w:rPr>
        <w:t>(</w:t>
      </w:r>
      <w:r w:rsidRPr="00022216">
        <w:rPr>
          <w:rFonts w:cs="Times New Roman"/>
        </w:rPr>
        <w:t xml:space="preserve">arrêt </w:t>
      </w:r>
      <w:proofErr w:type="spellStart"/>
      <w:r w:rsidRPr="00022216">
        <w:rPr>
          <w:rFonts w:cs="Times New Roman"/>
          <w:i/>
          <w:iCs/>
        </w:rPr>
        <w:t>Chassagnou</w:t>
      </w:r>
      <w:proofErr w:type="spellEnd"/>
      <w:r w:rsidRPr="00022216">
        <w:rPr>
          <w:rFonts w:cs="Times New Roman"/>
          <w:i/>
          <w:iCs/>
        </w:rPr>
        <w:t xml:space="preserve"> e.a. c. France</w:t>
      </w:r>
      <w:r w:rsidRPr="00022216">
        <w:rPr>
          <w:rFonts w:cs="Times New Roman"/>
        </w:rPr>
        <w:t xml:space="preserve">, 29 avril 1999, </w:t>
      </w:r>
      <w:proofErr w:type="spellStart"/>
      <w:r w:rsidRPr="00022216">
        <w:rPr>
          <w:rFonts w:cs="Times New Roman"/>
        </w:rPr>
        <w:t>req</w:t>
      </w:r>
      <w:proofErr w:type="spellEnd"/>
      <w:r w:rsidRPr="00022216">
        <w:rPr>
          <w:rFonts w:cs="Times New Roman"/>
        </w:rPr>
        <w:t>. n° 25088/94, 28331/95 et 28443/95,</w:t>
      </w:r>
      <w:r w:rsidRPr="00022216">
        <w:rPr>
          <w:rFonts w:cs="Times New Roman"/>
          <w:i/>
          <w:iCs/>
        </w:rPr>
        <w:t xml:space="preserve"> </w:t>
      </w:r>
      <w:r w:rsidRPr="00022216">
        <w:rPr>
          <w:rFonts w:cs="Times New Roman"/>
        </w:rPr>
        <w:t>para. 113</w:t>
      </w:r>
      <w:r>
        <w:rPr>
          <w:rFonts w:cs="Times New Roman"/>
        </w:rPr>
        <w:t>)</w:t>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aussi l’arrêt </w:t>
      </w:r>
      <w:r w:rsidRPr="00022216">
        <w:rPr>
          <w:rFonts w:cs="Times New Roman"/>
          <w:i/>
          <w:iCs/>
        </w:rPr>
        <w:t>Evans c. Royaume-Uni</w:t>
      </w:r>
      <w:r w:rsidRPr="00022216">
        <w:rPr>
          <w:rFonts w:cs="Times New Roman"/>
        </w:rPr>
        <w:t xml:space="preserve"> (10 avril 2007, </w:t>
      </w:r>
      <w:proofErr w:type="spellStart"/>
      <w:r w:rsidRPr="00022216">
        <w:rPr>
          <w:rFonts w:cs="Times New Roman"/>
        </w:rPr>
        <w:t>req</w:t>
      </w:r>
      <w:proofErr w:type="spellEnd"/>
      <w:r w:rsidRPr="00022216">
        <w:rPr>
          <w:rFonts w:cs="Times New Roman"/>
        </w:rPr>
        <w:t>. n° 6339/05), où la CourEDH précise que « [la] marge d’appréciation est de façon générale également ample lorsque l’</w:t>
      </w:r>
      <w:r>
        <w:rPr>
          <w:rFonts w:cs="Times New Roman"/>
        </w:rPr>
        <w:t>État</w:t>
      </w:r>
      <w:r w:rsidRPr="00022216">
        <w:rPr>
          <w:rFonts w:cs="Times New Roman"/>
        </w:rPr>
        <w:t xml:space="preserve"> doit ménager un équilibre entre des intérêts privés et publics concurrents ou différents droits protégés par la Convention » (para. 77)</w:t>
      </w:r>
      <w:r>
        <w:rPr>
          <w:rFonts w:cs="Times New Roman"/>
        </w:rPr>
        <w:t>.</w:t>
      </w:r>
    </w:p>
  </w:footnote>
  <w:footnote w:id="182">
    <w:p w14:paraId="49CE0A30" w14:textId="75618B61"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{"citationID":"rQ3ZKA1j","properties":{"formattedCitation":"F. {\\scaps Sudre}, \\uc0\\u171{}\\uc0\\u160{}Le contr\\uc0\\u244{}le de proportionnalit\\uc0\\u233{} de la Cour europ\\uc0\\u233{}enne des droits de l\\uc0\\u8217{}homme. De quoi est-il question\\uc0\\u8239{}?\\uc0\\u160{}\\uc0\\u187{}, {\\i{}op. cit.}, pp. 509\\uc0\\u8209{}510.","plainCitation":"F. Sudre, « Le contrôle de proportionnalité de la Cour européenne des droits de l’homme. De quoi est-il question ? », op. cit., pp. 509‑510.","noteIndex":233},"citationItems":[{"id":2691,"uris":["http://zotero.org/users/5133869/items/LVVTE4ID"],"itemData":{"id":2691,"type":"article-journal","container-title":"La Semaine Juridique - Edition Générale","issue":"11","page":"502-513","title":"Le contrôle de proportionnalité de la Cour européenne des droits de l'homme. De quoi est-il question ?","author":[{"family":"Sudre","given":"Frédéric"}],"issued":{"date-parts":[["2017",3,13]]}},"locator":"509-510"}],"schema":"https://github.com/citation-style-language/schema/raw/master/csl-citation.json"} </w:instrText>
      </w:r>
      <w:r w:rsidRPr="00022216">
        <w:rPr>
          <w:rFonts w:cs="Times New Roman"/>
        </w:rPr>
        <w:fldChar w:fldCharType="separate"/>
      </w:r>
      <w:r w:rsidRPr="00022216">
        <w:rPr>
          <w:rFonts w:cs="Times New Roman"/>
        </w:rPr>
        <w:t xml:space="preserve">F. </w:t>
      </w:r>
      <w:r w:rsidRPr="00022216">
        <w:rPr>
          <w:rFonts w:cs="Times New Roman"/>
          <w:smallCaps/>
        </w:rPr>
        <w:t>Sudre</w:t>
      </w:r>
      <w:r w:rsidRPr="00022216">
        <w:rPr>
          <w:rFonts w:cs="Times New Roman"/>
        </w:rPr>
        <w:t xml:space="preserve">, « Le contrôle de proportionnalité de la Cour européenne des droits de l’homme. De quoi est-il question ?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509‑510.</w:t>
      </w:r>
      <w:r w:rsidRPr="00022216">
        <w:rPr>
          <w:rFonts w:cs="Times New Roman"/>
        </w:rPr>
        <w:fldChar w:fldCharType="end"/>
      </w:r>
    </w:p>
  </w:footnote>
  <w:footnote w:id="183">
    <w:p w14:paraId="0069B29A" w14:textId="53605908"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para. 91</w:t>
      </w:r>
      <w:r>
        <w:rPr>
          <w:rFonts w:cs="Times New Roman"/>
        </w:rPr>
        <w:t>.</w:t>
      </w:r>
      <w:r w:rsidRPr="00C006F2">
        <w:rPr>
          <w:rFonts w:cs="Times New Roman"/>
        </w:rPr>
        <w:t xml:space="preserve"> </w:t>
      </w:r>
      <w:r>
        <w:rPr>
          <w:rFonts w:cs="Times New Roman"/>
        </w:rPr>
        <w:t xml:space="preserve">En ce sens, </w:t>
      </w:r>
      <w:proofErr w:type="spellStart"/>
      <w:r>
        <w:rPr>
          <w:rFonts w:cs="Times New Roman"/>
        </w:rPr>
        <w:t>voy</w:t>
      </w:r>
      <w:proofErr w:type="spellEnd"/>
      <w:r>
        <w:rPr>
          <w:rFonts w:cs="Times New Roman"/>
        </w:rPr>
        <w:t xml:space="preserve">. aussi CourEDH, arrêt </w:t>
      </w:r>
      <w:proofErr w:type="spellStart"/>
      <w:r w:rsidRPr="00022216">
        <w:rPr>
          <w:rFonts w:cs="Times New Roman"/>
          <w:i/>
          <w:iCs/>
        </w:rPr>
        <w:t>Schüth</w:t>
      </w:r>
      <w:proofErr w:type="spellEnd"/>
      <w:r w:rsidRPr="00022216">
        <w:rPr>
          <w:rFonts w:cs="Times New Roman"/>
          <w:i/>
          <w:iCs/>
        </w:rPr>
        <w:t xml:space="preserve"> c. Allemagne</w:t>
      </w:r>
      <w:r w:rsidRPr="00022216">
        <w:rPr>
          <w:rFonts w:cs="Times New Roman"/>
        </w:rPr>
        <w:t xml:space="preserve">, 23 septembre 2010, </w:t>
      </w:r>
      <w:proofErr w:type="spellStart"/>
      <w:r w:rsidRPr="00022216">
        <w:rPr>
          <w:rFonts w:cs="Times New Roman"/>
        </w:rPr>
        <w:t>req</w:t>
      </w:r>
      <w:proofErr w:type="spellEnd"/>
      <w:r w:rsidRPr="00022216">
        <w:rPr>
          <w:rFonts w:cs="Times New Roman"/>
        </w:rPr>
        <w:t>. n° 1620/03, para. 69</w:t>
      </w:r>
      <w:r>
        <w:rPr>
          <w:rFonts w:cs="Times New Roman"/>
        </w:rPr>
        <w:t>.</w:t>
      </w:r>
    </w:p>
  </w:footnote>
  <w:footnote w:id="184">
    <w:p w14:paraId="71F56548" w14:textId="013C9B14" w:rsidR="000D6C77" w:rsidRPr="000F5BB9"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4D023C">
        <w:rPr>
          <w:rFonts w:cs="Times New Roman"/>
        </w:rPr>
        <w:t xml:space="preserve">CJUE, </w:t>
      </w:r>
      <w:proofErr w:type="spellStart"/>
      <w:r w:rsidRPr="00022216">
        <w:rPr>
          <w:rFonts w:cs="Times New Roman"/>
          <w:i/>
          <w:iCs/>
        </w:rPr>
        <w:t>Achbita</w:t>
      </w:r>
      <w:proofErr w:type="spellEnd"/>
      <w:r w:rsidRPr="00022216">
        <w:rPr>
          <w:rFonts w:cs="Times New Roman"/>
        </w:rPr>
        <w:t>, para. 43</w:t>
      </w:r>
      <w:r>
        <w:rPr>
          <w:rFonts w:cs="Times New Roman"/>
        </w:rPr>
        <w:t xml:space="preserve"> ; </w:t>
      </w:r>
      <w:r w:rsidRPr="008D517D">
        <w:rPr>
          <w:rFonts w:cs="Times New Roman"/>
          <w:i/>
          <w:iCs/>
        </w:rPr>
        <w:t>WABE-Müller</w:t>
      </w:r>
      <w:r>
        <w:rPr>
          <w:rFonts w:cs="Times New Roman"/>
        </w:rPr>
        <w:t>, para 83 ;</w:t>
      </w:r>
      <w:r w:rsidRPr="008D517D">
        <w:rPr>
          <w:rFonts w:cs="Times New Roman"/>
          <w:i/>
          <w:iCs/>
        </w:rPr>
        <w:t xml:space="preserve"> LF c. SCRL</w:t>
      </w:r>
      <w:r>
        <w:rPr>
          <w:rFonts w:cs="Times New Roman"/>
        </w:rPr>
        <w:t>, para. 51.</w:t>
      </w:r>
      <w:r w:rsidRPr="00022216">
        <w:rPr>
          <w:rFonts w:cs="Times New Roman"/>
        </w:rPr>
        <w:t xml:space="preserve"> Rappelons que</w:t>
      </w:r>
      <w:r>
        <w:rPr>
          <w:rFonts w:cs="Times New Roman"/>
        </w:rPr>
        <w:t>,</w:t>
      </w:r>
      <w:r w:rsidRPr="00022216">
        <w:rPr>
          <w:rFonts w:cs="Times New Roman"/>
        </w:rPr>
        <w:t xml:space="preserve"> dans </w:t>
      </w:r>
      <w:r w:rsidRPr="00CA7051">
        <w:rPr>
          <w:rFonts w:cs="Times New Roman"/>
        </w:rPr>
        <w:t>l’arrêt</w:t>
      </w:r>
      <w:r>
        <w:rPr>
          <w:rFonts w:cs="Times New Roman"/>
        </w:rPr>
        <w:t xml:space="preserve"> </w:t>
      </w:r>
      <w:proofErr w:type="spellStart"/>
      <w:r>
        <w:rPr>
          <w:rFonts w:cs="Times New Roman"/>
          <w:i/>
          <w:iCs/>
        </w:rPr>
        <w:t>Achbita</w:t>
      </w:r>
      <w:proofErr w:type="spellEnd"/>
      <w:r>
        <w:rPr>
          <w:rFonts w:cs="Times New Roman"/>
        </w:rPr>
        <w:t xml:space="preserve">, </w:t>
      </w:r>
      <w:r w:rsidRPr="00022216">
        <w:rPr>
          <w:rFonts w:cs="Times New Roman"/>
        </w:rPr>
        <w:t>la CJUE envisage cette mise en balance des intérêts en présence sous la forme d’un conflit de droits, dès lors que l’objectif de neutralité invoqué en l’espèce « se rapporte à la liberté d’entreprise, reconnue à l’article 16</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Liberté d’entreprise"</w:instrText>
      </w:r>
      <w:r>
        <w:rPr>
          <w:rFonts w:cs="Times New Roman"/>
        </w:rPr>
        <w:instrText xml:space="preserve"> </w:instrText>
      </w:r>
      <w:r>
        <w:rPr>
          <w:rFonts w:cs="Times New Roman"/>
        </w:rPr>
        <w:fldChar w:fldCharType="end"/>
      </w:r>
      <w:r w:rsidRPr="00022216">
        <w:rPr>
          <w:rFonts w:cs="Times New Roman"/>
        </w:rPr>
        <w:t xml:space="preserve"> de la Charte » (para. 38)</w:t>
      </w:r>
      <w:r>
        <w:rPr>
          <w:rFonts w:cs="Times New Roman"/>
        </w:rPr>
        <w:t xml:space="preserve"> : </w:t>
      </w:r>
      <w:proofErr w:type="spellStart"/>
      <w:r>
        <w:rPr>
          <w:rFonts w:cs="Times New Roman"/>
        </w:rPr>
        <w:t>voy</w:t>
      </w:r>
      <w:proofErr w:type="spellEnd"/>
      <w:r>
        <w:rPr>
          <w:rFonts w:cs="Times New Roman"/>
        </w:rPr>
        <w:t xml:space="preserve">., </w:t>
      </w:r>
      <w:r>
        <w:rPr>
          <w:rFonts w:cs="Times New Roman"/>
          <w:i/>
          <w:iCs/>
        </w:rPr>
        <w:t>infra</w:t>
      </w:r>
      <w:r>
        <w:rPr>
          <w:rFonts w:cs="Times New Roman"/>
        </w:rPr>
        <w:t xml:space="preserve">, les pts. </w:t>
      </w:r>
      <w:r>
        <w:rPr>
          <w:rFonts w:cs="Times New Roman"/>
        </w:rPr>
        <w:fldChar w:fldCharType="begin"/>
      </w:r>
      <w:r>
        <w:rPr>
          <w:rFonts w:cs="Times New Roman"/>
        </w:rPr>
        <w:instrText xml:space="preserve"> REF _Ref112881500 \r \h </w:instrText>
      </w:r>
      <w:r>
        <w:rPr>
          <w:rFonts w:cs="Times New Roman"/>
        </w:rPr>
      </w:r>
      <w:r>
        <w:rPr>
          <w:rFonts w:cs="Times New Roman"/>
        </w:rPr>
        <w:fldChar w:fldCharType="separate"/>
      </w:r>
      <w:r>
        <w:rPr>
          <w:rFonts w:cs="Times New Roman"/>
        </w:rPr>
        <w:t>105</w:t>
      </w:r>
      <w:r>
        <w:rPr>
          <w:rFonts w:cs="Times New Roman"/>
        </w:rPr>
        <w:fldChar w:fldCharType="end"/>
      </w:r>
      <w:r>
        <w:rPr>
          <w:rFonts w:cs="Times New Roman"/>
        </w:rPr>
        <w:t xml:space="preserve"> et s.</w:t>
      </w:r>
    </w:p>
  </w:footnote>
  <w:footnote w:id="185">
    <w:p w14:paraId="6E3B62DB" w14:textId="16FA1E4D"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{"citationID":"UzATJToX","properties":{"formattedCitation":"L. {\\scaps Varaine}, {\\i{}La religion du contractant}, Paris, LGDJ, 2019, p. 234\\uc0\\u160{}; C. {\\scaps Laurent-Boutot}, \\uc0\\u171{}\\uc0\\u160{}Le r\\uc0\\u244{}le de l\\uc0\\u8217{}\\uc0\\u201{}tat dans la garantie de la libert\\uc0\\u233{} religieuse entre personnes priv\\uc0\\u233{}es\\uc0\\u8239{}: l\\uc0\\u8217{}approche de la Cour europ\\uc0\\u233{}enne des droits de l\\uc0\\u8217{}homme\\uc0\\u160{}\\uc0\\u187{}, {\\i{}in} C. {\\scaps Bargues} et N. {\\scaps Haupais} (\\uc0\\u233{}ds.), {\\i{}Le fait religieux dans la construction de l\\uc0\\u8217{}\\uc0\\u201{}tat}, Paris, Pedone, 2016, p. 221.","plainCitation":"L. Varaine, La religion du contractant, Paris, LGDJ, 2019, p. 234 ; C. Laurent-Boutot, « Le rôle de l’État dans la garantie de la liberté religieuse entre personnes privées : l’approche de la Cour européenne des droits de l’homme », in C. Bargues et N. Haupais (éds.), Le fait religieux dans la construction de l’État, Paris, Pedone, 2016, p. 221.","noteIndex":236},"citationItems":[{"id":2260,"uris":["http://zotero.org/users/5133869/items/2MIAMLF6"],"itemData":{"id":2260,"type":"book","abstract":"Instrument d'échange économique par excellence, le contrat n'est pas, de prime abord, le terrain le plus propice à la satisfaction d'un idéal religieux. Il n'est pas rare, cependant, qu'un contractant se prévale de ses convictions et pratiques religieuses aux fins d'y adapter le contenu ou les conditions d'exécution d'une prestation. La tentation est grande de s'y montrer indifférent. D'un côté est invoquée, pour y parer, l'autonomie de la volonté. De l'autre, il est même suggéré de transposer le principe de laïcité aux relations privées pour obliger les contractants à faire preuve de neutralité. Or, ces dernières sont gouvernées par la liberté de religion. Ainsi, la contractualisation des convictions et pratiques religieuses doit être fortement encouragée. En outre, dans le silence du contrat, le juge peut imposer certaines obligations positives aux contractants, au nom de la liberté de religion et du droit à la non-discrimination, au terme d'un processus de conciliation.\" -Page 4 of cover.","event-place":"Paris","ISBN":"978-2-275-06446-8","language":"French","note":"OCLC: 1107447974","publisher":"LGDJ","publisher-place":"Paris","source":"Open WorldCat","title":"La religion du contractant","author":[{"family":"Varaine","given":"Laura"}],"issued":{"date-parts":[["2019"]]}},"locator":"234"},{"id":1442,"uris":["http://zotero.org/users/5133869/items/LK869YQN"],"itemData":{"id":1442,"type":"chapter","container-title":"Le fait religieux dans la construction de l’État","event-place":"Paris","page":"211-233","publisher":"Pedone","publisher-place":"Paris","title":"Le rôle de l’État dans la garantie de la liberté religieuse entre personnes privées : l’approche de la Cour européenne des droits de l’homme","author":[{"family":"Laurent-Boutot","given":"C"}],"editor":[{"family":"Bargues","given":"C"},{"family":"Haupais","given":"N"}],"issued":{"date-parts":[["2016"]]}},"locator":"221"}],"schema":"https://github.com/citation-style-language/schema/raw/master/csl-citation.json"} </w:instrText>
      </w:r>
      <w:r w:rsidRPr="00022216">
        <w:rPr>
          <w:rFonts w:cs="Times New Roman"/>
        </w:rPr>
        <w:fldChar w:fldCharType="separate"/>
      </w:r>
      <w:r w:rsidRPr="00864488">
        <w:rPr>
          <w:rFonts w:cs="Times New Roman"/>
          <w:szCs w:val="24"/>
        </w:rPr>
        <w:t xml:space="preserve">L. </w:t>
      </w:r>
      <w:proofErr w:type="spellStart"/>
      <w:r w:rsidRPr="00864488">
        <w:rPr>
          <w:rFonts w:cs="Times New Roman"/>
          <w:smallCaps/>
          <w:szCs w:val="24"/>
        </w:rPr>
        <w:t>Varaine</w:t>
      </w:r>
      <w:proofErr w:type="spellEnd"/>
      <w:r w:rsidRPr="00864488">
        <w:rPr>
          <w:rFonts w:cs="Times New Roman"/>
          <w:szCs w:val="24"/>
        </w:rPr>
        <w:t xml:space="preserve">, </w:t>
      </w:r>
      <w:r w:rsidRPr="00864488">
        <w:rPr>
          <w:rFonts w:cs="Times New Roman"/>
          <w:i/>
          <w:iCs/>
          <w:szCs w:val="24"/>
        </w:rPr>
        <w:t>La religion du contractant</w:t>
      </w:r>
      <w:r w:rsidRPr="00864488">
        <w:rPr>
          <w:rFonts w:cs="Times New Roman"/>
          <w:szCs w:val="24"/>
        </w:rPr>
        <w:t xml:space="preserve">, Paris, LGDJ, 2019, p. 234 ; C. </w:t>
      </w:r>
      <w:r w:rsidRPr="00864488">
        <w:rPr>
          <w:rFonts w:cs="Times New Roman"/>
          <w:smallCaps/>
          <w:szCs w:val="24"/>
        </w:rPr>
        <w:t>Laurent-</w:t>
      </w:r>
      <w:proofErr w:type="spellStart"/>
      <w:r w:rsidRPr="00864488">
        <w:rPr>
          <w:rFonts w:cs="Times New Roman"/>
          <w:smallCaps/>
          <w:szCs w:val="24"/>
        </w:rPr>
        <w:t>Boutot</w:t>
      </w:r>
      <w:proofErr w:type="spellEnd"/>
      <w:r w:rsidRPr="00864488">
        <w:rPr>
          <w:rFonts w:cs="Times New Roman"/>
          <w:szCs w:val="24"/>
        </w:rPr>
        <w:t xml:space="preserve">, « Le rôle de l’État dans la garantie de la liberté religieuse entre personnes privées : l’approche de la Cour européenne des droits de l’homme », </w:t>
      </w:r>
      <w:r w:rsidRPr="00864488">
        <w:rPr>
          <w:rFonts w:cs="Times New Roman"/>
          <w:i/>
          <w:iCs/>
          <w:szCs w:val="24"/>
        </w:rPr>
        <w:t>in</w:t>
      </w:r>
      <w:r w:rsidRPr="00864488">
        <w:rPr>
          <w:rFonts w:cs="Times New Roman"/>
          <w:szCs w:val="24"/>
        </w:rPr>
        <w:t xml:space="preserve"> C. </w:t>
      </w:r>
      <w:proofErr w:type="spellStart"/>
      <w:r w:rsidRPr="00864488">
        <w:rPr>
          <w:rFonts w:cs="Times New Roman"/>
          <w:smallCaps/>
          <w:szCs w:val="24"/>
        </w:rPr>
        <w:t>Bargues</w:t>
      </w:r>
      <w:proofErr w:type="spellEnd"/>
      <w:r w:rsidRPr="00864488">
        <w:rPr>
          <w:rFonts w:cs="Times New Roman"/>
          <w:szCs w:val="24"/>
        </w:rPr>
        <w:t xml:space="preserve"> et N. </w:t>
      </w:r>
      <w:proofErr w:type="spellStart"/>
      <w:r w:rsidRPr="00864488">
        <w:rPr>
          <w:rFonts w:cs="Times New Roman"/>
          <w:smallCaps/>
          <w:szCs w:val="24"/>
        </w:rPr>
        <w:t>Haupais</w:t>
      </w:r>
      <w:proofErr w:type="spellEnd"/>
      <w:r w:rsidRPr="00864488">
        <w:rPr>
          <w:rFonts w:cs="Times New Roman"/>
          <w:szCs w:val="24"/>
        </w:rPr>
        <w:t xml:space="preserve"> (</w:t>
      </w:r>
      <w:proofErr w:type="spellStart"/>
      <w:r w:rsidRPr="00864488">
        <w:rPr>
          <w:rFonts w:cs="Times New Roman"/>
          <w:szCs w:val="24"/>
        </w:rPr>
        <w:t>éds</w:t>
      </w:r>
      <w:proofErr w:type="spellEnd"/>
      <w:r w:rsidRPr="00864488">
        <w:rPr>
          <w:rFonts w:cs="Times New Roman"/>
          <w:szCs w:val="24"/>
        </w:rPr>
        <w:t xml:space="preserve">.), </w:t>
      </w:r>
      <w:r w:rsidRPr="00864488">
        <w:rPr>
          <w:rFonts w:cs="Times New Roman"/>
          <w:i/>
          <w:iCs/>
          <w:szCs w:val="24"/>
        </w:rPr>
        <w:t>Le fait religieux dans la construction de l’État</w:t>
      </w:r>
      <w:r w:rsidRPr="00864488">
        <w:rPr>
          <w:rFonts w:cs="Times New Roman"/>
          <w:szCs w:val="24"/>
        </w:rPr>
        <w:t xml:space="preserve">, Paris, </w:t>
      </w:r>
      <w:proofErr w:type="spellStart"/>
      <w:r w:rsidRPr="00864488">
        <w:rPr>
          <w:rFonts w:cs="Times New Roman"/>
          <w:szCs w:val="24"/>
        </w:rPr>
        <w:t>Pedone</w:t>
      </w:r>
      <w:proofErr w:type="spellEnd"/>
      <w:r w:rsidRPr="00864488">
        <w:rPr>
          <w:rFonts w:cs="Times New Roman"/>
          <w:szCs w:val="24"/>
        </w:rPr>
        <w:t>, 2016, p. 221.</w:t>
      </w:r>
      <w:r w:rsidRPr="00022216">
        <w:rPr>
          <w:rFonts w:cs="Times New Roman"/>
        </w:rPr>
        <w:fldChar w:fldCharType="end"/>
      </w:r>
    </w:p>
  </w:footnote>
  <w:footnote w:id="186">
    <w:p w14:paraId="774C62C4" w14:textId="62A1F8AC" w:rsidR="000D6C77" w:rsidRPr="00022216" w:rsidRDefault="000D6C77" w:rsidP="009066AA">
      <w:pPr>
        <w:pStyle w:val="Notedebasdepage"/>
        <w:rPr>
          <w:rFonts w:cs="Times New Roman"/>
        </w:rPr>
      </w:pPr>
      <w:bookmarkStart w:id="29" w:name="_Ref44965858"/>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{"citationID":"h97XGQC8","properties":{"formattedCitation":"C. {\\scaps Laurent-Boutot}, \\uc0\\u171{}\\uc0\\u160{}Le r\\uc0\\u244{}le de l\\uc0\\u8217{}\\uc0\\u201{}tat dans la garantie de la libert\\uc0\\u233{} religieuse entre personnes priv\\uc0\\u233{}es\\uc0\\u8239{}: l\\uc0\\u8217{}approche de la Cour europ\\uc0\\u233{}enne des droits de l\\uc0\\u8217{}homme\\uc0\\u160{}\\uc0\\u187{}, {\\i{}op. cit.}, pp. 222\\uc0\\u8209{}223.","plainCitation":"C. Laurent-Boutot, « Le rôle de l’État dans la garantie de la liberté religieuse entre personnes privées : l’approche de la Cour européenne des droits de l’homme », op. cit., pp. 222‑223.","noteIndex":237},"citationItems":[{"id":1442,"uris":["http://zotero.org/users/5133869/items/LK869YQN"],"itemData":{"id":1442,"type":"chapter","container-title":"Le fait religieux dans la construction de l’État","event-place":"Paris","page":"211-233","publisher":"Pedone","publisher-place":"Paris","title":"Le rôle de l’État dans la garantie de la liberté religieuse entre personnes privées : l’approche de la Cour européenne des droits de l’homme","author":[{"family":"Laurent-Boutot","given":"C"}],"editor":[{"family":"Bargues","given":"C"},{"family":"Haupais","given":"N"}],"issued":{"date-parts":[["2016"]]}},"locator":"222-223"}],"schema":"https://github.com/citation-style-language/schema/raw/master/csl-citation.json"} </w:instrText>
      </w:r>
      <w:r w:rsidRPr="00022216">
        <w:rPr>
          <w:rFonts w:cs="Times New Roman"/>
        </w:rPr>
        <w:fldChar w:fldCharType="separate"/>
      </w:r>
      <w:r w:rsidRPr="00A05700">
        <w:rPr>
          <w:rFonts w:cs="Times New Roman"/>
          <w:szCs w:val="24"/>
        </w:rPr>
        <w:t xml:space="preserve">C. </w:t>
      </w:r>
      <w:r w:rsidRPr="00A05700">
        <w:rPr>
          <w:rFonts w:cs="Times New Roman"/>
          <w:smallCaps/>
          <w:szCs w:val="24"/>
        </w:rPr>
        <w:t>Laurent-</w:t>
      </w:r>
      <w:proofErr w:type="spellStart"/>
      <w:r w:rsidRPr="00A05700">
        <w:rPr>
          <w:rFonts w:cs="Times New Roman"/>
          <w:smallCaps/>
          <w:szCs w:val="24"/>
        </w:rPr>
        <w:t>Boutot</w:t>
      </w:r>
      <w:proofErr w:type="spellEnd"/>
      <w:r w:rsidRPr="00A05700">
        <w:rPr>
          <w:rFonts w:cs="Times New Roman"/>
          <w:szCs w:val="24"/>
        </w:rPr>
        <w:t xml:space="preserve">, « Le rôle de l’État dans la garantie de la liberté religieuse entre personnes privées : l’approche de la Cour européenne des droits de l’homme », </w:t>
      </w:r>
      <w:r w:rsidRPr="00A05700">
        <w:rPr>
          <w:rFonts w:cs="Times New Roman"/>
          <w:i/>
          <w:iCs/>
          <w:szCs w:val="24"/>
        </w:rPr>
        <w:t xml:space="preserve">op. </w:t>
      </w:r>
      <w:proofErr w:type="spellStart"/>
      <w:r w:rsidRPr="00A05700">
        <w:rPr>
          <w:rFonts w:cs="Times New Roman"/>
          <w:i/>
          <w:iCs/>
          <w:szCs w:val="24"/>
        </w:rPr>
        <w:t>cit</w:t>
      </w:r>
      <w:proofErr w:type="spellEnd"/>
      <w:r w:rsidRPr="00A05700">
        <w:rPr>
          <w:rFonts w:cs="Times New Roman"/>
          <w:i/>
          <w:iCs/>
          <w:szCs w:val="24"/>
        </w:rPr>
        <w:t>.</w:t>
      </w:r>
      <w:r w:rsidRPr="00A05700">
        <w:rPr>
          <w:rFonts w:cs="Times New Roman"/>
          <w:szCs w:val="24"/>
        </w:rPr>
        <w:t>, pp. 222‑223.</w:t>
      </w:r>
      <w:r w:rsidRPr="00022216">
        <w:rPr>
          <w:rFonts w:cs="Times New Roman"/>
        </w:rPr>
        <w:fldChar w:fldCharType="end"/>
      </w:r>
      <w:bookmarkEnd w:id="29"/>
    </w:p>
  </w:footnote>
  <w:footnote w:id="187">
    <w:p w14:paraId="4875F91B" w14:textId="06164EBB" w:rsidR="000D6C77" w:rsidRPr="00562629" w:rsidRDefault="000D6C77" w:rsidP="009066AA">
      <w:pPr>
        <w:pStyle w:val="Notedebasdepage"/>
        <w:rPr>
          <w:rFonts w:cs="Times New Roman"/>
          <w:lang w:val="en-GB"/>
        </w:rPr>
      </w:pPr>
      <w:r w:rsidRPr="00022216">
        <w:rPr>
          <w:rStyle w:val="Appelnotedebasdep"/>
          <w:rFonts w:cs="Times New Roman"/>
        </w:rPr>
        <w:footnoteRef/>
      </w:r>
      <w:r w:rsidRPr="00562629">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{"citationID":"myCDwkuD","properties":{"formattedCitation":"{\\i{}Ibid.}, p. 222.","plainCitation":"Ibid., p. 222.","noteIndex":238},"citationItems":[{"id":1442,"uris":["http://zotero.org/users/5133869/items/LK869YQN"],"itemData":{"id":1442,"type":"chapter","container-title":"Le fait religieux dans la construction de l’État","event-place":"Paris","page":"211-233","publisher":"Pedone","publisher-place":"Paris","title":"Le rôle de l’État dans la garantie de la liberté religieuse entre personnes privées : l’approche de la Cour européenne des droits de l’homme","author":[{"family":"Laurent-Boutot","given":"C"}],"editor":[{"family":"Bargues","given":"C"},{"family":"Haupais","given":"N"}],"issued":{"date-parts":[["2016"]]}},"locator":"222"}],"schema":"https://github.com/citation-style-language/schema/raw/master/csl-citation.json"} </w:instrText>
      </w:r>
      <w:r w:rsidRPr="00022216">
        <w:rPr>
          <w:rFonts w:cs="Times New Roman"/>
        </w:rPr>
        <w:fldChar w:fldCharType="separate"/>
      </w:r>
      <w:r w:rsidRPr="00562629">
        <w:rPr>
          <w:rFonts w:cs="Times New Roman"/>
          <w:i/>
          <w:iCs/>
          <w:lang w:val="en-GB"/>
        </w:rPr>
        <w:t>Ibid.</w:t>
      </w:r>
      <w:r w:rsidRPr="00562629">
        <w:rPr>
          <w:rFonts w:cs="Times New Roman"/>
          <w:lang w:val="en-GB"/>
        </w:rPr>
        <w:t>, p. 222.</w:t>
      </w:r>
      <w:r w:rsidRPr="00022216">
        <w:rPr>
          <w:rFonts w:cs="Times New Roman"/>
        </w:rPr>
        <w:fldChar w:fldCharType="end"/>
      </w:r>
    </w:p>
  </w:footnote>
  <w:footnote w:id="188">
    <w:p w14:paraId="70E25D0B" w14:textId="3F6E4A74" w:rsidR="000D6C77" w:rsidRPr="00562629" w:rsidRDefault="000D6C77" w:rsidP="009066AA">
      <w:pPr>
        <w:pStyle w:val="Notedebasdepage"/>
        <w:rPr>
          <w:rFonts w:cs="Times New Roman"/>
          <w:lang w:val="en-GB"/>
        </w:rPr>
      </w:pPr>
      <w:r w:rsidRPr="00022216">
        <w:rPr>
          <w:rStyle w:val="Appelnotedebasdep"/>
          <w:rFonts w:cs="Times New Roman"/>
        </w:rPr>
        <w:footnoteRef/>
      </w:r>
      <w:r w:rsidRPr="00562629">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{"citationID":"jE8UP6Co","properties":{"formattedCitation":"{\\i{}Ibid.}, p. 223.","plainCitation":"Ibid., p. 223.","noteIndex":239},"citationItems":[{"id":1442,"uris":["http://zotero.org/users/5133869/items/LK869YQN"],"itemData":{"id":1442,"type":"chapter","container-title":"Le fait religieux dans la construction de l’État","event-place":"Paris","page":"211-233","publisher":"Pedone","publisher-place":"Paris","title":"Le rôle de l’État dans la garantie de la liberté religieuse entre personnes privées : l’approche de la Cour européenne des droits de l’homme","author":[{"family":"Laurent-Boutot","given":"C"}],"editor":[{"family":"Bargues","given":"C"},{"family":"Haupais","given":"N"}],"issued":{"date-parts":[["2016"]]}},"locator":"223"}],"schema":"https://github.com/citation-style-language/schema/raw/master/csl-citation.json"} </w:instrText>
      </w:r>
      <w:r w:rsidRPr="00022216">
        <w:rPr>
          <w:rFonts w:cs="Times New Roman"/>
        </w:rPr>
        <w:fldChar w:fldCharType="separate"/>
      </w:r>
      <w:r w:rsidRPr="00562629">
        <w:rPr>
          <w:rFonts w:cs="Times New Roman"/>
          <w:i/>
          <w:iCs/>
          <w:szCs w:val="24"/>
          <w:lang w:val="en-GB"/>
        </w:rPr>
        <w:t>Ibid.</w:t>
      </w:r>
      <w:r w:rsidRPr="00562629">
        <w:rPr>
          <w:rFonts w:cs="Times New Roman"/>
          <w:szCs w:val="24"/>
          <w:lang w:val="en-GB"/>
        </w:rPr>
        <w:t>, p. 223.</w:t>
      </w:r>
      <w:r w:rsidRPr="00022216">
        <w:rPr>
          <w:rFonts w:cs="Times New Roman"/>
        </w:rPr>
        <w:fldChar w:fldCharType="end"/>
      </w:r>
    </w:p>
  </w:footnote>
  <w:footnote w:id="189">
    <w:p w14:paraId="46FF94AB" w14:textId="57919013" w:rsidR="000D6C77" w:rsidRPr="00CC53A2" w:rsidRDefault="000D6C77">
      <w:pPr>
        <w:pStyle w:val="Notedebasdepage"/>
      </w:pPr>
      <w:r>
        <w:rPr>
          <w:rStyle w:val="Appelnotedebasdep"/>
        </w:rPr>
        <w:footnoteRef/>
      </w:r>
      <w:r w:rsidRPr="00FF61EE">
        <w:rPr>
          <w:lang w:val="en-US"/>
        </w:rPr>
        <w:t xml:space="preserve"> </w:t>
      </w:r>
      <w:r w:rsidRPr="00022216">
        <w:rPr>
          <w:rFonts w:cs="Times New Roman"/>
        </w:rPr>
        <w:fldChar w:fldCharType="begin"/>
      </w:r>
      <w:r>
        <w:rPr>
          <w:rFonts w:cs="Times New Roman"/>
          <w:lang w:val="en-US"/>
        </w:rPr>
        <w:instrText xml:space="preserve"> ADDIN ZOTERO_ITEM CSL_CITATION {"citationID":"6EagQ9tG","properties":{"formattedCitation":"O. {\\scaps De Schutter} et J. {\\scaps Ringelheim}, \\uc0\\u171{}\\uc0\\u160{}La renonciation aux droits fondamentaux. La libre disposition du soi et le r\\uc0\\u232{}gne de l\\uc0\\u8217{}\\uc0\\u233{}change\\uc0\\u160{}\\uc0\\u187{}, {\\i{}in} H. {\\scaps Dumont}, F. {\\scaps Ost} et S. {\\scaps van}\\uc0\\u160{}{\\scaps Drooghenbroeck} (\\uc0\\u233{}ds.), {\\i{}La responsabilit\\uc0\\u233{}, face cach\\uc0\\u233{}e des droits de l\\uc0\\u8217{}homme}, Bruxelles, Bruylant, 2005, pp. 441\\uc0\\u8209{}481.","plainCitation":"O. De Schutter et J. Ringelheim, « La renonciation aux droits fondamentaux. La libre disposition du soi et le règne de l’échange », in H. Dumont, F. Ost et S. van Drooghenbroeck (éds.), La responsabilité, face cachée des droits de l’homme, Bruxelles, Bruylant, 2005, pp. 441‑481.","noteIndex":239},"citationItems":[{"id":2190,"uris":["http://zotero.org/users/5133869/items/DE9FG4IY"],"itemData":{"id":2190,"type":"chapter","call-number":"K3240 .R478 2005","container-title":"La responsabilité, face cachée des droits de l'homme","event-place":"Bruxelles","ISBN":"978-2-8027-2090-4","note":"OCLC: ocm70238821","page":"441-481","publisher":"Bruylant","publisher-place":"Bruxelles","source":"Library of Congress ISBN","title":"La renonciation aux droits fondamentaux. La libre disposition du soi et le règne de l'échange","editor":[{"family":"Dumont","given":"Hugues"},{"family":"Ost","given":"François"},{"family":"Drooghenbroeck","given":"Sébastien","non-dropping-particle":"van"}],"author":[{"family":"De Schutter","given":"Olivier"},{"family":"Ringelheim","given":"Julie"}],"issued":{"date-parts":[["2005"]]}}}],"schema":"https://github.com/citation-style-language/schema/raw/master/csl-citation.json"} </w:instrText>
      </w:r>
      <w:r w:rsidRPr="00022216">
        <w:rPr>
          <w:rFonts w:cs="Times New Roman"/>
        </w:rPr>
        <w:fldChar w:fldCharType="separate"/>
      </w:r>
      <w:r w:rsidRPr="00FF61EE">
        <w:rPr>
          <w:rFonts w:cs="Times New Roman"/>
          <w:szCs w:val="24"/>
          <w:lang w:val="en-US"/>
        </w:rPr>
        <w:t xml:space="preserve">O. </w:t>
      </w:r>
      <w:r w:rsidRPr="00FF61EE">
        <w:rPr>
          <w:rFonts w:cs="Times New Roman"/>
          <w:smallCaps/>
          <w:szCs w:val="24"/>
          <w:lang w:val="en-US"/>
        </w:rPr>
        <w:t xml:space="preserve">De </w:t>
      </w:r>
      <w:proofErr w:type="spellStart"/>
      <w:r w:rsidRPr="00FF61EE">
        <w:rPr>
          <w:rFonts w:cs="Times New Roman"/>
          <w:smallCaps/>
          <w:szCs w:val="24"/>
          <w:lang w:val="en-US"/>
        </w:rPr>
        <w:t>Schutter</w:t>
      </w:r>
      <w:proofErr w:type="spellEnd"/>
      <w:r w:rsidRPr="00FF61EE">
        <w:rPr>
          <w:rFonts w:cs="Times New Roman"/>
          <w:szCs w:val="24"/>
          <w:lang w:val="en-US"/>
        </w:rPr>
        <w:t xml:space="preserve"> et J. </w:t>
      </w:r>
      <w:r w:rsidRPr="00FF61EE">
        <w:rPr>
          <w:rFonts w:cs="Times New Roman"/>
          <w:smallCaps/>
          <w:szCs w:val="24"/>
          <w:lang w:val="en-US"/>
        </w:rPr>
        <w:t>Ringelheim</w:t>
      </w:r>
      <w:r w:rsidRPr="00FF61EE">
        <w:rPr>
          <w:rFonts w:cs="Times New Roman"/>
          <w:szCs w:val="24"/>
          <w:lang w:val="en-US"/>
        </w:rPr>
        <w:t xml:space="preserve">, « La </w:t>
      </w:r>
      <w:proofErr w:type="spellStart"/>
      <w:r w:rsidRPr="00FF61EE">
        <w:rPr>
          <w:rFonts w:cs="Times New Roman"/>
          <w:szCs w:val="24"/>
          <w:lang w:val="en-US"/>
        </w:rPr>
        <w:t>renonciation</w:t>
      </w:r>
      <w:proofErr w:type="spellEnd"/>
      <w:r w:rsidRPr="00FF61EE">
        <w:rPr>
          <w:rFonts w:cs="Times New Roman"/>
          <w:szCs w:val="24"/>
          <w:lang w:val="en-US"/>
        </w:rPr>
        <w:t xml:space="preserve"> aux droits </w:t>
      </w:r>
      <w:proofErr w:type="spellStart"/>
      <w:r w:rsidRPr="00FF61EE">
        <w:rPr>
          <w:rFonts w:cs="Times New Roman"/>
          <w:szCs w:val="24"/>
          <w:lang w:val="en-US"/>
        </w:rPr>
        <w:t>fondamentaux</w:t>
      </w:r>
      <w:proofErr w:type="spellEnd"/>
      <w:r w:rsidRPr="00FF61EE">
        <w:rPr>
          <w:rFonts w:cs="Times New Roman"/>
          <w:szCs w:val="24"/>
          <w:lang w:val="en-US"/>
        </w:rPr>
        <w:t xml:space="preserve">. </w:t>
      </w:r>
      <w:r w:rsidRPr="00DA17EF">
        <w:rPr>
          <w:rFonts w:cs="Times New Roman"/>
          <w:szCs w:val="24"/>
        </w:rPr>
        <w:t xml:space="preserve">La libre disposition du soi et le règne de l’échange », </w:t>
      </w:r>
      <w:r w:rsidRPr="00DA17EF">
        <w:rPr>
          <w:rFonts w:cs="Times New Roman"/>
          <w:i/>
          <w:iCs/>
          <w:szCs w:val="24"/>
        </w:rPr>
        <w:t>in</w:t>
      </w:r>
      <w:r w:rsidRPr="00DA17EF">
        <w:rPr>
          <w:rFonts w:cs="Times New Roman"/>
          <w:szCs w:val="24"/>
        </w:rPr>
        <w:t xml:space="preserve"> H. </w:t>
      </w:r>
      <w:r w:rsidRPr="00DA17EF">
        <w:rPr>
          <w:rFonts w:cs="Times New Roman"/>
          <w:smallCaps/>
          <w:szCs w:val="24"/>
        </w:rPr>
        <w:t>Dumont</w:t>
      </w:r>
      <w:r w:rsidRPr="00DA17EF">
        <w:rPr>
          <w:rFonts w:cs="Times New Roman"/>
          <w:szCs w:val="24"/>
        </w:rPr>
        <w:t xml:space="preserve">, F. </w:t>
      </w:r>
      <w:r w:rsidRPr="00DA17EF">
        <w:rPr>
          <w:rFonts w:cs="Times New Roman"/>
          <w:smallCaps/>
          <w:szCs w:val="24"/>
        </w:rPr>
        <w:t>Ost</w:t>
      </w:r>
      <w:r w:rsidRPr="00DA17EF">
        <w:rPr>
          <w:rFonts w:cs="Times New Roman"/>
          <w:szCs w:val="24"/>
        </w:rPr>
        <w:t xml:space="preserve"> et S. </w:t>
      </w:r>
      <w:r w:rsidRPr="00DA17EF">
        <w:rPr>
          <w:rFonts w:cs="Times New Roman"/>
          <w:smallCaps/>
          <w:szCs w:val="24"/>
        </w:rPr>
        <w:t>van</w:t>
      </w:r>
      <w:r w:rsidRPr="00DA17EF">
        <w:rPr>
          <w:rFonts w:cs="Times New Roman"/>
          <w:szCs w:val="24"/>
        </w:rPr>
        <w:t> </w:t>
      </w:r>
      <w:proofErr w:type="spellStart"/>
      <w:r w:rsidRPr="00DA17EF">
        <w:rPr>
          <w:rFonts w:cs="Times New Roman"/>
          <w:smallCaps/>
          <w:szCs w:val="24"/>
        </w:rPr>
        <w:t>Drooghenbroeck</w:t>
      </w:r>
      <w:proofErr w:type="spellEnd"/>
      <w:r w:rsidRPr="00DA17EF">
        <w:rPr>
          <w:rFonts w:cs="Times New Roman"/>
          <w:szCs w:val="24"/>
        </w:rPr>
        <w:t xml:space="preserve"> (</w:t>
      </w:r>
      <w:proofErr w:type="spellStart"/>
      <w:r w:rsidRPr="00DA17EF">
        <w:rPr>
          <w:rFonts w:cs="Times New Roman"/>
          <w:szCs w:val="24"/>
        </w:rPr>
        <w:t>éds</w:t>
      </w:r>
      <w:proofErr w:type="spellEnd"/>
      <w:r w:rsidRPr="00DA17EF">
        <w:rPr>
          <w:rFonts w:cs="Times New Roman"/>
          <w:szCs w:val="24"/>
        </w:rPr>
        <w:t xml:space="preserve">.), </w:t>
      </w:r>
      <w:r w:rsidRPr="00DA17EF">
        <w:rPr>
          <w:rFonts w:cs="Times New Roman"/>
          <w:i/>
          <w:iCs/>
          <w:szCs w:val="24"/>
        </w:rPr>
        <w:t>La responsabilité, face cachée des droits de l’homme</w:t>
      </w:r>
      <w:r w:rsidRPr="00DA17EF">
        <w:rPr>
          <w:rFonts w:cs="Times New Roman"/>
          <w:szCs w:val="24"/>
        </w:rPr>
        <w:t>, Bruxelles, Bruylant, 2005, pp. 441‑481.</w:t>
      </w:r>
      <w:r w:rsidRPr="00022216">
        <w:rPr>
          <w:rFonts w:cs="Times New Roman"/>
        </w:rPr>
        <w:fldChar w:fldCharType="end"/>
      </w:r>
    </w:p>
  </w:footnote>
  <w:footnote w:id="190">
    <w:p w14:paraId="37185FD7" w14:textId="0F996605" w:rsidR="000D6C77" w:rsidRPr="00022216" w:rsidRDefault="000D6C77" w:rsidP="009066AA">
      <w:pPr>
        <w:pStyle w:val="Notedebasdepage"/>
        <w:rPr>
          <w:rFonts w:cs="Times New Roman"/>
        </w:rPr>
      </w:pPr>
      <w:r w:rsidRPr="00022216">
        <w:rPr>
          <w:rStyle w:val="Appelnotedebasdep"/>
          <w:rFonts w:cs="Times New Roman"/>
        </w:rPr>
        <w:footnoteRef/>
      </w:r>
      <w:r w:rsidRPr="00FF61EE">
        <w:rPr>
          <w:rFonts w:cs="Times New Roman"/>
        </w:rPr>
        <w:t xml:space="preserve"> </w:t>
      </w:r>
      <w:r w:rsidRPr="00953F72">
        <w:rPr>
          <w:rFonts w:cs="Times New Roman"/>
        </w:rPr>
        <w:t xml:space="preserve">CourEDH, </w:t>
      </w:r>
      <w:proofErr w:type="spellStart"/>
      <w:r w:rsidRPr="00FF61EE">
        <w:rPr>
          <w:rFonts w:cs="Times New Roman"/>
          <w:i/>
          <w:iCs/>
        </w:rPr>
        <w:t>Eweida</w:t>
      </w:r>
      <w:proofErr w:type="spellEnd"/>
      <w:r w:rsidRPr="00FF61EE">
        <w:rPr>
          <w:rFonts w:cs="Times New Roman"/>
          <w:i/>
          <w:iCs/>
        </w:rPr>
        <w:t xml:space="preserve"> e.a.</w:t>
      </w:r>
      <w:r w:rsidRPr="00FF61EE">
        <w:rPr>
          <w:rFonts w:cs="Times New Roman"/>
        </w:rPr>
        <w:t xml:space="preserve">, para. </w:t>
      </w:r>
      <w:r w:rsidRPr="00022216">
        <w:rPr>
          <w:rFonts w:cs="Times New Roman"/>
        </w:rPr>
        <w:t xml:space="preserve">83 : </w:t>
      </w:r>
      <w:proofErr w:type="spellStart"/>
      <w:r>
        <w:rPr>
          <w:rFonts w:cs="Times New Roman"/>
        </w:rPr>
        <w:t>voy</w:t>
      </w:r>
      <w:proofErr w:type="spellEnd"/>
      <w:r>
        <w:rPr>
          <w:rFonts w:cs="Times New Roman"/>
        </w:rPr>
        <w:t xml:space="preserve">., </w:t>
      </w:r>
      <w:r>
        <w:rPr>
          <w:rFonts w:cs="Times New Roman"/>
          <w:i/>
          <w:iCs/>
        </w:rPr>
        <w:t>supra</w:t>
      </w:r>
      <w:r>
        <w:rPr>
          <w:rFonts w:cs="Times New Roman"/>
        </w:rPr>
        <w:t xml:space="preserve">, n. </w:t>
      </w:r>
      <w:r>
        <w:rPr>
          <w:rFonts w:cs="Times New Roman"/>
        </w:rPr>
        <w:fldChar w:fldCharType="begin"/>
      </w:r>
      <w:r>
        <w:rPr>
          <w:rFonts w:cs="Times New Roman"/>
        </w:rPr>
        <w:instrText xml:space="preserve"> NOTEREF _Ref121660162 \h </w:instrText>
      </w:r>
      <w:r>
        <w:rPr>
          <w:rFonts w:cs="Times New Roman"/>
        </w:rPr>
      </w:r>
      <w:r>
        <w:rPr>
          <w:rFonts w:cs="Times New Roman"/>
        </w:rPr>
        <w:fldChar w:fldCharType="separate"/>
      </w:r>
      <w:r>
        <w:rPr>
          <w:rFonts w:cs="Times New Roman"/>
        </w:rPr>
        <w:t>59</w:t>
      </w:r>
      <w:r>
        <w:rPr>
          <w:rFonts w:cs="Times New Roman"/>
        </w:rPr>
        <w:fldChar w:fldCharType="end"/>
      </w:r>
      <w:r w:rsidRPr="00022216">
        <w:rPr>
          <w:rFonts w:cs="Times New Roman"/>
        </w:rPr>
        <w:t>.</w:t>
      </w:r>
    </w:p>
  </w:footnote>
  <w:footnote w:id="191">
    <w:p w14:paraId="3D2183DD" w14:textId="0BF33D69" w:rsidR="000D6C77" w:rsidRPr="00A437FC" w:rsidRDefault="000D6C77" w:rsidP="009066AA">
      <w:pPr>
        <w:pStyle w:val="Notedebasdepage"/>
      </w:pPr>
      <w:r>
        <w:rPr>
          <w:rStyle w:val="Appelnotedebasdep"/>
        </w:rPr>
        <w:footnoteRef/>
      </w:r>
      <w:r w:rsidRPr="00A437FC">
        <w:t xml:space="preserve"> </w:t>
      </w:r>
      <w:r>
        <w:fldChar w:fldCharType="begin"/>
      </w:r>
      <w:r>
        <w:instrText xml:space="preserve"> ADDIN ZOTERO_ITEM CSL_CITATION {"citationID":"EhzRiGIb","properties":{"formattedCitation":"C. {\\scaps Willmann}, \\uc0\\u171{}\\uc0\\u160{}La bonne foi contractuelle et les convictions religieuses\\uc0\\u160{}\\uc0\\u187{}, {\\i{}La Semaine Juridique Entreprise et Affaires}, 1999, n\\uc0\\u176{} 21, p. 900.","plainCitation":"C. Willmann, « La bonne foi contractuelle et les convictions religieuses », La Semaine Juridique Entreprise et Affaires, 1999, n° 21, p. 900.","noteIndex":241},"citationItems":[{"id":1562,"uris":["http://zotero.org/users/5133869/items/KFXBKECS"],"itemData":{"id":1562,"type":"article-journal","container-title":"La Semaine Juridique Entreprise et Affaires","issue":"21","page":"900","title":"La bonne foi contractuelle et les convictions religieuses","author":[{"family":"Willmann","given":"Ch"}],"issued":{"date-parts":[["1999"]]}}}],"schema":"https://github.com/citation-style-language/schema/raw/master/csl-citation.json"} </w:instrText>
      </w:r>
      <w:r>
        <w:fldChar w:fldCharType="separate"/>
      </w:r>
      <w:r w:rsidRPr="00E74ED6">
        <w:rPr>
          <w:rFonts w:cs="Times New Roman"/>
          <w:szCs w:val="24"/>
        </w:rPr>
        <w:t xml:space="preserve">C. </w:t>
      </w:r>
      <w:r w:rsidRPr="00E74ED6">
        <w:rPr>
          <w:rFonts w:cs="Times New Roman"/>
          <w:smallCaps/>
          <w:szCs w:val="24"/>
        </w:rPr>
        <w:t>Willmann</w:t>
      </w:r>
      <w:r w:rsidRPr="00E74ED6">
        <w:rPr>
          <w:rFonts w:cs="Times New Roman"/>
          <w:szCs w:val="24"/>
        </w:rPr>
        <w:t xml:space="preserve">, « La bonne foi contractuelle et les convictions religieuses », </w:t>
      </w:r>
      <w:r w:rsidRPr="00E74ED6">
        <w:rPr>
          <w:rFonts w:cs="Times New Roman"/>
          <w:i/>
          <w:iCs/>
          <w:szCs w:val="24"/>
        </w:rPr>
        <w:t>La Semaine Juridique Entreprise et Affaires</w:t>
      </w:r>
      <w:r w:rsidRPr="00E74ED6">
        <w:rPr>
          <w:rFonts w:cs="Times New Roman"/>
          <w:szCs w:val="24"/>
        </w:rPr>
        <w:t>, 1999, n° 21, p. 900.</w:t>
      </w:r>
      <w:r>
        <w:fldChar w:fldCharType="end"/>
      </w:r>
    </w:p>
  </w:footnote>
  <w:footnote w:id="192">
    <w:p w14:paraId="49CC7712" w14:textId="6235563C"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{"citationID":"1KuiC1y1","properties":{"formattedCitation":"C. {\\scaps Laurent-Boutot}, \\uc0\\u171{}\\uc0\\u160{}Le r\\uc0\\u244{}le de l\\uc0\\u8217{}\\uc0\\u201{}tat dans la garantie de la libert\\uc0\\u233{} religieuse entre personnes priv\\uc0\\u233{}es\\uc0\\u8239{}: l\\uc0\\u8217{}approche de la Cour europ\\uc0\\u233{}enne des droits de l\\uc0\\u8217{}homme\\uc0\\u160{}\\uc0\\u187{}, {\\i{}op. cit.}, p. 223.","plainCitation":"C. Laurent-Boutot, « Le rôle de l’État dans la garantie de la liberté religieuse entre personnes privées : l’approche de la Cour européenne des droits de l’homme », op. cit., p. 223.","noteIndex":243},"citationItems":[{"id":1442,"uris":["http://zotero.org/users/5133869/items/LK869YQN"],"itemData":{"id":1442,"type":"chapter","container-title":"Le fait religieux dans la construction de l’État","event-place":"Paris","page":"211-233","publisher":"Pedone","publisher-place":"Paris","title":"Le rôle de l’État dans la garantie de la liberté religieuse entre personnes privées : l’approche de la Cour européenne des droits de l’homme","author":[{"family":"Laurent-Boutot","given":"C"}],"editor":[{"family":"Bargues","given":"C"},{"family":"Haupais","given":"N"}],"issued":{"date-parts":[["2016"]]}},"locator":"223"}],"schema":"https://github.com/citation-style-language/schema/raw/master/csl-citation.json"} </w:instrText>
      </w:r>
      <w:r w:rsidRPr="00022216">
        <w:rPr>
          <w:rFonts w:cs="Times New Roman"/>
        </w:rPr>
        <w:fldChar w:fldCharType="separate"/>
      </w:r>
      <w:r w:rsidRPr="00A05700">
        <w:rPr>
          <w:rFonts w:cs="Times New Roman"/>
          <w:szCs w:val="24"/>
        </w:rPr>
        <w:t xml:space="preserve">C. </w:t>
      </w:r>
      <w:r w:rsidRPr="00A05700">
        <w:rPr>
          <w:rFonts w:cs="Times New Roman"/>
          <w:smallCaps/>
          <w:szCs w:val="24"/>
        </w:rPr>
        <w:t>Laurent-</w:t>
      </w:r>
      <w:proofErr w:type="spellStart"/>
      <w:r w:rsidRPr="00A05700">
        <w:rPr>
          <w:rFonts w:cs="Times New Roman"/>
          <w:smallCaps/>
          <w:szCs w:val="24"/>
        </w:rPr>
        <w:t>Boutot</w:t>
      </w:r>
      <w:proofErr w:type="spellEnd"/>
      <w:r w:rsidRPr="00A05700">
        <w:rPr>
          <w:rFonts w:cs="Times New Roman"/>
          <w:szCs w:val="24"/>
        </w:rPr>
        <w:t xml:space="preserve">, « Le rôle de l’État dans la garantie de la liberté religieuse entre personnes privées : l’approche de la Cour européenne des droits de l’homme », </w:t>
      </w:r>
      <w:r w:rsidRPr="00A05700">
        <w:rPr>
          <w:rFonts w:cs="Times New Roman"/>
          <w:i/>
          <w:iCs/>
          <w:szCs w:val="24"/>
        </w:rPr>
        <w:t xml:space="preserve">op. </w:t>
      </w:r>
      <w:proofErr w:type="spellStart"/>
      <w:r w:rsidRPr="00A05700">
        <w:rPr>
          <w:rFonts w:cs="Times New Roman"/>
          <w:i/>
          <w:iCs/>
          <w:szCs w:val="24"/>
        </w:rPr>
        <w:t>cit</w:t>
      </w:r>
      <w:proofErr w:type="spellEnd"/>
      <w:r w:rsidRPr="00A05700">
        <w:rPr>
          <w:rFonts w:cs="Times New Roman"/>
          <w:i/>
          <w:iCs/>
          <w:szCs w:val="24"/>
        </w:rPr>
        <w:t>.</w:t>
      </w:r>
      <w:r w:rsidRPr="00A05700">
        <w:rPr>
          <w:rFonts w:cs="Times New Roman"/>
          <w:szCs w:val="24"/>
        </w:rPr>
        <w:t>, p. 223.</w:t>
      </w:r>
      <w:r w:rsidRPr="00022216">
        <w:rPr>
          <w:rFonts w:cs="Times New Roman"/>
        </w:rPr>
        <w:fldChar w:fldCharType="end"/>
      </w:r>
    </w:p>
  </w:footnote>
  <w:footnote w:id="193">
    <w:p w14:paraId="4400D9CF" w14:textId="04295347"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{"citationID":"rDktGMCI","properties":{"formattedCitation":"G. {\\scaps Gonzalez}, \\uc0\\u171{}\\uc0\\u160{}Vade-mecum pour interdire les signes religieux au travail (\\uc0\\u224{} propos des arr\\uc0\\u234{}ts CJUE, gr. ch., 14 mars 2017, Asma Bougnaoui et Samira Achbita)\\uc0\\u160{}\\uc0\\u187{}, {\\i{}Revue de l\\uc0\\u8217{}Union europ\\uc0\\u233{}enne}, 2017, n\\uc0\\u176{} 609, pp. 342\\uc0\\u8209{}347\\uc0\\u160{}; S. {\\scaps Hennette-Vauchez}, \\uc0\\u171{}\\uc0\\u160{}Nous sommes Achbita\\uc0\\u160{}\\uc0\\u187{}, {\\i{}Revue trimestrielle de droit europ\\uc0\\u233{}en}, 2019, p. 106.","plainCitation":"G. Gonzalez, « Vade-mecum pour interdire les signes religieux au travail (à propos des arrêts CJUE, gr. ch., 14 mars 2017, Asma Bougnaoui et Samira Achbita) », Revue de l’Union européenne, 2017, n° 609, pp. 342‑347 ; S. Hennette-Vauchez, « Nous sommes Achbita », Revue trimestrielle de droit européen, 2019, p. 106.","noteIndex":243},"citationItems":[{"id":222,"uris":["http://zotero.org/users/5133869/items/TE4SDCFN"],"itemData":{"id":222,"type":"article-journal","container-title":"Revue de l'Union européenne","issue":"609","page":"342-347","title":"Vade-mecum pour interdire les signes religieux au travail (à propos des arrêts CJUE, gr. ch., 14 mars 2017, Asma Bougnaoui et Samira Achbita)","author":[{"family":"Gonzalez","given":"Gérard"}],"issued":{"date-parts":[["2017"]]}}},{"id":2674,"uris":["http://zotero.org/users/5133869/items/HGAIKEXQ"],"itemData":{"id":2674,"type":"article-journal","container-title":"Revue trimestrielle de droit européen","page":"105-116","title":"Nous sommes Achbita","author":[{"family":"Hennette-Vauchez","given":"Stéphanie"}],"issued":{"date-parts":[["2019"]]}},"locator":"106"}],"schema":"https://github.com/citation-style-language/schema/raw/master/csl-citation.json"} </w:instrText>
      </w:r>
      <w:r w:rsidRPr="00022216">
        <w:rPr>
          <w:rFonts w:cs="Times New Roman"/>
        </w:rPr>
        <w:fldChar w:fldCharType="separate"/>
      </w:r>
      <w:r w:rsidRPr="00022216">
        <w:rPr>
          <w:rFonts w:cs="Times New Roman"/>
        </w:rPr>
        <w:t xml:space="preserve">G. </w:t>
      </w:r>
      <w:r w:rsidRPr="00022216">
        <w:rPr>
          <w:rFonts w:cs="Times New Roman"/>
          <w:smallCaps/>
        </w:rPr>
        <w:t>Gonzalez</w:t>
      </w:r>
      <w:r w:rsidRPr="00022216">
        <w:rPr>
          <w:rFonts w:cs="Times New Roman"/>
        </w:rPr>
        <w:t xml:space="preserve">, « Vade-mecum pour interdire les signes religieux au travail (à propos des arrêts CJUE, gr. ch., 14 mars 2017, Asma Bougnaoui et Samira </w:t>
      </w:r>
      <w:proofErr w:type="spellStart"/>
      <w:r w:rsidRPr="00022216">
        <w:rPr>
          <w:rFonts w:cs="Times New Roman"/>
        </w:rPr>
        <w:t>Achbita</w:t>
      </w:r>
      <w:proofErr w:type="spellEnd"/>
      <w:r w:rsidRPr="00022216">
        <w:rPr>
          <w:rFonts w:cs="Times New Roman"/>
        </w:rPr>
        <w:t xml:space="preserve">) », </w:t>
      </w:r>
      <w:r w:rsidRPr="00022216">
        <w:rPr>
          <w:rFonts w:cs="Times New Roman"/>
          <w:i/>
          <w:iCs/>
        </w:rPr>
        <w:t>Revue de l’Union européenne</w:t>
      </w:r>
      <w:r w:rsidRPr="00022216">
        <w:rPr>
          <w:rFonts w:cs="Times New Roman"/>
        </w:rPr>
        <w:t xml:space="preserve">, 2017, n° 609, pp. 342‑347 ; S. </w:t>
      </w:r>
      <w:r w:rsidRPr="00022216">
        <w:rPr>
          <w:rFonts w:cs="Times New Roman"/>
          <w:smallCaps/>
        </w:rPr>
        <w:t>Hennette-Vauchez</w:t>
      </w:r>
      <w:r w:rsidRPr="00022216">
        <w:rPr>
          <w:rFonts w:cs="Times New Roman"/>
        </w:rPr>
        <w:t xml:space="preserve">, « Nous sommes </w:t>
      </w:r>
      <w:proofErr w:type="spellStart"/>
      <w:r w:rsidRPr="00022216">
        <w:rPr>
          <w:rFonts w:cs="Times New Roman"/>
        </w:rPr>
        <w:t>Achbita</w:t>
      </w:r>
      <w:proofErr w:type="spellEnd"/>
      <w:r w:rsidRPr="00022216">
        <w:rPr>
          <w:rFonts w:cs="Times New Roman"/>
        </w:rPr>
        <w:t xml:space="preserve"> », </w:t>
      </w:r>
      <w:r w:rsidRPr="00022216">
        <w:rPr>
          <w:rFonts w:cs="Times New Roman"/>
          <w:i/>
          <w:iCs/>
        </w:rPr>
        <w:t>Revue trimestrielle de droit européen</w:t>
      </w:r>
      <w:r w:rsidRPr="00022216">
        <w:rPr>
          <w:rFonts w:cs="Times New Roman"/>
        </w:rPr>
        <w:t>, 2019, p. 106.</w:t>
      </w:r>
      <w:r w:rsidRPr="00022216">
        <w:rPr>
          <w:rFonts w:cs="Times New Roman"/>
        </w:rPr>
        <w:fldChar w:fldCharType="end"/>
      </w:r>
    </w:p>
  </w:footnote>
  <w:footnote w:id="194">
    <w:p w14:paraId="6FB0C618" w14:textId="494B10B6"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{"citationID":"gvme2OtB","properties":{"formattedCitation":"C. {\\scaps Wolmark}, \\uc0\\u171{}\\uc0\\u160{}Neutralit\\uc0\\u233{} dans l\\uc0\\u8217{}entreprise ou neutralisation des travailleurs\\uc0\\u8239{}?\\uc0\\u160{}\\uc0\\u187{}, {\\i{}op. cit.}, p. 232\\uc0\\u160{}; P. {\\scaps Le Maigat}, \\uc0\\u171{}\\uc0\\u160{}La restriction \\uc0\\u224{} la libert\\uc0\\u233{} religieuse dans les entreprises priv\\uc0\\u233{}es. La Cour de cassation pr\\uc0\\u233{}cise sa jurisprudence et d\\uc0\\u233{}finit son credo\\uc0\\u160{}\\uc0\\u187{}, {\\i{}Gazette du Palais}, d\\uc0\\u233{}cembre 2017, p. 17.","plainCitation":"C. Wolmark, « Neutralité dans l’entreprise ou neutralisation des travailleurs ? », op. cit., p. 232 ; P. Le Maigat, « La restriction à la liberté religieuse dans les entreprises privées. La Cour de cassation précise sa jurisprudence et définit son credo », Gazette du Palais, décembre 2017, p. 17.","noteIndex":244},"citationItems":[{"id":1119,"uris":["http://zotero.org/users/5133869/items/6NYDFDYU"],"itemData":{"id":1119,"type":"article-journal","container-title":"Droit ouvrier","issue":"825","page":"226-232","title":"Neutralité dans l'entreprise ou neutralisation des travailleurs ?","author":[{"family":"Wolmark","given":"Cyril"}],"issued":{"date-parts":[["2017"]]}},"locator":"232"},{"id":247,"uris":["http://zotero.org/users/5133869/items/A47FX22E"],"itemData":{"id":247,"type":"article-journal","container-title":"Gazette du Palais","page":"15-17","title":"La restriction à la liberté religieuse dans les entreprises privées. La Cour de cassation précise sa jurisprudence et définit son credo","author":[{"family":"Le Maigat","given":"Patrice"}],"issued":{"date-parts":[["2017",12,12]]}},"locator":"17"}],"schema":"https://github.com/citation-style-language/schema/raw/master/csl-citation.json"} </w:instrText>
      </w:r>
      <w:r w:rsidRPr="00022216">
        <w:rPr>
          <w:rFonts w:cs="Times New Roman"/>
        </w:rPr>
        <w:fldChar w:fldCharType="separate"/>
      </w:r>
      <w:r w:rsidRPr="00022216">
        <w:rPr>
          <w:rFonts w:cs="Times New Roman"/>
        </w:rPr>
        <w:t xml:space="preserve">C. </w:t>
      </w:r>
      <w:r w:rsidRPr="00022216">
        <w:rPr>
          <w:rFonts w:cs="Times New Roman"/>
          <w:smallCaps/>
        </w:rPr>
        <w:t>Wolmark</w:t>
      </w:r>
      <w:r w:rsidRPr="00022216">
        <w:rPr>
          <w:rFonts w:cs="Times New Roman"/>
        </w:rPr>
        <w:t xml:space="preserve">, « Neutralité dans l’entreprise ou neutralisation des travailleurs ?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xml:space="preserve">, p. 232 ; P. </w:t>
      </w:r>
      <w:r w:rsidRPr="00022216">
        <w:rPr>
          <w:rFonts w:cs="Times New Roman"/>
          <w:smallCaps/>
        </w:rPr>
        <w:t>Le Maigat</w:t>
      </w:r>
      <w:r w:rsidRPr="00022216">
        <w:rPr>
          <w:rFonts w:cs="Times New Roman"/>
        </w:rPr>
        <w:t xml:space="preserve">, « La restriction à la liberté religieuse dans les entreprises privées. La Cour de cassation précise sa jurisprudence et définit son credo », </w:t>
      </w:r>
      <w:r w:rsidRPr="00022216">
        <w:rPr>
          <w:rFonts w:cs="Times New Roman"/>
          <w:i/>
          <w:iCs/>
        </w:rPr>
        <w:t>Gazette du Palais</w:t>
      </w:r>
      <w:r w:rsidRPr="00022216">
        <w:rPr>
          <w:rFonts w:cs="Times New Roman"/>
        </w:rPr>
        <w:t>, décembre 2017, p. 17.</w:t>
      </w:r>
      <w:r w:rsidRPr="00022216">
        <w:rPr>
          <w:rFonts w:cs="Times New Roman"/>
        </w:rPr>
        <w:fldChar w:fldCharType="end"/>
      </w:r>
    </w:p>
  </w:footnote>
  <w:footnote w:id="195">
    <w:p w14:paraId="6BAC7623" w14:textId="711314D0" w:rsidR="000D6C77" w:rsidRPr="00022216" w:rsidRDefault="000D6C77" w:rsidP="009066AA">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{"citationID":"ifLkyFOC","properties":{"formattedCitation":"J. {\\scaps Weiler}, \\uc0\\u171{}\\uc0\\u160{}Je Suis Achbita!\\uc0\\u160{}\\uc0\\u187{}, {\\i{}International Journal of Constitutional Law}, novembre 2017, vol. 15, n\\uc0\\u176{} 4, p. 889.","plainCitation":"J. Weiler, « Je Suis Achbita! », International Journal of Constitutional Law, novembre 2017, vol. 15, n° 4, p. 889.","noteIndex":245},"citationItems":[{"id":1802,"uris":["http://zotero.org/users/5133869/items/QYFCYYD2"],"itemData":{"id":1802,"type":"article-journal","container-title":"International Journal of Constitutional Law","DOI":"10.1093/icon/moy001","ISSN":"1474-2640, 1474-2659","issue":"4","language":"en","page":"879-906","source":"Crossref","title":"Je Suis Achbita!","volume":"15","author":[{"family":"Weiler","given":"Joseph"}],"issued":{"date-parts":[["2017",11,3]]}},"locator":"889"}],"schema":"https://github.com/citation-style-language/schema/raw/master/csl-citation.json"} </w:instrText>
      </w:r>
      <w:r w:rsidRPr="00022216">
        <w:rPr>
          <w:rFonts w:cs="Times New Roman"/>
        </w:rPr>
        <w:fldChar w:fldCharType="separate"/>
      </w:r>
      <w:r w:rsidRPr="00E74ED6">
        <w:rPr>
          <w:rFonts w:cs="Times New Roman"/>
          <w:szCs w:val="24"/>
        </w:rPr>
        <w:t xml:space="preserve">J. </w:t>
      </w:r>
      <w:r w:rsidRPr="00E74ED6">
        <w:rPr>
          <w:rFonts w:cs="Times New Roman"/>
          <w:smallCaps/>
          <w:szCs w:val="24"/>
        </w:rPr>
        <w:t>Weiler</w:t>
      </w:r>
      <w:r w:rsidRPr="00E74ED6">
        <w:rPr>
          <w:rFonts w:cs="Times New Roman"/>
          <w:szCs w:val="24"/>
        </w:rPr>
        <w:t xml:space="preserve">, « Je Suis </w:t>
      </w:r>
      <w:proofErr w:type="spellStart"/>
      <w:r w:rsidRPr="00E74ED6">
        <w:rPr>
          <w:rFonts w:cs="Times New Roman"/>
          <w:szCs w:val="24"/>
        </w:rPr>
        <w:t>Achbita</w:t>
      </w:r>
      <w:proofErr w:type="spellEnd"/>
      <w:r w:rsidRPr="00E74ED6">
        <w:rPr>
          <w:rFonts w:cs="Times New Roman"/>
          <w:szCs w:val="24"/>
        </w:rPr>
        <w:t xml:space="preserve">! », </w:t>
      </w:r>
      <w:r w:rsidRPr="00E74ED6">
        <w:rPr>
          <w:rFonts w:cs="Times New Roman"/>
          <w:i/>
          <w:iCs/>
          <w:szCs w:val="24"/>
        </w:rPr>
        <w:t xml:space="preserve">International Journal of </w:t>
      </w:r>
      <w:proofErr w:type="spellStart"/>
      <w:r w:rsidRPr="00E74ED6">
        <w:rPr>
          <w:rFonts w:cs="Times New Roman"/>
          <w:i/>
          <w:iCs/>
          <w:szCs w:val="24"/>
        </w:rPr>
        <w:t>Constitutional</w:t>
      </w:r>
      <w:proofErr w:type="spellEnd"/>
      <w:r w:rsidRPr="00E74ED6">
        <w:rPr>
          <w:rFonts w:cs="Times New Roman"/>
          <w:i/>
          <w:iCs/>
          <w:szCs w:val="24"/>
        </w:rPr>
        <w:t xml:space="preserve"> Law</w:t>
      </w:r>
      <w:r w:rsidRPr="00E74ED6">
        <w:rPr>
          <w:rFonts w:cs="Times New Roman"/>
          <w:szCs w:val="24"/>
        </w:rPr>
        <w:t>, novembre 2017, vol. 15, n° 4, p. 889.</w:t>
      </w:r>
      <w:r w:rsidRPr="00022216">
        <w:rPr>
          <w:rFonts w:cs="Times New Roman"/>
        </w:rPr>
        <w:fldChar w:fldCharType="end"/>
      </w:r>
    </w:p>
  </w:footnote>
  <w:footnote w:id="196">
    <w:p w14:paraId="523CFA73" w14:textId="3B581B75" w:rsidR="000D6C77" w:rsidRPr="009066AA" w:rsidRDefault="000D6C77" w:rsidP="009066AA">
      <w:pPr>
        <w:pStyle w:val="Notedebasdepage"/>
        <w:rPr>
          <w:lang w:val="en-US"/>
        </w:rPr>
      </w:pPr>
      <w:r>
        <w:rPr>
          <w:rStyle w:val="Appelnotedebasdep"/>
        </w:rPr>
        <w:footnoteRef/>
      </w:r>
      <w:r w:rsidRPr="00DA1533">
        <w:t xml:space="preserve"> </w:t>
      </w:r>
      <w:r>
        <w:t xml:space="preserve">L’on pense ici aux « solutions négociées » préconisées par </w:t>
      </w:r>
      <w:proofErr w:type="spellStart"/>
      <w:r w:rsidRPr="008D517D">
        <w:t>Unia</w:t>
      </w:r>
      <w:proofErr w:type="spellEnd"/>
      <w:r w:rsidRPr="008D517D">
        <w:fldChar w:fldCharType="begin"/>
      </w:r>
      <w:r w:rsidRPr="008D517D">
        <w:instrText xml:space="preserve"> XE "</w:instrText>
      </w:r>
      <w:r w:rsidRPr="008D517D">
        <w:rPr>
          <w:rFonts w:ascii="Cambria" w:eastAsia="Times New Roman" w:hAnsi="Cambria" w:cs="Calibri"/>
          <w:color w:val="000000"/>
          <w:lang w:eastAsia="fr-BE"/>
        </w:rPr>
        <w:instrText>Unia"</w:instrText>
      </w:r>
      <w:r w:rsidRPr="008D517D">
        <w:instrText xml:space="preserve"> </w:instrText>
      </w:r>
      <w:r w:rsidRPr="008D517D">
        <w:fldChar w:fldCharType="end"/>
      </w:r>
      <w:r>
        <w:t xml:space="preserve"> dans le cadre de sa stratégie de résolution des litiges en matière de discrimination. En matière de gestion des expressions convictionnelles au travail, cette stratégie passe en particulier par la méthode du </w:t>
      </w:r>
      <w:r>
        <w:rPr>
          <w:i/>
          <w:iCs/>
        </w:rPr>
        <w:t>plus grand dénominateur commun</w:t>
      </w:r>
      <w:r>
        <w:t xml:space="preserve">, selon laquelle </w:t>
      </w:r>
      <w:r w:rsidRPr="006D1AA8">
        <w:t>l’entreprise</w:t>
      </w:r>
      <w:r>
        <w:t xml:space="preserve"> est invitée</w:t>
      </w:r>
      <w:r w:rsidRPr="006D1AA8">
        <w:t xml:space="preserve"> à prendre appui sur la demande religieuse spécifique afin d’évaluer dans quelle mesure la mise en place d’une solution profitant à l’ensemble des travailleurs serait envisageable. À cet égard, la question se pose de savoir si, dans l’hypothèse où une solution profitant à l’ensemble de la collectivité n’est pas possible, la demande fondée sur la religion sera automatiquement refusée</w:t>
      </w:r>
      <w:r>
        <w:rPr>
          <w:i/>
          <w:iCs/>
        </w:rPr>
        <w:t xml:space="preserve">. </w:t>
      </w:r>
      <w:r>
        <w:t xml:space="preserve">Sur cette méthode, </w:t>
      </w:r>
      <w:proofErr w:type="spellStart"/>
      <w:r>
        <w:t>voy</w:t>
      </w:r>
      <w:proofErr w:type="spellEnd"/>
      <w:r>
        <w:t xml:space="preserve">. </w:t>
      </w:r>
      <w:r>
        <w:fldChar w:fldCharType="begin"/>
      </w:r>
      <w:r>
        <w:instrText xml:space="preserve"> ADDIN ZOTERO_ITEM CSL_CITATION {"citationID":"VtAdxVKc","properties":{"formattedCitation":"P. {\\scaps Charlier} et N. {\\scaps Denies}, \\uc0\\u171{}\\uc0\\u160{}Religious and cultural diversity in Belgium: Finding the common denominator\\uc0\\u160{}\\uc0\\u187{}, {\\i{}in} M.-C. {\\scaps Foblets} et K. {\\scaps Alidadi} (\\uc0\\u233{}ds.), {\\i{}Public commissions on cultural and religious diversity. National narratives, multiple identities and minorities}, London\\uc0\\u8239{}; New York, Routledge, Taylor &amp; Francis Group, 2018, pp. 204\\uc0\\u8209{}213\\uc0\\u160{}; D. {\\scaps Bouzar} et N. {\\scaps Denies} (\\uc0\\u233{}ds.), {\\i{}Diversit\\uc0\\u233{} convictionnelle\\uc0\\u8239{}: Comment l\\uc0\\u8217{}appr\\uc0\\u233{}hender\\uc0\\u8239{}? Comment la g\\uc0\\u233{}rer\\uc0\\u8239{}?}, Louvain-La-Neuve, Academia, 2014.","plainCitation":"P. Charlier et N. Denies, « Religious and cultural diversity in Belgium: Finding the common denominator », in M.-C. Foblets et K. Alidadi (éds.), Public commissions on cultural and religious diversity. National narratives, multiple identities and minorities, London ; New York, Routledge, Taylor &amp; Francis Group, 2018, pp. 204‑213 ; D. Bouzar et N. Denies (éds.), Diversité convictionnelle : Comment l’appréhender ? Comment la gérer ?, Louvain-</w:instrText>
      </w:r>
      <w:r w:rsidRPr="00DB5012">
        <w:instrText xml:space="preserve">La-Neuve, Academia, 2014.","noteIndex":247},"citationItems":[{"id":1731,"uris":["http://zotero.org/users/5133869/items/LEL7WABB"],"itemData":{"id":1731,"type":"chapter","call-number":"HM1271 .P868 2018","container-title":"Public commissions on cultural and religious diversity. National narratives, multiple identities and minorities","event-place":"London ; New York","ISBN":"978-1-4724-7175-8","page":"204-213","publisher":"Routledge, Taylor &amp; Francis Group","publisher-place":"London ; New York","source":"Library of Congress ISBN","title":"Religious and cultural diversity in Belgium: Finding the common denominator","editor":[{"family":"Foblets","given":"Marie-Claire"},{"family":"Alidadi","given":"Katayoun"}],"author":[{"family":"Charlier","given":"Patrick"},{"family":"Denies","given":"Nathalie"}],"issued":{"date-parts":[["2018"]]}}},{"id":1022,"uris":["http://zotero.org/users/5133869/items/Y5J49BZP"],"itemData":{"id":1022,"type":"book","call-number":"DH491 .B68 2014","event-place":"Louvain-La-Neuve","ISBN":"978-2-8061-0189-1","number-of-pages":"257","publisher":"Academia","publisher-place":"Louvain-La-Neuve","source":"Library of Congress ISBN","title":"Diversité convictionnelle : Comment l'appréhender ? Comment la gérer ?","title-short":"Diversité convictionnelle","editor":[{"family":"Bouzar","given":"Dounia"},{"family":"Denies","given":"Nathalie"}],"issued":{"date-parts":[["2014"]]}}}],"schema":"https://github.com/citation-style-language/schema/raw/master/csl-citation.json"} </w:instrText>
      </w:r>
      <w:r>
        <w:fldChar w:fldCharType="separate"/>
      </w:r>
      <w:r w:rsidRPr="00DB5012">
        <w:rPr>
          <w:rFonts w:cs="Times New Roman"/>
          <w:szCs w:val="24"/>
        </w:rPr>
        <w:t xml:space="preserve">P. </w:t>
      </w:r>
      <w:r w:rsidRPr="00DB5012">
        <w:rPr>
          <w:rFonts w:cs="Times New Roman"/>
          <w:smallCaps/>
          <w:szCs w:val="24"/>
        </w:rPr>
        <w:t>Charlier</w:t>
      </w:r>
      <w:r w:rsidRPr="00DB5012">
        <w:rPr>
          <w:rFonts w:cs="Times New Roman"/>
          <w:szCs w:val="24"/>
        </w:rPr>
        <w:t xml:space="preserve"> et N. </w:t>
      </w:r>
      <w:r w:rsidRPr="00DB5012">
        <w:rPr>
          <w:rFonts w:cs="Times New Roman"/>
          <w:smallCaps/>
          <w:szCs w:val="24"/>
        </w:rPr>
        <w:t>Denies</w:t>
      </w:r>
      <w:r w:rsidRPr="00DB5012">
        <w:rPr>
          <w:rFonts w:cs="Times New Roman"/>
          <w:szCs w:val="24"/>
        </w:rPr>
        <w:t>, « </w:t>
      </w:r>
      <w:proofErr w:type="spellStart"/>
      <w:r w:rsidRPr="00DB5012">
        <w:rPr>
          <w:rFonts w:cs="Times New Roman"/>
          <w:szCs w:val="24"/>
        </w:rPr>
        <w:t>Religious</w:t>
      </w:r>
      <w:proofErr w:type="spellEnd"/>
      <w:r w:rsidRPr="00DB5012">
        <w:rPr>
          <w:rFonts w:cs="Times New Roman"/>
          <w:szCs w:val="24"/>
        </w:rPr>
        <w:t xml:space="preserve"> and cultural </w:t>
      </w:r>
      <w:proofErr w:type="spellStart"/>
      <w:r w:rsidRPr="00DB5012">
        <w:rPr>
          <w:rFonts w:cs="Times New Roman"/>
          <w:szCs w:val="24"/>
        </w:rPr>
        <w:t>diversity</w:t>
      </w:r>
      <w:proofErr w:type="spellEnd"/>
      <w:r w:rsidRPr="00DB5012">
        <w:rPr>
          <w:rFonts w:cs="Times New Roman"/>
          <w:szCs w:val="24"/>
        </w:rPr>
        <w:t xml:space="preserve"> in </w:t>
      </w:r>
      <w:proofErr w:type="spellStart"/>
      <w:proofErr w:type="gramStart"/>
      <w:r w:rsidRPr="00DB5012">
        <w:rPr>
          <w:rFonts w:cs="Times New Roman"/>
          <w:szCs w:val="24"/>
        </w:rPr>
        <w:t>Belgium</w:t>
      </w:r>
      <w:proofErr w:type="spellEnd"/>
      <w:r w:rsidRPr="00DB5012">
        <w:rPr>
          <w:rFonts w:cs="Times New Roman"/>
          <w:szCs w:val="24"/>
        </w:rPr>
        <w:t>:</w:t>
      </w:r>
      <w:proofErr w:type="gramEnd"/>
      <w:r w:rsidRPr="00DB5012">
        <w:rPr>
          <w:rFonts w:cs="Times New Roman"/>
          <w:szCs w:val="24"/>
        </w:rPr>
        <w:t xml:space="preserve"> </w:t>
      </w:r>
      <w:proofErr w:type="spellStart"/>
      <w:r w:rsidRPr="00DB5012">
        <w:rPr>
          <w:rFonts w:cs="Times New Roman"/>
          <w:szCs w:val="24"/>
        </w:rPr>
        <w:t>Finding</w:t>
      </w:r>
      <w:proofErr w:type="spellEnd"/>
      <w:r w:rsidRPr="00DB5012">
        <w:rPr>
          <w:rFonts w:cs="Times New Roman"/>
          <w:szCs w:val="24"/>
        </w:rPr>
        <w:t xml:space="preserve"> the </w:t>
      </w:r>
      <w:proofErr w:type="spellStart"/>
      <w:r w:rsidRPr="00DB5012">
        <w:rPr>
          <w:rFonts w:cs="Times New Roman"/>
          <w:szCs w:val="24"/>
        </w:rPr>
        <w:t>common</w:t>
      </w:r>
      <w:proofErr w:type="spellEnd"/>
      <w:r w:rsidRPr="00DB5012">
        <w:rPr>
          <w:rFonts w:cs="Times New Roman"/>
          <w:szCs w:val="24"/>
        </w:rPr>
        <w:t xml:space="preserve"> </w:t>
      </w:r>
      <w:proofErr w:type="spellStart"/>
      <w:r w:rsidRPr="00DB5012">
        <w:rPr>
          <w:rFonts w:cs="Times New Roman"/>
          <w:szCs w:val="24"/>
        </w:rPr>
        <w:t>denominator</w:t>
      </w:r>
      <w:proofErr w:type="spellEnd"/>
      <w:r w:rsidRPr="00DB5012">
        <w:rPr>
          <w:rFonts w:cs="Times New Roman"/>
          <w:szCs w:val="24"/>
        </w:rPr>
        <w:t xml:space="preserve"> », </w:t>
      </w:r>
      <w:r w:rsidRPr="00DB5012">
        <w:rPr>
          <w:rFonts w:cs="Times New Roman"/>
          <w:i/>
          <w:iCs/>
          <w:szCs w:val="24"/>
        </w:rPr>
        <w:t>in</w:t>
      </w:r>
      <w:r w:rsidRPr="00DB5012">
        <w:rPr>
          <w:rFonts w:cs="Times New Roman"/>
          <w:szCs w:val="24"/>
        </w:rPr>
        <w:t xml:space="preserve"> M.-C. </w:t>
      </w:r>
      <w:proofErr w:type="spellStart"/>
      <w:r w:rsidRPr="00DB5012">
        <w:rPr>
          <w:rFonts w:cs="Times New Roman"/>
          <w:smallCaps/>
          <w:szCs w:val="24"/>
        </w:rPr>
        <w:t>Foblets</w:t>
      </w:r>
      <w:proofErr w:type="spellEnd"/>
      <w:r w:rsidRPr="00DB5012">
        <w:rPr>
          <w:rFonts w:cs="Times New Roman"/>
          <w:szCs w:val="24"/>
        </w:rPr>
        <w:t xml:space="preserve"> et K. </w:t>
      </w:r>
      <w:proofErr w:type="spellStart"/>
      <w:r w:rsidRPr="00DB5012">
        <w:rPr>
          <w:rFonts w:cs="Times New Roman"/>
          <w:smallCaps/>
          <w:szCs w:val="24"/>
        </w:rPr>
        <w:t>Alidadi</w:t>
      </w:r>
      <w:proofErr w:type="spellEnd"/>
      <w:r w:rsidRPr="00DB5012">
        <w:rPr>
          <w:rFonts w:cs="Times New Roman"/>
          <w:szCs w:val="24"/>
        </w:rPr>
        <w:t xml:space="preserve"> (</w:t>
      </w:r>
      <w:proofErr w:type="spellStart"/>
      <w:r w:rsidRPr="00DB5012">
        <w:rPr>
          <w:rFonts w:cs="Times New Roman"/>
          <w:szCs w:val="24"/>
        </w:rPr>
        <w:t>éds</w:t>
      </w:r>
      <w:proofErr w:type="spellEnd"/>
      <w:r w:rsidRPr="00DB5012">
        <w:rPr>
          <w:rFonts w:cs="Times New Roman"/>
          <w:szCs w:val="24"/>
        </w:rPr>
        <w:t xml:space="preserve">.), </w:t>
      </w:r>
      <w:r w:rsidRPr="00DB5012">
        <w:rPr>
          <w:rFonts w:cs="Times New Roman"/>
          <w:i/>
          <w:iCs/>
          <w:szCs w:val="24"/>
        </w:rPr>
        <w:t xml:space="preserve">Public commissions on cultural and </w:t>
      </w:r>
      <w:proofErr w:type="spellStart"/>
      <w:r w:rsidRPr="00DB5012">
        <w:rPr>
          <w:rFonts w:cs="Times New Roman"/>
          <w:i/>
          <w:iCs/>
          <w:szCs w:val="24"/>
        </w:rPr>
        <w:t>religious</w:t>
      </w:r>
      <w:proofErr w:type="spellEnd"/>
      <w:r w:rsidRPr="00DB5012">
        <w:rPr>
          <w:rFonts w:cs="Times New Roman"/>
          <w:i/>
          <w:iCs/>
          <w:szCs w:val="24"/>
        </w:rPr>
        <w:t xml:space="preserve"> </w:t>
      </w:r>
      <w:proofErr w:type="spellStart"/>
      <w:r w:rsidRPr="00DB5012">
        <w:rPr>
          <w:rFonts w:cs="Times New Roman"/>
          <w:i/>
          <w:iCs/>
          <w:szCs w:val="24"/>
        </w:rPr>
        <w:t>diversity</w:t>
      </w:r>
      <w:proofErr w:type="spellEnd"/>
      <w:r w:rsidRPr="00DB5012">
        <w:rPr>
          <w:rFonts w:cs="Times New Roman"/>
          <w:i/>
          <w:iCs/>
          <w:szCs w:val="24"/>
        </w:rPr>
        <w:t xml:space="preserve">. National narratives, multiple </w:t>
      </w:r>
      <w:proofErr w:type="spellStart"/>
      <w:r w:rsidRPr="00DB5012">
        <w:rPr>
          <w:rFonts w:cs="Times New Roman"/>
          <w:i/>
          <w:iCs/>
          <w:szCs w:val="24"/>
        </w:rPr>
        <w:t>identities</w:t>
      </w:r>
      <w:proofErr w:type="spellEnd"/>
      <w:r w:rsidRPr="00DB5012">
        <w:rPr>
          <w:rFonts w:cs="Times New Roman"/>
          <w:i/>
          <w:iCs/>
          <w:szCs w:val="24"/>
        </w:rPr>
        <w:t xml:space="preserve"> and </w:t>
      </w:r>
      <w:proofErr w:type="spellStart"/>
      <w:r w:rsidRPr="00DB5012">
        <w:rPr>
          <w:rFonts w:cs="Times New Roman"/>
          <w:i/>
          <w:iCs/>
          <w:szCs w:val="24"/>
        </w:rPr>
        <w:t>minorities</w:t>
      </w:r>
      <w:proofErr w:type="spellEnd"/>
      <w:r w:rsidRPr="00DB5012">
        <w:rPr>
          <w:rFonts w:cs="Times New Roman"/>
          <w:szCs w:val="24"/>
        </w:rPr>
        <w:t xml:space="preserve">, London ; New York, Routledge, Taylor &amp; Francis Group, 2018, pp. 204‑213 ; D. </w:t>
      </w:r>
      <w:proofErr w:type="spellStart"/>
      <w:r w:rsidRPr="00DB5012">
        <w:rPr>
          <w:rFonts w:cs="Times New Roman"/>
          <w:smallCaps/>
          <w:szCs w:val="24"/>
        </w:rPr>
        <w:t>Bouzar</w:t>
      </w:r>
      <w:proofErr w:type="spellEnd"/>
      <w:r w:rsidRPr="00DB5012">
        <w:rPr>
          <w:rFonts w:cs="Times New Roman"/>
          <w:szCs w:val="24"/>
        </w:rPr>
        <w:t xml:space="preserve"> et N. </w:t>
      </w:r>
      <w:r w:rsidRPr="00DB5012">
        <w:rPr>
          <w:rFonts w:cs="Times New Roman"/>
          <w:smallCaps/>
          <w:szCs w:val="24"/>
        </w:rPr>
        <w:t>Denies</w:t>
      </w:r>
      <w:r w:rsidRPr="00DB5012">
        <w:rPr>
          <w:rFonts w:cs="Times New Roman"/>
          <w:szCs w:val="24"/>
        </w:rPr>
        <w:t xml:space="preserve"> (</w:t>
      </w:r>
      <w:proofErr w:type="spellStart"/>
      <w:r w:rsidRPr="00DB5012">
        <w:rPr>
          <w:rFonts w:cs="Times New Roman"/>
          <w:szCs w:val="24"/>
        </w:rPr>
        <w:t>éds</w:t>
      </w:r>
      <w:proofErr w:type="spellEnd"/>
      <w:r w:rsidRPr="00DB5012">
        <w:rPr>
          <w:rFonts w:cs="Times New Roman"/>
          <w:szCs w:val="24"/>
        </w:rPr>
        <w:t xml:space="preserve">.), </w:t>
      </w:r>
      <w:r w:rsidRPr="00DB5012">
        <w:rPr>
          <w:rFonts w:cs="Times New Roman"/>
          <w:i/>
          <w:iCs/>
          <w:szCs w:val="24"/>
        </w:rPr>
        <w:t xml:space="preserve">Diversité convictionnelle : Comment l’appréhender ? </w:t>
      </w:r>
      <w:r w:rsidRPr="00FF61EE">
        <w:rPr>
          <w:rFonts w:cs="Times New Roman"/>
          <w:i/>
          <w:iCs/>
          <w:szCs w:val="24"/>
        </w:rPr>
        <w:t>Comment la gérer ?</w:t>
      </w:r>
      <w:r w:rsidRPr="00FF61EE">
        <w:rPr>
          <w:rFonts w:cs="Times New Roman"/>
          <w:szCs w:val="24"/>
        </w:rPr>
        <w:t>, Louvain-La-Neuve, Academia, 2014.</w:t>
      </w:r>
      <w:r>
        <w:fldChar w:fldCharType="end"/>
      </w:r>
      <w:r w:rsidRPr="00FF61EE">
        <w:t xml:space="preserve"> </w:t>
      </w:r>
      <w:r w:rsidRPr="00B601A0">
        <w:t xml:space="preserve">Sur les méthodes de résolution à l’amiable de ces litiges, </w:t>
      </w:r>
      <w:proofErr w:type="spellStart"/>
      <w:r w:rsidRPr="00B601A0">
        <w:t>voy</w:t>
      </w:r>
      <w:proofErr w:type="spellEnd"/>
      <w:r w:rsidRPr="00B601A0">
        <w:t xml:space="preserve">. aussi plus largement </w:t>
      </w:r>
      <w:r w:rsidRPr="00B601A0">
        <w:fldChar w:fldCharType="begin"/>
      </w:r>
      <w:r w:rsidRPr="00B601A0">
        <w:instrText xml:space="preserve"> ADDIN ZOTERO_ITEM CSL_CITATION {"citationID":"IWaZfdAN","properties":{"formattedCitation":"\\uc0\\u201{}. {\\scaps Roum\\uc0\\u233{}as}, \\uc0\\u171{}\\uc0\\u160{}Religious Diversity in the Workplace: The Case for Alternative Dispute Resolution\\uc0\\u160{}\\uc0\\u187{}, {\\i{}Political Studies}, f\\uc0\\u233{}vrier 2020, vol. 68, n\\uc0\\u176{} 1, pp. 207\\uc0\\u8209{}223\\uc0\\u160{}; I. {\\scaps Aendenboom} et N. {\\scaps Denies}, \\uc0\\u171{}\\uc0\\u160{}What place for mediation and conciliation/negotiation in discrimination cases?\\uc0\\u160{}\\uc0\\u187{}, {\\i{}European Anti-Discrimina</w:instrText>
      </w:r>
      <w:r w:rsidRPr="00DB5012">
        <w:rPr>
          <w:lang w:val="en-US"/>
        </w:rPr>
        <w:instrText>tion Law Review}, 2012, n\\uc0\\u176{} 14, pp. 21\\uc0\\u8209{}33.","plainCitation":"É. Rouméas, « Religious Diversity in the Workplace: The Case for Alternative Dispute Resolution », Political Studies, février 2020, vol. 68, n° 1, pp. 207‑223 ; I. Aendenboom et N. Denies, « What place for mediation and conciliation/negotiation in discrimination cases? », European Anti-Discrimination Law Review, 2012, n° 14, pp. 21‑33.","noteIndex":246},"citationItems":[{"id":2752,"uris":["http://zotero.org/users/5133869/items/IFD97933"],"itemData":{"id":2752,"type":"article-journal","container-title":"Political Studies","DOI":"10.1177/0032321719839316","ISSN":"0032-3217, 1467-9248","issue":"1","language":"en","page":"207-223","source":"Crossref","title":"Religious Diversity in the Workplace: The Case for Alternative D</w:instrText>
      </w:r>
      <w:r w:rsidRPr="00B601A0">
        <w:rPr>
          <w:lang w:val="en-GB"/>
        </w:rPr>
        <w:instrText xml:space="preserve">ispute Resolution","title-short":"Religious Diversity in the Workplace","volume":"68","author":[{"family":"Rouméas","given":"Élise"}],"issued":{"date-parts":[["2020",2]]}}},{"id":1323,"uris":["http://zotero.org/users/5133869/items/BSUCQBD2"],"itemData":{"id":1323,"type":"article-journal","container-title":"European Anti-Discrimination Law Review","issue":"14","page":"21-33","title":"What place for mediation and conciliation/negotiation in discrimination cases?","author":[{"family":"Aendenboom","given":"Ingrid"},{"family":"Denies","given":"Nathalie"}],"issued":{"date-parts":[["2012"]]}}}],"schema":"https://github.com/citation-style-language/schema/raw/master/csl-citation.json"} </w:instrText>
      </w:r>
      <w:r w:rsidRPr="00B601A0">
        <w:fldChar w:fldCharType="separate"/>
      </w:r>
      <w:r w:rsidRPr="00B601A0">
        <w:rPr>
          <w:rFonts w:cs="Times New Roman"/>
          <w:szCs w:val="24"/>
          <w:lang w:val="en-GB"/>
        </w:rPr>
        <w:t xml:space="preserve">É. </w:t>
      </w:r>
      <w:proofErr w:type="spellStart"/>
      <w:r w:rsidRPr="00B601A0">
        <w:rPr>
          <w:rFonts w:cs="Times New Roman"/>
          <w:smallCaps/>
          <w:szCs w:val="24"/>
          <w:lang w:val="en-GB"/>
        </w:rPr>
        <w:t>Rouméas</w:t>
      </w:r>
      <w:proofErr w:type="spellEnd"/>
      <w:r w:rsidRPr="00B601A0">
        <w:rPr>
          <w:rFonts w:cs="Times New Roman"/>
          <w:szCs w:val="24"/>
          <w:lang w:val="en-GB"/>
        </w:rPr>
        <w:t xml:space="preserve">, « Religious Diversity in the Workplace: The Case for Alternative Dispute Resolution », </w:t>
      </w:r>
      <w:r w:rsidRPr="00B601A0">
        <w:rPr>
          <w:rFonts w:cs="Times New Roman"/>
          <w:i/>
          <w:iCs/>
          <w:szCs w:val="24"/>
          <w:lang w:val="en-GB"/>
        </w:rPr>
        <w:t>Political Studies</w:t>
      </w:r>
      <w:r w:rsidRPr="00B601A0">
        <w:rPr>
          <w:rFonts w:cs="Times New Roman"/>
          <w:szCs w:val="24"/>
          <w:lang w:val="en-GB"/>
        </w:rPr>
        <w:t xml:space="preserve">, </w:t>
      </w:r>
      <w:proofErr w:type="spellStart"/>
      <w:r w:rsidRPr="00B601A0">
        <w:rPr>
          <w:rFonts w:cs="Times New Roman"/>
          <w:szCs w:val="24"/>
          <w:lang w:val="en-GB"/>
        </w:rPr>
        <w:t>février</w:t>
      </w:r>
      <w:proofErr w:type="spellEnd"/>
      <w:r w:rsidRPr="00B601A0">
        <w:rPr>
          <w:rFonts w:cs="Times New Roman"/>
          <w:szCs w:val="24"/>
          <w:lang w:val="en-GB"/>
        </w:rPr>
        <w:t xml:space="preserve"> 2020, vol. 68, n° 1, pp. 207‑223 ; I. </w:t>
      </w:r>
      <w:proofErr w:type="spellStart"/>
      <w:r w:rsidRPr="00B601A0">
        <w:rPr>
          <w:rFonts w:cs="Times New Roman"/>
          <w:smallCaps/>
          <w:szCs w:val="24"/>
          <w:lang w:val="en-GB"/>
        </w:rPr>
        <w:t>Aendenboom</w:t>
      </w:r>
      <w:proofErr w:type="spellEnd"/>
      <w:r w:rsidRPr="00B601A0">
        <w:rPr>
          <w:rFonts w:cs="Times New Roman"/>
          <w:szCs w:val="24"/>
          <w:lang w:val="en-GB"/>
        </w:rPr>
        <w:t xml:space="preserve"> et N. </w:t>
      </w:r>
      <w:r w:rsidRPr="00B601A0">
        <w:rPr>
          <w:rFonts w:cs="Times New Roman"/>
          <w:smallCaps/>
          <w:szCs w:val="24"/>
          <w:lang w:val="en-GB"/>
        </w:rPr>
        <w:t>Denies</w:t>
      </w:r>
      <w:r w:rsidRPr="00B601A0">
        <w:rPr>
          <w:rFonts w:cs="Times New Roman"/>
          <w:szCs w:val="24"/>
          <w:lang w:val="en-GB"/>
        </w:rPr>
        <w:t xml:space="preserve">, « What place for mediation and conciliation/negotiation in discrimination cases? », </w:t>
      </w:r>
      <w:r w:rsidRPr="00B601A0">
        <w:rPr>
          <w:rFonts w:cs="Times New Roman"/>
          <w:i/>
          <w:iCs/>
          <w:szCs w:val="24"/>
          <w:lang w:val="en-GB"/>
        </w:rPr>
        <w:t>European Anti-Discrimination Law Review</w:t>
      </w:r>
      <w:r w:rsidRPr="00B601A0">
        <w:rPr>
          <w:rFonts w:cs="Times New Roman"/>
          <w:szCs w:val="24"/>
          <w:lang w:val="en-GB"/>
        </w:rPr>
        <w:t>, 2012, n° 14, pp. 21‑33.</w:t>
      </w:r>
      <w:r w:rsidRPr="00B601A0">
        <w:fldChar w:fldCharType="end"/>
      </w:r>
    </w:p>
  </w:footnote>
  <w:footnote w:id="197">
    <w:p w14:paraId="72B060B9" w14:textId="658F4D8C" w:rsidR="000D6C77" w:rsidRPr="00BC4464" w:rsidRDefault="000D6C77">
      <w:pPr>
        <w:pStyle w:val="Notedebasdepage"/>
      </w:pPr>
      <w:r>
        <w:rPr>
          <w:rStyle w:val="Appelnotedebasdep"/>
        </w:rPr>
        <w:footnoteRef/>
      </w:r>
      <w:r>
        <w:t xml:space="preserve"> </w:t>
      </w:r>
      <w:r w:rsidRPr="00BC4464">
        <w:t>La question du bon fonctionnement intervient notamment lorsqu’une part non négligeable des travailleurs déclare ne pas souhaiter travailler durant certaines périodes de la semaine ou de l’année.</w:t>
      </w:r>
    </w:p>
  </w:footnote>
  <w:footnote w:id="198">
    <w:p w14:paraId="5B6A2119" w14:textId="750C9542" w:rsidR="000D6C77" w:rsidRPr="00AF50A7" w:rsidRDefault="000D6C77" w:rsidP="00BC4464">
      <w:pPr>
        <w:pStyle w:val="Notedebasdepage"/>
        <w:rPr>
          <w:lang w:val="nl-BE"/>
        </w:rPr>
      </w:pPr>
      <w:r>
        <w:rPr>
          <w:rStyle w:val="Appelnotedebasdep"/>
        </w:rPr>
        <w:footnoteRef/>
      </w:r>
      <w:r>
        <w:t xml:space="preserve">  Exemple peut être donné de la manipulation de produits dont la composition est jugée non conforme aux normes religieuses du travailleur en question. Du côté français, l’affaire dite du « boucher de Mayotte » en est l’illustre exemple, le travailleur refusant, après deux ans de contrat de travail, d’entrer en contact avec de la viande de porc : </w:t>
      </w:r>
      <w:r w:rsidRPr="00022216">
        <w:rPr>
          <w:rFonts w:cs="Times New Roman"/>
        </w:rPr>
        <w:t xml:space="preserve">Cass. </w:t>
      </w:r>
      <w:proofErr w:type="spellStart"/>
      <w:r w:rsidRPr="00022216">
        <w:rPr>
          <w:rFonts w:cs="Times New Roman"/>
        </w:rPr>
        <w:t>fr</w:t>
      </w:r>
      <w:proofErr w:type="spellEnd"/>
      <w:r w:rsidRPr="00022216">
        <w:rPr>
          <w:rFonts w:cs="Times New Roman"/>
        </w:rPr>
        <w:t xml:space="preserve"> (ch. soc.), 24 mars 1998, </w:t>
      </w:r>
      <w:r w:rsidRPr="00022216">
        <w:rPr>
          <w:rFonts w:cs="Times New Roman"/>
          <w:i/>
        </w:rPr>
        <w:t>Droit Social</w:t>
      </w:r>
      <w:r w:rsidRPr="00022216">
        <w:rPr>
          <w:rFonts w:cs="Times New Roman"/>
        </w:rPr>
        <w:t xml:space="preserve">, 1998, n° 6, pp. 614-616, obs. J. </w:t>
      </w:r>
      <w:proofErr w:type="spellStart"/>
      <w:r w:rsidRPr="00022216">
        <w:rPr>
          <w:rFonts w:cs="Times New Roman"/>
          <w:smallCaps/>
        </w:rPr>
        <w:t>Savatier</w:t>
      </w:r>
      <w:proofErr w:type="spellEnd"/>
      <w:r w:rsidRPr="00022216">
        <w:rPr>
          <w:rFonts w:cs="Times New Roman"/>
        </w:rPr>
        <w:t xml:space="preserve">. Dans le même sens, </w:t>
      </w:r>
      <w:proofErr w:type="spellStart"/>
      <w:r w:rsidRPr="00022216">
        <w:rPr>
          <w:rFonts w:cs="Times New Roman"/>
        </w:rPr>
        <w:t>voy</w:t>
      </w:r>
      <w:proofErr w:type="spellEnd"/>
      <w:r w:rsidRPr="00022216">
        <w:rPr>
          <w:rFonts w:cs="Times New Roman"/>
        </w:rPr>
        <w:t xml:space="preserve">. : T.A. Lyon, 19 février 2015, n° 1202679 (relatif à un apprenti en centre de formation) ; C. trav. </w:t>
      </w:r>
      <w:r w:rsidRPr="0031477A">
        <w:rPr>
          <w:rFonts w:cs="Times New Roman"/>
          <w:lang w:val="nl-BE"/>
        </w:rPr>
        <w:t xml:space="preserve">Bruxelles, 7 </w:t>
      </w:r>
      <w:proofErr w:type="spellStart"/>
      <w:r w:rsidRPr="0031477A">
        <w:rPr>
          <w:rFonts w:cs="Times New Roman"/>
          <w:lang w:val="nl-BE"/>
        </w:rPr>
        <w:t>novembre</w:t>
      </w:r>
      <w:proofErr w:type="spellEnd"/>
      <w:r w:rsidRPr="0031477A">
        <w:rPr>
          <w:rFonts w:cs="Times New Roman"/>
          <w:lang w:val="nl-BE"/>
        </w:rPr>
        <w:t xml:space="preserve"> 1974, </w:t>
      </w:r>
      <w:r w:rsidRPr="0031477A">
        <w:rPr>
          <w:rFonts w:cs="Times New Roman"/>
          <w:i/>
          <w:lang w:val="nl-BE"/>
        </w:rPr>
        <w:t>Tijdschrift voor Bestuurswetenschappen en Publiekrecht</w:t>
      </w:r>
      <w:r w:rsidRPr="0031477A">
        <w:rPr>
          <w:rFonts w:cs="Times New Roman"/>
          <w:lang w:val="nl-BE"/>
        </w:rPr>
        <w:t>, 1975, p. 164</w:t>
      </w:r>
      <w:r w:rsidRPr="0031477A">
        <w:rPr>
          <w:rFonts w:cs="Times New Roman"/>
          <w:lang w:val="nl-BE"/>
        </w:rPr>
        <w:noBreakHyphen/>
        <w:t xml:space="preserve">166, </w:t>
      </w:r>
      <w:proofErr w:type="spellStart"/>
      <w:r w:rsidRPr="0031477A">
        <w:rPr>
          <w:rFonts w:cs="Times New Roman"/>
          <w:lang w:val="nl-BE"/>
        </w:rPr>
        <w:t>note</w:t>
      </w:r>
      <w:proofErr w:type="spellEnd"/>
      <w:r w:rsidRPr="0031477A">
        <w:rPr>
          <w:rFonts w:cs="Times New Roman"/>
          <w:lang w:val="nl-BE"/>
        </w:rPr>
        <w:t xml:space="preserve">. </w:t>
      </w:r>
      <w:r w:rsidRPr="00AF50A7">
        <w:rPr>
          <w:rFonts w:cs="Times New Roman"/>
          <w:lang w:val="nl-BE"/>
        </w:rPr>
        <w:t xml:space="preserve">R. </w:t>
      </w:r>
      <w:r w:rsidRPr="00243E89">
        <w:rPr>
          <w:rFonts w:cs="Times New Roman"/>
          <w:smallCaps/>
          <w:lang w:val="nl-BE"/>
        </w:rPr>
        <w:t>Elst.</w:t>
      </w:r>
    </w:p>
  </w:footnote>
  <w:footnote w:id="199">
    <w:p w14:paraId="54B667E1" w14:textId="57BE1342" w:rsidR="000D6C77" w:rsidRPr="00BC4464" w:rsidRDefault="000D6C77">
      <w:pPr>
        <w:pStyle w:val="Notedebasdepage"/>
      </w:pPr>
      <w:r>
        <w:rPr>
          <w:rStyle w:val="Appelnotedebasdep"/>
        </w:rPr>
        <w:footnoteRef/>
      </w:r>
      <w:r>
        <w:t xml:space="preserve"> Outre la question des </w:t>
      </w:r>
      <w:r w:rsidRPr="008D517D">
        <w:t>interdits</w:t>
      </w:r>
      <w:r>
        <w:t xml:space="preserve"> alimentaires de la religion en question, </w:t>
      </w:r>
      <w:r>
        <w:fldChar w:fldCharType="begin"/>
      </w:r>
      <w:r>
        <w:instrText xml:space="preserve"> XE "</w:instrText>
      </w:r>
      <w:r w:rsidRPr="00821CE3">
        <w:rPr>
          <w:rFonts w:eastAsia="Times New Roman" w:cs="Calibri"/>
          <w:color w:val="000000"/>
          <w:lang w:eastAsia="fr-BE"/>
        </w:rPr>
        <w:instrText>Régime alimentaire</w:instrText>
      </w:r>
      <w:r>
        <w:rPr>
          <w:rFonts w:eastAsia="Times New Roman" w:cs="Calibri"/>
          <w:color w:val="000000"/>
          <w:lang w:eastAsia="fr-BE"/>
        </w:rPr>
        <w:instrText>"</w:instrText>
      </w:r>
      <w:r>
        <w:instrText xml:space="preserve"> </w:instrText>
      </w:r>
      <w:r>
        <w:fldChar w:fldCharType="end"/>
      </w:r>
      <w:r>
        <w:t>se pose également celle du jeûne, face à laquelle des enjeux supplémentaires de santé et de sécurité au travail peuvent émerger.</w:t>
      </w:r>
    </w:p>
  </w:footnote>
  <w:footnote w:id="200">
    <w:p w14:paraId="59D690CD" w14:textId="4DC3018D" w:rsidR="000D6C77" w:rsidRPr="009D24C8" w:rsidRDefault="000D6C77" w:rsidP="00BC4464">
      <w:pPr>
        <w:pStyle w:val="Notedebasdepage"/>
      </w:pPr>
      <w:r>
        <w:rPr>
          <w:rStyle w:val="Appelnotedebasdep"/>
        </w:rPr>
        <w:footnoteRef/>
      </w:r>
      <w:r w:rsidRPr="009D24C8">
        <w:t xml:space="preserve"> </w:t>
      </w:r>
      <w:r>
        <w:t xml:space="preserve">Une telle demande peut alors entrer en tension avec le caractère limité des espaces disponibles dans l’entreprise : </w:t>
      </w:r>
      <w:proofErr w:type="spellStart"/>
      <w:r>
        <w:t>voy</w:t>
      </w:r>
      <w:proofErr w:type="spellEnd"/>
      <w:r>
        <w:t xml:space="preserve">. le cas pratique envisagé dans </w:t>
      </w:r>
      <w:r>
        <w:fldChar w:fldCharType="begin"/>
      </w:r>
      <w:r>
        <w:instrText xml:space="preserve"> ADDIN ZOTERO_ITEM CSL_CITATION {"citationID":"pSnD1uka","properties":{"formattedCitation":"D. {\\scaps Bouzar} et N. {\\scaps Denies} (\\uc0\\u233{}ds.), {\\i{}Diversit\\uc0\\u233{} convictionnelle}, {\\i{}op. cit.}, pp. 61\\uc0\\u8209{}74.","plainCitation":"D. Bouzar et N. Denies (éds.), Diversité convictionnelle, op. cit., pp. 61‑74.","noteIndex":252},"citationItems":[{"id":1022,"uris":["http://zotero.org/users/5133869/items/Y5J49BZP"],"itemData":{"id":1022,"type":"book","call-number":"DH491 .B68 2014","event-place":"Louvain-La-Neuve","ISBN":"978-2-8061-0189-1","number-of-pages":"257","publisher":"Academia","publisher-place":"Louvain-La-Neuve","source":"Library of Congress ISBN","title":"Diversité convictionnelle : Comment l'appréhender ? Comment la gérer ?","title-short":"Diversité convictionnelle","editor":[{"family":"Bouzar","given":"Dounia"},{"family":"Denies","given":"Nathalie"}],"issued":{"date-parts":[["2014"]]}},"locator":"61-74"}],"schema":"https://github.com/citation-style-language/schema/raw/master/csl-citation.json"} </w:instrText>
      </w:r>
      <w:r>
        <w:fldChar w:fldCharType="separate"/>
      </w:r>
      <w:r w:rsidRPr="00175B15">
        <w:rPr>
          <w:rFonts w:cs="Times New Roman"/>
          <w:szCs w:val="24"/>
        </w:rPr>
        <w:t xml:space="preserve">D. </w:t>
      </w:r>
      <w:proofErr w:type="spellStart"/>
      <w:r w:rsidRPr="00175B15">
        <w:rPr>
          <w:rFonts w:cs="Times New Roman"/>
          <w:smallCaps/>
          <w:szCs w:val="24"/>
        </w:rPr>
        <w:t>Bouzar</w:t>
      </w:r>
      <w:proofErr w:type="spellEnd"/>
      <w:r w:rsidRPr="00175B15">
        <w:rPr>
          <w:rFonts w:cs="Times New Roman"/>
          <w:szCs w:val="24"/>
        </w:rPr>
        <w:t xml:space="preserve"> et N. </w:t>
      </w:r>
      <w:r w:rsidRPr="00175B15">
        <w:rPr>
          <w:rFonts w:cs="Times New Roman"/>
          <w:smallCaps/>
          <w:szCs w:val="24"/>
        </w:rPr>
        <w:t>Denies</w:t>
      </w:r>
      <w:r w:rsidRPr="00175B15">
        <w:rPr>
          <w:rFonts w:cs="Times New Roman"/>
          <w:szCs w:val="24"/>
        </w:rPr>
        <w:t xml:space="preserve"> (</w:t>
      </w:r>
      <w:proofErr w:type="spellStart"/>
      <w:r w:rsidRPr="00175B15">
        <w:rPr>
          <w:rFonts w:cs="Times New Roman"/>
          <w:szCs w:val="24"/>
        </w:rPr>
        <w:t>éds</w:t>
      </w:r>
      <w:proofErr w:type="spellEnd"/>
      <w:r w:rsidRPr="00175B15">
        <w:rPr>
          <w:rFonts w:cs="Times New Roman"/>
          <w:szCs w:val="24"/>
        </w:rPr>
        <w:t xml:space="preserve">.), </w:t>
      </w:r>
      <w:r w:rsidRPr="00175B15">
        <w:rPr>
          <w:rFonts w:cs="Times New Roman"/>
          <w:i/>
          <w:iCs/>
          <w:szCs w:val="24"/>
        </w:rPr>
        <w:t>Diversité convictionnelle</w:t>
      </w:r>
      <w:r w:rsidRPr="00175B15">
        <w:rPr>
          <w:rFonts w:cs="Times New Roman"/>
          <w:szCs w:val="24"/>
        </w:rPr>
        <w:t xml:space="preserve">, </w:t>
      </w:r>
      <w:r w:rsidRPr="00175B15">
        <w:rPr>
          <w:rFonts w:cs="Times New Roman"/>
          <w:i/>
          <w:iCs/>
          <w:szCs w:val="24"/>
        </w:rPr>
        <w:t xml:space="preserve">op. </w:t>
      </w:r>
      <w:proofErr w:type="spellStart"/>
      <w:r w:rsidRPr="00175B15">
        <w:rPr>
          <w:rFonts w:cs="Times New Roman"/>
          <w:i/>
          <w:iCs/>
          <w:szCs w:val="24"/>
        </w:rPr>
        <w:t>cit</w:t>
      </w:r>
      <w:proofErr w:type="spellEnd"/>
      <w:r w:rsidRPr="00175B15">
        <w:rPr>
          <w:rFonts w:cs="Times New Roman"/>
          <w:i/>
          <w:iCs/>
          <w:szCs w:val="24"/>
        </w:rPr>
        <w:t>.</w:t>
      </w:r>
      <w:r w:rsidRPr="00175B15">
        <w:rPr>
          <w:rFonts w:cs="Times New Roman"/>
          <w:szCs w:val="24"/>
        </w:rPr>
        <w:t>, pp. 61‑74.</w:t>
      </w:r>
      <w:r>
        <w:fldChar w:fldCharType="end"/>
      </w:r>
    </w:p>
  </w:footnote>
  <w:footnote w:id="201">
    <w:p w14:paraId="0BBBB077" w14:textId="43F42240" w:rsidR="000D6C77" w:rsidRPr="00022216" w:rsidRDefault="000D6C77" w:rsidP="007D595C">
      <w:pPr>
        <w:pStyle w:val="Notedebasdepage"/>
        <w:rPr>
          <w:rFonts w:cs="Times New Roman"/>
        </w:rPr>
      </w:pPr>
      <w:r w:rsidRPr="00022216">
        <w:rPr>
          <w:rStyle w:val="Appelnotedebasdep"/>
          <w:rFonts w:cs="Times New Roman"/>
        </w:rPr>
        <w:footnoteRef/>
      </w:r>
      <w:r>
        <w:rPr>
          <w:rFonts w:cs="Times New Roman"/>
        </w:rPr>
        <w:t xml:space="preserve"> </w:t>
      </w:r>
      <w:proofErr w:type="spellStart"/>
      <w:r>
        <w:rPr>
          <w:rFonts w:cs="Times New Roman"/>
        </w:rPr>
        <w:t>Voy</w:t>
      </w:r>
      <w:proofErr w:type="spellEnd"/>
      <w:r>
        <w:rPr>
          <w:rFonts w:cs="Times New Roman"/>
        </w:rPr>
        <w:t>. en ce sens</w:t>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{"citationID":"gJVZxlxC","properties":{"formattedCitation":"V. {\\scaps Valentin}, \\uc0\\u171{}\\uc0\\u160{}Freedom of conscience in private company. An economic or a political problem?\\uc0\\u160{}\\uc0\\u187{}, {\\i{}op. cit.}\\uc0\\u160{}; R. {\\scaps Debray}, {\\i{}Ce que nous voile le voile\\uc0\\u8239{}: La r\\uc0\\u233{}publique et le sacr\\uc0\\u233{}}, Paris, Gallimard, 2006, p. 40.","plainCitation":"V. Valentin, « Freedom of conscience in private company. An economic or a political problem? », op. cit. ; R. Debray, Ce que nous voile le voile : La république et le sacré, Paris, Gallimard, 2006, p. 40.","noteIndex":252},"citationItems":[{"id":2506,"uris":["http://zotero.org/users/5133869/items/KAPS7XYI"],"itemData":{"id":2506,"type":"chapter","container-title":"Religion,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id":1167,"uris":["http://zotero.org/users/5133869/items/K8I4QF4X"],"itemData":{"id":1167,"type":"book","event-place":"Paris","ISBN":"978-2-07-032953-3","language":"French","note":"OCLC: 64303590","publisher":"Gallimard","publisher-place":"Paris","source":"Open WorldCat","title":"Ce que nous voile le voile : La république et le sacré","title-short":"Ce que nous voile le voile","author":[{"family":"Debray","given":"Régis"}],"issued":{"date-parts":[["2006"]]}},"locator":"40"}],"schema":"https://github.com/citation-style-language/schema/raw/master/csl-citation.json"} </w:instrText>
      </w:r>
      <w:r w:rsidRPr="00022216">
        <w:rPr>
          <w:rFonts w:cs="Times New Roman"/>
        </w:rPr>
        <w:fldChar w:fldCharType="separate"/>
      </w:r>
      <w:r w:rsidRPr="00D57414">
        <w:rPr>
          <w:rFonts w:cs="Times New Roman"/>
          <w:szCs w:val="24"/>
        </w:rPr>
        <w:t xml:space="preserve">V. </w:t>
      </w:r>
      <w:r w:rsidRPr="00D57414">
        <w:rPr>
          <w:rFonts w:cs="Times New Roman"/>
          <w:smallCaps/>
          <w:szCs w:val="24"/>
        </w:rPr>
        <w:t>Valentin</w:t>
      </w:r>
      <w:r w:rsidRPr="00D57414">
        <w:rPr>
          <w:rFonts w:cs="Times New Roman"/>
          <w:szCs w:val="24"/>
        </w:rPr>
        <w:t xml:space="preserve">, « Freedom of conscience in </w:t>
      </w:r>
      <w:proofErr w:type="spellStart"/>
      <w:r w:rsidRPr="00D57414">
        <w:rPr>
          <w:rFonts w:cs="Times New Roman"/>
          <w:szCs w:val="24"/>
        </w:rPr>
        <w:t>private</w:t>
      </w:r>
      <w:proofErr w:type="spellEnd"/>
      <w:r w:rsidRPr="00D57414">
        <w:rPr>
          <w:rFonts w:cs="Times New Roman"/>
          <w:szCs w:val="24"/>
        </w:rPr>
        <w:t xml:space="preserve"> </w:t>
      </w:r>
      <w:proofErr w:type="spellStart"/>
      <w:r w:rsidRPr="00D57414">
        <w:rPr>
          <w:rFonts w:cs="Times New Roman"/>
          <w:szCs w:val="24"/>
        </w:rPr>
        <w:t>company</w:t>
      </w:r>
      <w:proofErr w:type="spellEnd"/>
      <w:r w:rsidRPr="00D57414">
        <w:rPr>
          <w:rFonts w:cs="Times New Roman"/>
          <w:szCs w:val="24"/>
        </w:rPr>
        <w:t xml:space="preserve">. An </w:t>
      </w:r>
      <w:proofErr w:type="spellStart"/>
      <w:r w:rsidRPr="00D57414">
        <w:rPr>
          <w:rFonts w:cs="Times New Roman"/>
          <w:szCs w:val="24"/>
        </w:rPr>
        <w:t>economic</w:t>
      </w:r>
      <w:proofErr w:type="spellEnd"/>
      <w:r w:rsidRPr="00D57414">
        <w:rPr>
          <w:rFonts w:cs="Times New Roman"/>
          <w:szCs w:val="24"/>
        </w:rPr>
        <w:t xml:space="preserve"> or a </w:t>
      </w:r>
      <w:proofErr w:type="spellStart"/>
      <w:r w:rsidRPr="00D57414">
        <w:rPr>
          <w:rFonts w:cs="Times New Roman"/>
          <w:szCs w:val="24"/>
        </w:rPr>
        <w:t>political</w:t>
      </w:r>
      <w:proofErr w:type="spellEnd"/>
      <w:r w:rsidRPr="00D57414">
        <w:rPr>
          <w:rFonts w:cs="Times New Roman"/>
          <w:szCs w:val="24"/>
        </w:rPr>
        <w:t xml:space="preserve"> </w:t>
      </w:r>
      <w:proofErr w:type="spellStart"/>
      <w:r w:rsidRPr="00D57414">
        <w:rPr>
          <w:rFonts w:cs="Times New Roman"/>
          <w:szCs w:val="24"/>
        </w:rPr>
        <w:t>problem</w:t>
      </w:r>
      <w:proofErr w:type="spellEnd"/>
      <w:r w:rsidRPr="00D57414">
        <w:rPr>
          <w:rFonts w:cs="Times New Roman"/>
          <w:szCs w:val="24"/>
        </w:rPr>
        <w:t xml:space="preserve">? », </w:t>
      </w:r>
      <w:r w:rsidRPr="00D57414">
        <w:rPr>
          <w:rFonts w:cs="Times New Roman"/>
          <w:i/>
          <w:iCs/>
          <w:szCs w:val="24"/>
        </w:rPr>
        <w:t xml:space="preserve">op. </w:t>
      </w:r>
      <w:proofErr w:type="spellStart"/>
      <w:r w:rsidRPr="00D57414">
        <w:rPr>
          <w:rFonts w:cs="Times New Roman"/>
          <w:i/>
          <w:iCs/>
          <w:szCs w:val="24"/>
        </w:rPr>
        <w:t>cit</w:t>
      </w:r>
      <w:proofErr w:type="spellEnd"/>
      <w:r w:rsidRPr="00D57414">
        <w:rPr>
          <w:rFonts w:cs="Times New Roman"/>
          <w:i/>
          <w:iCs/>
          <w:szCs w:val="24"/>
        </w:rPr>
        <w:t>.</w:t>
      </w:r>
      <w:r w:rsidRPr="00D57414">
        <w:rPr>
          <w:rFonts w:cs="Times New Roman"/>
          <w:szCs w:val="24"/>
        </w:rPr>
        <w:t xml:space="preserve"> ; R. </w:t>
      </w:r>
      <w:r w:rsidRPr="00D57414">
        <w:rPr>
          <w:rFonts w:cs="Times New Roman"/>
          <w:smallCaps/>
          <w:szCs w:val="24"/>
        </w:rPr>
        <w:t>Debray</w:t>
      </w:r>
      <w:r w:rsidRPr="00D57414">
        <w:rPr>
          <w:rFonts w:cs="Times New Roman"/>
          <w:szCs w:val="24"/>
        </w:rPr>
        <w:t xml:space="preserve">, </w:t>
      </w:r>
      <w:r w:rsidRPr="00D57414">
        <w:rPr>
          <w:rFonts w:cs="Times New Roman"/>
          <w:i/>
          <w:iCs/>
          <w:szCs w:val="24"/>
        </w:rPr>
        <w:t>Ce que nous voile le voile : La république et le sacré</w:t>
      </w:r>
      <w:r w:rsidRPr="00D57414">
        <w:rPr>
          <w:rFonts w:cs="Times New Roman"/>
          <w:szCs w:val="24"/>
        </w:rPr>
        <w:t>, Paris, Gallimard, 2006, p. 40.</w:t>
      </w:r>
      <w:r w:rsidRPr="00022216">
        <w:rPr>
          <w:rFonts w:cs="Times New Roman"/>
        </w:rPr>
        <w:fldChar w:fldCharType="end"/>
      </w:r>
    </w:p>
  </w:footnote>
  <w:footnote w:id="202">
    <w:p w14:paraId="4800F45F" w14:textId="50F40D3C" w:rsidR="000D6C77" w:rsidRPr="00016D32" w:rsidRDefault="000D6C77" w:rsidP="00B6009F">
      <w:pPr>
        <w:pStyle w:val="Notedebasdepage"/>
        <w:rPr>
          <w:i/>
          <w:szCs w:val="17"/>
        </w:rPr>
      </w:pPr>
      <w:r w:rsidRPr="00016D32">
        <w:rPr>
          <w:rStyle w:val="Appelnotedebasdep"/>
          <w:szCs w:val="17"/>
        </w:rPr>
        <w:footnoteRef/>
      </w:r>
      <w:r w:rsidRPr="00016D32">
        <w:rPr>
          <w:szCs w:val="17"/>
        </w:rPr>
        <w:t xml:space="preserve"> </w:t>
      </w:r>
      <w:r w:rsidRPr="00016D32">
        <w:rPr>
          <w:szCs w:val="17"/>
        </w:rPr>
        <w:fldChar w:fldCharType="begin"/>
      </w:r>
      <w:r>
        <w:rPr>
          <w:szCs w:val="17"/>
        </w:rPr>
        <w:instrText xml:space="preserve"> ADDIN ZOTERO_ITEM CSL_CITATION {"citationID":"mNSDs1Jq","properties":{"formattedCitation":"V. {\\scaps Valentin}, \\uc0\\u171{}\\uc0\\u160{}La notion d\\uc0\\u8217{}entreprise de conviction \\uc0\\u8220{}la\\uc0\\u239{}que\\uc0\\u8221{}\\uc0\\u160{}\\uc0\\u187{},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 274.","plainCitation":"V. Valentin, « La notion d’entreprise de conviction “laïque” », in B. Callebat, H. de Courrèges et V. Louvel-Parisot (éds.), Les religions et le droit du travail : regards croisés, d’ici et d’ailleurs [actes du colloque international, Université de Rouen, 20 et 21 octobre 2016], Collection Droit et religion, n° 9, Bruxelles, Bruylant, 2017, p. 274.","noteIndex":254},"citationItems":[{"id":2164,"uris":["http://zotero.org/users/5133869/items/2L2HSTKE"],"itemData":{"id":2164,"type":"chapter","collection-number":"9","collection-title":"Collection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locator":"274"}],"schema":"https://github.com/citation-style-language/schema/raw/master/csl-citation.json"} </w:instrText>
      </w:r>
      <w:r w:rsidRPr="00016D32">
        <w:rPr>
          <w:szCs w:val="17"/>
        </w:rPr>
        <w:fldChar w:fldCharType="separate"/>
      </w:r>
      <w:r w:rsidRPr="00E01810">
        <w:rPr>
          <w:rFonts w:cs="Times New Roman"/>
          <w:szCs w:val="24"/>
        </w:rPr>
        <w:t xml:space="preserve">V. </w:t>
      </w:r>
      <w:r w:rsidRPr="00E01810">
        <w:rPr>
          <w:rFonts w:cs="Times New Roman"/>
          <w:smallCaps/>
          <w:szCs w:val="24"/>
        </w:rPr>
        <w:t>Valentin</w:t>
      </w:r>
      <w:r w:rsidRPr="00E01810">
        <w:rPr>
          <w:rFonts w:cs="Times New Roman"/>
          <w:szCs w:val="24"/>
        </w:rPr>
        <w:t xml:space="preserve">, « La notion d’entreprise de conviction “laïque” », </w:t>
      </w:r>
      <w:r w:rsidRPr="00E01810">
        <w:rPr>
          <w:rFonts w:cs="Times New Roman"/>
          <w:i/>
          <w:iCs/>
          <w:szCs w:val="24"/>
        </w:rPr>
        <w:t>in</w:t>
      </w:r>
      <w:r w:rsidRPr="00E01810">
        <w:rPr>
          <w:rFonts w:cs="Times New Roman"/>
          <w:szCs w:val="24"/>
        </w:rPr>
        <w:t xml:space="preserve"> B. </w:t>
      </w:r>
      <w:proofErr w:type="spellStart"/>
      <w:r w:rsidRPr="00E01810">
        <w:rPr>
          <w:rFonts w:cs="Times New Roman"/>
          <w:smallCaps/>
          <w:szCs w:val="24"/>
        </w:rPr>
        <w:t>Callebat</w:t>
      </w:r>
      <w:proofErr w:type="spellEnd"/>
      <w:r w:rsidRPr="00E01810">
        <w:rPr>
          <w:rFonts w:cs="Times New Roman"/>
          <w:szCs w:val="24"/>
        </w:rPr>
        <w:t xml:space="preserve">, H. </w:t>
      </w:r>
      <w:r w:rsidRPr="00E01810">
        <w:rPr>
          <w:rFonts w:cs="Times New Roman"/>
          <w:smallCaps/>
          <w:szCs w:val="24"/>
        </w:rPr>
        <w:t>de</w:t>
      </w:r>
      <w:r w:rsidRPr="00E01810">
        <w:rPr>
          <w:rFonts w:cs="Times New Roman"/>
          <w:szCs w:val="24"/>
        </w:rPr>
        <w:t> </w:t>
      </w:r>
      <w:r w:rsidRPr="00E01810">
        <w:rPr>
          <w:rFonts w:cs="Times New Roman"/>
          <w:smallCaps/>
          <w:szCs w:val="24"/>
        </w:rPr>
        <w:t>Courrèges</w:t>
      </w:r>
      <w:r w:rsidRPr="00E01810">
        <w:rPr>
          <w:rFonts w:cs="Times New Roman"/>
          <w:szCs w:val="24"/>
        </w:rPr>
        <w:t xml:space="preserve"> et V. </w:t>
      </w:r>
      <w:r w:rsidRPr="00E01810">
        <w:rPr>
          <w:rFonts w:cs="Times New Roman"/>
          <w:smallCaps/>
          <w:szCs w:val="24"/>
        </w:rPr>
        <w:t>Louvel-Parisot</w:t>
      </w:r>
      <w:r w:rsidRPr="00E01810">
        <w:rPr>
          <w:rFonts w:cs="Times New Roman"/>
          <w:szCs w:val="24"/>
        </w:rPr>
        <w:t xml:space="preserve"> (</w:t>
      </w:r>
      <w:proofErr w:type="spellStart"/>
      <w:r w:rsidRPr="00E01810">
        <w:rPr>
          <w:rFonts w:cs="Times New Roman"/>
          <w:szCs w:val="24"/>
        </w:rPr>
        <w:t>éds</w:t>
      </w:r>
      <w:proofErr w:type="spellEnd"/>
      <w:r w:rsidRPr="00E01810">
        <w:rPr>
          <w:rFonts w:cs="Times New Roman"/>
          <w:szCs w:val="24"/>
        </w:rPr>
        <w:t xml:space="preserve">.), </w:t>
      </w:r>
      <w:r w:rsidRPr="00E01810">
        <w:rPr>
          <w:rFonts w:cs="Times New Roman"/>
          <w:i/>
          <w:iCs/>
          <w:szCs w:val="24"/>
        </w:rPr>
        <w:t>Les religions et le droit du travail : regards croisés, d’ici et d’ailleurs [actes du colloque international, Université de Rouen, 20 et 21 octobre 2016]</w:t>
      </w:r>
      <w:r w:rsidRPr="00E01810">
        <w:rPr>
          <w:rFonts w:cs="Times New Roman"/>
          <w:szCs w:val="24"/>
        </w:rPr>
        <w:t>, Collection Droit et religion, n° 9, Bruxelles, Bruylant, 2017, p. 274.</w:t>
      </w:r>
      <w:r w:rsidRPr="00016D32">
        <w:rPr>
          <w:szCs w:val="17"/>
        </w:rPr>
        <w:fldChar w:fldCharType="end"/>
      </w:r>
    </w:p>
  </w:footnote>
  <w:footnote w:id="203">
    <w:p w14:paraId="67ABC2D1" w14:textId="1EE7D0FC" w:rsidR="000D6C77" w:rsidRPr="00016D32" w:rsidRDefault="000D6C77" w:rsidP="00B6009F">
      <w:pPr>
        <w:pStyle w:val="Notedebasdepage"/>
        <w:rPr>
          <w:szCs w:val="17"/>
        </w:rPr>
      </w:pPr>
      <w:r w:rsidRPr="00016D32">
        <w:rPr>
          <w:rStyle w:val="Appelnotedebasdep"/>
          <w:szCs w:val="17"/>
        </w:rPr>
        <w:footnoteRef/>
      </w:r>
      <w:r w:rsidRPr="00016D32">
        <w:rPr>
          <w:szCs w:val="17"/>
        </w:rPr>
        <w:t xml:space="preserve"> </w:t>
      </w:r>
      <w:r w:rsidRPr="00016D32">
        <w:rPr>
          <w:szCs w:val="17"/>
        </w:rPr>
        <w:fldChar w:fldCharType="begin"/>
      </w:r>
      <w:r>
        <w:rPr>
          <w:szCs w:val="17"/>
        </w:rPr>
        <w:instrText xml:space="preserve"> ADDIN ZOTERO_ITEM CSL_CITATION {"citationID":"Cbtatns0","properties":{"formattedCitation":"A. {\\scaps Supiot}, \\uc0\\u171{}\\uc0\\u160{}Note sur l\\uc0\\u8217{}avis de la CNCDH sur la la\\uc0\\u239{}cit\\uc0\\u233{}\\uc0\\u160{}\\uc0\\u187{}, {\\i{}op. cit.}","plainCitation":"A. Supiot, « Note sur l’avis de la CNCDH sur la laïcité », op. cit.","noteIndex":254},"citationItems":[{"id":467,"uris":["http://zotero.org/users/5133869/items/468WKD29"],"itemData":{"id":467,"type":"chapter","container-title":"Les grands avis de la Commission nationale consultative des droits de l'homme","event-place":"Paris","page":"293-308","publisher":"Dalloz","publisher-place":"Paris","title":"Note sur l'avis de la CNCDH sur la laïcité","author":[{"family":"Supiot","given":"Alain"}],"issued":{"date-parts":[["2016"]]}}}],"schema":"https://github.com/citation-style-language/schema/raw/master/csl-citation.json"} </w:instrText>
      </w:r>
      <w:r w:rsidRPr="00016D32">
        <w:rPr>
          <w:szCs w:val="17"/>
        </w:rPr>
        <w:fldChar w:fldCharType="separate"/>
      </w:r>
      <w:r w:rsidRPr="006A1BA6">
        <w:rPr>
          <w:rFonts w:cs="Times New Roman"/>
          <w:szCs w:val="24"/>
        </w:rPr>
        <w:t xml:space="preserve">A. </w:t>
      </w:r>
      <w:proofErr w:type="spellStart"/>
      <w:r w:rsidRPr="006A1BA6">
        <w:rPr>
          <w:rFonts w:cs="Times New Roman"/>
          <w:smallCaps/>
          <w:szCs w:val="24"/>
        </w:rPr>
        <w:t>Supiot</w:t>
      </w:r>
      <w:proofErr w:type="spellEnd"/>
      <w:r w:rsidRPr="006A1BA6">
        <w:rPr>
          <w:rFonts w:cs="Times New Roman"/>
          <w:szCs w:val="24"/>
        </w:rPr>
        <w:t xml:space="preserve">, « Note sur l’avis de la CNCDH sur la laïcité », </w:t>
      </w:r>
      <w:r w:rsidRPr="006A1BA6">
        <w:rPr>
          <w:rFonts w:cs="Times New Roman"/>
          <w:i/>
          <w:iCs/>
          <w:szCs w:val="24"/>
        </w:rPr>
        <w:t xml:space="preserve">op. </w:t>
      </w:r>
      <w:proofErr w:type="spellStart"/>
      <w:r w:rsidRPr="006A1BA6">
        <w:rPr>
          <w:rFonts w:cs="Times New Roman"/>
          <w:i/>
          <w:iCs/>
          <w:szCs w:val="24"/>
        </w:rPr>
        <w:t>cit</w:t>
      </w:r>
      <w:proofErr w:type="spellEnd"/>
      <w:r w:rsidRPr="006A1BA6">
        <w:rPr>
          <w:rFonts w:cs="Times New Roman"/>
          <w:i/>
          <w:iCs/>
          <w:szCs w:val="24"/>
        </w:rPr>
        <w:t>.</w:t>
      </w:r>
      <w:r w:rsidRPr="00016D32">
        <w:rPr>
          <w:szCs w:val="17"/>
        </w:rPr>
        <w:fldChar w:fldCharType="end"/>
      </w:r>
    </w:p>
  </w:footnote>
  <w:footnote w:id="204">
    <w:p w14:paraId="435DB1C1" w14:textId="6743FAC0" w:rsidR="000D6C77" w:rsidRPr="00016D32" w:rsidRDefault="000D6C77" w:rsidP="00B6009F">
      <w:pPr>
        <w:pStyle w:val="Notedebasdepage"/>
        <w:rPr>
          <w:szCs w:val="17"/>
        </w:rPr>
      </w:pPr>
      <w:r w:rsidRPr="00016D32">
        <w:rPr>
          <w:rStyle w:val="Appelnotedebasdep"/>
          <w:szCs w:val="17"/>
        </w:rPr>
        <w:footnoteRef/>
      </w:r>
      <w:r w:rsidRPr="00016D32">
        <w:rPr>
          <w:szCs w:val="17"/>
        </w:rPr>
        <w:t xml:space="preserve"> </w:t>
      </w:r>
      <w:r w:rsidRPr="00016D32">
        <w:rPr>
          <w:szCs w:val="17"/>
        </w:rPr>
        <w:fldChar w:fldCharType="begin"/>
      </w:r>
      <w:r>
        <w:rPr>
          <w:szCs w:val="17"/>
        </w:rPr>
        <w:instrText xml:space="preserve"> ADDIN ZOTERO_ITEM CSL_CITATION {"citationID":"7dgHRCZn","properties":{"formattedCitation":"F. {\\scaps K\\uc0\\u233{}fer}, \\uc0\\u171{}\\uc0\\u160{}L\\uc0\\u8217{}expression des convictions religieuses dans les relations de travail\\uc0\\u160{}\\uc0\\u187{}, {\\i{}op. cit.}, pp. 540\\uc0\\u8209{}541\\uc0\\u160{}; D. {\\scaps Bouzar} et L. {\\scaps Bouzar}, {\\i{}Allah a-t-il sa place dans l\\uc0\\u8217{}entreprise\\uc0\\u8239{}?}, {\\i{}op. cit.}, p. 115.","plainCitation":"F. Kéfer, « L’expression des convictions religieuses dans les relations de travail », op. cit., pp. 540‑541 ; D. Bouzar et L. Bouzar, Allah a-t-il sa place dans l’entreprise ?, op. cit., p. 115.","noteIndex":255},"citationItems":[{"id":1427,"uris":["http://zotero.org/users/5133869/items/C7TEAJD8"],"itemData":{"id":1427,"type":"article-journal","container-title":"Revue de Droit Social","issue":"3","page":"528-583","title":"L’expression des convictions religieuses dans les relations de travail","author":[{"family":"Kéfer","given":"Fabienne"}],"issued":{"date-parts":[["2017"]]}},"locator":"540-541"},{"id":1696,"uris":["http://zotero.org/users/5133869/items/KZEGFGWF"],"itemData":{"id":1696,"type":"book","call-number":"HF5387 .B677 2009","event-place":"Paris","ISBN":"978-2-226-19324-7","number-of-pages":"215","publisher":"Albin Michel","publisher-place":"Paris","source":"Library of Congress ISBN","title":"Allah a-t-il sa place dans l'entreprise ?","author":[{"family":"Bouzar","given":"Dounia"},{"family":"Bouzar","given":"Lylia"}],"issued":{"date-parts":[["2009"]]}},"locator":"115"}],"schema":"https://github.com/citation-style-language/schema/raw/master/csl-citation.json"} </w:instrText>
      </w:r>
      <w:r w:rsidRPr="00016D32">
        <w:rPr>
          <w:szCs w:val="17"/>
        </w:rPr>
        <w:fldChar w:fldCharType="separate"/>
      </w:r>
      <w:r w:rsidRPr="006A1BA6">
        <w:rPr>
          <w:rFonts w:cs="Times New Roman"/>
          <w:szCs w:val="24"/>
        </w:rPr>
        <w:t xml:space="preserve">F. </w:t>
      </w:r>
      <w:proofErr w:type="spellStart"/>
      <w:r w:rsidRPr="006A1BA6">
        <w:rPr>
          <w:rFonts w:cs="Times New Roman"/>
          <w:smallCaps/>
          <w:szCs w:val="24"/>
        </w:rPr>
        <w:t>Kéfer</w:t>
      </w:r>
      <w:proofErr w:type="spellEnd"/>
      <w:r w:rsidRPr="006A1BA6">
        <w:rPr>
          <w:rFonts w:cs="Times New Roman"/>
          <w:szCs w:val="24"/>
        </w:rPr>
        <w:t xml:space="preserve">, « L’expression des convictions religieuses dans les relations de travail », </w:t>
      </w:r>
      <w:r w:rsidRPr="006A1BA6">
        <w:rPr>
          <w:rFonts w:cs="Times New Roman"/>
          <w:i/>
          <w:iCs/>
          <w:szCs w:val="24"/>
        </w:rPr>
        <w:t xml:space="preserve">op. </w:t>
      </w:r>
      <w:proofErr w:type="spellStart"/>
      <w:r w:rsidRPr="006A1BA6">
        <w:rPr>
          <w:rFonts w:cs="Times New Roman"/>
          <w:i/>
          <w:iCs/>
          <w:szCs w:val="24"/>
        </w:rPr>
        <w:t>cit</w:t>
      </w:r>
      <w:proofErr w:type="spellEnd"/>
      <w:r w:rsidRPr="006A1BA6">
        <w:rPr>
          <w:rFonts w:cs="Times New Roman"/>
          <w:i/>
          <w:iCs/>
          <w:szCs w:val="24"/>
        </w:rPr>
        <w:t>.</w:t>
      </w:r>
      <w:r w:rsidRPr="006A1BA6">
        <w:rPr>
          <w:rFonts w:cs="Times New Roman"/>
          <w:szCs w:val="24"/>
        </w:rPr>
        <w:t xml:space="preserve">, pp. 540‑541 ; D. </w:t>
      </w:r>
      <w:proofErr w:type="spellStart"/>
      <w:r w:rsidRPr="006A1BA6">
        <w:rPr>
          <w:rFonts w:cs="Times New Roman"/>
          <w:smallCaps/>
          <w:szCs w:val="24"/>
        </w:rPr>
        <w:t>Bouzar</w:t>
      </w:r>
      <w:proofErr w:type="spellEnd"/>
      <w:r w:rsidRPr="006A1BA6">
        <w:rPr>
          <w:rFonts w:cs="Times New Roman"/>
          <w:szCs w:val="24"/>
        </w:rPr>
        <w:t xml:space="preserve"> et L. </w:t>
      </w:r>
      <w:proofErr w:type="spellStart"/>
      <w:r w:rsidRPr="006A1BA6">
        <w:rPr>
          <w:rFonts w:cs="Times New Roman"/>
          <w:smallCaps/>
          <w:szCs w:val="24"/>
        </w:rPr>
        <w:t>Bouzar</w:t>
      </w:r>
      <w:proofErr w:type="spellEnd"/>
      <w:r w:rsidRPr="006A1BA6">
        <w:rPr>
          <w:rFonts w:cs="Times New Roman"/>
          <w:szCs w:val="24"/>
        </w:rPr>
        <w:t xml:space="preserve">, </w:t>
      </w:r>
      <w:r w:rsidRPr="006A1BA6">
        <w:rPr>
          <w:rFonts w:cs="Times New Roman"/>
          <w:i/>
          <w:iCs/>
          <w:szCs w:val="24"/>
        </w:rPr>
        <w:t>Allah a-t-il sa place dans l’entreprise ?</w:t>
      </w:r>
      <w:r w:rsidRPr="006A1BA6">
        <w:rPr>
          <w:rFonts w:cs="Times New Roman"/>
          <w:szCs w:val="24"/>
        </w:rPr>
        <w:t xml:space="preserve">, </w:t>
      </w:r>
      <w:r w:rsidRPr="006A1BA6">
        <w:rPr>
          <w:rFonts w:cs="Times New Roman"/>
          <w:i/>
          <w:iCs/>
          <w:szCs w:val="24"/>
        </w:rPr>
        <w:t xml:space="preserve">op. </w:t>
      </w:r>
      <w:proofErr w:type="spellStart"/>
      <w:r w:rsidRPr="006A1BA6">
        <w:rPr>
          <w:rFonts w:cs="Times New Roman"/>
          <w:i/>
          <w:iCs/>
          <w:szCs w:val="24"/>
        </w:rPr>
        <w:t>cit</w:t>
      </w:r>
      <w:proofErr w:type="spellEnd"/>
      <w:r w:rsidRPr="006A1BA6">
        <w:rPr>
          <w:rFonts w:cs="Times New Roman"/>
          <w:i/>
          <w:iCs/>
          <w:szCs w:val="24"/>
        </w:rPr>
        <w:t>.</w:t>
      </w:r>
      <w:r w:rsidRPr="006A1BA6">
        <w:rPr>
          <w:rFonts w:cs="Times New Roman"/>
          <w:szCs w:val="24"/>
        </w:rPr>
        <w:t>, p. 115.</w:t>
      </w:r>
      <w:r w:rsidRPr="00016D32">
        <w:rPr>
          <w:szCs w:val="17"/>
        </w:rPr>
        <w:fldChar w:fldCharType="end"/>
      </w:r>
    </w:p>
  </w:footnote>
  <w:footnote w:id="205">
    <w:p w14:paraId="29BCA12E" w14:textId="0AEB8F28" w:rsidR="000D6C77" w:rsidRPr="00B601A0"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D. </w:t>
      </w:r>
      <w:r w:rsidRPr="00022216">
        <w:rPr>
          <w:rFonts w:cs="Times New Roman"/>
          <w:smallCaps/>
        </w:rPr>
        <w:t>Philippe</w:t>
      </w:r>
      <w:r w:rsidRPr="00022216">
        <w:rPr>
          <w:rFonts w:cs="Times New Roman"/>
        </w:rPr>
        <w:t xml:space="preserve"> et P.-Y. </w:t>
      </w:r>
      <w:r w:rsidRPr="00022216">
        <w:rPr>
          <w:rFonts w:cs="Times New Roman"/>
          <w:smallCaps/>
        </w:rPr>
        <w:t xml:space="preserve">Materne </w:t>
      </w:r>
      <w:r w:rsidRPr="00022216">
        <w:rPr>
          <w:rFonts w:cs="Times New Roman"/>
        </w:rPr>
        <w:t>évoquent ainsi le risque que « les occupants religieux du local [aient] tendance à vouloir prendre possession des lieux et à écarter certaines catégories de personnes, les femmes par exemple » : dans ce cas, « l’attribution d’un lieu spécifiquement dédié à la prière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Prière"</w:instrText>
      </w:r>
      <w:r>
        <w:rPr>
          <w:rFonts w:cs="Times New Roman"/>
        </w:rPr>
        <w:instrText xml:space="preserve"> </w:instrText>
      </w:r>
      <w:r>
        <w:rPr>
          <w:rFonts w:cs="Times New Roman"/>
        </w:rPr>
        <w:fldChar w:fldCharType="end"/>
      </w:r>
      <w:r w:rsidRPr="00022216">
        <w:rPr>
          <w:rFonts w:cs="Times New Roman"/>
        </w:rPr>
        <w:t xml:space="preserve"> court le risque d’encourager la formation de sous-groupes au détriment d’une politique d’intégration dans l’entreprise » </w:t>
      </w:r>
      <w:r w:rsidRPr="00022216">
        <w:rPr>
          <w:rFonts w:cs="Times New Roman"/>
        </w:rPr>
        <w:fldChar w:fldCharType="begin"/>
      </w:r>
      <w:r>
        <w:rPr>
          <w:rFonts w:cs="Times New Roman"/>
        </w:rPr>
        <w:instrText xml:space="preserve"> ADDIN ZOTERO_ITEM CSL_CITATION {"citationID":"hrBEcjiF","properties":{"formattedCitation":"(\\uc0\\u171{}\\uc0\\u160{}Le droit face \\uc0\\u224{} la multiculturalit\\uc0\\u233{} en entreprise\\uc0\\u160{}\\uc0\\u187{}, {\\i{}in} M. {\\scaps Flam\\uc0\\u233{}e} (\\uc0\\u233{}d.), {\\i{}Schuim op de branding: Liber amicorum Michel Flam\\uc0\\u233{}e}, Bruges, La Charte, 2017, p. 200).","plainCitation":"(« Le droit face à la multiculturalité en entreprise », in M. Flamée (éd.), Schuim op de branding: Liber amicorum Michel Flamée, Bruges, La Charte, 2017, p. 200).","noteIndex":257},"citationItems":[{"id":1254,"uris":["http://zotero.org/users/5133869/items/9AJ28R3P"],"itemData":{"id":1254,"type":"chapter","container-title":"Schuim op de branding: Liber amicorum Michel Flamée","event-place":"Bruges","page":"191-216","publisher":"La Charte","publisher-place":"Bruges","title":"Le droit face à la multiculturalité en entreprise","author":[{"family":"Philippe","given":"Denis"},{"family":"Materne","given":"Pierre-Yves"}],"editor":[{"family":"Flamée","given":"Michel"}],"issued":{"date-parts":[["2017"]]}},"locator":"200","suppress-author":true,"prefix":"(","suffix":")"}],"schema":"https://github.com/citation-style-language/schema/raw/master/csl-citation.json"} </w:instrText>
      </w:r>
      <w:r w:rsidRPr="00022216">
        <w:rPr>
          <w:rFonts w:cs="Times New Roman"/>
        </w:rPr>
        <w:fldChar w:fldCharType="separate"/>
      </w:r>
      <w:r w:rsidRPr="00D57414">
        <w:rPr>
          <w:rFonts w:cs="Times New Roman"/>
          <w:szCs w:val="24"/>
        </w:rPr>
        <w:t xml:space="preserve">(« Le droit face à la multiculturalité en entreprise », </w:t>
      </w:r>
      <w:r w:rsidRPr="00D57414">
        <w:rPr>
          <w:rFonts w:cs="Times New Roman"/>
          <w:i/>
          <w:iCs/>
          <w:szCs w:val="24"/>
        </w:rPr>
        <w:t>in</w:t>
      </w:r>
      <w:r w:rsidRPr="00D57414">
        <w:rPr>
          <w:rFonts w:cs="Times New Roman"/>
          <w:szCs w:val="24"/>
        </w:rPr>
        <w:t xml:space="preserve"> M. </w:t>
      </w:r>
      <w:r w:rsidRPr="00D57414">
        <w:rPr>
          <w:rFonts w:cs="Times New Roman"/>
          <w:smallCaps/>
          <w:szCs w:val="24"/>
        </w:rPr>
        <w:t>Flamée</w:t>
      </w:r>
      <w:r w:rsidRPr="00D57414">
        <w:rPr>
          <w:rFonts w:cs="Times New Roman"/>
          <w:szCs w:val="24"/>
        </w:rPr>
        <w:t xml:space="preserve"> (éd.), </w:t>
      </w:r>
      <w:proofErr w:type="spellStart"/>
      <w:r w:rsidRPr="00D57414">
        <w:rPr>
          <w:rFonts w:cs="Times New Roman"/>
          <w:i/>
          <w:iCs/>
          <w:szCs w:val="24"/>
        </w:rPr>
        <w:t>Schuim</w:t>
      </w:r>
      <w:proofErr w:type="spellEnd"/>
      <w:r w:rsidRPr="00D57414">
        <w:rPr>
          <w:rFonts w:cs="Times New Roman"/>
          <w:i/>
          <w:iCs/>
          <w:szCs w:val="24"/>
        </w:rPr>
        <w:t xml:space="preserve"> op de </w:t>
      </w:r>
      <w:proofErr w:type="spellStart"/>
      <w:r w:rsidRPr="00D57414">
        <w:rPr>
          <w:rFonts w:cs="Times New Roman"/>
          <w:i/>
          <w:iCs/>
          <w:szCs w:val="24"/>
        </w:rPr>
        <w:t>branding</w:t>
      </w:r>
      <w:proofErr w:type="spellEnd"/>
      <w:r w:rsidRPr="00D57414">
        <w:rPr>
          <w:rFonts w:cs="Times New Roman"/>
          <w:i/>
          <w:iCs/>
          <w:szCs w:val="24"/>
        </w:rPr>
        <w:t xml:space="preserve">: Liber </w:t>
      </w:r>
      <w:proofErr w:type="spellStart"/>
      <w:r w:rsidRPr="00D57414">
        <w:rPr>
          <w:rFonts w:cs="Times New Roman"/>
          <w:i/>
          <w:iCs/>
          <w:szCs w:val="24"/>
        </w:rPr>
        <w:t>amicorum</w:t>
      </w:r>
      <w:proofErr w:type="spellEnd"/>
      <w:r w:rsidRPr="00D57414">
        <w:rPr>
          <w:rFonts w:cs="Times New Roman"/>
          <w:i/>
          <w:iCs/>
          <w:szCs w:val="24"/>
        </w:rPr>
        <w:t xml:space="preserve"> Michel Flamée</w:t>
      </w:r>
      <w:r w:rsidRPr="00D57414">
        <w:rPr>
          <w:rFonts w:cs="Times New Roman"/>
          <w:szCs w:val="24"/>
        </w:rPr>
        <w:t>, Bruges, La Charte, 2017, p. 200).</w:t>
      </w:r>
      <w:r w:rsidRPr="00022216">
        <w:rPr>
          <w:rFonts w:cs="Times New Roman"/>
        </w:rPr>
        <w:fldChar w:fldCharType="end"/>
      </w:r>
      <w:r w:rsidRPr="00022216">
        <w:rPr>
          <w:rFonts w:cs="Times New Roman"/>
        </w:rPr>
        <w:t xml:space="preserve"> </w:t>
      </w:r>
      <w:proofErr w:type="spellStart"/>
      <w:r w:rsidRPr="00B601A0">
        <w:rPr>
          <w:rFonts w:cs="Times New Roman"/>
        </w:rPr>
        <w:t>Voy</w:t>
      </w:r>
      <w:proofErr w:type="spellEnd"/>
      <w:r w:rsidRPr="00B601A0">
        <w:rPr>
          <w:rFonts w:cs="Times New Roman"/>
        </w:rPr>
        <w:t xml:space="preserve">., </w:t>
      </w:r>
      <w:r w:rsidRPr="00B601A0">
        <w:rPr>
          <w:rFonts w:cs="Times New Roman"/>
          <w:i/>
          <w:iCs/>
        </w:rPr>
        <w:t>mutatis mutandis</w:t>
      </w:r>
      <w:r w:rsidRPr="00B601A0">
        <w:rPr>
          <w:rFonts w:cs="Times New Roman"/>
        </w:rPr>
        <w:t xml:space="preserve">, la décision de la CourEDH au sujet de la sanction infligée à un détenu russe pour avoir prié durant la nuit, en dépit du couvre-feu : pour parvenir au constat de violation de l’article 9, la Cour insiste en particulier sur le fait que la prière ne créait aucun trouble pour les autres détenus (déc. </w:t>
      </w:r>
      <w:proofErr w:type="spellStart"/>
      <w:r w:rsidRPr="00B601A0">
        <w:rPr>
          <w:rFonts w:cs="Times New Roman"/>
          <w:i/>
          <w:iCs/>
        </w:rPr>
        <w:t>Korostelev</w:t>
      </w:r>
      <w:proofErr w:type="spellEnd"/>
      <w:r w:rsidRPr="00B601A0">
        <w:rPr>
          <w:rFonts w:cs="Times New Roman"/>
          <w:i/>
          <w:iCs/>
        </w:rPr>
        <w:t xml:space="preserve"> c. Russie</w:t>
      </w:r>
      <w:r w:rsidRPr="00B601A0">
        <w:rPr>
          <w:rFonts w:cs="Times New Roman"/>
        </w:rPr>
        <w:t xml:space="preserve">, 12 mai 2020, </w:t>
      </w:r>
      <w:proofErr w:type="spellStart"/>
      <w:r w:rsidRPr="00B601A0">
        <w:rPr>
          <w:rFonts w:cs="Times New Roman"/>
        </w:rPr>
        <w:t>req</w:t>
      </w:r>
      <w:proofErr w:type="spellEnd"/>
      <w:r w:rsidRPr="00B601A0">
        <w:rPr>
          <w:rFonts w:cs="Times New Roman"/>
        </w:rPr>
        <w:t>. n° 29290/10, para. 62).</w:t>
      </w:r>
    </w:p>
  </w:footnote>
  <w:footnote w:id="206">
    <w:p w14:paraId="44803029" w14:textId="1EF97235" w:rsidR="000D6C77" w:rsidRPr="00E74ED6" w:rsidRDefault="000D6C77" w:rsidP="00BC4464">
      <w:pPr>
        <w:pStyle w:val="Notedebasdepage"/>
      </w:pPr>
      <w:r w:rsidRPr="00B601A0">
        <w:rPr>
          <w:rStyle w:val="Appelnotedebasdep"/>
        </w:rPr>
        <w:footnoteRef/>
      </w:r>
      <w:r w:rsidRPr="00B601A0">
        <w:t xml:space="preserve"> CJUE, </w:t>
      </w:r>
      <w:r w:rsidRPr="00B601A0">
        <w:rPr>
          <w:i/>
        </w:rPr>
        <w:t>WABE-Müller</w:t>
      </w:r>
      <w:r w:rsidRPr="00B601A0">
        <w:t>, para. 75-76.</w:t>
      </w:r>
    </w:p>
  </w:footnote>
  <w:footnote w:id="207">
    <w:p w14:paraId="7FDE8832" w14:textId="791851E4" w:rsidR="000D6C77" w:rsidRPr="00BC4464" w:rsidRDefault="000D6C77" w:rsidP="00BC4464">
      <w:pPr>
        <w:pStyle w:val="Notedebasdepage"/>
        <w:rPr>
          <w:rFonts w:cs="Times New Roman"/>
          <w:highlight w:val="yellow"/>
          <w:lang w:val="en-US"/>
        </w:rPr>
      </w:pPr>
      <w:r w:rsidRPr="00022216">
        <w:rPr>
          <w:rStyle w:val="Appelnotedebasdep"/>
          <w:rFonts w:cs="Times New Roman"/>
        </w:rPr>
        <w:footnoteRef/>
      </w:r>
      <w:r w:rsidRPr="00022216">
        <w:rPr>
          <w:rFonts w:cs="Times New Roman"/>
        </w:rPr>
        <w:t xml:space="preserve"> </w:t>
      </w:r>
      <w:proofErr w:type="spellStart"/>
      <w:r>
        <w:rPr>
          <w:rFonts w:cs="Times New Roman"/>
        </w:rPr>
        <w:t>Voy</w:t>
      </w:r>
      <w:proofErr w:type="spellEnd"/>
      <w:r>
        <w:rPr>
          <w:rFonts w:cs="Times New Roman"/>
        </w:rPr>
        <w:t>. à ce sujet deux décisions rendues en la matière par le</w:t>
      </w:r>
      <w:r w:rsidRPr="00AF08A5">
        <w:rPr>
          <w:rFonts w:cs="Times New Roman"/>
          <w:i/>
          <w:iCs/>
        </w:rPr>
        <w:t xml:space="preserve"> </w:t>
      </w:r>
      <w:proofErr w:type="spellStart"/>
      <w:r w:rsidRPr="00AF08A5">
        <w:rPr>
          <w:rFonts w:cs="Times New Roman"/>
          <w:i/>
          <w:iCs/>
        </w:rPr>
        <w:t>College</w:t>
      </w:r>
      <w:proofErr w:type="spellEnd"/>
      <w:r w:rsidRPr="00AF08A5">
        <w:rPr>
          <w:rFonts w:cs="Times New Roman"/>
          <w:i/>
          <w:iCs/>
        </w:rPr>
        <w:t xml:space="preserve"> </w:t>
      </w:r>
      <w:proofErr w:type="spellStart"/>
      <w:r w:rsidRPr="00AF08A5">
        <w:rPr>
          <w:rFonts w:cs="Times New Roman"/>
          <w:i/>
          <w:iCs/>
        </w:rPr>
        <w:t>voor</w:t>
      </w:r>
      <w:proofErr w:type="spellEnd"/>
      <w:r w:rsidRPr="00AF08A5">
        <w:rPr>
          <w:rFonts w:cs="Times New Roman"/>
          <w:i/>
          <w:iCs/>
        </w:rPr>
        <w:t xml:space="preserve"> de </w:t>
      </w:r>
      <w:proofErr w:type="spellStart"/>
      <w:r w:rsidRPr="00AF08A5">
        <w:rPr>
          <w:rFonts w:cs="Times New Roman"/>
          <w:i/>
          <w:iCs/>
        </w:rPr>
        <w:t>Rechten</w:t>
      </w:r>
      <w:proofErr w:type="spellEnd"/>
      <w:r w:rsidRPr="00AF08A5">
        <w:rPr>
          <w:rFonts w:cs="Times New Roman"/>
          <w:i/>
          <w:iCs/>
        </w:rPr>
        <w:t xml:space="preserve"> van de </w:t>
      </w:r>
      <w:r w:rsidRPr="00E96487">
        <w:rPr>
          <w:rFonts w:cs="Times New Roman"/>
          <w:i/>
          <w:iCs/>
        </w:rPr>
        <w:t>Mens</w:t>
      </w:r>
      <w:r>
        <w:rPr>
          <w:rFonts w:cs="Times New Roman"/>
        </w:rPr>
        <w:t xml:space="preserve"> </w:t>
      </w:r>
      <w:r w:rsidRPr="00E96487">
        <w:rPr>
          <w:rFonts w:cs="Times New Roman"/>
        </w:rPr>
        <w:t>aux</w:t>
      </w:r>
      <w:r>
        <w:rPr>
          <w:rFonts w:cs="Times New Roman"/>
        </w:rPr>
        <w:t xml:space="preserve"> </w:t>
      </w:r>
      <w:r w:rsidRPr="00E96487">
        <w:rPr>
          <w:rFonts w:cs="Times New Roman"/>
        </w:rPr>
        <w:t>Pays</w:t>
      </w:r>
      <w:r>
        <w:rPr>
          <w:rFonts w:cs="Times New Roman"/>
        </w:rPr>
        <w:t>-Bas</w:t>
      </w:r>
      <w:r>
        <w:rPr>
          <w:rFonts w:cs="Times New Roman"/>
          <w:i/>
          <w:iCs/>
        </w:rPr>
        <w:fldChar w:fldCharType="begin"/>
      </w:r>
      <w:r>
        <w:rPr>
          <w:rFonts w:cs="Times New Roman"/>
          <w:i/>
          <w:iCs/>
        </w:rPr>
        <w:instrText xml:space="preserve"> XE "</w:instrText>
      </w:r>
      <w:r w:rsidRPr="005F6D4C">
        <w:rPr>
          <w:rFonts w:ascii="Cambria" w:eastAsia="Times New Roman" w:hAnsi="Cambria" w:cs="Calibri"/>
          <w:i/>
          <w:iCs/>
          <w:color w:val="000000"/>
          <w:lang w:eastAsia="fr-BE"/>
        </w:rPr>
        <w:instrText>College voor de Rechten van de Mens"</w:instrText>
      </w:r>
      <w:r>
        <w:rPr>
          <w:rFonts w:cs="Times New Roman"/>
          <w:i/>
          <w:iCs/>
        </w:rPr>
        <w:instrText xml:space="preserve"> </w:instrText>
      </w:r>
      <w:r>
        <w:rPr>
          <w:rFonts w:cs="Times New Roman"/>
          <w:i/>
          <w:iCs/>
        </w:rPr>
        <w:fldChar w:fldCharType="end"/>
      </w:r>
      <w:r>
        <w:rPr>
          <w:rFonts w:cs="Times New Roman"/>
          <w:i/>
          <w:iCs/>
        </w:rPr>
        <w:t xml:space="preserve">. </w:t>
      </w:r>
      <w:r>
        <w:rPr>
          <w:rFonts w:cs="Times New Roman"/>
        </w:rPr>
        <w:t>La première décision (</w:t>
      </w:r>
      <w:r w:rsidRPr="00AF08A5">
        <w:rPr>
          <w:rFonts w:cs="Times New Roman"/>
        </w:rPr>
        <w:t>n° 2006-51</w:t>
      </w:r>
      <w:r>
        <w:rPr>
          <w:rFonts w:cs="Times New Roman"/>
        </w:rPr>
        <w:t xml:space="preserve">, </w:t>
      </w:r>
      <w:r w:rsidRPr="00AF08A5">
        <w:rPr>
          <w:rFonts w:cs="Times New Roman"/>
        </w:rPr>
        <w:t xml:space="preserve">27 mars 2006) </w:t>
      </w:r>
      <w:r>
        <w:rPr>
          <w:rFonts w:cs="Times New Roman"/>
        </w:rPr>
        <w:t xml:space="preserve">porte sur le renvoi d’une étudiante en formation fondé sur le refus de cette dernière de serrer la main des personnes du sexe opposé : ce renvoi est jugé indirectement discriminatoire par le </w:t>
      </w:r>
      <w:r w:rsidRPr="00177EA8">
        <w:rPr>
          <w:rFonts w:cs="Times New Roman"/>
          <w:i/>
          <w:iCs/>
        </w:rPr>
        <w:t>CRM</w:t>
      </w:r>
      <w:r>
        <w:rPr>
          <w:rFonts w:cs="Times New Roman"/>
        </w:rPr>
        <w:t xml:space="preserve">, dans la mesure où la poignée de main ne constitue pas un aspect central de la formation </w:t>
      </w:r>
      <w:r>
        <w:rPr>
          <w:rFonts w:cs="Times New Roman"/>
        </w:rPr>
        <w:fldChar w:fldCharType="begin"/>
      </w:r>
      <w:r>
        <w:rPr>
          <w:rFonts w:cs="Times New Roman"/>
        </w:rPr>
        <w:instrText xml:space="preserve"> ADDIN ZOTERO_ITEM CSL_CITATION {"citationID":"ANprnO0l","properties":{"formattedCitation":"(sur cette d\\uc0\\u233{}cision, voy. {\\scaps Equinet}, {\\i{}A Question of Faith: Religion and Belief in Europe:}, {\\i{}op. cit.}, pp. 67\\uc0\\u8209{}69).","plainCitation":"(sur cette décision, voy. Equinet, A Question of Faith: Religion and Belief in Europe:, op. cit., pp. 67‑69).","noteIndex":259},"citationItems":[{"id":2666,"uris":["http://zotero.org/users/5133869/items/H3NA3YDL"],"itemData":{"id":2666,"type":"report","collection-title":"Equality law in practice","language":"eng","note":"OCLC: 839889082","source":"Gemeinsamer Bibliotheksverbund ISBN","title":"A Question of Faith: Religion and Belief in Europe:","author":[{"literal":"Equinet"}],"accessed":{"date-parts":[["2022",8,31]]},"issued":{"date-parts":[["2011"]]}},"locator":"67-69","prefix":"(sur cette décision, voy.","suffix":")"}],"schema":"https://github.com/citation-style-language/schema/raw/master/csl-citation.json"} </w:instrText>
      </w:r>
      <w:r>
        <w:rPr>
          <w:rFonts w:cs="Times New Roman"/>
        </w:rPr>
        <w:fldChar w:fldCharType="separate"/>
      </w:r>
      <w:r w:rsidRPr="00177EA8">
        <w:rPr>
          <w:rFonts w:cs="Times New Roman"/>
          <w:szCs w:val="24"/>
        </w:rPr>
        <w:t xml:space="preserve">(sur cette décision, </w:t>
      </w:r>
      <w:proofErr w:type="spellStart"/>
      <w:r w:rsidRPr="00177EA8">
        <w:rPr>
          <w:rFonts w:cs="Times New Roman"/>
          <w:szCs w:val="24"/>
        </w:rPr>
        <w:t>voy</w:t>
      </w:r>
      <w:proofErr w:type="spellEnd"/>
      <w:r w:rsidRPr="00177EA8">
        <w:rPr>
          <w:rFonts w:cs="Times New Roman"/>
          <w:szCs w:val="24"/>
        </w:rPr>
        <w:t xml:space="preserve">. </w:t>
      </w:r>
      <w:proofErr w:type="spellStart"/>
      <w:r w:rsidRPr="00BC4464">
        <w:rPr>
          <w:rFonts w:cs="Times New Roman"/>
          <w:smallCaps/>
          <w:szCs w:val="24"/>
          <w:lang w:val="en-US"/>
        </w:rPr>
        <w:t>Equinet</w:t>
      </w:r>
      <w:proofErr w:type="spellEnd"/>
      <w:r w:rsidRPr="00BC4464">
        <w:rPr>
          <w:rFonts w:cs="Times New Roman"/>
          <w:szCs w:val="24"/>
          <w:lang w:val="en-US"/>
        </w:rPr>
        <w:t xml:space="preserve">, </w:t>
      </w:r>
      <w:r w:rsidRPr="00BC4464">
        <w:rPr>
          <w:rFonts w:cs="Times New Roman"/>
          <w:i/>
          <w:iCs/>
          <w:szCs w:val="24"/>
          <w:lang w:val="en-US"/>
        </w:rPr>
        <w:t>A Question of Faith: Religion and Belief in Europe:</w:t>
      </w:r>
      <w:r w:rsidRPr="00BC4464">
        <w:rPr>
          <w:rFonts w:cs="Times New Roman"/>
          <w:szCs w:val="24"/>
          <w:lang w:val="en-US"/>
        </w:rPr>
        <w:t xml:space="preserve">, </w:t>
      </w:r>
      <w:r w:rsidRPr="00BC4464">
        <w:rPr>
          <w:rFonts w:cs="Times New Roman"/>
          <w:i/>
          <w:iCs/>
          <w:szCs w:val="24"/>
          <w:lang w:val="en-US"/>
        </w:rPr>
        <w:t>op. cit.</w:t>
      </w:r>
      <w:r w:rsidRPr="00BC4464">
        <w:rPr>
          <w:rFonts w:cs="Times New Roman"/>
          <w:szCs w:val="24"/>
          <w:lang w:val="en-US"/>
        </w:rPr>
        <w:t>, pp. 67‑69).</w:t>
      </w:r>
      <w:r>
        <w:rPr>
          <w:rFonts w:cs="Times New Roman"/>
        </w:rPr>
        <w:fldChar w:fldCharType="end"/>
      </w:r>
      <w:r w:rsidRPr="00BC4464">
        <w:rPr>
          <w:rFonts w:cs="Times New Roman"/>
          <w:lang w:val="en-US"/>
        </w:rPr>
        <w:t xml:space="preserve"> </w:t>
      </w:r>
      <w:r>
        <w:rPr>
          <w:rFonts w:cs="Times New Roman"/>
        </w:rPr>
        <w:t>Dans la seconde décision (</w:t>
      </w:r>
      <w:r w:rsidRPr="00AF08A5">
        <w:rPr>
          <w:rFonts w:cs="Times New Roman"/>
        </w:rPr>
        <w:t>n° 2016-142</w:t>
      </w:r>
      <w:r>
        <w:rPr>
          <w:rFonts w:cs="Times New Roman"/>
        </w:rPr>
        <w:t xml:space="preserve">, </w:t>
      </w:r>
      <w:r w:rsidRPr="00AF08A5">
        <w:rPr>
          <w:rFonts w:cs="Times New Roman"/>
        </w:rPr>
        <w:t>22 décembre 2016)</w:t>
      </w:r>
      <w:r>
        <w:rPr>
          <w:rFonts w:cs="Times New Roman"/>
        </w:rPr>
        <w:t xml:space="preserve">, le </w:t>
      </w:r>
      <w:r>
        <w:rPr>
          <w:rFonts w:cs="Times New Roman"/>
          <w:i/>
          <w:iCs/>
        </w:rPr>
        <w:t>CRM</w:t>
      </w:r>
      <w:r>
        <w:rPr>
          <w:rFonts w:cs="Times New Roman"/>
        </w:rPr>
        <w:t xml:space="preserve"> conclut pour les mêmes raisons au caractère indirectement discriminatoire d’un refus d’embauche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Recrutement"</w:instrText>
      </w:r>
      <w:r>
        <w:rPr>
          <w:rFonts w:cs="Times New Roman"/>
        </w:rPr>
        <w:instrText xml:space="preserve"> </w:instrText>
      </w:r>
      <w:r>
        <w:rPr>
          <w:rFonts w:cs="Times New Roman"/>
        </w:rPr>
        <w:fldChar w:fldCharType="end"/>
      </w:r>
      <w:r>
        <w:rPr>
          <w:rFonts w:cs="Times New Roman"/>
        </w:rPr>
        <w:t xml:space="preserve"> d’un candidat à un poste de chauffeur de bus motivé par son refus de serrer la main des femmes </w:t>
      </w:r>
      <w:r>
        <w:rPr>
          <w:rFonts w:cs="Times New Roman"/>
        </w:rPr>
        <w:fldChar w:fldCharType="begin"/>
      </w:r>
      <w:r>
        <w:rPr>
          <w:rFonts w:cs="Times New Roman"/>
        </w:rPr>
        <w:instrText xml:space="preserve"> ADDIN ZOTERO_ITEM CSL_CITATION {"citationID":"qzskux0U","properties":{"formattedCitation":"(voy. {\\scaps Equinet}, {\\i{}Faith in Equality: Religion and Belief in Europe}, {\\i{}op. cit.}, pp. 44\\uc0\\u8209{}45).","plainCitation":"(voy. Equinet, Faith in Equality: Religion and Belief in Europe, op. cit., pp. 44‑45).","noteIndex":259},"citationItems":[{"id":2667,"uris":["http://zotero.org/users/5133869/items/QZJIVSYG"],"itemData":{"id":2667,"type":"report","collection-title":"Equality Law in Practice","note":"OCLC: 839889082","source":"Gemeinsamer Bibliotheksverbund ISBN","title":"Faith in Equality: Religion and Belief in Europe","author":[{"literal":"Equinet"}],"accessed":{"date-parts":[["2022",8,31]]},"issued":{"date-parts":[["2017"]]}},"locator":"44-45","prefix":"(voy.","suffix":")"}],"schema":"https://github.com/citation-style-language/schema/raw/master/csl-citation.json"} </w:instrText>
      </w:r>
      <w:r>
        <w:rPr>
          <w:rFonts w:cs="Times New Roman"/>
        </w:rPr>
        <w:fldChar w:fldCharType="separate"/>
      </w:r>
      <w:r w:rsidRPr="00177EA8">
        <w:rPr>
          <w:rFonts w:cs="Times New Roman"/>
          <w:szCs w:val="24"/>
        </w:rPr>
        <w:t>(</w:t>
      </w:r>
      <w:proofErr w:type="spellStart"/>
      <w:r w:rsidRPr="00177EA8">
        <w:rPr>
          <w:rFonts w:cs="Times New Roman"/>
          <w:szCs w:val="24"/>
        </w:rPr>
        <w:t>voy</w:t>
      </w:r>
      <w:proofErr w:type="spellEnd"/>
      <w:r w:rsidRPr="00177EA8">
        <w:rPr>
          <w:rFonts w:cs="Times New Roman"/>
          <w:szCs w:val="24"/>
        </w:rPr>
        <w:t xml:space="preserve">. </w:t>
      </w:r>
      <w:proofErr w:type="spellStart"/>
      <w:r w:rsidRPr="00BC4464">
        <w:rPr>
          <w:rFonts w:cs="Times New Roman"/>
          <w:smallCaps/>
          <w:szCs w:val="24"/>
          <w:lang w:val="en-US"/>
        </w:rPr>
        <w:t>Equinet</w:t>
      </w:r>
      <w:proofErr w:type="spellEnd"/>
      <w:r w:rsidRPr="00BC4464">
        <w:rPr>
          <w:rFonts w:cs="Times New Roman"/>
          <w:szCs w:val="24"/>
          <w:lang w:val="en-US"/>
        </w:rPr>
        <w:t xml:space="preserve">, </w:t>
      </w:r>
      <w:r w:rsidRPr="00BC4464">
        <w:rPr>
          <w:rFonts w:cs="Times New Roman"/>
          <w:i/>
          <w:iCs/>
          <w:szCs w:val="24"/>
          <w:lang w:val="en-US"/>
        </w:rPr>
        <w:t>Faith in Equality: Religion and Belief in Europe</w:t>
      </w:r>
      <w:r w:rsidRPr="00BC4464">
        <w:rPr>
          <w:rFonts w:cs="Times New Roman"/>
          <w:szCs w:val="24"/>
          <w:lang w:val="en-US"/>
        </w:rPr>
        <w:t xml:space="preserve">, </w:t>
      </w:r>
      <w:r w:rsidRPr="00BC4464">
        <w:rPr>
          <w:rFonts w:cs="Times New Roman"/>
          <w:i/>
          <w:iCs/>
          <w:szCs w:val="24"/>
          <w:lang w:val="en-US"/>
        </w:rPr>
        <w:t>op. cit.</w:t>
      </w:r>
      <w:r w:rsidRPr="00BC4464">
        <w:rPr>
          <w:rFonts w:cs="Times New Roman"/>
          <w:szCs w:val="24"/>
          <w:lang w:val="en-US"/>
        </w:rPr>
        <w:t>, pp. 44‑45).</w:t>
      </w:r>
      <w:r>
        <w:rPr>
          <w:rFonts w:cs="Times New Roman"/>
        </w:rPr>
        <w:fldChar w:fldCharType="end"/>
      </w:r>
    </w:p>
  </w:footnote>
  <w:footnote w:id="208">
    <w:p w14:paraId="171BEE89" w14:textId="77777777" w:rsidR="000D6C77" w:rsidRPr="00022216"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Cass. </w:t>
      </w:r>
      <w:proofErr w:type="spellStart"/>
      <w:r w:rsidRPr="00022216">
        <w:rPr>
          <w:rFonts w:cs="Times New Roman"/>
        </w:rPr>
        <w:t>fr.</w:t>
      </w:r>
      <w:proofErr w:type="spellEnd"/>
      <w:r w:rsidRPr="00022216">
        <w:rPr>
          <w:rFonts w:cs="Times New Roman"/>
        </w:rPr>
        <w:t xml:space="preserve"> (ch. soc.), 29 mai 1986, n° 83-45409, au sujet du refus d’un salarié de se soumettre à une visite médicale réglementaire, en raison du fait que les conditions dans lesquelles celle-ci se déroulait « heurtaient ses convictions religieuses de musulman intégriste ».</w:t>
      </w:r>
    </w:p>
  </w:footnote>
  <w:footnote w:id="209">
    <w:p w14:paraId="259AC7BA" w14:textId="6F8B9091" w:rsidR="000D6C77" w:rsidRPr="00022216"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{"citationID":"aSX7Bs63","properties":{"formattedCitation":"D. {\\scaps Bouzar} et L. {\\scaps Bouzar}, {\\i{}Allah a-t-il sa place dans l\\uc0\\u8217{}entreprise\\uc0\\u8239{}?}, {\\i{}op. cit.}, p. 115.","plainCitation":"D. Bouzar et L. Bouzar, Allah a-t-il sa place dans l’entreprise ?, op. cit., p. 115.","noteIndex":261},"citationItems":[{"id":1696,"uris":["http://zotero.org/users/5133869/items/KZEGFGWF"],"itemData":{"id":1696,"type":"book","call-number":"HF5387 .B677 2009","event-place":"Paris","ISBN":"978-2-226-19324-7","number-of-pages":"215","publisher":"Albin Michel","publisher-place":"Paris","source":"Library of Congress ISBN","title":"Allah a-t-il sa place dans l'entreprise ?","author":[{"family":"Bouzar","given":"Dounia"},{"family":"Bouzar","given":"Lylia"}],"issued":{"date-parts":[["2009"]]}},"locator":"115"}],"schema":"https://github.com/citation-style-language/schema/raw/master/csl-citation.json"} </w:instrText>
      </w:r>
      <w:r w:rsidRPr="00022216">
        <w:rPr>
          <w:rFonts w:cs="Times New Roman"/>
        </w:rPr>
        <w:fldChar w:fldCharType="separate"/>
      </w:r>
      <w:r w:rsidRPr="00022216">
        <w:rPr>
          <w:rFonts w:cs="Times New Roman"/>
        </w:rPr>
        <w:t xml:space="preserve">D. </w:t>
      </w:r>
      <w:proofErr w:type="spellStart"/>
      <w:r w:rsidRPr="00022216">
        <w:rPr>
          <w:rFonts w:cs="Times New Roman"/>
          <w:smallCaps/>
        </w:rPr>
        <w:t>Bouzar</w:t>
      </w:r>
      <w:proofErr w:type="spellEnd"/>
      <w:r w:rsidRPr="00022216">
        <w:rPr>
          <w:rFonts w:cs="Times New Roman"/>
        </w:rPr>
        <w:t xml:space="preserve"> et L. </w:t>
      </w:r>
      <w:proofErr w:type="spellStart"/>
      <w:r w:rsidRPr="00022216">
        <w:rPr>
          <w:rFonts w:cs="Times New Roman"/>
          <w:smallCaps/>
        </w:rPr>
        <w:t>Bouzar</w:t>
      </w:r>
      <w:proofErr w:type="spellEnd"/>
      <w:r w:rsidRPr="00022216">
        <w:rPr>
          <w:rFonts w:cs="Times New Roman"/>
        </w:rPr>
        <w:t xml:space="preserve">, </w:t>
      </w:r>
      <w:r w:rsidRPr="00022216">
        <w:rPr>
          <w:rFonts w:cs="Times New Roman"/>
          <w:i/>
          <w:iCs/>
        </w:rPr>
        <w:t>Allah a-t-il sa place dans l’entreprise ?</w:t>
      </w:r>
      <w:r w:rsidRPr="00022216">
        <w:rPr>
          <w:rFonts w:cs="Times New Roman"/>
        </w:rPr>
        <w:t xml:space="preserve">,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115.</w:t>
      </w:r>
      <w:r w:rsidRPr="00022216">
        <w:rPr>
          <w:rFonts w:cs="Times New Roman"/>
        </w:rPr>
        <w:fldChar w:fldCharType="end"/>
      </w:r>
    </w:p>
  </w:footnote>
  <w:footnote w:id="210">
    <w:p w14:paraId="3DECE8C3" w14:textId="1D34D870" w:rsidR="000D6C77" w:rsidRPr="00022216"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{"citationID":"5Nuu66U8","properties":{"formattedCitation":"F. {\\scaps K\\uc0\\u233{}fer}, \\uc0\\u171{}\\uc0\\u160{}L\\uc0\\u8217{}expression des convictions religieuses dans les relations de travail\\uc0\\u160{}\\uc0\\u187{}, {\\i{}op. cit.}, pp. 540\\uc0\\u8209{}541\\uc0\\u160{}; D. {\\scaps Bouzar} et N. {\\scaps Denies} (\\uc0\\u233{}ds.), {\\i{}Diversit\\uc0\\u233{} convictionnelle}, {\\i{}op. cit.}, pp. 88\\uc0\\u8209{}91.","plainCitation":"F. Kéfer, « L’expression des convictions religieuses dans les relations de travail », op. cit., pp. 540‑541 ; D. Bouzar et N. Denies (éds.), Diversité convictionnelle, op. cit., pp. 88‑91.","noteIndex":263},"citationItems":[{"id":1427,"uris":["http://zotero.org/users/5133869/items/C7TEAJD8"],"itemData":{"id":1427,"type":"article-journal","container-title":"Revue de Droit Social","issue":"3","page":"528-583","title":"L’expression des convictions religieuses dans les relations de travail","author":[{"family":"Kéfer","given":"Fabienne"}],"issued":{"date-parts":[["2017"]]}},"locator":"540-541"},{"id":1022,"uris":["http://zotero.org/users/5133869/items/Y5J49BZP"],"itemData":{"id":1022,"type":"book","call-number":"DH491 .B68 2014","event-place":"Louvain-La-Neuve","ISBN":"978-2-8061-0189-1","number-of-pages":"257","publisher":"Academia","publisher-place":"Louvain-La-Neuve","source":"Library of Congress ISBN","title":"Diversité convictionnelle : Comment l'appréhender ? Comment la gérer ?","title-short":"Diversité convictionnelle","editor":[{"family":"Bouzar","given":"Dounia"},{"family":"Denies","given":"Nathalie"}],"issued":{"date-parts":[["2014"]]}},"locator":"88-91"}],"schema":"https://github.com/citation-style-language/schema/raw/master/csl-citation.json"} </w:instrText>
      </w:r>
      <w:r w:rsidRPr="00022216">
        <w:rPr>
          <w:rFonts w:cs="Times New Roman"/>
        </w:rPr>
        <w:fldChar w:fldCharType="separate"/>
      </w:r>
      <w:r w:rsidRPr="00175B15">
        <w:rPr>
          <w:rFonts w:cs="Times New Roman"/>
          <w:szCs w:val="24"/>
        </w:rPr>
        <w:t xml:space="preserve">F. </w:t>
      </w:r>
      <w:proofErr w:type="spellStart"/>
      <w:r w:rsidRPr="00175B15">
        <w:rPr>
          <w:rFonts w:cs="Times New Roman"/>
          <w:smallCaps/>
          <w:szCs w:val="24"/>
        </w:rPr>
        <w:t>Kéfer</w:t>
      </w:r>
      <w:proofErr w:type="spellEnd"/>
      <w:r w:rsidRPr="00175B15">
        <w:rPr>
          <w:rFonts w:cs="Times New Roman"/>
          <w:szCs w:val="24"/>
        </w:rPr>
        <w:t xml:space="preserve">, « L’expression des convictions religieuses dans les relations de travail », </w:t>
      </w:r>
      <w:r w:rsidRPr="00175B15">
        <w:rPr>
          <w:rFonts w:cs="Times New Roman"/>
          <w:i/>
          <w:iCs/>
          <w:szCs w:val="24"/>
        </w:rPr>
        <w:t xml:space="preserve">op. </w:t>
      </w:r>
      <w:proofErr w:type="spellStart"/>
      <w:r w:rsidRPr="00175B15">
        <w:rPr>
          <w:rFonts w:cs="Times New Roman"/>
          <w:i/>
          <w:iCs/>
          <w:szCs w:val="24"/>
        </w:rPr>
        <w:t>cit</w:t>
      </w:r>
      <w:proofErr w:type="spellEnd"/>
      <w:r w:rsidRPr="00175B15">
        <w:rPr>
          <w:rFonts w:cs="Times New Roman"/>
          <w:i/>
          <w:iCs/>
          <w:szCs w:val="24"/>
        </w:rPr>
        <w:t>.</w:t>
      </w:r>
      <w:r w:rsidRPr="00175B15">
        <w:rPr>
          <w:rFonts w:cs="Times New Roman"/>
          <w:szCs w:val="24"/>
        </w:rPr>
        <w:t xml:space="preserve">, pp. 540‑541 ; D. </w:t>
      </w:r>
      <w:proofErr w:type="spellStart"/>
      <w:r w:rsidRPr="00175B15">
        <w:rPr>
          <w:rFonts w:cs="Times New Roman"/>
          <w:smallCaps/>
          <w:szCs w:val="24"/>
        </w:rPr>
        <w:t>Bouzar</w:t>
      </w:r>
      <w:proofErr w:type="spellEnd"/>
      <w:r w:rsidRPr="00175B15">
        <w:rPr>
          <w:rFonts w:cs="Times New Roman"/>
          <w:szCs w:val="24"/>
        </w:rPr>
        <w:t xml:space="preserve"> et N. </w:t>
      </w:r>
      <w:r w:rsidRPr="00175B15">
        <w:rPr>
          <w:rFonts w:cs="Times New Roman"/>
          <w:smallCaps/>
          <w:szCs w:val="24"/>
        </w:rPr>
        <w:t>Denies</w:t>
      </w:r>
      <w:r w:rsidRPr="00175B15">
        <w:rPr>
          <w:rFonts w:cs="Times New Roman"/>
          <w:szCs w:val="24"/>
        </w:rPr>
        <w:t xml:space="preserve"> (</w:t>
      </w:r>
      <w:proofErr w:type="spellStart"/>
      <w:r w:rsidRPr="00175B15">
        <w:rPr>
          <w:rFonts w:cs="Times New Roman"/>
          <w:szCs w:val="24"/>
        </w:rPr>
        <w:t>éds</w:t>
      </w:r>
      <w:proofErr w:type="spellEnd"/>
      <w:r w:rsidRPr="00175B15">
        <w:rPr>
          <w:rFonts w:cs="Times New Roman"/>
          <w:szCs w:val="24"/>
        </w:rPr>
        <w:t xml:space="preserve">.), </w:t>
      </w:r>
      <w:r w:rsidRPr="00175B15">
        <w:rPr>
          <w:rFonts w:cs="Times New Roman"/>
          <w:i/>
          <w:iCs/>
          <w:szCs w:val="24"/>
        </w:rPr>
        <w:t>Diversité convictionnelle</w:t>
      </w:r>
      <w:r w:rsidRPr="00175B15">
        <w:rPr>
          <w:rFonts w:cs="Times New Roman"/>
          <w:szCs w:val="24"/>
        </w:rPr>
        <w:t xml:space="preserve">, </w:t>
      </w:r>
      <w:r w:rsidRPr="00175B15">
        <w:rPr>
          <w:rFonts w:cs="Times New Roman"/>
          <w:i/>
          <w:iCs/>
          <w:szCs w:val="24"/>
        </w:rPr>
        <w:t xml:space="preserve">op. </w:t>
      </w:r>
      <w:proofErr w:type="spellStart"/>
      <w:r w:rsidRPr="00175B15">
        <w:rPr>
          <w:rFonts w:cs="Times New Roman"/>
          <w:i/>
          <w:iCs/>
          <w:szCs w:val="24"/>
        </w:rPr>
        <w:t>cit</w:t>
      </w:r>
      <w:proofErr w:type="spellEnd"/>
      <w:r w:rsidRPr="00175B15">
        <w:rPr>
          <w:rFonts w:cs="Times New Roman"/>
          <w:i/>
          <w:iCs/>
          <w:szCs w:val="24"/>
        </w:rPr>
        <w:t>.</w:t>
      </w:r>
      <w:r w:rsidRPr="00175B15">
        <w:rPr>
          <w:rFonts w:cs="Times New Roman"/>
          <w:szCs w:val="24"/>
        </w:rPr>
        <w:t>, pp. 88‑91.</w:t>
      </w:r>
      <w:r w:rsidRPr="00022216">
        <w:rPr>
          <w:rFonts w:cs="Times New Roman"/>
        </w:rPr>
        <w:fldChar w:fldCharType="end"/>
      </w:r>
    </w:p>
  </w:footnote>
  <w:footnote w:id="211">
    <w:p w14:paraId="44AA518A" w14:textId="795168EE" w:rsidR="000D6C77" w:rsidRPr="00022216"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Citons ici le cas du mode de salutation, pouvant aller de la simple formule orale à la poignée de main, voire à la bise ou à l’embrassade, selon des critères souvent moins religieux que culturels. Sur ce point,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{"citationID":"zscGs4Og","properties":{"formattedCitation":"D. {\\scaps Philippe} et P.-Y. {\\scaps Materne}, \\uc0\\u171{}\\uc0\\u160{}Le droit face \\uc0\\u224{} la multiculturalit\\uc0\\u233{} en entreprise\\uc0\\u160{}\\uc0\\u187{}, {\\i{}op. cit.}, pp. 203\\uc0\\u8209{}204.","plainCitation":"D. Philippe et P.-Y. Materne, « Le droit face à la multiculturalité en entreprise », op. cit., pp. 203‑204.","noteIndex":264},"citationItems":[{"id":1254,"uris":["http://zotero.org/users/5133869/items/9AJ28R3P"],"itemData":{"id":1254,"type":"chapter","container-title":"Schuim op de branding: Liber amicorum Michel Flamée","event-place":"Bruges","page":"191-216","publisher":"La Charte","publisher-place":"Bruges","title":"Le droit face à la multiculturalité en entreprise","author":[{"family":"Philippe","given":"Denis"},{"family":"Materne","given":"Pierre-Yves"}],"editor":[{"family":"Flamée","given":"Michel"}],"issued":{"date-parts":[["2017"]]}},"locator":"203-204"}],"schema":"https://github.com/citation-style-language/schema/raw/master/csl-citation.json"} </w:instrText>
      </w:r>
      <w:r w:rsidRPr="00022216">
        <w:rPr>
          <w:rFonts w:cs="Times New Roman"/>
        </w:rPr>
        <w:fldChar w:fldCharType="separate"/>
      </w:r>
      <w:r w:rsidRPr="00022216">
        <w:rPr>
          <w:rFonts w:cs="Times New Roman"/>
        </w:rPr>
        <w:t xml:space="preserve">D. </w:t>
      </w:r>
      <w:r w:rsidRPr="00022216">
        <w:rPr>
          <w:rFonts w:cs="Times New Roman"/>
          <w:smallCaps/>
        </w:rPr>
        <w:t>Philippe</w:t>
      </w:r>
      <w:r w:rsidRPr="00022216">
        <w:rPr>
          <w:rFonts w:cs="Times New Roman"/>
        </w:rPr>
        <w:t xml:space="preserve"> et P.-Y. </w:t>
      </w:r>
      <w:r w:rsidRPr="00022216">
        <w:rPr>
          <w:rFonts w:cs="Times New Roman"/>
          <w:smallCaps/>
        </w:rPr>
        <w:t>Materne</w:t>
      </w:r>
      <w:r w:rsidRPr="00022216">
        <w:rPr>
          <w:rFonts w:cs="Times New Roman"/>
        </w:rPr>
        <w:t xml:space="preserve">, « Le droit face à la multiculturalité en entreprise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203‑204.</w:t>
      </w:r>
      <w:r w:rsidRPr="00022216">
        <w:rPr>
          <w:rFonts w:cs="Times New Roman"/>
        </w:rPr>
        <w:fldChar w:fldCharType="end"/>
      </w:r>
    </w:p>
  </w:footnote>
  <w:footnote w:id="212">
    <w:p w14:paraId="5506E6A9" w14:textId="77777777" w:rsidR="000D6C77" w:rsidRPr="00022216" w:rsidRDefault="000D6C77" w:rsidP="00BC4464">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proofErr w:type="gramStart"/>
      <w:r w:rsidRPr="00022216">
        <w:rPr>
          <w:rFonts w:cs="Times New Roman"/>
        </w:rPr>
        <w:t>notamment</w:t>
      </w:r>
      <w:proofErr w:type="gramEnd"/>
      <w:r w:rsidRPr="00022216">
        <w:rPr>
          <w:rFonts w:cs="Times New Roman"/>
        </w:rPr>
        <w:t xml:space="preserve"> les affaires </w:t>
      </w:r>
      <w:proofErr w:type="spellStart"/>
      <w:r w:rsidRPr="00022216">
        <w:rPr>
          <w:rFonts w:cs="Times New Roman"/>
          <w:i/>
          <w:iCs/>
        </w:rPr>
        <w:t>Ladele</w:t>
      </w:r>
      <w:proofErr w:type="spellEnd"/>
      <w:r w:rsidRPr="00022216">
        <w:rPr>
          <w:rFonts w:cs="Times New Roman"/>
          <w:i/>
          <w:iCs/>
        </w:rPr>
        <w:t xml:space="preserve"> </w:t>
      </w:r>
      <w:r w:rsidRPr="00022216">
        <w:rPr>
          <w:rFonts w:cs="Times New Roman"/>
        </w:rPr>
        <w:t xml:space="preserve">et </w:t>
      </w:r>
      <w:r w:rsidRPr="00022216">
        <w:rPr>
          <w:rFonts w:cs="Times New Roman"/>
          <w:i/>
          <w:iCs/>
        </w:rPr>
        <w:t>McFarlane</w:t>
      </w:r>
      <w:r w:rsidRPr="00022216">
        <w:rPr>
          <w:rFonts w:cs="Times New Roman"/>
        </w:rPr>
        <w:t xml:space="preserve"> jugées par la CourEDH dans le cadre de l’arrêt </w:t>
      </w:r>
      <w:proofErr w:type="spellStart"/>
      <w:r>
        <w:rPr>
          <w:rFonts w:cs="Times New Roman"/>
          <w:i/>
          <w:iCs/>
        </w:rPr>
        <w:t>Eweida</w:t>
      </w:r>
      <w:proofErr w:type="spellEnd"/>
      <w:r>
        <w:rPr>
          <w:rFonts w:cs="Times New Roman"/>
          <w:i/>
          <w:iCs/>
        </w:rPr>
        <w:t xml:space="preserve"> e.a.</w:t>
      </w:r>
      <w:r w:rsidRPr="00022216">
        <w:rPr>
          <w:rFonts w:cs="Times New Roman"/>
        </w:rPr>
        <w:t>.</w:t>
      </w:r>
    </w:p>
  </w:footnote>
  <w:footnote w:id="213">
    <w:p w14:paraId="0F491F3E" w14:textId="4248B88E" w:rsidR="000D6C77" w:rsidRPr="00016D32" w:rsidRDefault="000D6C77" w:rsidP="00344CB2">
      <w:pPr>
        <w:pStyle w:val="Notedebasdepage"/>
        <w:rPr>
          <w:szCs w:val="17"/>
        </w:rPr>
      </w:pPr>
      <w:r w:rsidRPr="00016D32">
        <w:rPr>
          <w:rStyle w:val="Appelnotedebasdep"/>
          <w:szCs w:val="17"/>
        </w:rPr>
        <w:footnoteRef/>
      </w:r>
      <w:r w:rsidRPr="00016D32">
        <w:rPr>
          <w:szCs w:val="17"/>
        </w:rPr>
        <w:t xml:space="preserve"> Sur ce point, </w:t>
      </w:r>
      <w:proofErr w:type="spellStart"/>
      <w:r w:rsidRPr="00016D32">
        <w:rPr>
          <w:szCs w:val="17"/>
        </w:rPr>
        <w:t>voy</w:t>
      </w:r>
      <w:proofErr w:type="spellEnd"/>
      <w:r w:rsidRPr="00016D32">
        <w:rPr>
          <w:szCs w:val="17"/>
        </w:rPr>
        <w:t xml:space="preserve">. </w:t>
      </w:r>
      <w:r w:rsidRPr="00016D32">
        <w:rPr>
          <w:szCs w:val="17"/>
        </w:rPr>
        <w:fldChar w:fldCharType="begin"/>
      </w:r>
      <w:r>
        <w:rPr>
          <w:szCs w:val="17"/>
        </w:rPr>
        <w:instrText xml:space="preserve"> ADDIN ZOTERO_ITEM CSL_CITATION {"citationID":"6QJkcU1z","properties":{"formattedCitation":"L.-L. {\\scaps Christians}, \\uc0\\u171{}\\uc0\\u160{}Radicalit\\uc0\\u233{} religieuse et pente glissante face aux politiques de l\\uc0\\u8217{}implicite et du \\uc0\\u8217{}signe faible\\uc0\\u8217{}\\uc0\\u8239{}: faiblesse de l\\uc0\\u8217{}expertise ou fragilit\\uc0\\u233{} du droit\\uc0\\u160{}\\uc0\\u187{}, in {\\i{}Tol\\uc0\\u233{}rances et radicalismes\\uc0\\u8239{}: que n\\uc0\\u8217{}avons-nous pas compris\\uc0\\u8239{}? Le terrorisme islamiste en Europe}, Mons, Couleur Livres, 2016, pp. 111\\uc0\\u8209{}119\\uc0\\u160{}; Y. {\\scaps Pagnerre}, \\uc0\\u171{}\\uc0\\u160{}La radicalisation religieuse saisie en droit du travail\\uc0\\u160{}\\uc0\\u187{}, {\\i{}in} O. {\\scaps Bui-Xuan} (\\uc0\\u233{}d.), {\\i{}La radicalisation religieuse saisie par le droit}, Colloques &amp; essais, n\\uc0\\u176{} 62, Bayonne, Institut Universitaire Varenne, 2018, pp. 211\\uc0\\u8209{}225\\uc0\\u160{}; L. {\\scaps Honor\\uc0\\u233{}}, \\uc0\\u171{}\\uc0\\u160{}L\\uc0\\u8217{}entreprise et les managers face \\uc0\\u224{} la radicalisation religieuse au travail\\uc0\\u160{}\\uc0\\u187{}, {\\i{}Revue Management &amp; avenir}, 2016, n\\uc0\\u176{} 90, pp. 39\\uc0\\u8209{}59.","plainCitation":"L.-L. Christians, « Radicalité religieuse et pente glissante face aux politiques de l’implicite et du ’signe faible’ : faiblesse de l’expertise ou fragilité du droit », in Tolérances et radicalismes : que n’avons-nous pas compris ? Le terrorisme islamiste en Europe, Mons, Couleur Livres, 2016, pp. 111‑119 ; Y. Pagnerre, « La radicalisation religieuse saisie en droit du travail », in O. Bui-Xuan (éd.), La radicalisation religieuse saisie par le droit, Colloques &amp; essais, n° 62, Bayonne, Institut Universitaire Varenne, 2018, pp. 211‑225 ; L. Honoré, « L’entreprise et les managers face à la radicalisation religieuse au travail », Revue Management &amp; avenir, 2016, n° 90, pp. 39‑59.","noteIndex":265},"citationItems":[{"id":656,"uris":["http://zotero.org/users/5133869/items/AJXLICUK"],"itemData":{"id":656,"type":"chapter","container-title":"Tolérances et radicalismes : que n'avons-nous pas compris ? Le terrorisme islamiste en Europe","event-place":"Mons","page":"111-119","publisher":"Couleur Livres","publisher-place":"Mons","title":"Radicalité religieuse et pente glissante face aux politiques de l'implicite et du 'signe faible' : faiblesse de l'expertise ou fragilité du droit","author":[{"family":"Christians","given":"Louis-Léon"}],"issued":{"date-parts":[["2016"]]}}},{"id":2239,"uris":["http://zotero.org/users/5133869/items/ZC2QPH76"],"itemData":{"id":2239,"type":"chapter","collection-number":"62","collection-title":"Colloques &amp; essais","container-title":"La radicalisation religieuse saisie par le droit","event-place":"Bayonne","ISBN":"978-2-37032-165-7","page":"211-225","publisher":"Institut Universitaire Varenne","publisher-place":"Bayonne","source":"Library of Congress ISBN","title":"La radicalisation religieuse saisie en droit du travail","editor":[{"family":"Bui-Xuan","given":"Olivia"}],"author":[{"family":"Pagnerre","given":"Yannick"}],"issued":{"date-parts":[["2018"]]}}},{"id":2416,"uris":["http://zotero.org/users/5133869/items/K8PRETKF"],"itemData":{"id":2416,"type":"article-journal","container-title":"Revue Management &amp; avenir","issue":"90","page":"39-59","title":"L'entreprise et les managers face à la radicalisation religieuse au travail","author":[{"family":"Honoré","given":"Lionel"}],"issued":{"date-parts":[["2016"]]}}}],"schema":"https://github.com/citation-style-language/schema/raw/master/csl-citation.json"} </w:instrText>
      </w:r>
      <w:r w:rsidRPr="00016D32">
        <w:rPr>
          <w:szCs w:val="17"/>
        </w:rPr>
        <w:fldChar w:fldCharType="separate"/>
      </w:r>
      <w:r w:rsidRPr="00016D32">
        <w:rPr>
          <w:szCs w:val="17"/>
        </w:rPr>
        <w:t xml:space="preserve">L.-L. </w:t>
      </w:r>
      <w:r w:rsidRPr="00016D32">
        <w:rPr>
          <w:smallCaps/>
          <w:szCs w:val="17"/>
        </w:rPr>
        <w:t>Christians</w:t>
      </w:r>
      <w:r w:rsidRPr="00016D32">
        <w:rPr>
          <w:szCs w:val="17"/>
        </w:rPr>
        <w:t xml:space="preserve">, « Radicalité religieuse et pente glissante face aux politiques de l’implicite et du ’signe faible’ : faiblesse de l’expertise ou fragilité du droit », in </w:t>
      </w:r>
      <w:r w:rsidRPr="00016D32">
        <w:rPr>
          <w:i/>
          <w:iCs/>
          <w:szCs w:val="17"/>
        </w:rPr>
        <w:t>Tolérances et radicalismes : que n’avons-nous pas compris ? Le terrorisme islamiste en Europe</w:t>
      </w:r>
      <w:r w:rsidRPr="00016D32">
        <w:rPr>
          <w:szCs w:val="17"/>
        </w:rPr>
        <w:t xml:space="preserve">, Mons, Couleur Livres, 2016, pp. 111‑119 ; Y. </w:t>
      </w:r>
      <w:proofErr w:type="spellStart"/>
      <w:r w:rsidRPr="00016D32">
        <w:rPr>
          <w:smallCaps/>
          <w:szCs w:val="17"/>
        </w:rPr>
        <w:t>Pagnerre</w:t>
      </w:r>
      <w:proofErr w:type="spellEnd"/>
      <w:r w:rsidRPr="00016D32">
        <w:rPr>
          <w:szCs w:val="17"/>
        </w:rPr>
        <w:t xml:space="preserve">, « La radicalisation religieuse saisie en droit du travail », </w:t>
      </w:r>
      <w:r w:rsidRPr="00016D32">
        <w:rPr>
          <w:i/>
          <w:iCs/>
          <w:szCs w:val="17"/>
        </w:rPr>
        <w:t>in</w:t>
      </w:r>
      <w:r w:rsidRPr="00016D32">
        <w:rPr>
          <w:szCs w:val="17"/>
        </w:rPr>
        <w:t xml:space="preserve"> O. </w:t>
      </w:r>
      <w:proofErr w:type="spellStart"/>
      <w:r w:rsidRPr="00016D32">
        <w:rPr>
          <w:smallCaps/>
          <w:szCs w:val="17"/>
        </w:rPr>
        <w:t>Bui</w:t>
      </w:r>
      <w:proofErr w:type="spellEnd"/>
      <w:r w:rsidRPr="00016D32">
        <w:rPr>
          <w:smallCaps/>
          <w:szCs w:val="17"/>
        </w:rPr>
        <w:t>-Xuan</w:t>
      </w:r>
      <w:r w:rsidRPr="00016D32">
        <w:rPr>
          <w:szCs w:val="17"/>
        </w:rPr>
        <w:t xml:space="preserve"> (éd.), </w:t>
      </w:r>
      <w:r w:rsidRPr="00016D32">
        <w:rPr>
          <w:i/>
          <w:iCs/>
          <w:szCs w:val="17"/>
        </w:rPr>
        <w:t>La radicalisation religieuse saisie par le droit</w:t>
      </w:r>
      <w:r w:rsidRPr="00016D32">
        <w:rPr>
          <w:szCs w:val="17"/>
        </w:rPr>
        <w:t xml:space="preserve">, Colloques &amp; essais, n° 62, Bayonne, Institut Universitaire Varenne, 2018, pp. 211‑225 ; L. </w:t>
      </w:r>
      <w:r w:rsidRPr="00016D32">
        <w:rPr>
          <w:smallCaps/>
          <w:szCs w:val="17"/>
        </w:rPr>
        <w:t>Honoré</w:t>
      </w:r>
      <w:r w:rsidRPr="00016D32">
        <w:rPr>
          <w:szCs w:val="17"/>
        </w:rPr>
        <w:t xml:space="preserve">, « L’entreprise et les managers face à la radicalisation religieuse au travail », </w:t>
      </w:r>
      <w:r w:rsidRPr="00016D32">
        <w:rPr>
          <w:i/>
          <w:iCs/>
          <w:szCs w:val="17"/>
        </w:rPr>
        <w:t>Revue Management &amp; avenir</w:t>
      </w:r>
      <w:r w:rsidRPr="00016D32">
        <w:rPr>
          <w:szCs w:val="17"/>
        </w:rPr>
        <w:t>, 2016, n° 90, pp. 39‑59.</w:t>
      </w:r>
      <w:r w:rsidRPr="00016D32">
        <w:rPr>
          <w:szCs w:val="17"/>
        </w:rPr>
        <w:fldChar w:fldCharType="end"/>
      </w:r>
    </w:p>
  </w:footnote>
  <w:footnote w:id="214">
    <w:p w14:paraId="03403B3C" w14:textId="55181DCA" w:rsidR="000D6C77" w:rsidRPr="00016D32" w:rsidRDefault="000D6C77" w:rsidP="00344CB2">
      <w:pPr>
        <w:pStyle w:val="Notedebasdepage"/>
        <w:rPr>
          <w:szCs w:val="17"/>
        </w:rPr>
      </w:pPr>
      <w:r w:rsidRPr="00016D32">
        <w:rPr>
          <w:rStyle w:val="Appelnotedebasdep"/>
          <w:szCs w:val="17"/>
        </w:rPr>
        <w:footnoteRef/>
      </w:r>
      <w:r w:rsidRPr="00016D32">
        <w:rPr>
          <w:szCs w:val="17"/>
        </w:rPr>
        <w:t xml:space="preserve"> </w:t>
      </w:r>
      <w:r>
        <w:rPr>
          <w:szCs w:val="17"/>
        </w:rPr>
        <w:fldChar w:fldCharType="begin"/>
      </w:r>
      <w:r>
        <w:rPr>
          <w:szCs w:val="17"/>
        </w:rPr>
        <w:instrText xml:space="preserve"> ADDIN ZOTERO_ITEM CSL_CITATION {"citationID":"x6j2UIXd","properties":{"formattedCitation":"F. {\\scaps G\\uc0\\u233{}a}, \\uc0\\u171{}\\uc0\\u160{}Communautarisme (religieux) et droit du travail\\uc0\\u160{}\\uc0\\u187{}, {\\i{}Droit social}, 2015, n\\uc0\\u176{} 9, pp. 661\\uc0\\u8209{}663.","plainCitation":"F. Géa, « Communautarisme (religieux) et droit du travail », Droit social, 2015, n° 9, pp. 661‑663.","noteIndex":266},"citationItems":[{"id":665,"uris":["http://zotero.org/users/5133869/items/XPUZAEJJ"],"itemData":{"id":665,"type":"article-journal","container-title":"Droit social","issue":"9","page":"661-663","title":"Communautarisme (religieux) et droit du travail","author":[{"family":"Géa","given":"Frédéric"}],"issued":{"date-parts":[["2015"]]}}}],"schema":"https://github.com/citation-style-language/schema/raw/master/csl-citation.json"} </w:instrText>
      </w:r>
      <w:r>
        <w:rPr>
          <w:szCs w:val="17"/>
        </w:rPr>
        <w:fldChar w:fldCharType="separate"/>
      </w:r>
      <w:r w:rsidRPr="00267E5B">
        <w:rPr>
          <w:szCs w:val="24"/>
        </w:rPr>
        <w:t xml:space="preserve">F. </w:t>
      </w:r>
      <w:proofErr w:type="spellStart"/>
      <w:r w:rsidRPr="00267E5B">
        <w:rPr>
          <w:smallCaps/>
          <w:szCs w:val="24"/>
        </w:rPr>
        <w:t>Géa</w:t>
      </w:r>
      <w:proofErr w:type="spellEnd"/>
      <w:r w:rsidRPr="00267E5B">
        <w:rPr>
          <w:szCs w:val="24"/>
        </w:rPr>
        <w:t xml:space="preserve">, « Communautarisme (religieux) et droit du travail », </w:t>
      </w:r>
      <w:r w:rsidRPr="00267E5B">
        <w:rPr>
          <w:i/>
          <w:iCs/>
          <w:szCs w:val="24"/>
        </w:rPr>
        <w:t>Droit social</w:t>
      </w:r>
      <w:r w:rsidRPr="00267E5B">
        <w:rPr>
          <w:szCs w:val="24"/>
        </w:rPr>
        <w:t>, 2015, n° 9, pp. 661‑663.</w:t>
      </w:r>
      <w:r>
        <w:rPr>
          <w:szCs w:val="17"/>
        </w:rPr>
        <w:fldChar w:fldCharType="end"/>
      </w:r>
      <w:r>
        <w:rPr>
          <w:szCs w:val="17"/>
        </w:rPr>
        <w:t xml:space="preserve"> </w:t>
      </w:r>
      <w:r w:rsidRPr="00016D32">
        <w:rPr>
          <w:szCs w:val="17"/>
        </w:rPr>
        <w:t xml:space="preserve">Le risque existe toutefois que des expressions </w:t>
      </w:r>
      <w:r>
        <w:rPr>
          <w:szCs w:val="17"/>
        </w:rPr>
        <w:t xml:space="preserve">considérées jusqu’alors comme </w:t>
      </w:r>
      <w:r w:rsidRPr="00016D32">
        <w:rPr>
          <w:szCs w:val="17"/>
        </w:rPr>
        <w:t>anodines ne soient plus examinées sous l’angle de la liberté d’expression ou de religion, mais soient automatiquement suspectées d’illustrer une attitude de repli, voire de radicalisme vis-à-vis de l’environnement qui l’entoure.</w:t>
      </w:r>
    </w:p>
  </w:footnote>
  <w:footnote w:id="215">
    <w:p w14:paraId="1F175932" w14:textId="60645F33" w:rsidR="000D6C77" w:rsidRPr="00022216" w:rsidRDefault="000D6C77" w:rsidP="00B55CE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{"citationID":"SdaHrdpb","properties":{"formattedCitation":"B. {\\scaps Bossu}, \\uc0\\u171{}\\uc0\\u160{}Neutralit\\uc0\\u233{}, convictions et religion\\uc0\\u160{}\\uc0\\u187{}, {\\i{}Droit ouvrier}, f\\uc0\\u233{}vrier 2017, n\\uc0\\u176{} 823, pp. 112\\uc0\\u8209{}118\\uc0\\u160{}; G. {\\scaps Galindo} et H. {\\scaps Zannad}, \\uc0\\u171{}\\uc0\\u160{}La qu\\uc0\\u234{}te de r\\uc0\\u233{}ponses face aux revendications religieuses dans les grandes entreprises fran\\uc0\\u231{}aises\\uc0\\u160{}\\uc0\\u187{}, {\\i{}Droit social}, 2015, n\\uc0\\u176{} 9, pp. 687\\uc0\\u8209{}693\\uc0\\u160{}; V. {\\scaps Renaux-Personnic} et J. {\\scaps Colonna} (\\uc0\\u233{}ds.), {\\i{}Le fait religieux dans l\\uc0\\u8217{}entreprise}, Aix-en-Provence, Presses universitaires d\\uc0\\u8217{}Aix-Marseille, 2018, p. 7.","plainCitation":"B. Bossu, « Neutralité, convictions et religion », Droit ouvrier, février 2017, n° 823, pp. 112‑118 ; G. Galindo et H. Zannad, « La quête de réponses face aux revendications religieuses dans les grandes entreprises françaises », Droit social, 2015, n° 9, pp. 687‑693 ; V. Renaux-Personnic et J. Colonna (éds.), Le fait religieux dans l’entreprise, Aix-en-Provence, Presses universitaires d’Aix-Marseille, 2018, p. 7.","noteIndex":267},"citationItems":[{"id":136,"uris":["http://zotero.org/users/5133869/items/EZWITF6N"],"itemData":{"id":136,"type":"article-journal","container-title":"Droit ouvrier","issue":"823","page":"112-118","title":"Neutralité, convictions et religion","author":[{"family":"Bossu","given":"Bernard"}],"issued":{"date-parts":[["2017",2]]}}},{"id":661,"uris":["http://zotero.org/users/5133869/items/LPGD8CUN"],"itemData":{"id":661,"type":"article-journal","container-title":"Droit social","issue":"9","page":"687-693","title":"La quête de réponses face aux revendications religieuses dans les grandes entreprises françaises","author":[{"family":"Galindo","given":"Géraldine"},{"family":"Zannad","given":"Hédia"}],"issued":{"date-parts":[["2015"]]}}},{"id":966,"uris":["http://zotero.org/users/5133869/items/XJGJTLUD"],"itemData":{"id":966,"type":"book","abstract":"Cela fait maintenant plus d'une décennie que le fait religieux a fait irruption dans l'entreprise : demandes d'absences pour fêtes religieuses, port ostentatoire d'un signe religieux, demandes d'aménagement du temps de travail, demandes de temps de prière, refus de travailler avec des personnes de l'autre sexe ... Les travaux réunis dans cet ouvrage se proposent d'apporter des réponses claires aux DRH, praticiens et managers, contraints de gérer quotidiennement ces différents phénomènes sous la menace non virtuelle d'être accusés de discrimination comme le montre la jurisprudence récente, notamment les décisions rendues par la Cour de justice de l'Union européenne le 14 mars 2017. Ils proposent également une réflexion sur la notion de laïcité ainsi qu'une analyse critique de l'état du droit français et européen, avec un éclairage de droit comparé","event-place":"Aix-en-Provence","ISBN":"978-2-7314-1085-3","language":"fre","note":"OCLC: 1023572244","number-of-pages":"114","publisher":"Presses universitaires d'Aix-Marseille","publisher-place":"Aix-en-Provence","source":"Gemeinsamer Bibliotheksverbund ISBN","title":"Le fait religieux dans l'entreprise","editor":[{"family":"Renaux-Personnic","given":"Virginie"},{"family":"Colonna","given":"Joël"}],"issued":{"date-parts":[["2018"]]}},"locator":"7"}],"schema":"https://github.com/citation-style-language/schema/raw/master/csl-citation.json"} </w:instrText>
      </w:r>
      <w:r w:rsidRPr="00022216">
        <w:rPr>
          <w:rFonts w:cs="Times New Roman"/>
        </w:rPr>
        <w:fldChar w:fldCharType="separate"/>
      </w:r>
      <w:r w:rsidRPr="004F0711">
        <w:rPr>
          <w:rFonts w:cs="Times New Roman"/>
          <w:szCs w:val="24"/>
        </w:rPr>
        <w:t xml:space="preserve">B. </w:t>
      </w:r>
      <w:r w:rsidRPr="004F0711">
        <w:rPr>
          <w:rFonts w:cs="Times New Roman"/>
          <w:smallCaps/>
          <w:szCs w:val="24"/>
        </w:rPr>
        <w:t>Bossu</w:t>
      </w:r>
      <w:r w:rsidRPr="004F0711">
        <w:rPr>
          <w:rFonts w:cs="Times New Roman"/>
          <w:szCs w:val="24"/>
        </w:rPr>
        <w:t xml:space="preserve">, « Neutralité, convictions et religion », </w:t>
      </w:r>
      <w:r w:rsidRPr="004F0711">
        <w:rPr>
          <w:rFonts w:cs="Times New Roman"/>
          <w:i/>
          <w:iCs/>
          <w:szCs w:val="24"/>
        </w:rPr>
        <w:t>Droit ouvrier</w:t>
      </w:r>
      <w:r w:rsidRPr="004F0711">
        <w:rPr>
          <w:rFonts w:cs="Times New Roman"/>
          <w:szCs w:val="24"/>
        </w:rPr>
        <w:t xml:space="preserve">, février 2017, n° 823, pp. 112‑118 ; G. </w:t>
      </w:r>
      <w:r w:rsidRPr="004F0711">
        <w:rPr>
          <w:rFonts w:cs="Times New Roman"/>
          <w:smallCaps/>
          <w:szCs w:val="24"/>
        </w:rPr>
        <w:t>Galindo</w:t>
      </w:r>
      <w:r w:rsidRPr="004F0711">
        <w:rPr>
          <w:rFonts w:cs="Times New Roman"/>
          <w:szCs w:val="24"/>
        </w:rPr>
        <w:t xml:space="preserve"> et H. </w:t>
      </w:r>
      <w:proofErr w:type="spellStart"/>
      <w:r w:rsidRPr="004F0711">
        <w:rPr>
          <w:rFonts w:cs="Times New Roman"/>
          <w:smallCaps/>
          <w:szCs w:val="24"/>
        </w:rPr>
        <w:t>Zannad</w:t>
      </w:r>
      <w:proofErr w:type="spellEnd"/>
      <w:r w:rsidRPr="004F0711">
        <w:rPr>
          <w:rFonts w:cs="Times New Roman"/>
          <w:szCs w:val="24"/>
        </w:rPr>
        <w:t xml:space="preserve">, « La quête de réponses face aux revendications religieuses dans les grandes entreprises françaises », </w:t>
      </w:r>
      <w:r w:rsidRPr="004F0711">
        <w:rPr>
          <w:rFonts w:cs="Times New Roman"/>
          <w:i/>
          <w:iCs/>
          <w:szCs w:val="24"/>
        </w:rPr>
        <w:t>Droit social</w:t>
      </w:r>
      <w:r w:rsidRPr="004F0711">
        <w:rPr>
          <w:rFonts w:cs="Times New Roman"/>
          <w:szCs w:val="24"/>
        </w:rPr>
        <w:t xml:space="preserve">, 2015, n° 9, pp. 687‑693 ; V. </w:t>
      </w:r>
      <w:proofErr w:type="spellStart"/>
      <w:r w:rsidRPr="004F0711">
        <w:rPr>
          <w:rFonts w:cs="Times New Roman"/>
          <w:smallCaps/>
          <w:szCs w:val="24"/>
        </w:rPr>
        <w:t>Renaux-Personnic</w:t>
      </w:r>
      <w:proofErr w:type="spellEnd"/>
      <w:r w:rsidRPr="004F0711">
        <w:rPr>
          <w:rFonts w:cs="Times New Roman"/>
          <w:szCs w:val="24"/>
        </w:rPr>
        <w:t xml:space="preserve"> et J. </w:t>
      </w:r>
      <w:r w:rsidRPr="004F0711">
        <w:rPr>
          <w:rFonts w:cs="Times New Roman"/>
          <w:smallCaps/>
          <w:szCs w:val="24"/>
        </w:rPr>
        <w:t>Colonna</w:t>
      </w:r>
      <w:r w:rsidRPr="004F0711">
        <w:rPr>
          <w:rFonts w:cs="Times New Roman"/>
          <w:szCs w:val="24"/>
        </w:rPr>
        <w:t xml:space="preserve"> (</w:t>
      </w:r>
      <w:proofErr w:type="spellStart"/>
      <w:r w:rsidRPr="004F0711">
        <w:rPr>
          <w:rFonts w:cs="Times New Roman"/>
          <w:szCs w:val="24"/>
        </w:rPr>
        <w:t>éds</w:t>
      </w:r>
      <w:proofErr w:type="spellEnd"/>
      <w:r w:rsidRPr="004F0711">
        <w:rPr>
          <w:rFonts w:cs="Times New Roman"/>
          <w:szCs w:val="24"/>
        </w:rPr>
        <w:t xml:space="preserve">.), </w:t>
      </w:r>
      <w:r w:rsidRPr="004F0711">
        <w:rPr>
          <w:rFonts w:cs="Times New Roman"/>
          <w:i/>
          <w:iCs/>
          <w:szCs w:val="24"/>
        </w:rPr>
        <w:t>Le fait religieux dans l’entreprise</w:t>
      </w:r>
      <w:r w:rsidRPr="004F0711">
        <w:rPr>
          <w:rFonts w:cs="Times New Roman"/>
          <w:szCs w:val="24"/>
        </w:rPr>
        <w:t>, Aix-en-Provence, Presses universitaires d’Aix-Marseille, 2018, p. 7.</w:t>
      </w:r>
      <w:r w:rsidRPr="00022216">
        <w:rPr>
          <w:rFonts w:cs="Times New Roman"/>
        </w:rPr>
        <w:fldChar w:fldCharType="end"/>
      </w:r>
    </w:p>
  </w:footnote>
  <w:footnote w:id="216">
    <w:p w14:paraId="314BEAB2" w14:textId="77777777" w:rsidR="000D6C77" w:rsidRPr="00016D32" w:rsidRDefault="000D6C77" w:rsidP="00835BA0">
      <w:pPr>
        <w:pStyle w:val="Notedebasdepage"/>
        <w:rPr>
          <w:szCs w:val="17"/>
        </w:rPr>
      </w:pPr>
      <w:r w:rsidRPr="00016D32">
        <w:rPr>
          <w:rStyle w:val="Appelnotedebasdep"/>
          <w:szCs w:val="17"/>
        </w:rPr>
        <w:footnoteRef/>
      </w:r>
      <w:r w:rsidRPr="00016D32">
        <w:rPr>
          <w:szCs w:val="17"/>
        </w:rPr>
        <w:t xml:space="preserve"> Cass. </w:t>
      </w:r>
      <w:proofErr w:type="spellStart"/>
      <w:r w:rsidRPr="00016D32">
        <w:rPr>
          <w:szCs w:val="17"/>
        </w:rPr>
        <w:t>fr.</w:t>
      </w:r>
      <w:proofErr w:type="spellEnd"/>
      <w:r w:rsidRPr="00016D32">
        <w:rPr>
          <w:szCs w:val="17"/>
        </w:rPr>
        <w:t xml:space="preserve"> (</w:t>
      </w:r>
      <w:proofErr w:type="spellStart"/>
      <w:r w:rsidRPr="00016D32">
        <w:rPr>
          <w:szCs w:val="17"/>
        </w:rPr>
        <w:t>ass</w:t>
      </w:r>
      <w:proofErr w:type="spellEnd"/>
      <w:r w:rsidRPr="00016D32">
        <w:rPr>
          <w:szCs w:val="17"/>
        </w:rPr>
        <w:t xml:space="preserve">. </w:t>
      </w:r>
      <w:proofErr w:type="spellStart"/>
      <w:r w:rsidRPr="00016D32">
        <w:rPr>
          <w:szCs w:val="17"/>
        </w:rPr>
        <w:t>plén</w:t>
      </w:r>
      <w:proofErr w:type="spellEnd"/>
      <w:r w:rsidRPr="00016D32">
        <w:rPr>
          <w:szCs w:val="17"/>
        </w:rPr>
        <w:t xml:space="preserve">.), 25 juin 2014, n° 13-28.369, </w:t>
      </w:r>
      <w:r w:rsidRPr="00016D32">
        <w:rPr>
          <w:i/>
          <w:szCs w:val="17"/>
        </w:rPr>
        <w:t>R.F.D.A.</w:t>
      </w:r>
      <w:r w:rsidRPr="00016D32">
        <w:rPr>
          <w:szCs w:val="17"/>
        </w:rPr>
        <w:t>, 2014, p. 962 : « en tant que mode d’organisation de l’entreprise destiné à ‘transcender le multiculturalisme’ des personnes à qui elle s’adresse, la neutralité n’exprime et n’impose aux salariés l’adhésion à aucun choix politique, philosophique ou idéologique ».</w:t>
      </w:r>
    </w:p>
  </w:footnote>
  <w:footnote w:id="217">
    <w:p w14:paraId="61E3196F" w14:textId="533A1CB7" w:rsidR="000D6C77" w:rsidRPr="00022216" w:rsidRDefault="000D6C77" w:rsidP="00835BA0">
      <w:pPr>
        <w:pStyle w:val="Notedebasdepage"/>
        <w:rPr>
          <w:rFonts w:cs="Times New Roman"/>
        </w:rPr>
      </w:pPr>
      <w:bookmarkStart w:id="36" w:name="_Ref49620331"/>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ainsi : Projet de loi – Nouvelles libertés et nouvelles protections pour les entreprises et les actif-</w:t>
      </w:r>
      <w:proofErr w:type="spellStart"/>
      <w:r w:rsidRPr="00022216">
        <w:rPr>
          <w:rFonts w:cs="Times New Roman"/>
        </w:rPr>
        <w:t>ve</w:t>
      </w:r>
      <w:proofErr w:type="spellEnd"/>
      <w:r w:rsidRPr="00022216">
        <w:rPr>
          <w:rFonts w:cs="Times New Roman"/>
        </w:rPr>
        <w:t xml:space="preserve">-s, discussion générale, </w:t>
      </w:r>
      <w:r w:rsidRPr="00022216">
        <w:rPr>
          <w:rFonts w:cs="Times New Roman"/>
          <w:i/>
        </w:rPr>
        <w:t>J.O.R.F.</w:t>
      </w:r>
      <w:r w:rsidRPr="00022216">
        <w:rPr>
          <w:rFonts w:cs="Times New Roman"/>
        </w:rPr>
        <w:t xml:space="preserve">, </w:t>
      </w:r>
      <w:proofErr w:type="spellStart"/>
      <w:r w:rsidRPr="00022216">
        <w:rPr>
          <w:rFonts w:cs="Times New Roman"/>
        </w:rPr>
        <w:t>Ass</w:t>
      </w:r>
      <w:proofErr w:type="spellEnd"/>
      <w:r w:rsidRPr="00022216">
        <w:rPr>
          <w:rFonts w:cs="Times New Roman"/>
        </w:rPr>
        <w:t xml:space="preserve">. Nat., 2015-2016, 3 mai 2016, n° 43[3], p. 3117 ; </w:t>
      </w:r>
      <w:r w:rsidRPr="00022216">
        <w:rPr>
          <w:rFonts w:cs="Times New Roman"/>
          <w:i/>
        </w:rPr>
        <w:t>J.O.R.F.</w:t>
      </w:r>
      <w:r w:rsidRPr="00022216">
        <w:rPr>
          <w:rFonts w:cs="Times New Roman"/>
        </w:rPr>
        <w:t>, Sénat, 2015-2016, 14 juin 2016, n° 61, pp. 9475-9478.</w:t>
      </w:r>
      <w:bookmarkEnd w:id="36"/>
    </w:p>
  </w:footnote>
  <w:footnote w:id="218">
    <w:p w14:paraId="01454650" w14:textId="00C04F95" w:rsidR="000D6C77" w:rsidRPr="00022216" w:rsidRDefault="000D6C77" w:rsidP="00835BA0">
      <w:pPr>
        <w:pStyle w:val="Notedebasdepage"/>
        <w:rPr>
          <w:rFonts w:cs="Times New Roman"/>
          <w:highlight w:val="yellow"/>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{"citationID":"zN7yhgWH","properties":{"formattedCitation":"V. {\\scaps Valentin}, \\uc0\\u171{}\\uc0\\u160{}La notion d\\uc0\\u8217{}entreprise de conviction \\uc0\\u8220{}la\\uc0\\u239{}que\\uc0\\u8221{}\\uc0\\u160{}\\uc0\\u187{}, {\\i{}op. cit.}, p. 274.","plainCitation":"V. Valentin, « La notion d’entreprise de conviction “laïque” », op. cit., p. 274.","noteIndex":274},"citationItems":[{"id":2164,"uris":["http://zotero.org/users/5133869/items/2L2HSTKE"],"itemData":{"id":2164,"type":"chapter","collection-number":"9","collection-title":"Collection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locator":"274","label":"page"}],"schema":"https://github.com/citation-style-language/schema/raw/master/csl-citation.json"} </w:instrText>
      </w:r>
      <w:r w:rsidRPr="00022216">
        <w:rPr>
          <w:rFonts w:cs="Times New Roman"/>
        </w:rPr>
        <w:fldChar w:fldCharType="separate"/>
      </w:r>
      <w:r w:rsidRPr="002D6A22">
        <w:rPr>
          <w:rFonts w:cs="Times New Roman"/>
          <w:szCs w:val="24"/>
        </w:rPr>
        <w:t xml:space="preserve">V. </w:t>
      </w:r>
      <w:r w:rsidRPr="002D6A22">
        <w:rPr>
          <w:rFonts w:cs="Times New Roman"/>
          <w:smallCaps/>
          <w:szCs w:val="24"/>
        </w:rPr>
        <w:t>Valentin</w:t>
      </w:r>
      <w:r w:rsidRPr="002D6A22">
        <w:rPr>
          <w:rFonts w:cs="Times New Roman"/>
          <w:szCs w:val="24"/>
        </w:rPr>
        <w:t xml:space="preserve">, « La notion d’entreprise de conviction “laïque” », </w:t>
      </w:r>
      <w:r w:rsidRPr="002D6A22">
        <w:rPr>
          <w:rFonts w:cs="Times New Roman"/>
          <w:i/>
          <w:iCs/>
          <w:szCs w:val="24"/>
        </w:rPr>
        <w:t xml:space="preserve">op. </w:t>
      </w:r>
      <w:proofErr w:type="spellStart"/>
      <w:r w:rsidRPr="002D6A22">
        <w:rPr>
          <w:rFonts w:cs="Times New Roman"/>
          <w:i/>
          <w:iCs/>
          <w:szCs w:val="24"/>
        </w:rPr>
        <w:t>cit</w:t>
      </w:r>
      <w:proofErr w:type="spellEnd"/>
      <w:r w:rsidRPr="002D6A22">
        <w:rPr>
          <w:rFonts w:cs="Times New Roman"/>
          <w:i/>
          <w:iCs/>
          <w:szCs w:val="24"/>
        </w:rPr>
        <w:t>.</w:t>
      </w:r>
      <w:r w:rsidRPr="002D6A22">
        <w:rPr>
          <w:rFonts w:cs="Times New Roman"/>
          <w:szCs w:val="24"/>
        </w:rPr>
        <w:t>, p. 274.</w:t>
      </w:r>
      <w:r w:rsidRPr="00022216">
        <w:rPr>
          <w:rFonts w:cs="Times New Roman"/>
        </w:rPr>
        <w:fldChar w:fldCharType="end"/>
      </w:r>
    </w:p>
  </w:footnote>
  <w:footnote w:id="219">
    <w:p w14:paraId="59A71DCA" w14:textId="585FAE6F" w:rsidR="000D6C77" w:rsidRPr="00022216" w:rsidRDefault="000D6C77" w:rsidP="00835BA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{"citationID":"ts19a7Kz","properties":{"formattedCitation":"M. {\\scaps Hunyadi}, \\uc0\\u171{}\\uc0\\u160{}Des entreprises posts\\uc0\\u233{}culi\\uc0\\u232{}res\\uc0\\u8239{}?\\uc0\\u160{}\\uc0\\u187{}, {\\i{}op. cit.}, p. 174.","plainCitation":"M. Hunyadi, « Des entreprises postséculières ? », op. cit., p. 174.","noteIndex":274},"citationItems":[{"id":1237,"uris":["http://zotero.org/users/5133869/items/8Z7VT3WE"],"itemData":{"id":1237,"type":"chapter","container-title":"L'expression religieuse en entreprise","event-place":"Lormont","publisher":"Le Bord de l'eau","publisher-place":"Lormont","title":"Des entreprises postséculières ?","author":[{"family":"Hunyadi","given":"Mark"}],"editor":[{"family":"Marti","given":"Serge"},{"family":"Fortier","given":"Vincente"},{"family":"Maïla","given":"Joseph"},{"family":"Hunyadi","given":"Mark"}],"issued":{"date-parts":[["2016"]]}},"locator":"174"}],"schema":"https://github.com/citation-style-language/schema/raw/master/csl-citation.json"} </w:instrText>
      </w:r>
      <w:r w:rsidRPr="00022216">
        <w:rPr>
          <w:rFonts w:cs="Times New Roman"/>
        </w:rPr>
        <w:fldChar w:fldCharType="separate"/>
      </w:r>
      <w:r w:rsidRPr="00022216">
        <w:rPr>
          <w:rFonts w:cs="Times New Roman"/>
        </w:rPr>
        <w:t xml:space="preserve">M. </w:t>
      </w:r>
      <w:r w:rsidRPr="00022216">
        <w:rPr>
          <w:rFonts w:cs="Times New Roman"/>
          <w:smallCaps/>
        </w:rPr>
        <w:t>Hunyadi</w:t>
      </w:r>
      <w:r w:rsidRPr="00022216">
        <w:rPr>
          <w:rFonts w:cs="Times New Roman"/>
        </w:rPr>
        <w:t xml:space="preserve">, « Des entreprises </w:t>
      </w:r>
      <w:proofErr w:type="spellStart"/>
      <w:r w:rsidRPr="00022216">
        <w:rPr>
          <w:rFonts w:cs="Times New Roman"/>
        </w:rPr>
        <w:t>postséculières</w:t>
      </w:r>
      <w:proofErr w:type="spellEnd"/>
      <w:r w:rsidRPr="00022216">
        <w:rPr>
          <w:rFonts w:cs="Times New Roman"/>
        </w:rPr>
        <w:t xml:space="preserve"> ?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174.</w:t>
      </w:r>
      <w:r w:rsidRPr="00022216">
        <w:rPr>
          <w:rFonts w:cs="Times New Roman"/>
        </w:rPr>
        <w:fldChar w:fldCharType="end"/>
      </w:r>
    </w:p>
  </w:footnote>
  <w:footnote w:id="220">
    <w:p w14:paraId="7B2EA719" w14:textId="77777777" w:rsidR="000D6C77" w:rsidRPr="00022216" w:rsidRDefault="000D6C77" w:rsidP="00835BA0">
      <w:pPr>
        <w:pStyle w:val="Notedebasdepage"/>
        <w:rPr>
          <w:rFonts w:cs="Times New Roman"/>
        </w:rPr>
      </w:pPr>
      <w:r w:rsidRPr="00022216">
        <w:rPr>
          <w:rStyle w:val="Appelnotedebasdep"/>
          <w:rFonts w:cs="Times New Roman"/>
        </w:rPr>
        <w:footnoteRef/>
      </w:r>
      <w:r w:rsidRPr="00022216">
        <w:rPr>
          <w:rFonts w:cs="Times New Roman"/>
        </w:rPr>
        <w:t xml:space="preserve"> Se pose en particulier la question de l’articulation de cet article avec les autres dispositions pertinentes du Code du travail, en particulier les articles L1121-1, L1133-1 et L1321-3. Ceux-ci requièrent en particulier que les restrictions aux droits et libertés des travailleurs soient justifiées « par la nature de la tâche à accomplir ». Le droit européen ne requiert pourtant le respect d’une telle condition que dans le cas de la discrimination directe, en y ajoutant l’hypothèse liée aux « conditions d’exercice » de la tâche en question. Pour le reste, dans le cas de la discrimination indirecte et de la liberté de religion, seules les conditions plus larges de légitimité et de proportionnalité sont mentionnées en droit européen. C’est donc avant tout sur le plan de la cohérence du droit français que cet article soulève certaines interrogations.</w:t>
      </w:r>
    </w:p>
  </w:footnote>
  <w:footnote w:id="221">
    <w:p w14:paraId="4EE380AA" w14:textId="67806EFC" w:rsidR="000D6C77" w:rsidRPr="00E74ED6" w:rsidRDefault="000D6C77" w:rsidP="00DC23BA">
      <w:pPr>
        <w:pStyle w:val="Notedebasdepage"/>
        <w:rPr>
          <w:lang w:val="fr-FR"/>
        </w:rPr>
      </w:pPr>
      <w:r>
        <w:rPr>
          <w:rStyle w:val="Appelnotedebasdep"/>
        </w:rPr>
        <w:footnoteRef/>
      </w:r>
      <w:r w:rsidRPr="00E74ED6">
        <w:t xml:space="preserve"> </w:t>
      </w:r>
      <w:r>
        <w:t xml:space="preserve">CJUE, </w:t>
      </w:r>
      <w:r>
        <w:rPr>
          <w:i/>
          <w:lang w:val="fr-FR"/>
        </w:rPr>
        <w:t>WABE-Müller</w:t>
      </w:r>
      <w:r>
        <w:rPr>
          <w:lang w:val="fr-FR"/>
        </w:rPr>
        <w:t>, para. 76.</w:t>
      </w:r>
    </w:p>
  </w:footnote>
  <w:footnote w:id="222">
    <w:p w14:paraId="4281336D" w14:textId="1E4B03C8" w:rsidR="000D6C77" w:rsidRDefault="000D6C77">
      <w:pPr>
        <w:pStyle w:val="Notedebasdepage"/>
      </w:pPr>
      <w:r>
        <w:rPr>
          <w:rStyle w:val="Appelnotedebasdep"/>
        </w:rPr>
        <w:footnoteRef/>
      </w:r>
      <w:r>
        <w:t xml:space="preserve"> </w:t>
      </w:r>
      <w:r>
        <w:fldChar w:fldCharType="begin"/>
      </w:r>
      <w:r>
        <w:instrText xml:space="preserve"> ADDIN ZOTERO_ITEM CSL_CITATION {"citationID":"m9UewYgx","properties":{"formattedCitation":"A. {\\scaps Djelassi}, R. {\\scaps Mertens} et S. {\\scaps Wattier}, \\uc0\\u171{}\\uc0\\u160{}Principe de neutralit\\uc0\\u233{} dans les entreprises priv\\uc0\\u233{}es\\uc0\\u160{}\\uc0\\u187{}, {\\i{}op. cit.}, p. 385.","plainCitation":"A. Djelassi, R. Mertens et S. Wattier, « Principe de neutralité dans les entreprises privées », op. cit., p. 385.","noteIndex":285},"citationItems":[{"id":3291,"uris":["http://zotero.org/users/5133869/items/CFZ66ZVP"],"itemData":{"id":3291,"type":"article-journal","abstract":"The prohibition of religious symbols in private companies causes a lot of debate. On 15 July 2021, the Court of Justice of the European Union ruled on the interpretation of Directive 2000/78 and the application of the principle of non-discrimination on the basis of religion. This was an opportunity for the Court to clarify, for the ﬁrst time, its Achbita and Bougnaoui case law on the Islamic headscarf.","container-title":"Rev. trim. dr. h.","DOI":"10.3917/rtdh.130.0373","ISSN":"0777-3579","issue":"2","language":"fr","page":"373-395","source":"DOI.org (Crossref)","title":"Principe de neutralité dans les entreprises privées : la Cour de justice étoffe sa jurisprudence relative à l’interdiction des signes religieux: (obs. sous C.J.U.E., Gde Ch., arrêt IX c. WABE eV et MH Müller Handels GmbH c. MJ, 15 juillet 2021, aff. jtes no C-804/18 et no C-341/19)","title-short":"Principe de neutralité dans les entreprises privées","volume":"130","author":[{"family":"Djelassi","given":"Anissa"},{"family":"Mertens","given":"Romain"},{"family":"Wattier","given":"Stéphanie"}],"issued":{"date-parts":[["2022",4,4]]}},"locator":"385","label":"page"}],"schema":"https://github.com/citation-style-language/schema/raw/master/csl-citation.json"} </w:instrText>
      </w:r>
      <w:r>
        <w:fldChar w:fldCharType="separate"/>
      </w:r>
      <w:r w:rsidRPr="00DC440E">
        <w:rPr>
          <w:rFonts w:cs="Times New Roman"/>
          <w:szCs w:val="24"/>
        </w:rPr>
        <w:t xml:space="preserve">A. </w:t>
      </w:r>
      <w:proofErr w:type="spellStart"/>
      <w:r w:rsidRPr="00DC440E">
        <w:rPr>
          <w:rFonts w:cs="Times New Roman"/>
          <w:smallCaps/>
          <w:szCs w:val="24"/>
        </w:rPr>
        <w:t>Djelassi</w:t>
      </w:r>
      <w:proofErr w:type="spellEnd"/>
      <w:r w:rsidRPr="00DC440E">
        <w:rPr>
          <w:rFonts w:cs="Times New Roman"/>
          <w:szCs w:val="24"/>
        </w:rPr>
        <w:t xml:space="preserve">, R. </w:t>
      </w:r>
      <w:r w:rsidRPr="00DC440E">
        <w:rPr>
          <w:rFonts w:cs="Times New Roman"/>
          <w:smallCaps/>
          <w:szCs w:val="24"/>
        </w:rPr>
        <w:t>Mertens</w:t>
      </w:r>
      <w:r w:rsidRPr="00DC440E">
        <w:rPr>
          <w:rFonts w:cs="Times New Roman"/>
          <w:szCs w:val="24"/>
        </w:rPr>
        <w:t xml:space="preserve"> et S. </w:t>
      </w:r>
      <w:r w:rsidRPr="00DC440E">
        <w:rPr>
          <w:rFonts w:cs="Times New Roman"/>
          <w:smallCaps/>
          <w:szCs w:val="24"/>
        </w:rPr>
        <w:t>Wattier</w:t>
      </w:r>
      <w:r w:rsidRPr="00DC440E">
        <w:rPr>
          <w:rFonts w:cs="Times New Roman"/>
          <w:szCs w:val="24"/>
        </w:rPr>
        <w:t xml:space="preserve">, « Principe de neutralité dans les entreprises privées », </w:t>
      </w:r>
      <w:r w:rsidRPr="00DC440E">
        <w:rPr>
          <w:rFonts w:cs="Times New Roman"/>
          <w:i/>
          <w:iCs/>
          <w:szCs w:val="24"/>
        </w:rPr>
        <w:t xml:space="preserve">op. </w:t>
      </w:r>
      <w:proofErr w:type="spellStart"/>
      <w:r w:rsidRPr="00DC440E">
        <w:rPr>
          <w:rFonts w:cs="Times New Roman"/>
          <w:i/>
          <w:iCs/>
          <w:szCs w:val="24"/>
        </w:rPr>
        <w:t>cit</w:t>
      </w:r>
      <w:proofErr w:type="spellEnd"/>
      <w:r w:rsidRPr="00DC440E">
        <w:rPr>
          <w:rFonts w:cs="Times New Roman"/>
          <w:i/>
          <w:iCs/>
          <w:szCs w:val="24"/>
        </w:rPr>
        <w:t>.</w:t>
      </w:r>
      <w:r w:rsidRPr="00DC440E">
        <w:rPr>
          <w:rFonts w:cs="Times New Roman"/>
          <w:szCs w:val="24"/>
        </w:rPr>
        <w:t>, p. 385.</w:t>
      </w:r>
      <w:r>
        <w:fldChar w:fldCharType="end"/>
      </w:r>
    </w:p>
  </w:footnote>
  <w:footnote w:id="223">
    <w:p w14:paraId="29CA95C8" w14:textId="12FD680A" w:rsidR="000D6C77" w:rsidRPr="00DB5012" w:rsidRDefault="000D6C77">
      <w:pPr>
        <w:pStyle w:val="Notedebasdepage"/>
      </w:pPr>
      <w:r>
        <w:rPr>
          <w:rStyle w:val="Appelnotedebasdep"/>
        </w:rPr>
        <w:footnoteRef/>
      </w:r>
      <w:r>
        <w:t xml:space="preserve"> CJUE, </w:t>
      </w:r>
      <w:proofErr w:type="spellStart"/>
      <w:r>
        <w:rPr>
          <w:i/>
          <w:iCs/>
        </w:rPr>
        <w:t>Achbita</w:t>
      </w:r>
      <w:proofErr w:type="spellEnd"/>
      <w:r>
        <w:t xml:space="preserve">, paras. </w:t>
      </w:r>
      <w:r w:rsidRPr="00DB5012">
        <w:t>40-42.</w:t>
      </w:r>
    </w:p>
  </w:footnote>
  <w:footnote w:id="224">
    <w:p w14:paraId="536DD61F" w14:textId="305CF9DD" w:rsidR="000D6C77" w:rsidRPr="00DB5012" w:rsidRDefault="000D6C77">
      <w:pPr>
        <w:pStyle w:val="Notedebasdepage"/>
      </w:pPr>
      <w:r>
        <w:rPr>
          <w:rStyle w:val="Appelnotedebasdep"/>
        </w:rPr>
        <w:footnoteRef/>
      </w:r>
      <w:r w:rsidRPr="00DB5012">
        <w:t xml:space="preserve"> CJUE, </w:t>
      </w:r>
      <w:r w:rsidRPr="00DB5012">
        <w:rPr>
          <w:i/>
        </w:rPr>
        <w:t>WABE-Müller</w:t>
      </w:r>
      <w:r w:rsidRPr="00DB5012">
        <w:t>, para. 70.</w:t>
      </w:r>
    </w:p>
  </w:footnote>
  <w:footnote w:id="225">
    <w:p w14:paraId="3723933B" w14:textId="73FE38D3" w:rsidR="000D6C77" w:rsidRPr="00E74ED6" w:rsidRDefault="000D6C77" w:rsidP="00745AD8">
      <w:pPr>
        <w:pStyle w:val="Notedebasdepage"/>
      </w:pPr>
      <w:r w:rsidRPr="00F15D9C">
        <w:rPr>
          <w:rStyle w:val="Appelnotedebasdep"/>
        </w:rPr>
        <w:footnoteRef/>
      </w:r>
      <w:r w:rsidRPr="00DB5012">
        <w:t xml:space="preserve"> CJUE, </w:t>
      </w:r>
      <w:r w:rsidRPr="00DB5012">
        <w:rPr>
          <w:i/>
        </w:rPr>
        <w:t>WABE-Müller</w:t>
      </w:r>
      <w:r w:rsidRPr="00DB5012">
        <w:t xml:space="preserve">, para. </w:t>
      </w:r>
      <w:r w:rsidRPr="00F15D9C">
        <w:t xml:space="preserve">54. La Cour précise néanmoins qu’il « incombe à la juridiction de renvoi de procéder aux appréciations factuelles qui s’imposent et de déterminer si la règle interne adoptée par WABE a été appliquée de manière générale et indifférenciée à tous les travailleurs de cette entreprise ». </w:t>
      </w:r>
    </w:p>
  </w:footnote>
  <w:footnote w:id="226">
    <w:p w14:paraId="1701E948" w14:textId="3E12F087" w:rsidR="000D6C77" w:rsidRPr="00022216" w:rsidRDefault="000D6C77" w:rsidP="00F9704F">
      <w:pPr>
        <w:pStyle w:val="Notedebasdepage"/>
        <w:rPr>
          <w:rFonts w:cs="Times New Roman"/>
        </w:rPr>
      </w:pPr>
      <w:r w:rsidRPr="00022216">
        <w:rPr>
          <w:rStyle w:val="Appelnotedebasdep"/>
          <w:rFonts w:cs="Times New Roman"/>
        </w:rPr>
        <w:footnoteRef/>
      </w:r>
      <w:r w:rsidRPr="00022216">
        <w:rPr>
          <w:rFonts w:cs="Times New Roman"/>
        </w:rPr>
        <w:t xml:space="preserve"> Trib. trav. Liège (div. Verviers), 20 février 2019, n° 15/678/A, disponible sur </w:t>
      </w:r>
      <w:hyperlink r:id="rId12" w:history="1">
        <w:r w:rsidRPr="00022216">
          <w:rPr>
            <w:rStyle w:val="Lienhypertexte"/>
            <w:rFonts w:cs="Times New Roman"/>
          </w:rPr>
          <w:t>www.unia.be</w:t>
        </w:r>
      </w:hyperlink>
      <w:r w:rsidRPr="00022216">
        <w:rPr>
          <w:rFonts w:cs="Times New Roman"/>
        </w:rPr>
        <w:t xml:space="preserve">. </w:t>
      </w:r>
      <w:r>
        <w:rPr>
          <w:rFonts w:cs="Times New Roman"/>
        </w:rPr>
        <w:t>L</w:t>
      </w:r>
      <w:r w:rsidRPr="00022216">
        <w:rPr>
          <w:rFonts w:cs="Times New Roman"/>
        </w:rPr>
        <w:t>e tribunal considère que, « s'il ne fait aucun doute, aux termes de la décision de la Cour de justice, que l'interdiction générale de signes convictionnels, ne constitue pas une discrimination, directe ou indirecte, pour des travailleurs en contact avec la clientèle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Clientèle"</w:instrText>
      </w:r>
      <w:r>
        <w:rPr>
          <w:rFonts w:cs="Times New Roman"/>
        </w:rPr>
        <w:instrText xml:space="preserve"> </w:instrText>
      </w:r>
      <w:r>
        <w:rPr>
          <w:rFonts w:cs="Times New Roman"/>
        </w:rPr>
        <w:fldChar w:fldCharType="end"/>
      </w:r>
      <w:r w:rsidRPr="00022216">
        <w:rPr>
          <w:rFonts w:cs="Times New Roman"/>
        </w:rPr>
        <w:t xml:space="preserve">, il doit être admis que tel est également le cas lorsque l'objectif poursuivi par l'employeur est le respect strict des droits de ses travailleurs à être traités de façon égale, qu'ils aient ou non des convictions religieuses, politiques ou autres, sans que celles-ci puissent heurter, par le port de signes de celles-ci (par exemple, un T. </w:t>
      </w:r>
      <w:proofErr w:type="spellStart"/>
      <w:r w:rsidRPr="00022216">
        <w:rPr>
          <w:rFonts w:cs="Times New Roman"/>
        </w:rPr>
        <w:t>shirt</w:t>
      </w:r>
      <w:proofErr w:type="spellEnd"/>
      <w:r w:rsidRPr="00022216">
        <w:rPr>
          <w:rFonts w:cs="Times New Roman"/>
        </w:rPr>
        <w:t xml:space="preserve"> "Je suis Charlie"), de façon visible</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Visibilité"</w:instrText>
      </w:r>
      <w:r>
        <w:rPr>
          <w:rFonts w:cs="Times New Roman"/>
        </w:rPr>
        <w:instrText xml:space="preserve"> </w:instrText>
      </w:r>
      <w:r>
        <w:rPr>
          <w:rFonts w:cs="Times New Roman"/>
        </w:rPr>
        <w:fldChar w:fldCharType="end"/>
      </w:r>
      <w:r w:rsidRPr="00022216">
        <w:rPr>
          <w:rFonts w:cs="Times New Roman"/>
        </w:rPr>
        <w:t>, ostentatoire et permanente, les convictions également respectables des autres ».</w:t>
      </w:r>
      <w:r>
        <w:rPr>
          <w:rFonts w:cs="Times New Roman"/>
        </w:rPr>
        <w:t xml:space="preserve"> Dans le même sens, </w:t>
      </w:r>
      <w:proofErr w:type="spellStart"/>
      <w:r>
        <w:rPr>
          <w:rFonts w:cs="Times New Roman"/>
        </w:rPr>
        <w:t>voy</w:t>
      </w:r>
      <w:proofErr w:type="spellEnd"/>
      <w:r>
        <w:rPr>
          <w:rFonts w:cs="Times New Roman"/>
        </w:rPr>
        <w:t xml:space="preserve">. aussi l’arrêt d’appel : C. trav. Liège, 30 avril 2021, </w:t>
      </w:r>
      <w:r w:rsidRPr="007A46FF">
        <w:rPr>
          <w:i/>
        </w:rPr>
        <w:t>J.T.T.</w:t>
      </w:r>
      <w:r w:rsidRPr="007A46FF">
        <w:t>, 2021, n° 18, pp. 310-31</w:t>
      </w:r>
      <w:r w:rsidRPr="002D6B03">
        <w:t>8</w:t>
      </w:r>
      <w:r w:rsidRPr="002D6B03">
        <w:rPr>
          <w:rStyle w:val="Lienhypertexte"/>
          <w:rFonts w:cs="Times New Roman"/>
          <w:u w:val="none"/>
        </w:rPr>
        <w:t>.</w:t>
      </w:r>
    </w:p>
  </w:footnote>
  <w:footnote w:id="227">
    <w:p w14:paraId="1ECC8B40" w14:textId="38938DDE" w:rsidR="000D6C77" w:rsidRPr="00605D18" w:rsidRDefault="000D6C77">
      <w:pPr>
        <w:pStyle w:val="Notedebasdepage"/>
      </w:pPr>
      <w:r>
        <w:rPr>
          <w:rStyle w:val="Appelnotedebasdep"/>
        </w:rPr>
        <w:footnoteRef/>
      </w:r>
      <w:r>
        <w:t xml:space="preserve"> Pour un argument similaire, </w:t>
      </w:r>
      <w:proofErr w:type="spellStart"/>
      <w:r>
        <w:t>voy</w:t>
      </w:r>
      <w:proofErr w:type="spellEnd"/>
      <w:r>
        <w:t xml:space="preserve">. le renvoi </w:t>
      </w:r>
      <w:proofErr w:type="spellStart"/>
      <w:r>
        <w:t>préjuciel</w:t>
      </w:r>
      <w:proofErr w:type="spellEnd"/>
      <w:r>
        <w:t xml:space="preserve"> du </w:t>
      </w:r>
      <w:r w:rsidR="0094723B">
        <w:t>t</w:t>
      </w:r>
      <w:r>
        <w:t xml:space="preserve">ribunal du travail de Bruxelles devant la CJUE concernant l’affaire </w:t>
      </w:r>
      <w:r>
        <w:rPr>
          <w:i/>
          <w:iCs/>
        </w:rPr>
        <w:t>LF c. SCRL </w:t>
      </w:r>
      <w:r w:rsidRPr="008D517D">
        <w:t xml:space="preserve">(17 juillet 2020, réf., disponible sur </w:t>
      </w:r>
      <w:hyperlink r:id="rId13" w:history="1">
        <w:r w:rsidRPr="008D517D">
          <w:rPr>
            <w:rStyle w:val="Lienhypertexte"/>
          </w:rPr>
          <w:t>www.unia.be</w:t>
        </w:r>
      </w:hyperlink>
      <w:r>
        <w:t>) : la juridiction de renvoi s’interroge notamment sur le traitement potentiellement moins favorable pouvant être réservé à « </w:t>
      </w:r>
      <w:r w:rsidRPr="00434E06">
        <w:t>la travailleuse qui entend exercer sa liberté de religion par le port visible d’un signe</w:t>
      </w:r>
      <w:r>
        <w:t xml:space="preserve"> </w:t>
      </w:r>
      <w:r w:rsidRPr="00434E06">
        <w:t>(connoté), en l’occurrence un foulard</w:t>
      </w:r>
      <w:r>
        <w:t> », en comparaison d’un « </w:t>
      </w:r>
      <w:r w:rsidRPr="00434E06">
        <w:t>autre</w:t>
      </w:r>
      <w:r>
        <w:t xml:space="preserve"> </w:t>
      </w:r>
      <w:r w:rsidRPr="00434E06">
        <w:t>travailleur de même conviction qui choisirait de la manifester en portant la barbe</w:t>
      </w:r>
      <w:r>
        <w:t> ». La CJUE ne fournira toutefois aucune réponse à cet égard.</w:t>
      </w:r>
    </w:p>
  </w:footnote>
  <w:footnote w:id="228">
    <w:p w14:paraId="7372AE09" w14:textId="62583BCB" w:rsidR="000D6C77" w:rsidRDefault="000D6C77">
      <w:pPr>
        <w:pStyle w:val="Notedebasdepage"/>
      </w:pPr>
      <w:r>
        <w:rPr>
          <w:rStyle w:val="Appelnotedebasdep"/>
        </w:rPr>
        <w:footnoteRef/>
      </w:r>
      <w:r>
        <w:t xml:space="preserve"> Trib. trav. Bxl. (réf.), </w:t>
      </w:r>
      <w:r w:rsidRPr="00F15D9C">
        <w:t xml:space="preserve">3 mai 2021, </w:t>
      </w:r>
      <w:r w:rsidRPr="00F15D9C">
        <w:rPr>
          <w:i/>
        </w:rPr>
        <w:t>J.T.T.</w:t>
      </w:r>
      <w:r w:rsidRPr="00F15D9C">
        <w:t>, n° 18, pp. 318-333</w:t>
      </w:r>
      <w:r>
        <w:t xml:space="preserve"> : </w:t>
      </w:r>
      <w:r w:rsidRPr="005149CB">
        <w:t>selon l’ordonnance, « le raisonnement de la STIB […] paraît donc empreint d'une vision complaisante et d'autosatisfaction qui ne résiste pas à une véritable contextualisation de l'objectif de diversité affirmé »</w:t>
      </w:r>
      <w:r>
        <w:t xml:space="preserve">. </w:t>
      </w:r>
      <w:r w:rsidRPr="005149CB">
        <w:t>Sur ce dernier point, mentionnons également l’ordonnance du tribunal du travail de Bruxelles, relatif à la décision d’</w:t>
      </w:r>
      <w:proofErr w:type="spellStart"/>
      <w:r w:rsidRPr="005149CB">
        <w:rPr>
          <w:i/>
          <w:iCs/>
        </w:rPr>
        <w:t>Actiris</w:t>
      </w:r>
      <w:proofErr w:type="spellEnd"/>
      <w:r w:rsidRPr="005149CB">
        <w:t xml:space="preserve"> d’interdire le port de tout signe convictionnel pour l’ensemble de ses travailleurs (16 novembre 2015, </w:t>
      </w:r>
      <w:r w:rsidRPr="005149CB">
        <w:rPr>
          <w:i/>
        </w:rPr>
        <w:t>Administration Publique</w:t>
      </w:r>
      <w:r w:rsidRPr="005149CB">
        <w:t xml:space="preserve">, 2016, pp. 491-516, obs. I. </w:t>
      </w:r>
      <w:proofErr w:type="spellStart"/>
      <w:r w:rsidRPr="008D517D">
        <w:rPr>
          <w:smallCaps/>
        </w:rPr>
        <w:t>Rorive</w:t>
      </w:r>
      <w:proofErr w:type="spellEnd"/>
      <w:r w:rsidRPr="005149CB">
        <w:t xml:space="preserve">). Cette décision est confrontée avec le cadre légal auquel est soumis </w:t>
      </w:r>
      <w:proofErr w:type="spellStart"/>
      <w:r w:rsidRPr="005149CB">
        <w:rPr>
          <w:i/>
          <w:iCs/>
        </w:rPr>
        <w:t>Actiris</w:t>
      </w:r>
      <w:proofErr w:type="spellEnd"/>
      <w:r w:rsidRPr="005149CB">
        <w:t xml:space="preserve">, prévoyant notamment l’élaboration d’un « plan d’action diversité ». Pour justifier le caractère injustifié de la restriction fondée sur la neutralité, le </w:t>
      </w:r>
      <w:r w:rsidR="0094723B">
        <w:t>t</w:t>
      </w:r>
      <w:r w:rsidRPr="005149CB">
        <w:t>ribunal cite notamment le fait que, dans le contrat de gestion d’</w:t>
      </w:r>
      <w:proofErr w:type="spellStart"/>
      <w:r w:rsidRPr="005149CB">
        <w:rPr>
          <w:i/>
          <w:iCs/>
        </w:rPr>
        <w:t>Actiris</w:t>
      </w:r>
      <w:proofErr w:type="spellEnd"/>
      <w:r w:rsidRPr="005149CB">
        <w:t>, l’objectif de « promotion de la diversité » est revendiqué comme « une préoccupation transversale » de l’organisation</w:t>
      </w:r>
      <w:r>
        <w:t>.</w:t>
      </w:r>
    </w:p>
  </w:footnote>
  <w:footnote w:id="229">
    <w:p w14:paraId="6DF42AE5" w14:textId="60140017" w:rsidR="000D6C77" w:rsidRPr="00022216" w:rsidRDefault="000D6C77" w:rsidP="00F9704F">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{"citationID":"lV5pGrw1","properties":{"formattedCitation":"N. {\\scaps Moizard}, \\uc0\\u171{}\\uc0\\u160{}La neutralit\\uc0\\u233{} des salari\\uc0\\u233{}s dans l\\uc0\\u8217{}entreprise\\uc0\\u160{}\\uc0\\u187{}, {\\i{}Revue de Droit du Travail}, 2016, p. 818.","plainCitation":"N. Moizard, « La neutralité des salariés dans l’entreprise », Revue de Droit du Travail, 2016, p. 818.","noteIndex":290},"citationItems":[{"id":1291,"uris":["http://zotero.org/users/5133869/items/U538HL85"],"itemData":{"id":1291,"type":"article-journal","container-title":"Revue de Droit du Travail","page":"817-818","title":"La neutralité des salariés dans l’entreprise","author":[{"family":"Moizard","given":"Nicolas"}],"issued":{"date-parts":[["2016"]]}},"locator":"818"}],"schema":"https://github.com/citation-style-language/schema/raw/master/csl-citation.json"} </w:instrText>
      </w:r>
      <w:r w:rsidRPr="00022216">
        <w:rPr>
          <w:rFonts w:cs="Times New Roman"/>
        </w:rPr>
        <w:fldChar w:fldCharType="separate"/>
      </w:r>
      <w:r w:rsidRPr="00E74ED6">
        <w:rPr>
          <w:rFonts w:cs="Times New Roman"/>
          <w:szCs w:val="24"/>
        </w:rPr>
        <w:t xml:space="preserve">N. </w:t>
      </w:r>
      <w:proofErr w:type="spellStart"/>
      <w:r w:rsidRPr="00E74ED6">
        <w:rPr>
          <w:rFonts w:cs="Times New Roman"/>
          <w:smallCaps/>
          <w:szCs w:val="24"/>
        </w:rPr>
        <w:t>Moizard</w:t>
      </w:r>
      <w:proofErr w:type="spellEnd"/>
      <w:r w:rsidRPr="00E74ED6">
        <w:rPr>
          <w:rFonts w:cs="Times New Roman"/>
          <w:szCs w:val="24"/>
        </w:rPr>
        <w:t xml:space="preserve">, « La neutralité des salariés dans l’entreprise », </w:t>
      </w:r>
      <w:r w:rsidRPr="00E74ED6">
        <w:rPr>
          <w:rFonts w:cs="Times New Roman"/>
          <w:i/>
          <w:iCs/>
          <w:szCs w:val="24"/>
        </w:rPr>
        <w:t>Revue de Droit du Travail</w:t>
      </w:r>
      <w:r w:rsidRPr="00E74ED6">
        <w:rPr>
          <w:rFonts w:cs="Times New Roman"/>
          <w:szCs w:val="24"/>
        </w:rPr>
        <w:t>, 2016, p. 818.</w:t>
      </w:r>
      <w:r w:rsidRPr="00022216">
        <w:rPr>
          <w:rFonts w:cs="Times New Roman"/>
        </w:rPr>
        <w:fldChar w:fldCharType="end"/>
      </w:r>
    </w:p>
  </w:footnote>
  <w:footnote w:id="230">
    <w:p w14:paraId="7D7354BB" w14:textId="4D700FE0" w:rsidR="000D6C77" w:rsidRPr="00022216" w:rsidRDefault="000D6C77" w:rsidP="00B927EB">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{"citationID":"LGY01ynF","properties":{"formattedCitation":"V. {\\scaps Valentin}, \\uc0\\u171{}\\uc0\\u160{}La notion d\\uc0\\u8217{}entreprise de conviction \\uc0\\u8220{}la\\uc0\\u239{}que\\uc0\\u8221{}\\uc0\\u160{}\\uc0\\u187{}, {\\i{}op. cit.}, p. 272.","plainCitation":"V. Valentin, « La notion d’entreprise de conviction “laïque” », op. cit., p. 272.","noteIndex":293},"citationItems":[{"id":2164,"uris":["http://zotero.org/users/5133869/items/2L2HSTKE"],"itemData":{"id":2164,"type":"chapter","collection-number":"9","collection-title":"Collection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locator":"272"}],"schema":"https://github.com/citation-style-language/schema/raw/master/csl-citation.json"} </w:instrText>
      </w:r>
      <w:r w:rsidRPr="00022216">
        <w:rPr>
          <w:rFonts w:cs="Times New Roman"/>
        </w:rPr>
        <w:fldChar w:fldCharType="separate"/>
      </w:r>
      <w:r w:rsidRPr="00022216">
        <w:rPr>
          <w:rFonts w:cs="Times New Roman"/>
        </w:rPr>
        <w:t xml:space="preserve">V. </w:t>
      </w:r>
      <w:r w:rsidRPr="00022216">
        <w:rPr>
          <w:rFonts w:cs="Times New Roman"/>
          <w:smallCaps/>
        </w:rPr>
        <w:t>Valentin</w:t>
      </w:r>
      <w:r w:rsidRPr="00022216">
        <w:rPr>
          <w:rFonts w:cs="Times New Roman"/>
        </w:rPr>
        <w:t xml:space="preserve">, « La notion d’entreprise de conviction “laïque”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272.</w:t>
      </w:r>
      <w:r w:rsidRPr="00022216">
        <w:rPr>
          <w:rFonts w:cs="Times New Roman"/>
        </w:rPr>
        <w:fldChar w:fldCharType="end"/>
      </w:r>
      <w:r w:rsidRPr="00022216">
        <w:rPr>
          <w:rFonts w:cs="Times New Roman"/>
        </w:rPr>
        <w:t xml:space="preserve"> </w:t>
      </w:r>
    </w:p>
  </w:footnote>
  <w:footnote w:id="231">
    <w:p w14:paraId="4C86845E" w14:textId="6312CDB0" w:rsidR="000D6C77" w:rsidRPr="00022216" w:rsidRDefault="000D6C77" w:rsidP="00B927EB">
      <w:pPr>
        <w:pStyle w:val="Notedebasdepage"/>
        <w:rPr>
          <w:rFonts w:cs="Times New Roman"/>
        </w:rPr>
      </w:pPr>
      <w:r w:rsidRPr="00022216">
        <w:rPr>
          <w:rStyle w:val="Appelnotedebasdep"/>
          <w:rFonts w:cs="Times New Roman"/>
        </w:rPr>
        <w:footnoteRef/>
      </w:r>
      <w:r w:rsidRPr="00022216">
        <w:rPr>
          <w:rFonts w:cs="Times New Roman"/>
        </w:rPr>
        <w:t xml:space="preserve"> </w:t>
      </w:r>
      <w:r>
        <w:t xml:space="preserve">Cette disposition de la loi sur les contrats de travail (3 juillet 1978, </w:t>
      </w:r>
      <w:r w:rsidRPr="006D1AA8">
        <w:rPr>
          <w:i/>
        </w:rPr>
        <w:t>M.B.</w:t>
      </w:r>
      <w:r w:rsidRPr="006D1AA8">
        <w:t>, 22 août 1978</w:t>
      </w:r>
      <w:r>
        <w:t xml:space="preserve">), rarement mobilisée par les juridictions belges, est en fait issue de la loi du 10 mars 1900, date à laquelle l’obligation du repos dominical n’était pas encore en vigueur. </w:t>
      </w:r>
      <w:r w:rsidRPr="00612EA1">
        <w:t xml:space="preserve">Les débats parlementaires de l’époque insistent </w:t>
      </w:r>
      <w:r>
        <w:t>toutefois</w:t>
      </w:r>
      <w:r w:rsidRPr="00612EA1">
        <w:t xml:space="preserve"> sur le fait qu</w:t>
      </w:r>
      <w:r>
        <w:t xml:space="preserve">’une telle disposition est vouée à bénéficier aux fidèles de l’ensemble des cultes, et non aux seuls chrétiens : une telle précision irait dès lors dans le sens d’une forme de reconnaissance légale d’une obligation d’aménagement raisonnable dans le chef de l’employeur. Sur ce point, </w:t>
      </w:r>
      <w:proofErr w:type="spellStart"/>
      <w:r>
        <w:t>voy</w:t>
      </w:r>
      <w:proofErr w:type="spellEnd"/>
      <w:r>
        <w:t>.</w:t>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{"citationID":"BmktPsY1","properties":{"formattedCitation":"R. {\\scaps Linguelet}, \\uc0\\u171{}\\uc0\\u160{}L\\uc0\\u8217{}obligation d\\uc0\\u8217{}am\\uc0\\u233{}nagement raisonnable pour motif religieux en droit du travail et les ressources du droit du bien-\\uc0\\u234{}tre\\uc0\\u160{}\\uc0\\u187{}, {\\i{}J.T.}, 2016, p. 239.","plainCitation":"R. Linguelet, « L’obligation d’aménagement raisonnable pour motif religieux en droit du travail et les ressources du droit du bien-être », J.T., 2016, p. 239.","noteIndex":292},"citationItems":[{"id":1448,"uris":["http://zotero.org/users/5133869/items/HQV9NLIL"],"itemData":{"id":1448,"type":"article-journal","container-title":"J.T.","page":"231-244","title":"L’obligation d’aménagement raisonnable pour motif religieux en droit du travail et les ressources du droit du bien-être","author":[{"family":"Linguelet","given":"Renaud"}],"issued":{"date-parts":[["2016"]]}},"locator":"239"}],"schema":"https://github.com/citation-style-language/schema/raw/master/csl-citation.json"} </w:instrText>
      </w:r>
      <w:r w:rsidRPr="00022216">
        <w:rPr>
          <w:rFonts w:cs="Times New Roman"/>
        </w:rPr>
        <w:fldChar w:fldCharType="separate"/>
      </w:r>
      <w:r w:rsidRPr="009B4956">
        <w:rPr>
          <w:rFonts w:cs="Times New Roman"/>
          <w:szCs w:val="24"/>
        </w:rPr>
        <w:t xml:space="preserve">R. </w:t>
      </w:r>
      <w:proofErr w:type="spellStart"/>
      <w:r w:rsidRPr="009B4956">
        <w:rPr>
          <w:rFonts w:cs="Times New Roman"/>
          <w:smallCaps/>
          <w:szCs w:val="24"/>
        </w:rPr>
        <w:t>Linguelet</w:t>
      </w:r>
      <w:proofErr w:type="spellEnd"/>
      <w:r w:rsidRPr="009B4956">
        <w:rPr>
          <w:rFonts w:cs="Times New Roman"/>
          <w:szCs w:val="24"/>
        </w:rPr>
        <w:t xml:space="preserve">, « L’obligation d’aménagement raisonnable pour motif religieux en droit du travail et les ressources du droit du bien-être », </w:t>
      </w:r>
      <w:r w:rsidRPr="009B4956">
        <w:rPr>
          <w:rFonts w:cs="Times New Roman"/>
          <w:i/>
          <w:iCs/>
          <w:szCs w:val="24"/>
        </w:rPr>
        <w:t>J.T.</w:t>
      </w:r>
      <w:r w:rsidRPr="009B4956">
        <w:rPr>
          <w:rFonts w:cs="Times New Roman"/>
          <w:szCs w:val="24"/>
        </w:rPr>
        <w:t>, 2016, p. 239.</w:t>
      </w:r>
      <w:r w:rsidRPr="00022216">
        <w:rPr>
          <w:rFonts w:cs="Times New Roman"/>
        </w:rPr>
        <w:fldChar w:fldCharType="end"/>
      </w:r>
      <w:r>
        <w:rPr>
          <w:rFonts w:cs="Times New Roman"/>
        </w:rPr>
        <w:t xml:space="preserve"> Pour une invocation – infructueuse – de cette disposition face à l’interdiction du port de signes religieux, </w:t>
      </w:r>
      <w:proofErr w:type="spellStart"/>
      <w:r>
        <w:rPr>
          <w:rFonts w:cs="Times New Roman"/>
        </w:rPr>
        <w:t>voy</w:t>
      </w:r>
      <w:proofErr w:type="spellEnd"/>
      <w:r>
        <w:rPr>
          <w:rFonts w:cs="Times New Roman"/>
        </w:rPr>
        <w:t xml:space="preserve">. C. trav. Liège, 30 avril 2021, </w:t>
      </w:r>
      <w:r w:rsidRPr="007A46FF">
        <w:rPr>
          <w:i/>
        </w:rPr>
        <w:t>J.T.T.</w:t>
      </w:r>
      <w:r w:rsidRPr="007A46FF">
        <w:t>, 2021, n° 18, pp. 310-</w:t>
      </w:r>
      <w:r w:rsidRPr="007E3A13">
        <w:t>318</w:t>
      </w:r>
      <w:r w:rsidRPr="007E3A13">
        <w:rPr>
          <w:rStyle w:val="Lienhypertexte"/>
          <w:rFonts w:cs="Times New Roman"/>
          <w:u w:val="none"/>
        </w:rPr>
        <w:t>.</w:t>
      </w:r>
    </w:p>
  </w:footnote>
  <w:footnote w:id="232">
    <w:p w14:paraId="1066D885" w14:textId="7AD6E35F" w:rsidR="000D6C77" w:rsidRPr="00990391" w:rsidRDefault="000D6C77" w:rsidP="0082334A">
      <w:pPr>
        <w:pStyle w:val="Notedebasdepage"/>
      </w:pPr>
      <w:r>
        <w:rPr>
          <w:rStyle w:val="Appelnotedebasdep"/>
        </w:rPr>
        <w:footnoteRef/>
      </w:r>
      <w:r w:rsidRPr="00990391">
        <w:t xml:space="preserve"> </w:t>
      </w:r>
      <w:r>
        <w:t xml:space="preserve">L’affaire </w:t>
      </w:r>
      <w:r>
        <w:rPr>
          <w:i/>
          <w:iCs/>
        </w:rPr>
        <w:t>Bougnaoui</w:t>
      </w:r>
      <w:r>
        <w:t xml:space="preserve"> se distingue à double titre de l’affaire </w:t>
      </w:r>
      <w:proofErr w:type="spellStart"/>
      <w:r>
        <w:rPr>
          <w:i/>
          <w:iCs/>
        </w:rPr>
        <w:t>Achbita</w:t>
      </w:r>
      <w:proofErr w:type="spellEnd"/>
      <w:r>
        <w:t xml:space="preserve"> s’agissant de l’invocation de l’image de marque : d’une part, l’affirmation de la neutralité en tant qu’image de marque n’apparaît pas formellement au sein de l’entreprise </w:t>
      </w:r>
      <w:proofErr w:type="spellStart"/>
      <w:r>
        <w:rPr>
          <w:i/>
          <w:iCs/>
        </w:rPr>
        <w:t>Micropole</w:t>
      </w:r>
      <w:proofErr w:type="spellEnd"/>
      <w:r>
        <w:rPr>
          <w:i/>
          <w:iCs/>
        </w:rPr>
        <w:t xml:space="preserve">, </w:t>
      </w:r>
      <w:r>
        <w:t xml:space="preserve">qui employait Mme Bougnaoui ; d’autre part, l’arrêt porte moins sur l’image de marque de </w:t>
      </w:r>
      <w:proofErr w:type="spellStart"/>
      <w:r>
        <w:rPr>
          <w:i/>
          <w:iCs/>
        </w:rPr>
        <w:t>Micropole</w:t>
      </w:r>
      <w:proofErr w:type="spellEnd"/>
      <w:r>
        <w:t xml:space="preserve"> que sur la volonté de cette dernière de répondre à la demande de l’entreprise cliente concernant l’interdiction du port du foulard.</w:t>
      </w:r>
    </w:p>
  </w:footnote>
  <w:footnote w:id="233">
    <w:p w14:paraId="60EB7801" w14:textId="0B6E43E0" w:rsidR="000D6C77" w:rsidRPr="00022216" w:rsidRDefault="000D6C77" w:rsidP="008430D0">
      <w:pPr>
        <w:pStyle w:val="Notedebasdepage"/>
        <w:rPr>
          <w:rFonts w:cs="Times New Roman"/>
        </w:rPr>
      </w:pPr>
      <w:r w:rsidRPr="00E74ED6">
        <w:rPr>
          <w:rStyle w:val="Appelnotedebasdep"/>
          <w:rFonts w:cs="Times New Roman"/>
        </w:rPr>
        <w:footnoteRef/>
      </w:r>
      <w:r w:rsidRPr="00E74ED6">
        <w:rPr>
          <w:rFonts w:cs="Times New Roman"/>
        </w:rPr>
        <w:t xml:space="preserve"> </w:t>
      </w:r>
      <w:r w:rsidRPr="00022216">
        <w:rPr>
          <w:rFonts w:cs="Times New Roman"/>
        </w:rPr>
        <w:fldChar w:fldCharType="begin"/>
      </w:r>
      <w:r>
        <w:rPr>
          <w:rFonts w:cs="Times New Roman"/>
        </w:rPr>
        <w:instrText xml:space="preserve"> ADDIN ZOTERO_ITEM CSL_CITATION {"citationID":"dQ2PwC38","properties":{"formattedCitation":"O. {\\scaps De Schutter}, {\\i{}Discriminations et march\\uc0\\u233{} du travail. Libert\\uc0\\u233{} et \\uc0\\u233{}galit\\uc0\\u233{} dans les rapports d\\uc0\\u8217{}emploi}, Bruxelles, P.I.E. - Peter Lang, 2001, p. 58\\uc0\\u160{}; A. {\\scaps Supiot}, {\\i{}Critique du droit du travail}, {\\i{}op. cit.}, p. 99\\uc0\\u160{}; J. {\\scaps Clesse} et F. {\\scaps K\\uc0\\u233{}fer}, {\\i{}Manuel de droit du travail}, {\\i{}op. cit.}, p. 227.","plainCitation":"O. De Schutter, Discriminations et marché du travail. Liberté et égalité dans les rapports d’emploi, Bruxelles, P.I.E. - Peter Lang, 2001, p. 58 ; A. Supiot, Critique du droit du travail, op. cit., p. 99 ; J. Clesse et F. Kéfer, Manuel de droit du travail, op. cit., p. 227.","noteIndex":298},"citationItems":[{"id":711,"uris":["http://zotero.org/users/5133869/items/MAECPTZY"],"itemData":{"id":711,"type":"book","event-place":"Bruxelles","publisher":"P.I.E. - Peter Lang","publisher-place":"Bruxelles","title":"Discriminations et marché du travail. Liberté et égalité dans les rapports d’emploi","author":[{"family":"De Schutter","given":"Olivier"}],"issued":{"date-parts":[["2001"]]}},"locator":"58"},{"id":301,"uris":["http://zotero.org/users/5133869/items/DQUQFI6D"],"itemData":{"id":301,"type":"book","edition":"1e édition","event-place":"Paris","publisher":"Presses Universitaires de France","publisher-place":"Paris","title":"Critique du droit du travail","author":[{"family":"Supiot","given":"Alain"}],"issued":{"date-parts":[["1994"]]}},"locator":"99"},{"id":2923,"uris":["http://zotero.org/users/5133869/items/Q9EWFLVM"],"itemData":{"id":2923,"type":"book","abstract":"La 4e de couverture indique : \"Écrit à quatre mains, cet ouvrage est l'aboutissement d'un dialogue constant entre les deux auteurs, nourri par leurs expériences de chercheurs, d'enseignants et d'avocats.Le droit du travail est tout à la fois une composante du système socio-économique, un instrument pour la conduite des affaires de la Cité, une ligne de conduite pour la gestion des entreprises, un déterminant de la vie professionnelle de millions de travailleurs. Pour en rendre compte dans un ouvrage raisonnablement concis, la forme du manuel a été retenue. Ce choix a conduit les auteurs à faire œuvre de synthèse : identifier l'essentiel, lui donner la préférence sur l'accessoire, dégager d'un droit positif touffu et changeant les normes structurantes, en principe durables. Cette méthode permet de faire tenir en un peu moins de 500 pages les éléments essentiels du droit du travail. Après un examen des sources formelles du droit du travail et de leurs zones d'influences, l'ouvrage envisage successivement les relations collectives et la relation individuelle de travail. Le propos est étayé, justifié par de nombreuses références à la jurisprudence et à la doctrine. Le lecteur, qu'il soit juriste accompli, néophyte ou encore étudiant, les consultera pour approfondir ses connaissances, trouver des réponses à des questions plus précises ou nouvelles. Comme dans sa première édition, l'ouvrage contient un lexique français/ néerlandais ; en outre, la table des matières est rédigée dans les deux langues.\"","edition":"2e éd.","event-place":"Bruxelles","ISBN":"978-2-8079-0617-4","language":"French","note":"OCLC: 1076273076","publisher":"Larcier","publisher-place":"Bruxelles","source":"Open WorldCat","title":"Manuel de droit du travail","author":[{"family":"Clesse","given":"Jacques"},{"family":"Kéfer","given":"Fabienne"}],"issued":{"date-parts":[["2018"]]}},"locator":"227"}],"schema":"https://github.com/citation-style-language/schema/raw/master/csl-citation.json"} </w:instrText>
      </w:r>
      <w:r w:rsidRPr="00022216">
        <w:rPr>
          <w:rFonts w:cs="Times New Roman"/>
        </w:rPr>
        <w:fldChar w:fldCharType="separate"/>
      </w:r>
      <w:r w:rsidRPr="00E74ED6">
        <w:rPr>
          <w:rFonts w:cs="Times New Roman"/>
          <w:szCs w:val="24"/>
        </w:rPr>
        <w:t xml:space="preserve">O. </w:t>
      </w:r>
      <w:r w:rsidRPr="00E74ED6">
        <w:rPr>
          <w:rFonts w:cs="Times New Roman"/>
          <w:smallCaps/>
          <w:szCs w:val="24"/>
        </w:rPr>
        <w:t xml:space="preserve">De </w:t>
      </w:r>
      <w:proofErr w:type="spellStart"/>
      <w:r w:rsidRPr="00E74ED6">
        <w:rPr>
          <w:rFonts w:cs="Times New Roman"/>
          <w:smallCaps/>
          <w:szCs w:val="24"/>
        </w:rPr>
        <w:t>Schutter</w:t>
      </w:r>
      <w:proofErr w:type="spellEnd"/>
      <w:r w:rsidRPr="00E74ED6">
        <w:rPr>
          <w:rFonts w:cs="Times New Roman"/>
          <w:szCs w:val="24"/>
        </w:rPr>
        <w:t xml:space="preserve">, </w:t>
      </w:r>
      <w:r w:rsidRPr="00E74ED6">
        <w:rPr>
          <w:rFonts w:cs="Times New Roman"/>
          <w:i/>
          <w:iCs/>
          <w:szCs w:val="24"/>
        </w:rPr>
        <w:t>Discriminations et marché du travail. Liberté et égalité dans les rapports d’emploi</w:t>
      </w:r>
      <w:r w:rsidRPr="00E74ED6">
        <w:rPr>
          <w:rFonts w:cs="Times New Roman"/>
          <w:szCs w:val="24"/>
        </w:rPr>
        <w:t xml:space="preserve">, Bruxelles, P.I.E. - Peter Lang, 2001, p. 58 ; A. </w:t>
      </w:r>
      <w:proofErr w:type="spellStart"/>
      <w:r w:rsidRPr="00E74ED6">
        <w:rPr>
          <w:rFonts w:cs="Times New Roman"/>
          <w:smallCaps/>
          <w:szCs w:val="24"/>
        </w:rPr>
        <w:t>Supiot</w:t>
      </w:r>
      <w:proofErr w:type="spellEnd"/>
      <w:r w:rsidRPr="00E74ED6">
        <w:rPr>
          <w:rFonts w:cs="Times New Roman"/>
          <w:szCs w:val="24"/>
        </w:rPr>
        <w:t xml:space="preserve">, </w:t>
      </w:r>
      <w:r w:rsidRPr="00E74ED6">
        <w:rPr>
          <w:rFonts w:cs="Times New Roman"/>
          <w:i/>
          <w:iCs/>
          <w:szCs w:val="24"/>
        </w:rPr>
        <w:t>Critique du droit du travail</w:t>
      </w:r>
      <w:r w:rsidRPr="00E74ED6">
        <w:rPr>
          <w:rFonts w:cs="Times New Roman"/>
          <w:szCs w:val="24"/>
        </w:rPr>
        <w:t xml:space="preserve">, </w:t>
      </w:r>
      <w:r w:rsidRPr="00E74ED6">
        <w:rPr>
          <w:rFonts w:cs="Times New Roman"/>
          <w:i/>
          <w:iCs/>
          <w:szCs w:val="24"/>
        </w:rPr>
        <w:t xml:space="preserve">op. </w:t>
      </w:r>
      <w:proofErr w:type="spellStart"/>
      <w:r w:rsidRPr="00E74ED6">
        <w:rPr>
          <w:rFonts w:cs="Times New Roman"/>
          <w:i/>
          <w:iCs/>
          <w:szCs w:val="24"/>
        </w:rPr>
        <w:t>cit</w:t>
      </w:r>
      <w:proofErr w:type="spellEnd"/>
      <w:r w:rsidRPr="00E74ED6">
        <w:rPr>
          <w:rFonts w:cs="Times New Roman"/>
          <w:i/>
          <w:iCs/>
          <w:szCs w:val="24"/>
        </w:rPr>
        <w:t>.</w:t>
      </w:r>
      <w:r w:rsidRPr="00E74ED6">
        <w:rPr>
          <w:rFonts w:cs="Times New Roman"/>
          <w:szCs w:val="24"/>
        </w:rPr>
        <w:t xml:space="preserve">, p. 99 ; J. </w:t>
      </w:r>
      <w:proofErr w:type="spellStart"/>
      <w:r w:rsidRPr="00E74ED6">
        <w:rPr>
          <w:rFonts w:cs="Times New Roman"/>
          <w:smallCaps/>
          <w:szCs w:val="24"/>
        </w:rPr>
        <w:t>Clesse</w:t>
      </w:r>
      <w:proofErr w:type="spellEnd"/>
      <w:r w:rsidRPr="00E74ED6">
        <w:rPr>
          <w:rFonts w:cs="Times New Roman"/>
          <w:szCs w:val="24"/>
        </w:rPr>
        <w:t xml:space="preserve"> et F. </w:t>
      </w:r>
      <w:proofErr w:type="spellStart"/>
      <w:r w:rsidRPr="00E74ED6">
        <w:rPr>
          <w:rFonts w:cs="Times New Roman"/>
          <w:smallCaps/>
          <w:szCs w:val="24"/>
        </w:rPr>
        <w:t>Kéfer</w:t>
      </w:r>
      <w:proofErr w:type="spellEnd"/>
      <w:r w:rsidRPr="00E74ED6">
        <w:rPr>
          <w:rFonts w:cs="Times New Roman"/>
          <w:szCs w:val="24"/>
        </w:rPr>
        <w:t xml:space="preserve">, </w:t>
      </w:r>
      <w:r w:rsidRPr="00E74ED6">
        <w:rPr>
          <w:rFonts w:cs="Times New Roman"/>
          <w:i/>
          <w:iCs/>
          <w:szCs w:val="24"/>
        </w:rPr>
        <w:t>Manuel de droit du travail</w:t>
      </w:r>
      <w:r w:rsidRPr="00E74ED6">
        <w:rPr>
          <w:rFonts w:cs="Times New Roman"/>
          <w:szCs w:val="24"/>
        </w:rPr>
        <w:t xml:space="preserve">, </w:t>
      </w:r>
      <w:r w:rsidRPr="00E74ED6">
        <w:rPr>
          <w:rFonts w:cs="Times New Roman"/>
          <w:i/>
          <w:iCs/>
          <w:szCs w:val="24"/>
        </w:rPr>
        <w:t xml:space="preserve">op. </w:t>
      </w:r>
      <w:proofErr w:type="spellStart"/>
      <w:r w:rsidRPr="00E74ED6">
        <w:rPr>
          <w:rFonts w:cs="Times New Roman"/>
          <w:i/>
          <w:iCs/>
          <w:szCs w:val="24"/>
        </w:rPr>
        <w:t>cit</w:t>
      </w:r>
      <w:proofErr w:type="spellEnd"/>
      <w:r w:rsidRPr="00E74ED6">
        <w:rPr>
          <w:rFonts w:cs="Times New Roman"/>
          <w:i/>
          <w:iCs/>
          <w:szCs w:val="24"/>
        </w:rPr>
        <w:t>.</w:t>
      </w:r>
      <w:r w:rsidRPr="00E74ED6">
        <w:rPr>
          <w:rFonts w:cs="Times New Roman"/>
          <w:szCs w:val="24"/>
        </w:rPr>
        <w:t>, p. 227.</w:t>
      </w:r>
      <w:r w:rsidRPr="00022216">
        <w:rPr>
          <w:rFonts w:cs="Times New Roman"/>
        </w:rPr>
        <w:fldChar w:fldCharType="end"/>
      </w:r>
    </w:p>
  </w:footnote>
  <w:footnote w:id="234">
    <w:p w14:paraId="4467A132" w14:textId="7ED7C2F4" w:rsidR="000D6C77" w:rsidRPr="00022216" w:rsidRDefault="000D6C77" w:rsidP="008430D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{"citationID":"iwJayXx1","properties":{"formattedCitation":"J. {\\scaps Ringelheim}, \\uc0\\u171{}\\uc0\\u160{}Les interdictions de port du foulard visant des femmes adultes. Analyse de la Ligue des droits de l\\uc0\\u8217{}Homme\\uc0\\u160{}\\uc0\\u187{}, {\\i{}op. cit.}, pp. 15\\uc0\\u8209{}16.","plainCitation":"J. Ringelheim, « Les interdictions de port du foulard visant des femmes adultes. Analyse de la Ligue des droits de l’Homme », op. cit., pp. 15‑16.","noteIndex":296},"citationItems":[{"id":2576,"uris":["http://zotero.org/users/5133869/items/GG4Z9FYN"],"itemData":{"id":2576,"type":"document","publisher":"Ligue des droits de l'homme","title":"Les interdictions de port du foulard visant des femmes adultes. Analyse de la Ligue des droits de l’Homme","URL":"www.liguedh.be","author":[{"family":"Ringelheim","given":"Julie"}],"accessed":{"date-parts":[["2022",8,31]]},"issued":{"date-parts":[["2017",10]]}},"locator":"15-16"}],"schema":"https://github.com/citation-style-language/schema/raw/master/csl-citation.json"} </w:instrText>
      </w:r>
      <w:r w:rsidRPr="00022216">
        <w:rPr>
          <w:rFonts w:cs="Times New Roman"/>
        </w:rPr>
        <w:fldChar w:fldCharType="separate"/>
      </w:r>
      <w:r w:rsidRPr="00022216">
        <w:rPr>
          <w:rFonts w:cs="Times New Roman"/>
        </w:rPr>
        <w:t xml:space="preserve">J. </w:t>
      </w:r>
      <w:r w:rsidRPr="00022216">
        <w:rPr>
          <w:rFonts w:cs="Times New Roman"/>
          <w:smallCaps/>
        </w:rPr>
        <w:t>Ringelheim</w:t>
      </w:r>
      <w:r w:rsidRPr="00022216">
        <w:rPr>
          <w:rFonts w:cs="Times New Roman"/>
        </w:rPr>
        <w:t xml:space="preserve">, « Les interdictions de port du foulard visant des femmes adultes. Analyse de la Ligue des droits de l’Homme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15‑16.</w:t>
      </w:r>
      <w:r w:rsidRPr="00022216">
        <w:rPr>
          <w:rFonts w:cs="Times New Roman"/>
        </w:rPr>
        <w:fldChar w:fldCharType="end"/>
      </w:r>
    </w:p>
  </w:footnote>
  <w:footnote w:id="235">
    <w:p w14:paraId="0E6C28A1" w14:textId="20DDA2EF" w:rsidR="000D6C77" w:rsidRPr="001765CA" w:rsidRDefault="000D6C77" w:rsidP="001765CA">
      <w:pPr>
        <w:pStyle w:val="Notedebasdepage"/>
      </w:pPr>
      <w:r>
        <w:rPr>
          <w:rStyle w:val="Appelnotedebasdep"/>
        </w:rPr>
        <w:footnoteRef/>
      </w:r>
      <w:r>
        <w:t xml:space="preserve"> Sur ce point, </w:t>
      </w:r>
      <w:proofErr w:type="spellStart"/>
      <w:r>
        <w:t>voy</w:t>
      </w:r>
      <w:proofErr w:type="spellEnd"/>
      <w:r>
        <w:t xml:space="preserve">. L. </w:t>
      </w:r>
      <w:r w:rsidRPr="001765CA">
        <w:rPr>
          <w:smallCaps/>
        </w:rPr>
        <w:t>Vanbellingen</w:t>
      </w:r>
      <w:r>
        <w:rPr>
          <w:smallCaps/>
        </w:rPr>
        <w:t xml:space="preserve">, </w:t>
      </w:r>
      <w:r w:rsidRPr="001765CA">
        <w:t>« L’entreprise neutre face à ses responsabilités vis-à-vis de la religion »,</w:t>
      </w:r>
      <w:r>
        <w:t xml:space="preserve"> </w:t>
      </w:r>
      <w:r w:rsidRPr="001765CA">
        <w:rPr>
          <w:i/>
          <w:iCs/>
        </w:rPr>
        <w:t>La responsabilité sociale des entreprises à l’égard des cultures, religions et convictions</w:t>
      </w:r>
      <w:r w:rsidRPr="001765CA">
        <w:t xml:space="preserve">, Louvain-la-Neuve, Presses universitaires de Louvain, </w:t>
      </w:r>
      <w:r>
        <w:t>2023</w:t>
      </w:r>
      <w:r w:rsidRPr="001765CA">
        <w:t xml:space="preserve"> (à paraître).</w:t>
      </w:r>
    </w:p>
  </w:footnote>
  <w:footnote w:id="236">
    <w:p w14:paraId="4A571495" w14:textId="055A0D49" w:rsidR="000D6C77" w:rsidRPr="00022216" w:rsidRDefault="000D6C77" w:rsidP="008430D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{"citationID":"dFlpATKW","properties":{"formattedCitation":"A. {\\scaps Fiorentino}, \\uc0\\u171{}\\uc0\\u160{}L\\uc0\\u8217{}accommodement raisonnable \\uc0\\u224{} l\\uc0\\u8217{}\\uc0\\u233{}preuve de la d\\uc0\\u233{}fiance judiciaire et de l\\uc0\\u8217{}int\\uc0\\u233{}r\\uc0\\u234{}t de l\\uc0\\u8217{}entreprise\\uc0\\u160{}\\uc0\\u187{}, {\\i{}in} V. {\\scaps Renaux-Personnic} (\\uc0\\u233{}d.), {\\i{}Le fait religieux dans l\\uc0\\u8217{}entreprise}, Aix-en-Provence, Presses universitaires d\\uc0\\u8217{}Aix-Marseille, 2018, p. 73.","plainCitation":"A. Fiorentino, « L’accommodement raisonnable à l’épreuve de la défiance judiciaire et de l’intérêt de l’entreprise », in V. Renaux-Personnic (éd.), Le fait religieux dans l’entreprise, Aix-en-Provence, Presses universitaires d’Aix-Marseille, 2018, p. 73.","noteIndex":299},"citationItems":[{"id":1193,"uris":["http://zotero.org/users/5133869/items/EZJ224KH"],"itemData":{"id":1193,"type":"chapter","container-title":"Le fait religieux dans l'entreprise","event-place":"Aix-en-Provence","page":"61-79","publisher":"Presses universitaires d'Aix-Marseille","publisher-place":"Aix-en-Provence","title":"L’accommodement raisonnable à l’épreuve de la défiance judiciaire et de l’intérêt de l’entreprise","author":[{"family":"Fiorentino","given":"Allison"}],"editor":[{"family":"Renaux-Personnic","given":"Virginie"}],"issued":{"date-parts":[["2018"]]}},"locator":"73"}],"schema":"https://github.com/citation-style-language/schema/raw/master/csl-citation.json"} </w:instrText>
      </w:r>
      <w:r w:rsidRPr="00022216">
        <w:rPr>
          <w:rFonts w:cs="Times New Roman"/>
        </w:rPr>
        <w:fldChar w:fldCharType="separate"/>
      </w:r>
      <w:r w:rsidRPr="00D57414">
        <w:rPr>
          <w:rFonts w:cs="Times New Roman"/>
          <w:szCs w:val="24"/>
        </w:rPr>
        <w:t xml:space="preserve">A. </w:t>
      </w:r>
      <w:r w:rsidRPr="00D57414">
        <w:rPr>
          <w:rFonts w:cs="Times New Roman"/>
          <w:smallCaps/>
          <w:szCs w:val="24"/>
        </w:rPr>
        <w:t>Fiorentino</w:t>
      </w:r>
      <w:r w:rsidRPr="00D57414">
        <w:rPr>
          <w:rFonts w:cs="Times New Roman"/>
          <w:szCs w:val="24"/>
        </w:rPr>
        <w:t xml:space="preserve">, « L’accommodement raisonnable à l’épreuve de la défiance judiciaire et de l’intérêt de l’entreprise », </w:t>
      </w:r>
      <w:r w:rsidRPr="00D57414">
        <w:rPr>
          <w:rFonts w:cs="Times New Roman"/>
          <w:i/>
          <w:iCs/>
          <w:szCs w:val="24"/>
        </w:rPr>
        <w:t>in</w:t>
      </w:r>
      <w:r w:rsidRPr="00D57414">
        <w:rPr>
          <w:rFonts w:cs="Times New Roman"/>
          <w:szCs w:val="24"/>
        </w:rPr>
        <w:t xml:space="preserve"> V. </w:t>
      </w:r>
      <w:proofErr w:type="spellStart"/>
      <w:r w:rsidRPr="00D57414">
        <w:rPr>
          <w:rFonts w:cs="Times New Roman"/>
          <w:smallCaps/>
          <w:szCs w:val="24"/>
        </w:rPr>
        <w:t>Renaux-Personnic</w:t>
      </w:r>
      <w:proofErr w:type="spellEnd"/>
      <w:r w:rsidRPr="00D57414">
        <w:rPr>
          <w:rFonts w:cs="Times New Roman"/>
          <w:szCs w:val="24"/>
        </w:rPr>
        <w:t xml:space="preserve"> (éd.), </w:t>
      </w:r>
      <w:r w:rsidRPr="00D57414">
        <w:rPr>
          <w:rFonts w:cs="Times New Roman"/>
          <w:i/>
          <w:iCs/>
          <w:szCs w:val="24"/>
        </w:rPr>
        <w:t>Le fait religieux dans l’entreprise</w:t>
      </w:r>
      <w:r w:rsidRPr="00D57414">
        <w:rPr>
          <w:rFonts w:cs="Times New Roman"/>
          <w:szCs w:val="24"/>
        </w:rPr>
        <w:t>, Aix-en-Provence, Presses universitaires d’Aix-Marseille, 2018, p. 73.</w:t>
      </w:r>
      <w:r w:rsidRPr="00022216">
        <w:rPr>
          <w:rFonts w:cs="Times New Roman"/>
        </w:rPr>
        <w:fldChar w:fldCharType="end"/>
      </w:r>
    </w:p>
  </w:footnote>
  <w:footnote w:id="237">
    <w:p w14:paraId="2D06A3A0" w14:textId="11D109A2" w:rsidR="000D6C77" w:rsidRPr="00D10092" w:rsidRDefault="000D6C77">
      <w:pPr>
        <w:pStyle w:val="Notedebasdepage"/>
        <w:rPr>
          <w:rFonts w:cs="Times New Roman"/>
        </w:rPr>
      </w:pPr>
      <w:r>
        <w:rPr>
          <w:rStyle w:val="Appelnotedebasdep"/>
        </w:rPr>
        <w:footnoteRef/>
      </w:r>
      <w:r>
        <w:t xml:space="preserve"> </w:t>
      </w:r>
      <w:r w:rsidRPr="00022216">
        <w:rPr>
          <w:rFonts w:cs="Times New Roman"/>
        </w:rPr>
        <w:fldChar w:fldCharType="begin"/>
      </w:r>
      <w:r>
        <w:rPr>
          <w:rFonts w:cs="Times New Roman"/>
        </w:rPr>
        <w:instrText xml:space="preserve"> ADDIN ZOTERO_ITEM CSL_CITATION {"citationID":"tRsZdMwy","properties":{"formattedCitation":"S. {\\scaps Hennette-Vauchez} et V. {\\scaps Valentin}, {\\i{}L\\uc0\\u8217{}affaire Baby Loup ou la Nouvelle La\\uc0\\u239{}cit\\uc0\\u233{}}, {\\i{}op. cit.}, p. 32\\uc0\\u160{}; E. {\\scaps Brems}, \\uc0\\u171{}\\uc0\\u160{}Analysis: European Court of Justice Allows Bans on Religious Dress in the Workplace\\uc0\\u160{}\\uc0\\u187{}, {\\i{}Blog de l\\uc0\\u8217{}Association Internationale de Droit Constitutionnel}, 25 mars 2017, disponible sur www.iacl-aidc-blog.org (Consult\\uc0\\u233{} le 31 ao\\uc0\\u251{}t 2022).","plainCitation":"S. Hennette-Vauchez et V. Valentin, L’affaire Baby Loup ou la Nouvelle Laïcité, op. cit., p. 32 ; E. Brems, « Analysis: European Court of Justice Allows Bans on Religious Dress in the Workplace », Blog de l’Association Internationale de Droit Constitutionnel, 25 mars 2017, disponible sur www.iacl-aidc-blog.org (Consulté le 31 août 2022).","noteIndex":303},"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32"},{"id":2577,"uris":["http://zotero.org/users/5133869/items/K8FY8KIS"],"itemData":{"id":2577,"type":"post-weblog","container-title":"Blog de l’Association Internationale de Droit Constitutionnel","title":"Analysis: European Court of Justice Allows Bans on Religious Dress in the Workplace","URL":"www.iacl-aidc-blog.org","author":[{"family":"Brems","given":"Eva"}],"accessed":{"date-parts":[["2022",8,31]]},"issued":{"date-parts":[["2017",3,25]]}}}],"schema":"https://github.com/citation-style-language/schema/raw/master/csl-citation.json"} </w:instrText>
      </w:r>
      <w:r w:rsidRPr="00022216">
        <w:rPr>
          <w:rFonts w:cs="Times New Roman"/>
        </w:rPr>
        <w:fldChar w:fldCharType="separate"/>
      </w:r>
      <w:r w:rsidRPr="00781475">
        <w:rPr>
          <w:rFonts w:cs="Times New Roman"/>
          <w:szCs w:val="24"/>
        </w:rPr>
        <w:t xml:space="preserve">S. </w:t>
      </w:r>
      <w:r w:rsidRPr="00781475">
        <w:rPr>
          <w:rFonts w:cs="Times New Roman"/>
          <w:smallCaps/>
          <w:szCs w:val="24"/>
        </w:rPr>
        <w:t>Hennette-Vauchez</w:t>
      </w:r>
      <w:r w:rsidRPr="00781475">
        <w:rPr>
          <w:rFonts w:cs="Times New Roman"/>
          <w:szCs w:val="24"/>
        </w:rPr>
        <w:t xml:space="preserve"> et V. </w:t>
      </w:r>
      <w:r w:rsidRPr="00781475">
        <w:rPr>
          <w:rFonts w:cs="Times New Roman"/>
          <w:smallCaps/>
          <w:szCs w:val="24"/>
        </w:rPr>
        <w:t>Valentin</w:t>
      </w:r>
      <w:r w:rsidRPr="00781475">
        <w:rPr>
          <w:rFonts w:cs="Times New Roman"/>
          <w:szCs w:val="24"/>
        </w:rPr>
        <w:t xml:space="preserve">, </w:t>
      </w:r>
      <w:r w:rsidRPr="00781475">
        <w:rPr>
          <w:rFonts w:cs="Times New Roman"/>
          <w:i/>
          <w:iCs/>
          <w:szCs w:val="24"/>
        </w:rPr>
        <w:t>L’affaire Baby Loup ou la Nouvelle Laïcité</w:t>
      </w:r>
      <w:r w:rsidRPr="00781475">
        <w:rPr>
          <w:rFonts w:cs="Times New Roman"/>
          <w:szCs w:val="24"/>
        </w:rPr>
        <w:t xml:space="preserve">, </w:t>
      </w:r>
      <w:r w:rsidRPr="00781475">
        <w:rPr>
          <w:rFonts w:cs="Times New Roman"/>
          <w:i/>
          <w:iCs/>
          <w:szCs w:val="24"/>
        </w:rPr>
        <w:t xml:space="preserve">op. </w:t>
      </w:r>
      <w:proofErr w:type="spellStart"/>
      <w:r w:rsidRPr="00781475">
        <w:rPr>
          <w:rFonts w:cs="Times New Roman"/>
          <w:i/>
          <w:iCs/>
          <w:szCs w:val="24"/>
        </w:rPr>
        <w:t>cit</w:t>
      </w:r>
      <w:proofErr w:type="spellEnd"/>
      <w:r w:rsidRPr="00781475">
        <w:rPr>
          <w:rFonts w:cs="Times New Roman"/>
          <w:i/>
          <w:iCs/>
          <w:szCs w:val="24"/>
        </w:rPr>
        <w:t>.</w:t>
      </w:r>
      <w:r w:rsidRPr="00781475">
        <w:rPr>
          <w:rFonts w:cs="Times New Roman"/>
          <w:szCs w:val="24"/>
        </w:rPr>
        <w:t xml:space="preserve">, p. 32 ; E. </w:t>
      </w:r>
      <w:proofErr w:type="spellStart"/>
      <w:r w:rsidRPr="00781475">
        <w:rPr>
          <w:rFonts w:cs="Times New Roman"/>
          <w:smallCaps/>
          <w:szCs w:val="24"/>
        </w:rPr>
        <w:t>Brems</w:t>
      </w:r>
      <w:proofErr w:type="spellEnd"/>
      <w:r w:rsidRPr="00781475">
        <w:rPr>
          <w:rFonts w:cs="Times New Roman"/>
          <w:szCs w:val="24"/>
        </w:rPr>
        <w:t>, « </w:t>
      </w:r>
      <w:proofErr w:type="spellStart"/>
      <w:r w:rsidRPr="00781475">
        <w:rPr>
          <w:rFonts w:cs="Times New Roman"/>
          <w:szCs w:val="24"/>
        </w:rPr>
        <w:t>Analysis</w:t>
      </w:r>
      <w:proofErr w:type="spellEnd"/>
      <w:r w:rsidRPr="00781475">
        <w:rPr>
          <w:rFonts w:cs="Times New Roman"/>
          <w:szCs w:val="24"/>
        </w:rPr>
        <w:t xml:space="preserve">: European Court of Justice </w:t>
      </w:r>
      <w:proofErr w:type="spellStart"/>
      <w:r w:rsidRPr="00781475">
        <w:rPr>
          <w:rFonts w:cs="Times New Roman"/>
          <w:szCs w:val="24"/>
        </w:rPr>
        <w:t>Allows</w:t>
      </w:r>
      <w:proofErr w:type="spellEnd"/>
      <w:r w:rsidRPr="00781475">
        <w:rPr>
          <w:rFonts w:cs="Times New Roman"/>
          <w:szCs w:val="24"/>
        </w:rPr>
        <w:t xml:space="preserve"> Bans on </w:t>
      </w:r>
      <w:proofErr w:type="spellStart"/>
      <w:r w:rsidRPr="00781475">
        <w:rPr>
          <w:rFonts w:cs="Times New Roman"/>
          <w:szCs w:val="24"/>
        </w:rPr>
        <w:t>Religious</w:t>
      </w:r>
      <w:proofErr w:type="spellEnd"/>
      <w:r w:rsidRPr="00781475">
        <w:rPr>
          <w:rFonts w:cs="Times New Roman"/>
          <w:szCs w:val="24"/>
        </w:rPr>
        <w:t xml:space="preserve"> </w:t>
      </w:r>
      <w:proofErr w:type="spellStart"/>
      <w:r w:rsidRPr="00781475">
        <w:rPr>
          <w:rFonts w:cs="Times New Roman"/>
          <w:szCs w:val="24"/>
        </w:rPr>
        <w:t>Dress</w:t>
      </w:r>
      <w:proofErr w:type="spellEnd"/>
      <w:r w:rsidRPr="00781475">
        <w:rPr>
          <w:rFonts w:cs="Times New Roman"/>
          <w:szCs w:val="24"/>
        </w:rPr>
        <w:t xml:space="preserve"> in the Workplace », </w:t>
      </w:r>
      <w:r w:rsidRPr="00781475">
        <w:rPr>
          <w:rFonts w:cs="Times New Roman"/>
          <w:i/>
          <w:iCs/>
          <w:szCs w:val="24"/>
        </w:rPr>
        <w:t>Blog de l’Association Internationale de Droit Constitutionnel</w:t>
      </w:r>
      <w:r w:rsidRPr="00781475">
        <w:rPr>
          <w:rFonts w:cs="Times New Roman"/>
          <w:szCs w:val="24"/>
        </w:rPr>
        <w:t>, 25 mars 2017, disponible sur www.iacl-aidc-blog.org (Consulté le 31 août 2022).</w:t>
      </w:r>
      <w:r w:rsidRPr="00022216">
        <w:rPr>
          <w:rFonts w:cs="Times New Roman"/>
        </w:rPr>
        <w:fldChar w:fldCharType="end"/>
      </w:r>
    </w:p>
  </w:footnote>
  <w:footnote w:id="238">
    <w:p w14:paraId="36BF27A9" w14:textId="584B1CDA" w:rsidR="000D6C77" w:rsidRPr="00D10092" w:rsidRDefault="000D6C77">
      <w:pPr>
        <w:pStyle w:val="Notedebasdepage"/>
        <w:rPr>
          <w:rFonts w:cs="Times New Roman"/>
        </w:rPr>
      </w:pPr>
      <w:r>
        <w:rPr>
          <w:rStyle w:val="Appelnotedebasdep"/>
        </w:rPr>
        <w:footnoteRef/>
      </w:r>
      <w:r>
        <w:t xml:space="preserve"> </w:t>
      </w:r>
      <w:r w:rsidRPr="00022216">
        <w:rPr>
          <w:rFonts w:cs="Times New Roman"/>
        </w:rPr>
        <w:fldChar w:fldCharType="begin"/>
      </w:r>
      <w:r>
        <w:rPr>
          <w:rFonts w:cs="Times New Roman"/>
        </w:rPr>
        <w:instrText xml:space="preserve"> ADDIN ZOTERO_ITEM CSL_CITATION {"citationID":"pVMR8jWW","properties":{"formattedCitation":"N. {\\scaps de}\\uc0\\u160{}{\\scaps Sevin}, \\uc0\\u171{}\\uc0\\u160{}Le silence religieux dans l\\uc0\\u8217{}entreprise. Quelques observations en guise de conclusions\\uc0\\u160{}\\uc0\\u187{}, {\\i{}La Semaine Juridique - Edition Sociale}, septembre 2017, n\\uc0\\u176{} 35, p. 1266.","plainCitation":"N. de Sevin, « Le silence religieux dans l’entreprise. Quelques observations en guise de conclusions », La Semaine Juridique - Edition Sociale, septembre 2017, n° 35, p. 1266.","noteIndex":301},"citationItems":[{"id":194,"uris":["http://zotero.org/users/5133869/items/BHCAKNUF"],"itemData":{"id":194,"type":"article-journal","container-title":"La Semaine Juridique - Edition Sociale","issue":"35","page":"1266","title":"Le silence religieux dans l’entreprise. Quelques observations en guise de conclusions","author":[{"family":"Sevin","given":"Nicolas","non-dropping-particle":"de"}],"issued":{"date-parts":[["2017",9,5]]}}}],"schema":"https://github.com/citation-style-language/schema/raw/master/csl-citation.json"} </w:instrText>
      </w:r>
      <w:r w:rsidRPr="00022216">
        <w:rPr>
          <w:rFonts w:cs="Times New Roman"/>
        </w:rPr>
        <w:fldChar w:fldCharType="separate"/>
      </w:r>
      <w:r w:rsidRPr="00027F16">
        <w:rPr>
          <w:rFonts w:cs="Times New Roman"/>
          <w:szCs w:val="24"/>
        </w:rPr>
        <w:t xml:space="preserve">N. </w:t>
      </w:r>
      <w:r w:rsidRPr="00027F16">
        <w:rPr>
          <w:rFonts w:cs="Times New Roman"/>
          <w:smallCaps/>
          <w:szCs w:val="24"/>
        </w:rPr>
        <w:t>de</w:t>
      </w:r>
      <w:r w:rsidRPr="00027F16">
        <w:rPr>
          <w:rFonts w:cs="Times New Roman"/>
          <w:szCs w:val="24"/>
        </w:rPr>
        <w:t> </w:t>
      </w:r>
      <w:r w:rsidRPr="00027F16">
        <w:rPr>
          <w:rFonts w:cs="Times New Roman"/>
          <w:smallCaps/>
          <w:szCs w:val="24"/>
        </w:rPr>
        <w:t>Sevin</w:t>
      </w:r>
      <w:r w:rsidRPr="00027F16">
        <w:rPr>
          <w:rFonts w:cs="Times New Roman"/>
          <w:szCs w:val="24"/>
        </w:rPr>
        <w:t xml:space="preserve">, « Le silence religieux dans l’entreprise. Quelques observations en guise de conclusions », </w:t>
      </w:r>
      <w:r w:rsidRPr="00027F16">
        <w:rPr>
          <w:rFonts w:cs="Times New Roman"/>
          <w:i/>
          <w:iCs/>
          <w:szCs w:val="24"/>
        </w:rPr>
        <w:t>La Semaine Juridique - Edition Sociale</w:t>
      </w:r>
      <w:r w:rsidRPr="00027F16">
        <w:rPr>
          <w:rFonts w:cs="Times New Roman"/>
          <w:szCs w:val="24"/>
        </w:rPr>
        <w:t>, septembre 2017, n° 35, p. 1266.</w:t>
      </w:r>
      <w:r w:rsidRPr="00022216">
        <w:rPr>
          <w:rFonts w:cs="Times New Roman"/>
        </w:rPr>
        <w:fldChar w:fldCharType="end"/>
      </w:r>
    </w:p>
  </w:footnote>
  <w:footnote w:id="239">
    <w:p w14:paraId="74C39034" w14:textId="2CEFE5EC" w:rsidR="000D6C77" w:rsidRPr="00022216" w:rsidRDefault="000D6C77" w:rsidP="00002C48">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Pr>
          <w:rFonts w:cs="Times New Roman"/>
          <w:i/>
        </w:rPr>
        <w:t>Eweida</w:t>
      </w:r>
      <w:proofErr w:type="spellEnd"/>
      <w:r>
        <w:rPr>
          <w:rFonts w:cs="Times New Roman"/>
          <w:i/>
        </w:rPr>
        <w:t xml:space="preserve"> e.a.</w:t>
      </w:r>
      <w:r w:rsidRPr="00022216">
        <w:rPr>
          <w:rFonts w:cs="Times New Roman"/>
        </w:rPr>
        <w:t>, para. 94.</w:t>
      </w:r>
    </w:p>
  </w:footnote>
  <w:footnote w:id="240">
    <w:p w14:paraId="0D7FFDF3" w14:textId="37B3A752" w:rsidR="000D6C77" w:rsidRPr="00022216" w:rsidRDefault="000D6C77" w:rsidP="00002C48">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{"citationID":"SUpIa4H0","properties":{"formattedCitation":"F. {\\scaps K\\uc0\\u233{}fer}, \\uc0\\u171{}\\uc0\\u160{}L\\uc0\\u8217{}expression des convictions religieuses dans les relations de travail\\uc0\\u160{}\\uc0\\u187{}, {\\i{}op. cit.}, pp. 570\\uc0\\u8209{}571.","plainCitation":"F. Kéfer, « L’expression des convictions religieuses dans les relations de travail », op. cit., pp. 570‑571.","noteIndex":303},"citationItems":[{"id":1427,"uris":["http://zotero.org/users/5133869/items/C7TEAJD8"],"itemData":{"id":1427,"type":"article-journal","container-title":"Revue de Droit Social","issue":"3","page":"528-583","title":"L’expression des convictions religieuses dans les relations de travail","author":[{"family":"Kéfer","given":"Fabienne"}],"issued":{"date-parts":[["2017"]]}},"locator":"570-571"}],"schema":"https://github.com/citation-style-language/schema/raw/master/csl-citation.json"} </w:instrText>
      </w:r>
      <w:r w:rsidRPr="00022216">
        <w:rPr>
          <w:rFonts w:cs="Times New Roman"/>
        </w:rPr>
        <w:fldChar w:fldCharType="separate"/>
      </w:r>
      <w:r w:rsidRPr="00022216">
        <w:rPr>
          <w:rFonts w:cs="Times New Roman"/>
        </w:rPr>
        <w:t xml:space="preserve">F. </w:t>
      </w:r>
      <w:proofErr w:type="spellStart"/>
      <w:r w:rsidRPr="00022216">
        <w:rPr>
          <w:rFonts w:cs="Times New Roman"/>
          <w:smallCaps/>
        </w:rPr>
        <w:t>Kéfer</w:t>
      </w:r>
      <w:proofErr w:type="spellEnd"/>
      <w:r w:rsidRPr="00022216">
        <w:rPr>
          <w:rFonts w:cs="Times New Roman"/>
        </w:rPr>
        <w:t xml:space="preserve">, «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570‑571.</w:t>
      </w:r>
      <w:r w:rsidRPr="00022216">
        <w:rPr>
          <w:rFonts w:cs="Times New Roman"/>
        </w:rPr>
        <w:fldChar w:fldCharType="end"/>
      </w:r>
    </w:p>
  </w:footnote>
  <w:footnote w:id="241">
    <w:p w14:paraId="4588173B" w14:textId="77777777" w:rsidR="000D6C77" w:rsidRPr="00016D32" w:rsidRDefault="000D6C77" w:rsidP="005744DD">
      <w:pPr>
        <w:pStyle w:val="Notedebasdepage"/>
        <w:rPr>
          <w:szCs w:val="17"/>
        </w:rPr>
      </w:pPr>
      <w:r w:rsidRPr="00016D32">
        <w:rPr>
          <w:rStyle w:val="Appelnotedebasdep"/>
          <w:szCs w:val="17"/>
        </w:rPr>
        <w:footnoteRef/>
      </w:r>
      <w:r w:rsidRPr="00016D32">
        <w:rPr>
          <w:szCs w:val="17"/>
        </w:rPr>
        <w:t xml:space="preserve"> CJUE, 14 mars 2017 (</w:t>
      </w:r>
      <w:r w:rsidRPr="00016D32">
        <w:rPr>
          <w:i/>
          <w:iCs/>
          <w:szCs w:val="17"/>
        </w:rPr>
        <w:t xml:space="preserve">Samira </w:t>
      </w:r>
      <w:proofErr w:type="spellStart"/>
      <w:r w:rsidRPr="00016D32">
        <w:rPr>
          <w:i/>
          <w:iCs/>
          <w:szCs w:val="17"/>
        </w:rPr>
        <w:t>Achbita</w:t>
      </w:r>
      <w:proofErr w:type="spellEnd"/>
      <w:r w:rsidRPr="00016D32">
        <w:rPr>
          <w:i/>
          <w:iCs/>
          <w:szCs w:val="17"/>
        </w:rPr>
        <w:t>, Centre pour l’égalité des chances et la lutte contre le racisme c. G4S Secure Solutions NV</w:t>
      </w:r>
      <w:r w:rsidRPr="00016D32">
        <w:rPr>
          <w:szCs w:val="17"/>
        </w:rPr>
        <w:t>), C-157/15.</w:t>
      </w:r>
    </w:p>
  </w:footnote>
  <w:footnote w:id="242">
    <w:p w14:paraId="10F01651" w14:textId="77777777" w:rsidR="000D6C77" w:rsidRPr="00016D32" w:rsidRDefault="000D6C77" w:rsidP="005744DD">
      <w:pPr>
        <w:pStyle w:val="Notedebasdepage"/>
        <w:rPr>
          <w:szCs w:val="17"/>
        </w:rPr>
      </w:pPr>
      <w:r w:rsidRPr="00016D32">
        <w:rPr>
          <w:rStyle w:val="Appelnotedebasdep"/>
          <w:szCs w:val="17"/>
        </w:rPr>
        <w:footnoteRef/>
      </w:r>
      <w:r w:rsidRPr="00016D32">
        <w:rPr>
          <w:szCs w:val="17"/>
        </w:rPr>
        <w:t xml:space="preserve"> CJUE, 14 mars 2017 (</w:t>
      </w:r>
      <w:r w:rsidRPr="00016D32">
        <w:rPr>
          <w:i/>
          <w:iCs/>
          <w:szCs w:val="17"/>
        </w:rPr>
        <w:t xml:space="preserve">Asma Bougnaoui, Association de défense des droits de l’homme c. </w:t>
      </w:r>
      <w:proofErr w:type="spellStart"/>
      <w:r w:rsidRPr="00016D32">
        <w:rPr>
          <w:i/>
          <w:iCs/>
          <w:szCs w:val="17"/>
        </w:rPr>
        <w:t>Micropole</w:t>
      </w:r>
      <w:proofErr w:type="spellEnd"/>
      <w:r w:rsidRPr="00016D32">
        <w:rPr>
          <w:i/>
          <w:iCs/>
          <w:szCs w:val="17"/>
        </w:rPr>
        <w:t xml:space="preserve"> S.A.</w:t>
      </w:r>
      <w:r w:rsidRPr="00016D32">
        <w:rPr>
          <w:szCs w:val="17"/>
        </w:rPr>
        <w:t>), C-188/15.</w:t>
      </w:r>
    </w:p>
  </w:footnote>
  <w:footnote w:id="243">
    <w:p w14:paraId="17CA46D7" w14:textId="77777777" w:rsidR="000D6C77" w:rsidRPr="00016D32" w:rsidRDefault="000D6C77" w:rsidP="005744DD">
      <w:pPr>
        <w:pStyle w:val="Notedebasdepage"/>
        <w:rPr>
          <w:szCs w:val="17"/>
        </w:rPr>
      </w:pPr>
      <w:r w:rsidRPr="00016D32">
        <w:rPr>
          <w:rStyle w:val="Appelnotedebasdep"/>
          <w:szCs w:val="17"/>
        </w:rPr>
        <w:footnoteRef/>
      </w:r>
      <w:r w:rsidRPr="00016D32">
        <w:rPr>
          <w:szCs w:val="17"/>
        </w:rPr>
        <w:t xml:space="preserve"> CJUE, </w:t>
      </w:r>
      <w:r w:rsidRPr="00016D32">
        <w:rPr>
          <w:i/>
          <w:iCs/>
          <w:szCs w:val="17"/>
        </w:rPr>
        <w:t>Bougnaoui</w:t>
      </w:r>
      <w:r w:rsidRPr="00016D32">
        <w:rPr>
          <w:szCs w:val="17"/>
        </w:rPr>
        <w:t>, para. 41.</w:t>
      </w:r>
    </w:p>
  </w:footnote>
  <w:footnote w:id="244">
    <w:p w14:paraId="460C700F" w14:textId="77777777" w:rsidR="000D6C77" w:rsidRPr="00016D32" w:rsidRDefault="000D6C77" w:rsidP="005744DD">
      <w:pPr>
        <w:pStyle w:val="Notedebasdepage"/>
        <w:rPr>
          <w:szCs w:val="17"/>
        </w:rPr>
      </w:pPr>
      <w:r w:rsidRPr="00016D32">
        <w:rPr>
          <w:rStyle w:val="Appelnotedebasdep"/>
          <w:szCs w:val="17"/>
        </w:rPr>
        <w:footnoteRef/>
      </w:r>
      <w:r w:rsidRPr="00016D32">
        <w:rPr>
          <w:szCs w:val="17"/>
        </w:rPr>
        <w:t xml:space="preserve"> CJUE, </w:t>
      </w:r>
      <w:proofErr w:type="spellStart"/>
      <w:r w:rsidRPr="00016D32">
        <w:rPr>
          <w:i/>
          <w:iCs/>
          <w:szCs w:val="17"/>
        </w:rPr>
        <w:t>Achbita</w:t>
      </w:r>
      <w:proofErr w:type="spellEnd"/>
      <w:r w:rsidRPr="00016D32">
        <w:rPr>
          <w:szCs w:val="17"/>
        </w:rPr>
        <w:t>, para. 37.</w:t>
      </w:r>
    </w:p>
  </w:footnote>
  <w:footnote w:id="245">
    <w:p w14:paraId="215962FE" w14:textId="0239BC12" w:rsidR="000D6C77" w:rsidRPr="00E74ED6" w:rsidRDefault="000D6C77" w:rsidP="00002C48">
      <w:pPr>
        <w:pStyle w:val="Notedebasdepage"/>
      </w:pPr>
      <w:r>
        <w:rPr>
          <w:rStyle w:val="Appelnotedebasdep"/>
        </w:rPr>
        <w:footnoteRef/>
      </w:r>
      <w:r w:rsidRPr="00E74ED6">
        <w:t xml:space="preserve"> </w:t>
      </w:r>
      <w:r>
        <w:t xml:space="preserve">CJUE, </w:t>
      </w:r>
      <w:r>
        <w:rPr>
          <w:i/>
        </w:rPr>
        <w:t>WABE-Müller</w:t>
      </w:r>
      <w:r>
        <w:t>, para. 76.</w:t>
      </w:r>
    </w:p>
  </w:footnote>
  <w:footnote w:id="246">
    <w:p w14:paraId="401721D7" w14:textId="050D2884" w:rsidR="000D6C77" w:rsidRPr="00D21F1A" w:rsidRDefault="000D6C77" w:rsidP="00FC40D8">
      <w:pPr>
        <w:pStyle w:val="Notedebasdepage"/>
      </w:pPr>
      <w:r>
        <w:rPr>
          <w:rStyle w:val="Appelnotedebasdep"/>
        </w:rPr>
        <w:footnoteRef/>
      </w:r>
      <w:r>
        <w:t xml:space="preserve"> CJUE, </w:t>
      </w:r>
      <w:r>
        <w:rPr>
          <w:i/>
          <w:iCs/>
        </w:rPr>
        <w:t>LF c. SCRL</w:t>
      </w:r>
      <w:r>
        <w:t>, para. 41 (</w:t>
      </w:r>
      <w:proofErr w:type="spellStart"/>
      <w:r>
        <w:t>voy</w:t>
      </w:r>
      <w:proofErr w:type="spellEnd"/>
      <w:r>
        <w:t xml:space="preserve">., </w:t>
      </w:r>
      <w:r>
        <w:rPr>
          <w:i/>
          <w:iCs/>
        </w:rPr>
        <w:t>supra</w:t>
      </w:r>
      <w:r>
        <w:t xml:space="preserve">, paras. </w:t>
      </w:r>
      <w:r>
        <w:fldChar w:fldCharType="begin"/>
      </w:r>
      <w:r>
        <w:instrText xml:space="preserve"> REF _Ref121670354 \r \h </w:instrText>
      </w:r>
      <w:r>
        <w:fldChar w:fldCharType="separate"/>
      </w:r>
      <w:r>
        <w:t>51</w:t>
      </w:r>
      <w:r>
        <w:fldChar w:fldCharType="end"/>
      </w:r>
      <w:r>
        <w:t xml:space="preserve"> et </w:t>
      </w:r>
      <w:r>
        <w:fldChar w:fldCharType="begin"/>
      </w:r>
      <w:r>
        <w:instrText xml:space="preserve"> REF _Ref121670361 \r \h </w:instrText>
      </w:r>
      <w:r>
        <w:fldChar w:fldCharType="separate"/>
      </w:r>
      <w:r>
        <w:t>57</w:t>
      </w:r>
      <w:r>
        <w:fldChar w:fldCharType="end"/>
      </w:r>
      <w:r>
        <w:t>).</w:t>
      </w:r>
    </w:p>
  </w:footnote>
  <w:footnote w:id="247">
    <w:p w14:paraId="7D3777F9" w14:textId="75CB9B6A" w:rsidR="000D6C77" w:rsidRPr="00022216" w:rsidRDefault="000D6C77" w:rsidP="00002C48">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{"citationID":"1jtuefTt","properties":{"formattedCitation":"C. {\\scaps Wolmark}, \\uc0\\u171{}\\uc0\\u160{}La neutralit\\uc0\\u233{} du salari\\uc0\\u233{}\\uc0\\u160{}\\uc0\\u187{}, {\\i{}op. cit.}, p. 732.","plainCitation":"C. Wolmark, « La neutralité du salarié », op. cit., p. 732.","noteIndex":310},"citationItems":[{"id":99,"uris":["http://zotero.org/users/5133869/items/6C7TXAS6"],"itemData":{"id":99,"type":"article-journal","container-title":"Revue de Droit du Travail","page":"726-734","title":"La neutralité du salarié","author":[{"family":"Wolmark","given":"Cyril"}],"issued":{"date-parts":[["2018"]]}},"locator":"732"}],"schema":"https://github.com/citation-style-language/schema/raw/master/csl-citation.json"} </w:instrText>
      </w:r>
      <w:r w:rsidRPr="00022216">
        <w:rPr>
          <w:rFonts w:cs="Times New Roman"/>
        </w:rPr>
        <w:fldChar w:fldCharType="separate"/>
      </w:r>
      <w:r w:rsidRPr="00022216">
        <w:rPr>
          <w:rFonts w:cs="Times New Roman"/>
        </w:rPr>
        <w:t xml:space="preserve">C. </w:t>
      </w:r>
      <w:r w:rsidRPr="00022216">
        <w:rPr>
          <w:rFonts w:cs="Times New Roman"/>
          <w:smallCaps/>
        </w:rPr>
        <w:t>Wolmark</w:t>
      </w:r>
      <w:r w:rsidRPr="00022216">
        <w:rPr>
          <w:rFonts w:cs="Times New Roman"/>
        </w:rPr>
        <w:t xml:space="preserve">, « La neutralité du salarié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732.</w:t>
      </w:r>
      <w:r w:rsidRPr="00022216">
        <w:rPr>
          <w:rFonts w:cs="Times New Roman"/>
        </w:rPr>
        <w:fldChar w:fldCharType="end"/>
      </w:r>
    </w:p>
  </w:footnote>
  <w:footnote w:id="248">
    <w:p w14:paraId="54028A29" w14:textId="7C83FAEB" w:rsidR="000D6C77" w:rsidRPr="00022216" w:rsidRDefault="000D6C77" w:rsidP="00002C48">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w:t>
      </w:r>
      <w:r>
        <w:rPr>
          <w:rFonts w:cs="Times New Roman"/>
        </w:rPr>
        <w:t>t</w:t>
      </w:r>
      <w:r w:rsidRPr="00022216">
        <w:rPr>
          <w:rFonts w:cs="Times New Roman"/>
        </w:rPr>
        <w:t xml:space="preserve">rib. trav. Bruxelles, 28 mai 2018, n° 16/7231/A, disponible sur </w:t>
      </w:r>
      <w:hyperlink r:id="rId14" w:history="1">
        <w:r w:rsidRPr="00022216">
          <w:rPr>
            <w:rStyle w:val="Lienhypertexte"/>
            <w:rFonts w:cs="Times New Roman"/>
          </w:rPr>
          <w:t>www.unia.be</w:t>
        </w:r>
      </w:hyperlink>
      <w:r w:rsidRPr="00022216">
        <w:rPr>
          <w:rFonts w:cs="Times New Roman"/>
        </w:rPr>
        <w:t xml:space="preserve"> ; </w:t>
      </w:r>
      <w:r>
        <w:rPr>
          <w:rFonts w:cs="Times New Roman"/>
        </w:rPr>
        <w:t>t</w:t>
      </w:r>
      <w:r w:rsidRPr="00022216">
        <w:rPr>
          <w:rFonts w:cs="Times New Roman"/>
        </w:rPr>
        <w:t xml:space="preserve">rib. trav. Liège (div. Verviers), 20 février 2019, n° 15/678/A, disponible sur </w:t>
      </w:r>
      <w:hyperlink r:id="rId15" w:history="1">
        <w:r w:rsidRPr="00022216">
          <w:rPr>
            <w:rStyle w:val="Lienhypertexte"/>
            <w:rFonts w:cs="Times New Roman"/>
          </w:rPr>
          <w:t>www.unia.be</w:t>
        </w:r>
      </w:hyperlink>
      <w:r>
        <w:rPr>
          <w:rFonts w:cs="Times New Roman"/>
        </w:rPr>
        <w:t xml:space="preserve"> ; C. trav. Liège, 30 avril 2021, </w:t>
      </w:r>
      <w:r w:rsidRPr="007A46FF">
        <w:rPr>
          <w:i/>
        </w:rPr>
        <w:t>J.T.T.</w:t>
      </w:r>
      <w:r w:rsidRPr="007A46FF">
        <w:t>, 2021, n° 18, pp. 310-318</w:t>
      </w:r>
      <w:r>
        <w:rPr>
          <w:rFonts w:cs="Times New Roman"/>
        </w:rPr>
        <w:t>.</w:t>
      </w:r>
    </w:p>
  </w:footnote>
  <w:footnote w:id="249">
    <w:p w14:paraId="007B26BB" w14:textId="167CB072" w:rsidR="000D6C77" w:rsidRPr="00022216" w:rsidRDefault="000D6C77" w:rsidP="00002C48">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les arrêts de la Cour de cassation</w:t>
      </w:r>
      <w:r>
        <w:rPr>
          <w:rFonts w:cs="Times New Roman"/>
        </w:rPr>
        <w:t xml:space="preserve"> </w:t>
      </w:r>
      <w:r w:rsidRPr="00022216">
        <w:rPr>
          <w:rFonts w:cs="Times New Roman"/>
        </w:rPr>
        <w:t xml:space="preserve">(ch. soc., 22 novembre 2017, </w:t>
      </w:r>
      <w:proofErr w:type="spellStart"/>
      <w:r w:rsidRPr="00022216">
        <w:rPr>
          <w:rFonts w:cs="Times New Roman"/>
        </w:rPr>
        <w:t>req</w:t>
      </w:r>
      <w:proofErr w:type="spellEnd"/>
      <w:r w:rsidRPr="00022216">
        <w:rPr>
          <w:rFonts w:cs="Times New Roman"/>
        </w:rPr>
        <w:t>. n° 13-19.855) et de la Cour d’appel de Versailles (29 novembre 2018</w:t>
      </w:r>
      <w:r>
        <w:rPr>
          <w:rFonts w:cs="Times New Roman"/>
        </w:rPr>
        <w:t xml:space="preserve">, </w:t>
      </w:r>
      <w:r w:rsidRPr="00022216">
        <w:rPr>
          <w:rFonts w:cs="Times New Roman"/>
        </w:rPr>
        <w:t xml:space="preserve">21e ch., n° 17/012498) dans l’affaire </w:t>
      </w:r>
      <w:r w:rsidRPr="00022216">
        <w:rPr>
          <w:rFonts w:cs="Times New Roman"/>
          <w:i/>
          <w:iCs/>
        </w:rPr>
        <w:t>Bougnaoui</w:t>
      </w:r>
      <w:r w:rsidRPr="00022216">
        <w:rPr>
          <w:rFonts w:cs="Times New Roman"/>
        </w:rPr>
        <w:t>.</w:t>
      </w:r>
    </w:p>
  </w:footnote>
  <w:footnote w:id="250">
    <w:p w14:paraId="011DA832" w14:textId="6C755BD1" w:rsidR="000D6C77" w:rsidRPr="00B93DA0" w:rsidRDefault="000D6C77">
      <w:pPr>
        <w:pStyle w:val="Notedebasdepage"/>
      </w:pPr>
      <w:r>
        <w:rPr>
          <w:rStyle w:val="Appelnotedebasdep"/>
        </w:rPr>
        <w:footnoteRef/>
      </w:r>
      <w:r>
        <w:t xml:space="preserve"> CJUE, </w:t>
      </w:r>
      <w:proofErr w:type="spellStart"/>
      <w:r>
        <w:rPr>
          <w:i/>
          <w:iCs/>
        </w:rPr>
        <w:t>Achbita</w:t>
      </w:r>
      <w:proofErr w:type="spellEnd"/>
      <w:r>
        <w:t xml:space="preserve">¸ para. 40. </w:t>
      </w:r>
    </w:p>
  </w:footnote>
  <w:footnote w:id="251">
    <w:p w14:paraId="63584D78" w14:textId="0CFCA32C" w:rsidR="000D6C77" w:rsidRPr="00B93DA0" w:rsidRDefault="000D6C77" w:rsidP="00B93DA0">
      <w:pPr>
        <w:pStyle w:val="Notedebasdepage"/>
      </w:pPr>
      <w:r>
        <w:rPr>
          <w:rStyle w:val="Appelnotedebasdep"/>
        </w:rPr>
        <w:footnoteRef/>
      </w:r>
      <w:r>
        <w:t xml:space="preserve"> </w:t>
      </w:r>
      <w:r w:rsidRPr="00A07E08">
        <w:t xml:space="preserve">CJUE, </w:t>
      </w:r>
      <w:proofErr w:type="spellStart"/>
      <w:r w:rsidRPr="00B93DA0">
        <w:rPr>
          <w:i/>
          <w:iCs/>
        </w:rPr>
        <w:t>Achbita</w:t>
      </w:r>
      <w:proofErr w:type="spellEnd"/>
      <w:r>
        <w:t>, para. 42.</w:t>
      </w:r>
    </w:p>
  </w:footnote>
  <w:footnote w:id="252">
    <w:p w14:paraId="4CA1EEC2" w14:textId="6CDD14FE" w:rsidR="000D6C77" w:rsidRPr="00242CFE" w:rsidRDefault="000D6C77">
      <w:pPr>
        <w:pStyle w:val="Notedebasdepage"/>
      </w:pPr>
      <w:r>
        <w:rPr>
          <w:rStyle w:val="Appelnotedebasdep"/>
        </w:rPr>
        <w:footnoteRef/>
      </w:r>
      <w:r>
        <w:t xml:space="preserve"> </w:t>
      </w:r>
      <w:r w:rsidRPr="00066FA9">
        <w:t xml:space="preserve">CJUE, </w:t>
      </w:r>
      <w:proofErr w:type="spellStart"/>
      <w:r w:rsidRPr="00B93DA0">
        <w:rPr>
          <w:i/>
          <w:iCs/>
        </w:rPr>
        <w:t>Achbita</w:t>
      </w:r>
      <w:proofErr w:type="spellEnd"/>
      <w:r>
        <w:t>, para. 43. D’aucuns ont été tentés de voir, dans ce critère inédit, une forme de reconnaissance ou d’élargissement de l’obligation d’</w:t>
      </w:r>
      <w:r w:rsidRPr="00B4348E">
        <w:rPr>
          <w:i/>
          <w:iCs/>
        </w:rPr>
        <w:t xml:space="preserve">aménagement raisonnable </w:t>
      </w:r>
      <w:r>
        <w:t xml:space="preserve">au cas de la religion sur le lieu de travail : </w:t>
      </w:r>
      <w:proofErr w:type="spellStart"/>
      <w:r>
        <w:rPr>
          <w:rFonts w:cs="Times New Roman"/>
        </w:rPr>
        <w:t>voy</w:t>
      </w:r>
      <w:proofErr w:type="spellEnd"/>
      <w:r>
        <w:rPr>
          <w:rFonts w:cs="Times New Roman"/>
        </w:rPr>
        <w:t xml:space="preserve">. ainsi l’arrêt rendu par la Cour du travail de Gand en tant que cour de renvoi dans l’affaire </w:t>
      </w:r>
      <w:proofErr w:type="spellStart"/>
      <w:r>
        <w:rPr>
          <w:rFonts w:cs="Times New Roman"/>
          <w:i/>
          <w:iCs/>
        </w:rPr>
        <w:t>Achbita</w:t>
      </w:r>
      <w:proofErr w:type="spellEnd"/>
      <w:r>
        <w:rPr>
          <w:rFonts w:cs="Times New Roman"/>
          <w:i/>
          <w:iCs/>
        </w:rPr>
        <w:t> </w:t>
      </w:r>
      <w:r>
        <w:rPr>
          <w:rFonts w:cs="Times New Roman"/>
        </w:rPr>
        <w:t>(</w:t>
      </w:r>
      <w:r w:rsidRPr="005022C3">
        <w:t>12 octobre 2020,</w:t>
      </w:r>
      <w:r>
        <w:t xml:space="preserve"> </w:t>
      </w:r>
      <w:r>
        <w:rPr>
          <w:i/>
          <w:iCs/>
        </w:rPr>
        <w:t>J.T.T.</w:t>
      </w:r>
      <w:r>
        <w:t>, 2021, p. 166</w:t>
      </w:r>
      <w:r>
        <w:rPr>
          <w:rFonts w:cs="Times New Roman"/>
        </w:rPr>
        <w:t>) : celle-ci considère « quelque peu surprenante » la formulation d’une obligation de reclassement par la CJUE, dans la mesure où l’obligation d’aménagement raisonnable est prévue par la Directive 2000/78 sur la base du seul critère lié au handicap</w:t>
      </w:r>
      <w:r>
        <w:rPr>
          <w:rFonts w:cs="Times New Roman"/>
        </w:rPr>
        <w:fldChar w:fldCharType="begin"/>
      </w:r>
      <w:r>
        <w:rPr>
          <w:rFonts w:cs="Times New Roman"/>
        </w:rPr>
        <w:instrText xml:space="preserve"> XE "</w:instrText>
      </w:r>
      <w:r w:rsidRPr="005F6D4C">
        <w:rPr>
          <w:rFonts w:ascii="Cambria" w:eastAsia="Times New Roman" w:hAnsi="Cambria" w:cs="Calibri"/>
          <w:color w:val="000000"/>
          <w:lang w:eastAsia="fr-BE"/>
        </w:rPr>
        <w:instrText>Handicap"</w:instrText>
      </w:r>
      <w:r>
        <w:rPr>
          <w:rFonts w:cs="Times New Roman"/>
        </w:rPr>
        <w:instrText xml:space="preserve"> </w:instrText>
      </w:r>
      <w:r>
        <w:rPr>
          <w:rFonts w:cs="Times New Roman"/>
        </w:rPr>
        <w:fldChar w:fldCharType="end"/>
      </w:r>
      <w:r>
        <w:rPr>
          <w:rFonts w:cs="Times New Roman"/>
        </w:rPr>
        <w:t>. Précisons toutefois que, dans le cas du handicap, le critère retenu est celui de la « </w:t>
      </w:r>
      <w:r>
        <w:t>charge disproportionnée » (Directive 2000/78/CE, art. 5), et non de l</w:t>
      </w:r>
      <w:r>
        <w:rPr>
          <w:rFonts w:cs="Times New Roman"/>
        </w:rPr>
        <w:t xml:space="preserve">’absence complète de charge. </w:t>
      </w:r>
      <w:r>
        <w:t xml:space="preserve">Par ailleurs, sur l’influence de la taille de l’entreprise sur cette obligation de reclassement interne, </w:t>
      </w:r>
      <w:proofErr w:type="spellStart"/>
      <w:r>
        <w:t>voy</w:t>
      </w:r>
      <w:proofErr w:type="spellEnd"/>
      <w:r>
        <w:t xml:space="preserve">., </w:t>
      </w:r>
      <w:r>
        <w:rPr>
          <w:i/>
          <w:iCs/>
        </w:rPr>
        <w:t>supra</w:t>
      </w:r>
      <w:r>
        <w:t xml:space="preserve">, para. </w:t>
      </w:r>
      <w:r>
        <w:fldChar w:fldCharType="begin"/>
      </w:r>
      <w:r>
        <w:instrText xml:space="preserve"> REF _Ref120977471 \r \h </w:instrText>
      </w:r>
      <w:r>
        <w:fldChar w:fldCharType="separate"/>
      </w:r>
      <w:r>
        <w:t>40</w:t>
      </w:r>
      <w:r>
        <w:fldChar w:fldCharType="end"/>
      </w:r>
      <w:r>
        <w:t>.</w:t>
      </w:r>
    </w:p>
  </w:footnote>
  <w:footnote w:id="253">
    <w:p w14:paraId="20328469" w14:textId="72FBE190" w:rsidR="000D6C77" w:rsidRPr="00576D43" w:rsidRDefault="000D6C77">
      <w:pPr>
        <w:pStyle w:val="Notedebasdepage"/>
      </w:pPr>
      <w:r>
        <w:rPr>
          <w:rStyle w:val="Appelnotedebasdep"/>
        </w:rPr>
        <w:footnoteRef/>
      </w:r>
      <w:r>
        <w:t xml:space="preserve"> </w:t>
      </w:r>
      <w:r w:rsidRPr="00066FA9">
        <w:t xml:space="preserve">CJUE, </w:t>
      </w:r>
      <w:r>
        <w:rPr>
          <w:i/>
          <w:iCs/>
        </w:rPr>
        <w:t>WABE-Müller</w:t>
      </w:r>
      <w:r>
        <w:t>, para. 64.</w:t>
      </w:r>
    </w:p>
  </w:footnote>
  <w:footnote w:id="254">
    <w:p w14:paraId="7738E47B" w14:textId="2C7B4A56" w:rsidR="000D6C77" w:rsidRDefault="000D6C77">
      <w:pPr>
        <w:pStyle w:val="Notedebasdepage"/>
      </w:pPr>
      <w:r>
        <w:rPr>
          <w:rStyle w:val="Appelnotedebasdep"/>
        </w:rPr>
        <w:footnoteRef/>
      </w:r>
      <w:r>
        <w:t xml:space="preserve"> CJUE, </w:t>
      </w:r>
      <w:r w:rsidRPr="00576D43">
        <w:rPr>
          <w:i/>
          <w:iCs/>
        </w:rPr>
        <w:t>WABE-Müller</w:t>
      </w:r>
      <w:r w:rsidRPr="00576D43">
        <w:t>, para.</w:t>
      </w:r>
      <w:r>
        <w:t xml:space="preserve"> 65.</w:t>
      </w:r>
    </w:p>
  </w:footnote>
  <w:footnote w:id="255">
    <w:p w14:paraId="0B633335" w14:textId="5E62E68C" w:rsidR="000D6C77" w:rsidRDefault="000D6C77">
      <w:pPr>
        <w:pStyle w:val="Notedebasdepage"/>
      </w:pPr>
      <w:r>
        <w:rPr>
          <w:rStyle w:val="Appelnotedebasdep"/>
        </w:rPr>
        <w:footnoteRef/>
      </w:r>
      <w:r>
        <w:t xml:space="preserve"> </w:t>
      </w:r>
      <w:r w:rsidRPr="004D023C">
        <w:t xml:space="preserve">CJUE, </w:t>
      </w:r>
      <w:r w:rsidRPr="00576D43">
        <w:rPr>
          <w:i/>
          <w:iCs/>
        </w:rPr>
        <w:t>WABE-Müller</w:t>
      </w:r>
      <w:r w:rsidRPr="00576D43">
        <w:t>, para.</w:t>
      </w:r>
      <w:r>
        <w:t xml:space="preserve"> 67.</w:t>
      </w:r>
    </w:p>
  </w:footnote>
  <w:footnote w:id="256">
    <w:p w14:paraId="771B31DD" w14:textId="1AB6F560"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{"citationID":"ruU8WM85","properties":{"formattedCitation":"F. {\\scaps K\\uc0\\u233{}fer}, \\uc0\\u171{}\\uc0\\u160{}L\\uc0\\u8217{}expression des convictions religieuses dans les relations de travail\\uc0\\u160{}\\uc0\\u187{}, {\\i{}op. cit.}, pp. 570\\uc0\\u8209{}571.","plainCitation":"F. Kéfer, « L’expression des convictions religieuses dans les relations de travail », op. cit., pp. 570‑571.","noteIndex":319},"citationItems":[{"id":1427,"uris":["http://zotero.org/users/5133869/items/C7TEAJD8"],"itemData":{"id":1427,"type":"article-journal","container-title":"Revue de Droit Social","issue":"3","page":"528-583","title":"L’expression des convictions religieuses dans les relations de travail","author":[{"family":"Kéfer","given":"Fabienne"}],"issued":{"date-parts":[["2017"]]}},"locator":"570-571"}],"schema":"https://github.com/citation-style-language/schema/raw/master/csl-citation.json"} </w:instrText>
      </w:r>
      <w:r w:rsidRPr="00022216">
        <w:rPr>
          <w:rFonts w:cs="Times New Roman"/>
        </w:rPr>
        <w:fldChar w:fldCharType="separate"/>
      </w:r>
      <w:r w:rsidRPr="00022216">
        <w:rPr>
          <w:rFonts w:cs="Times New Roman"/>
        </w:rPr>
        <w:t xml:space="preserve">F. </w:t>
      </w:r>
      <w:proofErr w:type="spellStart"/>
      <w:r w:rsidRPr="00022216">
        <w:rPr>
          <w:rFonts w:cs="Times New Roman"/>
          <w:smallCaps/>
        </w:rPr>
        <w:t>Kéfer</w:t>
      </w:r>
      <w:proofErr w:type="spellEnd"/>
      <w:r w:rsidRPr="00022216">
        <w:rPr>
          <w:rFonts w:cs="Times New Roman"/>
        </w:rPr>
        <w:t xml:space="preserve">, «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570‑571.</w:t>
      </w:r>
      <w:r w:rsidRPr="00022216">
        <w:rPr>
          <w:rFonts w:cs="Times New Roman"/>
        </w:rPr>
        <w:fldChar w:fldCharType="end"/>
      </w:r>
    </w:p>
  </w:footnote>
  <w:footnote w:id="257">
    <w:p w14:paraId="6954D2E9" w14:textId="5F866CEE" w:rsidR="000D6C77" w:rsidRPr="00B601A0" w:rsidRDefault="000D6C77" w:rsidP="00856F6D">
      <w:pPr>
        <w:pStyle w:val="Notedebasdepage"/>
        <w:rPr>
          <w:rFonts w:cs="Times New Roman"/>
          <w:lang w:val="nl-BE"/>
        </w:rPr>
      </w:pPr>
      <w:r w:rsidRPr="00022216">
        <w:rPr>
          <w:rStyle w:val="Appelnotedebasdep"/>
          <w:rFonts w:cs="Times New Roman"/>
        </w:rPr>
        <w:footnoteRef/>
      </w:r>
      <w:r w:rsidRPr="00022216">
        <w:rPr>
          <w:rFonts w:cs="Times New Roman"/>
        </w:rPr>
        <w:t xml:space="preserve"> </w:t>
      </w:r>
      <w:proofErr w:type="spellStart"/>
      <w:r w:rsidRPr="00022216">
        <w:rPr>
          <w:rFonts w:cs="Times New Roman"/>
        </w:rPr>
        <w:t>Voy</w:t>
      </w:r>
      <w:proofErr w:type="spellEnd"/>
      <w:r w:rsidRPr="00022216">
        <w:rPr>
          <w:rFonts w:cs="Times New Roman"/>
        </w:rPr>
        <w:t xml:space="preserve">. aussi les conclusions concordantes de l’Avocat général </w:t>
      </w:r>
      <w:proofErr w:type="spellStart"/>
      <w:r w:rsidRPr="00022216">
        <w:rPr>
          <w:rFonts w:cs="Times New Roman"/>
        </w:rPr>
        <w:t>Kokott</w:t>
      </w:r>
      <w:proofErr w:type="spellEnd"/>
      <w:r w:rsidRPr="00022216">
        <w:rPr>
          <w:rFonts w:cs="Times New Roman"/>
        </w:rPr>
        <w:t xml:space="preserve"> sur ce point</w:t>
      </w:r>
      <w:r>
        <w:rPr>
          <w:rFonts w:cs="Times New Roman"/>
        </w:rPr>
        <w:t xml:space="preserve">, rendues dans la perspective de l’arrêt </w:t>
      </w:r>
      <w:proofErr w:type="spellStart"/>
      <w:r>
        <w:rPr>
          <w:rFonts w:cs="Times New Roman"/>
          <w:i/>
          <w:iCs/>
        </w:rPr>
        <w:t>Achbita</w:t>
      </w:r>
      <w:proofErr w:type="spellEnd"/>
      <w:r w:rsidRPr="00022216">
        <w:rPr>
          <w:rFonts w:cs="Times New Roman"/>
        </w:rPr>
        <w:t xml:space="preserve"> (paras</w:t>
      </w:r>
      <w:r>
        <w:rPr>
          <w:rFonts w:cs="Times New Roman"/>
        </w:rPr>
        <w:t>.</w:t>
      </w:r>
      <w:r w:rsidRPr="00022216">
        <w:rPr>
          <w:rFonts w:cs="Times New Roman"/>
        </w:rPr>
        <w:t xml:space="preserve"> </w:t>
      </w:r>
      <w:r w:rsidRPr="00B601A0">
        <w:rPr>
          <w:rFonts w:cs="Times New Roman"/>
          <w:lang w:val="nl-BE"/>
        </w:rPr>
        <w:t>135-139).</w:t>
      </w:r>
    </w:p>
  </w:footnote>
  <w:footnote w:id="258">
    <w:p w14:paraId="146AEEC1" w14:textId="5F04983E" w:rsidR="000D6C77" w:rsidRPr="00022216" w:rsidRDefault="000D6C77" w:rsidP="00856F6D">
      <w:pPr>
        <w:pStyle w:val="Notedebasdepage"/>
        <w:rPr>
          <w:rFonts w:cs="Times New Roman"/>
        </w:rPr>
      </w:pPr>
      <w:r w:rsidRPr="00022216">
        <w:rPr>
          <w:rStyle w:val="Appelnotedebasdep"/>
          <w:rFonts w:cs="Times New Roman"/>
        </w:rPr>
        <w:footnoteRef/>
      </w:r>
      <w:r w:rsidRPr="0031477A">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{"citationID":"nUENaqIH","properties":{"formattedCitation":"F. {\\scaps Dorssemont}, \\uc0\\u171{}\\uc0\\u160{}Vrijheid van religie op de werkplaats en het Hof van Justitie: Terug naar cuius regio, illius religio?\\uc0\\u160{}\\uc0\\u187{}, {\\i{}op. cit.}, p. 90.","plainCitation":"F. Dorssemont, « Vrijheid van religie op de werkplaats en het Hof van Justitie: Terug naar cuius regio, illius religio? », op. cit., p. 90.","noteIndex":322},"citationItems":[{"id":224,"uris":["http://zotero.org/users/5133869/items/4555LCMF"],"itemData":{"id":224,"type":"article-journal","container-title":"Recht, religie en samenleving","issue":"2","page":"65-105","title":"Vrijheid van religie op de werkplaats en het Hof van Justitie: Terug naar cuius regio, illius religio?","author":[{"family":"Dorssemont","given":"Filip"}],"issued":{"date-parts":[["2016"]]}},"locator":"90"}],"schema":"https://github.com/citation-style-language/schema/raw/master/csl-citation.json"} </w:instrText>
      </w:r>
      <w:r w:rsidRPr="00022216">
        <w:rPr>
          <w:rFonts w:cs="Times New Roman"/>
        </w:rPr>
        <w:fldChar w:fldCharType="separate"/>
      </w:r>
      <w:r w:rsidRPr="0031477A">
        <w:rPr>
          <w:rFonts w:cs="Times New Roman"/>
          <w:lang w:val="nl-BE"/>
        </w:rPr>
        <w:t xml:space="preserve">F. </w:t>
      </w:r>
      <w:r w:rsidRPr="0031477A">
        <w:rPr>
          <w:rFonts w:cs="Times New Roman"/>
          <w:smallCaps/>
          <w:lang w:val="nl-BE"/>
        </w:rPr>
        <w:t>Dorssemont</w:t>
      </w:r>
      <w:r w:rsidRPr="0031477A">
        <w:rPr>
          <w:rFonts w:cs="Times New Roman"/>
          <w:lang w:val="nl-BE"/>
        </w:rPr>
        <w:t xml:space="preserve">, « Vrijheid van religie op de werkplaats en het Hof van Justitie: Terug naar </w:t>
      </w:r>
      <w:proofErr w:type="spellStart"/>
      <w:r w:rsidRPr="0031477A">
        <w:rPr>
          <w:rFonts w:cs="Times New Roman"/>
          <w:lang w:val="nl-BE"/>
        </w:rPr>
        <w:t>cuius</w:t>
      </w:r>
      <w:proofErr w:type="spellEnd"/>
      <w:r w:rsidRPr="0031477A">
        <w:rPr>
          <w:rFonts w:cs="Times New Roman"/>
          <w:lang w:val="nl-BE"/>
        </w:rPr>
        <w:t xml:space="preserve"> regio, </w:t>
      </w:r>
      <w:proofErr w:type="spellStart"/>
      <w:r w:rsidRPr="0031477A">
        <w:rPr>
          <w:rFonts w:cs="Times New Roman"/>
          <w:lang w:val="nl-BE"/>
        </w:rPr>
        <w:t>illius</w:t>
      </w:r>
      <w:proofErr w:type="spellEnd"/>
      <w:r w:rsidRPr="0031477A">
        <w:rPr>
          <w:rFonts w:cs="Times New Roman"/>
          <w:lang w:val="nl-BE"/>
        </w:rPr>
        <w:t xml:space="preserve"> </w:t>
      </w:r>
      <w:proofErr w:type="spellStart"/>
      <w:r w:rsidRPr="0031477A">
        <w:rPr>
          <w:rFonts w:cs="Times New Roman"/>
          <w:lang w:val="nl-BE"/>
        </w:rPr>
        <w:t>religio</w:t>
      </w:r>
      <w:proofErr w:type="spellEnd"/>
      <w:r w:rsidRPr="0031477A">
        <w:rPr>
          <w:rFonts w:cs="Times New Roman"/>
          <w:lang w:val="nl-BE"/>
        </w:rPr>
        <w:t xml:space="preserve">? », </w:t>
      </w:r>
      <w:r w:rsidRPr="0031477A">
        <w:rPr>
          <w:rFonts w:cs="Times New Roman"/>
          <w:i/>
          <w:iCs/>
          <w:lang w:val="nl-BE"/>
        </w:rPr>
        <w:t xml:space="preserve">op. </w:t>
      </w:r>
      <w:proofErr w:type="spellStart"/>
      <w:r w:rsidRPr="0031477A">
        <w:rPr>
          <w:rFonts w:cs="Times New Roman"/>
          <w:i/>
          <w:iCs/>
          <w:lang w:val="nl-BE"/>
        </w:rPr>
        <w:t>cit</w:t>
      </w:r>
      <w:proofErr w:type="spellEnd"/>
      <w:r w:rsidRPr="0031477A">
        <w:rPr>
          <w:rFonts w:cs="Times New Roman"/>
          <w:i/>
          <w:iCs/>
          <w:lang w:val="nl-BE"/>
        </w:rPr>
        <w:t>.</w:t>
      </w:r>
      <w:r w:rsidRPr="0031477A">
        <w:rPr>
          <w:rFonts w:cs="Times New Roman"/>
          <w:lang w:val="nl-BE"/>
        </w:rPr>
        <w:t>, p. 90.</w:t>
      </w:r>
      <w:r w:rsidRPr="00022216">
        <w:rPr>
          <w:rFonts w:cs="Times New Roman"/>
        </w:rPr>
        <w:fldChar w:fldCharType="end"/>
      </w:r>
      <w:r w:rsidRPr="0031477A">
        <w:rPr>
          <w:rFonts w:cs="Times New Roman"/>
          <w:lang w:val="nl-BE"/>
        </w:rPr>
        <w:t xml:space="preserve"> </w:t>
      </w:r>
      <w:r w:rsidRPr="00022216">
        <w:rPr>
          <w:rFonts w:cs="Times New Roman"/>
        </w:rPr>
        <w:t xml:space="preserve">L’auteur cite les arrêts </w:t>
      </w:r>
      <w:proofErr w:type="spellStart"/>
      <w:r w:rsidRPr="00022216">
        <w:rPr>
          <w:rFonts w:cs="Times New Roman"/>
          <w:i/>
        </w:rPr>
        <w:t>Parkwood</w:t>
      </w:r>
      <w:proofErr w:type="spellEnd"/>
      <w:r w:rsidRPr="00022216">
        <w:rPr>
          <w:rFonts w:cs="Times New Roman"/>
          <w:i/>
        </w:rPr>
        <w:t xml:space="preserve"> </w:t>
      </w:r>
      <w:r w:rsidRPr="00022216">
        <w:rPr>
          <w:rFonts w:cs="Times New Roman"/>
        </w:rPr>
        <w:t>(18 juillet 2013, C-426/11)</w:t>
      </w:r>
      <w:r w:rsidRPr="00022216">
        <w:rPr>
          <w:rFonts w:cs="Times New Roman"/>
          <w:i/>
        </w:rPr>
        <w:t xml:space="preserve"> </w:t>
      </w:r>
      <w:r w:rsidRPr="00022216">
        <w:rPr>
          <w:rFonts w:cs="Times New Roman"/>
        </w:rPr>
        <w:t xml:space="preserve">et </w:t>
      </w:r>
      <w:proofErr w:type="spellStart"/>
      <w:r w:rsidRPr="00022216">
        <w:rPr>
          <w:rFonts w:cs="Times New Roman"/>
          <w:i/>
        </w:rPr>
        <w:t>Aget</w:t>
      </w:r>
      <w:proofErr w:type="spellEnd"/>
      <w:r w:rsidRPr="00022216">
        <w:rPr>
          <w:rFonts w:cs="Times New Roman"/>
          <w:i/>
        </w:rPr>
        <w:t xml:space="preserve"> </w:t>
      </w:r>
      <w:proofErr w:type="spellStart"/>
      <w:r w:rsidRPr="00022216">
        <w:rPr>
          <w:rFonts w:cs="Times New Roman"/>
          <w:i/>
        </w:rPr>
        <w:t>Iraklis</w:t>
      </w:r>
      <w:proofErr w:type="spellEnd"/>
      <w:r w:rsidRPr="00022216">
        <w:rPr>
          <w:rFonts w:cs="Times New Roman"/>
        </w:rPr>
        <w:t xml:space="preserve"> (21 décembre 2016, C-201/15) comme seuls précédents d’une invocation de la liberté d’entreprise dans une perspective d’opposition aux droits des travailleurs </w:t>
      </w:r>
      <w:r w:rsidRPr="00022216">
        <w:rPr>
          <w:rFonts w:cs="Times New Roman"/>
        </w:rPr>
        <w:fldChar w:fldCharType="begin"/>
      </w:r>
      <w:r>
        <w:rPr>
          <w:rFonts w:cs="Times New Roman"/>
        </w:rPr>
        <w:instrText xml:space="preserve"> ADDIN ZOTERO_ITEM CSL_CITATION {"citationID":"dApJtcdy","properties":{"formattedCitation":"(voy. aussi F. {\\scaps K\\uc0\\u233{}fer}, \\uc0\\u171{}\\uc0\\u160{}L\\uc0\\u8217{}expression des convictions religieuses dans les relations de travail\\uc0\\u160{}\\uc0\\u187{}, {\\i{}op. cit.}, pp. 579\\uc0\\u8209{}580).","plainCitation":"(voy. aussi F. Kéfer, « L’expression des convictions religieuses dans les relations de travail », op. cit., pp. 579‑580).","noteIndex":322},"citationItems":[{"id":1427,"uris":["http://zotero.org/users/5133869/items/C7TEAJD8"],"itemData":{"id":1427,"type":"article-journal","container-title":"Revue de Droit Social","issue":"3","page":"528-583","title":"L’expression des convictions religieuses dans les relations de travail","author":[{"family":"Kéfer","given":"Fabienne"}],"issued":{"date-parts":[["2017"]]}},"locator":"579-580","prefix":"(voy. aussi","suffix":")"}],"schema":"https://github.com/citation-style-language/schema/raw/master/csl-citation.json"} </w:instrText>
      </w:r>
      <w:r w:rsidRPr="00022216">
        <w:rPr>
          <w:rFonts w:cs="Times New Roman"/>
        </w:rPr>
        <w:fldChar w:fldCharType="separate"/>
      </w:r>
      <w:r w:rsidRPr="00022216">
        <w:rPr>
          <w:rFonts w:cs="Times New Roman"/>
        </w:rPr>
        <w:t>(</w:t>
      </w:r>
      <w:proofErr w:type="spellStart"/>
      <w:r w:rsidRPr="00022216">
        <w:rPr>
          <w:rFonts w:cs="Times New Roman"/>
        </w:rPr>
        <w:t>voy</w:t>
      </w:r>
      <w:proofErr w:type="spellEnd"/>
      <w:r w:rsidRPr="00022216">
        <w:rPr>
          <w:rFonts w:cs="Times New Roman"/>
        </w:rPr>
        <w:t xml:space="preserve">. aussi F. </w:t>
      </w:r>
      <w:proofErr w:type="spellStart"/>
      <w:r w:rsidRPr="00022216">
        <w:rPr>
          <w:rFonts w:cs="Times New Roman"/>
          <w:smallCaps/>
        </w:rPr>
        <w:t>Kéfer</w:t>
      </w:r>
      <w:proofErr w:type="spellEnd"/>
      <w:r w:rsidRPr="00022216">
        <w:rPr>
          <w:rFonts w:cs="Times New Roman"/>
        </w:rPr>
        <w:t xml:space="preserve">, «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pp. 579‑580).</w:t>
      </w:r>
      <w:r w:rsidRPr="00022216">
        <w:rPr>
          <w:rFonts w:cs="Times New Roman"/>
        </w:rPr>
        <w:fldChar w:fldCharType="end"/>
      </w:r>
      <w:r w:rsidRPr="00022216">
        <w:rPr>
          <w:rFonts w:cs="Times New Roman"/>
        </w:rPr>
        <w:t xml:space="preserve"> L’arrêt </w:t>
      </w:r>
      <w:proofErr w:type="spellStart"/>
      <w:r w:rsidRPr="00022216">
        <w:rPr>
          <w:rFonts w:cs="Times New Roman"/>
          <w:i/>
        </w:rPr>
        <w:t>Achbita</w:t>
      </w:r>
      <w:proofErr w:type="spellEnd"/>
      <w:r w:rsidRPr="00022216">
        <w:rPr>
          <w:rFonts w:cs="Times New Roman"/>
        </w:rPr>
        <w:t xml:space="preserve"> constitue néanmoins le premier arrêt mettant aux prises liberté d’entreprise et droit de la non-discrimination des travailleurs </w:t>
      </w:r>
      <w:r w:rsidRPr="00022216">
        <w:rPr>
          <w:rFonts w:cs="Times New Roman"/>
        </w:rPr>
        <w:fldChar w:fldCharType="begin"/>
      </w:r>
      <w:r>
        <w:rPr>
          <w:rFonts w:cs="Times New Roman"/>
        </w:rPr>
        <w:instrText xml:space="preserve"> ADDIN ZOTERO_ITEM CSL_CITATION {"citationID":"Mvu62Yo9","properties":{"formattedCitation":"(Z. {\\scaps Adams} et J.O. {\\scaps Adenitire}, \\uc0\\u171{}\\uc0\\u160{}Ideological Neutrality in the Workplace\\uc0\\u160{}\\uc0\\u187{}, {\\i{}The Modern Law Review}, mars 2018, vol. 81, n\\uc0\\u176{} 2, p. 349).","plainCitation":"(Z. Adams et J.O. Adenitire, « Ideological Neutrality in the Workplace », The Modern Law Review, mars 2018, vol. 81, n° 2, p. 349).","noteIndex":325},"citationItems":[{"id":263,"uris":["http://zotero.org/users/5133869/items/IKH9UWHK"],"itemData":{"id":263,"type":"article-journal","container-title":"The Modern Law Review","DOI":"10.1111/1468-2230.12332","ISSN":"00267961","issue":"2","language":"en","page":"348-360","source":"Crossref","title":"Ideological Neutrality in the Workplace","title-short":"Ideological Neutrality in the Workplace","volume":"81","author":[{"family":"Adams","given":"Zoe"},{"family":"Adenitire","given":"John Olusegun"}],"issued":{"date-parts":[["2018",3]]}},"locator":"349","prefix":"(","suffix":")"}],"schema":"https://github.com/citation-style-language/schema/raw/master/csl-citation.json"} </w:instrText>
      </w:r>
      <w:r w:rsidRPr="00022216">
        <w:rPr>
          <w:rFonts w:cs="Times New Roman"/>
        </w:rPr>
        <w:fldChar w:fldCharType="separate"/>
      </w:r>
      <w:r w:rsidRPr="00D57414">
        <w:rPr>
          <w:rFonts w:cs="Times New Roman"/>
          <w:szCs w:val="24"/>
        </w:rPr>
        <w:t xml:space="preserve">(Z. </w:t>
      </w:r>
      <w:r w:rsidRPr="00D57414">
        <w:rPr>
          <w:rFonts w:cs="Times New Roman"/>
          <w:smallCaps/>
          <w:szCs w:val="24"/>
        </w:rPr>
        <w:t>Adams</w:t>
      </w:r>
      <w:r w:rsidRPr="00D57414">
        <w:rPr>
          <w:rFonts w:cs="Times New Roman"/>
          <w:szCs w:val="24"/>
        </w:rPr>
        <w:t xml:space="preserve"> et J.O. </w:t>
      </w:r>
      <w:proofErr w:type="spellStart"/>
      <w:r w:rsidRPr="00D57414">
        <w:rPr>
          <w:rFonts w:cs="Times New Roman"/>
          <w:smallCaps/>
          <w:szCs w:val="24"/>
        </w:rPr>
        <w:t>Adenitire</w:t>
      </w:r>
      <w:proofErr w:type="spellEnd"/>
      <w:r w:rsidRPr="00D57414">
        <w:rPr>
          <w:rFonts w:cs="Times New Roman"/>
          <w:szCs w:val="24"/>
        </w:rPr>
        <w:t>, « </w:t>
      </w:r>
      <w:proofErr w:type="spellStart"/>
      <w:r w:rsidRPr="00D57414">
        <w:rPr>
          <w:rFonts w:cs="Times New Roman"/>
          <w:szCs w:val="24"/>
        </w:rPr>
        <w:t>Ideological</w:t>
      </w:r>
      <w:proofErr w:type="spellEnd"/>
      <w:r w:rsidRPr="00D57414">
        <w:rPr>
          <w:rFonts w:cs="Times New Roman"/>
          <w:szCs w:val="24"/>
        </w:rPr>
        <w:t xml:space="preserve"> </w:t>
      </w:r>
      <w:proofErr w:type="spellStart"/>
      <w:r w:rsidRPr="00D57414">
        <w:rPr>
          <w:rFonts w:cs="Times New Roman"/>
          <w:szCs w:val="24"/>
        </w:rPr>
        <w:t>Neutrality</w:t>
      </w:r>
      <w:proofErr w:type="spellEnd"/>
      <w:r w:rsidRPr="00D57414">
        <w:rPr>
          <w:rFonts w:cs="Times New Roman"/>
          <w:szCs w:val="24"/>
        </w:rPr>
        <w:t xml:space="preserve"> in the Workplace », </w:t>
      </w:r>
      <w:r w:rsidRPr="00D57414">
        <w:rPr>
          <w:rFonts w:cs="Times New Roman"/>
          <w:i/>
          <w:iCs/>
          <w:szCs w:val="24"/>
        </w:rPr>
        <w:t xml:space="preserve">The Modern Law </w:t>
      </w:r>
      <w:proofErr w:type="spellStart"/>
      <w:r w:rsidRPr="00D57414">
        <w:rPr>
          <w:rFonts w:cs="Times New Roman"/>
          <w:i/>
          <w:iCs/>
          <w:szCs w:val="24"/>
        </w:rPr>
        <w:t>Review</w:t>
      </w:r>
      <w:proofErr w:type="spellEnd"/>
      <w:r w:rsidRPr="00D57414">
        <w:rPr>
          <w:rFonts w:cs="Times New Roman"/>
          <w:szCs w:val="24"/>
        </w:rPr>
        <w:t>, mars 2018, vol. 81, n° 2, p. 349).</w:t>
      </w:r>
      <w:r w:rsidRPr="00022216">
        <w:rPr>
          <w:rFonts w:cs="Times New Roman"/>
        </w:rPr>
        <w:fldChar w:fldCharType="end"/>
      </w:r>
      <w:r w:rsidRPr="00022216">
        <w:rPr>
          <w:rFonts w:cs="Times New Roman"/>
        </w:rPr>
        <w:t xml:space="preserve"> </w:t>
      </w:r>
    </w:p>
  </w:footnote>
  <w:footnote w:id="259">
    <w:p w14:paraId="34C5F9AA" w14:textId="6E3DF2CB"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F. </w:t>
      </w:r>
      <w:proofErr w:type="spellStart"/>
      <w:r w:rsidRPr="00022216">
        <w:rPr>
          <w:rFonts w:cs="Times New Roman"/>
          <w:smallCaps/>
        </w:rPr>
        <w:t>Kéfer</w:t>
      </w:r>
      <w:proofErr w:type="spellEnd"/>
      <w:r w:rsidRPr="00022216">
        <w:rPr>
          <w:rFonts w:cs="Times New Roman"/>
        </w:rPr>
        <w:t xml:space="preserve"> voit d’ailleurs dans le recours à cet article le signe d’une réduction notable de la marge d’appréciation des </w:t>
      </w:r>
      <w:r>
        <w:rPr>
          <w:rFonts w:cs="Times New Roman"/>
        </w:rPr>
        <w:t>États</w:t>
      </w:r>
      <w:r w:rsidRPr="00022216">
        <w:rPr>
          <w:rFonts w:cs="Times New Roman"/>
        </w:rPr>
        <w:t xml:space="preserve"> membres dans la manière dont ceux-ci entendent protéger la non-discrimination fondée sur les convictions : serait rendu impossible le fait, pour un </w:t>
      </w:r>
      <w:r>
        <w:rPr>
          <w:rFonts w:cs="Times New Roman"/>
        </w:rPr>
        <w:t>État</w:t>
      </w:r>
      <w:r w:rsidRPr="00022216">
        <w:rPr>
          <w:rFonts w:cs="Times New Roman"/>
        </w:rPr>
        <w:t xml:space="preserve">, de proscrire de manière générale « les règlements d’entreprise bannissant tout port de signes convictionnels » </w:t>
      </w:r>
      <w:r w:rsidRPr="00022216">
        <w:rPr>
          <w:rFonts w:cs="Times New Roman"/>
        </w:rPr>
        <w:fldChar w:fldCharType="begin"/>
      </w:r>
      <w:r>
        <w:rPr>
          <w:rFonts w:cs="Times New Roman"/>
        </w:rPr>
        <w:instrText xml:space="preserve"> ADDIN ZOTERO_ITEM CSL_CITATION {"citationID":"0FB04KJ9","properties":{"formattedCitation":"(\\uc0\\u171{}\\uc0\\u160{}L\\uc0\\u8217{}expression des convictions religieuses dans les relations de travail\\uc0\\u160{}\\uc0\\u187{}, {\\i{}op. cit.}, p. 579).","plainCitation":"(« L’expression des convictions religieuses dans les relations de travail », op. cit., p. 579).","noteIndex":324},"citationItems":[{"id":1427,"uris":["http://zotero.org/users/5133869/items/C7TEAJD8"],"itemData":{"id":1427,"type":"article-journal","container-title":"Revue de Droit Social","issue":"3","page":"528-583","title":"L’expression des convictions religieuses dans les relations de travail","author":[{"family":"Kéfer","given":"Fabienne"}],"issued":{"date-parts":[["2017"]]}},"locator":"579","suppress-author":true,"prefix":"(","suffix":")"}],"schema":"https://github.com/citation-style-language/schema/raw/master/csl-citation.json"} </w:instrText>
      </w:r>
      <w:r w:rsidRPr="00022216">
        <w:rPr>
          <w:rFonts w:cs="Times New Roman"/>
        </w:rPr>
        <w:fldChar w:fldCharType="separate"/>
      </w:r>
      <w:r w:rsidRPr="00022216">
        <w:rPr>
          <w:rFonts w:cs="Times New Roman"/>
        </w:rPr>
        <w:t xml:space="preserve">(« L’expression des convictions religieuses dans les relations de travail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579).</w:t>
      </w:r>
      <w:r w:rsidRPr="00022216">
        <w:rPr>
          <w:rFonts w:cs="Times New Roman"/>
        </w:rPr>
        <w:fldChar w:fldCharType="end"/>
      </w:r>
    </w:p>
  </w:footnote>
  <w:footnote w:id="260">
    <w:p w14:paraId="01808BA1" w14:textId="03E39853" w:rsidR="000D6C77" w:rsidRPr="008D517D" w:rsidRDefault="000D6C77" w:rsidP="00323310">
      <w:pPr>
        <w:pStyle w:val="Notedebasdepage"/>
        <w:rPr>
          <w:rFonts w:cs="Times New Roman"/>
          <w:lang w:val="nl-BE"/>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{"citationID":"cNvgo8Oj","properties":{"formattedCitation":"T. {\\scaps L\\uc0\\u233{}onard} et J. {\\scaps Salteur}, \\uc0\\u171{}\\uc0\\u160{}Libert\\uc0\\u233{} d\\uc0\\u8217{}entreprise\\uc0\\u160{}\\uc0\\u187{}, {\\i{}in} S. {\\scaps van}\\uc0\\u160{}{\\scaps Drooghenbroeck} et F. {\\scaps Picod} (\\uc0\\u233{}ds.), {\\i{}Charte des droits fondamentaux de l\\uc0\\u8217{}Union europ\\uc0\\u233{}enne\\uc0\\u8239{}: commentaire article par article}, Bruxelles, Bruylant, 2018, pp. 349\\uc0\\u8209{}368\\uc0\\u160{}; L. {\\scaps Cl\\uc0\\u233{}ment-Wilz} et E. {\\scaps Dubout} (\\uc0\\u233{}ds.), \\uc0\\u171{}\\uc0\\u160{}Le lib\\uc0\\u233{}ralisme politique de la Cour de justice. Le cas de la libert\\uc0\\u233{} d\\uc0\\u8217{}entreprise\\uc0\\u160{}\\uc0\\u187{}, {\\i{}in} L. {\\scaps Cl\\uc0\\u233{}ment-Wilz} et E. {\\scaps Dubout} (\\uc0\\u233{}ds.), {\\i{}Le r\\uc0\\u244{}le politique de la Cour de justice de l\\uc0\\u8217{}Union europ\\uc0\\u233{}enne}, Bruxelles, Bruylant, 2019, p. 173.","plainCitation":"T. Léonard et J. Salteur, « Liberté d’entreprise », in S. van Drooghenbroeck et F. Picod (éds.), Charte des droits fondamentaux de l’Union européenne : commentaire article par article, Bruxelles, Bruylant, 2018, pp. 349‑368 ; L. Clément-Wilz et E. Dubout (éds.), « Le libéralisme politique de la Cour de justice. Le cas de la liberté d’entreprise », in L. Clément-Wilz et E. Dubout (éds.), Le rôle politique de la Cour de justice de l’Union européenne, Bruxelles, Bruylant, 2019, p. 173.","noteIndex":325},"citationItems":[{"id":1244,"uris":["http://zotero.org/users/5133869/items/HH4J3FIZ"],"itemData":{"id":1244,"type":"chapter","container-title":"Charte des droits fondamentaux de l'Union européenne : commentaire article par article","event-place":"Bruxelles","page":"349-368","publisher":"Bruylant","publisher-place":"Bruxelles","title":"Liberté d'entreprise","author":[{"family":"Léonard","given":"Thierry"},{"family":"Salteur","given":"J"}],"editor":[{"family":"Drooghenbroeck","given":"Sébastien","non-dropping-particle":"van"},{"family":"Picod","given":"Fabrice"}],"issued":{"date-parts":[["2018"]]}}},{"id":2194,"uris":["http://zotero.org/users/5133869/items/JWB5GUK2"],"itemData":{"id":2194,"type":"chapter","container-title":"Le rôle politique de la Cour de justice de l'Union européenne","event-place":"Bruxelles","ISBN":"978-2-8027-6148-8","language":"French","note":"OCLC: 1113816591","page":"145-175","publisher":"Bruylant","publisher-place":"Bruxelles","source":"Open WorldCat","title":"Le libéralisme politique de la Cour de justice. Le cas de la liberté d'entreprise","editor":[{"family":"Clément-Wilz","given":"Laure"},{"family":"Dubout","given":"Edouard"}],"issued":{"date-parts":[["2019"]]}},"locator":"173"}],"schema":"https://github.com/citation-style-language/schema/raw/master/csl-citation.json"} </w:instrText>
      </w:r>
      <w:r w:rsidRPr="00022216">
        <w:rPr>
          <w:rFonts w:cs="Times New Roman"/>
        </w:rPr>
        <w:fldChar w:fldCharType="separate"/>
      </w:r>
      <w:r w:rsidRPr="00027F16">
        <w:rPr>
          <w:rFonts w:cs="Times New Roman"/>
          <w:szCs w:val="24"/>
        </w:rPr>
        <w:t xml:space="preserve">T. </w:t>
      </w:r>
      <w:r w:rsidRPr="00027F16">
        <w:rPr>
          <w:rFonts w:cs="Times New Roman"/>
          <w:smallCaps/>
          <w:szCs w:val="24"/>
        </w:rPr>
        <w:t>Léonard</w:t>
      </w:r>
      <w:r w:rsidRPr="00027F16">
        <w:rPr>
          <w:rFonts w:cs="Times New Roman"/>
          <w:szCs w:val="24"/>
        </w:rPr>
        <w:t xml:space="preserve"> et J. </w:t>
      </w:r>
      <w:proofErr w:type="spellStart"/>
      <w:r w:rsidRPr="00027F16">
        <w:rPr>
          <w:rFonts w:cs="Times New Roman"/>
          <w:smallCaps/>
          <w:szCs w:val="24"/>
        </w:rPr>
        <w:t>Salteur</w:t>
      </w:r>
      <w:proofErr w:type="spellEnd"/>
      <w:r w:rsidRPr="00027F16">
        <w:rPr>
          <w:rFonts w:cs="Times New Roman"/>
          <w:szCs w:val="24"/>
        </w:rPr>
        <w:t xml:space="preserve">, « Liberté d’entreprise », </w:t>
      </w:r>
      <w:r w:rsidRPr="00027F16">
        <w:rPr>
          <w:rFonts w:cs="Times New Roman"/>
          <w:i/>
          <w:iCs/>
          <w:szCs w:val="24"/>
        </w:rPr>
        <w:t>in</w:t>
      </w:r>
      <w:r w:rsidRPr="00027F16">
        <w:rPr>
          <w:rFonts w:cs="Times New Roman"/>
          <w:szCs w:val="24"/>
        </w:rPr>
        <w:t xml:space="preserve"> S. </w:t>
      </w:r>
      <w:r w:rsidRPr="00027F16">
        <w:rPr>
          <w:rFonts w:cs="Times New Roman"/>
          <w:smallCaps/>
          <w:szCs w:val="24"/>
        </w:rPr>
        <w:t>van</w:t>
      </w:r>
      <w:r w:rsidRPr="00027F16">
        <w:rPr>
          <w:rFonts w:cs="Times New Roman"/>
          <w:szCs w:val="24"/>
        </w:rPr>
        <w:t> </w:t>
      </w:r>
      <w:proofErr w:type="spellStart"/>
      <w:r w:rsidRPr="00027F16">
        <w:rPr>
          <w:rFonts w:cs="Times New Roman"/>
          <w:smallCaps/>
          <w:szCs w:val="24"/>
        </w:rPr>
        <w:t>Drooghenbroeck</w:t>
      </w:r>
      <w:proofErr w:type="spellEnd"/>
      <w:r w:rsidRPr="00027F16">
        <w:rPr>
          <w:rFonts w:cs="Times New Roman"/>
          <w:szCs w:val="24"/>
        </w:rPr>
        <w:t xml:space="preserve"> et F. </w:t>
      </w:r>
      <w:proofErr w:type="spellStart"/>
      <w:r w:rsidRPr="00027F16">
        <w:rPr>
          <w:rFonts w:cs="Times New Roman"/>
          <w:smallCaps/>
          <w:szCs w:val="24"/>
        </w:rPr>
        <w:t>Picod</w:t>
      </w:r>
      <w:proofErr w:type="spellEnd"/>
      <w:r w:rsidRPr="00027F16">
        <w:rPr>
          <w:rFonts w:cs="Times New Roman"/>
          <w:szCs w:val="24"/>
        </w:rPr>
        <w:t xml:space="preserve"> (</w:t>
      </w:r>
      <w:proofErr w:type="spellStart"/>
      <w:r w:rsidRPr="00027F16">
        <w:rPr>
          <w:rFonts w:cs="Times New Roman"/>
          <w:szCs w:val="24"/>
        </w:rPr>
        <w:t>éds</w:t>
      </w:r>
      <w:proofErr w:type="spellEnd"/>
      <w:r w:rsidRPr="00027F16">
        <w:rPr>
          <w:rFonts w:cs="Times New Roman"/>
          <w:szCs w:val="24"/>
        </w:rPr>
        <w:t xml:space="preserve">.), </w:t>
      </w:r>
      <w:r w:rsidRPr="00027F16">
        <w:rPr>
          <w:rFonts w:cs="Times New Roman"/>
          <w:i/>
          <w:iCs/>
          <w:szCs w:val="24"/>
        </w:rPr>
        <w:t>Charte des droits fondamentaux de l’Union européenne : commentaire article par article</w:t>
      </w:r>
      <w:r w:rsidRPr="00027F16">
        <w:rPr>
          <w:rFonts w:cs="Times New Roman"/>
          <w:szCs w:val="24"/>
        </w:rPr>
        <w:t xml:space="preserve">, Bruxelles, Bruylant, 2018, pp. 349‑368 ; L. </w:t>
      </w:r>
      <w:r w:rsidRPr="00027F16">
        <w:rPr>
          <w:rFonts w:cs="Times New Roman"/>
          <w:smallCaps/>
          <w:szCs w:val="24"/>
        </w:rPr>
        <w:t>Clément-</w:t>
      </w:r>
      <w:proofErr w:type="spellStart"/>
      <w:r w:rsidRPr="00027F16">
        <w:rPr>
          <w:rFonts w:cs="Times New Roman"/>
          <w:smallCaps/>
          <w:szCs w:val="24"/>
        </w:rPr>
        <w:t>Wilz</w:t>
      </w:r>
      <w:proofErr w:type="spellEnd"/>
      <w:r w:rsidRPr="00027F16">
        <w:rPr>
          <w:rFonts w:cs="Times New Roman"/>
          <w:szCs w:val="24"/>
        </w:rPr>
        <w:t xml:space="preserve"> et E. </w:t>
      </w:r>
      <w:r w:rsidRPr="00027F16">
        <w:rPr>
          <w:rFonts w:cs="Times New Roman"/>
          <w:smallCaps/>
          <w:szCs w:val="24"/>
        </w:rPr>
        <w:t>Dubout</w:t>
      </w:r>
      <w:r w:rsidRPr="00027F16">
        <w:rPr>
          <w:rFonts w:cs="Times New Roman"/>
          <w:szCs w:val="24"/>
        </w:rPr>
        <w:t xml:space="preserve"> (</w:t>
      </w:r>
      <w:proofErr w:type="spellStart"/>
      <w:r w:rsidRPr="00027F16">
        <w:rPr>
          <w:rFonts w:cs="Times New Roman"/>
          <w:szCs w:val="24"/>
        </w:rPr>
        <w:t>éds</w:t>
      </w:r>
      <w:proofErr w:type="spellEnd"/>
      <w:r w:rsidRPr="00027F16">
        <w:rPr>
          <w:rFonts w:cs="Times New Roman"/>
          <w:szCs w:val="24"/>
        </w:rPr>
        <w:t xml:space="preserve">.), « Le libéralisme politique de la Cour de justice. Le cas de la liberté d’entreprise », </w:t>
      </w:r>
      <w:r w:rsidRPr="00027F16">
        <w:rPr>
          <w:rFonts w:cs="Times New Roman"/>
          <w:i/>
          <w:iCs/>
          <w:szCs w:val="24"/>
        </w:rPr>
        <w:t>in</w:t>
      </w:r>
      <w:r w:rsidRPr="00027F16">
        <w:rPr>
          <w:rFonts w:cs="Times New Roman"/>
          <w:szCs w:val="24"/>
        </w:rPr>
        <w:t xml:space="preserve"> L. </w:t>
      </w:r>
      <w:r w:rsidRPr="00027F16">
        <w:rPr>
          <w:rFonts w:cs="Times New Roman"/>
          <w:smallCaps/>
          <w:szCs w:val="24"/>
        </w:rPr>
        <w:t>Clément-</w:t>
      </w:r>
      <w:proofErr w:type="spellStart"/>
      <w:r w:rsidRPr="00027F16">
        <w:rPr>
          <w:rFonts w:cs="Times New Roman"/>
          <w:smallCaps/>
          <w:szCs w:val="24"/>
        </w:rPr>
        <w:t>Wilz</w:t>
      </w:r>
      <w:proofErr w:type="spellEnd"/>
      <w:r w:rsidRPr="00027F16">
        <w:rPr>
          <w:rFonts w:cs="Times New Roman"/>
          <w:szCs w:val="24"/>
        </w:rPr>
        <w:t xml:space="preserve"> et E. </w:t>
      </w:r>
      <w:r w:rsidRPr="00027F16">
        <w:rPr>
          <w:rFonts w:cs="Times New Roman"/>
          <w:smallCaps/>
          <w:szCs w:val="24"/>
        </w:rPr>
        <w:t>Dubout</w:t>
      </w:r>
      <w:r w:rsidRPr="00027F16">
        <w:rPr>
          <w:rFonts w:cs="Times New Roman"/>
          <w:szCs w:val="24"/>
        </w:rPr>
        <w:t xml:space="preserve"> (</w:t>
      </w:r>
      <w:proofErr w:type="spellStart"/>
      <w:r w:rsidRPr="00027F16">
        <w:rPr>
          <w:rFonts w:cs="Times New Roman"/>
          <w:szCs w:val="24"/>
        </w:rPr>
        <w:t>éds</w:t>
      </w:r>
      <w:proofErr w:type="spellEnd"/>
      <w:r w:rsidRPr="00027F16">
        <w:rPr>
          <w:rFonts w:cs="Times New Roman"/>
          <w:szCs w:val="24"/>
        </w:rPr>
        <w:t xml:space="preserve">.), </w:t>
      </w:r>
      <w:r w:rsidRPr="00027F16">
        <w:rPr>
          <w:rFonts w:cs="Times New Roman"/>
          <w:i/>
          <w:iCs/>
          <w:szCs w:val="24"/>
        </w:rPr>
        <w:t>Le rôle politique de la Cour de justice de l’Union européenne</w:t>
      </w:r>
      <w:r w:rsidRPr="00027F16">
        <w:rPr>
          <w:rFonts w:cs="Times New Roman"/>
          <w:szCs w:val="24"/>
        </w:rPr>
        <w:t>, Bruxelles, Bruylant, 2019, p. 173.</w:t>
      </w:r>
      <w:r w:rsidRPr="00022216">
        <w:rPr>
          <w:rFonts w:cs="Times New Roman"/>
        </w:rPr>
        <w:fldChar w:fldCharType="end"/>
      </w:r>
      <w:r>
        <w:rPr>
          <w:rFonts w:cs="Times New Roman"/>
        </w:rPr>
        <w:t xml:space="preserve"> Cette position est </w:t>
      </w:r>
      <w:proofErr w:type="gramStart"/>
      <w:r>
        <w:rPr>
          <w:rFonts w:cs="Times New Roman"/>
        </w:rPr>
        <w:t>du reste confirmée</w:t>
      </w:r>
      <w:proofErr w:type="gramEnd"/>
      <w:r>
        <w:rPr>
          <w:rFonts w:cs="Times New Roman"/>
        </w:rPr>
        <w:t xml:space="preserve"> par la </w:t>
      </w:r>
      <w:r w:rsidRPr="008D517D">
        <w:rPr>
          <w:rFonts w:cs="Times New Roman"/>
        </w:rPr>
        <w:t>CJUE</w:t>
      </w:r>
      <w:r>
        <w:rPr>
          <w:rFonts w:cs="Times New Roman"/>
        </w:rPr>
        <w:t xml:space="preserve"> elle-même : </w:t>
      </w:r>
      <w:proofErr w:type="spellStart"/>
      <w:r>
        <w:rPr>
          <w:rFonts w:cs="Times New Roman"/>
        </w:rPr>
        <w:t>voy</w:t>
      </w:r>
      <w:proofErr w:type="spellEnd"/>
      <w:r>
        <w:rPr>
          <w:rFonts w:cs="Times New Roman"/>
        </w:rPr>
        <w:t>. CJUE,</w:t>
      </w:r>
      <w:r w:rsidRPr="008D517D">
        <w:rPr>
          <w:rFonts w:cs="Times New Roman"/>
        </w:rPr>
        <w:t xml:space="preserve"> 22 janvier 2013 (</w:t>
      </w:r>
      <w:r w:rsidRPr="008D517D">
        <w:rPr>
          <w:rFonts w:cs="Times New Roman"/>
          <w:i/>
          <w:iCs/>
        </w:rPr>
        <w:t xml:space="preserve">Sky </w:t>
      </w:r>
      <w:proofErr w:type="spellStart"/>
      <w:r w:rsidRPr="008D517D">
        <w:rPr>
          <w:rFonts w:cs="Times New Roman"/>
          <w:i/>
          <w:iCs/>
        </w:rPr>
        <w:t>Österreich</w:t>
      </w:r>
      <w:proofErr w:type="spellEnd"/>
      <w:r w:rsidRPr="008D517D">
        <w:rPr>
          <w:rFonts w:cs="Times New Roman"/>
          <w:i/>
          <w:iCs/>
        </w:rPr>
        <w:t xml:space="preserve"> </w:t>
      </w:r>
      <w:proofErr w:type="spellStart"/>
      <w:r w:rsidRPr="008D517D">
        <w:rPr>
          <w:rFonts w:cs="Times New Roman"/>
          <w:i/>
          <w:iCs/>
        </w:rPr>
        <w:t>GmbH</w:t>
      </w:r>
      <w:proofErr w:type="spellEnd"/>
      <w:r w:rsidRPr="008D517D">
        <w:rPr>
          <w:rFonts w:cs="Times New Roman"/>
          <w:i/>
          <w:iCs/>
        </w:rPr>
        <w:t xml:space="preserve"> c. </w:t>
      </w:r>
      <w:proofErr w:type="spellStart"/>
      <w:r w:rsidRPr="008D517D">
        <w:rPr>
          <w:rFonts w:cs="Times New Roman"/>
          <w:i/>
          <w:iCs/>
        </w:rPr>
        <w:t>Österreichischer</w:t>
      </w:r>
      <w:proofErr w:type="spellEnd"/>
      <w:r w:rsidRPr="008D517D">
        <w:rPr>
          <w:rFonts w:cs="Times New Roman"/>
          <w:i/>
          <w:iCs/>
        </w:rPr>
        <w:t xml:space="preserve"> </w:t>
      </w:r>
      <w:proofErr w:type="spellStart"/>
      <w:r w:rsidRPr="008D517D">
        <w:rPr>
          <w:rFonts w:cs="Times New Roman"/>
          <w:i/>
          <w:iCs/>
        </w:rPr>
        <w:t>Rundfunk</w:t>
      </w:r>
      <w:proofErr w:type="spellEnd"/>
      <w:r w:rsidRPr="008D517D">
        <w:rPr>
          <w:rFonts w:cs="Times New Roman"/>
        </w:rPr>
        <w:t xml:space="preserve">), C-283/11, para. </w:t>
      </w:r>
      <w:r w:rsidRPr="00660086">
        <w:rPr>
          <w:rFonts w:cs="Times New Roman"/>
        </w:rPr>
        <w:t>45-46</w:t>
      </w:r>
      <w:r>
        <w:rPr>
          <w:rFonts w:cs="Times New Roman"/>
        </w:rPr>
        <w:t> ;</w:t>
      </w:r>
      <w:r w:rsidRPr="007A40B1">
        <w:rPr>
          <w:rFonts w:cs="Times New Roman"/>
        </w:rPr>
        <w:t xml:space="preserve"> 14 octobre 2014 (</w:t>
      </w:r>
      <w:r w:rsidRPr="007A40B1">
        <w:rPr>
          <w:rFonts w:cs="Times New Roman"/>
          <w:i/>
        </w:rPr>
        <w:t>Giordano c. Commission</w:t>
      </w:r>
      <w:r w:rsidRPr="007A40B1">
        <w:rPr>
          <w:rFonts w:cs="Times New Roman"/>
        </w:rPr>
        <w:t>), C‑611/12, para. 49</w:t>
      </w:r>
      <w:r>
        <w:rPr>
          <w:rFonts w:cs="Times New Roman"/>
        </w:rPr>
        <w:t xml:space="preserve"> (</w:t>
      </w:r>
      <w:r w:rsidRPr="007A40B1">
        <w:rPr>
          <w:rFonts w:cs="Times New Roman"/>
        </w:rPr>
        <w:t xml:space="preserve">cité par CJUE, </w:t>
      </w:r>
      <w:r w:rsidRPr="007A40B1">
        <w:rPr>
          <w:rFonts w:cs="Times New Roman"/>
          <w:i/>
        </w:rPr>
        <w:t>Bougnaoui</w:t>
      </w:r>
      <w:r w:rsidRPr="007A40B1">
        <w:rPr>
          <w:rFonts w:cs="Times New Roman"/>
        </w:rPr>
        <w:t xml:space="preserve">, conclusions av. </w:t>
      </w:r>
      <w:proofErr w:type="spellStart"/>
      <w:r w:rsidRPr="007A40B1">
        <w:rPr>
          <w:rFonts w:cs="Times New Roman"/>
        </w:rPr>
        <w:t>gén</w:t>
      </w:r>
      <w:proofErr w:type="spellEnd"/>
      <w:r w:rsidRPr="007A40B1">
        <w:rPr>
          <w:rFonts w:cs="Times New Roman"/>
        </w:rPr>
        <w:t xml:space="preserve">. </w:t>
      </w:r>
      <w:proofErr w:type="spellStart"/>
      <w:r w:rsidRPr="008D517D">
        <w:rPr>
          <w:rFonts w:cs="Times New Roman"/>
          <w:lang w:val="nl-BE"/>
        </w:rPr>
        <w:t>Sharpston</w:t>
      </w:r>
      <w:proofErr w:type="spellEnd"/>
      <w:r w:rsidRPr="008D517D">
        <w:rPr>
          <w:rFonts w:cs="Times New Roman"/>
          <w:lang w:val="nl-BE"/>
        </w:rPr>
        <w:t>, para. 100).</w:t>
      </w:r>
    </w:p>
  </w:footnote>
  <w:footnote w:id="261">
    <w:p w14:paraId="3B7955D0" w14:textId="38BE6B00" w:rsidR="000D6C77" w:rsidRPr="0031477A" w:rsidRDefault="000D6C77" w:rsidP="00323310">
      <w:pPr>
        <w:pStyle w:val="Notedebasdepage"/>
        <w:rPr>
          <w:rFonts w:cs="Times New Roman"/>
          <w:lang w:val="nl-BE"/>
        </w:rPr>
      </w:pPr>
      <w:r w:rsidRPr="00022216">
        <w:rPr>
          <w:rStyle w:val="Appelnotedebasdep"/>
          <w:rFonts w:cs="Times New Roman"/>
        </w:rPr>
        <w:footnoteRef/>
      </w:r>
      <w:r w:rsidRPr="0031477A">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{"citationID":"25vYRwYb","properties":{"formattedCitation":"F. {\\scaps Dorssemont}, \\uc0\\u171{}\\uc0\\u160{}Vrijheid van religie op de werkplaats en het Hof van Justitie: Terug naar cuius regio, illius religio?\\uc0\\u160{}\\uc0\\u187{}, {\\i{}op. cit.}, pp. 102\\uc0\\u8209{}103.","plainCitation":"F. Dorssemont, « Vrijheid van religie op de werkplaats en het Hof van Justitie: Terug naar cuius regio, illius religio? », op. cit., pp. 102‑103.","noteIndex":326},"citationItems":[{"id":224,"uris":["http://zotero.org/users/5133869/items/4555LCMF"],"itemData":{"id":224,"type":"article-journal","container-title":"Recht, religie en samenleving","issue":"2","page":"65-105","title":"Vrijheid van religie op de werkplaats en het Hof van Justitie: Terug naar cuius regio, illius religio?","author":[{"family":"Dorssemont","given":"Filip"}],"issued":{"date-parts":[["2016"]]}},"locator":"102-103"}],"schema":"https://github.com/citation-style-language/schema/raw/master/csl-citation.json"} </w:instrText>
      </w:r>
      <w:r w:rsidRPr="00022216">
        <w:rPr>
          <w:rFonts w:cs="Times New Roman"/>
        </w:rPr>
        <w:fldChar w:fldCharType="separate"/>
      </w:r>
      <w:r w:rsidRPr="0031477A">
        <w:rPr>
          <w:rFonts w:cs="Times New Roman"/>
          <w:lang w:val="nl-BE"/>
        </w:rPr>
        <w:t xml:space="preserve">F. </w:t>
      </w:r>
      <w:r w:rsidRPr="0031477A">
        <w:rPr>
          <w:rFonts w:cs="Times New Roman"/>
          <w:smallCaps/>
          <w:lang w:val="nl-BE"/>
        </w:rPr>
        <w:t>Dorssemont</w:t>
      </w:r>
      <w:r w:rsidRPr="0031477A">
        <w:rPr>
          <w:rFonts w:cs="Times New Roman"/>
          <w:lang w:val="nl-BE"/>
        </w:rPr>
        <w:t xml:space="preserve">, « Vrijheid van religie op de werkplaats en het Hof van Justitie: Terug naar </w:t>
      </w:r>
      <w:proofErr w:type="spellStart"/>
      <w:r w:rsidRPr="0031477A">
        <w:rPr>
          <w:rFonts w:cs="Times New Roman"/>
          <w:lang w:val="nl-BE"/>
        </w:rPr>
        <w:t>cuius</w:t>
      </w:r>
      <w:proofErr w:type="spellEnd"/>
      <w:r w:rsidRPr="0031477A">
        <w:rPr>
          <w:rFonts w:cs="Times New Roman"/>
          <w:lang w:val="nl-BE"/>
        </w:rPr>
        <w:t xml:space="preserve"> regio, </w:t>
      </w:r>
      <w:proofErr w:type="spellStart"/>
      <w:r w:rsidRPr="0031477A">
        <w:rPr>
          <w:rFonts w:cs="Times New Roman"/>
          <w:lang w:val="nl-BE"/>
        </w:rPr>
        <w:t>illius</w:t>
      </w:r>
      <w:proofErr w:type="spellEnd"/>
      <w:r w:rsidRPr="0031477A">
        <w:rPr>
          <w:rFonts w:cs="Times New Roman"/>
          <w:lang w:val="nl-BE"/>
        </w:rPr>
        <w:t xml:space="preserve"> </w:t>
      </w:r>
      <w:proofErr w:type="spellStart"/>
      <w:r w:rsidRPr="0031477A">
        <w:rPr>
          <w:rFonts w:cs="Times New Roman"/>
          <w:lang w:val="nl-BE"/>
        </w:rPr>
        <w:t>religio</w:t>
      </w:r>
      <w:proofErr w:type="spellEnd"/>
      <w:r w:rsidRPr="0031477A">
        <w:rPr>
          <w:rFonts w:cs="Times New Roman"/>
          <w:lang w:val="nl-BE"/>
        </w:rPr>
        <w:t xml:space="preserve">? », </w:t>
      </w:r>
      <w:r w:rsidRPr="0031477A">
        <w:rPr>
          <w:rFonts w:cs="Times New Roman"/>
          <w:i/>
          <w:iCs/>
          <w:lang w:val="nl-BE"/>
        </w:rPr>
        <w:t xml:space="preserve">op. </w:t>
      </w:r>
      <w:proofErr w:type="spellStart"/>
      <w:r w:rsidRPr="0031477A">
        <w:rPr>
          <w:rFonts w:cs="Times New Roman"/>
          <w:i/>
          <w:iCs/>
          <w:lang w:val="nl-BE"/>
        </w:rPr>
        <w:t>cit</w:t>
      </w:r>
      <w:proofErr w:type="spellEnd"/>
      <w:r w:rsidRPr="0031477A">
        <w:rPr>
          <w:rFonts w:cs="Times New Roman"/>
          <w:i/>
          <w:iCs/>
          <w:lang w:val="nl-BE"/>
        </w:rPr>
        <w:t>.</w:t>
      </w:r>
      <w:r w:rsidRPr="0031477A">
        <w:rPr>
          <w:rFonts w:cs="Times New Roman"/>
          <w:lang w:val="nl-BE"/>
        </w:rPr>
        <w:t>, pp. 102‑103.</w:t>
      </w:r>
      <w:r w:rsidRPr="00022216">
        <w:rPr>
          <w:rFonts w:cs="Times New Roman"/>
        </w:rPr>
        <w:fldChar w:fldCharType="end"/>
      </w:r>
    </w:p>
  </w:footnote>
  <w:footnote w:id="262">
    <w:p w14:paraId="1E11EB35" w14:textId="41ADB97A" w:rsidR="000D6C77" w:rsidRPr="00E74ED6" w:rsidRDefault="000D6C77" w:rsidP="0061276C">
      <w:pPr>
        <w:pStyle w:val="Notedebasdepage"/>
      </w:pPr>
      <w:r>
        <w:rPr>
          <w:rStyle w:val="Appelnotedebasdep"/>
        </w:rPr>
        <w:footnoteRef/>
      </w:r>
      <w:r w:rsidRPr="00E74ED6">
        <w:t xml:space="preserve"> </w:t>
      </w:r>
      <w:r w:rsidRPr="004D023C">
        <w:t xml:space="preserve">CJUE, </w:t>
      </w:r>
      <w:proofErr w:type="spellStart"/>
      <w:r>
        <w:rPr>
          <w:i/>
        </w:rPr>
        <w:t>Achbita</w:t>
      </w:r>
      <w:proofErr w:type="spellEnd"/>
      <w:r>
        <w:t>, para. 38.</w:t>
      </w:r>
    </w:p>
  </w:footnote>
  <w:footnote w:id="263">
    <w:p w14:paraId="5968A47D" w14:textId="0DD01666" w:rsidR="000D6C77" w:rsidRPr="00022216" w:rsidRDefault="000D6C77" w:rsidP="00856F6D">
      <w:pPr>
        <w:pStyle w:val="Notedebasdepage"/>
        <w:tabs>
          <w:tab w:val="left" w:pos="6675"/>
        </w:tabs>
        <w:rPr>
          <w:rFonts w:cs="Times New Roman"/>
        </w:rPr>
      </w:pPr>
      <w:r w:rsidRPr="00022216">
        <w:rPr>
          <w:rStyle w:val="Appelnotedebasdep"/>
          <w:rFonts w:cs="Times New Roman"/>
        </w:rPr>
        <w:footnoteRef/>
      </w:r>
      <w:r w:rsidRPr="00022216">
        <w:rPr>
          <w:rFonts w:cs="Times New Roman"/>
        </w:rPr>
        <w:t xml:space="preserve"> </w:t>
      </w:r>
      <w:r>
        <w:rPr>
          <w:rFonts w:cs="Times New Roman"/>
        </w:rPr>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para. 94.</w:t>
      </w:r>
    </w:p>
  </w:footnote>
  <w:footnote w:id="264">
    <w:p w14:paraId="1E7B27D4" w14:textId="32448F16" w:rsidR="000D6C77" w:rsidRPr="00B87A1C" w:rsidRDefault="000D6C77" w:rsidP="00856F6D">
      <w:pPr>
        <w:pStyle w:val="Notedebasdepage"/>
        <w:rPr>
          <w:rFonts w:cs="Times New Roman"/>
          <w:lang w:val="en-GB"/>
        </w:rPr>
      </w:pPr>
      <w:r w:rsidRPr="00022216">
        <w:rPr>
          <w:rStyle w:val="Appelnotedebasdep"/>
          <w:rFonts w:cs="Times New Roman"/>
        </w:rPr>
        <w:footnoteRef/>
      </w:r>
      <w:r w:rsidRPr="00022216">
        <w:rPr>
          <w:rFonts w:cs="Times New Roman"/>
        </w:rPr>
        <w:t xml:space="preserve"> M. </w:t>
      </w:r>
      <w:proofErr w:type="spellStart"/>
      <w:r w:rsidRPr="00022216">
        <w:rPr>
          <w:rFonts w:cs="Times New Roman"/>
          <w:smallCaps/>
        </w:rPr>
        <w:t>Hashemi</w:t>
      </w:r>
      <w:proofErr w:type="spellEnd"/>
      <w:r w:rsidRPr="00022216">
        <w:rPr>
          <w:rFonts w:cs="Times New Roman"/>
        </w:rPr>
        <w:t xml:space="preserve"> s’étonne ainsi des critiques formulées à l’encontre de la CJUE quant à la place dévolue à la liberté d’entreprise ; au contraire, </w:t>
      </w:r>
      <w:r>
        <w:rPr>
          <w:rFonts w:cs="Times New Roman"/>
        </w:rPr>
        <w:t>l’auteur</w:t>
      </w:r>
      <w:r w:rsidRPr="00022216">
        <w:rPr>
          <w:rFonts w:cs="Times New Roman"/>
        </w:rPr>
        <w:t xml:space="preserve"> considère la CourEDH plus critiquable à cet égard, dans la mesure où « </w:t>
      </w:r>
      <w:r w:rsidRPr="00022216">
        <w:rPr>
          <w:rFonts w:cs="Times New Roman"/>
          <w:i/>
          <w:iCs/>
        </w:rPr>
        <w:t xml:space="preserve">the </w:t>
      </w:r>
      <w:proofErr w:type="spellStart"/>
      <w:r w:rsidRPr="00022216">
        <w:rPr>
          <w:rFonts w:cs="Times New Roman"/>
          <w:i/>
          <w:iCs/>
        </w:rPr>
        <w:t>ECtHR</w:t>
      </w:r>
      <w:proofErr w:type="spellEnd"/>
      <w:r w:rsidRPr="00022216">
        <w:rPr>
          <w:rFonts w:cs="Times New Roman"/>
          <w:i/>
          <w:iCs/>
        </w:rPr>
        <w:t xml:space="preserve"> fails to </w:t>
      </w:r>
      <w:proofErr w:type="spellStart"/>
      <w:r w:rsidRPr="00022216">
        <w:rPr>
          <w:rFonts w:cs="Times New Roman"/>
          <w:i/>
          <w:iCs/>
        </w:rPr>
        <w:t>explain</w:t>
      </w:r>
      <w:proofErr w:type="spellEnd"/>
      <w:r w:rsidRPr="00022216">
        <w:rPr>
          <w:rFonts w:cs="Times New Roman"/>
          <w:i/>
          <w:iCs/>
        </w:rPr>
        <w:t xml:space="preserve"> in the </w:t>
      </w:r>
      <w:proofErr w:type="spellStart"/>
      <w:r w:rsidRPr="00022216">
        <w:rPr>
          <w:rFonts w:cs="Times New Roman"/>
          <w:i/>
          <w:iCs/>
        </w:rPr>
        <w:t>Eweida</w:t>
      </w:r>
      <w:proofErr w:type="spellEnd"/>
      <w:r w:rsidRPr="00022216">
        <w:rPr>
          <w:rFonts w:cs="Times New Roman"/>
          <w:i/>
          <w:iCs/>
        </w:rPr>
        <w:t xml:space="preserve"> case </w:t>
      </w:r>
      <w:proofErr w:type="spellStart"/>
      <w:r w:rsidRPr="00022216">
        <w:rPr>
          <w:rFonts w:cs="Times New Roman"/>
          <w:i/>
          <w:iCs/>
        </w:rPr>
        <w:t>why</w:t>
      </w:r>
      <w:proofErr w:type="spellEnd"/>
      <w:r w:rsidRPr="00022216">
        <w:rPr>
          <w:rFonts w:cs="Times New Roman"/>
          <w:i/>
          <w:iCs/>
        </w:rPr>
        <w:t xml:space="preserve"> the </w:t>
      </w:r>
      <w:proofErr w:type="spellStart"/>
      <w:r w:rsidRPr="00022216">
        <w:rPr>
          <w:rFonts w:cs="Times New Roman"/>
          <w:i/>
          <w:iCs/>
        </w:rPr>
        <w:t>aim</w:t>
      </w:r>
      <w:proofErr w:type="spellEnd"/>
      <w:r w:rsidRPr="00022216">
        <w:rPr>
          <w:rFonts w:cs="Times New Roman"/>
          <w:i/>
          <w:iCs/>
        </w:rPr>
        <w:t xml:space="preserve"> of the employer at hand </w:t>
      </w:r>
      <w:proofErr w:type="spellStart"/>
      <w:r w:rsidRPr="00022216">
        <w:rPr>
          <w:rFonts w:cs="Times New Roman"/>
          <w:i/>
          <w:iCs/>
        </w:rPr>
        <w:t>was</w:t>
      </w:r>
      <w:proofErr w:type="spellEnd"/>
      <w:r w:rsidRPr="00022216">
        <w:rPr>
          <w:rFonts w:cs="Times New Roman"/>
          <w:i/>
          <w:iCs/>
        </w:rPr>
        <w:t xml:space="preserve"> </w:t>
      </w:r>
      <w:proofErr w:type="spellStart"/>
      <w:r w:rsidRPr="00022216">
        <w:rPr>
          <w:rFonts w:cs="Times New Roman"/>
          <w:i/>
          <w:iCs/>
        </w:rPr>
        <w:t>undoubtedly</w:t>
      </w:r>
      <w:proofErr w:type="spellEnd"/>
      <w:r w:rsidRPr="00022216">
        <w:rPr>
          <w:rFonts w:cs="Times New Roman"/>
          <w:i/>
          <w:iCs/>
        </w:rPr>
        <w:t xml:space="preserve"> </w:t>
      </w:r>
      <w:proofErr w:type="spellStart"/>
      <w:r w:rsidRPr="00022216">
        <w:rPr>
          <w:rFonts w:cs="Times New Roman"/>
          <w:i/>
          <w:iCs/>
        </w:rPr>
        <w:t>legitimate</w:t>
      </w:r>
      <w:proofErr w:type="spellEnd"/>
      <w:r w:rsidRPr="00022216">
        <w:rPr>
          <w:rFonts w:cs="Times New Roman"/>
        </w:rPr>
        <w:t xml:space="preserve"> ». </w:t>
      </w:r>
      <w:r w:rsidRPr="00B87A1C">
        <w:rPr>
          <w:rFonts w:cs="Times New Roman"/>
          <w:lang w:val="en-GB"/>
        </w:rPr>
        <w:t xml:space="preserve">À </w:t>
      </w:r>
      <w:proofErr w:type="spellStart"/>
      <w:r w:rsidRPr="00B87A1C">
        <w:rPr>
          <w:rFonts w:cs="Times New Roman"/>
          <w:lang w:val="en-GB"/>
        </w:rPr>
        <w:t>l’inverse</w:t>
      </w:r>
      <w:proofErr w:type="spellEnd"/>
      <w:r w:rsidRPr="00B87A1C">
        <w:rPr>
          <w:rFonts w:cs="Times New Roman"/>
          <w:lang w:val="en-GB"/>
        </w:rPr>
        <w:t>, « </w:t>
      </w:r>
      <w:r w:rsidRPr="00B87A1C">
        <w:rPr>
          <w:rFonts w:cs="Times New Roman"/>
          <w:i/>
          <w:iCs/>
          <w:lang w:val="en-GB"/>
        </w:rPr>
        <w:t>[the] CJEU at least substantiates its position that the interest of the employer to maintain a policy of neutrality is legitimate with a reference to a binding fundamental right </w:t>
      </w:r>
      <w:r w:rsidRPr="00B87A1C">
        <w:rPr>
          <w:rFonts w:cs="Times New Roman"/>
          <w:lang w:val="en-GB"/>
        </w:rPr>
        <w:t>»</w:t>
      </w:r>
      <w:r w:rsidRPr="00B87A1C">
        <w:rPr>
          <w:rFonts w:cs="Times New Roman"/>
          <w:i/>
          <w:iCs/>
          <w:lang w:val="en-GB"/>
        </w:rPr>
        <w:t>.</w:t>
      </w:r>
      <w:r w:rsidRPr="00B87A1C">
        <w:rPr>
          <w:rFonts w:cs="Times New Roman"/>
          <w:lang w:val="en-GB"/>
        </w:rPr>
        <w:t xml:space="preserve"> Par </w:t>
      </w:r>
      <w:proofErr w:type="spellStart"/>
      <w:r w:rsidRPr="00B87A1C">
        <w:rPr>
          <w:rFonts w:cs="Times New Roman"/>
          <w:lang w:val="en-GB"/>
        </w:rPr>
        <w:t>ailleurs</w:t>
      </w:r>
      <w:proofErr w:type="spellEnd"/>
      <w:r w:rsidRPr="00B87A1C">
        <w:rPr>
          <w:rFonts w:cs="Times New Roman"/>
          <w:lang w:val="en-GB"/>
        </w:rPr>
        <w:t xml:space="preserve">, « </w:t>
      </w:r>
      <w:r w:rsidRPr="00B87A1C">
        <w:rPr>
          <w:rFonts w:cs="Times New Roman"/>
          <w:i/>
          <w:iCs/>
          <w:lang w:val="en-GB"/>
        </w:rPr>
        <w:t>the CJEU is more cautious in its wording. Whilst the ECtHR speaks of an “undoubtedly legitimate” aim, the CJEU mentions that the wish to maintain a policy of neutrality is “in principle” a legitimate aim</w:t>
      </w:r>
      <w:r w:rsidRPr="00B87A1C">
        <w:rPr>
          <w:rFonts w:cs="Times New Roman"/>
          <w:lang w:val="en-GB"/>
        </w:rPr>
        <w:t xml:space="preserve"> » </w:t>
      </w:r>
      <w:r w:rsidRPr="00022216">
        <w:rPr>
          <w:rFonts w:cs="Times New Roman"/>
        </w:rPr>
        <w:fldChar w:fldCharType="begin"/>
      </w:r>
      <w:r>
        <w:rPr>
          <w:rFonts w:cs="Times New Roman"/>
          <w:lang w:val="en-GB"/>
        </w:rPr>
        <w:instrText xml:space="preserve"> ADDIN ZOTERO_ITEM CSL_CITATION {"citationID":"XCdnaKux","properties":{"formattedCitation":"(\\uc0\\u171{}\\uc0\\u160{}2019/29 Eweida versus Achbita\\uc0\\u160{}\\uc0\\u187{}, {\\i{}op. cit.}, p. 178).","plainCitation":"(« 2019/29 Eweida versus Achbita », op. cit., p. 178).","noteIndex":333},"citationItems":[{"id":2349,"uris":["http://zotero.org/users/5133869/items/BL4BU8KP"],"itemData":{"id":2349,"type":"article-journal","container-title":"European Employment Law Cases","DOI":"10.5553/EELC/187791072019004003006","ISSN":"1877-9107","issue":"3","page":"174-178","source":"DOI.org (Crossref)","title":"Eweida versus Achbita: a storm in a teacup?","title-short":"2019/29 Eweida versus Achbita","volume":"4","author":[{"family":"Hashemi","given":"Morwarid"}],"issued":{"date-parts":[["2019"]]}},"locator":"178","suppress-author":true,"prefix":"(","suffix":")"}],"schema":"https://github.com/citation-style-language/schema/raw/master/csl-citation.json"} </w:instrText>
      </w:r>
      <w:r w:rsidRPr="00022216">
        <w:rPr>
          <w:rFonts w:cs="Times New Roman"/>
        </w:rPr>
        <w:fldChar w:fldCharType="separate"/>
      </w:r>
      <w:r w:rsidRPr="00697495">
        <w:rPr>
          <w:rFonts w:cs="Times New Roman"/>
          <w:szCs w:val="24"/>
          <w:lang w:val="en-GB"/>
        </w:rPr>
        <w:t xml:space="preserve">(« 2019/29 </w:t>
      </w:r>
      <w:proofErr w:type="spellStart"/>
      <w:r w:rsidRPr="00697495">
        <w:rPr>
          <w:rFonts w:cs="Times New Roman"/>
          <w:szCs w:val="24"/>
          <w:lang w:val="en-GB"/>
        </w:rPr>
        <w:t>Eweida</w:t>
      </w:r>
      <w:proofErr w:type="spellEnd"/>
      <w:r w:rsidRPr="00697495">
        <w:rPr>
          <w:rFonts w:cs="Times New Roman"/>
          <w:szCs w:val="24"/>
          <w:lang w:val="en-GB"/>
        </w:rPr>
        <w:t xml:space="preserve"> versus </w:t>
      </w:r>
      <w:proofErr w:type="spellStart"/>
      <w:r w:rsidRPr="00697495">
        <w:rPr>
          <w:rFonts w:cs="Times New Roman"/>
          <w:szCs w:val="24"/>
          <w:lang w:val="en-GB"/>
        </w:rPr>
        <w:t>Achbita</w:t>
      </w:r>
      <w:proofErr w:type="spellEnd"/>
      <w:r w:rsidRPr="00697495">
        <w:rPr>
          <w:rFonts w:cs="Times New Roman"/>
          <w:szCs w:val="24"/>
          <w:lang w:val="en-GB"/>
        </w:rPr>
        <w:t xml:space="preserve"> », </w:t>
      </w:r>
      <w:r w:rsidRPr="00697495">
        <w:rPr>
          <w:rFonts w:cs="Times New Roman"/>
          <w:i/>
          <w:iCs/>
          <w:szCs w:val="24"/>
          <w:lang w:val="en-GB"/>
        </w:rPr>
        <w:t>op. cit.</w:t>
      </w:r>
      <w:r w:rsidRPr="00697495">
        <w:rPr>
          <w:rFonts w:cs="Times New Roman"/>
          <w:szCs w:val="24"/>
          <w:lang w:val="en-GB"/>
        </w:rPr>
        <w:t>, p. 178).</w:t>
      </w:r>
      <w:r w:rsidRPr="00022216">
        <w:rPr>
          <w:rFonts w:cs="Times New Roman"/>
        </w:rPr>
        <w:fldChar w:fldCharType="end"/>
      </w:r>
    </w:p>
  </w:footnote>
  <w:footnote w:id="265">
    <w:p w14:paraId="3F117342" w14:textId="7F58FDE6" w:rsidR="000D6C77" w:rsidRPr="008D517D" w:rsidRDefault="000D6C77" w:rsidP="00E20960">
      <w:pPr>
        <w:pStyle w:val="Notedebasdepage"/>
        <w:rPr>
          <w:rFonts w:cs="Times New Roman"/>
          <w:lang w:val="nl-BE"/>
        </w:rPr>
      </w:pPr>
      <w:r w:rsidRPr="00022216">
        <w:rPr>
          <w:rStyle w:val="Appelnotedebasdep"/>
          <w:rFonts w:cs="Times New Roman"/>
        </w:rPr>
        <w:footnoteRef/>
      </w:r>
      <w:r w:rsidRPr="0003664B">
        <w:rPr>
          <w:rFonts w:cs="Times New Roman"/>
        </w:rPr>
        <w:t xml:space="preserve"> Cette position rejoint celle exprimée par l’avocat général </w:t>
      </w:r>
      <w:proofErr w:type="spellStart"/>
      <w:r w:rsidRPr="0003664B">
        <w:rPr>
          <w:rFonts w:cs="Times New Roman"/>
        </w:rPr>
        <w:t>Maduro</w:t>
      </w:r>
      <w:proofErr w:type="spellEnd"/>
      <w:r w:rsidRPr="0003664B">
        <w:rPr>
          <w:rFonts w:cs="Times New Roman"/>
        </w:rPr>
        <w:t xml:space="preserve"> en 2008 dans l’arrêt </w:t>
      </w:r>
      <w:proofErr w:type="spellStart"/>
      <w:r w:rsidRPr="0003664B">
        <w:rPr>
          <w:rFonts w:cs="Times New Roman"/>
          <w:i/>
        </w:rPr>
        <w:t>Feryn</w:t>
      </w:r>
      <w:proofErr w:type="spellEnd"/>
      <w:r w:rsidRPr="008D517D" w:rsidDel="00131485">
        <w:rPr>
          <w:rFonts w:cs="Times New Roman"/>
        </w:rPr>
        <w:t xml:space="preserve"> </w:t>
      </w:r>
      <w:r w:rsidRPr="008D517D">
        <w:rPr>
          <w:rFonts w:cs="Times New Roman"/>
        </w:rPr>
        <w:t xml:space="preserve">: </w:t>
      </w:r>
      <w:proofErr w:type="spellStart"/>
      <w:r w:rsidRPr="008D517D">
        <w:rPr>
          <w:rFonts w:cs="Times New Roman"/>
        </w:rPr>
        <w:t>v</w:t>
      </w:r>
      <w:r w:rsidRPr="0003664B">
        <w:rPr>
          <w:rFonts w:cs="Times New Roman"/>
        </w:rPr>
        <w:t>oy</w:t>
      </w:r>
      <w:proofErr w:type="spellEnd"/>
      <w:r w:rsidRPr="0003664B">
        <w:rPr>
          <w:rFonts w:cs="Times New Roman"/>
        </w:rPr>
        <w:t xml:space="preserve">., </w:t>
      </w:r>
      <w:r w:rsidRPr="0003664B">
        <w:rPr>
          <w:rFonts w:cs="Times New Roman"/>
          <w:i/>
          <w:iCs/>
        </w:rPr>
        <w:t>infra</w:t>
      </w:r>
      <w:r w:rsidRPr="0003664B">
        <w:rPr>
          <w:rFonts w:cs="Times New Roman"/>
        </w:rPr>
        <w:t xml:space="preserve">, </w:t>
      </w:r>
      <w:r>
        <w:rPr>
          <w:rFonts w:cs="Times New Roman"/>
        </w:rPr>
        <w:t>para</w:t>
      </w:r>
      <w:r w:rsidRPr="0003664B">
        <w:rPr>
          <w:rFonts w:cs="Times New Roman"/>
        </w:rPr>
        <w:t xml:space="preserve">. </w:t>
      </w:r>
      <w:r>
        <w:rPr>
          <w:rFonts w:cs="Times New Roman"/>
        </w:rPr>
        <w:fldChar w:fldCharType="begin"/>
      </w:r>
      <w:r w:rsidRPr="0003664B">
        <w:rPr>
          <w:rFonts w:cs="Times New Roman"/>
        </w:rPr>
        <w:instrText xml:space="preserve"> REF _Ref120971089 \r \h </w:instrText>
      </w:r>
      <w:r>
        <w:rPr>
          <w:rFonts w:cs="Times New Roman"/>
        </w:rPr>
      </w:r>
      <w:r>
        <w:rPr>
          <w:rFonts w:cs="Times New Roman"/>
        </w:rPr>
        <w:fldChar w:fldCharType="separate"/>
      </w:r>
      <w:r w:rsidRPr="008D517D">
        <w:rPr>
          <w:rFonts w:cs="Times New Roman"/>
          <w:lang w:val="nl-BE"/>
        </w:rPr>
        <w:t>113</w:t>
      </w:r>
      <w:r>
        <w:rPr>
          <w:rFonts w:cs="Times New Roman"/>
        </w:rPr>
        <w:fldChar w:fldCharType="end"/>
      </w:r>
      <w:r w:rsidRPr="008D517D">
        <w:rPr>
          <w:rFonts w:cs="Times New Roman"/>
          <w:lang w:val="nl-BE"/>
        </w:rPr>
        <w:t>.</w:t>
      </w:r>
    </w:p>
  </w:footnote>
  <w:footnote w:id="266">
    <w:p w14:paraId="1B7F892A" w14:textId="4603EA9A" w:rsidR="000D6C77" w:rsidRPr="00BC68A1" w:rsidRDefault="000D6C77" w:rsidP="00E20960">
      <w:pPr>
        <w:pStyle w:val="Notedebasdepage"/>
        <w:rPr>
          <w:rFonts w:cs="Times New Roman"/>
          <w:lang w:val="nl-BE"/>
        </w:rPr>
      </w:pPr>
      <w:r w:rsidRPr="00022216">
        <w:rPr>
          <w:rStyle w:val="Appelnotedebasdep"/>
          <w:rFonts w:cs="Times New Roman"/>
        </w:rPr>
        <w:footnoteRef/>
      </w:r>
      <w:r w:rsidRPr="00BC68A1">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{"citationID":"b24b2XJD","properties":{"formattedCitation":"C. {\\scaps Bayart}, {\\i{}Discriminatie tegenover differentiatie: arbeidsverhoudingen na de discriminatiewet\\uc0\\u8239{}; arbeidsrecht na Europese ras- en kaderrichtlijn}, Bruxelles, De Boeck &amp; Larcier, 2004, p. 286, n\\uc0\\u176{} 800.","plainCitation":"C. Bayart, Discriminatie tegenover differentiatie: arbeidsverhoudingen na de discriminatiewet ; arbeidsrecht na Europese ras- en kaderrichtlijn, Bruxelles, De Boeck &amp; Larcier, 2004, p. 286, n° 800.","noteIndex":335},"citationItems":[{"id":999,"uris":["http://zotero.org/users/5133869/items/LZWUJD64"],"itemData":{"id":999,"type":"book","event-place":"Bruxelles","ISBN":"978-2-8044-1547-1","language":"dut","note":"OCLC: 254037050","number-of-pages":"551","publisher":"De Boeck &amp; Larcier","publisher-place":"Bruxelles","source":"Gemeinsamer Bibliotheksverbund ISBN","title":"Discriminatie tegenover differentiatie: arbeidsverhoudingen na de discriminatiewet ; arbeidsrecht na Europese ras- en kaderrichtlijn","title-short":"Discriminatie tegenover differentiatie","author":[{"family":"Bayart","given":"Christian"}],"issued":{"date-parts":[["2004"]]}},"locator":"286","suffix":", n° 800"}],"schema":"https://github.com/citation-style-language/schema/raw/master/csl-citation.json"} </w:instrText>
      </w:r>
      <w:r w:rsidRPr="00022216">
        <w:rPr>
          <w:rFonts w:cs="Times New Roman"/>
        </w:rPr>
        <w:fldChar w:fldCharType="separate"/>
      </w:r>
      <w:r w:rsidRPr="00D57414">
        <w:rPr>
          <w:rFonts w:cs="Times New Roman"/>
          <w:szCs w:val="24"/>
          <w:lang w:val="nl-BE"/>
        </w:rPr>
        <w:t xml:space="preserve">C. </w:t>
      </w:r>
      <w:proofErr w:type="spellStart"/>
      <w:r w:rsidRPr="00D57414">
        <w:rPr>
          <w:rFonts w:cs="Times New Roman"/>
          <w:smallCaps/>
          <w:szCs w:val="24"/>
          <w:lang w:val="nl-BE"/>
        </w:rPr>
        <w:t>Bayart</w:t>
      </w:r>
      <w:proofErr w:type="spellEnd"/>
      <w:r w:rsidRPr="00D57414">
        <w:rPr>
          <w:rFonts w:cs="Times New Roman"/>
          <w:szCs w:val="24"/>
          <w:lang w:val="nl-BE"/>
        </w:rPr>
        <w:t xml:space="preserve">, </w:t>
      </w:r>
      <w:r w:rsidRPr="00D57414">
        <w:rPr>
          <w:rFonts w:cs="Times New Roman"/>
          <w:i/>
          <w:iCs/>
          <w:szCs w:val="24"/>
          <w:lang w:val="nl-BE"/>
        </w:rPr>
        <w:t>Discriminatie tegenover differentiatie: arbeidsverhoudingen na de discriminatiewet ; arbeidsrecht na Europese ras- en kaderrichtlijn</w:t>
      </w:r>
      <w:r w:rsidRPr="00D57414">
        <w:rPr>
          <w:rFonts w:cs="Times New Roman"/>
          <w:szCs w:val="24"/>
          <w:lang w:val="nl-BE"/>
        </w:rPr>
        <w:t xml:space="preserve">, Bruxelles, De </w:t>
      </w:r>
      <w:proofErr w:type="spellStart"/>
      <w:r w:rsidRPr="00D57414">
        <w:rPr>
          <w:rFonts w:cs="Times New Roman"/>
          <w:szCs w:val="24"/>
          <w:lang w:val="nl-BE"/>
        </w:rPr>
        <w:t>Boeck</w:t>
      </w:r>
      <w:proofErr w:type="spellEnd"/>
      <w:r w:rsidRPr="00D57414">
        <w:rPr>
          <w:rFonts w:cs="Times New Roman"/>
          <w:szCs w:val="24"/>
          <w:lang w:val="nl-BE"/>
        </w:rPr>
        <w:t xml:space="preserve"> &amp; </w:t>
      </w:r>
      <w:proofErr w:type="spellStart"/>
      <w:r w:rsidRPr="00D57414">
        <w:rPr>
          <w:rFonts w:cs="Times New Roman"/>
          <w:szCs w:val="24"/>
          <w:lang w:val="nl-BE"/>
        </w:rPr>
        <w:t>Larcier</w:t>
      </w:r>
      <w:proofErr w:type="spellEnd"/>
      <w:r w:rsidRPr="00D57414">
        <w:rPr>
          <w:rFonts w:cs="Times New Roman"/>
          <w:szCs w:val="24"/>
          <w:lang w:val="nl-BE"/>
        </w:rPr>
        <w:t>, 2004, p. 286, n° 800.</w:t>
      </w:r>
      <w:r w:rsidRPr="00022216">
        <w:rPr>
          <w:rFonts w:cs="Times New Roman"/>
        </w:rPr>
        <w:fldChar w:fldCharType="end"/>
      </w:r>
    </w:p>
  </w:footnote>
  <w:footnote w:id="267">
    <w:p w14:paraId="0F904F1C" w14:textId="715A8DA0" w:rsidR="000D6C77" w:rsidRDefault="000D6C77">
      <w:pPr>
        <w:pStyle w:val="Notedebasdepage"/>
      </w:pPr>
      <w:r>
        <w:rPr>
          <w:rStyle w:val="Appelnotedebasdep"/>
        </w:rPr>
        <w:footnoteRef/>
      </w:r>
      <w:r>
        <w:t xml:space="preserve"> </w:t>
      </w:r>
      <w:r>
        <w:fldChar w:fldCharType="begin"/>
      </w:r>
      <w:r>
        <w:instrText xml:space="preserve"> ADDIN ZOTERO_ITEM CSL_CITATION {"citationID":"LqyRWCG1","properties":{"formattedCitation":"M. {\\scaps Uyttendaele}, \\uc0\\u171{}\\uc0\\u160{}La neutralit\\uc0\\u233{} d\\uc0\\u8217{}apparence n\\uc0\\u8217{}est pas discriminatoire, la Cour du Luxembourg l\\uc0\\u8217{}affirme sans ambage\\uc0\\u160{}\\uc0\\u187{}, {\\i{}JLMB}, 2021, n\\uc0\\u176{} 28, p. 1259.","plainCitation":"M. Uyttendaele, « La neutralité d’apparence n’est pas discriminatoire, la Cour du Luxembourg l’affirme sans ambage », JLMB, 2021, n° 28, p. 1259.","noteIndex":339},"citationItems":[{"id":3285,"uris":["http://zotero.org/users/5133869/items/YAX8IXNI"],"itemData":{"id":3285,"type":"article-journal","container-title":"JLMB","issue":"28","page":"1255-1261","title":"La neutralité d’apparence n’est pas discriminatoire, la Cour du Luxembourg l’affirme sans ambage","author":[{"family":"Uyttendaele","given":"Marc"}],"issued":{"date-parts":[["2021"]]}},"locator":"1259","label":"page"}],"schema":"https://github.com/citation-style-language/schema/raw/master/csl-citation.json"} </w:instrText>
      </w:r>
      <w:r>
        <w:fldChar w:fldCharType="separate"/>
      </w:r>
      <w:r w:rsidRPr="00916EAF">
        <w:rPr>
          <w:rFonts w:cs="Times New Roman"/>
          <w:szCs w:val="24"/>
        </w:rPr>
        <w:t xml:space="preserve">M. </w:t>
      </w:r>
      <w:proofErr w:type="spellStart"/>
      <w:r w:rsidRPr="00916EAF">
        <w:rPr>
          <w:rFonts w:cs="Times New Roman"/>
          <w:smallCaps/>
          <w:szCs w:val="24"/>
        </w:rPr>
        <w:t>Uyttendaele</w:t>
      </w:r>
      <w:proofErr w:type="spellEnd"/>
      <w:r w:rsidRPr="00916EAF">
        <w:rPr>
          <w:rFonts w:cs="Times New Roman"/>
          <w:szCs w:val="24"/>
        </w:rPr>
        <w:t xml:space="preserve">, « La neutralité d’apparence n’est pas discriminatoire, la Cour du Luxembourg l’affirme sans </w:t>
      </w:r>
      <w:proofErr w:type="spellStart"/>
      <w:r w:rsidRPr="00916EAF">
        <w:rPr>
          <w:rFonts w:cs="Times New Roman"/>
          <w:szCs w:val="24"/>
        </w:rPr>
        <w:t>ambage</w:t>
      </w:r>
      <w:proofErr w:type="spellEnd"/>
      <w:r w:rsidRPr="00916EAF">
        <w:rPr>
          <w:rFonts w:cs="Times New Roman"/>
          <w:szCs w:val="24"/>
        </w:rPr>
        <w:t xml:space="preserve"> », </w:t>
      </w:r>
      <w:r w:rsidRPr="00916EAF">
        <w:rPr>
          <w:rFonts w:cs="Times New Roman"/>
          <w:i/>
          <w:iCs/>
          <w:szCs w:val="24"/>
        </w:rPr>
        <w:t>JLMB</w:t>
      </w:r>
      <w:r w:rsidRPr="00916EAF">
        <w:rPr>
          <w:rFonts w:cs="Times New Roman"/>
          <w:szCs w:val="24"/>
        </w:rPr>
        <w:t>, 2021, n° 28, p. 1259.</w:t>
      </w:r>
      <w:r>
        <w:fldChar w:fldCharType="end"/>
      </w:r>
    </w:p>
  </w:footnote>
  <w:footnote w:id="268">
    <w:p w14:paraId="06BDD01A" w14:textId="28401782" w:rsidR="000D6C77" w:rsidRPr="005F6409" w:rsidRDefault="000D6C77" w:rsidP="00E20960">
      <w:pPr>
        <w:pStyle w:val="Notedebasdepage"/>
        <w:rPr>
          <w:rFonts w:cs="Times New Roman"/>
          <w:lang w:val="en-GB"/>
        </w:rPr>
      </w:pPr>
      <w:r w:rsidRPr="00022216">
        <w:rPr>
          <w:rStyle w:val="Appelnotedebasdep"/>
          <w:rFonts w:cs="Times New Roman"/>
        </w:rPr>
        <w:footnoteRef/>
      </w:r>
      <w:r w:rsidRPr="005F6409">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{"citationID":"tmDQXvup","properties":{"formattedCitation":"E. {\\scaps Brems} et J. {\\scaps Vrielink}, \\uc0\\u171{}\\uc0\\u160{}Floors or Ceilings: European Supranational Courts and Their Authority in Human Rights Matters\\uc0\\u160{}\\uc0\\u187{}, {\\i{}op. cit.}, p. 296.","plainCitation":"E. Brems et J. Vrielink, « Floors or Ceilings: European Supranational Courts and Their Authority in Human Rights Matters », op. cit., p. 296.","noteIndex":336},"citationItems":[{"id":2613,"uris":["http://zotero.org/users/5133869/items/QFFWB8RX"],"itemData":{"id":2613,"type":"chapter","abstract":"With this tribute book we have tried to avoid the classic pitfalls. The work in your hands contains contributions that are focused on human rights, in all their diversity, but with a strong emphasis on the European Convention on Human Rights. The contributions were also subjected to a stringent peer review, so that this book could just as well be a classically edited academic work. It therefore meets, we hope, the highest academic standards, as Paul Lemmens has always embodied them","container-title":"Human rights with a human touch.: Liber amicorum Paul Lemmens","event-place":"Mortsel","ISBN":"978-1-78068-874-9","language":"English","note":"OCLC: 1135471111","page":"271-302","publisher":"Intersentia","publisher-place":"Mortsel","source":"Open WorldCat","title":"Floors or Ceilings: European Supranational Courts and Their Authority in Human Rights Matters","editor":[{"family":"Lemmens","given":"Koen"},{"family":"Parmentier","given":"Stephan"},{"family":"Reyntjens","given":"Louise"}],"author":[{"family":"Brems","given":"Eva"},{"family":"Vrielink","given":"Jogchum"}],"issued":{"date-parts":[["2019"]]}},"locator":"296"}],"schema":"https://github.com/citation-style-language/schema/raw/master/csl-citation.json"} </w:instrText>
      </w:r>
      <w:r w:rsidRPr="00022216">
        <w:rPr>
          <w:rFonts w:cs="Times New Roman"/>
        </w:rPr>
        <w:fldChar w:fldCharType="separate"/>
      </w:r>
      <w:r w:rsidRPr="005F6409">
        <w:rPr>
          <w:rFonts w:cs="Times New Roman"/>
          <w:szCs w:val="24"/>
          <w:lang w:val="en-GB"/>
        </w:rPr>
        <w:t xml:space="preserve">E. </w:t>
      </w:r>
      <w:proofErr w:type="spellStart"/>
      <w:r w:rsidRPr="005F6409">
        <w:rPr>
          <w:rFonts w:cs="Times New Roman"/>
          <w:smallCaps/>
          <w:szCs w:val="24"/>
          <w:lang w:val="en-GB"/>
        </w:rPr>
        <w:t>Brems</w:t>
      </w:r>
      <w:proofErr w:type="spellEnd"/>
      <w:r w:rsidRPr="005F6409">
        <w:rPr>
          <w:rFonts w:cs="Times New Roman"/>
          <w:szCs w:val="24"/>
          <w:lang w:val="en-GB"/>
        </w:rPr>
        <w:t xml:space="preserve"> et J. </w:t>
      </w:r>
      <w:proofErr w:type="spellStart"/>
      <w:r w:rsidRPr="005F6409">
        <w:rPr>
          <w:rFonts w:cs="Times New Roman"/>
          <w:smallCaps/>
          <w:szCs w:val="24"/>
          <w:lang w:val="en-GB"/>
        </w:rPr>
        <w:t>Vrielink</w:t>
      </w:r>
      <w:proofErr w:type="spellEnd"/>
      <w:r w:rsidRPr="005F6409">
        <w:rPr>
          <w:rFonts w:cs="Times New Roman"/>
          <w:szCs w:val="24"/>
          <w:lang w:val="en-GB"/>
        </w:rPr>
        <w:t xml:space="preserve">, « Floors or Ceilings: European Supranational Courts and Their Authority in Human Rights Matters », </w:t>
      </w:r>
      <w:r w:rsidRPr="005F6409">
        <w:rPr>
          <w:rFonts w:cs="Times New Roman"/>
          <w:i/>
          <w:iCs/>
          <w:szCs w:val="24"/>
          <w:lang w:val="en-GB"/>
        </w:rPr>
        <w:t>op. cit.</w:t>
      </w:r>
      <w:r w:rsidRPr="005F6409">
        <w:rPr>
          <w:rFonts w:cs="Times New Roman"/>
          <w:szCs w:val="24"/>
          <w:lang w:val="en-GB"/>
        </w:rPr>
        <w:t>, p. 296.</w:t>
      </w:r>
      <w:r w:rsidRPr="00022216">
        <w:rPr>
          <w:rFonts w:cs="Times New Roman"/>
        </w:rPr>
        <w:fldChar w:fldCharType="end"/>
      </w:r>
    </w:p>
  </w:footnote>
  <w:footnote w:id="269">
    <w:p w14:paraId="3AE51FA1" w14:textId="48C08DEF" w:rsidR="000D6C77" w:rsidRPr="00022216" w:rsidRDefault="000D6C77" w:rsidP="00E20960">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{"citationID":"LEAwRf9e","properties":{"formattedCitation":"F. {\\scaps K\\uc0\\u233{}fer}, \\uc0\\u171{}\\uc0\\u160{}L\\uc0\\u8217{}expression des convictions religieuses dans les relations de travail\\uc0\\u160{}\\uc0\\u187{}, {\\i{}op. cit.}, p. 566\\uc0\\u160{}; J. {\\scaps Savatier}, \\uc0\\u171{}\\uc0\\u160{}Conditions de lic\\uc0\\u233{}it\\uc0\\u233{} d\\uc0\\u8217{}un licenciement pour port du voile islamique\\uc0\\u160{}\\uc0\\u187{}, {\\i{}Droit social}, 2004, n\\uc0\\u176{} 4, p. 357.","plainCitation":"F. Kéfer, « L’expression des convictions religieuses dans les relations de travail », op. cit., p. 566 ; J. Savatier, « Conditions de licéité d’un licenciement pour port du voile islamique », Droit social, 2004, n° 4, p. 357.","noteIndex":337},"citationItems":[{"id":1427,"uris":["http://zotero.org/users/5133869/items/C7TEAJD8"],"itemData":{"id":1427,"type":"article-journal","container-title":"Revue de Droit Social","issue":"3","page":"528-583","title":"L’expression des convictions religieuses dans les relations de travail","author":[{"family":"Kéfer","given":"Fabienne"}],"issued":{"date-parts":[["2017"]]}},"locator":"566"},{"id":1509,"uris":["http://zotero.org/users/5133869/items/A8GYHQLQ"],"itemData":{"id":1509,"type":"article-journal","container-title":"Droit social","issue":"4","page":"364-371","title":"Conditions de licéité d’un licenciement pour port du voile islamique","author":[{"family":"Savatier","given":"Jean"}],"issued":{"date-parts":[["2004"]]}},"locator":"357","label":"page"}],"schema":"https://github.com/citation-style-language/schema/raw/master/csl-citation.json"} </w:instrText>
      </w:r>
      <w:r w:rsidRPr="00022216">
        <w:rPr>
          <w:rFonts w:cs="Times New Roman"/>
        </w:rPr>
        <w:fldChar w:fldCharType="separate"/>
      </w:r>
      <w:r w:rsidRPr="00B9164B">
        <w:rPr>
          <w:rFonts w:cs="Times New Roman"/>
          <w:szCs w:val="24"/>
        </w:rPr>
        <w:t xml:space="preserve">F. </w:t>
      </w:r>
      <w:proofErr w:type="spellStart"/>
      <w:r w:rsidRPr="00B9164B">
        <w:rPr>
          <w:rFonts w:cs="Times New Roman"/>
          <w:smallCaps/>
          <w:szCs w:val="24"/>
        </w:rPr>
        <w:t>Kéfer</w:t>
      </w:r>
      <w:proofErr w:type="spellEnd"/>
      <w:r w:rsidRPr="00B9164B">
        <w:rPr>
          <w:rFonts w:cs="Times New Roman"/>
          <w:szCs w:val="24"/>
        </w:rPr>
        <w:t xml:space="preserve">, « L’expression des convictions religieuses dans les relations de travail », </w:t>
      </w:r>
      <w:r w:rsidRPr="00B9164B">
        <w:rPr>
          <w:rFonts w:cs="Times New Roman"/>
          <w:i/>
          <w:iCs/>
          <w:szCs w:val="24"/>
        </w:rPr>
        <w:t xml:space="preserve">op. </w:t>
      </w:r>
      <w:proofErr w:type="spellStart"/>
      <w:r w:rsidRPr="00B9164B">
        <w:rPr>
          <w:rFonts w:cs="Times New Roman"/>
          <w:i/>
          <w:iCs/>
          <w:szCs w:val="24"/>
        </w:rPr>
        <w:t>cit</w:t>
      </w:r>
      <w:proofErr w:type="spellEnd"/>
      <w:r w:rsidRPr="00B9164B">
        <w:rPr>
          <w:rFonts w:cs="Times New Roman"/>
          <w:i/>
          <w:iCs/>
          <w:szCs w:val="24"/>
        </w:rPr>
        <w:t>.</w:t>
      </w:r>
      <w:r w:rsidRPr="00B9164B">
        <w:rPr>
          <w:rFonts w:cs="Times New Roman"/>
          <w:szCs w:val="24"/>
        </w:rPr>
        <w:t xml:space="preserve">, p. 566 ; J. </w:t>
      </w:r>
      <w:proofErr w:type="spellStart"/>
      <w:r w:rsidRPr="00B9164B">
        <w:rPr>
          <w:rFonts w:cs="Times New Roman"/>
          <w:smallCaps/>
          <w:szCs w:val="24"/>
        </w:rPr>
        <w:t>Savatier</w:t>
      </w:r>
      <w:proofErr w:type="spellEnd"/>
      <w:r w:rsidRPr="00B9164B">
        <w:rPr>
          <w:rFonts w:cs="Times New Roman"/>
          <w:szCs w:val="24"/>
        </w:rPr>
        <w:t xml:space="preserve">, « Conditions de licéité d’un licenciement pour port du voile islamique », </w:t>
      </w:r>
      <w:r w:rsidRPr="00B9164B">
        <w:rPr>
          <w:rFonts w:cs="Times New Roman"/>
          <w:i/>
          <w:iCs/>
          <w:szCs w:val="24"/>
        </w:rPr>
        <w:t>Droit social</w:t>
      </w:r>
      <w:r w:rsidRPr="00B9164B">
        <w:rPr>
          <w:rFonts w:cs="Times New Roman"/>
          <w:szCs w:val="24"/>
        </w:rPr>
        <w:t>, 2004, n° 4, p. 357.</w:t>
      </w:r>
      <w:r w:rsidRPr="00022216">
        <w:rPr>
          <w:rFonts w:cs="Times New Roman"/>
        </w:rPr>
        <w:fldChar w:fldCharType="end"/>
      </w:r>
    </w:p>
  </w:footnote>
  <w:footnote w:id="270">
    <w:p w14:paraId="02FB4772" w14:textId="0EB128DF" w:rsidR="000D6C77" w:rsidRPr="0031477A" w:rsidRDefault="000D6C77" w:rsidP="00E20960">
      <w:pPr>
        <w:pStyle w:val="Notedebasdepage"/>
        <w:rPr>
          <w:rFonts w:cs="Times New Roman"/>
          <w:lang w:val="nl-BE"/>
        </w:rPr>
      </w:pPr>
      <w:r w:rsidRPr="00022216">
        <w:rPr>
          <w:rStyle w:val="Appelnotedebasdep"/>
          <w:rFonts w:cs="Times New Roman"/>
        </w:rPr>
        <w:footnoteRef/>
      </w:r>
      <w:r w:rsidRPr="0031477A">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{"citationID":"giXAocXk","properties":{"formattedCitation":"K. {\\scaps Alidadi}, \\uc0\\u171{}\\uc0\\u160{}Geloof en levensbeschouwing op de Europese en Belgische arbeidsmarkt: juridisch kader en recente ontwikkelingen\\uc0\\u160{}\\uc0\\u187{}, {\\i{}op. cit.}, p. 10.","plainCitation":"K. Alidadi, « Geloof en levensbeschouwing op de Europese en Belgische arbeidsmarkt: juridisch kader en recente ontwikkelingen », op. cit., p. 10.","noteIndex":338},"citationItems":[{"id":1326,"uris":["http://zotero.org/users/5133869/items/N9QE77EC"],"itemData":{"id":1326,"type":"article-journal","container-title":"Tijdschrift voor mensenrechten","issue":"4","page":"7-11","title":"Geloof en levensbeschouwing op de Europese en Belgische arbeidsmarkt: juridisch kader en recente ontwikkelingen","author":[{"family":"Alidadi","given":"Katayoun"}],"issued":{"date-parts":[["2015"]]}},"locator":"10"}],"schema":"https://github.com/citation-style-language/schema/raw/master/csl-citation.json"} </w:instrText>
      </w:r>
      <w:r w:rsidRPr="00022216">
        <w:rPr>
          <w:rFonts w:cs="Times New Roman"/>
        </w:rPr>
        <w:fldChar w:fldCharType="separate"/>
      </w:r>
      <w:r w:rsidRPr="005A10C3">
        <w:rPr>
          <w:rFonts w:cs="Times New Roman"/>
          <w:szCs w:val="24"/>
          <w:lang w:val="nl-BE"/>
        </w:rPr>
        <w:t xml:space="preserve">K. </w:t>
      </w:r>
      <w:proofErr w:type="spellStart"/>
      <w:r w:rsidRPr="005A10C3">
        <w:rPr>
          <w:rFonts w:cs="Times New Roman"/>
          <w:smallCaps/>
          <w:szCs w:val="24"/>
          <w:lang w:val="nl-BE"/>
        </w:rPr>
        <w:t>Alidadi</w:t>
      </w:r>
      <w:proofErr w:type="spellEnd"/>
      <w:r w:rsidRPr="005A10C3">
        <w:rPr>
          <w:rFonts w:cs="Times New Roman"/>
          <w:szCs w:val="24"/>
          <w:lang w:val="nl-BE"/>
        </w:rPr>
        <w:t xml:space="preserve">, « Geloof en levensbeschouwing op de Europese en Belgische arbeidsmarkt: juridisch kader en recente ontwikkelingen », </w:t>
      </w:r>
      <w:r w:rsidRPr="005A10C3">
        <w:rPr>
          <w:rFonts w:cs="Times New Roman"/>
          <w:i/>
          <w:iCs/>
          <w:szCs w:val="24"/>
          <w:lang w:val="nl-BE"/>
        </w:rPr>
        <w:t xml:space="preserve">op. </w:t>
      </w:r>
      <w:proofErr w:type="spellStart"/>
      <w:r w:rsidRPr="005A10C3">
        <w:rPr>
          <w:rFonts w:cs="Times New Roman"/>
          <w:i/>
          <w:iCs/>
          <w:szCs w:val="24"/>
          <w:lang w:val="nl-BE"/>
        </w:rPr>
        <w:t>cit</w:t>
      </w:r>
      <w:proofErr w:type="spellEnd"/>
      <w:r w:rsidRPr="005A10C3">
        <w:rPr>
          <w:rFonts w:cs="Times New Roman"/>
          <w:i/>
          <w:iCs/>
          <w:szCs w:val="24"/>
          <w:lang w:val="nl-BE"/>
        </w:rPr>
        <w:t>.</w:t>
      </w:r>
      <w:r w:rsidRPr="005A10C3">
        <w:rPr>
          <w:rFonts w:cs="Times New Roman"/>
          <w:szCs w:val="24"/>
          <w:lang w:val="nl-BE"/>
        </w:rPr>
        <w:t>, p. 10.</w:t>
      </w:r>
      <w:r w:rsidRPr="00022216">
        <w:rPr>
          <w:rFonts w:cs="Times New Roman"/>
        </w:rPr>
        <w:fldChar w:fldCharType="end"/>
      </w:r>
    </w:p>
  </w:footnote>
  <w:footnote w:id="271">
    <w:p w14:paraId="2EA73763" w14:textId="1459B254" w:rsidR="000D6C77" w:rsidRPr="008D517D" w:rsidRDefault="000D6C77" w:rsidP="000200B9">
      <w:pPr>
        <w:pStyle w:val="Notedebasdepage"/>
        <w:rPr>
          <w:lang w:val="nl-BE"/>
        </w:rPr>
      </w:pPr>
      <w:r>
        <w:rPr>
          <w:rStyle w:val="Appelnotedebasdep"/>
        </w:rPr>
        <w:footnoteRef/>
      </w:r>
      <w:r w:rsidRPr="008D517D">
        <w:rPr>
          <w:lang w:val="nl-BE"/>
        </w:rPr>
        <w:t xml:space="preserve"> CJUE, </w:t>
      </w:r>
      <w:r w:rsidRPr="008D517D">
        <w:rPr>
          <w:i/>
          <w:iCs/>
          <w:lang w:val="nl-BE"/>
        </w:rPr>
        <w:t>WABE-Müller</w:t>
      </w:r>
      <w:r w:rsidRPr="008D517D">
        <w:rPr>
          <w:lang w:val="nl-BE"/>
        </w:rPr>
        <w:t>, para. 65.</w:t>
      </w:r>
    </w:p>
  </w:footnote>
  <w:footnote w:id="272">
    <w:p w14:paraId="0C8B411B" w14:textId="184E6EA5" w:rsidR="000D6C77" w:rsidRPr="008D517D" w:rsidRDefault="000D6C77">
      <w:pPr>
        <w:pStyle w:val="Notedebasdepage"/>
        <w:rPr>
          <w:lang w:val="nl-BE"/>
        </w:rPr>
      </w:pPr>
      <w:r>
        <w:rPr>
          <w:rStyle w:val="Appelnotedebasdep"/>
        </w:rPr>
        <w:footnoteRef/>
      </w:r>
      <w:r w:rsidRPr="008D517D">
        <w:rPr>
          <w:lang w:val="nl-BE"/>
        </w:rPr>
        <w:t xml:space="preserve"> CJUE, </w:t>
      </w:r>
      <w:r w:rsidRPr="008D517D">
        <w:rPr>
          <w:i/>
          <w:iCs/>
          <w:lang w:val="nl-BE"/>
        </w:rPr>
        <w:t>LF c. SCRL</w:t>
      </w:r>
      <w:r w:rsidRPr="008D517D">
        <w:rPr>
          <w:lang w:val="nl-BE"/>
        </w:rPr>
        <w:t>, para. 41.</w:t>
      </w:r>
    </w:p>
  </w:footnote>
  <w:footnote w:id="273">
    <w:p w14:paraId="613CF80F" w14:textId="0D2A8CA6" w:rsidR="000D6C77" w:rsidRDefault="000D6C77">
      <w:pPr>
        <w:pStyle w:val="Notedebasdepage"/>
      </w:pPr>
      <w:r>
        <w:rPr>
          <w:rStyle w:val="Appelnotedebasdep"/>
        </w:rPr>
        <w:footnoteRef/>
      </w:r>
      <w:r w:rsidRPr="008D517D">
        <w:rPr>
          <w:lang w:val="nl-BE"/>
        </w:rPr>
        <w:t xml:space="preserve"> CJUE, </w:t>
      </w:r>
      <w:r w:rsidRPr="008D517D">
        <w:rPr>
          <w:i/>
          <w:iCs/>
          <w:lang w:val="nl-BE"/>
        </w:rPr>
        <w:t>WABE-Müller</w:t>
      </w:r>
      <w:r w:rsidRPr="008D517D">
        <w:rPr>
          <w:lang w:val="nl-BE"/>
        </w:rPr>
        <w:t xml:space="preserve">, para. </w:t>
      </w:r>
      <w:r w:rsidRPr="00C07EC0">
        <w:t>65.</w:t>
      </w:r>
    </w:p>
  </w:footnote>
  <w:footnote w:id="274">
    <w:p w14:paraId="31B9439D" w14:textId="4C626C10" w:rsidR="000D6C77" w:rsidRPr="00E74ED6" w:rsidRDefault="000D6C77" w:rsidP="00856F6D">
      <w:pPr>
        <w:pStyle w:val="Notedebasdepage"/>
      </w:pPr>
      <w:r>
        <w:rPr>
          <w:rStyle w:val="Appelnotedebasdep"/>
        </w:rPr>
        <w:footnoteRef/>
      </w:r>
      <w:r w:rsidRPr="00DB5012">
        <w:t xml:space="preserve"> CJUE, </w:t>
      </w:r>
      <w:r w:rsidRPr="00DB5012">
        <w:rPr>
          <w:i/>
        </w:rPr>
        <w:t>WABE-Müller</w:t>
      </w:r>
      <w:r w:rsidRPr="00DB5012">
        <w:t xml:space="preserve">, para. </w:t>
      </w:r>
      <w:r>
        <w:t>67.</w:t>
      </w:r>
    </w:p>
  </w:footnote>
  <w:footnote w:id="275">
    <w:p w14:paraId="5942A04D" w14:textId="30A66683" w:rsidR="000D6C77" w:rsidRDefault="000D6C77">
      <w:pPr>
        <w:pStyle w:val="Notedebasdepage"/>
      </w:pPr>
      <w:r>
        <w:rPr>
          <w:rStyle w:val="Appelnotedebasdep"/>
        </w:rPr>
        <w:footnoteRef/>
      </w:r>
      <w:r>
        <w:t xml:space="preserve"> </w:t>
      </w:r>
      <w:r>
        <w:fldChar w:fldCharType="begin"/>
      </w:r>
      <w:r>
        <w:instrText xml:space="preserve"> ADDIN ZOTERO_ITEM CSL_CITATION {"citationID":"e3U4Tbul","properties":{"formattedCitation":"M. {\\scaps Uyttendaele}, \\uc0\\u171{}\\uc0\\u160{}La neutralit\\uc0\\u233{} d\\uc0\\u8217{}apparence n\\uc0\\u8217{}est pas discriminatoire, la Cour du Luxembourg l\\uc0\\u8217{}affirme sans ambage\\uc0\\u160{}\\uc0\\u187{}, {\\i{}op. cit.}, p. 1259.","plainCitation":"M. Uyttendaele, « La neutralité d’apparence n’est pas discriminatoire, la Cour du Luxembourg l’affirme sans ambage », op. cit., p. 1259.","noteIndex":348},"citationItems":[{"id":3285,"uris":["http://zotero.org/users/5133869/items/YAX8IXNI"],"itemData":{"id":3285,"type":"article-journal","container-title":"JLMB","issue":"28","page":"1255-1261","title":"La neutralité d’apparence n’est pas discriminatoire, la Cour du Luxembourg l’affirme sans ambage","author":[{"family":"Uyttendaele","given":"Marc"}],"issued":{"date-parts":[["2021"]]}},"locator":"1259","label":"page"}],"schema":"https://github.com/citation-style-language/schema/raw/master/csl-citation.json"} </w:instrText>
      </w:r>
      <w:r>
        <w:fldChar w:fldCharType="separate"/>
      </w:r>
      <w:r w:rsidRPr="0062187D">
        <w:rPr>
          <w:rFonts w:cs="Times New Roman"/>
          <w:szCs w:val="24"/>
        </w:rPr>
        <w:t xml:space="preserve">M. </w:t>
      </w:r>
      <w:proofErr w:type="spellStart"/>
      <w:r w:rsidRPr="0062187D">
        <w:rPr>
          <w:rFonts w:cs="Times New Roman"/>
          <w:smallCaps/>
          <w:szCs w:val="24"/>
        </w:rPr>
        <w:t>Uyttendaele</w:t>
      </w:r>
      <w:proofErr w:type="spellEnd"/>
      <w:r w:rsidRPr="0062187D">
        <w:rPr>
          <w:rFonts w:cs="Times New Roman"/>
          <w:szCs w:val="24"/>
        </w:rPr>
        <w:t xml:space="preserve">, « La neutralité d’apparence n’est pas discriminatoire, la Cour du Luxembourg l’affirme sans </w:t>
      </w:r>
      <w:proofErr w:type="spellStart"/>
      <w:r w:rsidRPr="0062187D">
        <w:rPr>
          <w:rFonts w:cs="Times New Roman"/>
          <w:szCs w:val="24"/>
        </w:rPr>
        <w:t>ambage</w:t>
      </w:r>
      <w:proofErr w:type="spellEnd"/>
      <w:r w:rsidRPr="0062187D">
        <w:rPr>
          <w:rFonts w:cs="Times New Roman"/>
          <w:szCs w:val="24"/>
        </w:rPr>
        <w:t xml:space="preserve"> », </w:t>
      </w:r>
      <w:r w:rsidRPr="0062187D">
        <w:rPr>
          <w:rFonts w:cs="Times New Roman"/>
          <w:i/>
          <w:iCs/>
          <w:szCs w:val="24"/>
        </w:rPr>
        <w:t xml:space="preserve">op. </w:t>
      </w:r>
      <w:proofErr w:type="spellStart"/>
      <w:r w:rsidRPr="0062187D">
        <w:rPr>
          <w:rFonts w:cs="Times New Roman"/>
          <w:i/>
          <w:iCs/>
          <w:szCs w:val="24"/>
        </w:rPr>
        <w:t>cit</w:t>
      </w:r>
      <w:proofErr w:type="spellEnd"/>
      <w:r w:rsidRPr="0062187D">
        <w:rPr>
          <w:rFonts w:cs="Times New Roman"/>
          <w:i/>
          <w:iCs/>
          <w:szCs w:val="24"/>
        </w:rPr>
        <w:t>.</w:t>
      </w:r>
      <w:r w:rsidRPr="0062187D">
        <w:rPr>
          <w:rFonts w:cs="Times New Roman"/>
          <w:szCs w:val="24"/>
        </w:rPr>
        <w:t>, p. 1259.</w:t>
      </w:r>
      <w:r>
        <w:fldChar w:fldCharType="end"/>
      </w:r>
    </w:p>
  </w:footnote>
  <w:footnote w:id="276">
    <w:p w14:paraId="2B63A418" w14:textId="503E6C53"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{"citationID":"SV4SyCY4","properties":{"formattedCitation":"L. {\\scaps Vickers}, {\\i{}Religion and belief discrimination in employment}, {\\i{}op. cit.}, p. 13\\uc0\\u160{}; F. {\\scaps Lambinet} et S. {\\scaps Gilson}, \\uc0\\u171{}\\uc0\\u160{}Le point sur le port de signes convictionnels au travail \\uc0\\u224{} la lumi\\uc0\\u232{}re de deux arr\\uc0\\u234{}ts r\\uc0\\u233{}cents de la Cour de justice de l\\uc0\\u8217{}Union europ\\uc0\\u233{}enne\\uc0\\u160{}\\uc0\\u187{}, {\\i{}Bulletin juridique &amp; social}, 2017, n\\uc0\\u176{} 2, p. 10.","plainCitation":"L. Vickers, Religion and belief discrimination in employment, op. cit., p. 13 ; F. Lambinet et S. Gilson, « Le point sur le port de signes convictionnels au travail à la lumière de deux arrêts récents de la Cour de justice de l’Union européenne », Bulletin juridique &amp; social, 2017, n° 2, p. 10.","noteIndex":344},"citationItems":[{"id":603,"uris":["http://zotero.org/users/5133869/items/TK39YVD8"],"itemData":{"id":603,"type":"book","collection-title":"Commission européenne, Direction générale de l'emploi, des affaires sociales et de l'égalité des chances","language":"eng","note":"OCLC: 845774399","source":"Gemeinsamer Bibliotheksverbund ISBN","title":"Religion and belief discrimination in employment: the EU law","title-short":"Religion and belief discrimination in employment","author":[{"family":"Vickers","given":"Lucy"}],"issued":{"date-parts":[["2006",11]]}},"locator":"13"},{"id":219,"uris":["http://zotero.org/users/5133869/items/PM848NRP"],"itemData":{"id":219,"type":"article-journal","container-title":"Bulletin juridique &amp; social","issue":"2","language":"fr","page":"7-10","source":"Zotero","title":"Le point sur le port de signes convictionnels au travail à la lumière de deux arrêts récents de la Cour de justice de l’Union européenne","author":[{"family":"Lambinet","given":"France"},{"family":"Gilson","given":"Steve"}],"issued":{"date-parts":[["2017"]]}},"locator":"10"}],"schema":"https://github.com/citation-style-language/schema/raw/master/csl-citation.json"} </w:instrText>
      </w:r>
      <w:r w:rsidRPr="00022216">
        <w:rPr>
          <w:rFonts w:cs="Times New Roman"/>
        </w:rPr>
        <w:fldChar w:fldCharType="separate"/>
      </w:r>
      <w:r w:rsidRPr="00022216">
        <w:rPr>
          <w:rFonts w:cs="Times New Roman"/>
        </w:rPr>
        <w:t xml:space="preserve">L. </w:t>
      </w:r>
      <w:r w:rsidRPr="00022216">
        <w:rPr>
          <w:rFonts w:cs="Times New Roman"/>
          <w:smallCaps/>
        </w:rPr>
        <w:t>Vickers</w:t>
      </w:r>
      <w:r w:rsidRPr="00022216">
        <w:rPr>
          <w:rFonts w:cs="Times New Roman"/>
        </w:rPr>
        <w:t xml:space="preserve">, </w:t>
      </w:r>
      <w:r w:rsidRPr="00022216">
        <w:rPr>
          <w:rFonts w:cs="Times New Roman"/>
          <w:i/>
          <w:iCs/>
        </w:rPr>
        <w:t xml:space="preserve">Religion and </w:t>
      </w:r>
      <w:proofErr w:type="spellStart"/>
      <w:r w:rsidRPr="00022216">
        <w:rPr>
          <w:rFonts w:cs="Times New Roman"/>
          <w:i/>
          <w:iCs/>
        </w:rPr>
        <w:t>belief</w:t>
      </w:r>
      <w:proofErr w:type="spellEnd"/>
      <w:r w:rsidRPr="00022216">
        <w:rPr>
          <w:rFonts w:cs="Times New Roman"/>
          <w:i/>
          <w:iCs/>
        </w:rPr>
        <w:t xml:space="preserve"> discrimination in </w:t>
      </w:r>
      <w:proofErr w:type="spellStart"/>
      <w:r w:rsidRPr="00022216">
        <w:rPr>
          <w:rFonts w:cs="Times New Roman"/>
          <w:i/>
          <w:iCs/>
        </w:rPr>
        <w:t>employment</w:t>
      </w:r>
      <w:proofErr w:type="spellEnd"/>
      <w:r w:rsidRPr="00022216">
        <w:rPr>
          <w:rFonts w:cs="Times New Roman"/>
        </w:rPr>
        <w:t xml:space="preserve">,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xml:space="preserve">, p. 13 ; F. </w:t>
      </w:r>
      <w:proofErr w:type="spellStart"/>
      <w:r w:rsidRPr="00022216">
        <w:rPr>
          <w:rFonts w:cs="Times New Roman"/>
          <w:smallCaps/>
        </w:rPr>
        <w:t>Lambinet</w:t>
      </w:r>
      <w:proofErr w:type="spellEnd"/>
      <w:r w:rsidRPr="00022216">
        <w:rPr>
          <w:rFonts w:cs="Times New Roman"/>
        </w:rPr>
        <w:t xml:space="preserve"> et S. </w:t>
      </w:r>
      <w:r w:rsidRPr="00022216">
        <w:rPr>
          <w:rFonts w:cs="Times New Roman"/>
          <w:smallCaps/>
        </w:rPr>
        <w:t>Gilson</w:t>
      </w:r>
      <w:r w:rsidRPr="00022216">
        <w:rPr>
          <w:rFonts w:cs="Times New Roman"/>
        </w:rPr>
        <w:t xml:space="preserve">, « Le point sur le port de signes convictionnels au travail à la lumière de deux arrêts récents de la Cour de justice de l’Union européenne », </w:t>
      </w:r>
      <w:r w:rsidRPr="00022216">
        <w:rPr>
          <w:rFonts w:cs="Times New Roman"/>
          <w:i/>
          <w:iCs/>
        </w:rPr>
        <w:t>Bulletin juridique &amp; social</w:t>
      </w:r>
      <w:r w:rsidRPr="00022216">
        <w:rPr>
          <w:rFonts w:cs="Times New Roman"/>
        </w:rPr>
        <w:t>, 2017, n° 2, p. 10.</w:t>
      </w:r>
      <w:r w:rsidRPr="00022216">
        <w:rPr>
          <w:rFonts w:cs="Times New Roman"/>
        </w:rPr>
        <w:fldChar w:fldCharType="end"/>
      </w:r>
      <w:r>
        <w:rPr>
          <w:rFonts w:cs="Times New Roman"/>
        </w:rPr>
        <w:t xml:space="preserve"> Sur l’enjeu plus large de la justification économique d’une discrimination indirecte, </w:t>
      </w:r>
      <w:proofErr w:type="spellStart"/>
      <w:r>
        <w:rPr>
          <w:rFonts w:cs="Times New Roman"/>
        </w:rPr>
        <w:t>voy</w:t>
      </w:r>
      <w:proofErr w:type="spellEnd"/>
      <w:r>
        <w:rPr>
          <w:rFonts w:cs="Times New Roman"/>
        </w:rPr>
        <w:t xml:space="preserve">. </w:t>
      </w:r>
      <w:r>
        <w:rPr>
          <w:rFonts w:cs="Times New Roman"/>
        </w:rPr>
        <w:fldChar w:fldCharType="begin"/>
      </w:r>
      <w:r>
        <w:rPr>
          <w:rFonts w:cs="Times New Roman"/>
        </w:rPr>
        <w:instrText xml:space="preserve"> ADDIN ZOTERO_ITEM CSL_CITATION {"citationID":"5bSw8HtP","properties":{"formattedCitation":"O. {\\scaps De Schutter}, {\\i{}Discriminations et march\\uc0\\u233{} du travail. Libert\\uc0\\u233{} et \\uc0\\u233{}galit\\uc0\\u233{} dans les rapports d\\uc0\\u8217{}emploi}, {\\i{}op. cit.}, pp. 137\\uc0\\u8209{}144.","plainCitation":"O. De Schutter, Discriminations et marché du travail. Liberté et égalité dans les rapports d’emploi, op. cit., pp. 137‑144.","noteIndex":349},"citationItems":[{"id":711,"uris":["http://zotero.org/users/5133869/items/MAECPTZY"],"itemData":{"id":711,"type":"book","event-place":"Bruxelles","publisher":"P.I.E. - Peter Lang","publisher-place":"Bruxelles","title":"Discriminations et marché du travail. Liberté et égalité dans les rapports d’emploi","author":[{"family":"De Schutter","given":"Olivier"}],"issued":{"date-parts":[["2001"]]}},"locator":"137-144"}],"schema":"https://github.com/citation-style-language/schema/raw/master/csl-citation.json"} </w:instrText>
      </w:r>
      <w:r>
        <w:rPr>
          <w:rFonts w:cs="Times New Roman"/>
        </w:rPr>
        <w:fldChar w:fldCharType="separate"/>
      </w:r>
      <w:r w:rsidRPr="00B77DC7">
        <w:rPr>
          <w:rFonts w:cs="Times New Roman"/>
          <w:szCs w:val="24"/>
        </w:rPr>
        <w:t xml:space="preserve">O. </w:t>
      </w:r>
      <w:r w:rsidRPr="00B77DC7">
        <w:rPr>
          <w:rFonts w:cs="Times New Roman"/>
          <w:smallCaps/>
          <w:szCs w:val="24"/>
        </w:rPr>
        <w:t xml:space="preserve">De </w:t>
      </w:r>
      <w:proofErr w:type="spellStart"/>
      <w:r w:rsidRPr="00B77DC7">
        <w:rPr>
          <w:rFonts w:cs="Times New Roman"/>
          <w:smallCaps/>
          <w:szCs w:val="24"/>
        </w:rPr>
        <w:t>Schutter</w:t>
      </w:r>
      <w:proofErr w:type="spellEnd"/>
      <w:r w:rsidRPr="00B77DC7">
        <w:rPr>
          <w:rFonts w:cs="Times New Roman"/>
          <w:szCs w:val="24"/>
        </w:rPr>
        <w:t xml:space="preserve">, </w:t>
      </w:r>
      <w:r w:rsidRPr="00B77DC7">
        <w:rPr>
          <w:rFonts w:cs="Times New Roman"/>
          <w:i/>
          <w:iCs/>
          <w:szCs w:val="24"/>
        </w:rPr>
        <w:t>Discriminations et marché du travail. Liberté et égalité dans les rapports d’emploi</w:t>
      </w:r>
      <w:r w:rsidRPr="00B77DC7">
        <w:rPr>
          <w:rFonts w:cs="Times New Roman"/>
          <w:szCs w:val="24"/>
        </w:rPr>
        <w:t xml:space="preserve">, </w:t>
      </w:r>
      <w:r w:rsidRPr="00B77DC7">
        <w:rPr>
          <w:rFonts w:cs="Times New Roman"/>
          <w:i/>
          <w:iCs/>
          <w:szCs w:val="24"/>
        </w:rPr>
        <w:t xml:space="preserve">op. </w:t>
      </w:r>
      <w:proofErr w:type="spellStart"/>
      <w:r w:rsidRPr="00B77DC7">
        <w:rPr>
          <w:rFonts w:cs="Times New Roman"/>
          <w:i/>
          <w:iCs/>
          <w:szCs w:val="24"/>
        </w:rPr>
        <w:t>cit</w:t>
      </w:r>
      <w:proofErr w:type="spellEnd"/>
      <w:r w:rsidRPr="00B77DC7">
        <w:rPr>
          <w:rFonts w:cs="Times New Roman"/>
          <w:i/>
          <w:iCs/>
          <w:szCs w:val="24"/>
        </w:rPr>
        <w:t>.</w:t>
      </w:r>
      <w:r w:rsidRPr="00B77DC7">
        <w:rPr>
          <w:rFonts w:cs="Times New Roman"/>
          <w:szCs w:val="24"/>
        </w:rPr>
        <w:t>, pp. 137‑144.</w:t>
      </w:r>
      <w:r>
        <w:rPr>
          <w:rFonts w:cs="Times New Roman"/>
        </w:rPr>
        <w:fldChar w:fldCharType="end"/>
      </w:r>
    </w:p>
  </w:footnote>
  <w:footnote w:id="277">
    <w:p w14:paraId="597ED4D1" w14:textId="3B415CBB" w:rsidR="000D6C77" w:rsidRDefault="000D6C77">
      <w:pPr>
        <w:pStyle w:val="Notedebasdepage"/>
      </w:pPr>
      <w:r>
        <w:rPr>
          <w:rStyle w:val="Appelnotedebasdep"/>
        </w:rPr>
        <w:footnoteRef/>
      </w:r>
      <w:r>
        <w:t xml:space="preserve"> </w:t>
      </w:r>
      <w:r>
        <w:fldChar w:fldCharType="begin"/>
      </w:r>
      <w:r>
        <w:instrText xml:space="preserve"> ADDIN ZOTERO_ITEM CSL_CITATION {"citationID":"X5ybkIJW","properties":{"formattedCitation":"A. {\\scaps Djelassi}, R. {\\scaps Mertens} et S. {\\scaps Wattier}, \\uc0\\u171{}\\uc0\\u160{}Principe de neutralit\\uc0\\u233{} dans les entreprises priv\\uc0\\u233{}es\\uc0\\u160{}\\uc0\\u187{}, {\\i{}op. cit.}, p. 386.","plainCitation":"A. Djelassi, R. Mertens et S. Wattier, « Principe de neutralité dans les entreprises privées », op. cit., p. 386.","noteIndex":350},"citationItems":[{"id":3291,"uris":["http://zotero.org/users/5133869/items/CFZ66ZVP"],"itemData":{"id":3291,"type":"article-journal","abstract":"The prohibition of religious symbols in private companies causes a lot of debate. On 15 July 2021, the Court of Justice of the European Union ruled on the interpretation of Directive 2000/78 and the application of the principle of non-discrimination on the basis of religion. This was an opportunity for the Court to clarify, for the ﬁrst time, its Achbita and Bougnaoui case law on the Islamic headscarf.","container-title":"Rev. trim. dr. h.","DOI":"10.3917/rtdh.130.0373","ISSN":"0777-3579","issue":"2","language":"fr","page":"373-395","source":"DOI.org (Crossref)","title":"Principe de neutralité dans les entreprises privées : la Cour de justice étoffe sa jurisprudence relative à l’interdiction des signes religieux: (obs. sous C.J.U.E., Gde Ch., arrêt IX c. WABE eV et MH Müller Handels GmbH c. MJ, 15 juillet 2021, aff. jtes no C-804/18 et no C-341/19)","title-short":"Principe de neutralité dans les entreprises privées","volume":"130","author":[{"family":"Djelassi","given":"Anissa"},{"family":"Mertens","given":"Romain"},{"family":"Wattier","given":"Stéphanie"}],"issued":{"date-parts":[["2022",4,4]]}},"locator":"386","label":"page"}],"schema":"https://github.com/citation-style-language/schema/raw/master/csl-citation.json"} </w:instrText>
      </w:r>
      <w:r>
        <w:fldChar w:fldCharType="separate"/>
      </w:r>
      <w:r w:rsidRPr="0019228D">
        <w:rPr>
          <w:rFonts w:cs="Times New Roman"/>
          <w:szCs w:val="24"/>
        </w:rPr>
        <w:t xml:space="preserve">A. </w:t>
      </w:r>
      <w:proofErr w:type="spellStart"/>
      <w:r w:rsidRPr="0019228D">
        <w:rPr>
          <w:rFonts w:cs="Times New Roman"/>
          <w:smallCaps/>
          <w:szCs w:val="24"/>
        </w:rPr>
        <w:t>Djelassi</w:t>
      </w:r>
      <w:proofErr w:type="spellEnd"/>
      <w:r w:rsidRPr="0019228D">
        <w:rPr>
          <w:rFonts w:cs="Times New Roman"/>
          <w:szCs w:val="24"/>
        </w:rPr>
        <w:t xml:space="preserve">, R. </w:t>
      </w:r>
      <w:r w:rsidRPr="0019228D">
        <w:rPr>
          <w:rFonts w:cs="Times New Roman"/>
          <w:smallCaps/>
          <w:szCs w:val="24"/>
        </w:rPr>
        <w:t>Mertens</w:t>
      </w:r>
      <w:r w:rsidRPr="0019228D">
        <w:rPr>
          <w:rFonts w:cs="Times New Roman"/>
          <w:szCs w:val="24"/>
        </w:rPr>
        <w:t xml:space="preserve"> et S. </w:t>
      </w:r>
      <w:r w:rsidRPr="0019228D">
        <w:rPr>
          <w:rFonts w:cs="Times New Roman"/>
          <w:smallCaps/>
          <w:szCs w:val="24"/>
        </w:rPr>
        <w:t>Wattier</w:t>
      </w:r>
      <w:r w:rsidRPr="0019228D">
        <w:rPr>
          <w:rFonts w:cs="Times New Roman"/>
          <w:szCs w:val="24"/>
        </w:rPr>
        <w:t xml:space="preserve">, « Principe de neutralité dans les entreprises privées », </w:t>
      </w:r>
      <w:r w:rsidRPr="0019228D">
        <w:rPr>
          <w:rFonts w:cs="Times New Roman"/>
          <w:i/>
          <w:iCs/>
          <w:szCs w:val="24"/>
        </w:rPr>
        <w:t xml:space="preserve">op. </w:t>
      </w:r>
      <w:proofErr w:type="spellStart"/>
      <w:r w:rsidRPr="0019228D">
        <w:rPr>
          <w:rFonts w:cs="Times New Roman"/>
          <w:i/>
          <w:iCs/>
          <w:szCs w:val="24"/>
        </w:rPr>
        <w:t>cit</w:t>
      </w:r>
      <w:proofErr w:type="spellEnd"/>
      <w:r w:rsidRPr="0019228D">
        <w:rPr>
          <w:rFonts w:cs="Times New Roman"/>
          <w:i/>
          <w:iCs/>
          <w:szCs w:val="24"/>
        </w:rPr>
        <w:t>.</w:t>
      </w:r>
      <w:r w:rsidRPr="0019228D">
        <w:rPr>
          <w:rFonts w:cs="Times New Roman"/>
          <w:szCs w:val="24"/>
        </w:rPr>
        <w:t>, p. 386.</w:t>
      </w:r>
      <w:r>
        <w:fldChar w:fldCharType="end"/>
      </w:r>
    </w:p>
  </w:footnote>
  <w:footnote w:id="278">
    <w:p w14:paraId="289B0031" w14:textId="1E11EB16"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CJUE, </w:t>
      </w:r>
      <w:r w:rsidRPr="00022216">
        <w:rPr>
          <w:rFonts w:cs="Times New Roman"/>
          <w:i/>
        </w:rPr>
        <w:t>Bougnaoui</w:t>
      </w:r>
      <w:r w:rsidRPr="00022216">
        <w:rPr>
          <w:rFonts w:cs="Times New Roman"/>
        </w:rPr>
        <w:t xml:space="preserve">, conclusions </w:t>
      </w:r>
      <w:r>
        <w:rPr>
          <w:rFonts w:cs="Times New Roman"/>
        </w:rPr>
        <w:t>a</w:t>
      </w:r>
      <w:r w:rsidRPr="00022216">
        <w:rPr>
          <w:rFonts w:cs="Times New Roman"/>
        </w:rPr>
        <w:t xml:space="preserve">v. </w:t>
      </w:r>
      <w:proofErr w:type="spellStart"/>
      <w:r w:rsidRPr="00022216">
        <w:rPr>
          <w:rFonts w:cs="Times New Roman"/>
        </w:rPr>
        <w:t>gén</w:t>
      </w:r>
      <w:proofErr w:type="spellEnd"/>
      <w:r w:rsidRPr="00022216">
        <w:rPr>
          <w:rFonts w:cs="Times New Roman"/>
        </w:rPr>
        <w:t xml:space="preserve">. </w:t>
      </w:r>
      <w:proofErr w:type="spellStart"/>
      <w:r w:rsidRPr="00022216">
        <w:rPr>
          <w:rFonts w:cs="Times New Roman"/>
        </w:rPr>
        <w:t>Sharpston</w:t>
      </w:r>
      <w:proofErr w:type="spellEnd"/>
      <w:r w:rsidRPr="00022216">
        <w:rPr>
          <w:rFonts w:cs="Times New Roman"/>
        </w:rPr>
        <w:t>, para. 133.</w:t>
      </w:r>
    </w:p>
  </w:footnote>
  <w:footnote w:id="279">
    <w:p w14:paraId="5D63189D" w14:textId="77777777" w:rsidR="000D6C77" w:rsidRPr="00022216" w:rsidRDefault="000D6C77" w:rsidP="00856F6D">
      <w:pPr>
        <w:pStyle w:val="Notedebasdepage"/>
        <w:rPr>
          <w:rFonts w:cs="Times New Roman"/>
        </w:rPr>
      </w:pPr>
      <w:bookmarkStart w:id="47" w:name="_Ref49098776"/>
      <w:r w:rsidRPr="00022216">
        <w:rPr>
          <w:rStyle w:val="Appelnotedebasdep"/>
          <w:rFonts w:cs="Times New Roman"/>
        </w:rPr>
        <w:footnoteRef/>
      </w:r>
      <w:r w:rsidRPr="00022216">
        <w:rPr>
          <w:rFonts w:cs="Times New Roman"/>
        </w:rPr>
        <w:t xml:space="preserve"> CJUE, 10 juillet 2008 (</w:t>
      </w:r>
      <w:r w:rsidRPr="00022216">
        <w:rPr>
          <w:rFonts w:cs="Times New Roman"/>
          <w:i/>
        </w:rPr>
        <w:t xml:space="preserve">Centre pour l’égalité des chances et la lutte contre le racisme c. </w:t>
      </w:r>
      <w:proofErr w:type="spellStart"/>
      <w:r w:rsidRPr="00022216">
        <w:rPr>
          <w:rFonts w:cs="Times New Roman"/>
          <w:i/>
        </w:rPr>
        <w:t>Feryn</w:t>
      </w:r>
      <w:proofErr w:type="spellEnd"/>
      <w:r>
        <w:rPr>
          <w:rFonts w:cs="Times New Roman"/>
          <w:i/>
        </w:rPr>
        <w:fldChar w:fldCharType="begin"/>
      </w:r>
      <w:r>
        <w:rPr>
          <w:rFonts w:cs="Times New Roman"/>
          <w:i/>
        </w:rPr>
        <w:instrText xml:space="preserve"> XE "</w:instrText>
      </w:r>
      <w:r w:rsidRPr="005F6D4C">
        <w:rPr>
          <w:rFonts w:ascii="Cambria" w:eastAsia="Times New Roman" w:hAnsi="Cambria" w:cs="Calibri"/>
          <w:i/>
          <w:iCs/>
          <w:color w:val="000000"/>
          <w:lang w:eastAsia="fr-BE"/>
        </w:rPr>
        <w:instrText>Feryn</w:instrText>
      </w:r>
      <w:r w:rsidRPr="005F6D4C">
        <w:rPr>
          <w:rFonts w:ascii="Cambria" w:eastAsia="Times New Roman" w:hAnsi="Cambria" w:cs="Calibri"/>
          <w:color w:val="000000"/>
          <w:lang w:eastAsia="fr-BE"/>
        </w:rPr>
        <w:instrText xml:space="preserve"> (affaire)"</w:instrText>
      </w:r>
      <w:r>
        <w:rPr>
          <w:rFonts w:cs="Times New Roman"/>
          <w:i/>
        </w:rPr>
        <w:instrText xml:space="preserve"> </w:instrText>
      </w:r>
      <w:r>
        <w:rPr>
          <w:rFonts w:cs="Times New Roman"/>
          <w:i/>
        </w:rPr>
        <w:fldChar w:fldCharType="end"/>
      </w:r>
      <w:r w:rsidRPr="00022216">
        <w:rPr>
          <w:rFonts w:cs="Times New Roman"/>
        </w:rPr>
        <w:t>), C-54/07.</w:t>
      </w:r>
      <w:bookmarkEnd w:id="47"/>
    </w:p>
  </w:footnote>
  <w:footnote w:id="280">
    <w:p w14:paraId="3DB41D72" w14:textId="0D343F91" w:rsidR="000D6C77" w:rsidRPr="00DB5012" w:rsidRDefault="000D6C77" w:rsidP="00856F6D">
      <w:pPr>
        <w:pStyle w:val="Notedebasdepage"/>
        <w:rPr>
          <w:rFonts w:cs="Times New Roman"/>
          <w:lang w:val="nl-BE"/>
        </w:rPr>
      </w:pPr>
      <w:r w:rsidRPr="00022216">
        <w:rPr>
          <w:rStyle w:val="Appelnotedebasdep"/>
          <w:rFonts w:cs="Times New Roman"/>
        </w:rPr>
        <w:footnoteRef/>
      </w:r>
      <w:r w:rsidRPr="0031477A">
        <w:rPr>
          <w:rFonts w:cs="Times New Roman"/>
          <w:lang w:val="nl-BE"/>
        </w:rPr>
        <w:t xml:space="preserve"> G. </w:t>
      </w:r>
      <w:r w:rsidRPr="0031477A">
        <w:rPr>
          <w:rFonts w:cs="Times New Roman"/>
          <w:smallCaps/>
          <w:lang w:val="nl-BE"/>
        </w:rPr>
        <w:t>Fransen</w:t>
      </w:r>
      <w:r w:rsidRPr="0031477A">
        <w:rPr>
          <w:rFonts w:cs="Times New Roman"/>
          <w:lang w:val="nl-BE"/>
        </w:rPr>
        <w:t xml:space="preserve">, « Klanten hoeven geen Marokkanen. Firma </w:t>
      </w:r>
      <w:proofErr w:type="spellStart"/>
      <w:r w:rsidRPr="0031477A">
        <w:rPr>
          <w:rFonts w:cs="Times New Roman"/>
          <w:lang w:val="nl-BE"/>
        </w:rPr>
        <w:t>Feryn</w:t>
      </w:r>
      <w:proofErr w:type="spellEnd"/>
      <w:r>
        <w:rPr>
          <w:rFonts w:cs="Times New Roman"/>
          <w:lang w:val="nl-BE"/>
        </w:rPr>
        <w:fldChar w:fldCharType="begin"/>
      </w:r>
      <w:r>
        <w:rPr>
          <w:rFonts w:cs="Times New Roman"/>
          <w:lang w:val="nl-BE"/>
        </w:rPr>
        <w:instrText xml:space="preserve"> XE "</w:instrText>
      </w:r>
      <w:r w:rsidRPr="005F6D4C">
        <w:rPr>
          <w:rFonts w:ascii="Cambria" w:eastAsia="Times New Roman" w:hAnsi="Cambria" w:cs="Calibri"/>
          <w:i/>
          <w:iCs/>
          <w:color w:val="000000"/>
          <w:lang w:val="nl-BE" w:eastAsia="fr-BE"/>
        </w:rPr>
        <w:instrText>Feryn</w:instrText>
      </w:r>
      <w:r w:rsidRPr="005F6D4C">
        <w:rPr>
          <w:rFonts w:ascii="Cambria" w:eastAsia="Times New Roman" w:hAnsi="Cambria" w:cs="Calibri"/>
          <w:color w:val="000000"/>
          <w:lang w:val="nl-BE" w:eastAsia="fr-BE"/>
        </w:rPr>
        <w:instrText xml:space="preserve"> (affaire)"</w:instrText>
      </w:r>
      <w:r>
        <w:rPr>
          <w:rFonts w:cs="Times New Roman"/>
          <w:lang w:val="nl-BE"/>
        </w:rPr>
        <w:instrText xml:space="preserve"> </w:instrText>
      </w:r>
      <w:r>
        <w:rPr>
          <w:rFonts w:cs="Times New Roman"/>
          <w:lang w:val="nl-BE"/>
        </w:rPr>
        <w:fldChar w:fldCharType="end"/>
      </w:r>
      <w:r w:rsidRPr="0031477A">
        <w:rPr>
          <w:rFonts w:cs="Times New Roman"/>
          <w:lang w:val="nl-BE"/>
        </w:rPr>
        <w:t xml:space="preserve"> vindt geen valabele werknemers », </w:t>
      </w:r>
      <w:r w:rsidRPr="0031477A">
        <w:rPr>
          <w:rFonts w:cs="Times New Roman"/>
          <w:i/>
          <w:lang w:val="nl-BE"/>
        </w:rPr>
        <w:t>De Standaard</w:t>
      </w:r>
      <w:r w:rsidRPr="0031477A">
        <w:rPr>
          <w:rFonts w:cs="Times New Roman"/>
          <w:lang w:val="nl-BE"/>
        </w:rPr>
        <w:t xml:space="preserve">, 28 </w:t>
      </w:r>
      <w:proofErr w:type="spellStart"/>
      <w:r w:rsidRPr="0031477A">
        <w:rPr>
          <w:rFonts w:cs="Times New Roman"/>
          <w:lang w:val="nl-BE"/>
        </w:rPr>
        <w:t>avril</w:t>
      </w:r>
      <w:proofErr w:type="spellEnd"/>
      <w:r w:rsidRPr="0031477A">
        <w:rPr>
          <w:rFonts w:cs="Times New Roman"/>
          <w:lang w:val="nl-BE"/>
        </w:rPr>
        <w:t xml:space="preserve"> 2005.</w:t>
      </w:r>
    </w:p>
  </w:footnote>
  <w:footnote w:id="281">
    <w:p w14:paraId="41DA7328" w14:textId="77777777" w:rsidR="000D6C77" w:rsidRPr="00D01EEA"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proofErr w:type="spellStart"/>
      <w:r w:rsidRPr="00022216">
        <w:rPr>
          <w:rFonts w:cs="Times New Roman"/>
          <w:i/>
        </w:rPr>
        <w:t>Feryn</w:t>
      </w:r>
      <w:proofErr w:type="spellEnd"/>
      <w:r>
        <w:rPr>
          <w:rFonts w:cs="Times New Roman"/>
          <w:i/>
        </w:rPr>
        <w:fldChar w:fldCharType="begin"/>
      </w:r>
      <w:r>
        <w:rPr>
          <w:rFonts w:cs="Times New Roman"/>
          <w:i/>
        </w:rPr>
        <w:instrText xml:space="preserve"> XE "</w:instrText>
      </w:r>
      <w:r w:rsidRPr="0015339B">
        <w:rPr>
          <w:rFonts w:ascii="Cambria" w:eastAsia="Times New Roman" w:hAnsi="Cambria" w:cs="Calibri"/>
          <w:i/>
          <w:iCs/>
          <w:color w:val="000000"/>
          <w:lang w:eastAsia="fr-BE"/>
        </w:rPr>
        <w:instrText>Feryn</w:instrText>
      </w:r>
      <w:r w:rsidRPr="0015339B">
        <w:rPr>
          <w:rFonts w:ascii="Cambria" w:eastAsia="Times New Roman" w:hAnsi="Cambria" w:cs="Calibri"/>
          <w:color w:val="000000"/>
          <w:lang w:eastAsia="fr-BE"/>
        </w:rPr>
        <w:instrText xml:space="preserve"> (affaire)"</w:instrText>
      </w:r>
      <w:r>
        <w:rPr>
          <w:rFonts w:cs="Times New Roman"/>
          <w:i/>
        </w:rPr>
        <w:instrText xml:space="preserve"> </w:instrText>
      </w:r>
      <w:r>
        <w:rPr>
          <w:rFonts w:cs="Times New Roman"/>
          <w:i/>
        </w:rPr>
        <w:fldChar w:fldCharType="end"/>
      </w:r>
      <w:r w:rsidRPr="00022216">
        <w:rPr>
          <w:rFonts w:cs="Times New Roman"/>
        </w:rPr>
        <w:t xml:space="preserve">, para. 34. </w:t>
      </w:r>
      <w:r>
        <w:rPr>
          <w:rFonts w:cs="Times New Roman"/>
        </w:rPr>
        <w:t xml:space="preserve">Dans le même sens, </w:t>
      </w:r>
      <w:proofErr w:type="spellStart"/>
      <w:r>
        <w:rPr>
          <w:rFonts w:cs="Times New Roman"/>
        </w:rPr>
        <w:t>voy</w:t>
      </w:r>
      <w:proofErr w:type="spellEnd"/>
      <w:r>
        <w:rPr>
          <w:rFonts w:cs="Times New Roman"/>
        </w:rPr>
        <w:t>. aussi CJUE, 23 avril 2020 (</w:t>
      </w:r>
      <w:r w:rsidRPr="00D01EEA">
        <w:rPr>
          <w:rFonts w:cs="Times New Roman"/>
          <w:i/>
          <w:iCs/>
        </w:rPr>
        <w:t xml:space="preserve">NH c. </w:t>
      </w:r>
      <w:proofErr w:type="spellStart"/>
      <w:r w:rsidRPr="00D01EEA">
        <w:rPr>
          <w:rFonts w:cs="Times New Roman"/>
          <w:i/>
          <w:iCs/>
        </w:rPr>
        <w:t>Associazone</w:t>
      </w:r>
      <w:proofErr w:type="spellEnd"/>
      <w:r w:rsidRPr="00D01EEA">
        <w:rPr>
          <w:rFonts w:cs="Times New Roman"/>
          <w:i/>
          <w:iCs/>
        </w:rPr>
        <w:t xml:space="preserve"> </w:t>
      </w:r>
      <w:proofErr w:type="spellStart"/>
      <w:r w:rsidRPr="00D01EEA">
        <w:rPr>
          <w:rFonts w:cs="Times New Roman"/>
          <w:i/>
          <w:iCs/>
        </w:rPr>
        <w:t>Avvocatura</w:t>
      </w:r>
      <w:proofErr w:type="spellEnd"/>
      <w:r w:rsidRPr="00D01EEA">
        <w:rPr>
          <w:rFonts w:cs="Times New Roman"/>
          <w:i/>
          <w:iCs/>
        </w:rPr>
        <w:t xml:space="preserve"> per i </w:t>
      </w:r>
      <w:proofErr w:type="spellStart"/>
      <w:r w:rsidRPr="00D01EEA">
        <w:rPr>
          <w:rFonts w:cs="Times New Roman"/>
          <w:i/>
          <w:iCs/>
        </w:rPr>
        <w:t>diritti</w:t>
      </w:r>
      <w:proofErr w:type="spellEnd"/>
      <w:r w:rsidRPr="00D01EEA">
        <w:rPr>
          <w:rFonts w:cs="Times New Roman"/>
          <w:i/>
          <w:iCs/>
        </w:rPr>
        <w:t xml:space="preserve"> LGBTI</w:t>
      </w:r>
      <w:r>
        <w:rPr>
          <w:rFonts w:cs="Times New Roman"/>
          <w:i/>
          <w:iCs/>
        </w:rPr>
        <w:t xml:space="preserve"> – </w:t>
      </w:r>
      <w:proofErr w:type="spellStart"/>
      <w:r>
        <w:rPr>
          <w:rFonts w:cs="Times New Roman"/>
          <w:i/>
          <w:iCs/>
        </w:rPr>
        <w:t>Rete</w:t>
      </w:r>
      <w:proofErr w:type="spellEnd"/>
      <w:r>
        <w:rPr>
          <w:rFonts w:cs="Times New Roman"/>
          <w:i/>
          <w:iCs/>
        </w:rPr>
        <w:t xml:space="preserve"> </w:t>
      </w:r>
      <w:proofErr w:type="spellStart"/>
      <w:r>
        <w:rPr>
          <w:rFonts w:cs="Times New Roman"/>
          <w:i/>
          <w:iCs/>
        </w:rPr>
        <w:t>Lenford</w:t>
      </w:r>
      <w:proofErr w:type="spellEnd"/>
      <w:r>
        <w:rPr>
          <w:rFonts w:cs="Times New Roman"/>
        </w:rPr>
        <w:t>), C-507/18.</w:t>
      </w:r>
    </w:p>
  </w:footnote>
  <w:footnote w:id="282">
    <w:p w14:paraId="7480B014" w14:textId="77777777" w:rsidR="000D6C77" w:rsidRPr="00DB5012" w:rsidRDefault="000D6C77" w:rsidP="00856F6D">
      <w:pPr>
        <w:pStyle w:val="Notedebasdepage"/>
        <w:rPr>
          <w:rFonts w:cs="Times New Roman"/>
          <w:lang w:val="en-US"/>
        </w:rPr>
      </w:pPr>
      <w:r w:rsidRPr="00022216">
        <w:rPr>
          <w:rStyle w:val="Appelnotedebasdep"/>
          <w:rFonts w:cs="Times New Roman"/>
        </w:rPr>
        <w:footnoteRef/>
      </w:r>
      <w:r w:rsidRPr="00DB5012">
        <w:rPr>
          <w:rFonts w:cs="Times New Roman"/>
          <w:lang w:val="en-US"/>
        </w:rPr>
        <w:t xml:space="preserve"> </w:t>
      </w:r>
      <w:r w:rsidRPr="00DB5012">
        <w:rPr>
          <w:rFonts w:cs="Times New Roman"/>
          <w:i/>
          <w:lang w:val="en-US"/>
        </w:rPr>
        <w:t>Ibid.</w:t>
      </w:r>
      <w:r w:rsidRPr="00DB5012">
        <w:rPr>
          <w:rFonts w:cs="Times New Roman"/>
          <w:lang w:val="en-US"/>
        </w:rPr>
        <w:t>, para. 21.</w:t>
      </w:r>
    </w:p>
  </w:footnote>
  <w:footnote w:id="283">
    <w:p w14:paraId="07EFD459" w14:textId="548B517A" w:rsidR="000D6C77" w:rsidRPr="00856F6D" w:rsidRDefault="000D6C77" w:rsidP="00856F6D">
      <w:pPr>
        <w:pStyle w:val="Notedebasdepage"/>
        <w:rPr>
          <w:rFonts w:cs="Times New Roman"/>
          <w:lang w:val="en-GB"/>
        </w:rPr>
      </w:pPr>
      <w:r w:rsidRPr="00022216">
        <w:rPr>
          <w:rStyle w:val="Appelnotedebasdep"/>
          <w:rFonts w:cs="Times New Roman"/>
        </w:rPr>
        <w:footnoteRef/>
      </w:r>
      <w:r w:rsidRPr="00DB5012">
        <w:rPr>
          <w:rFonts w:cs="Times New Roman"/>
          <w:lang w:val="en-US"/>
        </w:rPr>
        <w:t xml:space="preserve"> </w:t>
      </w:r>
      <w:proofErr w:type="spellStart"/>
      <w:r w:rsidRPr="00DB5012">
        <w:rPr>
          <w:rFonts w:cs="Times New Roman"/>
          <w:i/>
          <w:lang w:val="en-US"/>
        </w:rPr>
        <w:t>Feryn</w:t>
      </w:r>
      <w:proofErr w:type="spellEnd"/>
      <w:r>
        <w:rPr>
          <w:rFonts w:cs="Times New Roman"/>
          <w:i/>
        </w:rPr>
        <w:fldChar w:fldCharType="begin"/>
      </w:r>
      <w:r w:rsidRPr="00DB5012">
        <w:rPr>
          <w:rFonts w:cs="Times New Roman"/>
          <w:i/>
          <w:lang w:val="en-US"/>
        </w:rPr>
        <w:instrText xml:space="preserve"> XE "</w:instrText>
      </w:r>
      <w:r w:rsidRPr="00DB5012">
        <w:rPr>
          <w:rFonts w:ascii="Cambria" w:eastAsia="Times New Roman" w:hAnsi="Cambria" w:cs="Calibri"/>
          <w:i/>
          <w:iCs/>
          <w:color w:val="000000"/>
          <w:lang w:val="en-US" w:eastAsia="fr-BE"/>
        </w:rPr>
        <w:instrText>Feryn</w:instrText>
      </w:r>
      <w:r w:rsidRPr="00DB5012">
        <w:rPr>
          <w:rFonts w:ascii="Cambria" w:eastAsia="Times New Roman" w:hAnsi="Cambria" w:cs="Calibri"/>
          <w:color w:val="000000"/>
          <w:lang w:val="en-US" w:eastAsia="fr-BE"/>
        </w:rPr>
        <w:instrText xml:space="preserve"> (affaire)"</w:instrText>
      </w:r>
      <w:r w:rsidRPr="00DB5012">
        <w:rPr>
          <w:rFonts w:cs="Times New Roman"/>
          <w:i/>
          <w:lang w:val="en-US"/>
        </w:rPr>
        <w:instrText xml:space="preserve"> </w:instrText>
      </w:r>
      <w:r>
        <w:rPr>
          <w:rFonts w:cs="Times New Roman"/>
          <w:i/>
        </w:rPr>
        <w:fldChar w:fldCharType="end"/>
      </w:r>
      <w:r w:rsidRPr="00DB5012">
        <w:rPr>
          <w:rFonts w:cs="Times New Roman"/>
          <w:lang w:val="en-US"/>
        </w:rPr>
        <w:t xml:space="preserve">, conclusions av. </w:t>
      </w:r>
      <w:proofErr w:type="spellStart"/>
      <w:r w:rsidRPr="00DB5012">
        <w:rPr>
          <w:rFonts w:cs="Times New Roman"/>
          <w:lang w:val="en-US"/>
        </w:rPr>
        <w:t>gén</w:t>
      </w:r>
      <w:proofErr w:type="spellEnd"/>
      <w:r w:rsidRPr="00DB5012">
        <w:rPr>
          <w:rFonts w:cs="Times New Roman"/>
          <w:lang w:val="en-US"/>
        </w:rPr>
        <w:t xml:space="preserve">. Maduro, para. </w:t>
      </w:r>
      <w:r w:rsidRPr="00B601A0">
        <w:rPr>
          <w:rFonts w:cs="Times New Roman"/>
          <w:lang w:val="en-GB"/>
        </w:rPr>
        <w:t xml:space="preserve">18. </w:t>
      </w:r>
      <w:proofErr w:type="spellStart"/>
      <w:r w:rsidRPr="00856F6D">
        <w:rPr>
          <w:rFonts w:cs="Times New Roman"/>
          <w:lang w:val="en-GB"/>
        </w:rPr>
        <w:t>L’avocat</w:t>
      </w:r>
      <w:proofErr w:type="spellEnd"/>
      <w:r w:rsidRPr="00856F6D">
        <w:rPr>
          <w:rFonts w:cs="Times New Roman"/>
          <w:lang w:val="en-GB"/>
        </w:rPr>
        <w:t xml:space="preserve"> </w:t>
      </w:r>
      <w:proofErr w:type="spellStart"/>
      <w:r w:rsidRPr="00856F6D">
        <w:rPr>
          <w:rFonts w:cs="Times New Roman"/>
          <w:lang w:val="en-GB"/>
        </w:rPr>
        <w:t>général</w:t>
      </w:r>
      <w:proofErr w:type="spellEnd"/>
      <w:r w:rsidRPr="00856F6D">
        <w:rPr>
          <w:rFonts w:cs="Times New Roman"/>
          <w:lang w:val="en-GB"/>
        </w:rPr>
        <w:t xml:space="preserve"> </w:t>
      </w:r>
      <w:proofErr w:type="spellStart"/>
      <w:r w:rsidRPr="00856F6D">
        <w:rPr>
          <w:rFonts w:cs="Times New Roman"/>
          <w:lang w:val="en-GB"/>
        </w:rPr>
        <w:t>prend</w:t>
      </w:r>
      <w:proofErr w:type="spellEnd"/>
      <w:r w:rsidRPr="00856F6D">
        <w:rPr>
          <w:rFonts w:cs="Times New Roman"/>
          <w:lang w:val="en-GB"/>
        </w:rPr>
        <w:t xml:space="preserve"> </w:t>
      </w:r>
      <w:proofErr w:type="spellStart"/>
      <w:r w:rsidRPr="00856F6D">
        <w:rPr>
          <w:rFonts w:cs="Times New Roman"/>
          <w:lang w:val="en-GB"/>
        </w:rPr>
        <w:t>lui-même</w:t>
      </w:r>
      <w:proofErr w:type="spellEnd"/>
      <w:r w:rsidRPr="00856F6D">
        <w:rPr>
          <w:rFonts w:cs="Times New Roman"/>
          <w:lang w:val="en-GB"/>
        </w:rPr>
        <w:t xml:space="preserve"> </w:t>
      </w:r>
      <w:proofErr w:type="spellStart"/>
      <w:r w:rsidRPr="00856F6D">
        <w:rPr>
          <w:rFonts w:cs="Times New Roman"/>
          <w:lang w:val="en-GB"/>
        </w:rPr>
        <w:t>appui</w:t>
      </w:r>
      <w:proofErr w:type="spellEnd"/>
      <w:r w:rsidRPr="00856F6D">
        <w:rPr>
          <w:rFonts w:cs="Times New Roman"/>
          <w:lang w:val="en-GB"/>
        </w:rPr>
        <w:t xml:space="preserve"> sur </w:t>
      </w:r>
      <w:r w:rsidRPr="00022216">
        <w:rPr>
          <w:rFonts w:cs="Times New Roman"/>
        </w:rPr>
        <w:fldChar w:fldCharType="begin"/>
      </w:r>
      <w:r>
        <w:rPr>
          <w:rFonts w:cs="Times New Roman"/>
          <w:lang w:val="en-GB"/>
        </w:rPr>
        <w:instrText xml:space="preserve"> ADDIN ZOTERO_ITEM CSL_CITATION {"citationID":"U4MSnZUW","properties":{"formattedCitation":"C.R. {\\scaps Sunstein}, \\uc0\\u171{}\\uc0\\u160{}Why Markets Don\\uc0\\u8217{}t Stop Discrimination\\uc0\\u160{}\\uc0\\u187{}, in {\\i{}Free markets and social justice}, New York; Oxford, Oxford University Press, 2010, pp. 151\\uc0\\u8209{}166.","plainCitation":"C.R. Sunstein, « Why Markets Don’t Stop Discrimination », in Free markets and social justice, New York; Oxford, Oxford University Press, 2010, pp. 151‑166.","noteIndex":350},"citationItems":[{"id":2743,"uris":["http://zotero.org/users/5133869/items/R6IIUDZE"],"itemData":{"id":2743,"type":"chapter","container-title":"Free markets and social justice","event-place":"New York; Oxford","ISBN":"978-0-19-510272-7","language":"English","note":"OCLC: 862146055","page":"151-166","publisher":"Oxford University Press","publisher-place":"New York; Oxford","source":"Open WorldCat","title":"Why Markets Don't Stop Discrimination","author":[{"family":"Sunstein","given":"Cass R"}],"issued":{"date-parts":[["2010"]]}}}],"schema":"https://github.com/citation-style-language/schema/raw/master/csl-citation.json"} </w:instrText>
      </w:r>
      <w:r w:rsidRPr="00022216">
        <w:rPr>
          <w:rFonts w:cs="Times New Roman"/>
        </w:rPr>
        <w:fldChar w:fldCharType="separate"/>
      </w:r>
      <w:r w:rsidRPr="00856F6D">
        <w:rPr>
          <w:rFonts w:cs="Times New Roman"/>
          <w:lang w:val="en-GB"/>
        </w:rPr>
        <w:t xml:space="preserve">C.R. </w:t>
      </w:r>
      <w:r w:rsidRPr="00856F6D">
        <w:rPr>
          <w:rFonts w:cs="Times New Roman"/>
          <w:smallCaps/>
          <w:lang w:val="en-GB"/>
        </w:rPr>
        <w:t>Sunstein</w:t>
      </w:r>
      <w:r w:rsidRPr="00856F6D">
        <w:rPr>
          <w:rFonts w:cs="Times New Roman"/>
          <w:lang w:val="en-GB"/>
        </w:rPr>
        <w:t xml:space="preserve">, « Why Markets Don’t Stop Discrimination », in </w:t>
      </w:r>
      <w:r w:rsidRPr="00856F6D">
        <w:rPr>
          <w:rFonts w:cs="Times New Roman"/>
          <w:i/>
          <w:iCs/>
          <w:lang w:val="en-GB"/>
        </w:rPr>
        <w:t>Free markets and social justice</w:t>
      </w:r>
      <w:r w:rsidRPr="00856F6D">
        <w:rPr>
          <w:rFonts w:cs="Times New Roman"/>
          <w:lang w:val="en-GB"/>
        </w:rPr>
        <w:t>, New York; Oxford, Oxford University Press, 2010, pp. 151‑166.</w:t>
      </w:r>
      <w:r w:rsidRPr="00022216">
        <w:rPr>
          <w:rFonts w:cs="Times New Roman"/>
        </w:rPr>
        <w:fldChar w:fldCharType="end"/>
      </w:r>
    </w:p>
  </w:footnote>
  <w:footnote w:id="284">
    <w:p w14:paraId="3537A96F" w14:textId="4CBFC7F8"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{"citationID":"LNfQUuIk","properties":{"formattedCitation":"D. {\\scaps Martin}, \\uc0\\u171{}\\uc0\\u160{}Cachez ce voile que je ne saurais voir\\uc0\\u8239{}! L\\uc0\\u8217{}interdiction de discrimination fond\\uc0\\u233{}e sur la religion vue par la CJUE\\uc0\\u160{}\\uc0\\u187{}, {\\i{}op. cit.}, p. 321.","plainCitation":"D. Martin, « Cachez ce voile que je ne saurais voir ! L’interdiction de discrimination fondée sur la religion vue par la CJUE », op. cit., p. 321.","noteIndex":353},"citationItems":[{"id":215,"uris":["http://zotero.org/users/5133869/items/UVHIJSB5"],"itemData":{"id":215,"type":"article-journal","container-title":"Droit social","issue":"4","page":"314-322","title":"Cachez ce voile que je ne saurais voir ! L'interdiction de discrimination fondée sur la religion vue par la CJUE","author":[{"family":"Martin","given":"Denis"}],"issued":{"date-parts":[["2018"]]}},"locator":"321"}],"schema":"https://github.com/citation-style-language/schema/raw/master/csl-citation.json"} </w:instrText>
      </w:r>
      <w:r w:rsidRPr="00022216">
        <w:rPr>
          <w:rFonts w:cs="Times New Roman"/>
        </w:rPr>
        <w:fldChar w:fldCharType="separate"/>
      </w:r>
      <w:r w:rsidRPr="00022216">
        <w:rPr>
          <w:rFonts w:cs="Times New Roman"/>
        </w:rPr>
        <w:t xml:space="preserve">D. </w:t>
      </w:r>
      <w:r w:rsidRPr="00022216">
        <w:rPr>
          <w:rFonts w:cs="Times New Roman"/>
          <w:smallCaps/>
        </w:rPr>
        <w:t>Martin</w:t>
      </w:r>
      <w:r w:rsidRPr="00022216">
        <w:rPr>
          <w:rFonts w:cs="Times New Roman"/>
        </w:rPr>
        <w:t xml:space="preserve">, « Cachez ce voile que je ne saurais voir ! L’interdiction de discrimination fondée sur la religion vue par la CJUE », </w:t>
      </w:r>
      <w:r w:rsidRPr="00022216">
        <w:rPr>
          <w:rFonts w:cs="Times New Roman"/>
          <w:i/>
          <w:iCs/>
        </w:rPr>
        <w:t xml:space="preserve">op. </w:t>
      </w:r>
      <w:proofErr w:type="spellStart"/>
      <w:r w:rsidRPr="00022216">
        <w:rPr>
          <w:rFonts w:cs="Times New Roman"/>
          <w:i/>
          <w:iCs/>
        </w:rPr>
        <w:t>cit</w:t>
      </w:r>
      <w:proofErr w:type="spellEnd"/>
      <w:r w:rsidRPr="00022216">
        <w:rPr>
          <w:rFonts w:cs="Times New Roman"/>
          <w:i/>
          <w:iCs/>
        </w:rPr>
        <w:t>.</w:t>
      </w:r>
      <w:r w:rsidRPr="00022216">
        <w:rPr>
          <w:rFonts w:cs="Times New Roman"/>
        </w:rPr>
        <w:t>, p. 321.</w:t>
      </w:r>
      <w:r w:rsidRPr="00022216">
        <w:rPr>
          <w:rFonts w:cs="Times New Roman"/>
        </w:rPr>
        <w:fldChar w:fldCharType="end"/>
      </w:r>
      <w:r>
        <w:rPr>
          <w:rFonts w:cs="Times New Roman"/>
        </w:rPr>
        <w:t xml:space="preserve"> </w:t>
      </w:r>
      <w:proofErr w:type="spellStart"/>
      <w:r>
        <w:rPr>
          <w:rFonts w:cs="Times New Roman"/>
        </w:rPr>
        <w:t>Voy</w:t>
      </w:r>
      <w:proofErr w:type="spellEnd"/>
      <w:r>
        <w:rPr>
          <w:rFonts w:cs="Times New Roman"/>
        </w:rPr>
        <w:t xml:space="preserve">. aussi </w:t>
      </w:r>
    </w:p>
  </w:footnote>
  <w:footnote w:id="285">
    <w:p w14:paraId="4BEF0256" w14:textId="20D7D402" w:rsidR="000D6C77" w:rsidRPr="005A64D1" w:rsidRDefault="000D6C77" w:rsidP="00856F6D">
      <w:pPr>
        <w:pStyle w:val="Notedebasdepage"/>
        <w:rPr>
          <w:rFonts w:cs="Times New Roman"/>
          <w:lang w:val="en-GB"/>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Pr>
          <w:rFonts w:cs="Times New Roman"/>
          <w:i/>
        </w:rPr>
        <w:t>Eweida</w:t>
      </w:r>
      <w:proofErr w:type="spellEnd"/>
      <w:r>
        <w:rPr>
          <w:rFonts w:cs="Times New Roman"/>
          <w:i/>
        </w:rPr>
        <w:t xml:space="preserve"> e.a.</w:t>
      </w:r>
      <w:r w:rsidRPr="00022216">
        <w:rPr>
          <w:rFonts w:cs="Times New Roman"/>
        </w:rPr>
        <w:t>, para. 94 : « Rien ne prouvait que le port par les employés d’autres vêtements religieux autorisés d’emblée, par exemple le turban ou le hijab, eût nui à la marque ou l’image de British Airways ».</w:t>
      </w:r>
      <w:r w:rsidRPr="00A547A8">
        <w:rPr>
          <w:rFonts w:cs="Times New Roman"/>
        </w:rPr>
        <w:t xml:space="preserve"> </w:t>
      </w:r>
      <w:proofErr w:type="spellStart"/>
      <w:r w:rsidRPr="00A547A8">
        <w:rPr>
          <w:rFonts w:cs="Times New Roman"/>
          <w:lang w:val="en-GB"/>
        </w:rPr>
        <w:t>V</w:t>
      </w:r>
      <w:r>
        <w:rPr>
          <w:rFonts w:cs="Times New Roman"/>
          <w:lang w:val="en-GB"/>
        </w:rPr>
        <w:t>oy</w:t>
      </w:r>
      <w:proofErr w:type="spellEnd"/>
      <w:r>
        <w:rPr>
          <w:rFonts w:cs="Times New Roman"/>
          <w:lang w:val="en-GB"/>
        </w:rPr>
        <w:t xml:space="preserve">. </w:t>
      </w:r>
      <w:proofErr w:type="spellStart"/>
      <w:r>
        <w:rPr>
          <w:rFonts w:cs="Times New Roman"/>
          <w:lang w:val="en-GB"/>
        </w:rPr>
        <w:t>aussi</w:t>
      </w:r>
      <w:proofErr w:type="spellEnd"/>
      <w:r>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{"citationID":"HqAq6rL7","properties":{"formattedCitation":"Z. {\\scaps Adams} et J.O. {\\scaps Adenitire}, \\uc0\\u171{}\\uc0\\u160{}Ideological Neutrality in the Workplace\\uc0\\u160{}\\uc0\\u187{}, {\\i{}op. cit.}, pp. 359\\uc0\\u8209{}360.","plainCitation":"Z. Adams et J.O. Adenitire, « Ideological Neutrality in the Workplace », op. cit., pp. 359‑360.","noteIndex":359},"citationItems":[{"id":263,"uris":["http://zotero.org/users/5133869/items/IKH9UWHK"],"itemData":{"id":263,"type":"article-journal","container-title":"The Modern Law Review","DOI":"10.1111/1468-2230.12332","ISSN":"00267961","issue":"2","language":"en","page":"348-360","source":"Crossref","title":"Ideological Neutrality in the Workplace","title-short":"Ideological Neutrality in the Workplace","volume":"81","author":[{"family":"Adams","given":"Zoe"},{"family":"Adenitire","given":"John Olusegun"}],"issued":{"date-parts":[["2018",3]]}},"locator":"359-360","label":"page"}],"schema":"https://github.com/citation-style-language/schema/raw/master/csl-citation.json"} </w:instrText>
      </w:r>
      <w:r w:rsidRPr="00022216">
        <w:rPr>
          <w:rFonts w:cs="Times New Roman"/>
        </w:rPr>
        <w:fldChar w:fldCharType="separate"/>
      </w:r>
      <w:r w:rsidRPr="008D517D">
        <w:rPr>
          <w:rFonts w:cs="Times New Roman"/>
          <w:szCs w:val="24"/>
          <w:lang w:val="en-GB"/>
        </w:rPr>
        <w:t xml:space="preserve">Z. </w:t>
      </w:r>
      <w:r w:rsidRPr="008D517D">
        <w:rPr>
          <w:rFonts w:cs="Times New Roman"/>
          <w:smallCaps/>
          <w:szCs w:val="24"/>
          <w:lang w:val="en-GB"/>
        </w:rPr>
        <w:t>Adams</w:t>
      </w:r>
      <w:r w:rsidRPr="008D517D">
        <w:rPr>
          <w:rFonts w:cs="Times New Roman"/>
          <w:szCs w:val="24"/>
          <w:lang w:val="en-GB"/>
        </w:rPr>
        <w:t xml:space="preserve"> et J.O. </w:t>
      </w:r>
      <w:proofErr w:type="spellStart"/>
      <w:r w:rsidRPr="008D517D">
        <w:rPr>
          <w:rFonts w:cs="Times New Roman"/>
          <w:smallCaps/>
          <w:szCs w:val="24"/>
          <w:lang w:val="en-GB"/>
        </w:rPr>
        <w:t>Adenitire</w:t>
      </w:r>
      <w:proofErr w:type="spellEnd"/>
      <w:r w:rsidRPr="008D517D">
        <w:rPr>
          <w:rFonts w:cs="Times New Roman"/>
          <w:szCs w:val="24"/>
          <w:lang w:val="en-GB"/>
        </w:rPr>
        <w:t xml:space="preserve">, « Ideological Neutrality in the Workplace », </w:t>
      </w:r>
      <w:r w:rsidRPr="008D517D">
        <w:rPr>
          <w:rFonts w:cs="Times New Roman"/>
          <w:i/>
          <w:iCs/>
          <w:szCs w:val="24"/>
          <w:lang w:val="en-GB"/>
        </w:rPr>
        <w:t>op. cit.</w:t>
      </w:r>
      <w:r w:rsidRPr="008D517D">
        <w:rPr>
          <w:rFonts w:cs="Times New Roman"/>
          <w:szCs w:val="24"/>
          <w:lang w:val="en-GB"/>
        </w:rPr>
        <w:t>, pp. 359‑360.</w:t>
      </w:r>
      <w:r w:rsidRPr="00022216">
        <w:rPr>
          <w:rFonts w:cs="Times New Roman"/>
        </w:rPr>
        <w:fldChar w:fldCharType="end"/>
      </w:r>
    </w:p>
  </w:footnote>
  <w:footnote w:id="286">
    <w:p w14:paraId="2B3975F5" w14:textId="2EFCB8FE" w:rsidR="000D6C77" w:rsidRPr="0031477A" w:rsidRDefault="000D6C77" w:rsidP="00856F6D">
      <w:pPr>
        <w:pStyle w:val="Notedebasdepage"/>
        <w:rPr>
          <w:rFonts w:cs="Times New Roman"/>
          <w:lang w:val="nl-BE"/>
        </w:rPr>
      </w:pPr>
      <w:r w:rsidRPr="00022216">
        <w:rPr>
          <w:rStyle w:val="Appelnotedebasdep"/>
          <w:rFonts w:cs="Times New Roman"/>
        </w:rPr>
        <w:footnoteRef/>
      </w:r>
      <w:r w:rsidRPr="00621500">
        <w:rPr>
          <w:rFonts w:cs="Times New Roman"/>
          <w:lang w:val="nl-BE"/>
        </w:rPr>
        <w:t xml:space="preserve"> </w:t>
      </w:r>
      <w:r w:rsidRPr="00022216">
        <w:rPr>
          <w:rFonts w:cs="Times New Roman"/>
        </w:rPr>
        <w:fldChar w:fldCharType="begin"/>
      </w:r>
      <w:r>
        <w:rPr>
          <w:rFonts w:cs="Times New Roman"/>
          <w:lang w:val="nl-BE"/>
        </w:rPr>
        <w:instrText xml:space="preserve"> ADDIN ZOTERO_ITEM CSL_CITATION {"citationID":"tjfQquV6","properties":{"formattedCitation":"M. {\\scaps Hashemi}, \\uc0\\u171{}\\uc0\\u160{}2019/29 Eweida versus Achbita\\uc0\\u160{}\\uc0\\u187{}, {\\i{}op. cit.}, p. 178.","plainCitation":"M. Hashemi, « 2019/29 Eweida versus Achbita », op. cit., p. 178.","noteIndex":355},"citationItems":[{"id":2349,"uris":["http://zotero.org/users/5133869/items/BL4BU8KP"],"itemData":{"id":2349,"type":"article-journal","container-title":"European Employment Law Cases","DOI":"10.5553/EELC/187791072019004003006","ISSN":"1877-9107","issue":"3","page":"174-178","source":"DOI.org (Crossref)","title":"Eweida versus Achbita: a storm in a teacup?","title-short":"2019/29 Eweida versus Achbita","volume":"4","author":[{"family":"Hashemi","given":"Morwarid"}],"issued":{"date-parts":[["2019"]]}},"locator":"178"}],"schema":"https://github.com/citation-style-language/schema/raw/master/csl-citation.json"} </w:instrText>
      </w:r>
      <w:r w:rsidRPr="00022216">
        <w:rPr>
          <w:rFonts w:cs="Times New Roman"/>
        </w:rPr>
        <w:fldChar w:fldCharType="separate"/>
      </w:r>
      <w:r w:rsidRPr="00621500">
        <w:rPr>
          <w:rFonts w:cs="Times New Roman"/>
          <w:lang w:val="nl-BE"/>
        </w:rPr>
        <w:t xml:space="preserve">M. </w:t>
      </w:r>
      <w:proofErr w:type="spellStart"/>
      <w:r w:rsidRPr="00621500">
        <w:rPr>
          <w:rFonts w:cs="Times New Roman"/>
          <w:smallCaps/>
          <w:lang w:val="nl-BE"/>
        </w:rPr>
        <w:t>Hashemi</w:t>
      </w:r>
      <w:proofErr w:type="spellEnd"/>
      <w:r w:rsidRPr="00621500">
        <w:rPr>
          <w:rFonts w:cs="Times New Roman"/>
          <w:lang w:val="nl-BE"/>
        </w:rPr>
        <w:t xml:space="preserve">, « 2019/29 </w:t>
      </w:r>
      <w:proofErr w:type="spellStart"/>
      <w:r w:rsidRPr="00621500">
        <w:rPr>
          <w:rFonts w:cs="Times New Roman"/>
          <w:lang w:val="nl-BE"/>
        </w:rPr>
        <w:t>Eweida</w:t>
      </w:r>
      <w:proofErr w:type="spellEnd"/>
      <w:r w:rsidRPr="00621500">
        <w:rPr>
          <w:rFonts w:cs="Times New Roman"/>
          <w:lang w:val="nl-BE"/>
        </w:rPr>
        <w:t xml:space="preserve"> versus </w:t>
      </w:r>
      <w:proofErr w:type="spellStart"/>
      <w:r w:rsidRPr="00621500">
        <w:rPr>
          <w:rFonts w:cs="Times New Roman"/>
          <w:lang w:val="nl-BE"/>
        </w:rPr>
        <w:t>Achbita</w:t>
      </w:r>
      <w:proofErr w:type="spellEnd"/>
      <w:r w:rsidRPr="00621500">
        <w:rPr>
          <w:rFonts w:cs="Times New Roman"/>
          <w:lang w:val="nl-BE"/>
        </w:rPr>
        <w:t xml:space="preserve"> », </w:t>
      </w:r>
      <w:r w:rsidRPr="00621500">
        <w:rPr>
          <w:rFonts w:cs="Times New Roman"/>
          <w:i/>
          <w:iCs/>
          <w:lang w:val="nl-BE"/>
        </w:rPr>
        <w:t xml:space="preserve">op. </w:t>
      </w:r>
      <w:proofErr w:type="spellStart"/>
      <w:r w:rsidRPr="00621500">
        <w:rPr>
          <w:rFonts w:cs="Times New Roman"/>
          <w:i/>
          <w:iCs/>
          <w:lang w:val="nl-BE"/>
        </w:rPr>
        <w:t>cit</w:t>
      </w:r>
      <w:proofErr w:type="spellEnd"/>
      <w:r w:rsidRPr="00621500">
        <w:rPr>
          <w:rFonts w:cs="Times New Roman"/>
          <w:i/>
          <w:iCs/>
          <w:lang w:val="nl-BE"/>
        </w:rPr>
        <w:t>.</w:t>
      </w:r>
      <w:r w:rsidRPr="00621500">
        <w:rPr>
          <w:rFonts w:cs="Times New Roman"/>
          <w:lang w:val="nl-BE"/>
        </w:rPr>
        <w:t>, p. 178.</w:t>
      </w:r>
      <w:r w:rsidRPr="00022216">
        <w:rPr>
          <w:rFonts w:cs="Times New Roman"/>
        </w:rPr>
        <w:fldChar w:fldCharType="end"/>
      </w:r>
    </w:p>
  </w:footnote>
  <w:footnote w:id="287">
    <w:p w14:paraId="566F143D" w14:textId="77777777"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Directive, art. 2.2.b.i.</w:t>
      </w:r>
    </w:p>
  </w:footnote>
  <w:footnote w:id="288">
    <w:p w14:paraId="7E685900" w14:textId="1E086211" w:rsidR="000D6C77" w:rsidRPr="00022216" w:rsidRDefault="000D6C77" w:rsidP="00856F6D">
      <w:pPr>
        <w:pStyle w:val="Notedebasdepage"/>
        <w:rPr>
          <w:rFonts w:cs="Times New Roman"/>
        </w:rPr>
      </w:pPr>
      <w:bookmarkStart w:id="49" w:name="_Ref49098892"/>
      <w:r w:rsidRPr="00022216">
        <w:rPr>
          <w:rStyle w:val="Appelnotedebasdep"/>
          <w:rFonts w:cs="Times New Roman"/>
        </w:rPr>
        <w:footnoteRef/>
      </w:r>
      <w:r w:rsidRPr="00022216">
        <w:rPr>
          <w:rFonts w:cs="Times New Roman"/>
        </w:rPr>
        <w:t xml:space="preserve"> </w:t>
      </w:r>
      <w:r w:rsidRPr="00953F72">
        <w:rPr>
          <w:rFonts w:cs="Times New Roman"/>
        </w:rPr>
        <w:t xml:space="preserve">CJUE, </w:t>
      </w:r>
      <w:r w:rsidRPr="00022216">
        <w:rPr>
          <w:rFonts w:cs="Times New Roman"/>
          <w:i/>
          <w:iCs/>
        </w:rPr>
        <w:t>Bougnaoui</w:t>
      </w:r>
      <w:r w:rsidRPr="00022216">
        <w:rPr>
          <w:rFonts w:cs="Times New Roman"/>
        </w:rPr>
        <w:t>, para. 40.</w:t>
      </w:r>
      <w:bookmarkEnd w:id="49"/>
    </w:p>
  </w:footnote>
  <w:footnote w:id="289">
    <w:p w14:paraId="042B43F9" w14:textId="7AD70EE3" w:rsidR="000D6C77" w:rsidRPr="00B601A0" w:rsidRDefault="000D6C77" w:rsidP="00856F6D">
      <w:pPr>
        <w:pStyle w:val="Notedebasdepage"/>
        <w:rPr>
          <w:rFonts w:cs="Times New Roman"/>
        </w:rPr>
      </w:pPr>
      <w:r w:rsidRPr="00B601A0">
        <w:rPr>
          <w:rStyle w:val="Appelnotedebasdep"/>
          <w:rFonts w:cs="Times New Roman"/>
        </w:rPr>
        <w:footnoteRef/>
      </w:r>
      <w:r w:rsidRPr="00B601A0">
        <w:rPr>
          <w:rFonts w:cs="Times New Roman"/>
        </w:rPr>
        <w:t xml:space="preserve"> F. </w:t>
      </w:r>
      <w:r w:rsidRPr="00B601A0">
        <w:rPr>
          <w:rFonts w:cs="Times New Roman"/>
          <w:smallCaps/>
        </w:rPr>
        <w:t>Dorssemont</w:t>
      </w:r>
      <w:r w:rsidRPr="00B601A0">
        <w:rPr>
          <w:rFonts w:cs="Times New Roman"/>
        </w:rPr>
        <w:t xml:space="preserve"> voit d’ailleurs dans cette neutralité objectivée de l’employeur une « sublimation freudienne » des préjugés subjectifs de la clientèle</w:t>
      </w:r>
      <w:r w:rsidRPr="00B601A0">
        <w:rPr>
          <w:rFonts w:cs="Times New Roman"/>
        </w:rPr>
        <w:fldChar w:fldCharType="begin"/>
      </w:r>
      <w:r w:rsidRPr="00B601A0">
        <w:rPr>
          <w:rFonts w:cs="Times New Roman"/>
        </w:rPr>
        <w:instrText xml:space="preserve"> XE "</w:instrText>
      </w:r>
      <w:r w:rsidRPr="00B601A0">
        <w:rPr>
          <w:rFonts w:ascii="Cambria" w:eastAsia="Times New Roman" w:hAnsi="Cambria" w:cs="Calibri"/>
          <w:color w:val="000000"/>
          <w:lang w:eastAsia="fr-BE"/>
        </w:rPr>
        <w:instrText>Clientèle"</w:instrText>
      </w:r>
      <w:r w:rsidRPr="00B601A0">
        <w:rPr>
          <w:rFonts w:cs="Times New Roman"/>
        </w:rPr>
        <w:instrText xml:space="preserve"> </w:instrText>
      </w:r>
      <w:r w:rsidRPr="00B601A0">
        <w:rPr>
          <w:rFonts w:cs="Times New Roman"/>
        </w:rPr>
        <w:fldChar w:fldCharType="end"/>
      </w:r>
      <w:r w:rsidRPr="00B601A0">
        <w:rPr>
          <w:rFonts w:cs="Times New Roman"/>
        </w:rPr>
        <w:t xml:space="preserve"> </w:t>
      </w:r>
      <w:r w:rsidRPr="00B601A0">
        <w:rPr>
          <w:rFonts w:cs="Times New Roman"/>
        </w:rPr>
        <w:fldChar w:fldCharType="begin"/>
      </w:r>
      <w:r w:rsidRPr="00B601A0">
        <w:rPr>
          <w:rFonts w:cs="Times New Roman"/>
        </w:rPr>
        <w:instrText xml:space="preserve"> ADDIN ZOTERO_ITEM CSL_CITATION {"citationID":"0k5j3RxP","properties":{"formattedCitation":"(\\uc0\\u171{}\\uc0\\u160{}La libert\\uc0\\u233{} de religion sur le lieu de travail et la Cour de Justice de l\\uc0\\u8217{}Union Europ\\uc0\\u233{}enne\\uc0\\u8239{}: Retour au principe Cuius Regio, Illius Religio\\uc0\\u8239{}?\\uc0\\u160{}\\uc0\\u187{}, {\\i{}Revue de droit compar\\uc0\\u233{} du travail et de la s\\uc0\\u233{}curit\\uc0\\u233{} sociale}, 2017, n\\uc0\\u176{} 2, p. 109).","plainCitation":"(« La liberté de religion sur le lieu de travail et la Cour de Justice de l’Union Européenne : Retour au principe Cuius Regio, Illius Religio ? », Revue de droit comparé du travail et de la sécurité sociale, 2017, n° 2, p. 109).","noteIndex":358},"citationItems":[{"id":225,"uris":["http://zotero.org/users/5133869/items/RVE72QIN"],"itemData":{"id":225,"type":"article-journal","container-title":"Revue de droit comparé du travail et de la sécurité sociale","issue":"2","page":"96-111","title":"La liberté de religion sur le lieu de travail et la Cour de Justice de l'Union Européenne : Retour au principe Cuius Regio, Illius Religio ?","author":[{"family":"Dorssemont","given":"Filip"}],"issued":{"date-parts":[["2017"]]}},"locator":"109","suppress-author":true,"prefix":"(","suffix":")"}],"schema":"https://github.com/citation-style-language/schema/raw/master/csl-citation.json"} </w:instrText>
      </w:r>
      <w:r w:rsidRPr="00B601A0">
        <w:rPr>
          <w:rFonts w:cs="Times New Roman"/>
        </w:rPr>
        <w:fldChar w:fldCharType="separate"/>
      </w:r>
      <w:r w:rsidRPr="00B601A0">
        <w:rPr>
          <w:rFonts w:cs="Times New Roman"/>
          <w:szCs w:val="24"/>
        </w:rPr>
        <w:t xml:space="preserve">(« La liberté de religion sur le lieu de travail et la Cour de Justice de l’Union Européenne : Retour au principe </w:t>
      </w:r>
      <w:proofErr w:type="spellStart"/>
      <w:r w:rsidRPr="00B601A0">
        <w:rPr>
          <w:rFonts w:cs="Times New Roman"/>
          <w:szCs w:val="24"/>
        </w:rPr>
        <w:t>Cuius</w:t>
      </w:r>
      <w:proofErr w:type="spellEnd"/>
      <w:r w:rsidRPr="00B601A0">
        <w:rPr>
          <w:rFonts w:cs="Times New Roman"/>
          <w:szCs w:val="24"/>
        </w:rPr>
        <w:t xml:space="preserve"> </w:t>
      </w:r>
      <w:proofErr w:type="spellStart"/>
      <w:r w:rsidRPr="00B601A0">
        <w:rPr>
          <w:rFonts w:cs="Times New Roman"/>
          <w:szCs w:val="24"/>
        </w:rPr>
        <w:t>Regio</w:t>
      </w:r>
      <w:proofErr w:type="spellEnd"/>
      <w:r w:rsidRPr="00B601A0">
        <w:rPr>
          <w:rFonts w:cs="Times New Roman"/>
          <w:szCs w:val="24"/>
        </w:rPr>
        <w:t xml:space="preserve">, </w:t>
      </w:r>
      <w:proofErr w:type="spellStart"/>
      <w:r w:rsidRPr="00B601A0">
        <w:rPr>
          <w:rFonts w:cs="Times New Roman"/>
          <w:szCs w:val="24"/>
        </w:rPr>
        <w:t>Illius</w:t>
      </w:r>
      <w:proofErr w:type="spellEnd"/>
      <w:r w:rsidRPr="00B601A0">
        <w:rPr>
          <w:rFonts w:cs="Times New Roman"/>
          <w:szCs w:val="24"/>
        </w:rPr>
        <w:t xml:space="preserve"> </w:t>
      </w:r>
      <w:proofErr w:type="spellStart"/>
      <w:r w:rsidRPr="00B601A0">
        <w:rPr>
          <w:rFonts w:cs="Times New Roman"/>
          <w:szCs w:val="24"/>
        </w:rPr>
        <w:t>Religio</w:t>
      </w:r>
      <w:proofErr w:type="spellEnd"/>
      <w:r w:rsidRPr="00B601A0">
        <w:rPr>
          <w:rFonts w:cs="Times New Roman"/>
          <w:szCs w:val="24"/>
        </w:rPr>
        <w:t xml:space="preserve"> ? », </w:t>
      </w:r>
      <w:r w:rsidRPr="00B601A0">
        <w:rPr>
          <w:rFonts w:cs="Times New Roman"/>
          <w:i/>
          <w:iCs/>
          <w:szCs w:val="24"/>
        </w:rPr>
        <w:t>Revue de droit comparé du travail et de la sécurité sociale</w:t>
      </w:r>
      <w:r w:rsidRPr="00B601A0">
        <w:rPr>
          <w:rFonts w:cs="Times New Roman"/>
          <w:szCs w:val="24"/>
        </w:rPr>
        <w:t>, 2017, n° 2, p. 109).</w:t>
      </w:r>
      <w:r w:rsidRPr="00B601A0">
        <w:rPr>
          <w:rFonts w:cs="Times New Roman"/>
        </w:rPr>
        <w:fldChar w:fldCharType="end"/>
      </w:r>
      <w:r w:rsidRPr="00B601A0">
        <w:rPr>
          <w:rFonts w:cs="Times New Roman"/>
        </w:rPr>
        <w:t xml:space="preserve"> </w:t>
      </w:r>
      <w:r w:rsidRPr="00B601A0">
        <w:rPr>
          <w:rFonts w:cs="Times New Roman"/>
          <w:lang w:val="en-GB"/>
        </w:rPr>
        <w:t xml:space="preserve">Dans le </w:t>
      </w:r>
      <w:proofErr w:type="spellStart"/>
      <w:r w:rsidRPr="00B601A0">
        <w:rPr>
          <w:rFonts w:cs="Times New Roman"/>
          <w:lang w:val="en-GB"/>
        </w:rPr>
        <w:t>même</w:t>
      </w:r>
      <w:proofErr w:type="spellEnd"/>
      <w:r w:rsidRPr="00B601A0">
        <w:rPr>
          <w:rFonts w:cs="Times New Roman"/>
          <w:lang w:val="en-GB"/>
        </w:rPr>
        <w:t xml:space="preserve"> </w:t>
      </w:r>
      <w:proofErr w:type="spellStart"/>
      <w:r w:rsidRPr="00B601A0">
        <w:rPr>
          <w:rFonts w:cs="Times New Roman"/>
          <w:lang w:val="en-GB"/>
        </w:rPr>
        <w:t>sens</w:t>
      </w:r>
      <w:proofErr w:type="spellEnd"/>
      <w:r w:rsidRPr="00B601A0">
        <w:rPr>
          <w:rFonts w:cs="Times New Roman"/>
          <w:lang w:val="en-GB"/>
        </w:rPr>
        <w:t xml:space="preserve">, E. </w:t>
      </w:r>
      <w:proofErr w:type="spellStart"/>
      <w:r w:rsidRPr="00B601A0">
        <w:rPr>
          <w:rFonts w:cs="Times New Roman"/>
          <w:smallCaps/>
          <w:lang w:val="en-GB"/>
        </w:rPr>
        <w:t>Brems</w:t>
      </w:r>
      <w:proofErr w:type="spellEnd"/>
      <w:r w:rsidRPr="00B601A0">
        <w:rPr>
          <w:rFonts w:cs="Times New Roman"/>
          <w:lang w:val="en-GB"/>
        </w:rPr>
        <w:t xml:space="preserve"> </w:t>
      </w:r>
      <w:proofErr w:type="spellStart"/>
      <w:r w:rsidRPr="00B601A0">
        <w:rPr>
          <w:rFonts w:cs="Times New Roman"/>
          <w:lang w:val="en-GB"/>
        </w:rPr>
        <w:t>considère</w:t>
      </w:r>
      <w:proofErr w:type="spellEnd"/>
      <w:r w:rsidRPr="00B601A0">
        <w:rPr>
          <w:rFonts w:cs="Times New Roman"/>
          <w:lang w:val="en-GB"/>
        </w:rPr>
        <w:t xml:space="preserve"> que « [</w:t>
      </w:r>
      <w:r w:rsidRPr="00B601A0">
        <w:rPr>
          <w:rFonts w:cs="Times New Roman"/>
          <w:i/>
          <w:iCs/>
          <w:lang w:val="en-GB"/>
        </w:rPr>
        <w:t>when] neutrality coincides with corporate image, an oxymoronic subjective neutrality is legitimized</w:t>
      </w:r>
      <w:r w:rsidRPr="00B601A0">
        <w:rPr>
          <w:rFonts w:cs="Times New Roman"/>
          <w:lang w:val="en-GB"/>
        </w:rPr>
        <w:t xml:space="preserve"> » </w:t>
      </w:r>
      <w:r w:rsidRPr="00B601A0">
        <w:rPr>
          <w:rFonts w:cs="Times New Roman"/>
        </w:rPr>
        <w:fldChar w:fldCharType="begin"/>
      </w:r>
      <w:r w:rsidRPr="00B601A0">
        <w:rPr>
          <w:rFonts w:cs="Times New Roman"/>
          <w:lang w:val="en-GB"/>
        </w:rPr>
        <w:instrText xml:space="preserve"> ADDIN ZOTERO_ITEM CSL_CITATION {"citationID":"Is4V3ePn","properties":{"formattedCitation":"(\\uc0\\u171{}\\uc0\\u160{}Analysis: European Court of Justice Allows Bans on Religious Dress in the Workplace\\uc0\\u160{}\\uc0\\u187{}, {\\i{}op. cit.}).","plainCitation":"(« Analysis: European Court of Justice Allows Bans on Religious Dress in the Workplace », op. cit.).","noteIndex":363},"citationItems":[{"id":2577,"uris":["http://zotero.org/users/5133869/items/K8FY8KIS"],"itemData":{"id":2577,"type":"post-weblog","container-title":"Blog de l’Association Internationale de Droit Constitutionnel","title":"Analysis: European Court of Justice Allows Bans on Religious Dress in the Workplace","URL":"www.iacl-aidc-blog.org","author":[{"family":"Brems","given":"Eva"}],"accessed":{"date-parts":[["2022",8,31]]},"issued":{"date-parts":[["2017",3,25]]}},"suppress-author":true,"prefix":"(","suffix":")"}],"schema":"https://github.com/citation-style-language/schema/raw/master/csl-citation.json"} </w:instrText>
      </w:r>
      <w:r w:rsidRPr="00B601A0">
        <w:rPr>
          <w:rFonts w:cs="Times New Roman"/>
        </w:rPr>
        <w:fldChar w:fldCharType="separate"/>
      </w:r>
      <w:r w:rsidRPr="00B601A0">
        <w:rPr>
          <w:rFonts w:cs="Times New Roman"/>
          <w:szCs w:val="24"/>
          <w:lang w:val="en-GB"/>
        </w:rPr>
        <w:t xml:space="preserve">(« Analysis: European Court of Justice Allows Bans on Religious Dress in the Workplace », </w:t>
      </w:r>
      <w:r w:rsidRPr="00B601A0">
        <w:rPr>
          <w:rFonts w:cs="Times New Roman"/>
          <w:i/>
          <w:iCs/>
          <w:szCs w:val="24"/>
          <w:lang w:val="en-GB"/>
        </w:rPr>
        <w:t>op. cit.</w:t>
      </w:r>
      <w:r w:rsidRPr="00B601A0">
        <w:rPr>
          <w:rFonts w:cs="Times New Roman"/>
          <w:szCs w:val="24"/>
          <w:lang w:val="en-GB"/>
        </w:rPr>
        <w:t>).</w:t>
      </w:r>
      <w:r w:rsidRPr="00B601A0">
        <w:rPr>
          <w:rFonts w:cs="Times New Roman"/>
        </w:rPr>
        <w:fldChar w:fldCharType="end"/>
      </w:r>
      <w:r w:rsidRPr="00B601A0">
        <w:rPr>
          <w:rFonts w:cs="Times New Roman"/>
          <w:lang w:val="en-GB"/>
        </w:rPr>
        <w:t xml:space="preserve"> </w:t>
      </w:r>
      <w:r w:rsidRPr="00B601A0">
        <w:rPr>
          <w:rFonts w:cs="Times New Roman"/>
          <w:i/>
          <w:iCs/>
        </w:rPr>
        <w:t>Contra</w:t>
      </w:r>
      <w:r w:rsidRPr="00B601A0">
        <w:rPr>
          <w:rFonts w:cs="Times New Roman"/>
        </w:rPr>
        <w:t xml:space="preserve">, </w:t>
      </w:r>
      <w:proofErr w:type="spellStart"/>
      <w:r w:rsidRPr="00B601A0">
        <w:rPr>
          <w:rFonts w:cs="Times New Roman"/>
        </w:rPr>
        <w:t>voy</w:t>
      </w:r>
      <w:proofErr w:type="spellEnd"/>
      <w:r w:rsidRPr="00B601A0">
        <w:rPr>
          <w:rFonts w:cs="Times New Roman"/>
        </w:rPr>
        <w:t xml:space="preserve">. S. </w:t>
      </w:r>
      <w:r w:rsidRPr="00B601A0">
        <w:rPr>
          <w:rFonts w:cs="Times New Roman"/>
          <w:smallCaps/>
        </w:rPr>
        <w:t>Robin-Olivier</w:t>
      </w:r>
      <w:r w:rsidRPr="00B601A0">
        <w:rPr>
          <w:rFonts w:cs="Times New Roman"/>
        </w:rPr>
        <w:t xml:space="preserve">, selon laquelle, dans les affaires </w:t>
      </w:r>
      <w:proofErr w:type="spellStart"/>
      <w:r w:rsidRPr="00B601A0">
        <w:rPr>
          <w:rFonts w:cs="Times New Roman"/>
          <w:i/>
          <w:iCs/>
        </w:rPr>
        <w:t>Achbita</w:t>
      </w:r>
      <w:proofErr w:type="spellEnd"/>
      <w:r w:rsidRPr="00B601A0">
        <w:rPr>
          <w:rFonts w:cs="Times New Roman"/>
          <w:i/>
          <w:iCs/>
        </w:rPr>
        <w:t xml:space="preserve"> </w:t>
      </w:r>
      <w:r w:rsidRPr="00B601A0">
        <w:rPr>
          <w:rFonts w:cs="Times New Roman"/>
        </w:rPr>
        <w:t xml:space="preserve">et </w:t>
      </w:r>
      <w:r w:rsidRPr="00B601A0">
        <w:rPr>
          <w:rFonts w:cs="Times New Roman"/>
          <w:i/>
          <w:iCs/>
        </w:rPr>
        <w:t>Bougnaoui</w:t>
      </w:r>
      <w:r w:rsidRPr="00B601A0">
        <w:rPr>
          <w:rFonts w:cs="Times New Roman"/>
        </w:rPr>
        <w:t xml:space="preserve">, la CJUE « ne rejette pas toute justification tirée des ‘souhaits subjectifs du client’ : elle exclut seulement […] que les exigences de la clientèle soient qualifiées d’exigences professionnelles essentielles et déterminantes » </w:t>
      </w:r>
      <w:r w:rsidRPr="00B601A0">
        <w:rPr>
          <w:rFonts w:cs="Times New Roman"/>
        </w:rPr>
        <w:fldChar w:fldCharType="begin"/>
      </w:r>
      <w:r w:rsidRPr="00B601A0">
        <w:rPr>
          <w:rFonts w:cs="Times New Roman"/>
        </w:rPr>
        <w:instrText xml:space="preserve"> ADDIN ZOTERO_ITEM CSL_CITATION {"citationID":"gauDU8Lm","properties":{"formattedCitation":"(\\uc0\\u171{}\\uc0\\u160{}Neutraliser la religion dans l\\uc0\\u8217{}entreprise\\uc0\\u8239{}?\\uc0\\u160{}\\uc0\\u187{}, {\\i{}Revue trimestrielle de droit europ\\uc0\\u233{}en}, 2017, p. 237).","plainCitation":"(« Neutraliser la religion dans l’entreprise ? », Revue trimestrielle de droit européen, 2017, p. 237).","noteIndex":358},"citationItems":[{"id":208,"uris":["http://zotero.org/users/5133869/items/YL5RF22I"],"itemData":{"id":208,"type":"article-journal","container-title":"Revue trimestrielle de droit européen","page":"229-239","title":"Neutraliser la religion dans l'entreprise ?","author":[{"family":"Robin-Olivier","given":"Sophie"}],"issued":{"date-parts":[["2017"]]}},"locator":"237","suppress-author":true,"prefix":"(","suffix":")"}],"schema":"https://github.com/citation-style-language/schema/raw/master/csl-citation.json"} </w:instrText>
      </w:r>
      <w:r w:rsidRPr="00B601A0">
        <w:rPr>
          <w:rFonts w:cs="Times New Roman"/>
        </w:rPr>
        <w:fldChar w:fldCharType="separate"/>
      </w:r>
      <w:r w:rsidRPr="00B601A0">
        <w:rPr>
          <w:rFonts w:cs="Times New Roman"/>
          <w:szCs w:val="24"/>
        </w:rPr>
        <w:t xml:space="preserve">(« Neutraliser la religion dans l’entreprise ? », </w:t>
      </w:r>
      <w:r w:rsidRPr="00B601A0">
        <w:rPr>
          <w:rFonts w:cs="Times New Roman"/>
          <w:i/>
          <w:iCs/>
          <w:szCs w:val="24"/>
        </w:rPr>
        <w:t>Revue trimestrielle de droit européen</w:t>
      </w:r>
      <w:r w:rsidRPr="00B601A0">
        <w:rPr>
          <w:rFonts w:cs="Times New Roman"/>
          <w:szCs w:val="24"/>
        </w:rPr>
        <w:t>, 2017, p. 237).</w:t>
      </w:r>
      <w:r w:rsidRPr="00B601A0">
        <w:rPr>
          <w:rFonts w:cs="Times New Roman"/>
        </w:rPr>
        <w:fldChar w:fldCharType="end"/>
      </w:r>
    </w:p>
  </w:footnote>
  <w:footnote w:id="290">
    <w:p w14:paraId="0ADB5B63" w14:textId="08C63DA8" w:rsidR="000D6C77" w:rsidRPr="00856F6D" w:rsidRDefault="000D6C77" w:rsidP="00856F6D">
      <w:pPr>
        <w:pStyle w:val="Notedebasdepage"/>
        <w:rPr>
          <w:rFonts w:cs="Times New Roman"/>
          <w:lang w:val="en-GB"/>
        </w:rPr>
      </w:pPr>
      <w:r w:rsidRPr="00B601A0">
        <w:rPr>
          <w:rStyle w:val="Appelnotedebasdep"/>
          <w:rFonts w:cs="Times New Roman"/>
        </w:rPr>
        <w:footnoteRef/>
      </w:r>
      <w:r w:rsidRPr="00B601A0">
        <w:rPr>
          <w:rFonts w:cs="Times New Roman"/>
          <w:lang w:val="en-GB"/>
        </w:rPr>
        <w:t xml:space="preserve"> </w:t>
      </w:r>
      <w:r w:rsidRPr="00B601A0">
        <w:rPr>
          <w:rFonts w:cs="Times New Roman"/>
        </w:rPr>
        <w:fldChar w:fldCharType="begin"/>
      </w:r>
      <w:r w:rsidRPr="00B601A0">
        <w:rPr>
          <w:rFonts w:cs="Times New Roman"/>
          <w:lang w:val="en-GB"/>
        </w:rPr>
        <w:instrText xml:space="preserve"> ADDIN ZOTERO_ITEM CSL_CITATION {"citationID":"auqUpMMw","properties":{"formattedCitation":"V. {\\scaps Valentin}, \\uc0\\u171{}\\uc0\\u160{}Freedom of conscience in private company. An economic or a political problem?\\uc0\\u160{}\\uc0\\u187{}, {\\i{}op. cit.}, pp. 5\\uc0\\u8209{}6.","plainCitation":"V. Valentin, « Freedom of conscience in private company. An economic or a political problem? », op. cit., pp. 5‑6.","noteIndex":359},"citationItems":[{"id":2506,"uris":["http://zotero.org/users/5133869/items/KAPS7XYI"],"itemData":{"id":2506,"type":"chapter","container-title":"Religion,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locator":"5-6"}],"schema":"https://github.com/citation-style-language/schema/raw/master/csl-citation.json"} </w:instrText>
      </w:r>
      <w:r w:rsidRPr="00B601A0">
        <w:rPr>
          <w:rFonts w:cs="Times New Roman"/>
        </w:rPr>
        <w:fldChar w:fldCharType="separate"/>
      </w:r>
      <w:r w:rsidRPr="00B601A0">
        <w:rPr>
          <w:rFonts w:cs="Times New Roman"/>
          <w:szCs w:val="24"/>
          <w:lang w:val="en-GB"/>
        </w:rPr>
        <w:t xml:space="preserve">V. </w:t>
      </w:r>
      <w:r w:rsidRPr="00B601A0">
        <w:rPr>
          <w:rFonts w:cs="Times New Roman"/>
          <w:smallCaps/>
          <w:szCs w:val="24"/>
          <w:lang w:val="en-GB"/>
        </w:rPr>
        <w:t>Valentin</w:t>
      </w:r>
      <w:r w:rsidRPr="00B601A0">
        <w:rPr>
          <w:rFonts w:cs="Times New Roman"/>
          <w:szCs w:val="24"/>
          <w:lang w:val="en-GB"/>
        </w:rPr>
        <w:t xml:space="preserve">, « Freedom of conscience in private company. An economic or a political problem? », </w:t>
      </w:r>
      <w:r w:rsidRPr="00B601A0">
        <w:rPr>
          <w:rFonts w:cs="Times New Roman"/>
          <w:i/>
          <w:iCs/>
          <w:szCs w:val="24"/>
          <w:lang w:val="en-GB"/>
        </w:rPr>
        <w:t>op. cit.</w:t>
      </w:r>
      <w:r w:rsidRPr="00B601A0">
        <w:rPr>
          <w:rFonts w:cs="Times New Roman"/>
          <w:szCs w:val="24"/>
          <w:lang w:val="en-GB"/>
        </w:rPr>
        <w:t>, pp. 5‑6.</w:t>
      </w:r>
      <w:r w:rsidRPr="00B601A0">
        <w:rPr>
          <w:rFonts w:cs="Times New Roman"/>
        </w:rPr>
        <w:fldChar w:fldCharType="end"/>
      </w:r>
    </w:p>
  </w:footnote>
  <w:footnote w:id="291">
    <w:p w14:paraId="1C4D93B9" w14:textId="3051BE71" w:rsidR="000D6C77" w:rsidRPr="00022216" w:rsidRDefault="000D6C77" w:rsidP="00856F6D">
      <w:pPr>
        <w:pStyle w:val="Notedebasdepage"/>
        <w:rPr>
          <w:rFonts w:cs="Times New Roman"/>
        </w:rPr>
      </w:pPr>
      <w:r w:rsidRPr="000636BE">
        <w:rPr>
          <w:rStyle w:val="Appelnotedebasdep"/>
          <w:rFonts w:cs="Times New Roman"/>
        </w:rPr>
        <w:footnoteRef/>
      </w:r>
      <w:r w:rsidRPr="00DB5012">
        <w:rPr>
          <w:rFonts w:cs="Times New Roman"/>
          <w:lang w:val="en-US"/>
        </w:rPr>
        <w:t xml:space="preserve"> </w:t>
      </w:r>
      <w:proofErr w:type="spellStart"/>
      <w:r w:rsidRPr="00DB5012">
        <w:rPr>
          <w:rFonts w:cs="Times New Roman"/>
          <w:lang w:val="en-US"/>
        </w:rPr>
        <w:t>Voy</w:t>
      </w:r>
      <w:proofErr w:type="spellEnd"/>
      <w:r w:rsidRPr="00DB5012">
        <w:rPr>
          <w:rFonts w:cs="Times New Roman"/>
          <w:lang w:val="en-US"/>
        </w:rPr>
        <w:t xml:space="preserve">. CJUE, </w:t>
      </w:r>
      <w:proofErr w:type="spellStart"/>
      <w:r w:rsidRPr="00DB5012">
        <w:rPr>
          <w:rFonts w:cs="Times New Roman"/>
          <w:i/>
          <w:iCs/>
          <w:lang w:val="en-US"/>
        </w:rPr>
        <w:t>Achbita</w:t>
      </w:r>
      <w:proofErr w:type="spellEnd"/>
      <w:r w:rsidRPr="00DB5012">
        <w:rPr>
          <w:rFonts w:cs="Times New Roman"/>
          <w:lang w:val="en-US"/>
        </w:rPr>
        <w:t xml:space="preserve">, ccl. av. </w:t>
      </w:r>
      <w:proofErr w:type="spellStart"/>
      <w:r w:rsidRPr="00DB5012">
        <w:rPr>
          <w:rFonts w:cs="Times New Roman"/>
          <w:lang w:val="en-US"/>
        </w:rPr>
        <w:t>gén</w:t>
      </w:r>
      <w:proofErr w:type="spellEnd"/>
      <w:r w:rsidRPr="00DB5012">
        <w:rPr>
          <w:rFonts w:cs="Times New Roman"/>
          <w:lang w:val="en-US"/>
        </w:rPr>
        <w:t xml:space="preserve">. </w:t>
      </w:r>
      <w:proofErr w:type="spellStart"/>
      <w:r w:rsidRPr="000636BE">
        <w:rPr>
          <w:rFonts w:cs="Times New Roman"/>
        </w:rPr>
        <w:t>Kokott</w:t>
      </w:r>
      <w:proofErr w:type="spellEnd"/>
      <w:r w:rsidRPr="000636BE">
        <w:rPr>
          <w:rFonts w:cs="Times New Roman"/>
        </w:rPr>
        <w:t>, para. 76</w:t>
      </w:r>
      <w:r>
        <w:rPr>
          <w:rFonts w:cs="Times New Roman"/>
        </w:rPr>
        <w:t> : « </w:t>
      </w:r>
      <w:r w:rsidRPr="000636BE">
        <w:t>Une entreprise peut se fixer délibérément pour objectif de recruter un personnel bigarré et diversifié et précisément faire de cette diversité affichée son image de marque</w:t>
      </w:r>
      <w:r w:rsidRPr="000636BE">
        <w:fldChar w:fldCharType="begin"/>
      </w:r>
      <w:r w:rsidRPr="000636BE">
        <w:instrText xml:space="preserve"> XE "</w:instrText>
      </w:r>
      <w:r w:rsidRPr="000636BE">
        <w:rPr>
          <w:rFonts w:eastAsia="Times New Roman" w:cs="Calibri"/>
          <w:color w:val="000000"/>
          <w:lang w:eastAsia="fr-BE"/>
        </w:rPr>
        <w:instrText>Image de marque"</w:instrText>
      </w:r>
      <w:r w:rsidRPr="000636BE">
        <w:instrText xml:space="preserve"> </w:instrText>
      </w:r>
      <w:r w:rsidRPr="000636BE">
        <w:fldChar w:fldCharType="end"/>
      </w:r>
      <w:r w:rsidRPr="000636BE">
        <w:t xml:space="preserve">. De manière tout aussi légitime, une entreprise, comme en l’espèce </w:t>
      </w:r>
      <w:r w:rsidRPr="000636BE">
        <w:rPr>
          <w:i/>
          <w:iCs/>
        </w:rPr>
        <w:t>G4S</w:t>
      </w:r>
      <w:r w:rsidRPr="000636BE">
        <w:t>, peut cependant opter pour une politique de stricte neutralité en matière de religion et de convictions et, pour réaliser cette image de marque, imposer à son personnel, dans le cadre des exigences professionnelles, d’afficher une apparence neutre au travail</w:t>
      </w:r>
      <w:r>
        <w:t xml:space="preserve"> ». </w:t>
      </w:r>
      <w:r w:rsidRPr="00022216">
        <w:rPr>
          <w:rFonts w:cs="Times New Roman"/>
        </w:rPr>
        <w:t xml:space="preserve">Dans le même sens, </w:t>
      </w:r>
      <w:proofErr w:type="spellStart"/>
      <w:r w:rsidRPr="00022216">
        <w:rPr>
          <w:rFonts w:cs="Times New Roman"/>
        </w:rPr>
        <w:t>voy</w:t>
      </w:r>
      <w:proofErr w:type="spellEnd"/>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{"citationID":"O4AmoTdi","properties":{"formattedCitation":"Y. {\\scaps Pagnerre}, \\uc0\\u171{}\\uc0\\u160{}[Libert\\uc0\\u233{} de] Religion vs [Libert\\uc0\\u233{} d\\uc0\\u8217{}] Entreprise\\uc0\\u160{}\\uc0\\u187{}, {\\i{}op. cit.}, p. 459.","plainCitation":"Y. Pagnerre, « [Liberté de] Religion vs [Liberté d’] Entreprise », op. cit., p. 459.","noteIndex":360},"citationItems":[{"id":211,"uris":["http://zotero.org/users/5133869/items/S335M3ND"],"itemData":{"id":211,"type":"article-journal","container-title":"Droit social","issue":"3","page":"450-462","title":"[Liberté de] Religion vs [Liberté d'] Entreprise","author":[{"family":"Pagnerre","given":"Yannick"}],"issued":{"date-parts":[["2017"]]}},"locator":"459"}],"schema":"https://github.com/citation-style-language/schema/raw/master/csl-citation.json"} </w:instrText>
      </w:r>
      <w:r w:rsidRPr="00022216">
        <w:rPr>
          <w:rFonts w:cs="Times New Roman"/>
        </w:rPr>
        <w:fldChar w:fldCharType="separate"/>
      </w:r>
      <w:r w:rsidRPr="000636BE">
        <w:rPr>
          <w:rFonts w:cs="Times New Roman"/>
          <w:szCs w:val="24"/>
        </w:rPr>
        <w:t xml:space="preserve">Y. </w:t>
      </w:r>
      <w:proofErr w:type="spellStart"/>
      <w:r w:rsidRPr="000636BE">
        <w:rPr>
          <w:rFonts w:cs="Times New Roman"/>
          <w:smallCaps/>
          <w:szCs w:val="24"/>
        </w:rPr>
        <w:t>Pagnerre</w:t>
      </w:r>
      <w:proofErr w:type="spellEnd"/>
      <w:r w:rsidRPr="000636BE">
        <w:rPr>
          <w:rFonts w:cs="Times New Roman"/>
          <w:szCs w:val="24"/>
        </w:rPr>
        <w:t xml:space="preserve">, « [Liberté de] Religion vs [Liberté d’] Entreprise », </w:t>
      </w:r>
      <w:r w:rsidRPr="000636BE">
        <w:rPr>
          <w:rFonts w:cs="Times New Roman"/>
          <w:i/>
          <w:iCs/>
          <w:szCs w:val="24"/>
        </w:rPr>
        <w:t xml:space="preserve">op. </w:t>
      </w:r>
      <w:proofErr w:type="spellStart"/>
      <w:r w:rsidRPr="000636BE">
        <w:rPr>
          <w:rFonts w:cs="Times New Roman"/>
          <w:i/>
          <w:iCs/>
          <w:szCs w:val="24"/>
        </w:rPr>
        <w:t>cit</w:t>
      </w:r>
      <w:proofErr w:type="spellEnd"/>
      <w:r w:rsidRPr="000636BE">
        <w:rPr>
          <w:rFonts w:cs="Times New Roman"/>
          <w:i/>
          <w:iCs/>
          <w:szCs w:val="24"/>
        </w:rPr>
        <w:t>.</w:t>
      </w:r>
      <w:r w:rsidRPr="000636BE">
        <w:rPr>
          <w:rFonts w:cs="Times New Roman"/>
          <w:szCs w:val="24"/>
        </w:rPr>
        <w:t>, p. 459.</w:t>
      </w:r>
      <w:r w:rsidRPr="00022216">
        <w:rPr>
          <w:rFonts w:cs="Times New Roman"/>
        </w:rPr>
        <w:fldChar w:fldCharType="end"/>
      </w:r>
    </w:p>
  </w:footnote>
  <w:footnote w:id="292">
    <w:p w14:paraId="6728E0DE" w14:textId="3ABE689A"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{"citationID":"bshD3bjb","properties":{"formattedCitation":"V. {\\scaps van der}\\uc0\\u160{}{\\scaps Plancke} et N. {\\scaps Van Leuven}, \\uc0\\u171{}\\uc0\\u160{}La privatisation du respect de la Convention europ\\uc0\\u233{}enne des droits de l\\uc0\\u8217{}homme\\uc0\\u8239{}: faut-il reconna\\uc0\\u238{}tre un effet horizontal g\\uc0\\u233{}n\\uc0\\u233{}ralis\\uc0\\u233{}\\uc0\\u8239{}?\\uc0\\u160{}\\uc0\\u187{}, {\\i{}op. cit.}, p. 266.","plainCitation":"V. van der Plancke et N. Van Leuven, « La privatisation du respect de la Convention européenne des droits de l’homme : faut-il reconnaître un effet horizontal généralisé ? », op. cit., p. 266.","noteIndex":361},"citationItems":[{"id":1578,"uris":["http://zotero.org/users/5133869/items/4Y8DKDDG"],"itemData":{"id":1578,"type":"chapter","container-title":"Entre ombres et lumières : cinquante ans d'application de la Convention européenne des droits de l'homme en Belgique","event-place":"Bruxelles","page":"191-279","publisher":"Bruylant","publisher-place":"Bruxelles","title":"La privatisation du respect de la Convention européenne des droits de l’homme : faut-il reconnaître un effet horizontal généralisé ?","author":[{"family":"Plancke","given":"Véronique","non-dropping-particle":"van der"},{"family":"Van Leuven","given":"Nathalie"}],"editor":[{"family":"Pieret","given":"Julien"},{"family":"Chapaux","given":"Vincent"},{"family":"Schaus","given":"Annemie"}],"issued":{"date-parts":[["2008"]]}},"locator":"266"}],"schema":"https://github.com/citation-style-language/schema/raw/master/csl-citation.json"} </w:instrText>
      </w:r>
      <w:r w:rsidRPr="00022216">
        <w:rPr>
          <w:rFonts w:cs="Times New Roman"/>
        </w:rPr>
        <w:fldChar w:fldCharType="separate"/>
      </w:r>
      <w:r w:rsidRPr="00990391">
        <w:rPr>
          <w:rFonts w:cs="Times New Roman"/>
          <w:szCs w:val="24"/>
        </w:rPr>
        <w:t xml:space="preserve">V. </w:t>
      </w:r>
      <w:r w:rsidRPr="00990391">
        <w:rPr>
          <w:rFonts w:cs="Times New Roman"/>
          <w:smallCaps/>
          <w:szCs w:val="24"/>
        </w:rPr>
        <w:t>van der</w:t>
      </w:r>
      <w:r w:rsidRPr="00990391">
        <w:rPr>
          <w:rFonts w:cs="Times New Roman"/>
          <w:szCs w:val="24"/>
        </w:rPr>
        <w:t> </w:t>
      </w:r>
      <w:proofErr w:type="spellStart"/>
      <w:r w:rsidRPr="00990391">
        <w:rPr>
          <w:rFonts w:cs="Times New Roman"/>
          <w:smallCaps/>
          <w:szCs w:val="24"/>
        </w:rPr>
        <w:t>Plancke</w:t>
      </w:r>
      <w:proofErr w:type="spellEnd"/>
      <w:r w:rsidRPr="00990391">
        <w:rPr>
          <w:rFonts w:cs="Times New Roman"/>
          <w:szCs w:val="24"/>
        </w:rPr>
        <w:t xml:space="preserve"> et N. </w:t>
      </w:r>
      <w:r w:rsidRPr="00990391">
        <w:rPr>
          <w:rFonts w:cs="Times New Roman"/>
          <w:smallCaps/>
          <w:szCs w:val="24"/>
        </w:rPr>
        <w:t>Van Leuven</w:t>
      </w:r>
      <w:r w:rsidRPr="00990391">
        <w:rPr>
          <w:rFonts w:cs="Times New Roman"/>
          <w:szCs w:val="24"/>
        </w:rPr>
        <w:t xml:space="preserve">, « La privatisation du respect de la Convention européenne des droits de l’homme : faut-il reconnaître un effet horizontal généralisé ? », </w:t>
      </w:r>
      <w:r w:rsidRPr="00990391">
        <w:rPr>
          <w:rFonts w:cs="Times New Roman"/>
          <w:i/>
          <w:iCs/>
          <w:szCs w:val="24"/>
        </w:rPr>
        <w:t xml:space="preserve">op. </w:t>
      </w:r>
      <w:proofErr w:type="spellStart"/>
      <w:r w:rsidRPr="00990391">
        <w:rPr>
          <w:rFonts w:cs="Times New Roman"/>
          <w:i/>
          <w:iCs/>
          <w:szCs w:val="24"/>
        </w:rPr>
        <w:t>cit</w:t>
      </w:r>
      <w:proofErr w:type="spellEnd"/>
      <w:r w:rsidRPr="00990391">
        <w:rPr>
          <w:rFonts w:cs="Times New Roman"/>
          <w:i/>
          <w:iCs/>
          <w:szCs w:val="24"/>
        </w:rPr>
        <w:t>.</w:t>
      </w:r>
      <w:r w:rsidRPr="00990391">
        <w:rPr>
          <w:rFonts w:cs="Times New Roman"/>
          <w:szCs w:val="24"/>
        </w:rPr>
        <w:t>, p. 266.</w:t>
      </w:r>
      <w:r w:rsidRPr="00022216">
        <w:rPr>
          <w:rFonts w:cs="Times New Roman"/>
        </w:rPr>
        <w:fldChar w:fldCharType="end"/>
      </w:r>
    </w:p>
  </w:footnote>
  <w:footnote w:id="293">
    <w:p w14:paraId="26479B7D" w14:textId="034E43FE" w:rsidR="000D6C77" w:rsidRPr="00022216" w:rsidRDefault="000D6C77" w:rsidP="00856F6D">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{"citationID":"SZiWlcaD","properties":{"formattedCitation":"{\\i{}Ibid.}, note 272.","plainCitation":"Ibid., note 272.","noteIndex":362},"citationItems":[{"id":1578,"uris":["http://zotero.org/users/5133869/items/4Y8DKDDG"],"itemData":{"id":1578,"type":"chapter","container-title":"Entre ombres et lumières : cinquante ans d'application de la Convention européenne des droits de l'homme en Belgique","event-place":"Bruxelles","page":"191-279","publisher":"Bruylant","publisher-place":"Bruxelles","title":"La privatisation du respect de la Convention européenne des droits de l’homme : faut-il reconnaître un effet horizontal généralisé ?","author":[{"family":"Plancke","given":"Véronique","non-dropping-particle":"van der"},{"family":"Van Leuven","given":"Nathalie"}],"editor":[{"family":"Pieret","given":"Julien"},{"family":"Chapaux","given":"Vincent"},{"family":"Schaus","given":"Annemie"}],"issued":{"date-parts":[["2008"]]}},"locator":"266","suffix":", note 272"}],"schema":"https://github.com/citation-style-language/schema/raw/master/csl-citation.json"} </w:instrText>
      </w:r>
      <w:r w:rsidRPr="00022216">
        <w:rPr>
          <w:rFonts w:cs="Times New Roman"/>
        </w:rPr>
        <w:fldChar w:fldCharType="separate"/>
      </w:r>
      <w:r w:rsidRPr="00022216">
        <w:rPr>
          <w:rFonts w:cs="Times New Roman"/>
          <w:i/>
          <w:iCs/>
        </w:rPr>
        <w:t>Ibid.</w:t>
      </w:r>
      <w:r w:rsidRPr="00022216">
        <w:rPr>
          <w:rFonts w:cs="Times New Roman"/>
        </w:rPr>
        <w:t>, note 272.</w:t>
      </w:r>
      <w:r w:rsidRPr="00022216">
        <w:rPr>
          <w:rFonts w:cs="Times New Roman"/>
        </w:rPr>
        <w:fldChar w:fldCharType="end"/>
      </w:r>
      <w:r w:rsidRPr="00022216">
        <w:rPr>
          <w:rFonts w:cs="Times New Roman"/>
        </w:rPr>
        <w:t xml:space="preserve"> En ce sens, </w:t>
      </w:r>
      <w:proofErr w:type="spellStart"/>
      <w:r w:rsidRPr="00022216">
        <w:rPr>
          <w:rFonts w:cs="Times New Roman"/>
        </w:rPr>
        <w:t>voy</w:t>
      </w:r>
      <w:proofErr w:type="spellEnd"/>
      <w:r w:rsidRPr="00022216">
        <w:rPr>
          <w:rFonts w:cs="Times New Roman"/>
        </w:rPr>
        <w:t xml:space="preserve">. aussi </w:t>
      </w:r>
      <w:r w:rsidRPr="00022216">
        <w:rPr>
          <w:rFonts w:cs="Times New Roman"/>
        </w:rPr>
        <w:fldChar w:fldCharType="begin"/>
      </w:r>
      <w:r>
        <w:rPr>
          <w:rFonts w:cs="Times New Roman"/>
        </w:rPr>
        <w:instrText xml:space="preserve"> ADDIN ZOTERO_ITEM CSL_CITATION {"citationID":"kjrFGPbI","properties":{"formattedCitation":"J. {\\scaps Raynaud}, {\\i{}Les atteintes aux droits fondamentaux dans les actes juridiques priv\\uc0\\u233{}s}, Aix-en-Provence, Presses universitaires d\\uc0\\u8217{}Aix-Marseille, 2003, p. 228.","plainCitation":"J. Raynaud, Les atteintes aux droits fondamentaux dans les actes juridiques privés, Aix-en-Provence, Presses universitaires d’Aix-Marseille, 2003, p. 228.","noteIndex":362},"citationItems":[{"id":2237,"uris":["http://zotero.org/users/5133869/items/D53LSL4N"],"itemData":{"id":2237,"type":"book","call-number":"KJV311 .R39 2003","event-place":"Aix-en-Provence","ISBN":"978-2-7314-0332-9","note":"OCLC: ocm53018899","number-of-pages":"439","publisher":"Presses universitaires d'Aix-Marseille","publisher-place":"Aix-en-Provence","source":"Library of Congress ISBN","title":"Les atteintes aux droits fondamentaux dans les actes juridiques privés","author":[{"family":"Raynaud","given":"Julien"}],"issued":{"date-parts":[["2003"]]}},"locator":"228"}],"schema":"https://github.com/citation-style-language/schema/raw/master/csl-citation.json"} </w:instrText>
      </w:r>
      <w:r w:rsidRPr="00022216">
        <w:rPr>
          <w:rFonts w:cs="Times New Roman"/>
        </w:rPr>
        <w:fldChar w:fldCharType="separate"/>
      </w:r>
      <w:r w:rsidRPr="00022216">
        <w:rPr>
          <w:rFonts w:cs="Times New Roman"/>
        </w:rPr>
        <w:t xml:space="preserve">J. </w:t>
      </w:r>
      <w:r w:rsidRPr="00022216">
        <w:rPr>
          <w:rFonts w:cs="Times New Roman"/>
          <w:smallCaps/>
        </w:rPr>
        <w:t>Raynaud</w:t>
      </w:r>
      <w:r w:rsidRPr="00022216">
        <w:rPr>
          <w:rFonts w:cs="Times New Roman"/>
        </w:rPr>
        <w:t xml:space="preserve">, </w:t>
      </w:r>
      <w:r w:rsidRPr="00022216">
        <w:rPr>
          <w:rFonts w:cs="Times New Roman"/>
          <w:i/>
          <w:iCs/>
        </w:rPr>
        <w:t>Les atteintes aux droits fondamentaux dans les actes juridiques privés</w:t>
      </w:r>
      <w:r w:rsidRPr="00022216">
        <w:rPr>
          <w:rFonts w:cs="Times New Roman"/>
        </w:rPr>
        <w:t>, Aix-en-Provence, Presses universitaires d’Aix-Marseille, 2003, p. 228.</w:t>
      </w:r>
      <w:r w:rsidRPr="00022216">
        <w:rPr>
          <w:rFonts w:cs="Times New Roman"/>
        </w:rPr>
        <w:fldChar w:fldCharType="end"/>
      </w:r>
    </w:p>
  </w:footnote>
  <w:footnote w:id="294">
    <w:p w14:paraId="033FD45F" w14:textId="4B03CA8B" w:rsidR="000D6C77" w:rsidRPr="00E74ED6" w:rsidRDefault="000D6C77" w:rsidP="00E90AEA">
      <w:pPr>
        <w:pStyle w:val="Notedebasdepage"/>
        <w:rPr>
          <w:lang w:val="fr-FR"/>
        </w:rPr>
      </w:pPr>
      <w:r>
        <w:rPr>
          <w:rStyle w:val="Appelnotedebasdep"/>
        </w:rPr>
        <w:footnoteRef/>
      </w:r>
      <w:r w:rsidRPr="00E74ED6">
        <w:t xml:space="preserve"> </w:t>
      </w:r>
      <w:r>
        <w:rPr>
          <w:lang w:val="fr-FR"/>
        </w:rPr>
        <w:t>Sur la notion d</w:t>
      </w:r>
      <w:proofErr w:type="gramStart"/>
      <w:r>
        <w:rPr>
          <w:lang w:val="fr-FR"/>
        </w:rPr>
        <w:t>’«</w:t>
      </w:r>
      <w:proofErr w:type="gramEnd"/>
      <w:r>
        <w:rPr>
          <w:lang w:val="fr-FR"/>
        </w:rPr>
        <w:t xml:space="preserve"> entreprise à mission », </w:t>
      </w:r>
      <w:proofErr w:type="spellStart"/>
      <w:r>
        <w:rPr>
          <w:lang w:val="fr-FR"/>
        </w:rPr>
        <w:t>voy</w:t>
      </w:r>
      <w:proofErr w:type="spellEnd"/>
      <w:r>
        <w:rPr>
          <w:lang w:val="fr-FR"/>
        </w:rPr>
        <w:t xml:space="preserve">. en particulier </w:t>
      </w:r>
      <w:r w:rsidRPr="00022216">
        <w:rPr>
          <w:rFonts w:cs="Times New Roman"/>
        </w:rPr>
        <w:fldChar w:fldCharType="begin"/>
      </w:r>
      <w:r>
        <w:rPr>
          <w:rFonts w:cs="Times New Roman"/>
        </w:rPr>
        <w:instrText xml:space="preserve"> ADDIN ZOTERO_ITEM CSL_CITATION {"citationID":"rnqcswfb","properties":{"formattedCitation":"B. {\\scaps Segrestin}, \\uc0\\u171{}\\uc0\\u160{}La mission, un nouveau contrat social pour l\\uc0\\u8217{}entreprise\\uc0\\u160{}\\uc0\\u187{}, {\\i{}Esprit}, 2018, n\\uc0\\u176{} 3, pp. 90\\uc0\\u8209{}101.","plainCitation":"B. Segrestin, « La mission, un nouveau contrat social pour l’entreprise », Esprit, 2018, n° 3, pp. 90‑101.","noteIndex":363},"citationItems":[{"id":344,"uris":["http://zotero.org/users/5133869/items/66562UCL"],"itemData":{"id":344,"type":"article-journal","container-title":"Esprit","DOI":"10.3917/espri.1803.0090","ISSN":"0014-0759, 2111-4579","issue":"3","language":"fr","page":"90-101","source":"Crossref","title":"La mission, un nouveau contrat social pour l’entreprise","volume":"Mars","author":[{"family":"Segrestin","given":"Blanche"}],"issued":{"date-parts":[["2018"]]}}}],"schema":"https://github.com/citation-style-language/schema/raw/master/csl-citation.json"} </w:instrText>
      </w:r>
      <w:r w:rsidRPr="00022216">
        <w:rPr>
          <w:rFonts w:cs="Times New Roman"/>
        </w:rPr>
        <w:fldChar w:fldCharType="separate"/>
      </w:r>
      <w:r w:rsidRPr="00022216">
        <w:rPr>
          <w:rFonts w:cs="Times New Roman"/>
        </w:rPr>
        <w:t xml:space="preserve">B. </w:t>
      </w:r>
      <w:proofErr w:type="spellStart"/>
      <w:r w:rsidRPr="00022216">
        <w:rPr>
          <w:rFonts w:cs="Times New Roman"/>
          <w:smallCaps/>
        </w:rPr>
        <w:t>Segrestin</w:t>
      </w:r>
      <w:proofErr w:type="spellEnd"/>
      <w:r w:rsidRPr="00022216">
        <w:rPr>
          <w:rFonts w:cs="Times New Roman"/>
        </w:rPr>
        <w:t xml:space="preserve">, « La mission, un nouveau contrat social pour l’entreprise », </w:t>
      </w:r>
      <w:r w:rsidRPr="00022216">
        <w:rPr>
          <w:rFonts w:cs="Times New Roman"/>
          <w:i/>
          <w:iCs/>
        </w:rPr>
        <w:t>Esprit</w:t>
      </w:r>
      <w:r w:rsidRPr="00022216">
        <w:rPr>
          <w:rFonts w:cs="Times New Roman"/>
        </w:rPr>
        <w:t>, 2018, n° 3, pp. 90‑101.</w:t>
      </w:r>
      <w:r w:rsidRPr="00022216">
        <w:rPr>
          <w:rFonts w:cs="Times New Roman"/>
        </w:rPr>
        <w:fldChar w:fldCharType="end"/>
      </w:r>
    </w:p>
  </w:footnote>
  <w:footnote w:id="295">
    <w:p w14:paraId="2A5C0598" w14:textId="6B7E1A00" w:rsidR="000D6C77" w:rsidRPr="00016D32" w:rsidRDefault="000D6C77" w:rsidP="00E932A1">
      <w:pPr>
        <w:pStyle w:val="Notedebasdepage"/>
        <w:rPr>
          <w:szCs w:val="17"/>
        </w:rPr>
      </w:pPr>
      <w:r w:rsidRPr="00016D32">
        <w:rPr>
          <w:rStyle w:val="Appelnotedebasdep"/>
          <w:szCs w:val="17"/>
        </w:rPr>
        <w:footnoteRef/>
      </w:r>
      <w:r w:rsidRPr="00016D32">
        <w:rPr>
          <w:szCs w:val="17"/>
        </w:rPr>
        <w:t xml:space="preserve"> L’entreprise de tendance trouve une double consécration en droit européen : d’une part, tel qu’interprété par la Cour de Strasbourg, l’article 9 de la Convention européenne des droits de l’homme protège la liberté de religion dans sa dimension collective et institutionnelle ; en outre, la </w:t>
      </w:r>
      <w:r>
        <w:rPr>
          <w:szCs w:val="17"/>
        </w:rPr>
        <w:t>directive</w:t>
      </w:r>
      <w:r w:rsidRPr="00016D32">
        <w:rPr>
          <w:szCs w:val="17"/>
        </w:rPr>
        <w:t xml:space="preserve"> 2000/78</w:t>
      </w:r>
      <w:r>
        <w:rPr>
          <w:szCs w:val="17"/>
        </w:rPr>
        <w:t>/CE</w:t>
      </w:r>
      <w:r w:rsidRPr="00016D32">
        <w:rPr>
          <w:szCs w:val="17"/>
        </w:rPr>
        <w:t xml:space="preserve"> de l’UE prévoit</w:t>
      </w:r>
      <w:r>
        <w:rPr>
          <w:szCs w:val="17"/>
        </w:rPr>
        <w:t>, en son article 4.2,</w:t>
      </w:r>
      <w:r w:rsidRPr="00016D32">
        <w:rPr>
          <w:szCs w:val="17"/>
        </w:rPr>
        <w:t xml:space="preserve"> une exception au principe de non-discrimination sur base de la religion, dans le cas des « églises et d'autres organisations publiques ou privées dont l'éthique est fondée sur la religion ou les convictions » lorsque, « par la nature de ces activités ou par le contexte dans lequel elles sont exercées, la religion ou les convictions constituent une exigence professionnelle essentielle, légitime et justifiée eu égard à l'éthique de l'organisation ».</w:t>
      </w:r>
    </w:p>
  </w:footnote>
  <w:footnote w:id="296">
    <w:p w14:paraId="4DC2D913" w14:textId="69BFD03E" w:rsidR="000D6C77" w:rsidRPr="00A638E3" w:rsidRDefault="000D6C77" w:rsidP="00A638E3">
      <w:pPr>
        <w:pStyle w:val="Notedebasdepage"/>
        <w:rPr>
          <w:rFonts w:cs="Times New Roman"/>
          <w:lang w:val="en-GB"/>
        </w:rPr>
      </w:pPr>
      <w:r w:rsidRPr="00022216">
        <w:rPr>
          <w:rStyle w:val="Appelnotedebasdep"/>
          <w:rFonts w:cs="Times New Roman"/>
        </w:rPr>
        <w:footnoteRef/>
      </w:r>
      <w:r w:rsidRPr="00A638E3">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{"citationID":"7uQbL0b8","properties":{"formattedCitation":"V. {\\scaps Valentin}, \\uc0\\u171{}\\uc0\\u160{}Freedom of conscience in private company. An economic or a political problem?\\uc0\\u160{}\\uc0\\u187{}, {\\i{}op. cit.}","plainCitation":"V. Valentin, « Freedom of conscience in private company. An economic or a political problem? », op. cit.","noteIndex":365},"citationItems":[{"id":2506,"uris":["http://zotero.org/users/5133869/items/KAPS7XYI"],"itemData":{"id":2506,"type":"chapter","container-title":"Religion, Law and the Politics of Ethical Diversity. Conscientious Objection and Contestation of Civil Norms","event-place":"London","page":"79-89","publisher":"Routledge","publisher-place":"London","title":"Freedom of conscience in private company. An economic or a political problem?","author":[{"family":"Valentin","given":"Vincent"}],"editor":[{"family":"Proeschel","given":"Claude"},{"family":"Koussens","given":"David"},{"family":"Piraino","given":"Francesco"}],"issued":{"date-parts":[["2021"]]}}}],"schema":"https://github.com/citation-style-language/schema/raw/master/csl-citation.json"} </w:instrText>
      </w:r>
      <w:r w:rsidRPr="00022216">
        <w:rPr>
          <w:rFonts w:cs="Times New Roman"/>
        </w:rPr>
        <w:fldChar w:fldCharType="separate"/>
      </w:r>
      <w:r w:rsidRPr="00D57414">
        <w:rPr>
          <w:rFonts w:cs="Times New Roman"/>
          <w:szCs w:val="24"/>
          <w:lang w:val="en-GB"/>
        </w:rPr>
        <w:t xml:space="preserve">V. </w:t>
      </w:r>
      <w:r w:rsidRPr="00D57414">
        <w:rPr>
          <w:rFonts w:cs="Times New Roman"/>
          <w:smallCaps/>
          <w:szCs w:val="24"/>
          <w:lang w:val="en-GB"/>
        </w:rPr>
        <w:t>Valentin</w:t>
      </w:r>
      <w:r w:rsidRPr="00D57414">
        <w:rPr>
          <w:rFonts w:cs="Times New Roman"/>
          <w:szCs w:val="24"/>
          <w:lang w:val="en-GB"/>
        </w:rPr>
        <w:t xml:space="preserve">, « Freedom of conscience in private company. An economic or a political problem? », </w:t>
      </w:r>
      <w:r w:rsidRPr="00D57414">
        <w:rPr>
          <w:rFonts w:cs="Times New Roman"/>
          <w:i/>
          <w:iCs/>
          <w:szCs w:val="24"/>
          <w:lang w:val="en-GB"/>
        </w:rPr>
        <w:t>op. cit.</w:t>
      </w:r>
      <w:r w:rsidRPr="00022216">
        <w:rPr>
          <w:rFonts w:cs="Times New Roman"/>
        </w:rPr>
        <w:fldChar w:fldCharType="end"/>
      </w:r>
    </w:p>
  </w:footnote>
  <w:footnote w:id="297">
    <w:p w14:paraId="470E88F1" w14:textId="51BDD2DE" w:rsidR="000D6C77" w:rsidRPr="00A638E3" w:rsidRDefault="000D6C77" w:rsidP="00A638E3">
      <w:pPr>
        <w:pStyle w:val="Notedebasdepage"/>
        <w:rPr>
          <w:rFonts w:cs="Times New Roman"/>
          <w:lang w:val="en-GB"/>
        </w:rPr>
      </w:pPr>
      <w:r w:rsidRPr="00022216">
        <w:rPr>
          <w:rStyle w:val="Appelnotedebasdep"/>
          <w:rFonts w:cs="Times New Roman"/>
        </w:rPr>
        <w:footnoteRef/>
      </w:r>
      <w:r w:rsidRPr="00A638E3">
        <w:rPr>
          <w:rFonts w:cs="Times New Roman"/>
          <w:lang w:val="en-GB"/>
        </w:rPr>
        <w:t xml:space="preserve"> </w:t>
      </w:r>
      <w:r w:rsidRPr="00022216">
        <w:rPr>
          <w:rFonts w:cs="Times New Roman"/>
        </w:rPr>
        <w:fldChar w:fldCharType="begin"/>
      </w:r>
      <w:r>
        <w:rPr>
          <w:rFonts w:cs="Times New Roman"/>
          <w:lang w:val="en-GB"/>
        </w:rPr>
        <w:instrText xml:space="preserve"> ADDIN ZOTERO_ITEM CSL_CITATION {"citationID":"PoXilUmE","properties":{"formattedCitation":"S. {\\scaps Mancini} et M. {\\scaps Rosenfeld} (\\uc0\\u233{}ds.), {\\i{}The conscience wars: rethinking the balance between religion, identity, and equality}, Cambridge\\uc0\\u8239{}; New York, Cambridge University Press, 2018.","plainCitation":"S. Mancini et M. Rosenfeld (éds.), The conscience wars: rethinking the balance between religion, identity, and equality, Cambridge ; New York, Cambridge University Press, 2018.","noteIndex":366},"citationItems":[{"id":2619,"uris":["http://zotero.org/users/5133869/items/2BX8HJSF"],"itemData":{"id":2619,"type":"book","call-number":"K3258 .C66 2018","event-place":"Cambridge ; New York","ISBN":"978-1-107-17330-9","number-of-pages":"493","publisher":"Cambridge University Press","publisher-place":"Cambridge ; New York","source":"Library of Congress ISBN","title":"The conscience wars: rethinking the balance between religion, identity, and equality","title-short":"The conscience wars","editor":[{"family":"Mancini","given":"Susanna"},{"family":"Rosenfeld","given":"Michel"}],"issued":{"date-parts":[["2018"]]}}}],"schema":"https://github.com/citation-style-language/schema/raw/master/csl-citation.json"} </w:instrText>
      </w:r>
      <w:r w:rsidRPr="00022216">
        <w:rPr>
          <w:rFonts w:cs="Times New Roman"/>
        </w:rPr>
        <w:fldChar w:fldCharType="separate"/>
      </w:r>
      <w:r w:rsidRPr="00A638E3">
        <w:rPr>
          <w:rFonts w:cs="Times New Roman"/>
          <w:lang w:val="en-GB"/>
        </w:rPr>
        <w:t xml:space="preserve">S. </w:t>
      </w:r>
      <w:r w:rsidRPr="00A638E3">
        <w:rPr>
          <w:rFonts w:cs="Times New Roman"/>
          <w:smallCaps/>
          <w:lang w:val="en-GB"/>
        </w:rPr>
        <w:t>Mancini</w:t>
      </w:r>
      <w:r w:rsidRPr="00A638E3">
        <w:rPr>
          <w:rFonts w:cs="Times New Roman"/>
          <w:lang w:val="en-GB"/>
        </w:rPr>
        <w:t xml:space="preserve"> et M. </w:t>
      </w:r>
      <w:r w:rsidRPr="00A638E3">
        <w:rPr>
          <w:rFonts w:cs="Times New Roman"/>
          <w:smallCaps/>
          <w:lang w:val="en-GB"/>
        </w:rPr>
        <w:t>Rosenfeld</w:t>
      </w:r>
      <w:r w:rsidRPr="00A638E3">
        <w:rPr>
          <w:rFonts w:cs="Times New Roman"/>
          <w:lang w:val="en-GB"/>
        </w:rPr>
        <w:t xml:space="preserve"> (</w:t>
      </w:r>
      <w:proofErr w:type="spellStart"/>
      <w:r w:rsidRPr="00A638E3">
        <w:rPr>
          <w:rFonts w:cs="Times New Roman"/>
          <w:lang w:val="en-GB"/>
        </w:rPr>
        <w:t>éds</w:t>
      </w:r>
      <w:proofErr w:type="spellEnd"/>
      <w:r w:rsidRPr="00A638E3">
        <w:rPr>
          <w:rFonts w:cs="Times New Roman"/>
          <w:lang w:val="en-GB"/>
        </w:rPr>
        <w:t xml:space="preserve">.), </w:t>
      </w:r>
      <w:r w:rsidRPr="00A638E3">
        <w:rPr>
          <w:rFonts w:cs="Times New Roman"/>
          <w:i/>
          <w:iCs/>
          <w:lang w:val="en-GB"/>
        </w:rPr>
        <w:t>The conscience</w:t>
      </w:r>
      <w:r>
        <w:rPr>
          <w:rFonts w:cs="Times New Roman"/>
          <w:i/>
          <w:iCs/>
        </w:rPr>
        <w:fldChar w:fldCharType="begin"/>
      </w:r>
      <w:r w:rsidRPr="00A638E3">
        <w:rPr>
          <w:rFonts w:cs="Times New Roman"/>
          <w:i/>
          <w:iCs/>
          <w:lang w:val="en-GB"/>
        </w:rPr>
        <w:instrText xml:space="preserve"> XE "</w:instrText>
      </w:r>
      <w:r w:rsidRPr="00A638E3">
        <w:rPr>
          <w:rFonts w:ascii="Cambria" w:eastAsia="Times New Roman" w:hAnsi="Cambria" w:cs="Calibri"/>
          <w:color w:val="000000"/>
          <w:lang w:val="en-GB" w:eastAsia="fr-BE"/>
        </w:rPr>
        <w:instrText>Conscience"</w:instrText>
      </w:r>
      <w:r w:rsidRPr="00A638E3">
        <w:rPr>
          <w:rFonts w:cs="Times New Roman"/>
          <w:i/>
          <w:iCs/>
          <w:lang w:val="en-GB"/>
        </w:rPr>
        <w:instrText xml:space="preserve"> </w:instrText>
      </w:r>
      <w:r>
        <w:rPr>
          <w:rFonts w:cs="Times New Roman"/>
          <w:i/>
          <w:iCs/>
        </w:rPr>
        <w:fldChar w:fldCharType="end"/>
      </w:r>
      <w:r w:rsidRPr="00A638E3">
        <w:rPr>
          <w:rFonts w:cs="Times New Roman"/>
          <w:i/>
          <w:iCs/>
          <w:lang w:val="en-GB"/>
        </w:rPr>
        <w:t xml:space="preserve"> wars: rethinking the balance between religion, identity, and equality</w:t>
      </w:r>
      <w:r w:rsidRPr="00A638E3">
        <w:rPr>
          <w:rFonts w:cs="Times New Roman"/>
          <w:lang w:val="en-GB"/>
        </w:rPr>
        <w:t>, Cambridge ; New York, Cambridge University Press, 2018.</w:t>
      </w:r>
      <w:r w:rsidRPr="00022216">
        <w:rPr>
          <w:rFonts w:cs="Times New Roman"/>
        </w:rPr>
        <w:fldChar w:fldCharType="end"/>
      </w:r>
    </w:p>
  </w:footnote>
  <w:footnote w:id="298">
    <w:p w14:paraId="552CA40B" w14:textId="36F9AB9A" w:rsidR="000D6C77" w:rsidRPr="00022216" w:rsidRDefault="000D6C77" w:rsidP="00CB6F4E">
      <w:pPr>
        <w:pStyle w:val="Notedebasdepage"/>
      </w:pPr>
      <w:r w:rsidRPr="00022216">
        <w:rPr>
          <w:rStyle w:val="Appelnotedebasdep"/>
        </w:rPr>
        <w:footnoteRef/>
      </w:r>
      <w:r w:rsidRPr="00022216">
        <w:t xml:space="preserve"> </w:t>
      </w:r>
      <w:proofErr w:type="spellStart"/>
      <w:r w:rsidRPr="00022216">
        <w:t>Voy</w:t>
      </w:r>
      <w:proofErr w:type="spellEnd"/>
      <w:r w:rsidRPr="00022216">
        <w:t xml:space="preserve">. en particulier </w:t>
      </w:r>
      <w:r w:rsidRPr="00022216">
        <w:fldChar w:fldCharType="begin"/>
      </w:r>
      <w:r>
        <w:instrText xml:space="preserve"> ADDIN ZOTERO_ITEM CSL_CITATION {"citationID":"HjNo7ZWs","properties":{"formattedCitation":"V. {\\scaps Valentin}, \\uc0\\u171{}\\uc0\\u160{}La notion d\\uc0\\u8217{}entreprise de conviction \\uc0\\u8220{}la\\uc0\\u239{}que\\uc0\\u8221{}\\uc0\\u160{}\\uc0\\u187{}, {\\i{}op. cit.}\\uc0\\u160{}; F. {\\scaps Gaudu}, \\uc0\\u171{}\\uc0\\u160{}L\\uc0\\u8217{}entreprise de tendance la\\uc0\\u239{}que\\uc0\\u160{}\\uc0\\u187{}, {\\i{}Droit social}, 2011, n\\uc0\\u176{} 12, pp. 1186\\uc0\\u8209{}1189.","plainCitation":"V. Valentin, « La notion d’entreprise de conviction “laïque” », op. cit. ; F. Gaudu, « L’entreprise de tendance laïque », Droit social, 2011, n° 12, pp. 1186‑1189.","noteIndex":373},"citationItems":[{"id":2164,"uris":["http://zotero.org/users/5133869/items/2L2HSTKE"],"itemData":{"id":2164,"type":"chapter","collection-number":"9","collection-title":"Collection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id":113,"uris":["http://zotero.org/users/5133869/items/ABWJTQ9D"],"itemData":{"id":113,"type":"article-journal","container-title":"Droit social","issue":"12","page":"1186-1189","title":"L'entreprise de tendance laïque","author":[{"family":"Gaudu","given":"François"}],"issued":{"date-parts":[["2011"]]}}}],"schema":"https://github.com/citation-style-language/schema/raw/master/csl-citation.json"} </w:instrText>
      </w:r>
      <w:r w:rsidRPr="00022216">
        <w:fldChar w:fldCharType="separate"/>
      </w:r>
      <w:r w:rsidRPr="00D57414">
        <w:rPr>
          <w:rFonts w:cs="Times New Roman"/>
          <w:szCs w:val="24"/>
        </w:rPr>
        <w:t xml:space="preserve">V. </w:t>
      </w:r>
      <w:r w:rsidRPr="00D57414">
        <w:rPr>
          <w:rFonts w:cs="Times New Roman"/>
          <w:smallCaps/>
          <w:szCs w:val="24"/>
        </w:rPr>
        <w:t>Valentin</w:t>
      </w:r>
      <w:r w:rsidRPr="00D57414">
        <w:rPr>
          <w:rFonts w:cs="Times New Roman"/>
          <w:szCs w:val="24"/>
        </w:rPr>
        <w:t xml:space="preserve">, « La notion d’entreprise de conviction “laïque” », </w:t>
      </w:r>
      <w:r w:rsidRPr="00D57414">
        <w:rPr>
          <w:rFonts w:cs="Times New Roman"/>
          <w:i/>
          <w:iCs/>
          <w:szCs w:val="24"/>
        </w:rPr>
        <w:t xml:space="preserve">op. </w:t>
      </w:r>
      <w:proofErr w:type="spellStart"/>
      <w:r w:rsidRPr="00D57414">
        <w:rPr>
          <w:rFonts w:cs="Times New Roman"/>
          <w:i/>
          <w:iCs/>
          <w:szCs w:val="24"/>
        </w:rPr>
        <w:t>cit</w:t>
      </w:r>
      <w:proofErr w:type="spellEnd"/>
      <w:r w:rsidRPr="00D57414">
        <w:rPr>
          <w:rFonts w:cs="Times New Roman"/>
          <w:i/>
          <w:iCs/>
          <w:szCs w:val="24"/>
        </w:rPr>
        <w:t>.</w:t>
      </w:r>
      <w:r w:rsidRPr="00D57414">
        <w:rPr>
          <w:rFonts w:cs="Times New Roman"/>
          <w:szCs w:val="24"/>
        </w:rPr>
        <w:t xml:space="preserve"> ; F. </w:t>
      </w:r>
      <w:proofErr w:type="spellStart"/>
      <w:r w:rsidRPr="00D57414">
        <w:rPr>
          <w:rFonts w:cs="Times New Roman"/>
          <w:smallCaps/>
          <w:szCs w:val="24"/>
        </w:rPr>
        <w:t>Gaudu</w:t>
      </w:r>
      <w:proofErr w:type="spellEnd"/>
      <w:r w:rsidRPr="00D57414">
        <w:rPr>
          <w:rFonts w:cs="Times New Roman"/>
          <w:szCs w:val="24"/>
        </w:rPr>
        <w:t xml:space="preserve">, « L’entreprise de tendance laïque », </w:t>
      </w:r>
      <w:r w:rsidRPr="00D57414">
        <w:rPr>
          <w:rFonts w:cs="Times New Roman"/>
          <w:i/>
          <w:iCs/>
          <w:szCs w:val="24"/>
        </w:rPr>
        <w:t>Droit social</w:t>
      </w:r>
      <w:r w:rsidRPr="00D57414">
        <w:rPr>
          <w:rFonts w:cs="Times New Roman"/>
          <w:szCs w:val="24"/>
        </w:rPr>
        <w:t>, 2011, n° 12, pp. 1186‑1189.</w:t>
      </w:r>
      <w:r w:rsidRPr="00022216">
        <w:fldChar w:fldCharType="end"/>
      </w:r>
      <w:r w:rsidRPr="00022216">
        <w:t xml:space="preserve"> </w:t>
      </w:r>
      <w:proofErr w:type="spellStart"/>
      <w:r w:rsidRPr="00022216">
        <w:t>Voy</w:t>
      </w:r>
      <w:proofErr w:type="spellEnd"/>
      <w:r w:rsidRPr="00022216">
        <w:t xml:space="preserve">. aussi </w:t>
      </w:r>
      <w:r w:rsidRPr="00022216">
        <w:fldChar w:fldCharType="begin"/>
      </w:r>
      <w:r>
        <w:instrText xml:space="preserve"> ADDIN ZOTERO_ITEM CSL_CITATION {"citationID":"dRe4FuRb","properties":{"formattedCitation":"R. {\\scaps Debray} et D. {\\scaps Leschi}, {\\i{}La la\\uc0\\u239{}cit\\uc0\\u233{} au quotidien}, {\\i{}op. cit.}, pp. 68\\uc0\\u8209{}70\\uc0\\u160{}; S. {\\scaps Hennette-Vauchez} et V. {\\scaps Valentin}, {\\i{}L\\uc0\\u8217{}affaire Baby Loup ou la Nouvelle La\\uc0\\u239{}cit\\uc0\\u233{}}, {\\i{}op. cit.}, p. 49\\uc0\\u160{}; M. {\\scaps Morand}, \\uc0\\u171{}\\uc0\\u160{}Entreprises identitaires et religions\\uc0\\u160{}\\uc0\\u187{}, {\\i{}Semaine sociale Lamy}, 2013, n\\uc0\\u176{} 1611.","plainCitation":"R. Debray et D. Leschi, La laïcité au quotidien, op. cit., pp. 68‑70 ; S. Hennette-Vauchez et V. Valentin, L’affaire Baby Loup ou la Nouvelle Laïcité, op. cit., p. 49 ; M. Morand, « Entreprises identitaires et religions », Semaine sociale Lamy, 2013, n° 1611.","noteIndex":373},"citationItems":[{"id":1006,"uris":["http://zotero.org/users/5133869/items/DNWHCTQI"],"itemData":{"id":1006,"type":"book","call-number":"BL2765.F8 D43 2016","event-place":"Paris","ISBN":"978-2-07-046962-8","number-of-pages":"154","publisher":"Gallimard","publisher-place":"Paris","source":"Library of Congress ISBN","title":"La laïcité au quotidien : guide pratique","title-short":"La laïcité au quotidien","author":[{"family":"Debray","given":"Régis"},{"family":"Leschi","given":"Didier"}],"issued":{"date-parts":[["2016"]]}},"locator":"68-70"},{"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49"},{"id":1463,"uris":["http://zotero.org/users/5133869/items/GI8A3EKC"],"itemData":{"id":1463,"type":"article-journal","container-title":"Semaine sociale Lamy","issue":"1611","title":"Entreprises identitaires et religions","author":[{"family":"Morand","given":"M"}],"issued":{"date-parts":[["2013"]]}}}],"schema":"https://github.com/citation-style-language/schema/raw/master/csl-citation.json"} </w:instrText>
      </w:r>
      <w:r w:rsidRPr="00022216">
        <w:fldChar w:fldCharType="separate"/>
      </w:r>
      <w:r w:rsidRPr="00FA1CBB">
        <w:rPr>
          <w:rFonts w:cs="Times New Roman"/>
          <w:szCs w:val="24"/>
        </w:rPr>
        <w:t xml:space="preserve">R. </w:t>
      </w:r>
      <w:r w:rsidRPr="00FA1CBB">
        <w:rPr>
          <w:rFonts w:cs="Times New Roman"/>
          <w:smallCaps/>
          <w:szCs w:val="24"/>
        </w:rPr>
        <w:t>Debray</w:t>
      </w:r>
      <w:r w:rsidRPr="00FA1CBB">
        <w:rPr>
          <w:rFonts w:cs="Times New Roman"/>
          <w:szCs w:val="24"/>
        </w:rPr>
        <w:t xml:space="preserve"> et D. </w:t>
      </w:r>
      <w:proofErr w:type="spellStart"/>
      <w:r w:rsidRPr="00FA1CBB">
        <w:rPr>
          <w:rFonts w:cs="Times New Roman"/>
          <w:smallCaps/>
          <w:szCs w:val="24"/>
        </w:rPr>
        <w:t>Leschi</w:t>
      </w:r>
      <w:proofErr w:type="spellEnd"/>
      <w:r w:rsidRPr="00FA1CBB">
        <w:rPr>
          <w:rFonts w:cs="Times New Roman"/>
          <w:szCs w:val="24"/>
        </w:rPr>
        <w:t xml:space="preserve">, </w:t>
      </w:r>
      <w:r w:rsidRPr="00FA1CBB">
        <w:rPr>
          <w:rFonts w:cs="Times New Roman"/>
          <w:i/>
          <w:iCs/>
          <w:szCs w:val="24"/>
        </w:rPr>
        <w:t>La laïcité au quotidien</w:t>
      </w:r>
      <w:r w:rsidRPr="00FA1CBB">
        <w:rPr>
          <w:rFonts w:cs="Times New Roman"/>
          <w:szCs w:val="24"/>
        </w:rPr>
        <w:t xml:space="preserve">,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xml:space="preserve">, pp. 68‑70 ; S. </w:t>
      </w:r>
      <w:r w:rsidRPr="00FA1CBB">
        <w:rPr>
          <w:rFonts w:cs="Times New Roman"/>
          <w:smallCaps/>
          <w:szCs w:val="24"/>
        </w:rPr>
        <w:t>Hennette-Vauchez</w:t>
      </w:r>
      <w:r w:rsidRPr="00FA1CBB">
        <w:rPr>
          <w:rFonts w:cs="Times New Roman"/>
          <w:szCs w:val="24"/>
        </w:rPr>
        <w:t xml:space="preserve"> et V. </w:t>
      </w:r>
      <w:r w:rsidRPr="00FA1CBB">
        <w:rPr>
          <w:rFonts w:cs="Times New Roman"/>
          <w:smallCaps/>
          <w:szCs w:val="24"/>
        </w:rPr>
        <w:t>Valentin</w:t>
      </w:r>
      <w:r w:rsidRPr="00FA1CBB">
        <w:rPr>
          <w:rFonts w:cs="Times New Roman"/>
          <w:szCs w:val="24"/>
        </w:rPr>
        <w:t xml:space="preserve">, </w:t>
      </w:r>
      <w:r w:rsidRPr="00FA1CBB">
        <w:rPr>
          <w:rFonts w:cs="Times New Roman"/>
          <w:i/>
          <w:iCs/>
          <w:szCs w:val="24"/>
        </w:rPr>
        <w:t>L’affaire Baby Loup ou la Nouvelle Laïcité</w:t>
      </w:r>
      <w:r w:rsidRPr="00FA1CBB">
        <w:rPr>
          <w:rFonts w:cs="Times New Roman"/>
          <w:szCs w:val="24"/>
        </w:rPr>
        <w:t xml:space="preserve">,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xml:space="preserve">, p. 49 ; M. </w:t>
      </w:r>
      <w:r w:rsidRPr="00FA1CBB">
        <w:rPr>
          <w:rFonts w:cs="Times New Roman"/>
          <w:smallCaps/>
          <w:szCs w:val="24"/>
        </w:rPr>
        <w:t>Morand</w:t>
      </w:r>
      <w:r w:rsidRPr="00FA1CBB">
        <w:rPr>
          <w:rFonts w:cs="Times New Roman"/>
          <w:szCs w:val="24"/>
        </w:rPr>
        <w:t xml:space="preserve">, « Entreprises identitaires et religions », </w:t>
      </w:r>
      <w:r w:rsidRPr="00FA1CBB">
        <w:rPr>
          <w:rFonts w:cs="Times New Roman"/>
          <w:i/>
          <w:iCs/>
          <w:szCs w:val="24"/>
        </w:rPr>
        <w:t>Semaine sociale Lamy</w:t>
      </w:r>
      <w:r w:rsidRPr="00FA1CBB">
        <w:rPr>
          <w:rFonts w:cs="Times New Roman"/>
          <w:szCs w:val="24"/>
        </w:rPr>
        <w:t>, 2013, n° 1611.</w:t>
      </w:r>
      <w:r w:rsidRPr="00022216">
        <w:fldChar w:fldCharType="end"/>
      </w:r>
    </w:p>
  </w:footnote>
  <w:footnote w:id="299">
    <w:p w14:paraId="2C9E0D51" w14:textId="58D2489A" w:rsidR="000D6C77" w:rsidRPr="00022216" w:rsidRDefault="000D6C77" w:rsidP="00CB6F4E">
      <w:pPr>
        <w:pStyle w:val="Notedebasdepage"/>
      </w:pPr>
      <w:r w:rsidRPr="00022216">
        <w:rPr>
          <w:rStyle w:val="Appelnotedebasdep"/>
        </w:rPr>
        <w:footnoteRef/>
      </w:r>
      <w:r w:rsidRPr="00022216">
        <w:t xml:space="preserve"> </w:t>
      </w:r>
      <w:bookmarkStart w:id="52" w:name="_Hlk44321575"/>
      <w:r w:rsidRPr="00022216">
        <w:t>C.E.</w:t>
      </w:r>
      <w:r>
        <w:t xml:space="preserve"> Bel.</w:t>
      </w:r>
      <w:r w:rsidRPr="00022216">
        <w:t xml:space="preserve"> (</w:t>
      </w:r>
      <w:proofErr w:type="spellStart"/>
      <w:r w:rsidRPr="00022216">
        <w:t>ass</w:t>
      </w:r>
      <w:proofErr w:type="spellEnd"/>
      <w:r w:rsidRPr="00022216">
        <w:t xml:space="preserve">. g.), 21 décembre 2010, </w:t>
      </w:r>
      <w:r w:rsidRPr="00022216">
        <w:rPr>
          <w:i/>
          <w:iCs/>
        </w:rPr>
        <w:t>J.L.M.B.</w:t>
      </w:r>
      <w:r w:rsidRPr="00022216">
        <w:t xml:space="preserve">, pp. 1039-1061, obs. G. </w:t>
      </w:r>
      <w:proofErr w:type="spellStart"/>
      <w:r w:rsidRPr="00022216">
        <w:rPr>
          <w:smallCaps/>
        </w:rPr>
        <w:t>Ninane</w:t>
      </w:r>
      <w:proofErr w:type="spellEnd"/>
      <w:r w:rsidRPr="00022216">
        <w:t xml:space="preserve"> ; </w:t>
      </w:r>
      <w:r w:rsidRPr="00022216">
        <w:rPr>
          <w:i/>
          <w:iCs/>
        </w:rPr>
        <w:t>Administration publique</w:t>
      </w:r>
      <w:r w:rsidRPr="00022216">
        <w:t xml:space="preserve">, 2012, pp. 342-384, obs. J. </w:t>
      </w:r>
      <w:r w:rsidRPr="00022216">
        <w:rPr>
          <w:smallCaps/>
        </w:rPr>
        <w:t>Ringelheim</w:t>
      </w:r>
      <w:bookmarkEnd w:id="52"/>
      <w:r w:rsidRPr="00022216">
        <w:t>.</w:t>
      </w:r>
    </w:p>
  </w:footnote>
  <w:footnote w:id="300">
    <w:p w14:paraId="4671B5AA" w14:textId="59B10D55" w:rsidR="000D6C77" w:rsidRPr="00022216" w:rsidRDefault="000D6C77" w:rsidP="00CB6F4E">
      <w:pPr>
        <w:pStyle w:val="Notedebasdepage"/>
      </w:pPr>
      <w:r w:rsidRPr="00022216">
        <w:rPr>
          <w:rStyle w:val="Appelnotedebasdep"/>
        </w:rPr>
        <w:footnoteRef/>
      </w:r>
      <w:r w:rsidRPr="00022216">
        <w:t xml:space="preserve"> C.A. Paris, 27 novembre 2013, n° S 13/02981</w:t>
      </w:r>
      <w:r>
        <w:t xml:space="preserve">, </w:t>
      </w:r>
      <w:r w:rsidRPr="0013043A">
        <w:rPr>
          <w:i/>
        </w:rPr>
        <w:t>JurisData</w:t>
      </w:r>
      <w:r>
        <w:rPr>
          <w:i/>
        </w:rPr>
        <w:t>,</w:t>
      </w:r>
      <w:r w:rsidRPr="0013043A">
        <w:t xml:space="preserve"> n° 2013-026587</w:t>
      </w:r>
      <w:r w:rsidRPr="00022216">
        <w:t>.</w:t>
      </w:r>
    </w:p>
  </w:footnote>
  <w:footnote w:id="301">
    <w:p w14:paraId="796547BC" w14:textId="3F9C00A6"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{"citationID":"qpUsCzfs","properties":{"formattedCitation":"{\\scaps Observatoire de la la\\uc0\\u239{}cit\\uc0\\u233{}}, \\uc0\\u171{}\\uc0\\u160{}Avis sur la d\\uc0\\u233{}finition et l\\uc0\\u8217{}encadrement du fait religieux dans les structures priv\\uc0\\u233{}es qui assurent une mission d\\uc0\\u8217{}accueil des enfants\\uc0\\u160{}\\uc0\\u187{}, 15 octobre 2013, p. 8.","plainCitation":"Observatoire de la laïcité, « Avis sur la définition et l’encadrement du fait religieux dans les structures privées qui assurent une mission d’accueil des enfants », 15 octobre 2013, p. 8.","noteIndex":370},"citationItems":[{"id":153,"uris":["http://zotero.org/users/5133869/items/LUN78E2P"],"itemData":{"id":153,"type":"document","title":"Avis sur la définition et l’encadrement du fait religieux dans les structures privées qui assurent une mission d’accueil des enfants","author":[{"literal":"Observatoire de la laïcité"}],"issued":{"date-parts":[["2013",10,15]]}},"locator":"8"}],"schema":"https://github.com/citation-style-language/schema/raw/master/csl-citation.json"} </w:instrText>
      </w:r>
      <w:r w:rsidRPr="00022216">
        <w:fldChar w:fldCharType="separate"/>
      </w:r>
      <w:r w:rsidRPr="00022216">
        <w:rPr>
          <w:rFonts w:cs="Times New Roman"/>
          <w:smallCaps/>
          <w:szCs w:val="24"/>
        </w:rPr>
        <w:t>Observatoire de la laïcité</w:t>
      </w:r>
      <w:r w:rsidRPr="00022216">
        <w:rPr>
          <w:rFonts w:cs="Times New Roman"/>
          <w:szCs w:val="24"/>
        </w:rPr>
        <w:t>, « Avis sur la définition et l’encadrement du fait religieux dans les structures privées qui assurent une mission d’accueil des enfants », 15 octobre 2013, p. 8.</w:t>
      </w:r>
      <w:r w:rsidRPr="00022216">
        <w:fldChar w:fldCharType="end"/>
      </w:r>
      <w:r w:rsidRPr="00022216">
        <w:t xml:space="preserve"> Ces considérations s’appuient largement sur les propos de J.-L. </w:t>
      </w:r>
      <w:r w:rsidRPr="00022216">
        <w:rPr>
          <w:smallCaps/>
        </w:rPr>
        <w:t>Huglo</w:t>
      </w:r>
      <w:r w:rsidRPr="00022216">
        <w:t xml:space="preserve">, Rapporteur devant la chambre sociale de la Cour de cassation dans l’arrêt </w:t>
      </w:r>
      <w:r w:rsidRPr="008C3674">
        <w:rPr>
          <w:i/>
          <w:iCs/>
        </w:rPr>
        <w:t>Baby Loup</w:t>
      </w:r>
      <w:r>
        <w:fldChar w:fldCharType="begin"/>
      </w:r>
      <w:r>
        <w:instrText xml:space="preserve"> XE "</w:instrText>
      </w:r>
      <w:r w:rsidRPr="005F6D4C">
        <w:rPr>
          <w:rFonts w:ascii="Cambria" w:eastAsia="Times New Roman" w:hAnsi="Cambria" w:cs="Calibri"/>
          <w:i/>
          <w:iCs/>
          <w:color w:val="000000"/>
          <w:lang w:eastAsia="fr-BE"/>
        </w:rPr>
        <w:instrText>Baby Loup"</w:instrText>
      </w:r>
      <w:r>
        <w:instrText xml:space="preserve"> </w:instrText>
      </w:r>
      <w:r>
        <w:fldChar w:fldCharType="end"/>
      </w:r>
      <w:r w:rsidRPr="00022216">
        <w:t xml:space="preserve">, selon lequel la neutralité et la laïcité sont « le contraire de la tendance » </w:t>
      </w:r>
      <w:r w:rsidRPr="00022216">
        <w:fldChar w:fldCharType="begin"/>
      </w:r>
      <w:r>
        <w:instrText xml:space="preserve"> ADDIN ZOTERO_ITEM CSL_CITATION {"citationID":"HT7rQt4n","properties":{"formattedCitation":"(voy. \\uc0\\u171{}\\uc0\\u160{}Le juge ne tranche pas les questions de soci\\uc0\\u233{}t\\uc0\\u233{}\\uc0\\u160{}\\uc0\\u187{}, {\\i{}Semaine sociale Lamy}, mars 2013, p. 1577).","plainCitation":"(voy. « Le juge ne tranche pas les questions de société », Semaine sociale Lamy, mars 2013, p. 1577).","noteIndex":370},"citationItems":[{"id":112,"uris":["http://zotero.org/users/5133869/items/9JPSBZAV"],"itemData":{"id":112,"type":"article-journal","container-title":"Semaine sociale Lamy","page":"1577","title":"Le juge ne tranche pas les questions de société","author":[{"family":"Huglo","given":"Jean-Guy"}],"issued":{"date-parts":[["2013",3,25]]}},"suppress-author":true,"prefix":"(voy.","suffix":")"}],"schema":"https://github.com/citation-style-language/schema/raw/master/csl-citation.json"} </w:instrText>
      </w:r>
      <w:r w:rsidRPr="00022216">
        <w:fldChar w:fldCharType="separate"/>
      </w:r>
      <w:r w:rsidRPr="00022216">
        <w:rPr>
          <w:rFonts w:cs="Times New Roman"/>
          <w:szCs w:val="24"/>
        </w:rPr>
        <w:t>(</w:t>
      </w:r>
      <w:proofErr w:type="spellStart"/>
      <w:r w:rsidRPr="00022216">
        <w:rPr>
          <w:rFonts w:cs="Times New Roman"/>
          <w:szCs w:val="24"/>
        </w:rPr>
        <w:t>voy</w:t>
      </w:r>
      <w:proofErr w:type="spellEnd"/>
      <w:r w:rsidRPr="00022216">
        <w:rPr>
          <w:rFonts w:cs="Times New Roman"/>
          <w:szCs w:val="24"/>
        </w:rPr>
        <w:t xml:space="preserve">. « Le juge ne tranche pas les questions de société », </w:t>
      </w:r>
      <w:r w:rsidRPr="00022216">
        <w:rPr>
          <w:rFonts w:cs="Times New Roman"/>
          <w:i/>
          <w:iCs/>
          <w:szCs w:val="24"/>
        </w:rPr>
        <w:t>Semaine sociale Lamy</w:t>
      </w:r>
      <w:r w:rsidRPr="00022216">
        <w:rPr>
          <w:rFonts w:cs="Times New Roman"/>
          <w:szCs w:val="24"/>
        </w:rPr>
        <w:t>, mars 2013, p. 1577).</w:t>
      </w:r>
      <w:r w:rsidRPr="00022216">
        <w:fldChar w:fldCharType="end"/>
      </w:r>
    </w:p>
  </w:footnote>
  <w:footnote w:id="302">
    <w:p w14:paraId="3D7E025D" w14:textId="7A914E3B"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{"citationID":"57h2GuCW","properties":{"formattedCitation":"D. {\\scaps Lochak}, \\uc0\\u171{}\\uc0\\u160{}Entreprise et religion - Le cas de la France\\uc0\\u160{}\\uc0\\u187{}, {\\i{}Petites Affiches}, juillet 2013, n\\uc0\\u176{} 151.","plainCitation":"D. Lochak, « Entreprise et religion - Le cas de la France », Petites Affiches, juillet 2013, n° 151.","noteIndex":371},"citationItems":[{"id":2770,"uris":["http://zotero.org/users/5133869/items/BE28DSMG"],"itemData":{"id":2770,"type":"article-journal","container-title":"Petites Affiches","issue":"151","title":"Entreprise et religion - Le cas de la France","author":[{"family":"Lochak","given":"Danièle"}],"issued":{"date-parts":[["2013",7,30]]}}}],"schema":"https://github.com/citation-style-language/schema/raw/master/csl-citation.json"} </w:instrText>
      </w:r>
      <w:r w:rsidRPr="00022216">
        <w:fldChar w:fldCharType="separate"/>
      </w:r>
      <w:r w:rsidRPr="00022216">
        <w:rPr>
          <w:rFonts w:cs="Times New Roman"/>
          <w:szCs w:val="24"/>
        </w:rPr>
        <w:t xml:space="preserve">D. </w:t>
      </w:r>
      <w:proofErr w:type="spellStart"/>
      <w:r w:rsidRPr="00022216">
        <w:rPr>
          <w:rFonts w:cs="Times New Roman"/>
          <w:smallCaps/>
          <w:szCs w:val="24"/>
        </w:rPr>
        <w:t>Lochak</w:t>
      </w:r>
      <w:proofErr w:type="spellEnd"/>
      <w:r w:rsidRPr="00022216">
        <w:rPr>
          <w:rFonts w:cs="Times New Roman"/>
          <w:szCs w:val="24"/>
        </w:rPr>
        <w:t xml:space="preserve">, « Entreprise et religion - Le cas de la France », </w:t>
      </w:r>
      <w:r w:rsidRPr="00022216">
        <w:rPr>
          <w:rFonts w:cs="Times New Roman"/>
          <w:i/>
          <w:iCs/>
          <w:szCs w:val="24"/>
        </w:rPr>
        <w:t>Petites Affiches</w:t>
      </w:r>
      <w:r w:rsidRPr="00022216">
        <w:rPr>
          <w:rFonts w:cs="Times New Roman"/>
          <w:szCs w:val="24"/>
        </w:rPr>
        <w:t>, juillet 2013, n° 151.</w:t>
      </w:r>
      <w:r w:rsidRPr="00022216">
        <w:fldChar w:fldCharType="end"/>
      </w:r>
      <w:r>
        <w:t xml:space="preserve"> </w:t>
      </w:r>
      <w:r w:rsidRPr="00287674">
        <w:t xml:space="preserve">Comme le note </w:t>
      </w:r>
      <w:r>
        <w:t>J.</w:t>
      </w:r>
      <w:r w:rsidRPr="00287674">
        <w:t xml:space="preserve"> </w:t>
      </w:r>
      <w:r w:rsidRPr="008D517D">
        <w:rPr>
          <w:smallCaps/>
        </w:rPr>
        <w:t>Ringelheim</w:t>
      </w:r>
      <w:r w:rsidRPr="00287674">
        <w:t xml:space="preserve">, le renversement du sens de la notion serait complet : « d’absence de parti-pris, de réserve par rapport aux différentes philosophies de la vie, la neutralité devient une doctrine philosophique, une conception engagée, une conviction comparable aux convictions religieuses » </w:t>
      </w:r>
      <w:r w:rsidRPr="00022216">
        <w:fldChar w:fldCharType="begin"/>
      </w:r>
      <w:r>
        <w:instrText xml:space="preserve"> ADDIN ZOTERO_ITEM CSL_CITATION {"citationID":"TL9GzNSj","properties":{"formattedCitation":"(\\uc0\\u171{}\\uc0\\u160{}Le Conseil d\\uc0\\u8217{}\\uc0\\u201{}tat et l\\uc0\\u8217{}interdiction du port du voile par les enseignants\\uc0\\u8239{}: paradoxale neutralit\\uc0\\u233{}. Commentaire de l\\uc0\\u8217{}arr\\uc0\\u234{}t du Conseil d\\uc0\\u8217{}\\uc0\\u201{}tat n\\uc0\\u176{} 210.000 du 21 d\\uc0\\u233{}cembre 2010\\uc0\\u160{}\\uc0\\u187{}, {\\i{}Administration Publique}, 2012, n\\uc0\\u176{} 2, p. 383).","plainCitation":"(« Le Conseil d’État et l’interdiction du port du voile par les enseignants : paradoxale neutralité. Commentaire de l’arrêt du Conseil d’État n° 210.000 du 21 décembre 2010 », Administration Publique, 2012, n° 2, p. 383).","noteIndex":371},"citationItems":[{"id":1491,"uris":["http://zotero.org/users/5133869/items/T2DNFP8N"],"itemData":{"id":1491,"type":"article-journal","container-title":"Administration Publique","issue":"2","page":"342-384","title":"Le Conseil d’État et l’interdiction du port du voile par les enseignants : paradoxale neutralité. Commentaire de l’arrêt du Conseil d’État n° 210.000 du 21 décembre 2010","author":[{"family":"Ringelheim","given":"Julie"}],"issued":{"date-parts":[["2012"]]}},"locator":"383","label":"page","suppress-author":true,"prefix":"(","suffix":")"}],"schema":"https://github.com/citation-style-language/schema/raw/master/csl-citation.json"} </w:instrText>
      </w:r>
      <w:r w:rsidRPr="00022216">
        <w:fldChar w:fldCharType="separate"/>
      </w:r>
      <w:r w:rsidRPr="007E3660">
        <w:rPr>
          <w:rFonts w:cs="Times New Roman"/>
          <w:szCs w:val="24"/>
        </w:rPr>
        <w:t xml:space="preserve">(« Le Conseil d’État et l’interdiction du port du voile par les enseignants : paradoxale neutralité. Commentaire de l’arrêt du Conseil d’État n° 210.000 du 21 décembre 2010 », </w:t>
      </w:r>
      <w:r w:rsidRPr="007E3660">
        <w:rPr>
          <w:rFonts w:cs="Times New Roman"/>
          <w:i/>
          <w:iCs/>
          <w:szCs w:val="24"/>
        </w:rPr>
        <w:t>Administration Publique</w:t>
      </w:r>
      <w:r w:rsidRPr="007E3660">
        <w:rPr>
          <w:rFonts w:cs="Times New Roman"/>
          <w:szCs w:val="24"/>
        </w:rPr>
        <w:t>, 2012, n° 2, p. 383).</w:t>
      </w:r>
      <w:r w:rsidRPr="00022216">
        <w:fldChar w:fldCharType="end"/>
      </w:r>
      <w:r w:rsidRPr="00022216">
        <w:t xml:space="preserve"> En ce sens, </w:t>
      </w:r>
      <w:proofErr w:type="spellStart"/>
      <w:r w:rsidRPr="00022216">
        <w:t>voy</w:t>
      </w:r>
      <w:proofErr w:type="spellEnd"/>
      <w:r w:rsidRPr="00022216">
        <w:t xml:space="preserve">. </w:t>
      </w:r>
      <w:r w:rsidRPr="00022216">
        <w:fldChar w:fldCharType="begin"/>
      </w:r>
      <w:r>
        <w:instrText xml:space="preserve"> ADDIN ZOTERO_ITEM CSL_CITATION {"citationID":"7fu7SdN6","properties":{"formattedCitation":"J. {\\scaps Jacqmain}, \\uc0\\u171{}\\uc0\\u160{}Les lois anti-discriminations, services publics compris\\uc0\\u160{}\\uc0\\u187{}, {\\i{}in} C. {\\scaps Bayart}, S. {\\scaps van}\\uc0\\u160{}{\\scaps Drooghenbroeck} et S. {\\scaps Sottiaux} (\\uc0\\u233{}ds.), {\\i{}Les nouvelles lois luttant contre la discrimination}, Bruges, La Charte, 2008, p. 603.","plainCitation":"J. Jacqmain, « Les lois anti-discriminations, services publics compris », in C. Bayart, S. van Drooghenbroeck et S. Sottiaux (éds.), Les nouvelles lois luttant contre la discrimination, Bruges, La Charte, 2008, p. 603.","noteIndex":372},"citationItems":[{"id":2778,"uris":["http://zotero.org/users/5133869/items/TF985IE2"],"itemData":{"id":2778,"type":"chapter","container-title":"Les nouvelles lois luttant contre la discrimination","event-place":"Bruges","page":"597-623","publisher":"La Charte","publisher-place":"Bruges","title":"Les lois anti-discriminations, services publics compris","editor":[{"family":"Bayart","given":"Christian"},{"family":"Drooghenbroeck","given":"Sébastien","non-dropping-particle":"van"},{"family":"Sottiaux","given":"S"}],"author":[{"family":"Jacqmain","given":"Jean"}],"issued":{"date-parts":[["2008"]]}},"locator":"603"}],"schema":"https://github.com/citation-style-language/schema/raw/master/csl-citation.json"} </w:instrText>
      </w:r>
      <w:r w:rsidRPr="00022216">
        <w:fldChar w:fldCharType="separate"/>
      </w:r>
      <w:r w:rsidRPr="00990391">
        <w:rPr>
          <w:rFonts w:cs="Times New Roman"/>
          <w:szCs w:val="24"/>
        </w:rPr>
        <w:t xml:space="preserve">J. </w:t>
      </w:r>
      <w:proofErr w:type="spellStart"/>
      <w:r w:rsidRPr="00990391">
        <w:rPr>
          <w:rFonts w:cs="Times New Roman"/>
          <w:smallCaps/>
          <w:szCs w:val="24"/>
        </w:rPr>
        <w:t>Jacqmain</w:t>
      </w:r>
      <w:proofErr w:type="spellEnd"/>
      <w:r w:rsidRPr="00990391">
        <w:rPr>
          <w:rFonts w:cs="Times New Roman"/>
          <w:szCs w:val="24"/>
        </w:rPr>
        <w:t xml:space="preserve">, « Les lois anti-discriminations, services publics compris », </w:t>
      </w:r>
      <w:r w:rsidRPr="00990391">
        <w:rPr>
          <w:rFonts w:cs="Times New Roman"/>
          <w:i/>
          <w:iCs/>
          <w:szCs w:val="24"/>
        </w:rPr>
        <w:t>in</w:t>
      </w:r>
      <w:r w:rsidRPr="00990391">
        <w:rPr>
          <w:rFonts w:cs="Times New Roman"/>
          <w:szCs w:val="24"/>
        </w:rPr>
        <w:t xml:space="preserve"> C. </w:t>
      </w:r>
      <w:r w:rsidRPr="00990391">
        <w:rPr>
          <w:rFonts w:cs="Times New Roman"/>
          <w:smallCaps/>
          <w:szCs w:val="24"/>
        </w:rPr>
        <w:t>Bayart</w:t>
      </w:r>
      <w:r w:rsidRPr="00990391">
        <w:rPr>
          <w:rFonts w:cs="Times New Roman"/>
          <w:szCs w:val="24"/>
        </w:rPr>
        <w:t xml:space="preserve">, S. </w:t>
      </w:r>
      <w:r w:rsidRPr="00990391">
        <w:rPr>
          <w:rFonts w:cs="Times New Roman"/>
          <w:smallCaps/>
          <w:szCs w:val="24"/>
        </w:rPr>
        <w:t>van</w:t>
      </w:r>
      <w:r w:rsidRPr="00990391">
        <w:rPr>
          <w:rFonts w:cs="Times New Roman"/>
          <w:szCs w:val="24"/>
        </w:rPr>
        <w:t> </w:t>
      </w:r>
      <w:proofErr w:type="spellStart"/>
      <w:r w:rsidRPr="00990391">
        <w:rPr>
          <w:rFonts w:cs="Times New Roman"/>
          <w:smallCaps/>
          <w:szCs w:val="24"/>
        </w:rPr>
        <w:t>Drooghenbroeck</w:t>
      </w:r>
      <w:proofErr w:type="spellEnd"/>
      <w:r w:rsidRPr="00990391">
        <w:rPr>
          <w:rFonts w:cs="Times New Roman"/>
          <w:szCs w:val="24"/>
        </w:rPr>
        <w:t xml:space="preserve"> et S. </w:t>
      </w:r>
      <w:proofErr w:type="spellStart"/>
      <w:r w:rsidRPr="00990391">
        <w:rPr>
          <w:rFonts w:cs="Times New Roman"/>
          <w:smallCaps/>
          <w:szCs w:val="24"/>
        </w:rPr>
        <w:t>Sottiaux</w:t>
      </w:r>
      <w:proofErr w:type="spellEnd"/>
      <w:r w:rsidRPr="00990391">
        <w:rPr>
          <w:rFonts w:cs="Times New Roman"/>
          <w:szCs w:val="24"/>
        </w:rPr>
        <w:t xml:space="preserve"> (</w:t>
      </w:r>
      <w:proofErr w:type="spellStart"/>
      <w:r w:rsidRPr="00990391">
        <w:rPr>
          <w:rFonts w:cs="Times New Roman"/>
          <w:szCs w:val="24"/>
        </w:rPr>
        <w:t>éds</w:t>
      </w:r>
      <w:proofErr w:type="spellEnd"/>
      <w:r w:rsidRPr="00990391">
        <w:rPr>
          <w:rFonts w:cs="Times New Roman"/>
          <w:szCs w:val="24"/>
        </w:rPr>
        <w:t xml:space="preserve">.), </w:t>
      </w:r>
      <w:r w:rsidRPr="00990391">
        <w:rPr>
          <w:rFonts w:cs="Times New Roman"/>
          <w:i/>
          <w:iCs/>
          <w:szCs w:val="24"/>
        </w:rPr>
        <w:t>Les nouvelles lois luttant contre la discrimination</w:t>
      </w:r>
      <w:r w:rsidRPr="00990391">
        <w:rPr>
          <w:rFonts w:cs="Times New Roman"/>
          <w:szCs w:val="24"/>
        </w:rPr>
        <w:t>, Bruges, La Charte, 2008, p. 603.</w:t>
      </w:r>
      <w:r w:rsidRPr="00022216">
        <w:fldChar w:fldCharType="end"/>
      </w:r>
    </w:p>
  </w:footnote>
  <w:footnote w:id="303">
    <w:p w14:paraId="73D9DAB3" w14:textId="78035BEE" w:rsidR="000D6C77" w:rsidRPr="00022216" w:rsidRDefault="000D6C77" w:rsidP="00233D39">
      <w:pPr>
        <w:pStyle w:val="Notedebasdepage"/>
      </w:pPr>
      <w:r w:rsidRPr="00022216">
        <w:rPr>
          <w:rStyle w:val="Appelnotedebasdep"/>
        </w:rPr>
        <w:footnoteRef/>
      </w:r>
      <w:r w:rsidRPr="00022216">
        <w:t xml:space="preserve"> En ce sens, </w:t>
      </w:r>
      <w:proofErr w:type="spellStart"/>
      <w:r w:rsidRPr="00022216">
        <w:t>voy</w:t>
      </w:r>
      <w:proofErr w:type="spellEnd"/>
      <w:r w:rsidRPr="00022216">
        <w:t xml:space="preserve">. </w:t>
      </w:r>
      <w:r w:rsidRPr="00022216">
        <w:fldChar w:fldCharType="begin"/>
      </w:r>
      <w:r>
        <w:instrText xml:space="preserve"> ADDIN ZOTERO_ITEM CSL_CITATION {"citationID":"RqaqkgtC","properties":{"formattedCitation":"N. {\\scaps Cad\\uc0\\u232{}ne}, \\uc0\\u171{}\\uc0\\u160{}Le silence religieux dans l\\uc0\\u8217{}entreprise. Pr\\uc0\\u233{}sentation g\\uc0\\u233{}n\\uc0\\u233{}rale\\uc0\\u160{}\\uc0\\u187{}, {\\i{}La Semaine Juridique - Edition Sociale}, septembre 2017, n\\uc0\\u176{} 35, p. 1260.","plainCitation":"N. Cadène, « Le silence religieux dans l’entreprise. Présentation générale », La Semaine Juridique - Edition Sociale, septembre 2017, n° 35, p. 1260.","noteIndex":373},"citationItems":[{"id":201,"uris":["http://zotero.org/users/5133869/items/6RMM9845"],"itemData":{"id":201,"type":"article-journal","container-title":"La Semaine Juridique - Edition Sociale","issue":"35","page":"1260","title":"Le silence religieux dans l’entreprise. Présentation générale","author":[{"family":"Cadène","given":"Nicolas"}],"issued":{"date-parts":[["2017",9,5]]}}}],"schema":"https://github.com/citation-style-language/schema/raw/master/csl-citation.json"} </w:instrText>
      </w:r>
      <w:r w:rsidRPr="00022216">
        <w:fldChar w:fldCharType="separate"/>
      </w:r>
      <w:r w:rsidRPr="00D57414">
        <w:rPr>
          <w:rFonts w:cs="Times New Roman"/>
          <w:szCs w:val="24"/>
        </w:rPr>
        <w:t xml:space="preserve">N. </w:t>
      </w:r>
      <w:r w:rsidRPr="00D57414">
        <w:rPr>
          <w:rFonts w:cs="Times New Roman"/>
          <w:smallCaps/>
          <w:szCs w:val="24"/>
        </w:rPr>
        <w:t>Cadène</w:t>
      </w:r>
      <w:r w:rsidRPr="00D57414">
        <w:rPr>
          <w:rFonts w:cs="Times New Roman"/>
          <w:szCs w:val="24"/>
        </w:rPr>
        <w:t xml:space="preserve">, « Le silence religieux dans l’entreprise. Présentation générale », </w:t>
      </w:r>
      <w:r w:rsidRPr="00D57414">
        <w:rPr>
          <w:rFonts w:cs="Times New Roman"/>
          <w:i/>
          <w:iCs/>
          <w:szCs w:val="24"/>
        </w:rPr>
        <w:t>La Semaine Juridique - Edition Sociale</w:t>
      </w:r>
      <w:r w:rsidRPr="00D57414">
        <w:rPr>
          <w:rFonts w:cs="Times New Roman"/>
          <w:szCs w:val="24"/>
        </w:rPr>
        <w:t>, septembre 2017, n° 35, p. 1260.</w:t>
      </w:r>
      <w:r w:rsidRPr="00022216">
        <w:fldChar w:fldCharType="end"/>
      </w:r>
    </w:p>
  </w:footnote>
  <w:footnote w:id="304">
    <w:p w14:paraId="07A7FBF1" w14:textId="76FCD91B" w:rsidR="000D6C77" w:rsidRPr="00233D39" w:rsidRDefault="000D6C77" w:rsidP="00233D39">
      <w:pPr>
        <w:pStyle w:val="Notedebasdepage"/>
        <w:rPr>
          <w:lang w:val="en-GB"/>
        </w:rPr>
      </w:pPr>
      <w:r w:rsidRPr="00022216">
        <w:rPr>
          <w:rStyle w:val="Appelnotedebasdep"/>
        </w:rPr>
        <w:footnoteRef/>
      </w:r>
      <w:r w:rsidRPr="00022216">
        <w:t xml:space="preserve"> </w:t>
      </w:r>
      <w:r>
        <w:t>CourEDH</w:t>
      </w:r>
      <w:r w:rsidRPr="00022216">
        <w:t xml:space="preserve">, arrêt </w:t>
      </w:r>
      <w:proofErr w:type="spellStart"/>
      <w:r w:rsidRPr="00022216">
        <w:rPr>
          <w:i/>
          <w:iCs/>
        </w:rPr>
        <w:t>Kokkinakis</w:t>
      </w:r>
      <w:proofErr w:type="spellEnd"/>
      <w:r w:rsidRPr="00022216">
        <w:t>, para. 31 : « [telle] que la protège l’article 9, la liberté de pensée, de conscience</w:t>
      </w:r>
      <w:r>
        <w:fldChar w:fldCharType="begin"/>
      </w:r>
      <w:r>
        <w:instrText xml:space="preserve"> XE "</w:instrText>
      </w:r>
      <w:r w:rsidRPr="005F6D4C">
        <w:rPr>
          <w:rFonts w:ascii="Cambria" w:eastAsia="Times New Roman" w:hAnsi="Cambria" w:cs="Calibri"/>
          <w:color w:val="000000"/>
          <w:lang w:eastAsia="fr-BE"/>
        </w:rPr>
        <w:instrText>Conscience"</w:instrText>
      </w:r>
      <w:r>
        <w:instrText xml:space="preserve"> </w:instrText>
      </w:r>
      <w:r>
        <w:fldChar w:fldCharType="end"/>
      </w:r>
      <w:r w:rsidRPr="00022216">
        <w:t xml:space="preserve"> et de religion […] est aussi un bien précieux pour les athées, les agnostiques, les sceptiques ou les indifférents » ; arrêt </w:t>
      </w:r>
      <w:proofErr w:type="spellStart"/>
      <w:r w:rsidRPr="00022216">
        <w:rPr>
          <w:i/>
          <w:iCs/>
        </w:rPr>
        <w:t>Lautsi</w:t>
      </w:r>
      <w:proofErr w:type="spellEnd"/>
      <w:r w:rsidRPr="00022216">
        <w:rPr>
          <w:i/>
          <w:iCs/>
        </w:rPr>
        <w:t xml:space="preserve"> e.a. c. Italie</w:t>
      </w:r>
      <w:r w:rsidRPr="00022216">
        <w:t xml:space="preserve">, 18 mars 2011, </w:t>
      </w:r>
      <w:proofErr w:type="spellStart"/>
      <w:r w:rsidRPr="00022216">
        <w:t>req</w:t>
      </w:r>
      <w:proofErr w:type="spellEnd"/>
      <w:r w:rsidRPr="00022216">
        <w:t>. n° 30814/06, para. 58 : « les partisans de la laïcité sont en mesure de se prévaloir de vues atteignant le "degré de force, de sérieux, de cohérence et d'importance" requis pour qu'il s'agisse de "convictions"</w:t>
      </w:r>
      <w:r>
        <w:t> »</w:t>
      </w:r>
      <w:r w:rsidRPr="00022216">
        <w:t xml:space="preserve">. En ce sens, </w:t>
      </w:r>
      <w:proofErr w:type="spellStart"/>
      <w:r w:rsidRPr="00022216">
        <w:t>voy</w:t>
      </w:r>
      <w:proofErr w:type="spellEnd"/>
      <w:r w:rsidRPr="00022216">
        <w:t xml:space="preserve">. </w:t>
      </w:r>
      <w:r w:rsidRPr="00022216">
        <w:fldChar w:fldCharType="begin"/>
      </w:r>
      <w:r>
        <w:instrText xml:space="preserve"> ADDIN ZOTERO_ITEM CSL_CITATION {"citationID":"I7AYEjgt","properties":{"formattedCitation":"J. {\\scaps Maclure} et C. {\\scaps Taylor}, {\\i{}La\\uc0\\u239{}cit\\uc0\\u233{} et libert\\uc0\\u233{} de conscience}, {\\i{}op. cit.}, pp. 120\\uc0\\u8209{}123\\uc0\\u160{}; R. {\\scaps Dworkin}, {\\i{}Religion without God}, Cambridge, Massachusetts, Harvard University Press, 2013.","plainCitation":"J. Maclure et C. Taylor, Laïcité et liberté de conscience, op. cit., pp. 120‑123 ; R. Dworkin, Religion without God, Cambridge, Massachusetts, Harvard University Press, 2013.","noteIndex":374},"citationItems":[{"id":973,"uris":["http://zotero.org/users/5133869/items/LVFF94XT"],"itemData":{"id":973,"type":"book","event-place":"Paris","ISBN":"978-2-7071-6647-0","language":"French","note":"OCLC: 1025706332","publisher":"La Découverte","publisher-place":"Paris","source":"Open WorldCat","title":"Laïcité et liberté de conscience","author":[{"family":"Maclure","given":"Jocelyn"},{"family":"Taylor","given":"Charles"}],"issued":{"date-parts":[["2010"]]}},"locator":"120-123"},{"id":909,"uris":["http://zotero.org/users/5133869/items/IHQCJUJ9"],"itemData":{"id":909,"type":"book","call-number":"BL51 .D96 2013","event-place":"Cambridge, Massachusetts","ISBN":"978-0-674-72682-6","number-of-pages":"180","publisher":"Harvard University Press","publisher-place":"Cambridge, Massachusetts","source":"Library of Congress ISBN","title":"Religion without God","author":[{"family":"Dworkin","given":"Ronald"}],"issued":{"date-parts":[["2013"]]}}}],"schema":"https://github.com/citation-style-language/schema/raw/master/csl-citation.json"} </w:instrText>
      </w:r>
      <w:r w:rsidRPr="00022216">
        <w:fldChar w:fldCharType="separate"/>
      </w:r>
      <w:r w:rsidRPr="00E74ED6">
        <w:rPr>
          <w:rFonts w:cs="Times New Roman"/>
          <w:szCs w:val="24"/>
        </w:rPr>
        <w:t xml:space="preserve">J. </w:t>
      </w:r>
      <w:r w:rsidRPr="00E74ED6">
        <w:rPr>
          <w:rFonts w:cs="Times New Roman"/>
          <w:smallCaps/>
          <w:szCs w:val="24"/>
        </w:rPr>
        <w:t>Maclure</w:t>
      </w:r>
      <w:r w:rsidRPr="00E74ED6">
        <w:rPr>
          <w:rFonts w:cs="Times New Roman"/>
          <w:szCs w:val="24"/>
        </w:rPr>
        <w:t xml:space="preserve"> et C. </w:t>
      </w:r>
      <w:r w:rsidRPr="00E74ED6">
        <w:rPr>
          <w:rFonts w:cs="Times New Roman"/>
          <w:smallCaps/>
          <w:szCs w:val="24"/>
        </w:rPr>
        <w:t>Taylor</w:t>
      </w:r>
      <w:r w:rsidRPr="00E74ED6">
        <w:rPr>
          <w:rFonts w:cs="Times New Roman"/>
          <w:szCs w:val="24"/>
        </w:rPr>
        <w:t xml:space="preserve">, </w:t>
      </w:r>
      <w:r w:rsidRPr="00E74ED6">
        <w:rPr>
          <w:rFonts w:cs="Times New Roman"/>
          <w:i/>
          <w:iCs/>
          <w:szCs w:val="24"/>
        </w:rPr>
        <w:t>Laïcité et liberté de conscience</w:t>
      </w:r>
      <w:r w:rsidRPr="00E74ED6">
        <w:rPr>
          <w:rFonts w:cs="Times New Roman"/>
          <w:szCs w:val="24"/>
        </w:rPr>
        <w:t xml:space="preserve">, </w:t>
      </w:r>
      <w:r w:rsidRPr="00E74ED6">
        <w:rPr>
          <w:rFonts w:cs="Times New Roman"/>
          <w:i/>
          <w:iCs/>
          <w:szCs w:val="24"/>
        </w:rPr>
        <w:t xml:space="preserve">op. </w:t>
      </w:r>
      <w:proofErr w:type="spellStart"/>
      <w:r w:rsidRPr="00E74ED6">
        <w:rPr>
          <w:rFonts w:cs="Times New Roman"/>
          <w:i/>
          <w:iCs/>
          <w:szCs w:val="24"/>
        </w:rPr>
        <w:t>cit</w:t>
      </w:r>
      <w:proofErr w:type="spellEnd"/>
      <w:r w:rsidRPr="00E74ED6">
        <w:rPr>
          <w:rFonts w:cs="Times New Roman"/>
          <w:i/>
          <w:iCs/>
          <w:szCs w:val="24"/>
        </w:rPr>
        <w:t>.</w:t>
      </w:r>
      <w:r w:rsidRPr="00E74ED6">
        <w:rPr>
          <w:rFonts w:cs="Times New Roman"/>
          <w:szCs w:val="24"/>
        </w:rPr>
        <w:t xml:space="preserve">, pp. 120‑123 ; R. </w:t>
      </w:r>
      <w:proofErr w:type="spellStart"/>
      <w:r w:rsidRPr="00E74ED6">
        <w:rPr>
          <w:rFonts w:cs="Times New Roman"/>
          <w:smallCaps/>
          <w:szCs w:val="24"/>
        </w:rPr>
        <w:t>Dworkin</w:t>
      </w:r>
      <w:proofErr w:type="spellEnd"/>
      <w:r w:rsidRPr="00E74ED6">
        <w:rPr>
          <w:rFonts w:cs="Times New Roman"/>
          <w:szCs w:val="24"/>
        </w:rPr>
        <w:t xml:space="preserve">, </w:t>
      </w:r>
      <w:r w:rsidRPr="00E74ED6">
        <w:rPr>
          <w:rFonts w:cs="Times New Roman"/>
          <w:i/>
          <w:iCs/>
          <w:szCs w:val="24"/>
        </w:rPr>
        <w:t xml:space="preserve">Religion </w:t>
      </w:r>
      <w:proofErr w:type="spellStart"/>
      <w:r w:rsidRPr="00E74ED6">
        <w:rPr>
          <w:rFonts w:cs="Times New Roman"/>
          <w:i/>
          <w:iCs/>
          <w:szCs w:val="24"/>
        </w:rPr>
        <w:t>without</w:t>
      </w:r>
      <w:proofErr w:type="spellEnd"/>
      <w:r w:rsidRPr="00E74ED6">
        <w:rPr>
          <w:rFonts w:cs="Times New Roman"/>
          <w:i/>
          <w:iCs/>
          <w:szCs w:val="24"/>
        </w:rPr>
        <w:t xml:space="preserve"> </w:t>
      </w:r>
      <w:proofErr w:type="spellStart"/>
      <w:r w:rsidRPr="00E74ED6">
        <w:rPr>
          <w:rFonts w:cs="Times New Roman"/>
          <w:i/>
          <w:iCs/>
          <w:szCs w:val="24"/>
        </w:rPr>
        <w:t>God</w:t>
      </w:r>
      <w:proofErr w:type="spellEnd"/>
      <w:r w:rsidRPr="00E74ED6">
        <w:rPr>
          <w:rFonts w:cs="Times New Roman"/>
          <w:szCs w:val="24"/>
        </w:rPr>
        <w:t xml:space="preserve">, Cambridge, Massachusetts, Harvard </w:t>
      </w:r>
      <w:proofErr w:type="spellStart"/>
      <w:r w:rsidRPr="00E74ED6">
        <w:rPr>
          <w:rFonts w:cs="Times New Roman"/>
          <w:szCs w:val="24"/>
        </w:rPr>
        <w:t>University</w:t>
      </w:r>
      <w:proofErr w:type="spellEnd"/>
      <w:r w:rsidRPr="00E74ED6">
        <w:rPr>
          <w:rFonts w:cs="Times New Roman"/>
          <w:szCs w:val="24"/>
        </w:rPr>
        <w:t xml:space="preserve"> </w:t>
      </w:r>
      <w:proofErr w:type="spellStart"/>
      <w:r w:rsidRPr="00E74ED6">
        <w:rPr>
          <w:rFonts w:cs="Times New Roman"/>
          <w:szCs w:val="24"/>
        </w:rPr>
        <w:t>Press</w:t>
      </w:r>
      <w:proofErr w:type="spellEnd"/>
      <w:r w:rsidRPr="00E74ED6">
        <w:rPr>
          <w:rFonts w:cs="Times New Roman"/>
          <w:szCs w:val="24"/>
        </w:rPr>
        <w:t>, 2013.</w:t>
      </w:r>
      <w:r w:rsidRPr="00022216">
        <w:fldChar w:fldCharType="end"/>
      </w:r>
      <w:r w:rsidRPr="00022216">
        <w:t xml:space="preserve"> </w:t>
      </w:r>
      <w:r w:rsidRPr="00233D39">
        <w:rPr>
          <w:i/>
          <w:iCs/>
          <w:lang w:val="en-GB"/>
        </w:rPr>
        <w:t>Contra</w:t>
      </w:r>
      <w:r w:rsidRPr="00233D39">
        <w:rPr>
          <w:lang w:val="en-GB"/>
        </w:rPr>
        <w:t xml:space="preserve">, </w:t>
      </w:r>
      <w:proofErr w:type="spellStart"/>
      <w:r w:rsidRPr="00233D39">
        <w:rPr>
          <w:lang w:val="en-GB"/>
        </w:rPr>
        <w:t>voy</w:t>
      </w:r>
      <w:proofErr w:type="spellEnd"/>
      <w:r w:rsidRPr="00233D39">
        <w:rPr>
          <w:lang w:val="en-GB"/>
        </w:rPr>
        <w:t xml:space="preserve">. </w:t>
      </w:r>
      <w:r w:rsidRPr="00022216">
        <w:fldChar w:fldCharType="begin"/>
      </w:r>
      <w:r>
        <w:rPr>
          <w:lang w:val="en-GB"/>
        </w:rPr>
        <w:instrText xml:space="preserve"> ADDIN ZOTERO_ITEM CSL_CITATION {"citationID":"t3Ft2Wns","properties":{"formattedCitation":"C. {\\scaps Laborde}, \\uc0\\u171{}\\uc0\\u160{}Dworkin\\uc0\\u8217{}s Freedom of Religion Without God\\uc0\\u160{}\\uc0\\u187{}, {\\i{}Boston University Law Review}, 2014, vol. 94, pp. 1255\\uc0\\u8209{}1271.","plainCitation":"C. Laborde, « Dworkin’s Freedom of Religion Without God », Boston University Law Review, 2014, vol. 94, pp. 1255‑1271.","noteIndex":374},"citationItems":[{"id":1806,"uris":["http://zotero.org/users/5133869/items/XS6SWANF"],"itemData":{"id":1806,"type":"article-journal","container-title":"Boston University Law Review","page":"1255-1271","title":"Dworkin's Freedom of Religion Without God","volume":"94","author":[{"family":"Laborde","given":"Cécile"}],"issued":{"date-parts":[["2014"]]}}}],"schema":"https://github.com/citation-style-language/schema/raw/master/csl-citation.json"} </w:instrText>
      </w:r>
      <w:r w:rsidRPr="00022216">
        <w:fldChar w:fldCharType="separate"/>
      </w:r>
      <w:r w:rsidRPr="00233D39">
        <w:rPr>
          <w:rFonts w:cs="Times New Roman"/>
          <w:szCs w:val="24"/>
          <w:lang w:val="en-GB"/>
        </w:rPr>
        <w:t xml:space="preserve">C. </w:t>
      </w:r>
      <w:r w:rsidRPr="00233D39">
        <w:rPr>
          <w:rFonts w:cs="Times New Roman"/>
          <w:smallCaps/>
          <w:szCs w:val="24"/>
          <w:lang w:val="en-GB"/>
        </w:rPr>
        <w:t>Laborde</w:t>
      </w:r>
      <w:r w:rsidRPr="00233D39">
        <w:rPr>
          <w:rFonts w:cs="Times New Roman"/>
          <w:szCs w:val="24"/>
          <w:lang w:val="en-GB"/>
        </w:rPr>
        <w:t xml:space="preserve">, « Dworkin’s Freedom of Religion Without God », </w:t>
      </w:r>
      <w:r w:rsidRPr="00233D39">
        <w:rPr>
          <w:rFonts w:cs="Times New Roman"/>
          <w:i/>
          <w:iCs/>
          <w:szCs w:val="24"/>
          <w:lang w:val="en-GB"/>
        </w:rPr>
        <w:t>Boston University Law Review</w:t>
      </w:r>
      <w:r w:rsidRPr="00233D39">
        <w:rPr>
          <w:rFonts w:cs="Times New Roman"/>
          <w:szCs w:val="24"/>
          <w:lang w:val="en-GB"/>
        </w:rPr>
        <w:t>, 2014, vol. 94, pp. 1255‑1271.</w:t>
      </w:r>
      <w:r w:rsidRPr="00022216">
        <w:fldChar w:fldCharType="end"/>
      </w:r>
    </w:p>
  </w:footnote>
  <w:footnote w:id="305">
    <w:p w14:paraId="52790A37" w14:textId="040ED528"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{"citationID":"Q4aW8Lms","properties":{"formattedCitation":"G. {\\scaps Calv\\uc0\\u232{}s}, \\uc0\\u171{}\\uc0\\u160{}La chambre sociale de la Cour de Cassation face \\uc0\\u224{} l\\uc0\\u8217{}affaire Baby Loup\\uc0\\u8239{}: Trois le\\uc0\\u231{}ons de droit, et un silence assourdissant\\uc0\\u160{}\\uc0\\u187{}, {\\i{}Res Publica}, mars 2013.","plainCitation":"G. Calvès, « La chambre sociale de la Cour de Cassation face à l’affaire Baby Loup : Trois leçons de droit, et un silence assourdissant », Res Publica, mars 2013.","noteIndex":381},"citationItems":[{"id":1321,"uris":["http://zotero.org/users/5133869/items/NNMJ8VPF"],"itemData":{"id":1321,"type":"article-journal","container-title":"Res Publica","title":"La chambre sociale de la Cour de Cassation face à l’affaire Baby Loup : Trois leçons de droit, et un silence assourdissant","author":[{"family":"Calvès","given":"Gwénaële"}],"issued":{"date-parts":[["2013",3,21]]}}}],"schema":"https://github.com/citation-style-language/schema/raw/master/csl-citation.json"} </w:instrText>
      </w:r>
      <w:r w:rsidRPr="00022216">
        <w:fldChar w:fldCharType="separate"/>
      </w:r>
      <w:r w:rsidRPr="00547C20">
        <w:rPr>
          <w:rFonts w:cs="Times New Roman"/>
          <w:szCs w:val="24"/>
        </w:rPr>
        <w:t xml:space="preserve">G. </w:t>
      </w:r>
      <w:r w:rsidRPr="00547C20">
        <w:rPr>
          <w:rFonts w:cs="Times New Roman"/>
          <w:smallCaps/>
          <w:szCs w:val="24"/>
        </w:rPr>
        <w:t>Calvès</w:t>
      </w:r>
      <w:r w:rsidRPr="00547C20">
        <w:rPr>
          <w:rFonts w:cs="Times New Roman"/>
          <w:szCs w:val="24"/>
        </w:rPr>
        <w:t xml:space="preserve">, « La chambre sociale de la Cour de Cassation face à l’affaire Baby Loup : Trois leçons de droit, et un silence assourdissant », </w:t>
      </w:r>
      <w:proofErr w:type="spellStart"/>
      <w:r w:rsidRPr="00547C20">
        <w:rPr>
          <w:rFonts w:cs="Times New Roman"/>
          <w:i/>
          <w:iCs/>
          <w:szCs w:val="24"/>
        </w:rPr>
        <w:t>Res</w:t>
      </w:r>
      <w:proofErr w:type="spellEnd"/>
      <w:r w:rsidRPr="00547C20">
        <w:rPr>
          <w:rFonts w:cs="Times New Roman"/>
          <w:i/>
          <w:iCs/>
          <w:szCs w:val="24"/>
        </w:rPr>
        <w:t xml:space="preserve"> Publica</w:t>
      </w:r>
      <w:r w:rsidRPr="00547C20">
        <w:rPr>
          <w:rFonts w:cs="Times New Roman"/>
          <w:szCs w:val="24"/>
        </w:rPr>
        <w:t>, mars 2013.</w:t>
      </w:r>
      <w:r w:rsidRPr="00022216">
        <w:fldChar w:fldCharType="end"/>
      </w:r>
      <w:r>
        <w:t xml:space="preserve"> En ce sens, </w:t>
      </w:r>
      <w:proofErr w:type="spellStart"/>
      <w:r>
        <w:t>voy</w:t>
      </w:r>
      <w:proofErr w:type="spellEnd"/>
      <w:r>
        <w:t xml:space="preserve">. </w:t>
      </w:r>
      <w:r>
        <w:fldChar w:fldCharType="begin"/>
      </w:r>
      <w:r>
        <w:instrText xml:space="preserve"> ADDIN ZOTERO_ITEM CSL_CITATION {"citationID":"t46ASMll","properties":{"formattedCitation":"G. {\\scaps Gonzalez}, \\uc0\\u171{}\\uc0\\u160{}Libert\\uc0\\u233{} de religion au sein de l\\uc0\\u8217{}entreprise\\uc0\\u160{}\\uc0\\u187{}, {\\i{}in} L. {\\scaps Milano} (\\uc0\\u233{}d.), {\\i{}Convention europ\\uc0\\u233{}enne des droits de l\\uc0\\u8217{}homme et droit de l\\uc0\\u8217{}entreprise}, Louvain-la-Neuve, Anthemis, 2016, p. 78.","plainCitation":"G. Gonzalez, « Liberté de religion au sein de l’entreprise », in L. Milano (éd.), Convention européenne des droits de l’homme et droit de l’entreprise, Louvain-la-Neuve, Anthemis, 2016, p. 78.","noteIndex":375},"citationItems":[{"id":1230,"uris":["http://zotero.org/users/5133869/items/JZ5YQ62Y"],"itemData":{"id":1230,"type":"chapter","container-title":"Convention européenne des droits de l'homme et droit de l'entreprise","event-place":"Louvain-la-Neuve","page":"61-81","publisher":"Anthemis","publisher-place":"Louvain-la-Neuve","title":"Liberté de religion au sein de l'entreprise","author":[{"family":"Gonzalez","given":"Gérard"}],"editor":[{"family":"Milano","given":"L"}],"issued":{"date-parts":[["2016"]]}},"locator":"78"}],"schema":"https://github.com/citation-style-language/schema/raw/master/csl-citation.json"} </w:instrText>
      </w:r>
      <w:r>
        <w:fldChar w:fldCharType="separate"/>
      </w:r>
      <w:r w:rsidRPr="00D57414">
        <w:rPr>
          <w:rFonts w:cs="Times New Roman"/>
          <w:szCs w:val="24"/>
        </w:rPr>
        <w:t xml:space="preserve">G. </w:t>
      </w:r>
      <w:r w:rsidRPr="00D57414">
        <w:rPr>
          <w:rFonts w:cs="Times New Roman"/>
          <w:smallCaps/>
          <w:szCs w:val="24"/>
        </w:rPr>
        <w:t>Gonzalez</w:t>
      </w:r>
      <w:r w:rsidRPr="00D57414">
        <w:rPr>
          <w:rFonts w:cs="Times New Roman"/>
          <w:szCs w:val="24"/>
        </w:rPr>
        <w:t xml:space="preserve">, « Liberté de religion au sein de l’entreprise », </w:t>
      </w:r>
      <w:r w:rsidRPr="00D57414">
        <w:rPr>
          <w:rFonts w:cs="Times New Roman"/>
          <w:i/>
          <w:iCs/>
          <w:szCs w:val="24"/>
        </w:rPr>
        <w:t>in</w:t>
      </w:r>
      <w:r w:rsidRPr="00D57414">
        <w:rPr>
          <w:rFonts w:cs="Times New Roman"/>
          <w:szCs w:val="24"/>
        </w:rPr>
        <w:t xml:space="preserve"> L. </w:t>
      </w:r>
      <w:r w:rsidRPr="00D57414">
        <w:rPr>
          <w:rFonts w:cs="Times New Roman"/>
          <w:smallCaps/>
          <w:szCs w:val="24"/>
        </w:rPr>
        <w:t>Milano</w:t>
      </w:r>
      <w:r w:rsidRPr="00D57414">
        <w:rPr>
          <w:rFonts w:cs="Times New Roman"/>
          <w:szCs w:val="24"/>
        </w:rPr>
        <w:t xml:space="preserve"> (éd.), </w:t>
      </w:r>
      <w:r w:rsidRPr="00D57414">
        <w:rPr>
          <w:rFonts w:cs="Times New Roman"/>
          <w:i/>
          <w:iCs/>
          <w:szCs w:val="24"/>
        </w:rPr>
        <w:t>Convention européenne des droits de l’homme et droit de l’entreprise</w:t>
      </w:r>
      <w:r w:rsidRPr="00D57414">
        <w:rPr>
          <w:rFonts w:cs="Times New Roman"/>
          <w:szCs w:val="24"/>
        </w:rPr>
        <w:t xml:space="preserve">, Louvain-la-Neuve, </w:t>
      </w:r>
      <w:proofErr w:type="spellStart"/>
      <w:r w:rsidRPr="00D57414">
        <w:rPr>
          <w:rFonts w:cs="Times New Roman"/>
          <w:szCs w:val="24"/>
        </w:rPr>
        <w:t>Anthemis</w:t>
      </w:r>
      <w:proofErr w:type="spellEnd"/>
      <w:r w:rsidRPr="00D57414">
        <w:rPr>
          <w:rFonts w:cs="Times New Roman"/>
          <w:szCs w:val="24"/>
        </w:rPr>
        <w:t>, 2016, p. 78.</w:t>
      </w:r>
      <w:r>
        <w:fldChar w:fldCharType="end"/>
      </w:r>
    </w:p>
  </w:footnote>
  <w:footnote w:id="306">
    <w:p w14:paraId="0889CCA1" w14:textId="311E6783"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{"citationID":"3BNrSjto","properties":{"formattedCitation":"J. {\\scaps Maclure} et C. {\\scaps Taylor}, {\\i{}La\\uc0\\u239{}cit\\uc0\\u233{} et libert\\uc0\\u233{} de conscience}, {\\i{}op. cit.}, p. 80.","plainCitation":"J. Maclure et C. Taylor, Laïcité et liberté de conscience, op. cit., p. 80.","noteIndex":376},"citationItems":[{"id":973,"uris":["http://zotero.org/users/5133869/items/LVFF94XT"],"itemData":{"id":973,"type":"book","event-place":"Paris","ISBN":"978-2-7071-6647-0","language":"French","note":"OCLC: 1025706332","publisher":"La Découverte","publisher-place":"Paris","source":"Open WorldCat","title":"Laïcité et liberté de conscience","author":[{"family":"Maclure","given":"Jocelyn"},{"family":"Taylor","given":"Charles"}],"issued":{"date-parts":[["2010"]]}},"locator":"80"}],"schema":"https://github.com/citation-style-language/schema/raw/master/csl-citation.json"} </w:instrText>
      </w:r>
      <w:r w:rsidRPr="00022216">
        <w:fldChar w:fldCharType="separate"/>
      </w:r>
      <w:r w:rsidRPr="00022216">
        <w:rPr>
          <w:rFonts w:cs="Times New Roman"/>
          <w:szCs w:val="24"/>
        </w:rPr>
        <w:t xml:space="preserve">J. </w:t>
      </w:r>
      <w:r w:rsidRPr="00022216">
        <w:rPr>
          <w:rFonts w:cs="Times New Roman"/>
          <w:smallCaps/>
          <w:szCs w:val="24"/>
        </w:rPr>
        <w:t>Maclure</w:t>
      </w:r>
      <w:r w:rsidRPr="00022216">
        <w:rPr>
          <w:rFonts w:cs="Times New Roman"/>
          <w:szCs w:val="24"/>
        </w:rPr>
        <w:t xml:space="preserve"> et C. </w:t>
      </w:r>
      <w:r w:rsidRPr="00022216">
        <w:rPr>
          <w:rFonts w:cs="Times New Roman"/>
          <w:smallCaps/>
          <w:szCs w:val="24"/>
        </w:rPr>
        <w:t>Taylor</w:t>
      </w:r>
      <w:r w:rsidRPr="00022216">
        <w:rPr>
          <w:rFonts w:cs="Times New Roman"/>
          <w:szCs w:val="24"/>
        </w:rPr>
        <w:t xml:space="preserve">, </w:t>
      </w:r>
      <w:r w:rsidRPr="00022216">
        <w:rPr>
          <w:rFonts w:cs="Times New Roman"/>
          <w:i/>
          <w:iCs/>
          <w:szCs w:val="24"/>
        </w:rPr>
        <w:t>Laïcité et liberté de conscience</w:t>
      </w:r>
      <w:r>
        <w:rPr>
          <w:rFonts w:cs="Times New Roman"/>
          <w:i/>
          <w:iCs/>
          <w:szCs w:val="24"/>
        </w:rPr>
        <w:fldChar w:fldCharType="begin"/>
      </w:r>
      <w:r>
        <w:rPr>
          <w:rFonts w:cs="Times New Roman"/>
          <w:i/>
          <w:iCs/>
          <w:szCs w:val="24"/>
        </w:rPr>
        <w:instrText xml:space="preserve"> XE "</w:instrText>
      </w:r>
      <w:r w:rsidRPr="005F6D4C">
        <w:rPr>
          <w:rFonts w:ascii="Cambria" w:eastAsia="Times New Roman" w:hAnsi="Cambria" w:cs="Calibri"/>
          <w:color w:val="000000"/>
          <w:lang w:eastAsia="fr-BE"/>
        </w:rPr>
        <w:instrText>Conscience"</w:instrText>
      </w:r>
      <w:r>
        <w:rPr>
          <w:rFonts w:cs="Times New Roman"/>
          <w:i/>
          <w:iCs/>
          <w:szCs w:val="24"/>
        </w:rPr>
        <w:instrText xml:space="preserve"> </w:instrText>
      </w:r>
      <w:r>
        <w:rPr>
          <w:rFonts w:cs="Times New Roman"/>
          <w:i/>
          <w:iCs/>
          <w:szCs w:val="24"/>
        </w:rPr>
        <w:fldChar w:fldCharType="end"/>
      </w:r>
      <w:r w:rsidRPr="00022216">
        <w:rPr>
          <w:rFonts w:cs="Times New Roman"/>
          <w:szCs w:val="24"/>
        </w:rPr>
        <w:t xml:space="preserve">,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80.</w:t>
      </w:r>
      <w:r w:rsidRPr="00022216">
        <w:fldChar w:fldCharType="end"/>
      </w:r>
    </w:p>
  </w:footnote>
  <w:footnote w:id="307">
    <w:p w14:paraId="0C9C5798" w14:textId="03A53B5B" w:rsidR="000D6C77" w:rsidRPr="00C47C98" w:rsidRDefault="000D6C77" w:rsidP="00193C74">
      <w:pPr>
        <w:pStyle w:val="Notedebasdepage"/>
      </w:pPr>
      <w:r w:rsidRPr="00022216">
        <w:rPr>
          <w:rStyle w:val="Appelnotedebasdep"/>
        </w:rPr>
        <w:footnoteRef/>
      </w:r>
      <w:r w:rsidRPr="00022216">
        <w:t xml:space="preserve"> Ce risque d’instrumentalisation opportuniste </w:t>
      </w:r>
      <w:r>
        <w:t>peut être mis en lien avec la mention par la CJUE du risque d’un « détournement » de la neutralité (</w:t>
      </w:r>
      <w:r>
        <w:rPr>
          <w:i/>
          <w:iCs/>
        </w:rPr>
        <w:t>LF c. SCRL</w:t>
      </w:r>
      <w:r>
        <w:t xml:space="preserve">, para. 41) : </w:t>
      </w:r>
      <w:proofErr w:type="spellStart"/>
      <w:r>
        <w:t>voy</w:t>
      </w:r>
      <w:proofErr w:type="spellEnd"/>
      <w:r>
        <w:t>.</w:t>
      </w:r>
      <w:r>
        <w:rPr>
          <w:i/>
          <w:iCs/>
        </w:rPr>
        <w:t>, supra</w:t>
      </w:r>
      <w:r>
        <w:t xml:space="preserve">, paras. </w:t>
      </w:r>
      <w:r>
        <w:fldChar w:fldCharType="begin"/>
      </w:r>
      <w:r>
        <w:instrText xml:space="preserve"> REF _Ref121670354 \r \h </w:instrText>
      </w:r>
      <w:r>
        <w:fldChar w:fldCharType="separate"/>
      </w:r>
      <w:r>
        <w:t>51</w:t>
      </w:r>
      <w:r>
        <w:fldChar w:fldCharType="end"/>
      </w:r>
      <w:r>
        <w:t xml:space="preserve">, </w:t>
      </w:r>
      <w:r>
        <w:fldChar w:fldCharType="begin"/>
      </w:r>
      <w:r>
        <w:instrText xml:space="preserve"> REF _Ref121670361 \r \h </w:instrText>
      </w:r>
      <w:r>
        <w:fldChar w:fldCharType="separate"/>
      </w:r>
      <w:r>
        <w:t>57</w:t>
      </w:r>
      <w:r>
        <w:fldChar w:fldCharType="end"/>
      </w:r>
      <w:r>
        <w:t xml:space="preserve"> et </w:t>
      </w:r>
      <w:r>
        <w:fldChar w:fldCharType="begin"/>
      </w:r>
      <w:r>
        <w:instrText xml:space="preserve"> REF _Ref112863667 \r \h </w:instrText>
      </w:r>
      <w:r>
        <w:fldChar w:fldCharType="separate"/>
      </w:r>
      <w:r>
        <w:t>99</w:t>
      </w:r>
      <w:r>
        <w:fldChar w:fldCharType="end"/>
      </w:r>
      <w:r>
        <w:t>.</w:t>
      </w:r>
    </w:p>
  </w:footnote>
  <w:footnote w:id="308">
    <w:p w14:paraId="188BEDEC" w14:textId="2A2572C1" w:rsidR="000D6C77" w:rsidRPr="00193C74" w:rsidRDefault="000D6C77">
      <w:pPr>
        <w:pStyle w:val="Notedebasdepage"/>
      </w:pPr>
      <w:r>
        <w:rPr>
          <w:rStyle w:val="Appelnotedebasdep"/>
        </w:rPr>
        <w:footnoteRef/>
      </w:r>
      <w:r>
        <w:t xml:space="preserve"> Sur ce point, </w:t>
      </w:r>
      <w:proofErr w:type="spellStart"/>
      <w:r>
        <w:t>voy</w:t>
      </w:r>
      <w:proofErr w:type="spellEnd"/>
      <w:r>
        <w:t xml:space="preserve">., </w:t>
      </w:r>
      <w:r>
        <w:rPr>
          <w:i/>
          <w:iCs/>
        </w:rPr>
        <w:t>supra</w:t>
      </w:r>
      <w:r>
        <w:t xml:space="preserve">, para. </w:t>
      </w:r>
      <w:r>
        <w:fldChar w:fldCharType="begin"/>
      </w:r>
      <w:r>
        <w:instrText xml:space="preserve"> REF _Ref121676985 \r \h </w:instrText>
      </w:r>
      <w:r>
        <w:fldChar w:fldCharType="separate"/>
      </w:r>
      <w:r>
        <w:t>25</w:t>
      </w:r>
      <w:r>
        <w:fldChar w:fldCharType="end"/>
      </w:r>
      <w:r>
        <w:t xml:space="preserve">. </w:t>
      </w:r>
    </w:p>
  </w:footnote>
  <w:footnote w:id="309">
    <w:p w14:paraId="111C50C1" w14:textId="3692AA3E" w:rsidR="000D6C77" w:rsidRDefault="000D6C77">
      <w:pPr>
        <w:pStyle w:val="Notedebasdepage"/>
      </w:pPr>
      <w:r>
        <w:rPr>
          <w:rStyle w:val="Appelnotedebasdep"/>
        </w:rPr>
        <w:footnoteRef/>
      </w:r>
      <w:r>
        <w:t xml:space="preserve"> Selon E. </w:t>
      </w:r>
      <w:proofErr w:type="spellStart"/>
      <w:r w:rsidRPr="008D517D">
        <w:rPr>
          <w:smallCaps/>
        </w:rPr>
        <w:t>Bribosia</w:t>
      </w:r>
      <w:proofErr w:type="spellEnd"/>
      <w:r>
        <w:t xml:space="preserve"> et I. </w:t>
      </w:r>
      <w:proofErr w:type="spellStart"/>
      <w:r w:rsidRPr="008D517D">
        <w:rPr>
          <w:smallCaps/>
        </w:rPr>
        <w:t>Rorive</w:t>
      </w:r>
      <w:proofErr w:type="spellEnd"/>
      <w:r>
        <w:t>, une telle consécration reviendrait à « galvauder la notion de neutralité en réduisant un prescrit fondamental d’organisation d’un État de droit en conception philosophique parmi d’autres »</w:t>
      </w:r>
      <w:r w:rsidRPr="00615483">
        <w:t xml:space="preserve"> </w:t>
      </w:r>
      <w:r w:rsidRPr="00022216">
        <w:fldChar w:fldCharType="begin"/>
      </w:r>
      <w:r>
        <w:instrText xml:space="preserve"> ADDIN ZOTERO_ITEM CSL_CITATION {"citationID":"UeG7AHEz","properties":{"formattedCitation":"(\\uc0\\u171{}\\uc0\\u160{}Affaires Achbita et Bougnaoui\\uc0\\u8239{}: entre neutralit\\uc0\\u233{} et pr\\uc0\\u233{}jug\\uc0\\u233{}s (obs. sous C.J.U.E., Gde Ch., arr\\uc0\\u234{}ts Achbita et Bougnaoui, 14 mars 2017)\\uc0\\u160{}\\uc0\\u187{}, {\\i{}op. cit.}, p. 1032).","plainCitation":"(« Affaires Achbita et Bougnaoui : entre neutralité et préjugés (obs. sous C.J.U.E., Gde Ch., arrêts Achbita et Bougnaoui, 14 mars 2017) », op. cit., p. 1032).","noteIndex":380},"citationItems":[{"id":235,"uris":["http://zotero.org/users/5133869/items/U9PZ7BMG"],"itemData":{"id":235,"type":"article-journal","container-title":"Rev. trim. dr. h.","issue":"112","page":"1017-1037","title":"Affaires Achbita et Bougnaoui : entre neutralité et préjugés (obs. sous C.J.U.E., Gde Ch., arrêts Achbita et Bougnaoui, 14 mars 2017)","author":[{"family":"Bribosia","given":"Emmanuelle"},{"family":"Rorive","given":"Isabelle"}],"issued":{"date-parts":[["2017"]]}},"locator":"1032","label":"page","suppress-author":true,"prefix":"(","suffix":")"}],"schema":"https://github.com/citation-style-language/schema/raw/master/csl-citation.json"} </w:instrText>
      </w:r>
      <w:r w:rsidRPr="00022216">
        <w:fldChar w:fldCharType="separate"/>
      </w:r>
      <w:r w:rsidRPr="008564B2">
        <w:rPr>
          <w:rFonts w:cs="Times New Roman"/>
          <w:szCs w:val="24"/>
        </w:rPr>
        <w:t xml:space="preserve">(« Affaires </w:t>
      </w:r>
      <w:proofErr w:type="spellStart"/>
      <w:r w:rsidRPr="008564B2">
        <w:rPr>
          <w:rFonts w:cs="Times New Roman"/>
          <w:szCs w:val="24"/>
        </w:rPr>
        <w:t>Achbita</w:t>
      </w:r>
      <w:proofErr w:type="spellEnd"/>
      <w:r w:rsidRPr="008564B2">
        <w:rPr>
          <w:rFonts w:cs="Times New Roman"/>
          <w:szCs w:val="24"/>
        </w:rPr>
        <w:t xml:space="preserve"> et Bougnaoui : entre neutralité et préjugés (obs. sous C.J.U.E., Gde Ch., arrêts </w:t>
      </w:r>
      <w:proofErr w:type="spellStart"/>
      <w:r w:rsidRPr="008564B2">
        <w:rPr>
          <w:rFonts w:cs="Times New Roman"/>
          <w:szCs w:val="24"/>
        </w:rPr>
        <w:t>Achbita</w:t>
      </w:r>
      <w:proofErr w:type="spellEnd"/>
      <w:r w:rsidRPr="008564B2">
        <w:rPr>
          <w:rFonts w:cs="Times New Roman"/>
          <w:szCs w:val="24"/>
        </w:rPr>
        <w:t xml:space="preserve"> et Bougnaoui, 14 mars 2017) », </w:t>
      </w:r>
      <w:r w:rsidRPr="008564B2">
        <w:rPr>
          <w:rFonts w:cs="Times New Roman"/>
          <w:i/>
          <w:iCs/>
          <w:szCs w:val="24"/>
        </w:rPr>
        <w:t xml:space="preserve">op. </w:t>
      </w:r>
      <w:proofErr w:type="spellStart"/>
      <w:r w:rsidRPr="008564B2">
        <w:rPr>
          <w:rFonts w:cs="Times New Roman"/>
          <w:i/>
          <w:iCs/>
          <w:szCs w:val="24"/>
        </w:rPr>
        <w:t>cit</w:t>
      </w:r>
      <w:proofErr w:type="spellEnd"/>
      <w:r w:rsidRPr="008564B2">
        <w:rPr>
          <w:rFonts w:cs="Times New Roman"/>
          <w:i/>
          <w:iCs/>
          <w:szCs w:val="24"/>
        </w:rPr>
        <w:t>.</w:t>
      </w:r>
      <w:r w:rsidRPr="008564B2">
        <w:rPr>
          <w:rFonts w:cs="Times New Roman"/>
          <w:szCs w:val="24"/>
        </w:rPr>
        <w:t>, p. 1032).</w:t>
      </w:r>
      <w:r w:rsidRPr="00022216">
        <w:fldChar w:fldCharType="end"/>
      </w:r>
    </w:p>
  </w:footnote>
  <w:footnote w:id="310">
    <w:p w14:paraId="557BAAC3" w14:textId="0196D539"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{"citationID":"97a1TxBQ","properties":{"formattedCitation":"F. {\\scaps Dieu}, \\uc0\\u171{}\\uc0\\u160{}La la\\uc0\\u239{}cit\\uc0\\u233{} devient tendance\\uc0\\u160{}\\uc0\\u187{}, {\\i{}La Semaine Juridique - Edition Administrations et Collectivit\\uc0\\u233{}s Territoriales}, 2013, n\\uc0\\u176{} 49, p. 2322.","plainCitation":"F. Dieu, « La laïcité devient tendance », La Semaine Juridique - Edition Administrations et Collectivités Territoriales, 2013, n° 49, p. 2322.","noteIndex":379},"citationItems":[{"id":1304,"uris":["http://zotero.org/users/5133869/items/42G4JPC8"],"itemData":{"id":1304,"type":"article-journal","container-title":"La Semaine Juridique - Edition Administrations et Collectivités Territoriales","issue":"49","page":"2322","title":"La laïcité devient tendance","author":[{"family":"Dieu","given":"Frédéric"}],"issued":{"date-parts":[["2013"]]}}}],"schema":"https://github.com/citation-style-language/schema/raw/master/csl-citation.json"} </w:instrText>
      </w:r>
      <w:r w:rsidRPr="00022216">
        <w:fldChar w:fldCharType="separate"/>
      </w:r>
      <w:r w:rsidRPr="00022216">
        <w:rPr>
          <w:rFonts w:cs="Times New Roman"/>
          <w:szCs w:val="24"/>
        </w:rPr>
        <w:t xml:space="preserve">F. </w:t>
      </w:r>
      <w:r w:rsidRPr="00022216">
        <w:rPr>
          <w:rFonts w:cs="Times New Roman"/>
          <w:smallCaps/>
          <w:szCs w:val="24"/>
        </w:rPr>
        <w:t>Dieu</w:t>
      </w:r>
      <w:r w:rsidRPr="00022216">
        <w:rPr>
          <w:rFonts w:cs="Times New Roman"/>
          <w:szCs w:val="24"/>
        </w:rPr>
        <w:t xml:space="preserve">, « La laïcité devient tendance », </w:t>
      </w:r>
      <w:r w:rsidRPr="00022216">
        <w:rPr>
          <w:rFonts w:cs="Times New Roman"/>
          <w:i/>
          <w:iCs/>
          <w:szCs w:val="24"/>
        </w:rPr>
        <w:t>La Semaine Juridique - Edition Administrations et Collectivités Territoriales</w:t>
      </w:r>
      <w:r w:rsidRPr="00022216">
        <w:rPr>
          <w:rFonts w:cs="Times New Roman"/>
          <w:szCs w:val="24"/>
        </w:rPr>
        <w:t>, 2013, n° 49, p. 2322.</w:t>
      </w:r>
      <w:r w:rsidRPr="00022216">
        <w:fldChar w:fldCharType="end"/>
      </w:r>
    </w:p>
  </w:footnote>
  <w:footnote w:id="311">
    <w:p w14:paraId="4923AF48" w14:textId="0B389076"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{"citationID":"4EyxGCn0","properties":{"formattedCitation":"J. {\\scaps Mouly}, \\uc0\\u171{}\\uc0\\u160{}L\\uc0\\u8217{}affaire Baby-Loup devant la Cour de renvoi\\uc0\\u8239{}: la revanche de la la\\uc0\\u239{}cit\\uc0\\u233{}\\uc0\\u8239{}?\\uc0\\u160{}\\uc0\\u187{}, {\\i{}Recueil Dalloz}, 2014, p. 69\\uc0\\u160{}; P. {\\scaps Adam}, \\uc0\\u171{}\\uc0\\u160{}Affaire Baby-Loup\\uc0\\u8239{}: vues du sommet\\uc0\\u160{}\\uc0\\u187{}, {\\i{}Revue de Droit du Travail}, 2014, p. 609.","plainCitation":"J. Mouly, « L’affaire Baby-Loup devant la Cour de renvoi : la revanche de la laïcité ? », Recueil Dalloz, 2014, p. 69 ; P. Adam, « Affaire Baby-Loup : vues du sommet », Revue de Droit du Travail, 2014, p. 609.","noteIndex":389},"citationItems":[{"id":2615,"uris":["http://zotero.org/users/5133869/items/JX5N5W2Z"],"itemData":{"id":2615,"type":"article-journal","container-title":"Recueil Dalloz","page":"66-71","title":"L'affaire Baby-Loup devant la Cour de renvoi : la revanche de la laïcité ?","author":[{"family":"Mouly","given":"Jean"}],"issued":{"date-parts":[["2014"]]}},"locator":"69"},{"id":2629,"uris":["http://zotero.org/users/5133869/items/JVPX2TRC"],"itemData":{"id":2629,"type":"article-journal","container-title":"Revue de Droit du Travail","page":"609","title":"Affaire Baby-Loup : vues du sommet","author":[{"family":"Adam","given":"Patrice"}],"issued":{"date-parts":[["2014"]]}}}],"schema":"https://github.com/citation-style-language/schema/raw/master/csl-citation.json"} </w:instrText>
      </w:r>
      <w:r w:rsidRPr="00022216">
        <w:fldChar w:fldCharType="separate"/>
      </w:r>
      <w:r w:rsidRPr="00547C20">
        <w:rPr>
          <w:rFonts w:cs="Times New Roman"/>
          <w:szCs w:val="24"/>
        </w:rPr>
        <w:t xml:space="preserve">J. </w:t>
      </w:r>
      <w:proofErr w:type="spellStart"/>
      <w:r w:rsidRPr="00547C20">
        <w:rPr>
          <w:rFonts w:cs="Times New Roman"/>
          <w:smallCaps/>
          <w:szCs w:val="24"/>
        </w:rPr>
        <w:t>Mouly</w:t>
      </w:r>
      <w:proofErr w:type="spellEnd"/>
      <w:r w:rsidRPr="00547C20">
        <w:rPr>
          <w:rFonts w:cs="Times New Roman"/>
          <w:szCs w:val="24"/>
        </w:rPr>
        <w:t xml:space="preserve">, « L’affaire Baby-Loup devant la Cour de renvoi : la revanche de la laïcité ? », </w:t>
      </w:r>
      <w:r w:rsidRPr="00547C20">
        <w:rPr>
          <w:rFonts w:cs="Times New Roman"/>
          <w:i/>
          <w:iCs/>
          <w:szCs w:val="24"/>
        </w:rPr>
        <w:t>Recueil Dalloz</w:t>
      </w:r>
      <w:r w:rsidRPr="00547C20">
        <w:rPr>
          <w:rFonts w:cs="Times New Roman"/>
          <w:szCs w:val="24"/>
        </w:rPr>
        <w:t xml:space="preserve">, 2014, p. 69 ; P. </w:t>
      </w:r>
      <w:r w:rsidRPr="00547C20">
        <w:rPr>
          <w:rFonts w:cs="Times New Roman"/>
          <w:smallCaps/>
          <w:szCs w:val="24"/>
        </w:rPr>
        <w:t>Adam</w:t>
      </w:r>
      <w:r w:rsidRPr="00547C20">
        <w:rPr>
          <w:rFonts w:cs="Times New Roman"/>
          <w:szCs w:val="24"/>
        </w:rPr>
        <w:t xml:space="preserve">, « Affaire Baby-Loup : vues du sommet », </w:t>
      </w:r>
      <w:r w:rsidRPr="00547C20">
        <w:rPr>
          <w:rFonts w:cs="Times New Roman"/>
          <w:i/>
          <w:iCs/>
          <w:szCs w:val="24"/>
        </w:rPr>
        <w:t>Revue de Droit du Travail</w:t>
      </w:r>
      <w:r w:rsidRPr="00547C20">
        <w:rPr>
          <w:rFonts w:cs="Times New Roman"/>
          <w:szCs w:val="24"/>
        </w:rPr>
        <w:t>, 2014, p. 609.</w:t>
      </w:r>
      <w:r w:rsidRPr="00022216">
        <w:fldChar w:fldCharType="end"/>
      </w:r>
    </w:p>
  </w:footnote>
  <w:footnote w:id="312">
    <w:p w14:paraId="790831BF" w14:textId="00EE8B0C"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{"citationID":"GFENWcGE","properties":{"formattedCitation":"S. {\\scaps Hennette-Vauchez} et V. {\\scaps Valentin}, {\\i{}L\\uc0\\u8217{}affaire Baby Loup ou la Nouvelle La\\uc0\\u239{}cit\\uc0\\u233{}}, {\\i{}op. cit.}, p. 51.","plainCitation":"S. Hennette-Vauchez et V. Valentin, L’affaire Baby Loup ou la Nouvelle Laïcité, op. cit., p. 51.","noteIndex":381},"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Laïcité","author":[{"family":"Hennette-Vauchez","given":"Stéphanie"},{"family":"Valentin","given":"Vincent"}],"issued":{"date-parts":[["2014"]]}},"locator":"51"}],"schema":"https://github.com/citation-style-language/schema/raw/master/csl-citation.json"} </w:instrText>
      </w:r>
      <w:r w:rsidRPr="00022216">
        <w:fldChar w:fldCharType="separate"/>
      </w:r>
      <w:r w:rsidRPr="00022216">
        <w:rPr>
          <w:rFonts w:cs="Times New Roman"/>
          <w:szCs w:val="24"/>
        </w:rPr>
        <w:t xml:space="preserve">S. </w:t>
      </w:r>
      <w:r w:rsidRPr="00022216">
        <w:rPr>
          <w:rFonts w:cs="Times New Roman"/>
          <w:smallCaps/>
          <w:szCs w:val="24"/>
        </w:rPr>
        <w:t>Hennette-Vauchez</w:t>
      </w:r>
      <w:r w:rsidRPr="00022216">
        <w:rPr>
          <w:rFonts w:cs="Times New Roman"/>
          <w:szCs w:val="24"/>
        </w:rPr>
        <w:t xml:space="preserve"> et V. </w:t>
      </w:r>
      <w:r w:rsidRPr="00022216">
        <w:rPr>
          <w:rFonts w:cs="Times New Roman"/>
          <w:smallCaps/>
          <w:szCs w:val="24"/>
        </w:rPr>
        <w:t>Valentin</w:t>
      </w:r>
      <w:r w:rsidRPr="00022216">
        <w:rPr>
          <w:rFonts w:cs="Times New Roman"/>
          <w:szCs w:val="24"/>
        </w:rPr>
        <w:t xml:space="preserve">, </w:t>
      </w:r>
      <w:r w:rsidRPr="00022216">
        <w:rPr>
          <w:rFonts w:cs="Times New Roman"/>
          <w:i/>
          <w:iCs/>
          <w:szCs w:val="24"/>
        </w:rPr>
        <w:t>L’affaire Baby Loup ou la Nouvelle Laïcité</w:t>
      </w:r>
      <w:r w:rsidRPr="00022216">
        <w:rPr>
          <w:rFonts w:cs="Times New Roman"/>
          <w:szCs w:val="24"/>
        </w:rPr>
        <w:t xml:space="preserve">,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51.</w:t>
      </w:r>
      <w:r w:rsidRPr="00022216">
        <w:fldChar w:fldCharType="end"/>
      </w:r>
    </w:p>
  </w:footnote>
  <w:footnote w:id="313">
    <w:p w14:paraId="4FEBF42F" w14:textId="7BF843AA" w:rsidR="000D6C77" w:rsidRDefault="000D6C77">
      <w:pPr>
        <w:pStyle w:val="Notedebasdepage"/>
      </w:pPr>
      <w:r>
        <w:rPr>
          <w:rStyle w:val="Appelnotedebasdep"/>
        </w:rPr>
        <w:footnoteRef/>
      </w:r>
      <w:r>
        <w:t xml:space="preserve"> </w:t>
      </w:r>
      <w:r w:rsidRPr="007026A4">
        <w:t>Rappelons néanmoins que la directive 2000/78/CE prévoit que les « organisations » tant « publiques » que « privées » sont en mesure de revendiquer le bénéfice de la notion d’entreprise de tendance</w:t>
      </w:r>
      <w:r>
        <w:t> : u</w:t>
      </w:r>
      <w:r w:rsidRPr="007026A4">
        <w:t>ne organisation publique de tendance neutre serait en ce sens théoriquement envisageable</w:t>
      </w:r>
      <w:r>
        <w:t>.</w:t>
      </w:r>
    </w:p>
  </w:footnote>
  <w:footnote w:id="314">
    <w:p w14:paraId="4A696F5C" w14:textId="43DCEAAC" w:rsidR="000D6C77" w:rsidRPr="00022216" w:rsidRDefault="000D6C77" w:rsidP="00233D39">
      <w:pPr>
        <w:pStyle w:val="Notedebasdepage"/>
      </w:pPr>
      <w:r w:rsidRPr="00022216">
        <w:rPr>
          <w:rStyle w:val="Appelnotedebasdep"/>
        </w:rPr>
        <w:footnoteRef/>
      </w:r>
      <w:r w:rsidRPr="00022216">
        <w:t xml:space="preserve"> C. </w:t>
      </w:r>
      <w:proofErr w:type="spellStart"/>
      <w:r w:rsidRPr="00022216">
        <w:rPr>
          <w:smallCaps/>
        </w:rPr>
        <w:t>Eliacheff</w:t>
      </w:r>
      <w:proofErr w:type="spellEnd"/>
      <w:r w:rsidRPr="00022216">
        <w:t xml:space="preserve"> note ainsi que « si cette notion était retenue, ceux qui ont une vision universaliste de la laïcité devront admettre, par pragmatisme, que la laïcité soit un choix parmi d’autres à condition qu’il soit respecté » </w:t>
      </w:r>
      <w:r w:rsidRPr="00022216">
        <w:fldChar w:fldCharType="begin"/>
      </w:r>
      <w:r>
        <w:instrText xml:space="preserve"> ADDIN ZOTERO_ITEM CSL_CITATION {"citationID":"tRR3NQQN","properties":{"formattedCitation":"(\\uc0\\u171{}\\uc0\\u160{}Baby-Loup\\uc0\\u8239{}: une question de la\\uc0\\u239{}cit\\uc0\\u233{}\\uc0\\u8239{}?\\uc0\\u160{}\\uc0\\u187{}, Le cas de la cr\\uc0\\u232{}che Baby-Loup\\uc0\\u8239{}: une question de la\\uc0\\u239{}cit\\uc0\\u233{}\\uc0\\u8239{}? Rencontre-d\\uc0\\u233{}bat organis\\uc0\\u233{}e par l\\uc0\\u8217{}IESR et le Groupe IRENE \\uc0\\u8211{} EPHE, Paris, 9 avril 2014, p. 3).","plainCitation":"(« Baby-Loup : une question de laïcité ? », Le cas de la crèche Baby-Loup : une question de laïcité ? Rencontre-débat organisée par l’IESR et le Groupe IRENE – EPHE, Paris, 9 avril 2014, p. 3).","noteIndex":382},"citationItems":[{"id":2634,"uris":["http://zotero.org/users/5133869/items/S2RFZWCH"],"itemData":{"id":2634,"type":"speech","event-place":"Paris","event-title":"Le cas de la crèche Baby-Loup : une question de laïcité ? Rencontre-débat organisée par l’IESR et le Groupe IRENE – EPHE","publisher-place":"Paris","title":"Baby-Loup : une question de laïcité ?","author":[{"family":"Eliacheff","given":"Caroline"}],"issued":{"date-parts":[["2014",4,9]]}},"locator":"3","suppress-author":true,"prefix":"(","suffix":")"}],"schema":"https://github.com/citation-style-language/schema/raw/master/csl-citation.json"} </w:instrText>
      </w:r>
      <w:r w:rsidRPr="00022216">
        <w:fldChar w:fldCharType="separate"/>
      </w:r>
      <w:r w:rsidRPr="00D57414">
        <w:rPr>
          <w:rFonts w:cs="Times New Roman"/>
          <w:szCs w:val="24"/>
        </w:rPr>
        <w:t>(« Baby-Loup : une question de laïcité ? », Le cas de la crèche Baby-Loup : une question de laïcité ? Rencontre-débat organisée par l’IESR et le Groupe IRENE – EPHE, Paris, 9 avril 2014, p. 3).</w:t>
      </w:r>
      <w:r w:rsidRPr="00022216">
        <w:fldChar w:fldCharType="end"/>
      </w:r>
    </w:p>
  </w:footnote>
  <w:footnote w:id="315">
    <w:p w14:paraId="49E209BE" w14:textId="0A033147"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{"citationID":"8MRbUxHQ","properties":{"formattedCitation":"C. {\\scaps Kintzler}, {\\i{}Penser la la\\uc0\\u239{}cit\\uc0\\u233{}}, Paris, Minerve, 2014, p. 147\\uc0\\u8239{}:","plainCitation":"C. Kintzler, Penser la laïcité, Paris, Minerve, 2014, p. 147 :","noteIndex":393},"citationItems":[{"id":2255,"uris":["http://zotero.org/users/5133869/items/S4KNWGJ5"],"itemData":{"id":2255,"type":"book","call-number":"BL2765.F8 K56 2014","event-place":"Paris","ISBN":"978-2-86931-135-0","number-of-pages":"220","publisher":"Minerve","publisher-place":"Paris","source":"Library of Congress ISBN","title":"Penser la laïcité","author":[{"family":"Kintzler","given":"Catherine"}],"issued":{"date-parts":[["2014"]]}},"locator":"147","suffix":" :"}],"schema":"https://github.com/citation-style-language/schema/raw/master/csl-citation.json"} </w:instrText>
      </w:r>
      <w:r w:rsidRPr="00022216">
        <w:fldChar w:fldCharType="separate"/>
      </w:r>
      <w:r w:rsidRPr="00FA1CBB">
        <w:rPr>
          <w:rFonts w:cs="Times New Roman"/>
          <w:szCs w:val="24"/>
        </w:rPr>
        <w:t xml:space="preserve">C. </w:t>
      </w:r>
      <w:proofErr w:type="spellStart"/>
      <w:r w:rsidRPr="00FA1CBB">
        <w:rPr>
          <w:rFonts w:cs="Times New Roman"/>
          <w:smallCaps/>
          <w:szCs w:val="24"/>
        </w:rPr>
        <w:t>Kintzler</w:t>
      </w:r>
      <w:proofErr w:type="spellEnd"/>
      <w:r w:rsidRPr="00FA1CBB">
        <w:rPr>
          <w:rFonts w:cs="Times New Roman"/>
          <w:szCs w:val="24"/>
        </w:rPr>
        <w:t xml:space="preserve">, </w:t>
      </w:r>
      <w:r w:rsidRPr="00FA1CBB">
        <w:rPr>
          <w:rFonts w:cs="Times New Roman"/>
          <w:i/>
          <w:iCs/>
          <w:szCs w:val="24"/>
        </w:rPr>
        <w:t>Penser la laïcité</w:t>
      </w:r>
      <w:r w:rsidRPr="00FA1CBB">
        <w:rPr>
          <w:rFonts w:cs="Times New Roman"/>
          <w:szCs w:val="24"/>
        </w:rPr>
        <w:t>, Paris, Minerve, 2014, p. 147 :</w:t>
      </w:r>
      <w:r w:rsidRPr="00022216">
        <w:fldChar w:fldCharType="end"/>
      </w:r>
      <w:r w:rsidRPr="00022216">
        <w:t> « La laïcité est certes et d’abord une obligation absolue de l’</w:t>
      </w:r>
      <w:r>
        <w:t>État</w:t>
      </w:r>
      <w:r w:rsidRPr="00022216">
        <w:t>, mais est-elle pour autant une exclusive publique telle que, si quelqu’un veut s’en inspirer dans un cercle privé clairement défini et avec des motifs pertinents qu’il appartient éventuellement à la loi de réglementer, il commet une usurpation ? ».</w:t>
      </w:r>
    </w:p>
  </w:footnote>
  <w:footnote w:id="316">
    <w:p w14:paraId="358EEA0D" w14:textId="7A3B2FC4"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{"citationID":"eGPFizIn","properties":{"formattedCitation":"F. {\\scaps Gaudu}, \\uc0\\u171{}\\uc0\\u160{}L\\uc0\\u8217{}entreprise de tendance la\\uc0\\u239{}que\\uc0\\u160{}\\uc0\\u187{}, {\\i{}op. cit.}, p. 1188.","plainCitation":"F. Gaudu, « L’entreprise de tendance laïque », op. cit., p. 1188.","noteIndex":395},"citationItems":[{"id":113,"uris":["http://zotero.org/users/5133869/items/ABWJTQ9D"],"itemData":{"id":113,"type":"article-journal","container-title":"Droit social","issue":"12","page":"1186-1189","title":"L'entreprise de tendance laïque","author":[{"family":"Gaudu","given":"François"}],"issued":{"date-parts":[["2011"]]}},"locator":"1188","label":"page"}],"schema":"https://github.com/citation-style-language/schema/raw/master/csl-citation.json"} </w:instrText>
      </w:r>
      <w:r w:rsidRPr="00022216">
        <w:fldChar w:fldCharType="separate"/>
      </w:r>
      <w:r w:rsidRPr="00590333">
        <w:rPr>
          <w:rFonts w:cs="Times New Roman"/>
          <w:szCs w:val="24"/>
        </w:rPr>
        <w:t xml:space="preserve">F. </w:t>
      </w:r>
      <w:proofErr w:type="spellStart"/>
      <w:r w:rsidRPr="00590333">
        <w:rPr>
          <w:rFonts w:cs="Times New Roman"/>
          <w:smallCaps/>
          <w:szCs w:val="24"/>
        </w:rPr>
        <w:t>Gaudu</w:t>
      </w:r>
      <w:proofErr w:type="spellEnd"/>
      <w:r w:rsidRPr="00590333">
        <w:rPr>
          <w:rFonts w:cs="Times New Roman"/>
          <w:szCs w:val="24"/>
        </w:rPr>
        <w:t xml:space="preserve">, « L’entreprise de tendance laïque », </w:t>
      </w:r>
      <w:r w:rsidRPr="00590333">
        <w:rPr>
          <w:rFonts w:cs="Times New Roman"/>
          <w:i/>
          <w:iCs/>
          <w:szCs w:val="24"/>
        </w:rPr>
        <w:t xml:space="preserve">op. </w:t>
      </w:r>
      <w:proofErr w:type="spellStart"/>
      <w:r w:rsidRPr="00590333">
        <w:rPr>
          <w:rFonts w:cs="Times New Roman"/>
          <w:i/>
          <w:iCs/>
          <w:szCs w:val="24"/>
        </w:rPr>
        <w:t>cit</w:t>
      </w:r>
      <w:proofErr w:type="spellEnd"/>
      <w:r w:rsidRPr="00590333">
        <w:rPr>
          <w:rFonts w:cs="Times New Roman"/>
          <w:i/>
          <w:iCs/>
          <w:szCs w:val="24"/>
        </w:rPr>
        <w:t>.</w:t>
      </w:r>
      <w:r w:rsidRPr="00590333">
        <w:rPr>
          <w:rFonts w:cs="Times New Roman"/>
          <w:szCs w:val="24"/>
        </w:rPr>
        <w:t>, p. 1188.</w:t>
      </w:r>
      <w:r w:rsidRPr="00022216">
        <w:fldChar w:fldCharType="end"/>
      </w:r>
    </w:p>
  </w:footnote>
  <w:footnote w:id="317">
    <w:p w14:paraId="46B5D7B4" w14:textId="050875BD" w:rsidR="000D6C77" w:rsidRPr="00022216" w:rsidRDefault="000D6C77" w:rsidP="00233D39">
      <w:pPr>
        <w:pStyle w:val="Notedebasdepage"/>
        <w:rPr>
          <w:i/>
          <w:iCs/>
        </w:rPr>
      </w:pPr>
      <w:r w:rsidRPr="00022216">
        <w:rPr>
          <w:rStyle w:val="Appelnotedebasdep"/>
        </w:rPr>
        <w:footnoteRef/>
      </w:r>
      <w:r w:rsidRPr="00022216">
        <w:t xml:space="preserve"> Cette deuxième conception fait écho à la position défendue par la Cour de cassation française, dans son arrêt rendu en assemblée plénière au sujet de la crèche Baby</w:t>
      </w:r>
      <w:r>
        <w:t xml:space="preserve"> </w:t>
      </w:r>
      <w:r w:rsidRPr="00022216">
        <w:t xml:space="preserve">Loup (25 juin 2014, n° 13-28.369, </w:t>
      </w:r>
      <w:r w:rsidRPr="00022216">
        <w:rPr>
          <w:i/>
        </w:rPr>
        <w:t>R.F.D.A.</w:t>
      </w:r>
      <w:r w:rsidRPr="00022216">
        <w:t>, 2014, p. 962), selon laquelle « la neutralité n’exprime et n’impose aux salariés l’adhésion à aucun choix politique, philosophique ou idéologique seul apte à emporter la qualification d’entreprise de tendance</w:t>
      </w:r>
      <w:r>
        <w:fldChar w:fldCharType="begin"/>
      </w:r>
      <w:r>
        <w:instrText xml:space="preserve"> XE "</w:instrText>
      </w:r>
      <w:r w:rsidRPr="005F6D4C">
        <w:rPr>
          <w:rFonts w:ascii="Cambria" w:eastAsia="Times New Roman" w:hAnsi="Cambria" w:cs="Calibri"/>
          <w:color w:val="000000"/>
          <w:lang w:eastAsia="fr-BE"/>
        </w:rPr>
        <w:instrText>Entreprise de tendance"</w:instrText>
      </w:r>
      <w:r>
        <w:instrText xml:space="preserve"> </w:instrText>
      </w:r>
      <w:r>
        <w:fldChar w:fldCharType="end"/>
      </w:r>
      <w:r w:rsidRPr="00022216">
        <w:t xml:space="preserve"> ou de conviction ». Des considérants de l’arrêt, il est toutefois difficile de savoir dans quelle mesure la Cour de cassation invalide l’entreprise de tendance neutre</w:t>
      </w:r>
      <w:r>
        <w:fldChar w:fldCharType="begin"/>
      </w:r>
      <w:r>
        <w:instrText xml:space="preserve"> XE "</w:instrText>
      </w:r>
      <w:r w:rsidRPr="005F6D4C">
        <w:rPr>
          <w:rFonts w:ascii="Cambria" w:eastAsia="Times New Roman" w:hAnsi="Cambria" w:cs="Calibri"/>
          <w:color w:val="000000"/>
          <w:lang w:eastAsia="fr-BE"/>
        </w:rPr>
        <w:instrText>Entreprise de tendance:Entreprise de tendance neutre"</w:instrText>
      </w:r>
      <w:r>
        <w:instrText xml:space="preserve"> </w:instrText>
      </w:r>
      <w:r>
        <w:fldChar w:fldCharType="end"/>
      </w:r>
      <w:r w:rsidRPr="00022216">
        <w:t xml:space="preserve"> de manière générale.</w:t>
      </w:r>
    </w:p>
  </w:footnote>
  <w:footnote w:id="318">
    <w:p w14:paraId="4920EC35" w14:textId="290F50CA"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{"citationID":"dtsytA4Z","properties":{"formattedCitation":"M. {\\scaps Morand}, \\uc0\\u171{}\\uc0\\u160{}Entreprises identitaires et religions\\uc0\\u160{}\\uc0\\u187{}, {\\i{}op. cit.}\\uc0\\u160{}; M. {\\scaps Sweeney}, \\uc0\\u171{}\\uc0\\u160{}Les r\\uc0\\u232{}gles (civiles) de non-discrimination en raison de la religion\\uc0\\u160{}\\uc0\\u187{}, {\\i{}op. cit.}, p. 320.","plainCitation":"M. Morand, « Entreprises identitaires et religions », op. cit. ; M. Sweeney, « Les règles (civiles) de non-discrimination en raison de la religion », op. cit., p. 320.","noteIndex":397},"citationItems":[{"id":1463,"uris":["http://zotero.org/users/5133869/items/GI8A3EKC"],"itemData":{"id":1463,"type":"article-journal","container-title":"Semaine sociale Lamy","issue":"1611","title":"Entreprises identitaires et religions","author":[{"family":"Morand","given":"M"}],"issued":{"date-parts":[["2013"]]}}},{"id":2161,"uris":["http://zotero.org/users/5133869/items/Z6UZVY2E"],"itemData":{"id":2161,"type":"chapter","collection-number":"9","collection-title":"Collection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1057455736","page":"287-329","publisher":"Bruylant","publisher-place":"Bruxelles","source":"Gemeinsamer Bibliotheksverbund ISBN","title":"Les règles (civiles) de non-discrimination en raison de la religion","editor":[{"family":"Callebat","given":"Bernard"},{"family":"Courrèges","given":"Hélène","non-dropping-particle":"de"},{"family":"Louvel-Parisot","given":"Valérie"}],"author":[{"family":"Sweeney","given":"Morgan"}],"issued":{"date-parts":[["2017"]]}},"locator":"320"}],"schema":"https://github.com/citation-style-language/schema/raw/master/csl-citation.json"} </w:instrText>
      </w:r>
      <w:r w:rsidRPr="00022216">
        <w:fldChar w:fldCharType="separate"/>
      </w:r>
      <w:r w:rsidRPr="00022216">
        <w:rPr>
          <w:rFonts w:cs="Times New Roman"/>
          <w:szCs w:val="24"/>
        </w:rPr>
        <w:t xml:space="preserve">M. </w:t>
      </w:r>
      <w:r w:rsidRPr="00022216">
        <w:rPr>
          <w:rFonts w:cs="Times New Roman"/>
          <w:smallCaps/>
          <w:szCs w:val="24"/>
        </w:rPr>
        <w:t>Morand</w:t>
      </w:r>
      <w:r w:rsidRPr="00022216">
        <w:rPr>
          <w:rFonts w:cs="Times New Roman"/>
          <w:szCs w:val="24"/>
        </w:rPr>
        <w:t xml:space="preserve">, « Entreprises identitaires et religions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xml:space="preserve"> ; M. </w:t>
      </w:r>
      <w:r w:rsidRPr="00022216">
        <w:rPr>
          <w:rFonts w:cs="Times New Roman"/>
          <w:smallCaps/>
          <w:szCs w:val="24"/>
        </w:rPr>
        <w:t>Sweeney</w:t>
      </w:r>
      <w:r w:rsidRPr="00022216">
        <w:rPr>
          <w:rFonts w:cs="Times New Roman"/>
          <w:szCs w:val="24"/>
        </w:rPr>
        <w:t xml:space="preserve">, « Les règles (civiles) de non-discrimination en raison de la religion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320.</w:t>
      </w:r>
      <w:r w:rsidRPr="00022216">
        <w:fldChar w:fldCharType="end"/>
      </w:r>
    </w:p>
  </w:footnote>
  <w:footnote w:id="319">
    <w:p w14:paraId="5428FD26" w14:textId="4B499876" w:rsidR="000D6C77" w:rsidRPr="00022216" w:rsidRDefault="000D6C77" w:rsidP="00233D3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{"citationID":"oqpdCxE7","properties":{"formattedCitation":"S. {\\scaps Hennette-Vauchez} et V. {\\scaps Valentin}, {\\i{}L\\uc0\\u8217{}affaire Baby Loup ou la Nouvelle La\\uc0\\u239{}cit\\uc0\\u233{}}, {\\i{}op. cit.}, p. 49.","plainCitation":"S. Hennette-Vauchez et V. Valentin, L’affaire Baby Loup ou la Nouvelle Laïcité, op. cit., p. 49.","noteIndex":389},"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Laïcité","author":[{"family":"Hennette-Vauchez","given":"Stéphanie"},{"family":"Valentin","given":"Vincent"}],"issued":{"date-parts":[["2014"]]}},"locator":"49"}],"schema":"https://github.com/citation-style-language/schema/raw/master/csl-citation.json"} </w:instrText>
      </w:r>
      <w:r w:rsidRPr="00022216">
        <w:fldChar w:fldCharType="separate"/>
      </w:r>
      <w:r w:rsidRPr="00022216">
        <w:rPr>
          <w:rFonts w:cs="Times New Roman"/>
          <w:szCs w:val="24"/>
        </w:rPr>
        <w:t xml:space="preserve">S. </w:t>
      </w:r>
      <w:r w:rsidRPr="00022216">
        <w:rPr>
          <w:rFonts w:cs="Times New Roman"/>
          <w:smallCaps/>
          <w:szCs w:val="24"/>
        </w:rPr>
        <w:t>Hennette-Vauchez</w:t>
      </w:r>
      <w:r w:rsidRPr="00022216">
        <w:rPr>
          <w:rFonts w:cs="Times New Roman"/>
          <w:szCs w:val="24"/>
        </w:rPr>
        <w:t xml:space="preserve"> et V. </w:t>
      </w:r>
      <w:r w:rsidRPr="00022216">
        <w:rPr>
          <w:rFonts w:cs="Times New Roman"/>
          <w:smallCaps/>
          <w:szCs w:val="24"/>
        </w:rPr>
        <w:t>Valentin</w:t>
      </w:r>
      <w:r w:rsidRPr="00022216">
        <w:rPr>
          <w:rFonts w:cs="Times New Roman"/>
          <w:szCs w:val="24"/>
        </w:rPr>
        <w:t xml:space="preserve">, </w:t>
      </w:r>
      <w:r w:rsidRPr="00022216">
        <w:rPr>
          <w:rFonts w:cs="Times New Roman"/>
          <w:i/>
          <w:iCs/>
          <w:szCs w:val="24"/>
        </w:rPr>
        <w:t>L’affaire Baby Loup ou la Nouvelle Laïcité</w:t>
      </w:r>
      <w:r w:rsidRPr="00022216">
        <w:rPr>
          <w:rFonts w:cs="Times New Roman"/>
          <w:szCs w:val="24"/>
        </w:rPr>
        <w:t xml:space="preserve">,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49.</w:t>
      </w:r>
      <w:r w:rsidRPr="00022216">
        <w:fldChar w:fldCharType="end"/>
      </w:r>
      <w:r w:rsidRPr="00022216">
        <w:t xml:space="preserve"> En ce sens, </w:t>
      </w:r>
      <w:proofErr w:type="spellStart"/>
      <w:r w:rsidRPr="00022216">
        <w:t>voy</w:t>
      </w:r>
      <w:proofErr w:type="spellEnd"/>
      <w:r w:rsidRPr="00022216">
        <w:t xml:space="preserve">. aussi </w:t>
      </w:r>
      <w:r w:rsidRPr="00022216">
        <w:fldChar w:fldCharType="begin"/>
      </w:r>
      <w:r>
        <w:instrText xml:space="preserve"> ADDIN ZOTERO_ITEM CSL_CITATION {"citationID":"i1vYfKUG","properties":{"formattedCitation":"V. {\\scaps Valentin}, \\uc0\\u171{}\\uc0\\u160{}La notion d\\uc0\\u8217{}entreprise de conviction \\uc0\\u8220{}la\\uc0\\u239{}que\\uc0\\u8221{}\\uc0\\u160{}\\uc0\\u187{}, {\\i{}op. cit.}, pp. 277\\uc0\\u8209{}278\\uc0\\u160{}; H. {\\scaps Pena-Ruiz}, {\\i{}Dictionnaire amoureux de la la\\uc0\\u239{}cit\\uc0\\u233{}}, Dictionnaire amoureux, Paris, Plon, 2014, p. 293\\uc0\\u160{}; C. {\\scaps Kintzler}, {\\i{}Penser la la\\uc0\\u239{}cit\\uc0\\u233{}}, {\\i{}op. cit.}, pp. 148\\uc0\\u8209{}150\\uc0\\u160{}; G. {\\scaps Calv\\uc0\\u232{}s}, \\uc0\\u171{}\\uc0\\u160{}La chambre sociale de la Cour de Cassation face \\uc0\\u224{} l\\uc0\\u8217{}affaire Baby Loup\\uc0\\u8239{}: Trois le\\uc0\\u231{}ons de droit, et un silence assourdissant\\uc0\\u160{}\\uc0\\u187{}, {\\i{}op. cit.}\\uc0\\u160{}; F. {\\scaps Gaudu}, \\uc0\\u171{}\\uc0\\u160{}L\\uc0\\u8217{}entreprise de tendance la\\uc0\\u239{}que\\uc0\\u160{}\\uc0\\u187{}, {\\i{}op. cit.}, p. 1186.","plainCitation":"V. Valentin, « La notion d’entreprise de conviction “laïque” », op. cit., pp. 277‑278 ; H. Pena-Ruiz, Dictionnaire amoureux de la laïcité, Dictionnaire amoureux, Paris, Plon, 2014, p. 293 ; C. Kintzler, Penser la laïcité, op. cit., pp. 148‑150 ; G. Calvès, « La chambre sociale de la Cour de Cassation face à l’affaire Baby Loup : Trois leçons de droit, et un silence assourdissant », op. cit. ; F. Gaudu, « L’entreprise de tendance laïque », op. cit., p. 1186.","noteIndex":399},"citationItems":[{"id":2164,"uris":["http://zotero.org/users/5133869/items/2L2HSTKE"],"itemData":{"id":2164,"type":"chapter","collection-number":"9","collection-title":"Collection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locator":"277-278"},{"id":2199,"uris":["http://zotero.org/users/5133869/items/6MQWU7ZR"],"itemData":{"id":2199,"type":"book","call-number":"BL2705 .P46 2014","collection-title":"Dictionnaire amoureux","event-place":"Paris","ISBN":"978-2-259-21595-4","note":"OCLC: ocn874584390","number-of-pages":"910","publisher":"Plon","publisher-place":"Paris","source":"Library of Congress ISBN","title":"Dictionnaire amoureux de la laïcité","author":[{"family":"Pena-Ruiz","given":"Henri"}],"issued":{"date-parts":[["2014"]]}},"locator":"293"},{"id":2255,"uris":["http://zotero.org/users/5133869/items/S4KNWGJ5"],"itemData":{"id":2255,"type":"book","call-number":"BL2765.F8 K56 2014","event-place":"Paris","ISBN":"978-2-86931-135-0","number-of-pages":"220","publisher":"Minerve","publisher-place":"Paris","source":"Library of Congress ISBN","title":"Penser la laïcité","author":[{"family":"Kintzler","given":"Catherine"}],"issued":{"date-parts":[["2014"]]}},"locator":"148-150"},{"id":1321,"uris":["http://zotero.org/users/5133869/items/NNMJ8VPF"],"itemData":{"id":1321,"type":"article-journal","container-title":"Res Publica","title":"La chambre sociale de la Cour de Cassation face à l’affaire Baby Loup : Trois leçons de droit, et un silence assourdissant","author":[{"family":"Calvès","given":"Gwénaële"}],"issued":{"date-parts":[["2013",3,21]]}}},{"id":113,"uris":["http://zotero.org/users/5133869/items/ABWJTQ9D"],"itemData":{"id":113,"type":"article-journal","container-title":"Droit social","issue":"12","page":"1186-1189","title":"L'entreprise de tendance laïque","author":[{"family":"Gaudu","given":"François"}],"issued":{"date-parts":[["2011"]]}},"locator":"1186"}],"schema":"https://github.com/citation-style-language/schema/raw/master/csl-citation.json"} </w:instrText>
      </w:r>
      <w:r w:rsidRPr="00022216">
        <w:fldChar w:fldCharType="separate"/>
      </w:r>
      <w:r w:rsidRPr="00FA1CBB">
        <w:rPr>
          <w:rFonts w:cs="Times New Roman"/>
          <w:szCs w:val="24"/>
        </w:rPr>
        <w:t xml:space="preserve">V. </w:t>
      </w:r>
      <w:r w:rsidRPr="00FA1CBB">
        <w:rPr>
          <w:rFonts w:cs="Times New Roman"/>
          <w:smallCaps/>
          <w:szCs w:val="24"/>
        </w:rPr>
        <w:t>Valentin</w:t>
      </w:r>
      <w:r w:rsidRPr="00FA1CBB">
        <w:rPr>
          <w:rFonts w:cs="Times New Roman"/>
          <w:szCs w:val="24"/>
        </w:rPr>
        <w:t xml:space="preserve">, « La notion d’entreprise de conviction “laïque” »,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xml:space="preserve">, pp. 277‑278 ; H. </w:t>
      </w:r>
      <w:r w:rsidRPr="00FA1CBB">
        <w:rPr>
          <w:rFonts w:cs="Times New Roman"/>
          <w:smallCaps/>
          <w:szCs w:val="24"/>
        </w:rPr>
        <w:t>Pena-Ruiz</w:t>
      </w:r>
      <w:r w:rsidRPr="00FA1CBB">
        <w:rPr>
          <w:rFonts w:cs="Times New Roman"/>
          <w:szCs w:val="24"/>
        </w:rPr>
        <w:t xml:space="preserve">, </w:t>
      </w:r>
      <w:r w:rsidRPr="00FA1CBB">
        <w:rPr>
          <w:rFonts w:cs="Times New Roman"/>
          <w:i/>
          <w:iCs/>
          <w:szCs w:val="24"/>
        </w:rPr>
        <w:t>Dictionnaire amoureux de la laïcité</w:t>
      </w:r>
      <w:r w:rsidRPr="00FA1CBB">
        <w:rPr>
          <w:rFonts w:cs="Times New Roman"/>
          <w:szCs w:val="24"/>
        </w:rPr>
        <w:t xml:space="preserve">, Dictionnaire amoureux, Paris, Plon, 2014, p. 293 ; C. </w:t>
      </w:r>
      <w:proofErr w:type="spellStart"/>
      <w:r w:rsidRPr="00FA1CBB">
        <w:rPr>
          <w:rFonts w:cs="Times New Roman"/>
          <w:smallCaps/>
          <w:szCs w:val="24"/>
        </w:rPr>
        <w:t>Kintzler</w:t>
      </w:r>
      <w:proofErr w:type="spellEnd"/>
      <w:r w:rsidRPr="00FA1CBB">
        <w:rPr>
          <w:rFonts w:cs="Times New Roman"/>
          <w:szCs w:val="24"/>
        </w:rPr>
        <w:t xml:space="preserve">, </w:t>
      </w:r>
      <w:r w:rsidRPr="00FA1CBB">
        <w:rPr>
          <w:rFonts w:cs="Times New Roman"/>
          <w:i/>
          <w:iCs/>
          <w:szCs w:val="24"/>
        </w:rPr>
        <w:t>Penser la laïcité</w:t>
      </w:r>
      <w:r w:rsidRPr="00FA1CBB">
        <w:rPr>
          <w:rFonts w:cs="Times New Roman"/>
          <w:szCs w:val="24"/>
        </w:rPr>
        <w:t xml:space="preserve">,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xml:space="preserve">, pp. 148‑150 ; G. </w:t>
      </w:r>
      <w:r w:rsidRPr="00FA1CBB">
        <w:rPr>
          <w:rFonts w:cs="Times New Roman"/>
          <w:smallCaps/>
          <w:szCs w:val="24"/>
        </w:rPr>
        <w:t>Calvès</w:t>
      </w:r>
      <w:r w:rsidRPr="00FA1CBB">
        <w:rPr>
          <w:rFonts w:cs="Times New Roman"/>
          <w:szCs w:val="24"/>
        </w:rPr>
        <w:t xml:space="preserve">, « La chambre sociale de la Cour de Cassation face à l’affaire Baby Loup : Trois leçons de droit, et un silence assourdissant »,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xml:space="preserve"> ; F. </w:t>
      </w:r>
      <w:proofErr w:type="spellStart"/>
      <w:r w:rsidRPr="00FA1CBB">
        <w:rPr>
          <w:rFonts w:cs="Times New Roman"/>
          <w:smallCaps/>
          <w:szCs w:val="24"/>
        </w:rPr>
        <w:t>Gaudu</w:t>
      </w:r>
      <w:proofErr w:type="spellEnd"/>
      <w:r w:rsidRPr="00FA1CBB">
        <w:rPr>
          <w:rFonts w:cs="Times New Roman"/>
          <w:szCs w:val="24"/>
        </w:rPr>
        <w:t xml:space="preserve">, « L’entreprise de tendance laïque », </w:t>
      </w:r>
      <w:r w:rsidRPr="00FA1CBB">
        <w:rPr>
          <w:rFonts w:cs="Times New Roman"/>
          <w:i/>
          <w:iCs/>
          <w:szCs w:val="24"/>
        </w:rPr>
        <w:t xml:space="preserve">op. </w:t>
      </w:r>
      <w:proofErr w:type="spellStart"/>
      <w:r w:rsidRPr="00FA1CBB">
        <w:rPr>
          <w:rFonts w:cs="Times New Roman"/>
          <w:i/>
          <w:iCs/>
          <w:szCs w:val="24"/>
        </w:rPr>
        <w:t>cit</w:t>
      </w:r>
      <w:proofErr w:type="spellEnd"/>
      <w:r w:rsidRPr="00FA1CBB">
        <w:rPr>
          <w:rFonts w:cs="Times New Roman"/>
          <w:i/>
          <w:iCs/>
          <w:szCs w:val="24"/>
        </w:rPr>
        <w:t>.</w:t>
      </w:r>
      <w:r w:rsidRPr="00FA1CBB">
        <w:rPr>
          <w:rFonts w:cs="Times New Roman"/>
          <w:szCs w:val="24"/>
        </w:rPr>
        <w:t>, p. 1186.</w:t>
      </w:r>
      <w:r w:rsidRPr="00022216">
        <w:fldChar w:fldCharType="end"/>
      </w:r>
    </w:p>
  </w:footnote>
  <w:footnote w:id="320">
    <w:p w14:paraId="2FBC9924" w14:textId="68431E45" w:rsidR="000D6C77" w:rsidRPr="00022216" w:rsidRDefault="000D6C77" w:rsidP="002A55A1">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{"citationID":"nFFJbwXC","properties":{"formattedCitation":"J. {\\scaps Mouly}, \\uc0\\u171{}\\uc0\\u160{}L\\uc0\\u8217{}affaire Baby-Loup devant la Cour de renvoi\\uc0\\u8239{}: la revanche de la la\\uc0\\u239{}cit\\uc0\\u233{}\\uc0\\u8239{}?\\uc0\\u160{}\\uc0\\u187{}, {\\i{}op. cit.}, p. 67\\uc0\\u160{}; P. {\\scaps Delvolv\\uc0\\u233{}}, \\uc0\\u171{}\\uc0\\u160{}Entreprise priv\\uc0\\u233{}e, la\\uc0\\u239{}cit\\uc0\\u233{}, libert\\uc0\\u233{} religieuse. L\\uc0\\u8217{}affaire Baby-Loup\\uc0\\u160{}\\uc0\\u187{}, {\\i{}op. cit.}, p. 957.","plainCitation":"J. Mouly, « L’affaire Baby-Loup devant la Cour de renvoi : la revanche de la laïcité ? », op. cit., p. 67 ; P. Delvolvé, « Entreprise privée, laïcité, liberté religieuse. L’affaire Baby-Loup », op. cit., p. 957.","noteIndex":400},"citationItems":[{"id":2615,"uris":["http://zotero.org/users/5133869/items/JX5N5W2Z"],"itemData":{"id":2615,"type":"article-journal","container-title":"Recueil Dalloz","page":"66-71","title":"L'affaire Baby-Loup devant la Cour de renvoi : la revanche de la laïcité ?","author":[{"family":"Mouly","given":"Jean"}],"issued":{"date-parts":[["2014"]]}},"locator":"67"},{"id":1318,"uris":["http://zotero.org/users/5133869/items/SBD4TKSA"],"itemData":{"id":1318,"type":"article-journal","container-title":"Revue française de droit administratif","issue":"5","page":"954-961","title":"Entreprise privée, laïcité, liberté religieuse. L’affaire Baby-Loup","author":[{"family":"Delvolvé","given":"P"}],"issued":{"date-parts":[["2014"]]}},"locator":"957"}],"schema":"https://github.com/citation-style-language/schema/raw/master/csl-citation.json"} </w:instrText>
      </w:r>
      <w:r w:rsidRPr="00022216">
        <w:fldChar w:fldCharType="separate"/>
      </w:r>
      <w:r w:rsidRPr="00D57414">
        <w:rPr>
          <w:rFonts w:cs="Times New Roman"/>
          <w:szCs w:val="24"/>
        </w:rPr>
        <w:t xml:space="preserve">J. </w:t>
      </w:r>
      <w:proofErr w:type="spellStart"/>
      <w:r w:rsidRPr="00D57414">
        <w:rPr>
          <w:rFonts w:cs="Times New Roman"/>
          <w:smallCaps/>
          <w:szCs w:val="24"/>
        </w:rPr>
        <w:t>Mouly</w:t>
      </w:r>
      <w:proofErr w:type="spellEnd"/>
      <w:r w:rsidRPr="00D57414">
        <w:rPr>
          <w:rFonts w:cs="Times New Roman"/>
          <w:szCs w:val="24"/>
        </w:rPr>
        <w:t xml:space="preserve">, « L’affaire Baby-Loup devant la Cour de renvoi : la revanche de la laïcité ? », </w:t>
      </w:r>
      <w:r w:rsidRPr="00D57414">
        <w:rPr>
          <w:rFonts w:cs="Times New Roman"/>
          <w:i/>
          <w:iCs/>
          <w:szCs w:val="24"/>
        </w:rPr>
        <w:t xml:space="preserve">op. </w:t>
      </w:r>
      <w:proofErr w:type="spellStart"/>
      <w:r w:rsidRPr="00D57414">
        <w:rPr>
          <w:rFonts w:cs="Times New Roman"/>
          <w:i/>
          <w:iCs/>
          <w:szCs w:val="24"/>
        </w:rPr>
        <w:t>cit</w:t>
      </w:r>
      <w:proofErr w:type="spellEnd"/>
      <w:r w:rsidRPr="00D57414">
        <w:rPr>
          <w:rFonts w:cs="Times New Roman"/>
          <w:i/>
          <w:iCs/>
          <w:szCs w:val="24"/>
        </w:rPr>
        <w:t>.</w:t>
      </w:r>
      <w:r w:rsidRPr="00D57414">
        <w:rPr>
          <w:rFonts w:cs="Times New Roman"/>
          <w:szCs w:val="24"/>
        </w:rPr>
        <w:t xml:space="preserve">, p. 67 ; P. </w:t>
      </w:r>
      <w:proofErr w:type="spellStart"/>
      <w:r w:rsidRPr="00D57414">
        <w:rPr>
          <w:rFonts w:cs="Times New Roman"/>
          <w:smallCaps/>
          <w:szCs w:val="24"/>
        </w:rPr>
        <w:t>Delvolvé</w:t>
      </w:r>
      <w:proofErr w:type="spellEnd"/>
      <w:r w:rsidRPr="00D57414">
        <w:rPr>
          <w:rFonts w:cs="Times New Roman"/>
          <w:szCs w:val="24"/>
        </w:rPr>
        <w:t xml:space="preserve">, « Entreprise privée, laïcité, liberté religieuse. L’affaire Baby-Loup », </w:t>
      </w:r>
      <w:r w:rsidRPr="00D57414">
        <w:rPr>
          <w:rFonts w:cs="Times New Roman"/>
          <w:i/>
          <w:iCs/>
          <w:szCs w:val="24"/>
        </w:rPr>
        <w:t xml:space="preserve">op. </w:t>
      </w:r>
      <w:proofErr w:type="spellStart"/>
      <w:r w:rsidRPr="00D57414">
        <w:rPr>
          <w:rFonts w:cs="Times New Roman"/>
          <w:i/>
          <w:iCs/>
          <w:szCs w:val="24"/>
        </w:rPr>
        <w:t>cit</w:t>
      </w:r>
      <w:proofErr w:type="spellEnd"/>
      <w:r w:rsidRPr="00D57414">
        <w:rPr>
          <w:rFonts w:cs="Times New Roman"/>
          <w:i/>
          <w:iCs/>
          <w:szCs w:val="24"/>
        </w:rPr>
        <w:t>.</w:t>
      </w:r>
      <w:r w:rsidRPr="00D57414">
        <w:rPr>
          <w:rFonts w:cs="Times New Roman"/>
          <w:szCs w:val="24"/>
        </w:rPr>
        <w:t>, p. 957.</w:t>
      </w:r>
      <w:r w:rsidRPr="00022216">
        <w:fldChar w:fldCharType="end"/>
      </w:r>
    </w:p>
  </w:footnote>
  <w:footnote w:id="321">
    <w:p w14:paraId="03364542" w14:textId="77777777" w:rsidR="000D6C77" w:rsidRPr="00022216" w:rsidRDefault="000D6C77" w:rsidP="002A55A1">
      <w:pPr>
        <w:pStyle w:val="Notedebasdepage"/>
      </w:pPr>
      <w:r w:rsidRPr="00022216">
        <w:rPr>
          <w:rStyle w:val="Appelnotedebasdep"/>
        </w:rPr>
        <w:footnoteRef/>
      </w:r>
      <w:r w:rsidRPr="00022216">
        <w:t xml:space="preserve"> </w:t>
      </w:r>
      <w:r w:rsidRPr="00022216">
        <w:rPr>
          <w:i/>
          <w:iCs/>
        </w:rPr>
        <w:t>deMens.nu</w:t>
      </w:r>
      <w:r w:rsidRPr="00022216">
        <w:t xml:space="preserve"> est le nom usuel de l’</w:t>
      </w:r>
      <w:r w:rsidRPr="00022216">
        <w:rPr>
          <w:i/>
          <w:iCs/>
        </w:rPr>
        <w:t xml:space="preserve">Unie </w:t>
      </w:r>
      <w:proofErr w:type="spellStart"/>
      <w:r w:rsidRPr="00022216">
        <w:rPr>
          <w:i/>
          <w:iCs/>
        </w:rPr>
        <w:t>Vrijzinnige</w:t>
      </w:r>
      <w:proofErr w:type="spellEnd"/>
      <w:r w:rsidRPr="00022216">
        <w:rPr>
          <w:i/>
          <w:iCs/>
        </w:rPr>
        <w:t xml:space="preserve"> </w:t>
      </w:r>
      <w:proofErr w:type="spellStart"/>
      <w:r w:rsidRPr="00022216">
        <w:rPr>
          <w:i/>
          <w:iCs/>
        </w:rPr>
        <w:t>Verenigingen</w:t>
      </w:r>
      <w:proofErr w:type="spellEnd"/>
      <w:r w:rsidRPr="00022216">
        <w:rPr>
          <w:i/>
          <w:iCs/>
        </w:rPr>
        <w:t xml:space="preserve"> </w:t>
      </w:r>
      <w:r w:rsidRPr="00022216">
        <w:t xml:space="preserve">(UVV), Union des associations de la libre-pensée, </w:t>
      </w:r>
      <w:r>
        <w:t>é</w:t>
      </w:r>
      <w:r w:rsidRPr="00022216">
        <w:t>quivalent néerlandophone du CAL</w:t>
      </w:r>
      <w:r>
        <w:fldChar w:fldCharType="begin"/>
      </w:r>
      <w:r>
        <w:instrText xml:space="preserve"> XE "</w:instrText>
      </w:r>
      <w:r w:rsidRPr="005F6D4C">
        <w:rPr>
          <w:rFonts w:ascii="Cambria" w:eastAsia="Times New Roman" w:hAnsi="Cambria" w:cs="Calibri"/>
          <w:color w:val="000000"/>
          <w:lang w:eastAsia="fr-BE"/>
        </w:rPr>
        <w:instrText>Laïcité organisée"</w:instrText>
      </w:r>
      <w:r>
        <w:instrText xml:space="preserve"> </w:instrText>
      </w:r>
      <w:r>
        <w:fldChar w:fldCharType="end"/>
      </w:r>
      <w:r w:rsidRPr="00022216">
        <w:t xml:space="preserve"> sur le plan belge.</w:t>
      </w:r>
    </w:p>
  </w:footnote>
  <w:footnote w:id="322">
    <w:p w14:paraId="540B9977" w14:textId="77777777" w:rsidR="000D6C77" w:rsidRPr="0031477A" w:rsidRDefault="000D6C77" w:rsidP="002A55A1">
      <w:pPr>
        <w:pStyle w:val="Notedebasdepage"/>
        <w:rPr>
          <w:lang w:val="nl-BE"/>
        </w:rPr>
      </w:pPr>
      <w:r w:rsidRPr="00022216">
        <w:rPr>
          <w:rStyle w:val="Appelnotedebasdep"/>
        </w:rPr>
        <w:footnoteRef/>
      </w:r>
      <w:r w:rsidRPr="0031477A">
        <w:rPr>
          <w:lang w:val="nl-BE"/>
        </w:rPr>
        <w:t xml:space="preserve"> </w:t>
      </w:r>
      <w:r w:rsidRPr="0031477A">
        <w:rPr>
          <w:rFonts w:cs="Times New Roman"/>
          <w:lang w:val="nl-BE"/>
        </w:rPr>
        <w:t xml:space="preserve">Centre </w:t>
      </w:r>
      <w:proofErr w:type="spellStart"/>
      <w:r w:rsidRPr="0031477A">
        <w:rPr>
          <w:rFonts w:cs="Times New Roman"/>
          <w:lang w:val="nl-BE"/>
        </w:rPr>
        <w:t>d’Action</w:t>
      </w:r>
      <w:proofErr w:type="spellEnd"/>
      <w:r w:rsidRPr="0031477A">
        <w:rPr>
          <w:rFonts w:cs="Times New Roman"/>
          <w:lang w:val="nl-BE"/>
        </w:rPr>
        <w:t xml:space="preserve"> </w:t>
      </w:r>
      <w:proofErr w:type="spellStart"/>
      <w:r w:rsidRPr="0031477A">
        <w:rPr>
          <w:rFonts w:cs="Times New Roman"/>
          <w:lang w:val="nl-BE"/>
        </w:rPr>
        <w:t>Laïque</w:t>
      </w:r>
      <w:proofErr w:type="spellEnd"/>
      <w:r w:rsidRPr="0031477A">
        <w:rPr>
          <w:rFonts w:cs="Times New Roman"/>
          <w:lang w:val="nl-BE"/>
        </w:rPr>
        <w:t xml:space="preserve">, </w:t>
      </w:r>
      <w:proofErr w:type="spellStart"/>
      <w:r w:rsidRPr="0031477A">
        <w:rPr>
          <w:rFonts w:cs="Times New Roman"/>
          <w:i/>
          <w:lang w:val="nl-BE"/>
        </w:rPr>
        <w:t>Statuts</w:t>
      </w:r>
      <w:proofErr w:type="spellEnd"/>
      <w:r w:rsidRPr="0031477A">
        <w:rPr>
          <w:rFonts w:cs="Times New Roman"/>
          <w:lang w:val="nl-BE"/>
        </w:rPr>
        <w:t xml:space="preserve">, art. </w:t>
      </w:r>
      <w:proofErr w:type="gramStart"/>
      <w:r w:rsidRPr="0031477A">
        <w:rPr>
          <w:rFonts w:cs="Times New Roman"/>
          <w:lang w:val="nl-BE"/>
        </w:rPr>
        <w:t>4.1 ;</w:t>
      </w:r>
      <w:proofErr w:type="gramEnd"/>
      <w:r w:rsidRPr="0031477A">
        <w:rPr>
          <w:rFonts w:cs="Times New Roman"/>
          <w:lang w:val="nl-BE"/>
        </w:rPr>
        <w:t xml:space="preserve"> </w:t>
      </w:r>
      <w:r w:rsidRPr="0031477A">
        <w:rPr>
          <w:i/>
          <w:iCs/>
          <w:lang w:val="nl-BE"/>
        </w:rPr>
        <w:t>Unie Vrijzinnige Verenigingen</w:t>
      </w:r>
      <w:r w:rsidRPr="0031477A">
        <w:rPr>
          <w:u w:val="single"/>
          <w:lang w:val="nl-BE"/>
        </w:rPr>
        <w:t>,</w:t>
      </w:r>
      <w:r w:rsidRPr="0031477A">
        <w:rPr>
          <w:lang w:val="nl-BE"/>
        </w:rPr>
        <w:t xml:space="preserve"> </w:t>
      </w:r>
      <w:proofErr w:type="spellStart"/>
      <w:r w:rsidRPr="0031477A">
        <w:rPr>
          <w:lang w:val="nl-BE"/>
        </w:rPr>
        <w:t>statuts</w:t>
      </w:r>
      <w:proofErr w:type="spellEnd"/>
      <w:r w:rsidRPr="0031477A">
        <w:rPr>
          <w:lang w:val="nl-BE"/>
        </w:rPr>
        <w:t>, art. 4.1.</w:t>
      </w:r>
    </w:p>
  </w:footnote>
  <w:footnote w:id="323">
    <w:p w14:paraId="5C0B55AE" w14:textId="77777777" w:rsidR="000D6C77" w:rsidRPr="00022216" w:rsidRDefault="000D6C77" w:rsidP="002A55A1">
      <w:pPr>
        <w:pStyle w:val="Notedebasdepage"/>
      </w:pPr>
      <w:r w:rsidRPr="00022216">
        <w:rPr>
          <w:rStyle w:val="Appelnotedebasdep"/>
        </w:rPr>
        <w:footnoteRef/>
      </w:r>
      <w:r w:rsidRPr="00022216">
        <w:t xml:space="preserve"> Citons notamment, du côté du CAL</w:t>
      </w:r>
      <w:r>
        <w:fldChar w:fldCharType="begin"/>
      </w:r>
      <w:r>
        <w:instrText xml:space="preserve"> XE "</w:instrText>
      </w:r>
      <w:r w:rsidRPr="005F6D4C">
        <w:rPr>
          <w:rFonts w:ascii="Cambria" w:eastAsia="Times New Roman" w:hAnsi="Cambria" w:cs="Calibri"/>
          <w:color w:val="000000"/>
          <w:lang w:eastAsia="fr-BE"/>
        </w:rPr>
        <w:instrText>Laïcité organisée"</w:instrText>
      </w:r>
      <w:r>
        <w:instrText xml:space="preserve"> </w:instrText>
      </w:r>
      <w:r>
        <w:fldChar w:fldCharType="end"/>
      </w:r>
      <w:r w:rsidRPr="00022216">
        <w:t xml:space="preserve">, l’ASBL « Solidarité-Logement », le Service Laïque Jeunesse, la Fédération Laïque de l’Aide à la Jeunesse, la Fédération des Services Laïques d’Aide aux Justiciables, « Drogues Actions Wallonie » ; du côté de l’UVV, citons notamment « SOS </w:t>
      </w:r>
      <w:proofErr w:type="spellStart"/>
      <w:r w:rsidRPr="00022216">
        <w:t>Nuchterheid</w:t>
      </w:r>
      <w:proofErr w:type="spellEnd"/>
      <w:r w:rsidRPr="00022216">
        <w:t> » (assuétudes) et « De Cocon » (aide aux familles et à la jeunesse).</w:t>
      </w:r>
    </w:p>
  </w:footnote>
  <w:footnote w:id="324">
    <w:p w14:paraId="39E2D0D3" w14:textId="71ED248A" w:rsidR="000D6C77" w:rsidRPr="00022216" w:rsidRDefault="000D6C77" w:rsidP="002A55A1">
      <w:pPr>
        <w:pStyle w:val="Notedebasdepage"/>
      </w:pPr>
      <w:r w:rsidRPr="00022216">
        <w:rPr>
          <w:rStyle w:val="Appelnotedebasdep"/>
        </w:rPr>
        <w:footnoteRef/>
      </w:r>
      <w:r w:rsidRPr="00022216">
        <w:t xml:space="preserve"> Ces termes correspondent à l’expression initialement envisagée par le projet de </w:t>
      </w:r>
      <w:r>
        <w:t>directive</w:t>
      </w:r>
      <w:r w:rsidRPr="00022216">
        <w:t xml:space="preserve"> 2000/78</w:t>
      </w:r>
      <w:r>
        <w:t xml:space="preserve">/CE </w:t>
      </w:r>
      <w:r w:rsidRPr="002F159A">
        <w:t>: n’étaient alors visées que les organisations « qui ont pour objectif direct et essentiel l’orientation idéologique dans le domaine de la religion ou de la croyance en ce qui concerne l’enseignement, l’information et l’expression d’opinions »</w:t>
      </w:r>
      <w:r>
        <w:t xml:space="preserve"> (</w:t>
      </w:r>
      <w:r w:rsidRPr="00416A6B">
        <w:rPr>
          <w:i/>
          <w:iCs/>
        </w:rPr>
        <w:t>J.O.C.E</w:t>
      </w:r>
      <w:r w:rsidRPr="00416A6B">
        <w:t>., 27 juin 2000, C 177 E, p. 42</w:t>
      </w:r>
      <w:r>
        <w:t>)</w:t>
      </w:r>
      <w:r w:rsidRPr="002F159A">
        <w:t xml:space="preserve">. La version finale de la disposition </w:t>
      </w:r>
      <w:r>
        <w:t xml:space="preserve">vise </w:t>
      </w:r>
      <w:r w:rsidRPr="002F159A">
        <w:t xml:space="preserve">à tenir compte de la situation spécifique de certains pays – au premier chef desquels figurait l’Allemagne, dont le droit interne tient compte de la spécificité convictionnelle des </w:t>
      </w:r>
      <w:proofErr w:type="spellStart"/>
      <w:r w:rsidRPr="002F159A">
        <w:rPr>
          <w:i/>
          <w:iCs/>
        </w:rPr>
        <w:t>tendenzbetriebe</w:t>
      </w:r>
      <w:proofErr w:type="spellEnd"/>
      <w:r w:rsidRPr="002F159A">
        <w:rPr>
          <w:i/>
          <w:iCs/>
        </w:rPr>
        <w:t xml:space="preserve"> </w:t>
      </w:r>
      <w:r w:rsidRPr="002F159A">
        <w:t xml:space="preserve">(« entreprises de tendance »). </w:t>
      </w:r>
      <w:r>
        <w:rPr>
          <w:i/>
          <w:iCs/>
        </w:rPr>
        <w:t xml:space="preserve">In fine, </w:t>
      </w:r>
      <w:r>
        <w:t>l</w:t>
      </w:r>
      <w:r w:rsidRPr="002F159A">
        <w:t>’activité de l’entreprise n’apparaît donc finalement plus comme un critère déterminant ; seule suffit l’existence d’une éthique convictionnelle à laquelle celle-ci se rattache</w:t>
      </w:r>
      <w:r>
        <w:t>.</w:t>
      </w:r>
    </w:p>
  </w:footnote>
  <w:footnote w:id="325">
    <w:p w14:paraId="6B4D5D8C" w14:textId="77777777" w:rsidR="000D6C77" w:rsidRPr="00022216" w:rsidRDefault="000D6C77" w:rsidP="004C0055">
      <w:pPr>
        <w:pStyle w:val="Notedebasdepage"/>
      </w:pPr>
      <w:r w:rsidRPr="00022216">
        <w:rPr>
          <w:rStyle w:val="Appelnotedebasdep"/>
        </w:rPr>
        <w:footnoteRef/>
      </w:r>
      <w:r w:rsidRPr="00022216">
        <w:t xml:space="preserve"> L’on notera en effet, dans le contexte français, la référence récurrente au vocable de laïcité pour désigner l’entreprise de tendance</w:t>
      </w:r>
      <w:r>
        <w:fldChar w:fldCharType="begin"/>
      </w:r>
      <w:r>
        <w:instrText xml:space="preserve"> XE "</w:instrText>
      </w:r>
      <w:r w:rsidRPr="005F6D4C">
        <w:rPr>
          <w:rFonts w:ascii="Cambria" w:eastAsia="Times New Roman" w:hAnsi="Cambria" w:cs="Calibri"/>
          <w:color w:val="000000"/>
          <w:lang w:eastAsia="fr-BE"/>
        </w:rPr>
        <w:instrText>Entreprise de tendance"</w:instrText>
      </w:r>
      <w:r>
        <w:instrText xml:space="preserve"> </w:instrText>
      </w:r>
      <w:r>
        <w:fldChar w:fldCharType="end"/>
      </w:r>
      <w:r w:rsidRPr="00022216">
        <w:t xml:space="preserve"> neutre</w:t>
      </w:r>
      <w:r>
        <w:fldChar w:fldCharType="begin"/>
      </w:r>
      <w:r>
        <w:instrText xml:space="preserve"> XE "</w:instrText>
      </w:r>
      <w:r w:rsidRPr="005F6D4C">
        <w:rPr>
          <w:rFonts w:ascii="Cambria" w:eastAsia="Times New Roman" w:hAnsi="Cambria" w:cs="Calibri"/>
          <w:color w:val="000000"/>
          <w:lang w:eastAsia="fr-BE"/>
        </w:rPr>
        <w:instrText>Entreprise de tendance:Entreprise de tendance neutre"</w:instrText>
      </w:r>
      <w:r>
        <w:instrText xml:space="preserve"> </w:instrText>
      </w:r>
      <w:r>
        <w:fldChar w:fldCharType="end"/>
      </w:r>
      <w:r w:rsidRPr="00022216">
        <w:t>.</w:t>
      </w:r>
    </w:p>
  </w:footnote>
  <w:footnote w:id="326">
    <w:p w14:paraId="120AC14B" w14:textId="580C1921" w:rsidR="000D6C77" w:rsidRPr="00022216" w:rsidRDefault="000D6C77" w:rsidP="004C0055">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{"citationID":"3gn9wCu1","properties":{"formattedCitation":"F. {\\scaps Gaudu}, \\uc0\\u171{}\\uc0\\u160{}L\\uc0\\u8217{}entreprise de tendance la\\uc0\\u239{}que\\uc0\\u160{}\\uc0\\u187{}, {\\i{}op. cit.}, pp. 1187\\uc0\\u8209{}1188.","plainCitation":"F. Gaudu, « L’entreprise de tendance laïque », op. cit., pp. 1187‑1188.","noteIndex":407},"citationItems":[{"id":113,"uris":["http://zotero.org/users/5133869/items/ABWJTQ9D"],"itemData":{"id":113,"type":"article-journal","container-title":"Droit social","issue":"12","page":"1186-1189","title":"L'entreprise de tendance laïque","author":[{"family":"Gaudu","given":"François"}],"issued":{"date-parts":[["2011"]]}},"locator":"1187-1188"}],"schema":"https://github.com/citation-style-language/schema/raw/master/csl-citation.json"} </w:instrText>
      </w:r>
      <w:r w:rsidRPr="00022216">
        <w:fldChar w:fldCharType="separate"/>
      </w:r>
      <w:r w:rsidRPr="00022216">
        <w:rPr>
          <w:rFonts w:cs="Times New Roman"/>
          <w:szCs w:val="24"/>
        </w:rPr>
        <w:t xml:space="preserve">F. </w:t>
      </w:r>
      <w:proofErr w:type="spellStart"/>
      <w:r w:rsidRPr="00022216">
        <w:rPr>
          <w:rFonts w:cs="Times New Roman"/>
          <w:smallCaps/>
          <w:szCs w:val="24"/>
        </w:rPr>
        <w:t>Gaudu</w:t>
      </w:r>
      <w:proofErr w:type="spellEnd"/>
      <w:r w:rsidRPr="00022216">
        <w:rPr>
          <w:rFonts w:cs="Times New Roman"/>
          <w:szCs w:val="24"/>
        </w:rPr>
        <w:t>, « L’entreprise de tendance</w:t>
      </w:r>
      <w:r>
        <w:rPr>
          <w:rFonts w:cs="Times New Roman"/>
          <w:szCs w:val="24"/>
        </w:rPr>
        <w:fldChar w:fldCharType="begin"/>
      </w:r>
      <w:r>
        <w:rPr>
          <w:rFonts w:cs="Times New Roman"/>
          <w:szCs w:val="24"/>
        </w:rPr>
        <w:instrText xml:space="preserve"> XE "</w:instrText>
      </w:r>
      <w:r w:rsidRPr="005F6D4C">
        <w:rPr>
          <w:rFonts w:ascii="Cambria" w:eastAsia="Times New Roman" w:hAnsi="Cambria" w:cs="Calibri"/>
          <w:color w:val="000000"/>
          <w:lang w:eastAsia="fr-BE"/>
        </w:rPr>
        <w:instrText>Entreprise de tendance"</w:instrText>
      </w:r>
      <w:r>
        <w:rPr>
          <w:rFonts w:cs="Times New Roman"/>
          <w:szCs w:val="24"/>
        </w:rPr>
        <w:instrText xml:space="preserve"> </w:instrText>
      </w:r>
      <w:r>
        <w:rPr>
          <w:rFonts w:cs="Times New Roman"/>
          <w:szCs w:val="24"/>
        </w:rPr>
        <w:fldChar w:fldCharType="end"/>
      </w:r>
      <w:r w:rsidRPr="00022216">
        <w:rPr>
          <w:rFonts w:cs="Times New Roman"/>
          <w:szCs w:val="24"/>
        </w:rPr>
        <w:t xml:space="preserve"> laïque</w:t>
      </w:r>
      <w:r>
        <w:rPr>
          <w:rFonts w:cs="Times New Roman"/>
          <w:szCs w:val="24"/>
        </w:rPr>
        <w:fldChar w:fldCharType="begin"/>
      </w:r>
      <w:r>
        <w:rPr>
          <w:rFonts w:cs="Times New Roman"/>
          <w:szCs w:val="24"/>
        </w:rPr>
        <w:instrText xml:space="preserve"> XE "</w:instrText>
      </w:r>
      <w:r w:rsidRPr="005F6D4C">
        <w:rPr>
          <w:rFonts w:ascii="Cambria" w:eastAsia="Times New Roman" w:hAnsi="Cambria" w:cs="Calibri"/>
          <w:color w:val="000000"/>
          <w:lang w:eastAsia="fr-BE"/>
        </w:rPr>
        <w:instrText>Entreprise de tendance:Entreprise de tendance neutre"</w:instrText>
      </w:r>
      <w:r>
        <w:rPr>
          <w:rFonts w:cs="Times New Roman"/>
          <w:szCs w:val="24"/>
        </w:rPr>
        <w:instrText xml:space="preserve"> </w:instrText>
      </w:r>
      <w:r>
        <w:rPr>
          <w:rFonts w:cs="Times New Roman"/>
          <w:szCs w:val="24"/>
        </w:rPr>
        <w:fldChar w:fldCharType="end"/>
      </w:r>
      <w:r w:rsidRPr="00022216">
        <w:rPr>
          <w:rFonts w:cs="Times New Roman"/>
          <w:szCs w:val="24"/>
        </w:rPr>
        <w:t xml:space="preserve">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pp. 1187‑1188.</w:t>
      </w:r>
      <w:r w:rsidRPr="00022216">
        <w:fldChar w:fldCharType="end"/>
      </w:r>
      <w:r w:rsidRPr="00022216">
        <w:t xml:space="preserve"> </w:t>
      </w:r>
      <w:r>
        <w:t xml:space="preserve">En ce sens, </w:t>
      </w:r>
      <w:proofErr w:type="spellStart"/>
      <w:r>
        <w:t>voy</w:t>
      </w:r>
      <w:proofErr w:type="spellEnd"/>
      <w:r>
        <w:t xml:space="preserve">. </w:t>
      </w:r>
      <w:r w:rsidRPr="00022216">
        <w:fldChar w:fldCharType="begin"/>
      </w:r>
      <w:r>
        <w:instrText xml:space="preserve"> ADDIN ZOTERO_ITEM CSL_CITATION {"citationID":"z9l78XpQ","properties":{"formattedCitation":"G. {\\scaps Calv\\uc0\\u232{}s}, \\uc0\\u171{}\\uc0\\u160{}La chambre sociale de la Cour de Cassation face \\uc0\\u224{} l\\uc0\\u8217{}affaire Baby Loup\\uc0\\u8239{}: Trois le\\uc0\\u231{}ons de droit, et un silence assourdissant\\uc0\\u160{}\\uc0\\u187{}, {\\i{}op. cit.}","plainCitation":"G. Calvès, « La chambre sociale de la Cour de Cassation face à l’affaire Baby Loup : Trois leçons de droit, et un silence assourdissant », op. cit.","noteIndex":407},"citationItems":[{"id":1321,"uris":["http://zotero.org/users/5133869/items/NNMJ8VPF"],"itemData":{"id":1321,"type":"article-journal","container-title":"Res Publica","title":"La chambre sociale de la Cour de Cassation face à l’affaire Baby Loup : Trois leçons de droit, et un silence assourdissant","author":[{"family":"Calvès","given":"Gwénaële"}],"issued":{"date-parts":[["2013",3,21]]}}}],"schema":"https://github.com/citation-style-language/schema/raw/master/csl-citation.json"} </w:instrText>
      </w:r>
      <w:r w:rsidRPr="00022216">
        <w:fldChar w:fldCharType="separate"/>
      </w:r>
      <w:r w:rsidRPr="00022216">
        <w:rPr>
          <w:rFonts w:cs="Times New Roman"/>
          <w:szCs w:val="24"/>
        </w:rPr>
        <w:t xml:space="preserve">G. </w:t>
      </w:r>
      <w:r w:rsidRPr="00022216">
        <w:rPr>
          <w:rFonts w:cs="Times New Roman"/>
          <w:smallCaps/>
          <w:szCs w:val="24"/>
        </w:rPr>
        <w:t>Calvès</w:t>
      </w:r>
      <w:r w:rsidRPr="00022216">
        <w:rPr>
          <w:rFonts w:cs="Times New Roman"/>
          <w:szCs w:val="24"/>
        </w:rPr>
        <w:t xml:space="preserve">, « La chambre sociale de la Cour de Cassation face à l’affaire Baby Loup : Trois leçons de droit, et un silence assourdissant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fldChar w:fldCharType="end"/>
      </w:r>
    </w:p>
  </w:footnote>
  <w:footnote w:id="327">
    <w:p w14:paraId="7BC61502" w14:textId="7FFAA8FD" w:rsidR="000D6C77" w:rsidRPr="00022216" w:rsidRDefault="000D6C77" w:rsidP="00233D39">
      <w:pPr>
        <w:pStyle w:val="Notedebasdepage"/>
      </w:pPr>
      <w:r w:rsidRPr="00022216">
        <w:rPr>
          <w:rStyle w:val="Appelnotedebasdep"/>
        </w:rPr>
        <w:footnoteRef/>
      </w:r>
      <w:r w:rsidRPr="00022216">
        <w:t xml:space="preserve"> Notons également les conclusions du Procureur général présentées devant la Cour d’appel de Paris, selon lesquelles il existe effectivement des entreprises de tendance</w:t>
      </w:r>
      <w:r>
        <w:fldChar w:fldCharType="begin"/>
      </w:r>
      <w:r>
        <w:instrText xml:space="preserve"> XE "</w:instrText>
      </w:r>
      <w:r w:rsidRPr="005F6D4C">
        <w:rPr>
          <w:rFonts w:ascii="Cambria" w:eastAsia="Times New Roman" w:hAnsi="Cambria" w:cs="Calibri"/>
          <w:color w:val="000000"/>
          <w:lang w:eastAsia="fr-BE"/>
        </w:rPr>
        <w:instrText>Entreprise de tendance"</w:instrText>
      </w:r>
      <w:r>
        <w:instrText xml:space="preserve"> </w:instrText>
      </w:r>
      <w:r>
        <w:fldChar w:fldCharType="end"/>
      </w:r>
      <w:r w:rsidRPr="00022216">
        <w:t xml:space="preserve"> laïque, « c’est-à-dire celles qui profèrent une distance, voire une indifférence revendiquée au fait religieux » </w:t>
      </w:r>
      <w:r w:rsidRPr="00022216">
        <w:fldChar w:fldCharType="begin"/>
      </w:r>
      <w:r>
        <w:instrText xml:space="preserve"> ADDIN ZOTERO_ITEM CSL_CITATION {"citationID":"sRk0nq88","properties":{"formattedCitation":"(cit\\uc0\\u233{} par M. {\\scaps Morand}, \\uc0\\u171{}\\uc0\\u160{}Entreprises identitaires et religions\\uc0\\u160{}\\uc0\\u187{}, {\\i{}op. cit.}).","plainCitation":"(cité par M. Morand, « Entreprises identitaires et religions », op. cit.).","noteIndex":409},"citationItems":[{"id":1463,"uris":["http://zotero.org/users/5133869/items/GI8A3EKC"],"itemData":{"id":1463,"type":"article-journal","container-title":"Semaine sociale Lamy","issue":"1611","title":"Entreprises identitaires et religions","author":[{"family":"Morand","given":"M"}],"issued":{"date-parts":[["2013"]]}},"prefix":"(cité par","suffix":")"}],"schema":"https://github.com/citation-style-language/schema/raw/master/csl-citation.json"} </w:instrText>
      </w:r>
      <w:r w:rsidRPr="00022216">
        <w:fldChar w:fldCharType="separate"/>
      </w:r>
      <w:r w:rsidRPr="00022216">
        <w:rPr>
          <w:rFonts w:cs="Times New Roman"/>
          <w:szCs w:val="24"/>
        </w:rPr>
        <w:t xml:space="preserve">(cité par M. </w:t>
      </w:r>
      <w:r w:rsidRPr="00022216">
        <w:rPr>
          <w:rFonts w:cs="Times New Roman"/>
          <w:smallCaps/>
          <w:szCs w:val="24"/>
        </w:rPr>
        <w:t>Morand</w:t>
      </w:r>
      <w:r w:rsidRPr="00022216">
        <w:rPr>
          <w:rFonts w:cs="Times New Roman"/>
          <w:szCs w:val="24"/>
        </w:rPr>
        <w:t xml:space="preserve">, « Entreprises identitaires et religions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w:t>
      </w:r>
      <w:r w:rsidRPr="00022216">
        <w:fldChar w:fldCharType="end"/>
      </w:r>
    </w:p>
  </w:footnote>
  <w:footnote w:id="328">
    <w:p w14:paraId="7920DD84" w14:textId="0CE7228F" w:rsidR="000D6C77" w:rsidRPr="00022216" w:rsidRDefault="000D6C77" w:rsidP="00233D39">
      <w:pPr>
        <w:pStyle w:val="Notedebasdepage"/>
      </w:pPr>
      <w:r w:rsidRPr="00022216">
        <w:rPr>
          <w:rStyle w:val="Appelnotedebasdep"/>
        </w:rPr>
        <w:footnoteRef/>
      </w:r>
      <w:r w:rsidRPr="00022216">
        <w:t xml:space="preserve"> C.A. Paris, 27 novembre 2013, n° S 13/02981</w:t>
      </w:r>
      <w:r>
        <w:t xml:space="preserve">, </w:t>
      </w:r>
      <w:r w:rsidRPr="0013043A">
        <w:rPr>
          <w:i/>
        </w:rPr>
        <w:t>JurisData</w:t>
      </w:r>
      <w:r>
        <w:t>,</w:t>
      </w:r>
      <w:r w:rsidRPr="0013043A">
        <w:t xml:space="preserve"> n° 2013-026587</w:t>
      </w:r>
      <w:r w:rsidRPr="00022216">
        <w:t xml:space="preserve">. Cet arrêt est généralement considéré comme un arrêt </w:t>
      </w:r>
      <w:r w:rsidRPr="00022216">
        <w:rPr>
          <w:i/>
          <w:iCs/>
        </w:rPr>
        <w:t>de résistance</w:t>
      </w:r>
      <w:r w:rsidRPr="00022216">
        <w:t xml:space="preserve">, dans la mesure où il fait suite à l’arrêt contraire de la chambre sociale de la Cour de cassation (19 mars 2013, </w:t>
      </w:r>
      <w:proofErr w:type="spellStart"/>
      <w:r w:rsidRPr="00022216">
        <w:t>req</w:t>
      </w:r>
      <w:proofErr w:type="spellEnd"/>
      <w:r w:rsidRPr="00022216">
        <w:t xml:space="preserve">. n° 11-28845), par lequel il était considéré que l’invocation de la neutralité par la crèche ne pouvait valablement justifier l’interdiction des expressions religieuses des travailleurs. Notons que l’Avocat général </w:t>
      </w:r>
      <w:proofErr w:type="spellStart"/>
      <w:r w:rsidRPr="00022216">
        <w:t>Aldigé</w:t>
      </w:r>
      <w:proofErr w:type="spellEnd"/>
      <w:r w:rsidRPr="00022216">
        <w:t>, dans ses conclusions rendues devant la Cour de cassation, avait considéré que la qualification d’entreprise de tendance</w:t>
      </w:r>
      <w:r>
        <w:fldChar w:fldCharType="begin"/>
      </w:r>
      <w:r>
        <w:instrText xml:space="preserve"> XE "</w:instrText>
      </w:r>
      <w:r w:rsidRPr="005F6D4C">
        <w:rPr>
          <w:rFonts w:ascii="Cambria" w:eastAsia="Times New Roman" w:hAnsi="Cambria" w:cs="Calibri"/>
          <w:color w:val="000000"/>
          <w:lang w:eastAsia="fr-BE"/>
        </w:rPr>
        <w:instrText>Entreprise de tendance"</w:instrText>
      </w:r>
      <w:r>
        <w:instrText xml:space="preserve"> </w:instrText>
      </w:r>
      <w:r>
        <w:fldChar w:fldCharType="end"/>
      </w:r>
      <w:r w:rsidRPr="00022216">
        <w:t xml:space="preserve"> pouvait être retenue en l’espèce </w:t>
      </w:r>
      <w:r w:rsidRPr="00022216">
        <w:fldChar w:fldCharType="begin"/>
      </w:r>
      <w:r>
        <w:instrText xml:space="preserve"> ADDIN ZOTERO_ITEM CSL_CITATION {"citationID":"NlMEVgWm","properties":{"formattedCitation":"(F. {\\scaps Champeaux}, \\uc0\\u171{}\\uc0\\u160{}L\\uc0\\u8217{}affaire Baby Loup \\uc0\\u224{} la Cour de cassation. Impressions d\\uc0\\u8217{}audience\\uc0\\u160{}\\uc0\\u187{}, {\\i{}Semaine sociale Lamy}, 2013, n\\uc0\\u176{} 1572).","plainCitation":"(F. Champeaux, « L’affaire Baby Loup à la Cour de cassation. Impressions d’audience », Semaine sociale Lamy, 2013, n° 1572).","noteIndex":400},"citationItems":[{"id":1250,"uris":["http://zotero.org/users/5133869/items/ILMWEJ7C"],"itemData":{"id":1250,"type":"article-journal","container-title":"Semaine sociale Lamy","issue":"1572","title":"L’affaire Baby Loup à la Cour de cassation. Impressions d’audience","author":[{"family":"Champeaux","given":"Françoise"}],"issued":{"date-parts":[["2013"]]}},"prefix":"(","suffix":")"}],"schema":"https://github.com/citation-style-language/schema/raw/master/csl-citation.json"} </w:instrText>
      </w:r>
      <w:r w:rsidRPr="00022216">
        <w:fldChar w:fldCharType="separate"/>
      </w:r>
      <w:r w:rsidRPr="00C543A7">
        <w:rPr>
          <w:rFonts w:cs="Times New Roman"/>
          <w:szCs w:val="24"/>
        </w:rPr>
        <w:t xml:space="preserve">(F. </w:t>
      </w:r>
      <w:r w:rsidRPr="00C543A7">
        <w:rPr>
          <w:rFonts w:cs="Times New Roman"/>
          <w:smallCaps/>
          <w:szCs w:val="24"/>
        </w:rPr>
        <w:t>Champeaux</w:t>
      </w:r>
      <w:r w:rsidRPr="00C543A7">
        <w:rPr>
          <w:rFonts w:cs="Times New Roman"/>
          <w:szCs w:val="24"/>
        </w:rPr>
        <w:t xml:space="preserve">, « L’affaire Baby Loup à la Cour de cassation. Impressions d’audience », </w:t>
      </w:r>
      <w:r w:rsidRPr="00C543A7">
        <w:rPr>
          <w:rFonts w:cs="Times New Roman"/>
          <w:i/>
          <w:iCs/>
          <w:szCs w:val="24"/>
        </w:rPr>
        <w:t>Semaine sociale Lamy</w:t>
      </w:r>
      <w:r w:rsidRPr="00C543A7">
        <w:rPr>
          <w:rFonts w:cs="Times New Roman"/>
          <w:szCs w:val="24"/>
        </w:rPr>
        <w:t>, 2013, n° 1572).</w:t>
      </w:r>
      <w:r w:rsidRPr="00022216">
        <w:fldChar w:fldCharType="end"/>
      </w:r>
    </w:p>
  </w:footnote>
  <w:footnote w:id="329">
    <w:p w14:paraId="305A4DFE" w14:textId="1C88047C" w:rsidR="000D6C77" w:rsidRPr="00016D32" w:rsidRDefault="000D6C77" w:rsidP="002C7214">
      <w:pPr>
        <w:pStyle w:val="Notedebasdepage"/>
        <w:rPr>
          <w:szCs w:val="17"/>
        </w:rPr>
      </w:pPr>
      <w:r w:rsidRPr="00016D32">
        <w:rPr>
          <w:rStyle w:val="Appelnotedebasdep"/>
          <w:szCs w:val="17"/>
        </w:rPr>
        <w:footnoteRef/>
      </w:r>
      <w:r w:rsidRPr="00016D32">
        <w:rPr>
          <w:szCs w:val="17"/>
        </w:rPr>
        <w:t xml:space="preserve"> C.A. Paris, 27 novembre 2013, n° S 13/02981</w:t>
      </w:r>
      <w:r>
        <w:rPr>
          <w:szCs w:val="17"/>
        </w:rPr>
        <w:t xml:space="preserve">, </w:t>
      </w:r>
      <w:r w:rsidRPr="0013043A">
        <w:rPr>
          <w:i/>
          <w:szCs w:val="17"/>
        </w:rPr>
        <w:t>JurisData</w:t>
      </w:r>
      <w:r>
        <w:rPr>
          <w:i/>
          <w:szCs w:val="17"/>
        </w:rPr>
        <w:t>,</w:t>
      </w:r>
      <w:r w:rsidRPr="0013043A">
        <w:rPr>
          <w:szCs w:val="17"/>
        </w:rPr>
        <w:t xml:space="preserve"> n° 2013-026587</w:t>
      </w:r>
      <w:r w:rsidRPr="00016D32">
        <w:rPr>
          <w:szCs w:val="17"/>
        </w:rPr>
        <w:t>.</w:t>
      </w:r>
    </w:p>
  </w:footnote>
  <w:footnote w:id="330">
    <w:p w14:paraId="3D17C5B9" w14:textId="002D4B8A" w:rsidR="000D6C77" w:rsidRPr="00016D32" w:rsidRDefault="000D6C77" w:rsidP="002C7214">
      <w:pPr>
        <w:pStyle w:val="Notedebasdepage"/>
        <w:rPr>
          <w:szCs w:val="17"/>
        </w:rPr>
      </w:pPr>
      <w:r w:rsidRPr="00016D32">
        <w:rPr>
          <w:rStyle w:val="Appelnotedebasdep"/>
          <w:szCs w:val="17"/>
        </w:rPr>
        <w:footnoteRef/>
      </w:r>
      <w:r w:rsidRPr="00016D32">
        <w:rPr>
          <w:szCs w:val="17"/>
        </w:rPr>
        <w:t xml:space="preserve"> Cass. </w:t>
      </w:r>
      <w:proofErr w:type="spellStart"/>
      <w:r w:rsidRPr="00016D32">
        <w:rPr>
          <w:szCs w:val="17"/>
        </w:rPr>
        <w:t>fr.</w:t>
      </w:r>
      <w:proofErr w:type="spellEnd"/>
      <w:r w:rsidRPr="00016D32">
        <w:rPr>
          <w:szCs w:val="17"/>
        </w:rPr>
        <w:t xml:space="preserve"> (</w:t>
      </w:r>
      <w:proofErr w:type="spellStart"/>
      <w:r w:rsidRPr="00016D32">
        <w:rPr>
          <w:szCs w:val="17"/>
        </w:rPr>
        <w:t>ass</w:t>
      </w:r>
      <w:proofErr w:type="spellEnd"/>
      <w:r w:rsidRPr="00016D32">
        <w:rPr>
          <w:szCs w:val="17"/>
        </w:rPr>
        <w:t xml:space="preserve">. </w:t>
      </w:r>
      <w:proofErr w:type="spellStart"/>
      <w:proofErr w:type="gramStart"/>
      <w:r w:rsidRPr="00016D32">
        <w:rPr>
          <w:szCs w:val="17"/>
        </w:rPr>
        <w:t>plén</w:t>
      </w:r>
      <w:proofErr w:type="spellEnd"/>
      <w:proofErr w:type="gramEnd"/>
      <w:r w:rsidRPr="00016D32">
        <w:rPr>
          <w:szCs w:val="17"/>
        </w:rPr>
        <w:t>.), 25 juin 2014, n° 13-28.369</w:t>
      </w:r>
      <w:r w:rsidRPr="00016D32">
        <w:rPr>
          <w:i/>
          <w:iCs/>
          <w:szCs w:val="17"/>
        </w:rPr>
        <w:t>, RFDA</w:t>
      </w:r>
      <w:r w:rsidRPr="00016D32">
        <w:rPr>
          <w:szCs w:val="17"/>
        </w:rPr>
        <w:t>., 2014, p. 962 :</w:t>
      </w:r>
      <w:r>
        <w:rPr>
          <w:szCs w:val="17"/>
        </w:rPr>
        <w:t xml:space="preserve"> </w:t>
      </w:r>
      <w:proofErr w:type="spellStart"/>
      <w:r>
        <w:rPr>
          <w:szCs w:val="17"/>
        </w:rPr>
        <w:t>voy</w:t>
      </w:r>
      <w:proofErr w:type="spellEnd"/>
      <w:r>
        <w:rPr>
          <w:szCs w:val="17"/>
        </w:rPr>
        <w:t xml:space="preserve">., </w:t>
      </w:r>
      <w:r>
        <w:rPr>
          <w:i/>
          <w:iCs/>
          <w:szCs w:val="17"/>
        </w:rPr>
        <w:t>supra</w:t>
      </w:r>
      <w:r>
        <w:rPr>
          <w:szCs w:val="17"/>
        </w:rPr>
        <w:t xml:space="preserve">, n. </w:t>
      </w:r>
      <w:r>
        <w:rPr>
          <w:szCs w:val="17"/>
        </w:rPr>
        <w:fldChar w:fldCharType="begin"/>
      </w:r>
      <w:r>
        <w:rPr>
          <w:szCs w:val="17"/>
        </w:rPr>
        <w:instrText xml:space="preserve"> NOTEREF _Ref121679103 \h </w:instrText>
      </w:r>
      <w:r>
        <w:rPr>
          <w:szCs w:val="17"/>
        </w:rPr>
      </w:r>
      <w:r>
        <w:rPr>
          <w:szCs w:val="17"/>
        </w:rPr>
        <w:fldChar w:fldCharType="separate"/>
      </w:r>
      <w:r>
        <w:rPr>
          <w:szCs w:val="17"/>
        </w:rPr>
        <w:t>390</w:t>
      </w:r>
      <w:r>
        <w:rPr>
          <w:szCs w:val="17"/>
        </w:rPr>
        <w:fldChar w:fldCharType="end"/>
      </w:r>
      <w:r w:rsidRPr="00016D32">
        <w:rPr>
          <w:szCs w:val="17"/>
        </w:rPr>
        <w:t>.</w:t>
      </w:r>
    </w:p>
  </w:footnote>
  <w:footnote w:id="331">
    <w:p w14:paraId="53D17C4F" w14:textId="18AE3DF7" w:rsidR="000D6C77" w:rsidRPr="00016D32" w:rsidRDefault="000D6C77" w:rsidP="00BA3B64">
      <w:pPr>
        <w:pStyle w:val="Notedebasdepage"/>
        <w:rPr>
          <w:szCs w:val="17"/>
        </w:rPr>
      </w:pPr>
      <w:r w:rsidRPr="00016D32">
        <w:rPr>
          <w:rStyle w:val="Appelnotedebasdep"/>
          <w:szCs w:val="17"/>
        </w:rPr>
        <w:footnoteRef/>
      </w:r>
      <w:r w:rsidRPr="00016D32">
        <w:rPr>
          <w:szCs w:val="17"/>
        </w:rPr>
        <w:t xml:space="preserve"> Cour</w:t>
      </w:r>
      <w:r>
        <w:rPr>
          <w:szCs w:val="17"/>
        </w:rPr>
        <w:t>EDH</w:t>
      </w:r>
      <w:r w:rsidRPr="00016D32">
        <w:rPr>
          <w:szCs w:val="17"/>
        </w:rPr>
        <w:t xml:space="preserve">, arrêt </w:t>
      </w:r>
      <w:proofErr w:type="spellStart"/>
      <w:r w:rsidRPr="00016D32">
        <w:rPr>
          <w:i/>
          <w:iCs/>
          <w:szCs w:val="17"/>
        </w:rPr>
        <w:t>Eweida</w:t>
      </w:r>
      <w:proofErr w:type="spellEnd"/>
      <w:r w:rsidRPr="00016D32">
        <w:rPr>
          <w:i/>
          <w:iCs/>
          <w:szCs w:val="17"/>
        </w:rPr>
        <w:t xml:space="preserve"> et autres c. Royaume-Uni</w:t>
      </w:r>
      <w:r w:rsidRPr="00016D32">
        <w:rPr>
          <w:szCs w:val="17"/>
        </w:rPr>
        <w:t xml:space="preserve">, 15 janvier 2013, </w:t>
      </w:r>
      <w:proofErr w:type="spellStart"/>
      <w:r w:rsidRPr="00016D32">
        <w:rPr>
          <w:szCs w:val="17"/>
        </w:rPr>
        <w:t>req</w:t>
      </w:r>
      <w:proofErr w:type="spellEnd"/>
      <w:r w:rsidRPr="00016D32">
        <w:rPr>
          <w:szCs w:val="17"/>
        </w:rPr>
        <w:t>. n° 48420/10, 59842/10, 51671/10 et 36516/10.</w:t>
      </w:r>
    </w:p>
  </w:footnote>
  <w:footnote w:id="332">
    <w:p w14:paraId="269AC981" w14:textId="3C047AE2" w:rsidR="000D6C77" w:rsidRPr="00016D32" w:rsidRDefault="000D6C77" w:rsidP="00BA3B64">
      <w:pPr>
        <w:pStyle w:val="Notedebasdepage"/>
        <w:rPr>
          <w:szCs w:val="17"/>
        </w:rPr>
      </w:pPr>
      <w:r w:rsidRPr="00016D32">
        <w:rPr>
          <w:rStyle w:val="Appelnotedebasdep"/>
          <w:szCs w:val="17"/>
        </w:rPr>
        <w:footnoteRef/>
      </w:r>
      <w:r w:rsidRPr="00016D32">
        <w:rPr>
          <w:szCs w:val="17"/>
        </w:rPr>
        <w:t xml:space="preserve"> </w:t>
      </w:r>
      <w:r w:rsidRPr="00016D32">
        <w:rPr>
          <w:szCs w:val="17"/>
        </w:rPr>
        <w:fldChar w:fldCharType="begin"/>
      </w:r>
      <w:r>
        <w:rPr>
          <w:szCs w:val="17"/>
        </w:rPr>
        <w:instrText xml:space="preserve"> ADDIN ZOTERO_ITEM CSL_CITATION {"citationID":"Qhb8FBVK","properties":{"formattedCitation":"M. {\\scaps Hunter-Henin}, \\uc0\\u171{}\\uc0\\u160{}Impact de l\\uc0\\u8217{}arr\\uc0\\u234{}t Eweida de la Cour europ\\uc0\\u233{}enne des droits de l\\uc0\\u8217{}homme sur le droit anglais\\uc0\\u160{}\\uc0\\u187{},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pp. 346\\uc0\\u8209{}347.","plainCitation":"M. Hunter-Henin, « Impact de l’arrêt Eweida de la Cour européenne des droits de l’homme sur le droit anglais », in B. Callebat, H. de Courrèges et V. Louvel-Parisot (éds.), Les religions et le droit du travail : regards croisés, d’ici et d’ailleurs [actes du colloque international, Université de Rouen, 20 et 21 octobre 2016], Collection Droit et religion, n° 9, Bruxelles, Bruylant, 2017, pp. 346‑347.","noteIndex":414},"citationItems":[{"id":2160,"uris":["http://zotero.org/users/5133869/items/S3FYXXYV"],"itemData":{"id":2160,"type":"chapter","collection-number":"9","collection-title":"Collection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1057455736","page":"343-364","publisher":"Bruylant","publisher-place":"Bruxelles","source":"Gemeinsamer Bibliotheksverbund ISBN","title":"Impact de l’arrêt Eweida de la Cour européenne des droits de l’homme sur le droit anglais","editor":[{"family":"Callebat","given":"Bernard"},{"family":"Courrèges","given":"Hélène","non-dropping-particle":"de"},{"family":"Louvel-Parisot","given":"Valérie"}],"author":[{"family":"Hunter-Henin","given":"Myriam"}],"issued":{"date-parts":[["2017"]]}},"locator":"346-347"}],"schema":"https://github.com/citation-style-language/schema/raw/master/csl-citation.json"} </w:instrText>
      </w:r>
      <w:r w:rsidRPr="00016D32">
        <w:rPr>
          <w:szCs w:val="17"/>
        </w:rPr>
        <w:fldChar w:fldCharType="separate"/>
      </w:r>
      <w:r w:rsidRPr="006A1BA6">
        <w:rPr>
          <w:rFonts w:cs="Times New Roman"/>
          <w:szCs w:val="24"/>
        </w:rPr>
        <w:t xml:space="preserve">M. </w:t>
      </w:r>
      <w:r w:rsidRPr="006A1BA6">
        <w:rPr>
          <w:rFonts w:cs="Times New Roman"/>
          <w:smallCaps/>
          <w:szCs w:val="24"/>
        </w:rPr>
        <w:t>Hunter-Henin</w:t>
      </w:r>
      <w:r w:rsidRPr="006A1BA6">
        <w:rPr>
          <w:rFonts w:cs="Times New Roman"/>
          <w:szCs w:val="24"/>
        </w:rPr>
        <w:t xml:space="preserve">, « Impact de l’arrêt </w:t>
      </w:r>
      <w:proofErr w:type="spellStart"/>
      <w:r w:rsidRPr="006A1BA6">
        <w:rPr>
          <w:rFonts w:cs="Times New Roman"/>
          <w:szCs w:val="24"/>
        </w:rPr>
        <w:t>Eweida</w:t>
      </w:r>
      <w:proofErr w:type="spellEnd"/>
      <w:r w:rsidRPr="006A1BA6">
        <w:rPr>
          <w:rFonts w:cs="Times New Roman"/>
          <w:szCs w:val="24"/>
        </w:rPr>
        <w:t xml:space="preserve"> de la Cour européenne des droits de l’homme sur le droit anglais », </w:t>
      </w:r>
      <w:r w:rsidRPr="006A1BA6">
        <w:rPr>
          <w:rFonts w:cs="Times New Roman"/>
          <w:i/>
          <w:iCs/>
          <w:szCs w:val="24"/>
        </w:rPr>
        <w:t>in</w:t>
      </w:r>
      <w:r w:rsidRPr="006A1BA6">
        <w:rPr>
          <w:rFonts w:cs="Times New Roman"/>
          <w:szCs w:val="24"/>
        </w:rPr>
        <w:t xml:space="preserve"> B. </w:t>
      </w:r>
      <w:proofErr w:type="spellStart"/>
      <w:r w:rsidRPr="006A1BA6">
        <w:rPr>
          <w:rFonts w:cs="Times New Roman"/>
          <w:smallCaps/>
          <w:szCs w:val="24"/>
        </w:rPr>
        <w:t>Callebat</w:t>
      </w:r>
      <w:proofErr w:type="spellEnd"/>
      <w:r w:rsidRPr="006A1BA6">
        <w:rPr>
          <w:rFonts w:cs="Times New Roman"/>
          <w:szCs w:val="24"/>
        </w:rPr>
        <w:t xml:space="preserve">, H. </w:t>
      </w:r>
      <w:r w:rsidRPr="006A1BA6">
        <w:rPr>
          <w:rFonts w:cs="Times New Roman"/>
          <w:smallCaps/>
          <w:szCs w:val="24"/>
        </w:rPr>
        <w:t>de</w:t>
      </w:r>
      <w:r w:rsidRPr="006A1BA6">
        <w:rPr>
          <w:rFonts w:cs="Times New Roman"/>
          <w:szCs w:val="24"/>
        </w:rPr>
        <w:t> </w:t>
      </w:r>
      <w:r w:rsidRPr="006A1BA6">
        <w:rPr>
          <w:rFonts w:cs="Times New Roman"/>
          <w:smallCaps/>
          <w:szCs w:val="24"/>
        </w:rPr>
        <w:t>Courrèges</w:t>
      </w:r>
      <w:r w:rsidRPr="006A1BA6">
        <w:rPr>
          <w:rFonts w:cs="Times New Roman"/>
          <w:szCs w:val="24"/>
        </w:rPr>
        <w:t xml:space="preserve"> et V. </w:t>
      </w:r>
      <w:r w:rsidRPr="006A1BA6">
        <w:rPr>
          <w:rFonts w:cs="Times New Roman"/>
          <w:smallCaps/>
          <w:szCs w:val="24"/>
        </w:rPr>
        <w:t>Louvel-Parisot</w:t>
      </w:r>
      <w:r w:rsidRPr="006A1BA6">
        <w:rPr>
          <w:rFonts w:cs="Times New Roman"/>
          <w:szCs w:val="24"/>
        </w:rPr>
        <w:t xml:space="preserve"> (</w:t>
      </w:r>
      <w:proofErr w:type="spellStart"/>
      <w:r w:rsidRPr="006A1BA6">
        <w:rPr>
          <w:rFonts w:cs="Times New Roman"/>
          <w:szCs w:val="24"/>
        </w:rPr>
        <w:t>éds</w:t>
      </w:r>
      <w:proofErr w:type="spellEnd"/>
      <w:r w:rsidRPr="006A1BA6">
        <w:rPr>
          <w:rFonts w:cs="Times New Roman"/>
          <w:szCs w:val="24"/>
        </w:rPr>
        <w:t xml:space="preserve">.), </w:t>
      </w:r>
      <w:r w:rsidRPr="006A1BA6">
        <w:rPr>
          <w:rFonts w:cs="Times New Roman"/>
          <w:i/>
          <w:iCs/>
          <w:szCs w:val="24"/>
        </w:rPr>
        <w:t>Les religions et le droit du travail : regards croisés, d’ici et d’ailleurs [actes du colloque international, Université de Rouen, 20 et 21 octobre 2016]</w:t>
      </w:r>
      <w:r w:rsidRPr="006A1BA6">
        <w:rPr>
          <w:rFonts w:cs="Times New Roman"/>
          <w:szCs w:val="24"/>
        </w:rPr>
        <w:t>, Collection Droit et religion, n° 9, Bruxelles, Bruylant, 2017, pp. 346‑347.</w:t>
      </w:r>
      <w:r w:rsidRPr="00016D32">
        <w:rPr>
          <w:szCs w:val="17"/>
        </w:rPr>
        <w:fldChar w:fldCharType="end"/>
      </w:r>
    </w:p>
  </w:footnote>
  <w:footnote w:id="333">
    <w:p w14:paraId="26B4E908" w14:textId="55AEE974" w:rsidR="000D6C77" w:rsidRPr="00022216" w:rsidRDefault="000D6C77" w:rsidP="00416A6B">
      <w:pPr>
        <w:pStyle w:val="Notedebasdepage"/>
        <w:rPr>
          <w:rFonts w:cs="Times New Roman"/>
        </w:rPr>
      </w:pPr>
      <w:r w:rsidRPr="00022216">
        <w:rPr>
          <w:rStyle w:val="Appelnotedebasdep"/>
          <w:rFonts w:cs="Times New Roman"/>
        </w:rPr>
        <w:footnoteRef/>
      </w:r>
      <w:r w:rsidRPr="00022216">
        <w:rPr>
          <w:rFonts w:cs="Times New Roman"/>
        </w:rPr>
        <w:t xml:space="preserve"> </w:t>
      </w:r>
      <w:r w:rsidRPr="00953F72">
        <w:rPr>
          <w:rFonts w:cs="Times New Roman"/>
        </w:rPr>
        <w:t xml:space="preserve">CourEDH, </w:t>
      </w:r>
      <w:proofErr w:type="spellStart"/>
      <w:r>
        <w:rPr>
          <w:rFonts w:cs="Times New Roman"/>
          <w:i/>
        </w:rPr>
        <w:t>Eweida</w:t>
      </w:r>
      <w:proofErr w:type="spellEnd"/>
      <w:r>
        <w:rPr>
          <w:rFonts w:cs="Times New Roman"/>
          <w:i/>
        </w:rPr>
        <w:t xml:space="preserve"> e.a.</w:t>
      </w:r>
      <w:r w:rsidRPr="00022216">
        <w:rPr>
          <w:rFonts w:cs="Times New Roman"/>
        </w:rPr>
        <w:t>, para. 32.</w:t>
      </w:r>
    </w:p>
  </w:footnote>
  <w:footnote w:id="334">
    <w:p w14:paraId="554E39AE" w14:textId="4004C22D" w:rsidR="000D6C77" w:rsidRPr="00D16FD1" w:rsidRDefault="000D6C77" w:rsidP="00BB041C">
      <w:pPr>
        <w:pStyle w:val="Notedebasdepage"/>
      </w:pPr>
      <w:r>
        <w:rPr>
          <w:rStyle w:val="Appelnotedebasdep"/>
        </w:rPr>
        <w:footnoteRef/>
      </w:r>
      <w:r w:rsidRPr="00943A02">
        <w:t xml:space="preserve"> </w:t>
      </w:r>
      <w:r w:rsidRPr="00953F72">
        <w:t xml:space="preserve">CourEDH, </w:t>
      </w:r>
      <w:proofErr w:type="spellStart"/>
      <w:r>
        <w:rPr>
          <w:rFonts w:cs="Times New Roman"/>
          <w:i/>
          <w:iCs/>
        </w:rPr>
        <w:t>Eweida</w:t>
      </w:r>
      <w:proofErr w:type="spellEnd"/>
      <w:r>
        <w:rPr>
          <w:rFonts w:cs="Times New Roman"/>
          <w:i/>
          <w:iCs/>
        </w:rPr>
        <w:t xml:space="preserve"> e.a.</w:t>
      </w:r>
      <w:r w:rsidRPr="00022216">
        <w:rPr>
          <w:rFonts w:cs="Times New Roman"/>
        </w:rPr>
        <w:t xml:space="preserve">, op. </w:t>
      </w:r>
      <w:proofErr w:type="spellStart"/>
      <w:r w:rsidRPr="00022216">
        <w:rPr>
          <w:rFonts w:cs="Times New Roman"/>
        </w:rPr>
        <w:t>diss</w:t>
      </w:r>
      <w:proofErr w:type="spellEnd"/>
      <w:r w:rsidRPr="00022216">
        <w:rPr>
          <w:rFonts w:cs="Times New Roman"/>
        </w:rPr>
        <w:t xml:space="preserve">. des juges </w:t>
      </w:r>
      <w:proofErr w:type="spellStart"/>
      <w:r w:rsidRPr="00022216">
        <w:rPr>
          <w:rFonts w:cs="Times New Roman"/>
        </w:rPr>
        <w:t>Vučinić</w:t>
      </w:r>
      <w:proofErr w:type="spellEnd"/>
      <w:r w:rsidRPr="00022216">
        <w:rPr>
          <w:rFonts w:cs="Times New Roman"/>
        </w:rPr>
        <w:t xml:space="preserve"> et De Gaetano, para. </w:t>
      </w:r>
      <w:r>
        <w:rPr>
          <w:rFonts w:cs="Times New Roman"/>
        </w:rPr>
        <w:t xml:space="preserve">7. En ce sens, </w:t>
      </w:r>
      <w:proofErr w:type="spellStart"/>
      <w:r>
        <w:rPr>
          <w:rFonts w:cs="Times New Roman"/>
        </w:rPr>
        <w:t>voy</w:t>
      </w:r>
      <w:proofErr w:type="spellEnd"/>
      <w:r>
        <w:rPr>
          <w:rFonts w:cs="Times New Roman"/>
        </w:rPr>
        <w:t xml:space="preserve">. </w:t>
      </w:r>
      <w:r>
        <w:rPr>
          <w:rFonts w:cs="Times New Roman"/>
        </w:rPr>
        <w:fldChar w:fldCharType="begin"/>
      </w:r>
      <w:r>
        <w:rPr>
          <w:rFonts w:cs="Times New Roman"/>
        </w:rPr>
        <w:instrText xml:space="preserve"> ADDIN ZOTERO_ITEM CSL_CITATION {"citationID":"FJjHUWJ7","properties":{"formattedCitation":"M. {\\scaps Hunter-Henin}, \\uc0\\u171{}\\uc0\\u160{}Impact de l\\uc0\\u8217{}arr\\uc0\\u234{}t Eweida de la Cour europ\\uc0\\u233{}enne des droits de l\\uc0\\u8217{}homme sur le droit anglais\\uc0\\u160{}\\uc0\\u187{}, {\\i{}op. cit.}, pp. 354\\uc0\\u8209{}357.","plainCitation":"M. Hunter-Henin, « Impact de l’arrêt Eweida de la Cour européenne des droits de l’homme sur le droit anglais », op. cit., pp. 354‑357.","noteIndex":416},"citationItems":[{"id":2160,"uris":["http://zotero.org/users/5133869/items/S3FYXXYV"],"itemData":{"id":2160,"type":"chapter","collection-number":"9","collection-title":"Collection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1057455736","page":"343-364","publisher":"Bruylant","publisher-place":"Bruxelles","source":"Gemeinsamer Bibliotheksverbund ISBN","title":"Impact de l’arrêt Eweida de la Cour européenne des droits de l’homme sur le droit anglais","editor":[{"family":"Callebat","given":"Bernard"},{"family":"Courrèges","given":"Hélène","non-dropping-particle":"de"},{"family":"Louvel-Parisot","given":"Valérie"}],"author":[{"family":"Hunter-Henin","given":"Myriam"}],"issued":{"date-parts":[["2017"]]}},"locator":"354-357"}],"schema":"https://github.com/citation-style-language/schema/raw/master/csl-citation.json"} </w:instrText>
      </w:r>
      <w:r>
        <w:rPr>
          <w:rFonts w:cs="Times New Roman"/>
        </w:rPr>
        <w:fldChar w:fldCharType="separate"/>
      </w:r>
      <w:r w:rsidRPr="00263EFF">
        <w:rPr>
          <w:rFonts w:cs="Times New Roman"/>
          <w:szCs w:val="24"/>
        </w:rPr>
        <w:t xml:space="preserve">M. </w:t>
      </w:r>
      <w:r w:rsidRPr="00263EFF">
        <w:rPr>
          <w:rFonts w:cs="Times New Roman"/>
          <w:smallCaps/>
          <w:szCs w:val="24"/>
        </w:rPr>
        <w:t>Hunter-Henin</w:t>
      </w:r>
      <w:r w:rsidRPr="00263EFF">
        <w:rPr>
          <w:rFonts w:cs="Times New Roman"/>
          <w:szCs w:val="24"/>
        </w:rPr>
        <w:t xml:space="preserve">, « Impact de l’arrêt </w:t>
      </w:r>
      <w:proofErr w:type="spellStart"/>
      <w:r w:rsidRPr="00263EFF">
        <w:rPr>
          <w:rFonts w:cs="Times New Roman"/>
          <w:szCs w:val="24"/>
        </w:rPr>
        <w:t>Eweida</w:t>
      </w:r>
      <w:proofErr w:type="spellEnd"/>
      <w:r w:rsidRPr="00263EFF">
        <w:rPr>
          <w:rFonts w:cs="Times New Roman"/>
          <w:szCs w:val="24"/>
        </w:rPr>
        <w:t xml:space="preserve"> de la Cour européenne des droits de l’homme sur le droit anglais », </w:t>
      </w:r>
      <w:r w:rsidRPr="00263EFF">
        <w:rPr>
          <w:rFonts w:cs="Times New Roman"/>
          <w:i/>
          <w:iCs/>
          <w:szCs w:val="24"/>
        </w:rPr>
        <w:t xml:space="preserve">op. </w:t>
      </w:r>
      <w:proofErr w:type="spellStart"/>
      <w:r w:rsidRPr="00263EFF">
        <w:rPr>
          <w:rFonts w:cs="Times New Roman"/>
          <w:i/>
          <w:iCs/>
          <w:szCs w:val="24"/>
        </w:rPr>
        <w:t>cit</w:t>
      </w:r>
      <w:proofErr w:type="spellEnd"/>
      <w:r w:rsidRPr="00263EFF">
        <w:rPr>
          <w:rFonts w:cs="Times New Roman"/>
          <w:i/>
          <w:iCs/>
          <w:szCs w:val="24"/>
        </w:rPr>
        <w:t>.</w:t>
      </w:r>
      <w:r w:rsidRPr="00263EFF">
        <w:rPr>
          <w:rFonts w:cs="Times New Roman"/>
          <w:szCs w:val="24"/>
        </w:rPr>
        <w:t>, pp. 354‑357.</w:t>
      </w:r>
      <w:r>
        <w:rPr>
          <w:rFonts w:cs="Times New Roman"/>
        </w:rPr>
        <w:fldChar w:fldCharType="end"/>
      </w:r>
    </w:p>
  </w:footnote>
  <w:footnote w:id="335">
    <w:p w14:paraId="3507B409" w14:textId="0A5DC839" w:rsidR="000D6C77" w:rsidRPr="00BF299D" w:rsidRDefault="000D6C77" w:rsidP="00BB041C">
      <w:pPr>
        <w:pStyle w:val="Notedebasdepage"/>
      </w:pPr>
      <w:r>
        <w:rPr>
          <w:rStyle w:val="Appelnotedebasdep"/>
        </w:rPr>
        <w:footnoteRef/>
      </w:r>
      <w:r w:rsidRPr="00943A02">
        <w:t xml:space="preserve"> </w:t>
      </w:r>
      <w:r w:rsidRPr="00953F72">
        <w:t xml:space="preserve">CourEDH, </w:t>
      </w:r>
      <w:proofErr w:type="spellStart"/>
      <w:r>
        <w:rPr>
          <w:i/>
          <w:iCs/>
        </w:rPr>
        <w:t>Eweida</w:t>
      </w:r>
      <w:proofErr w:type="spellEnd"/>
      <w:r>
        <w:rPr>
          <w:i/>
          <w:iCs/>
        </w:rPr>
        <w:t xml:space="preserve"> e.a.</w:t>
      </w:r>
      <w:r w:rsidRPr="00943A02">
        <w:t>, para. 106.</w:t>
      </w:r>
    </w:p>
  </w:footnote>
  <w:footnote w:id="336">
    <w:p w14:paraId="7A35142A" w14:textId="4DC17819" w:rsidR="000D6C77" w:rsidRPr="00FF61EE" w:rsidRDefault="000D6C77" w:rsidP="006754AC">
      <w:pPr>
        <w:pStyle w:val="Notedebasdepage"/>
        <w:rPr>
          <w:lang w:val="en-US"/>
        </w:rPr>
      </w:pPr>
      <w:r w:rsidRPr="00022216">
        <w:rPr>
          <w:rStyle w:val="Appelnotedebasdep"/>
        </w:rPr>
        <w:footnoteRef/>
      </w:r>
      <w:r w:rsidRPr="00022216">
        <w:t xml:space="preserve"> C.A. Paris, 27 novembre 2013, n° S 13/02981</w:t>
      </w:r>
      <w:r>
        <w:t xml:space="preserve">, </w:t>
      </w:r>
      <w:r w:rsidRPr="0013043A">
        <w:rPr>
          <w:i/>
        </w:rPr>
        <w:t>JurisData</w:t>
      </w:r>
      <w:r>
        <w:rPr>
          <w:i/>
        </w:rPr>
        <w:t>,</w:t>
      </w:r>
      <w:r w:rsidRPr="0013043A">
        <w:t xml:space="preserve"> n° 2013-026587</w:t>
      </w:r>
      <w:r w:rsidRPr="00022216">
        <w:t>.</w:t>
      </w:r>
      <w:r w:rsidRPr="00AC3BBC">
        <w:t xml:space="preserve"> </w:t>
      </w:r>
      <w:proofErr w:type="spellStart"/>
      <w:r w:rsidRPr="00022216">
        <w:t>Voy</w:t>
      </w:r>
      <w:proofErr w:type="spellEnd"/>
      <w:r w:rsidRPr="00022216">
        <w:t xml:space="preserve">. aussi, dans le contexte autrichien, une affaire similaire relative à l’interdiction du port de signes religieux au sein d’une crèche. </w:t>
      </w:r>
      <w:r>
        <w:t xml:space="preserve">À </w:t>
      </w:r>
      <w:r w:rsidRPr="00022216">
        <w:t>l’appui de cette interdiction, la crèche revendiquait notamment sa tendance « religieusement neutre », au sens de l’article 4.2 de la Directive. L’</w:t>
      </w:r>
      <w:r w:rsidRPr="00022216">
        <w:rPr>
          <w:i/>
          <w:iCs/>
        </w:rPr>
        <w:t>Ombudsman</w:t>
      </w:r>
      <w:r w:rsidRPr="00022216">
        <w:t xml:space="preserve"> autrichien pour l’égalité de traitement a néanmoins considéré que la crèche n’avait pas démontré l’effectivité de cette « tendance neutre » (GAW II/28/2010, GBK II/106/10). </w:t>
      </w:r>
      <w:r w:rsidRPr="00233D39">
        <w:rPr>
          <w:lang w:val="en-GB"/>
        </w:rPr>
        <w:t xml:space="preserve">Sur </w:t>
      </w:r>
      <w:proofErr w:type="spellStart"/>
      <w:r w:rsidRPr="00233D39">
        <w:rPr>
          <w:lang w:val="en-GB"/>
        </w:rPr>
        <w:t>cette</w:t>
      </w:r>
      <w:proofErr w:type="spellEnd"/>
      <w:r w:rsidRPr="00233D39">
        <w:rPr>
          <w:lang w:val="en-GB"/>
        </w:rPr>
        <w:t xml:space="preserve"> affaire </w:t>
      </w:r>
      <w:proofErr w:type="spellStart"/>
      <w:r w:rsidRPr="00233D39">
        <w:rPr>
          <w:lang w:val="en-GB"/>
        </w:rPr>
        <w:t>voy</w:t>
      </w:r>
      <w:proofErr w:type="spellEnd"/>
      <w:r w:rsidRPr="00233D39">
        <w:rPr>
          <w:lang w:val="en-GB"/>
        </w:rPr>
        <w:t xml:space="preserve">. </w:t>
      </w:r>
      <w:r w:rsidRPr="00022216">
        <w:fldChar w:fldCharType="begin"/>
      </w:r>
      <w:r>
        <w:rPr>
          <w:lang w:val="en-GB"/>
        </w:rPr>
        <w:instrText xml:space="preserve"> ADDIN ZOTERO_ITEM CSL_CITATION {"citationID":"8bmtYXe9","properties":{"formattedCitation":"E.R. {\\scaps Pastor}, \\uc0\\u171{}\\uc0\\u160{}Towards Substantive Equality for Religious Believers in the Workplace? Two Supranational European Courts, Two Different Approaches\\uc0\\u160{}\\uc0\\u187{}, {\\i{}Oxford Journal of Law and Religion}, 2016, vol. 5, n\\uc0\\u176{} 2, p. 274\\uc0\\u160{}; {\\scaps Equinet}, {\\i{}A Question of Faith: Religion and Belief in Europe:}, {\\i{}op. cit.}, p. 16.","plainCitation":"E.R. Pastor, « Towards Substantive Equality for Religious Believers in the Workplace? Two Supranational European Courts, Two Different Approaches », Oxford Journal of Law and Religion, 2016, vol. 5, n° 2, p. 274 ; Equinet, A Question of Faith: Religion and Belief in Europe:, op. cit., p. 16.","noteIndex":408},"citationItems":[{"id":1256,"uris":["http://zotero.org/users/5133869/items/2BL6S3HD"],"itemData":{"id":1256,"type":"article-journal","container-title":"Oxford Journal of Law and Religion","DOI":"10.1093/ojlr/rww020","ISSN":"2047-0770, 2047-0789","issue":"2","language":"en","page":"255-279","source":"Crossref","title":"Towards Substantive Equality for Religious Believers in the Workplace? Two Supranational European Courts, Two Different Approaches","title-short":"Towards Substantive Equality for Religious Believers in the Workplace?","volume":"5","author":[{"family":"Pastor","given":"Eugenia Relaño"}],"issued":{"date-parts":[["2016"]]}},"locator":"274"},{"id":2666,"uris":["http://zotero.org/users/5133869/items/H3NA3YDL"],"itemData":{"id":2666,"type":"report","collection-title":"Equality law in practice","language":"eng","note":"OCLC: 839889082","source":"Gemeinsamer Bibliotheksverbund ISBN","title":"A Question of Faith: Religion and Belief in Europe:","author":[{"literal":"Equinet"}],"accessed":{"date-parts":[["2022",8,31]]},"issued":{"date-parts":[["2011"]]}},"locator":"16"}],"schema":"https://github.com/citation-style-language/schema/raw/master/csl-citation.json"} </w:instrText>
      </w:r>
      <w:r w:rsidRPr="00022216">
        <w:fldChar w:fldCharType="separate"/>
      </w:r>
      <w:r w:rsidRPr="00233D39">
        <w:rPr>
          <w:rFonts w:cs="Times New Roman"/>
          <w:szCs w:val="24"/>
          <w:lang w:val="en-GB"/>
        </w:rPr>
        <w:t xml:space="preserve">E.R. </w:t>
      </w:r>
      <w:r w:rsidRPr="00233D39">
        <w:rPr>
          <w:rFonts w:cs="Times New Roman"/>
          <w:smallCaps/>
          <w:szCs w:val="24"/>
          <w:lang w:val="en-GB"/>
        </w:rPr>
        <w:t>Pastor</w:t>
      </w:r>
      <w:r w:rsidRPr="00233D39">
        <w:rPr>
          <w:rFonts w:cs="Times New Roman"/>
          <w:szCs w:val="24"/>
          <w:lang w:val="en-GB"/>
        </w:rPr>
        <w:t xml:space="preserve">, « Towards Substantive Equality for Religious Believers in the Workplace? Two Supranational European Courts, Two Different Approaches », </w:t>
      </w:r>
      <w:r w:rsidRPr="00233D39">
        <w:rPr>
          <w:rFonts w:cs="Times New Roman"/>
          <w:i/>
          <w:iCs/>
          <w:szCs w:val="24"/>
          <w:lang w:val="en-GB"/>
        </w:rPr>
        <w:t>Oxford Journal of Law and Religion</w:t>
      </w:r>
      <w:r w:rsidRPr="00233D39">
        <w:rPr>
          <w:rFonts w:cs="Times New Roman"/>
          <w:szCs w:val="24"/>
          <w:lang w:val="en-GB"/>
        </w:rPr>
        <w:t xml:space="preserve">, 2016, vol. 5, n° 2, p. 274 ; </w:t>
      </w:r>
      <w:proofErr w:type="spellStart"/>
      <w:r w:rsidRPr="00233D39">
        <w:rPr>
          <w:rFonts w:cs="Times New Roman"/>
          <w:smallCaps/>
          <w:szCs w:val="24"/>
          <w:lang w:val="en-GB"/>
        </w:rPr>
        <w:t>Equinet</w:t>
      </w:r>
      <w:proofErr w:type="spellEnd"/>
      <w:r w:rsidRPr="00233D39">
        <w:rPr>
          <w:rFonts w:cs="Times New Roman"/>
          <w:szCs w:val="24"/>
          <w:lang w:val="en-GB"/>
        </w:rPr>
        <w:t xml:space="preserve">, </w:t>
      </w:r>
      <w:r w:rsidRPr="00233D39">
        <w:rPr>
          <w:rFonts w:cs="Times New Roman"/>
          <w:i/>
          <w:iCs/>
          <w:szCs w:val="24"/>
          <w:lang w:val="en-GB"/>
        </w:rPr>
        <w:t>A Question of Faith: Religion and Belief in Europe:</w:t>
      </w:r>
      <w:r w:rsidRPr="00233D39">
        <w:rPr>
          <w:rFonts w:cs="Times New Roman"/>
          <w:szCs w:val="24"/>
          <w:lang w:val="en-GB"/>
        </w:rPr>
        <w:t xml:space="preserve">, </w:t>
      </w:r>
      <w:r w:rsidRPr="00233D39">
        <w:rPr>
          <w:rFonts w:cs="Times New Roman"/>
          <w:i/>
          <w:iCs/>
          <w:szCs w:val="24"/>
          <w:lang w:val="en-GB"/>
        </w:rPr>
        <w:t>op. cit.</w:t>
      </w:r>
      <w:r w:rsidRPr="00233D39">
        <w:rPr>
          <w:rFonts w:cs="Times New Roman"/>
          <w:szCs w:val="24"/>
          <w:lang w:val="en-GB"/>
        </w:rPr>
        <w:t>, p. 16.</w:t>
      </w:r>
      <w:r w:rsidRPr="00022216">
        <w:fldChar w:fldCharType="end"/>
      </w:r>
    </w:p>
  </w:footnote>
  <w:footnote w:id="337">
    <w:p w14:paraId="5EA4E8C0" w14:textId="347D272C" w:rsidR="000D6C77" w:rsidRPr="00022216" w:rsidRDefault="000D6C77" w:rsidP="006754AC">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{"citationID":"M59zCx35","properties":{"formattedCitation":"J. {\\scaps Mouly}, \\uc0\\u171{}\\uc0\\u160{}L\\uc0\\u8217{}affaire Baby-Loup devant la Cour de renvoi\\uc0\\u8239{}: la revanche de la la\\uc0\\u239{}cit\\uc0\\u233{}\\uc0\\u8239{}?\\uc0\\u160{}\\uc0\\u187{}, {\\i{}op. cit.}, p. 68.","plainCitation":"J. Mouly, « L’affaire Baby-Loup devant la Cour de renvoi : la revanche de la laïcité ? », op. cit., p. 68.","noteIndex":419},"citationItems":[{"id":2615,"uris":["http://zotero.org/users/5133869/items/JX5N5W2Z"],"itemData":{"id":2615,"type":"article-journal","container-title":"Recueil Dalloz","page":"66-71","title":"L'affaire Baby-Loup devant la Cour de renvoi : la revanche de la laïcité ?","author":[{"family":"Mouly","given":"Jean"}],"issued":{"date-parts":[["2014"]]}},"locator":"68"}],"schema":"https://github.com/citation-style-language/schema/raw/master/csl-citation.json"} </w:instrText>
      </w:r>
      <w:r w:rsidRPr="00022216">
        <w:fldChar w:fldCharType="separate"/>
      </w:r>
      <w:r w:rsidRPr="00022216">
        <w:rPr>
          <w:rFonts w:cs="Times New Roman"/>
          <w:szCs w:val="24"/>
        </w:rPr>
        <w:t xml:space="preserve">J. </w:t>
      </w:r>
      <w:proofErr w:type="spellStart"/>
      <w:r w:rsidRPr="00022216">
        <w:rPr>
          <w:rFonts w:cs="Times New Roman"/>
          <w:smallCaps/>
          <w:szCs w:val="24"/>
        </w:rPr>
        <w:t>Mouly</w:t>
      </w:r>
      <w:proofErr w:type="spellEnd"/>
      <w:r w:rsidRPr="00022216">
        <w:rPr>
          <w:rFonts w:cs="Times New Roman"/>
          <w:szCs w:val="24"/>
        </w:rPr>
        <w:t>, « L’affaire Baby-Loup</w:t>
      </w:r>
      <w:r>
        <w:rPr>
          <w:rFonts w:cs="Times New Roman"/>
          <w:szCs w:val="24"/>
        </w:rPr>
        <w:fldChar w:fldCharType="begin"/>
      </w:r>
      <w:r>
        <w:rPr>
          <w:rFonts w:cs="Times New Roman"/>
          <w:szCs w:val="24"/>
        </w:rPr>
        <w:instrText xml:space="preserve"> XE "</w:instrText>
      </w:r>
      <w:r w:rsidRPr="005F6D4C">
        <w:rPr>
          <w:rFonts w:ascii="Cambria" w:eastAsia="Times New Roman" w:hAnsi="Cambria" w:cs="Calibri"/>
          <w:i/>
          <w:iCs/>
          <w:color w:val="000000"/>
          <w:lang w:eastAsia="fr-BE"/>
        </w:rPr>
        <w:instrText>Baby Loup"</w:instrText>
      </w:r>
      <w:r>
        <w:rPr>
          <w:rFonts w:cs="Times New Roman"/>
          <w:szCs w:val="24"/>
        </w:rPr>
        <w:instrText xml:space="preserve"> </w:instrText>
      </w:r>
      <w:r>
        <w:rPr>
          <w:rFonts w:cs="Times New Roman"/>
          <w:szCs w:val="24"/>
        </w:rPr>
        <w:fldChar w:fldCharType="end"/>
      </w:r>
      <w:r w:rsidRPr="00022216">
        <w:rPr>
          <w:rFonts w:cs="Times New Roman"/>
          <w:szCs w:val="24"/>
        </w:rPr>
        <w:t xml:space="preserve"> devant la Cour de renvoi : la revanche de la laïcité ?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68.</w:t>
      </w:r>
      <w:r w:rsidRPr="00022216">
        <w:fldChar w:fldCharType="end"/>
      </w:r>
    </w:p>
  </w:footnote>
  <w:footnote w:id="338">
    <w:p w14:paraId="7781ED35" w14:textId="21F3CCB9" w:rsidR="000D6C77" w:rsidRPr="00022216" w:rsidRDefault="000D6C77" w:rsidP="006754AC">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{"citationID":"nKNNST8X","properties":{"formattedCitation":"{\\i{}Ibid.}","plainCitation":"Ibid.","noteIndex":420},"citationItems":[{"id":2615,"uris":["http://zotero.org/users/5133869/items/JX5N5W2Z"],"itemData":{"id":2615,"type":"article-journal","container-title":"Recueil Dalloz","page":"66-71","title":"L'affaire Baby-Loup devant la Cour de renvoi : la revanche de la laïcité ?","author":[{"family":"Mouly","given":"Jean"}],"issued":{"date-parts":[["2014"]]}},"locator":"68"}],"schema":"https://github.com/citation-style-language/schema/raw/master/csl-citation.json"} </w:instrText>
      </w:r>
      <w:r w:rsidRPr="00022216">
        <w:fldChar w:fldCharType="separate"/>
      </w:r>
      <w:r w:rsidRPr="00022216">
        <w:rPr>
          <w:rFonts w:cs="Times New Roman"/>
          <w:i/>
          <w:iCs/>
          <w:szCs w:val="24"/>
        </w:rPr>
        <w:t>Ibid.</w:t>
      </w:r>
      <w:r w:rsidRPr="00022216">
        <w:fldChar w:fldCharType="end"/>
      </w:r>
      <w:r w:rsidRPr="00022216">
        <w:t xml:space="preserve"> En ce sens, </w:t>
      </w:r>
      <w:proofErr w:type="spellStart"/>
      <w:r w:rsidRPr="00022216">
        <w:t>voy</w:t>
      </w:r>
      <w:proofErr w:type="spellEnd"/>
      <w:r w:rsidRPr="00022216">
        <w:t xml:space="preserve">. aussi </w:t>
      </w:r>
      <w:r w:rsidRPr="00022216">
        <w:fldChar w:fldCharType="begin"/>
      </w:r>
      <w:r>
        <w:instrText xml:space="preserve"> ADDIN ZOTERO_ITEM CSL_CITATION {"citationID":"0YbECawh","properties":{"formattedCitation":"S. {\\scaps Mouton} et T. {\\scaps Lamarche}, \\uc0\\u171{}\\uc0\\u160{}Affaire Baby Loup\\uc0\\u8239{}: suite et fin\\uc0\\u8239{}? Une d\\uc0\\u233{}cision en demi-teinte qui ne prot\\uc0\\u232{}ge pas la neutralit\\uc0\\u233{} n\\uc0\\u233{}cessaire aux missions d\\uc0\\u8217{}int\\uc0\\u233{}r\\uc0\\u234{}t g\\uc0\\u233{}n\\uc0\\u233{}ral\\uc0\\u160{}\\uc0\\u187{}, {\\i{}AJDA}, 2014, n\\uc0\\u176{} 32, p. 1844.","plainCitation":"S. Mouton et T. Lamarche, « Affaire Baby Loup : suite et fin ? Une décision en demi-teinte qui ne protège pas la neutralité nécessaire aux missions d’intérêt général », AJDA, 2014, n° 32, p. 1844.","noteIndex":410},"citationItems":[{"id":2775,"uris":["http://zotero.org/users/5133869/items/SKQ89QUF"],"itemData":{"id":2775,"type":"article-journal","container-title":"AJDA","issue":"32","page":"1842-1847","title":"Affaire Baby Loup : suite et fin ? Une décision en demi-teinte qui ne protège pas la neutralité nécessaire aux missions d'intérêt général","author":[{"family":"Mouton","given":"Stéphane"},{"family":"Lamarche","given":"Thierry"}],"issued":{"date-parts":[["2014"]]}},"locator":"1844"}],"schema":"https://github.com/citation-style-language/schema/raw/master/csl-citation.json"} </w:instrText>
      </w:r>
      <w:r w:rsidRPr="00022216">
        <w:fldChar w:fldCharType="separate"/>
      </w:r>
      <w:r w:rsidRPr="00022216">
        <w:rPr>
          <w:rFonts w:cs="Times New Roman"/>
          <w:szCs w:val="24"/>
        </w:rPr>
        <w:t xml:space="preserve">S. </w:t>
      </w:r>
      <w:r w:rsidRPr="00022216">
        <w:rPr>
          <w:rFonts w:cs="Times New Roman"/>
          <w:smallCaps/>
          <w:szCs w:val="24"/>
        </w:rPr>
        <w:t>Mouton</w:t>
      </w:r>
      <w:r w:rsidRPr="00022216">
        <w:rPr>
          <w:rFonts w:cs="Times New Roman"/>
          <w:szCs w:val="24"/>
        </w:rPr>
        <w:t xml:space="preserve"> et T. </w:t>
      </w:r>
      <w:r w:rsidRPr="00022216">
        <w:rPr>
          <w:rFonts w:cs="Times New Roman"/>
          <w:smallCaps/>
          <w:szCs w:val="24"/>
        </w:rPr>
        <w:t>Lamarche</w:t>
      </w:r>
      <w:r w:rsidRPr="00022216">
        <w:rPr>
          <w:rFonts w:cs="Times New Roman"/>
          <w:szCs w:val="24"/>
        </w:rPr>
        <w:t xml:space="preserve">, « Affaire Baby Loup : suite et fin ? Une décision en demi-teinte qui ne protège pas la neutralité nécessaire aux missions d’intérêt général », </w:t>
      </w:r>
      <w:r w:rsidRPr="00022216">
        <w:rPr>
          <w:rFonts w:cs="Times New Roman"/>
          <w:i/>
          <w:iCs/>
          <w:szCs w:val="24"/>
        </w:rPr>
        <w:t>AJDA</w:t>
      </w:r>
      <w:r w:rsidRPr="00022216">
        <w:rPr>
          <w:rFonts w:cs="Times New Roman"/>
          <w:szCs w:val="24"/>
        </w:rPr>
        <w:t>, 2014, n° 32, p. 1844.</w:t>
      </w:r>
      <w:r w:rsidRPr="00022216">
        <w:fldChar w:fldCharType="end"/>
      </w:r>
    </w:p>
  </w:footnote>
  <w:footnote w:id="339">
    <w:p w14:paraId="1E17E34F" w14:textId="400C3E0E" w:rsidR="000D6C77" w:rsidRPr="00022216" w:rsidRDefault="000D6C77" w:rsidP="006754AC">
      <w:pPr>
        <w:pStyle w:val="Notedebasdepage"/>
      </w:pPr>
      <w:r w:rsidRPr="00022216">
        <w:rPr>
          <w:rStyle w:val="Appelnotedebasdep"/>
        </w:rPr>
        <w:footnoteRef/>
      </w:r>
      <w:r w:rsidRPr="00022216">
        <w:t xml:space="preserve"> C.E. </w:t>
      </w:r>
      <w:r>
        <w:t xml:space="preserve">Bel. </w:t>
      </w:r>
      <w:r w:rsidRPr="00022216">
        <w:t>(</w:t>
      </w:r>
      <w:proofErr w:type="spellStart"/>
      <w:r w:rsidRPr="00022216">
        <w:t>ass</w:t>
      </w:r>
      <w:proofErr w:type="spellEnd"/>
      <w:r w:rsidRPr="00022216">
        <w:t xml:space="preserve">. g.), 21 décembre 2010, </w:t>
      </w:r>
      <w:r w:rsidRPr="00022216">
        <w:rPr>
          <w:i/>
          <w:iCs/>
        </w:rPr>
        <w:t>J.L.M.B.</w:t>
      </w:r>
      <w:r w:rsidRPr="00022216">
        <w:t xml:space="preserve">, pp. 1039-1061, obs. G. </w:t>
      </w:r>
      <w:proofErr w:type="spellStart"/>
      <w:r w:rsidRPr="00022216">
        <w:rPr>
          <w:smallCaps/>
        </w:rPr>
        <w:t>Ninane</w:t>
      </w:r>
      <w:proofErr w:type="spellEnd"/>
      <w:r w:rsidRPr="00022216">
        <w:t xml:space="preserve"> ; </w:t>
      </w:r>
      <w:r w:rsidRPr="00022216">
        <w:rPr>
          <w:i/>
          <w:iCs/>
        </w:rPr>
        <w:t>Administration publique</w:t>
      </w:r>
      <w:r w:rsidRPr="00022216">
        <w:t xml:space="preserve">, 2012, pp. 342-384, obs. J. </w:t>
      </w:r>
      <w:r w:rsidRPr="00022216">
        <w:rPr>
          <w:smallCaps/>
        </w:rPr>
        <w:t xml:space="preserve">Ringelheim. </w:t>
      </w:r>
      <w:r>
        <w:rPr>
          <w:i/>
          <w:iCs/>
        </w:rPr>
        <w:t>Contra</w:t>
      </w:r>
      <w:r w:rsidRPr="00022216">
        <w:t xml:space="preserve">, </w:t>
      </w:r>
      <w:proofErr w:type="spellStart"/>
      <w:r w:rsidRPr="00022216">
        <w:t>voy</w:t>
      </w:r>
      <w:proofErr w:type="spellEnd"/>
      <w:r w:rsidRPr="00022216">
        <w:t xml:space="preserve">. l’ordonnance du </w:t>
      </w:r>
      <w:r>
        <w:t>tribunal</w:t>
      </w:r>
      <w:r w:rsidRPr="00022216">
        <w:t xml:space="preserve"> du travail de Bruxelles dans l’affaire </w:t>
      </w:r>
      <w:proofErr w:type="spellStart"/>
      <w:r w:rsidRPr="00022216">
        <w:rPr>
          <w:i/>
          <w:iCs/>
        </w:rPr>
        <w:t>Actiris</w:t>
      </w:r>
      <w:proofErr w:type="spellEnd"/>
      <w:r w:rsidRPr="00022216">
        <w:t>, selon laquelle « </w:t>
      </w:r>
      <w:proofErr w:type="spellStart"/>
      <w:r w:rsidRPr="007E3A13">
        <w:rPr>
          <w:i/>
          <w:iCs/>
        </w:rPr>
        <w:t>Actiris</w:t>
      </w:r>
      <w:proofErr w:type="spellEnd"/>
      <w:r w:rsidRPr="00022216">
        <w:t xml:space="preserve"> ne peut […] être assimilé à un ‘organisme de tendance’ </w:t>
      </w:r>
      <w:r>
        <w:t>[…]</w:t>
      </w:r>
      <w:r w:rsidRPr="00022216">
        <w:t>, sauf à considérer, à tort, que le principe de neutralité sur lequel il affirme s’appuyer est une conception philosophique » (16 novembre 2015,</w:t>
      </w:r>
      <w:r w:rsidRPr="00022216">
        <w:rPr>
          <w:i/>
        </w:rPr>
        <w:t xml:space="preserve"> Administration Publique</w:t>
      </w:r>
      <w:r w:rsidRPr="00022216">
        <w:t xml:space="preserve">, 2016, pp. 491-516, obs. I. </w:t>
      </w:r>
      <w:proofErr w:type="spellStart"/>
      <w:r w:rsidRPr="00022216">
        <w:rPr>
          <w:smallCaps/>
        </w:rPr>
        <w:t>Rorive</w:t>
      </w:r>
      <w:proofErr w:type="spellEnd"/>
      <w:r w:rsidRPr="00022216">
        <w:rPr>
          <w:smallCaps/>
        </w:rPr>
        <w:t>).</w:t>
      </w:r>
      <w:r>
        <w:t xml:space="preserve"> </w:t>
      </w:r>
      <w:proofErr w:type="spellStart"/>
      <w:r>
        <w:t>Voy</w:t>
      </w:r>
      <w:proofErr w:type="spellEnd"/>
      <w:r>
        <w:t>. aussi l’arrêt de la Cour constitutionnelle belge du</w:t>
      </w:r>
      <w:r w:rsidRPr="00022216">
        <w:rPr>
          <w:rFonts w:cs="Times New Roman"/>
        </w:rPr>
        <w:t xml:space="preserve"> </w:t>
      </w:r>
      <w:r>
        <w:rPr>
          <w:rFonts w:cs="Times New Roman"/>
        </w:rPr>
        <w:t>4</w:t>
      </w:r>
      <w:r w:rsidRPr="00022216">
        <w:rPr>
          <w:rFonts w:cs="Times New Roman"/>
        </w:rPr>
        <w:t xml:space="preserve"> juin 2020</w:t>
      </w:r>
      <w:r>
        <w:rPr>
          <w:rFonts w:cs="Times New Roman"/>
        </w:rPr>
        <w:t xml:space="preserve"> (</w:t>
      </w:r>
      <w:r w:rsidRPr="00022216">
        <w:rPr>
          <w:rFonts w:cs="Times New Roman"/>
        </w:rPr>
        <w:t>R.G. n° 81/2020</w:t>
      </w:r>
      <w:r>
        <w:rPr>
          <w:rFonts w:cs="Times New Roman"/>
        </w:rPr>
        <w:t xml:space="preserve">), à travers lequel est admise la légitimité d’une neutralité dite « totale », en tant que </w:t>
      </w:r>
      <w:r w:rsidRPr="0092638D">
        <w:rPr>
          <w:rFonts w:cs="Times New Roman"/>
        </w:rPr>
        <w:t xml:space="preserve">projet pédagogique </w:t>
      </w:r>
      <w:r>
        <w:rPr>
          <w:rFonts w:cs="Times New Roman"/>
        </w:rPr>
        <w:t>d’un établissement d’enseignement supérieur : si la Cour ne rattache pas cette neutralité totale à une tendance convictionnelle, elle s’appuie en tout cas sur le fait qu’existent « </w:t>
      </w:r>
      <w:r w:rsidRPr="0092638D">
        <w:rPr>
          <w:rFonts w:cs="Times New Roman"/>
        </w:rPr>
        <w:t>différentes conceptions de la neutralité</w:t>
      </w:r>
      <w:r>
        <w:rPr>
          <w:rFonts w:cs="Times New Roman"/>
        </w:rPr>
        <w:t> » et qu’« i</w:t>
      </w:r>
      <w:r w:rsidRPr="0092638D">
        <w:rPr>
          <w:rFonts w:cs="Times New Roman"/>
        </w:rPr>
        <w:t>l n’appartient pas à la Cour de privilégier</w:t>
      </w:r>
      <w:r>
        <w:rPr>
          <w:rFonts w:cs="Times New Roman"/>
        </w:rPr>
        <w:t> » l’une ou l’autre d’entre elles (para. B.24.2).</w:t>
      </w:r>
    </w:p>
  </w:footnote>
  <w:footnote w:id="340">
    <w:p w14:paraId="32D827B2" w14:textId="2A21EEA3" w:rsidR="000D6C77" w:rsidRPr="00022216" w:rsidRDefault="000D6C77" w:rsidP="00710B23">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Pr>
          <w:rFonts w:cs="Times New Roman"/>
        </w:rPr>
        <w:instrText xml:space="preserve"> ADDIN ZOTERO_ITEM CSL_CITATION {"citationID":"dyEbKx9m","properties":{"formattedCitation":"A. {\\scaps Sol\\uc0\\u233{}}, \\uc0\\u171{}\\uc0\\u160{}L\\uc0\\u8217{}entreprisation du monde\\uc0\\u160{}\\uc0\\u187{}, {\\i{}in} J. {\\scaps Chaize} et F. {\\scaps Torres} (\\uc0\\u233{}ds.), {\\i{}Repenser l\\uc0\\u8217{}entreprise\\uc0\\u8239{}: saisir ce qui commence, vingt regards sur une id\\uc0\\u233{}e neuve}, Paris, Le cherche midi, 2008, pp. 27\\uc0\\u8209{}54.","plainCitation":"A. Solé, « L’entreprisation du monde », in J. Chaize et F. Torres (éds.), Repenser l’entreprise : saisir ce qui commence, vingt regards sur une idée neuve, Paris, Le cherche midi, 2008, pp. 27‑54.","noteIndex":413},"citationItems":[{"id":2390,"uris":["http://zotero.org/users/5133869/items/NMHL7PTL"],"itemData":{"id":2390,"type":"chapter","call-number":"HD33 .R45 2008","container-title":"Repenser l'entreprise : saisir ce qui commence, vingt regards sur une idée neuve","event-place":"Paris","ISBN":"978-2-7491-1166-7","page":"27-54","publisher":"Le cherche midi","publisher-place":"Paris","source":"Library of Congress ISBN","title":"L'entreprisation du monde","editor":[{"family":"Chaize","given":"Jacques"},{"family":"Torres","given":"Félix"}],"author":[{"family":"Solé","given":"Andreu"}],"issued":{"date-parts":[["2008"]]}},"locator":"27-54"}],"schema":"https://github.com/citation-style-language/schema/raw/master/csl-citation.json"} </w:instrText>
      </w:r>
      <w:r w:rsidRPr="00022216">
        <w:rPr>
          <w:rFonts w:cs="Times New Roman"/>
        </w:rPr>
        <w:fldChar w:fldCharType="separate"/>
      </w:r>
      <w:r w:rsidRPr="00CC3909">
        <w:rPr>
          <w:rFonts w:cs="Times New Roman"/>
          <w:szCs w:val="24"/>
        </w:rPr>
        <w:t xml:space="preserve">A. </w:t>
      </w:r>
      <w:proofErr w:type="spellStart"/>
      <w:r w:rsidRPr="00CC3909">
        <w:rPr>
          <w:rFonts w:cs="Times New Roman"/>
          <w:smallCaps/>
          <w:szCs w:val="24"/>
        </w:rPr>
        <w:t>Solé</w:t>
      </w:r>
      <w:proofErr w:type="spellEnd"/>
      <w:r w:rsidRPr="00CC3909">
        <w:rPr>
          <w:rFonts w:cs="Times New Roman"/>
          <w:szCs w:val="24"/>
        </w:rPr>
        <w:t>, « L’</w:t>
      </w:r>
      <w:proofErr w:type="spellStart"/>
      <w:r w:rsidRPr="00CC3909">
        <w:rPr>
          <w:rFonts w:cs="Times New Roman"/>
          <w:szCs w:val="24"/>
        </w:rPr>
        <w:t>entreprisation</w:t>
      </w:r>
      <w:proofErr w:type="spellEnd"/>
      <w:r w:rsidRPr="00CC3909">
        <w:rPr>
          <w:rFonts w:cs="Times New Roman"/>
          <w:szCs w:val="24"/>
        </w:rPr>
        <w:t xml:space="preserve"> du monde », </w:t>
      </w:r>
      <w:r w:rsidRPr="00CC3909">
        <w:rPr>
          <w:rFonts w:cs="Times New Roman"/>
          <w:i/>
          <w:iCs/>
          <w:szCs w:val="24"/>
        </w:rPr>
        <w:t>in</w:t>
      </w:r>
      <w:r w:rsidRPr="00CC3909">
        <w:rPr>
          <w:rFonts w:cs="Times New Roman"/>
          <w:szCs w:val="24"/>
        </w:rPr>
        <w:t xml:space="preserve"> J. </w:t>
      </w:r>
      <w:r w:rsidRPr="00CC3909">
        <w:rPr>
          <w:rFonts w:cs="Times New Roman"/>
          <w:smallCaps/>
          <w:szCs w:val="24"/>
        </w:rPr>
        <w:t>Chaize</w:t>
      </w:r>
      <w:r w:rsidRPr="00CC3909">
        <w:rPr>
          <w:rFonts w:cs="Times New Roman"/>
          <w:szCs w:val="24"/>
        </w:rPr>
        <w:t xml:space="preserve"> et F. </w:t>
      </w:r>
      <w:r w:rsidRPr="00CC3909">
        <w:rPr>
          <w:rFonts w:cs="Times New Roman"/>
          <w:smallCaps/>
          <w:szCs w:val="24"/>
        </w:rPr>
        <w:t>Torres</w:t>
      </w:r>
      <w:r w:rsidRPr="00CC3909">
        <w:rPr>
          <w:rFonts w:cs="Times New Roman"/>
          <w:szCs w:val="24"/>
        </w:rPr>
        <w:t xml:space="preserve"> (</w:t>
      </w:r>
      <w:proofErr w:type="spellStart"/>
      <w:r w:rsidRPr="00CC3909">
        <w:rPr>
          <w:rFonts w:cs="Times New Roman"/>
          <w:szCs w:val="24"/>
        </w:rPr>
        <w:t>éds</w:t>
      </w:r>
      <w:proofErr w:type="spellEnd"/>
      <w:r w:rsidRPr="00CC3909">
        <w:rPr>
          <w:rFonts w:cs="Times New Roman"/>
          <w:szCs w:val="24"/>
        </w:rPr>
        <w:t xml:space="preserve">.), </w:t>
      </w:r>
      <w:r w:rsidRPr="00CC3909">
        <w:rPr>
          <w:rFonts w:cs="Times New Roman"/>
          <w:i/>
          <w:iCs/>
          <w:szCs w:val="24"/>
        </w:rPr>
        <w:t>Repenser l’entreprise : saisir ce qui commence, vingt regards sur une idée neuve</w:t>
      </w:r>
      <w:r w:rsidRPr="00CC3909">
        <w:rPr>
          <w:rFonts w:cs="Times New Roman"/>
          <w:szCs w:val="24"/>
        </w:rPr>
        <w:t>, Paris, Le cherche midi, 2008, pp. 27‑54.</w:t>
      </w:r>
      <w:r w:rsidRPr="00022216">
        <w:rPr>
          <w:rFonts w:cs="Times New Roman"/>
        </w:rPr>
        <w:fldChar w:fldCharType="end"/>
      </w:r>
    </w:p>
  </w:footnote>
  <w:footnote w:id="341">
    <w:p w14:paraId="52B8B5A0" w14:textId="3DA85103" w:rsidR="000D6C77" w:rsidRPr="00016D32" w:rsidRDefault="000D6C77" w:rsidP="00BA3B64">
      <w:pPr>
        <w:pStyle w:val="Notedebasdepage"/>
        <w:rPr>
          <w:szCs w:val="17"/>
        </w:rPr>
      </w:pPr>
      <w:r w:rsidRPr="00016D32">
        <w:rPr>
          <w:rStyle w:val="Appelnotedebasdep"/>
          <w:szCs w:val="17"/>
        </w:rPr>
        <w:footnoteRef/>
      </w:r>
      <w:r w:rsidRPr="00016D32">
        <w:rPr>
          <w:szCs w:val="17"/>
        </w:rPr>
        <w:t xml:space="preserve"> </w:t>
      </w:r>
      <w:r w:rsidRPr="00016D32">
        <w:rPr>
          <w:szCs w:val="17"/>
        </w:rPr>
        <w:fldChar w:fldCharType="begin"/>
      </w:r>
      <w:r>
        <w:rPr>
          <w:szCs w:val="17"/>
        </w:rPr>
        <w:instrText xml:space="preserve"> ADDIN ZOTERO_ITEM CSL_CITATION {"citationID":"lv5dTRzl","properties":{"formattedCitation":"S. {\\scaps Hennette-Vauchez} et V. {\\scaps Valentin}, {\\i{}L\\uc0\\u8217{}affaire Baby Loup ou la Nouvelle La\\uc0\\u239{}cit\\uc0\\u233{}}, {\\i{}op. cit.}, p. 59.","plainCitation":"S. Hennette-Vauchez et V. Valentin, L’affaire Baby Loup ou la Nouvelle Laïcité, op. cit., p. 59.","noteIndex":418},"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Laïcité","author":[{"family":"Hennette-Vauchez","given":"Stéphanie"},{"family":"Valentin","given":"Vincent"}],"issued":{"date-parts":[["2014"]]}},"locator":"59"}],"schema":"https://github.com/citation-style-language/schema/raw/master/csl-citation.json"} </w:instrText>
      </w:r>
      <w:r w:rsidRPr="00016D32">
        <w:rPr>
          <w:szCs w:val="17"/>
        </w:rPr>
        <w:fldChar w:fldCharType="separate"/>
      </w:r>
      <w:r w:rsidRPr="006A1BA6">
        <w:rPr>
          <w:rFonts w:cs="Times New Roman"/>
          <w:szCs w:val="24"/>
        </w:rPr>
        <w:t xml:space="preserve">S. </w:t>
      </w:r>
      <w:r w:rsidRPr="006A1BA6">
        <w:rPr>
          <w:rFonts w:cs="Times New Roman"/>
          <w:smallCaps/>
          <w:szCs w:val="24"/>
        </w:rPr>
        <w:t>Hennette-Vauchez</w:t>
      </w:r>
      <w:r w:rsidRPr="006A1BA6">
        <w:rPr>
          <w:rFonts w:cs="Times New Roman"/>
          <w:szCs w:val="24"/>
        </w:rPr>
        <w:t xml:space="preserve"> et V. </w:t>
      </w:r>
      <w:r w:rsidRPr="006A1BA6">
        <w:rPr>
          <w:rFonts w:cs="Times New Roman"/>
          <w:smallCaps/>
          <w:szCs w:val="24"/>
        </w:rPr>
        <w:t>Valentin</w:t>
      </w:r>
      <w:r w:rsidRPr="006A1BA6">
        <w:rPr>
          <w:rFonts w:cs="Times New Roman"/>
          <w:szCs w:val="24"/>
        </w:rPr>
        <w:t xml:space="preserve">, </w:t>
      </w:r>
      <w:r w:rsidRPr="006A1BA6">
        <w:rPr>
          <w:rFonts w:cs="Times New Roman"/>
          <w:i/>
          <w:iCs/>
          <w:szCs w:val="24"/>
        </w:rPr>
        <w:t>L’affaire Baby Loup ou la Nouvelle Laïcité</w:t>
      </w:r>
      <w:r w:rsidRPr="006A1BA6">
        <w:rPr>
          <w:rFonts w:cs="Times New Roman"/>
          <w:szCs w:val="24"/>
        </w:rPr>
        <w:t xml:space="preserve">, </w:t>
      </w:r>
      <w:r w:rsidRPr="006A1BA6">
        <w:rPr>
          <w:rFonts w:cs="Times New Roman"/>
          <w:i/>
          <w:iCs/>
          <w:szCs w:val="24"/>
        </w:rPr>
        <w:t xml:space="preserve">op. </w:t>
      </w:r>
      <w:proofErr w:type="spellStart"/>
      <w:r w:rsidRPr="006A1BA6">
        <w:rPr>
          <w:rFonts w:cs="Times New Roman"/>
          <w:i/>
          <w:iCs/>
          <w:szCs w:val="24"/>
        </w:rPr>
        <w:t>cit</w:t>
      </w:r>
      <w:proofErr w:type="spellEnd"/>
      <w:r w:rsidRPr="006A1BA6">
        <w:rPr>
          <w:rFonts w:cs="Times New Roman"/>
          <w:i/>
          <w:iCs/>
          <w:szCs w:val="24"/>
        </w:rPr>
        <w:t>.</w:t>
      </w:r>
      <w:r w:rsidRPr="006A1BA6">
        <w:rPr>
          <w:rFonts w:cs="Times New Roman"/>
          <w:szCs w:val="24"/>
        </w:rPr>
        <w:t>, p. 59.</w:t>
      </w:r>
      <w:r w:rsidRPr="00016D32">
        <w:rPr>
          <w:szCs w:val="17"/>
        </w:rPr>
        <w:fldChar w:fldCharType="end"/>
      </w:r>
      <w:r w:rsidRPr="00016D32">
        <w:rPr>
          <w:szCs w:val="17"/>
        </w:rPr>
        <w:t xml:space="preserve"> Selon les auteurs, la neutralité transposée de l’</w:t>
      </w:r>
      <w:r>
        <w:rPr>
          <w:szCs w:val="17"/>
        </w:rPr>
        <w:t>É</w:t>
      </w:r>
      <w:r w:rsidRPr="00016D32">
        <w:rPr>
          <w:szCs w:val="17"/>
        </w:rPr>
        <w:t xml:space="preserve">tat à l’entreprise traduit, dans un certain sens, une tendance selon laquelle « le privé se publicise » </w:t>
      </w:r>
      <w:r w:rsidRPr="00016D32">
        <w:rPr>
          <w:szCs w:val="17"/>
        </w:rPr>
        <w:fldChar w:fldCharType="begin"/>
      </w:r>
      <w:r>
        <w:rPr>
          <w:szCs w:val="17"/>
        </w:rPr>
        <w:instrText xml:space="preserve"> ADDIN ZOTERO_ITEM CSL_CITATION {"citationID":"2qvXRFq2","properties":{"formattedCitation":"({\\i{}ibid.}, p. 22).","plainCitation":"(ibid., p. 22).","noteIndex":414},"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22","prefix":"(","suffix":")"}],"schema":"https://github.com/citation-style-language/schema/raw/master/csl-citation.json"} </w:instrText>
      </w:r>
      <w:r w:rsidRPr="00016D32">
        <w:rPr>
          <w:szCs w:val="17"/>
        </w:rPr>
        <w:fldChar w:fldCharType="separate"/>
      </w:r>
      <w:r w:rsidRPr="00016D32">
        <w:rPr>
          <w:szCs w:val="17"/>
        </w:rPr>
        <w:t>(</w:t>
      </w:r>
      <w:r w:rsidRPr="00016D32">
        <w:rPr>
          <w:i/>
          <w:iCs/>
          <w:szCs w:val="17"/>
        </w:rPr>
        <w:t>ibid.</w:t>
      </w:r>
      <w:r w:rsidRPr="00016D32">
        <w:rPr>
          <w:szCs w:val="17"/>
        </w:rPr>
        <w:t>, p. 22).</w:t>
      </w:r>
      <w:r w:rsidRPr="00016D32">
        <w:rPr>
          <w:szCs w:val="17"/>
        </w:rPr>
        <w:fldChar w:fldCharType="end"/>
      </w:r>
    </w:p>
  </w:footnote>
  <w:footnote w:id="342">
    <w:p w14:paraId="4A470293" w14:textId="6DDAF184" w:rsidR="000D6C77" w:rsidRPr="00224F46" w:rsidRDefault="000D6C77">
      <w:pPr>
        <w:pStyle w:val="Notedebasdepage"/>
      </w:pPr>
      <w:r>
        <w:rPr>
          <w:rStyle w:val="Appelnotedebasdep"/>
        </w:rPr>
        <w:footnoteRef/>
      </w:r>
      <w:r>
        <w:t xml:space="preserve"> </w:t>
      </w:r>
      <w:proofErr w:type="spellStart"/>
      <w:r>
        <w:t>Voy</w:t>
      </w:r>
      <w:proofErr w:type="spellEnd"/>
      <w:r>
        <w:t xml:space="preserve">. </w:t>
      </w:r>
      <w:r>
        <w:fldChar w:fldCharType="begin"/>
      </w:r>
      <w:r>
        <w:instrText xml:space="preserve"> ADDIN ZOTERO_ITEM CSL_CITATION {"citationID":"2Rzc65j1","properties":{"formattedCitation":"A. {\\scaps Ferrari}, \\uc0\\u171{}\\uc0\\u160{}De la politique \\uc0\\u224{} la technique\\uc0\\u8239{}: la\\uc0\\u239{}cit\\uc0\\u233{} narrative et la\\uc0\\u239{}cit\\uc0\\u233{} du droit. Pour une comparaison France/Italie\\uc0\\u160{}\\uc0\\u187{}, in {\\i{}Le droit eccl\\uc0\\u233{}siastique en Europe et \\uc0\\u224{} ses marges (XVIIIe \\uc0\\u8211{} XXe si\\uc0\\u232{}cles)}, Leuven, Peeters, 2009, pp. 333\\uc0\\u8209{}345\\uc0\\u160{}; D. {\\scaps Koussens}, {\\i{}L\\uc0\\u8217{}\\uc0\\u233{}preuve de la neutralit\\uc0\\u233{}\\uc0\\u8239{}: la la\\uc0\\u239{}cit\\uc0\\u233{} fran\\uc0\\u231{}aise entre droits et discours}, {\\i{}op. cit.}","plainCitation":"A. Ferrari, « De la politique à la technique : laïcité narrative et laïcité du droit. Pour une comparaison France/Italie », in Le droit ecclésiastique en Europe et à ses marges (XVIIIe – XXe siècles), Leuven, Peeters, 2009, pp. 333‑345 ; D. Koussens, L’épreuve de la neutralité : la laïcité française entre droits et discours, op. cit.","noteIndex":415},"citationItems":[{"id":448,"uris":["http://zotero.org/users/5133869/items/9MWXIE44"],"itemData":{"id":448,"type":"chapter","container-title":"Le droit ecclésiastique en Europe et à ses marges (XVIIIe – XXe siècles)","event-place":"Leuven","page":"333-345","publisher":"Peeters","publisher-place":"Leuven","title":"De la politique à la technique : laïcité narrative et laïcité du droit. Pour une comparaison France/Italie","author":[{"family":"Ferrari","given":"Alessandro"}],"issued":{"date-parts":[["2009"]]}},"label":"page"},{"id":460,"uris":["http://zotero.org/users/5133869/items/GCCXY5XL"],"itemData":{"id":460,"type":"book","event-place":"Bruxelles","publisher":"Bruylant","publisher-place":"Bruxelles","title":"L'épreuve de la neutralité : la laïcité française entre droits et discours","author":[{"family":"Koussens","given":"David"}],"issued":{"date-parts":[["2015"]]}}}],"schema":"https://github.com/citation-style-language/schema/raw/master/csl-citation.json"} </w:instrText>
      </w:r>
      <w:r>
        <w:fldChar w:fldCharType="separate"/>
      </w:r>
      <w:r w:rsidRPr="000B3841">
        <w:rPr>
          <w:rFonts w:cs="Times New Roman"/>
          <w:szCs w:val="24"/>
        </w:rPr>
        <w:t xml:space="preserve">A. </w:t>
      </w:r>
      <w:r w:rsidRPr="000B3841">
        <w:rPr>
          <w:rFonts w:cs="Times New Roman"/>
          <w:smallCaps/>
          <w:szCs w:val="24"/>
        </w:rPr>
        <w:t>Ferrari</w:t>
      </w:r>
      <w:r w:rsidRPr="000B3841">
        <w:rPr>
          <w:rFonts w:cs="Times New Roman"/>
          <w:szCs w:val="24"/>
        </w:rPr>
        <w:t xml:space="preserve">, « De la politique à la technique : laïcité narrative et laïcité du droit. Pour une comparaison France/Italie », in </w:t>
      </w:r>
      <w:r w:rsidRPr="000B3841">
        <w:rPr>
          <w:rFonts w:cs="Times New Roman"/>
          <w:i/>
          <w:iCs/>
          <w:szCs w:val="24"/>
        </w:rPr>
        <w:t>Le droit ecclésiastique en Europe et à ses marges (XVIIIe – XXe siècles)</w:t>
      </w:r>
      <w:r w:rsidRPr="000B3841">
        <w:rPr>
          <w:rFonts w:cs="Times New Roman"/>
          <w:szCs w:val="24"/>
        </w:rPr>
        <w:t xml:space="preserve">, Leuven, Peeters, 2009, pp. 333‑345 ; D. </w:t>
      </w:r>
      <w:r w:rsidRPr="000B3841">
        <w:rPr>
          <w:rFonts w:cs="Times New Roman"/>
          <w:smallCaps/>
          <w:szCs w:val="24"/>
        </w:rPr>
        <w:t>Koussens</w:t>
      </w:r>
      <w:r w:rsidRPr="000B3841">
        <w:rPr>
          <w:rFonts w:cs="Times New Roman"/>
          <w:szCs w:val="24"/>
        </w:rPr>
        <w:t xml:space="preserve">, </w:t>
      </w:r>
      <w:r w:rsidRPr="000B3841">
        <w:rPr>
          <w:rFonts w:cs="Times New Roman"/>
          <w:i/>
          <w:iCs/>
          <w:szCs w:val="24"/>
        </w:rPr>
        <w:t>L’épreuve de la neutralité : la laïcité française entre droits et discours</w:t>
      </w:r>
      <w:r w:rsidRPr="000B3841">
        <w:rPr>
          <w:rFonts w:cs="Times New Roman"/>
          <w:szCs w:val="24"/>
        </w:rPr>
        <w:t xml:space="preserve">, </w:t>
      </w:r>
      <w:r w:rsidRPr="000B3841">
        <w:rPr>
          <w:rFonts w:cs="Times New Roman"/>
          <w:i/>
          <w:iCs/>
          <w:szCs w:val="24"/>
        </w:rPr>
        <w:t xml:space="preserve">op. </w:t>
      </w:r>
      <w:proofErr w:type="spellStart"/>
      <w:r w:rsidRPr="000B3841">
        <w:rPr>
          <w:rFonts w:cs="Times New Roman"/>
          <w:i/>
          <w:iCs/>
          <w:szCs w:val="24"/>
        </w:rPr>
        <w:t>cit</w:t>
      </w:r>
      <w:proofErr w:type="spellEnd"/>
      <w:r w:rsidRPr="000B3841">
        <w:rPr>
          <w:rFonts w:cs="Times New Roman"/>
          <w:i/>
          <w:iCs/>
          <w:szCs w:val="24"/>
        </w:rPr>
        <w:t>.</w:t>
      </w:r>
      <w:r>
        <w:fldChar w:fldCharType="end"/>
      </w:r>
    </w:p>
  </w:footnote>
  <w:footnote w:id="343">
    <w:p w14:paraId="06C83211" w14:textId="62251D41" w:rsidR="000D6C77" w:rsidRPr="00022216" w:rsidRDefault="000D6C77" w:rsidP="00331F79">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{"citationID":"j3cLEfze","properties":{"formattedCitation":"S. {\\scaps Hennette-Vauchez}, \\uc0\\u171{}\\uc0\\u160{}S\\uc0\\u233{}paration, garantie, neutralit\\uc0\\u233{}... les multiples grammaires de la la\\uc0\\u239{}cit\\uc0\\u233{}\\uc0\\u160{}\\uc0\\u187{}, {\\i{}Les nouveaux cahiers du Conseil constitutionnel}, 2016, n\\uc0\\u176{} 53, pp. 16\\uc0\\u8209{}18.","plainCitation":"S. Hennette-Vauchez, « Séparation, garantie, neutralité... les multiples grammaires de la laïcité », Les nouveaux cahiers du Conseil constitutionnel, 2016, n° 53, pp. 16‑18.","noteIndex":416},"citationItems":[{"id":1091,"uris":["http://zotero.org/users/5133869/items/S5775SRP"],"itemData":{"id":1091,"type":"article-journal","container-title":"Les nouveaux cahiers du Conseil constitutionnel","issue":"53","page":"9-19","title":"Séparation, garantie, neutralité... les multiples grammaires de la laïcité","author":[{"family":"Hennette-Vauchez","given":"Stéphanie"}],"issued":{"date-parts":[["2016"]]}},"locator":"16-18"}],"schema":"https://github.com/citation-style-language/schema/raw/master/csl-citation.json"} </w:instrText>
      </w:r>
      <w:r w:rsidRPr="00022216">
        <w:fldChar w:fldCharType="separate"/>
      </w:r>
      <w:r w:rsidRPr="00E74ED6">
        <w:rPr>
          <w:rFonts w:cs="Times New Roman"/>
          <w:szCs w:val="24"/>
        </w:rPr>
        <w:t xml:space="preserve">S. </w:t>
      </w:r>
      <w:r w:rsidRPr="00E74ED6">
        <w:rPr>
          <w:rFonts w:cs="Times New Roman"/>
          <w:smallCaps/>
          <w:szCs w:val="24"/>
        </w:rPr>
        <w:t>Hennette-Vauchez</w:t>
      </w:r>
      <w:r w:rsidRPr="00E74ED6">
        <w:rPr>
          <w:rFonts w:cs="Times New Roman"/>
          <w:szCs w:val="24"/>
        </w:rPr>
        <w:t xml:space="preserve">, « Séparation, garantie, neutralité... les multiples grammaires de la laïcité », </w:t>
      </w:r>
      <w:r w:rsidRPr="00E74ED6">
        <w:rPr>
          <w:rFonts w:cs="Times New Roman"/>
          <w:i/>
          <w:iCs/>
          <w:szCs w:val="24"/>
        </w:rPr>
        <w:t>Les nouveaux cahiers du Conseil constitutionnel</w:t>
      </w:r>
      <w:r w:rsidRPr="00E74ED6">
        <w:rPr>
          <w:rFonts w:cs="Times New Roman"/>
          <w:szCs w:val="24"/>
        </w:rPr>
        <w:t>, 2016, n° 53, pp. 16‑18.</w:t>
      </w:r>
      <w:r w:rsidRPr="00022216">
        <w:fldChar w:fldCharType="end"/>
      </w:r>
    </w:p>
  </w:footnote>
  <w:footnote w:id="344">
    <w:p w14:paraId="15839E58" w14:textId="277525E7" w:rsidR="000D6C77" w:rsidRPr="00022216" w:rsidRDefault="000D6C77" w:rsidP="006654FF">
      <w:pPr>
        <w:pStyle w:val="Notedebasdepage"/>
      </w:pPr>
      <w:r w:rsidRPr="00022216">
        <w:rPr>
          <w:rStyle w:val="Appelnotedebasdep"/>
        </w:rPr>
        <w:footnoteRef/>
      </w:r>
      <w:r w:rsidRPr="00022216">
        <w:t xml:space="preserve"> </w:t>
      </w:r>
      <w:proofErr w:type="spellStart"/>
      <w:r w:rsidRPr="00022216">
        <w:t>Voy</w:t>
      </w:r>
      <w:proofErr w:type="spellEnd"/>
      <w:r w:rsidRPr="00022216">
        <w:t xml:space="preserve">. en particulier </w:t>
      </w:r>
      <w:r>
        <w:t>CourEDH</w:t>
      </w:r>
      <w:r w:rsidRPr="00022216">
        <w:t xml:space="preserve">, arrêt </w:t>
      </w:r>
      <w:proofErr w:type="spellStart"/>
      <w:r w:rsidRPr="00022216">
        <w:rPr>
          <w:i/>
        </w:rPr>
        <w:t>Ebrahimian</w:t>
      </w:r>
      <w:proofErr w:type="spellEnd"/>
      <w:r w:rsidRPr="00022216">
        <w:rPr>
          <w:i/>
        </w:rPr>
        <w:t xml:space="preserve"> c. France</w:t>
      </w:r>
      <w:r w:rsidRPr="00022216">
        <w:t xml:space="preserve">, 26 novembre 2015, </w:t>
      </w:r>
      <w:proofErr w:type="spellStart"/>
      <w:r w:rsidRPr="00022216">
        <w:t>req</w:t>
      </w:r>
      <w:proofErr w:type="spellEnd"/>
      <w:r w:rsidRPr="00022216">
        <w:t>. n° 64846/11, paras. 62-65</w:t>
      </w:r>
      <w:r>
        <w:t xml:space="preserve"> ; </w:t>
      </w:r>
      <w:r w:rsidRPr="00022216">
        <w:t xml:space="preserve">arrêt </w:t>
      </w:r>
      <w:proofErr w:type="spellStart"/>
      <w:r w:rsidRPr="00022216">
        <w:rPr>
          <w:i/>
        </w:rPr>
        <w:t>Hamidović</w:t>
      </w:r>
      <w:proofErr w:type="spellEnd"/>
      <w:r w:rsidRPr="00022216">
        <w:rPr>
          <w:i/>
        </w:rPr>
        <w:t xml:space="preserve"> c. Bosnie-Herzégovine</w:t>
      </w:r>
      <w:r>
        <w:rPr>
          <w:iCs/>
        </w:rPr>
        <w:t xml:space="preserve">, </w:t>
      </w:r>
      <w:r w:rsidRPr="00022216">
        <w:t xml:space="preserve">5 décembre 2017, </w:t>
      </w:r>
      <w:proofErr w:type="spellStart"/>
      <w:r w:rsidRPr="00022216">
        <w:t>req</w:t>
      </w:r>
      <w:proofErr w:type="spellEnd"/>
      <w:r w:rsidRPr="00022216">
        <w:t>. n° 57792/15</w:t>
      </w:r>
      <w:r>
        <w:t xml:space="preserve">, </w:t>
      </w:r>
      <w:r w:rsidRPr="00022216">
        <w:t>para. 40.</w:t>
      </w:r>
    </w:p>
  </w:footnote>
  <w:footnote w:id="345">
    <w:p w14:paraId="7B32C374" w14:textId="701A8F71" w:rsidR="000D6C77" w:rsidRPr="006654FF" w:rsidRDefault="000D6C77" w:rsidP="00B308AC">
      <w:pPr>
        <w:pStyle w:val="Notedebasdepage"/>
        <w:rPr>
          <w:lang w:val="en-GB"/>
        </w:rPr>
      </w:pPr>
      <w:r w:rsidRPr="00022216">
        <w:rPr>
          <w:rStyle w:val="Appelnotedebasdep"/>
        </w:rPr>
        <w:footnoteRef/>
      </w:r>
      <w:r w:rsidRPr="00022216">
        <w:t xml:space="preserve"> Directive 2000/78</w:t>
      </w:r>
      <w:r>
        <w:t>/CE</w:t>
      </w:r>
      <w:r w:rsidRPr="00022216">
        <w:t>, art. 3.1 : « </w:t>
      </w:r>
      <w:r>
        <w:t>[…]</w:t>
      </w:r>
      <w:r w:rsidRPr="00022216">
        <w:t xml:space="preserve"> la présente directive s'applique à toutes les personnes, tant pour le secteur public que pour le secteur privé, y compris les organismes publics […] </w:t>
      </w:r>
      <w:r w:rsidRPr="006654FF">
        <w:rPr>
          <w:lang w:val="en-GB"/>
        </w:rPr>
        <w:t>».</w:t>
      </w:r>
    </w:p>
  </w:footnote>
  <w:footnote w:id="346">
    <w:p w14:paraId="65812DA7" w14:textId="7BB8FAAB" w:rsidR="000D6C77" w:rsidRPr="006654FF" w:rsidRDefault="000D6C77" w:rsidP="00B308AC">
      <w:pPr>
        <w:pStyle w:val="Notedebasdepage"/>
        <w:rPr>
          <w:lang w:val="en-GB"/>
        </w:rPr>
      </w:pPr>
      <w:r w:rsidRPr="00022216">
        <w:rPr>
          <w:rStyle w:val="Appelnotedebasdep"/>
        </w:rPr>
        <w:footnoteRef/>
      </w:r>
      <w:r w:rsidRPr="006654FF">
        <w:rPr>
          <w:lang w:val="en-GB"/>
        </w:rPr>
        <w:t xml:space="preserve"> </w:t>
      </w:r>
      <w:r w:rsidRPr="00022216">
        <w:fldChar w:fldCharType="begin"/>
      </w:r>
      <w:r>
        <w:rPr>
          <w:lang w:val="en-GB"/>
        </w:rPr>
        <w:instrText xml:space="preserve"> ADDIN ZOTERO_ITEM CSL_CITATION {"citationID":"N7cop3G0","properties":{"formattedCitation":"E. {\\scaps Brems} et J. {\\scaps Vrielink}, \\uc0\\u171{}\\uc0\\u160{}Floors or Ceilings: European Supranational Courts and Their Authority in Human Rights Matters\\uc0\\u160{}\\uc0\\u187{}, {\\i{}op. cit.}, p. 287, note 73.","plainCitation":"E. Brems et J. Vrielink, « Floors or Ceilings: European Supranational Courts and Their Authority in Human Rights Matters », op. cit., p. 287, note 73.","noteIndex":423},"citationItems":[{"id":2613,"uris":["http://zotero.org/users/5133869/items/QFFWB8RX"],"itemData":{"id":2613,"type":"chapter","abstract":"With this tribute book we have tried to avoid the classic pitfalls. The work in your hands contains contributions that are focused on human rights, in all their diversity, but with a strong emphasis on the European Convention on Human Rights. The contributions were also subjected to a stringent peer review, so that this book could just as well be a classically edited academic work. It therefore meets, we hope, the highest academic standards, as Paul Lemmens has always embodied them","container-title":"Human rights with a human touch.: Liber amicorum Paul Lemmens","event-place":"Mortsel","ISBN":"978-1-78068-874-9","language":"English","note":"OCLC: 1135471111","page":"271-302","publisher":"Intersentia","publisher-place":"Mortsel","source":"Open WorldCat","title":"Floors or Ceilings: European Supranational Courts and Their Authority in Human Rights Matters","editor":[{"family":"Lemmens","given":"Koen"},{"family":"Parmentier","given":"Stephan"},{"family":"Reyntjens","given":"Louise"}],"author":[{"family":"Brems","given":"Eva"},{"family":"Vrielink","given":"Jogchum"}],"issued":{"date-parts":[["2019"]]}},"locator":"287","label":"page","suffix":", note 73"}],"schema":"https://github.com/citation-style-language/schema/raw/master/csl-citation.json"} </w:instrText>
      </w:r>
      <w:r w:rsidRPr="00022216">
        <w:fldChar w:fldCharType="separate"/>
      </w:r>
      <w:r w:rsidRPr="008D517D">
        <w:rPr>
          <w:rFonts w:cs="Times New Roman"/>
          <w:szCs w:val="24"/>
          <w:lang w:val="en-GB"/>
        </w:rPr>
        <w:t xml:space="preserve">E. </w:t>
      </w:r>
      <w:proofErr w:type="spellStart"/>
      <w:r w:rsidRPr="008D517D">
        <w:rPr>
          <w:rFonts w:cs="Times New Roman"/>
          <w:smallCaps/>
          <w:szCs w:val="24"/>
          <w:lang w:val="en-GB"/>
        </w:rPr>
        <w:t>Brems</w:t>
      </w:r>
      <w:proofErr w:type="spellEnd"/>
      <w:r w:rsidRPr="008D517D">
        <w:rPr>
          <w:rFonts w:cs="Times New Roman"/>
          <w:szCs w:val="24"/>
          <w:lang w:val="en-GB"/>
        </w:rPr>
        <w:t xml:space="preserve"> et J. </w:t>
      </w:r>
      <w:proofErr w:type="spellStart"/>
      <w:r w:rsidRPr="008D517D">
        <w:rPr>
          <w:rFonts w:cs="Times New Roman"/>
          <w:smallCaps/>
          <w:szCs w:val="24"/>
          <w:lang w:val="en-GB"/>
        </w:rPr>
        <w:t>Vrielink</w:t>
      </w:r>
      <w:proofErr w:type="spellEnd"/>
      <w:r w:rsidRPr="008D517D">
        <w:rPr>
          <w:rFonts w:cs="Times New Roman"/>
          <w:szCs w:val="24"/>
          <w:lang w:val="en-GB"/>
        </w:rPr>
        <w:t xml:space="preserve">, « Floors or Ceilings: European Supranational Courts and Their Authority in Human Rights Matters », </w:t>
      </w:r>
      <w:r w:rsidRPr="008D517D">
        <w:rPr>
          <w:rFonts w:cs="Times New Roman"/>
          <w:i/>
          <w:iCs/>
          <w:szCs w:val="24"/>
          <w:lang w:val="en-GB"/>
        </w:rPr>
        <w:t>op. cit.</w:t>
      </w:r>
      <w:r w:rsidRPr="008D517D">
        <w:rPr>
          <w:rFonts w:cs="Times New Roman"/>
          <w:szCs w:val="24"/>
          <w:lang w:val="en-GB"/>
        </w:rPr>
        <w:t>, p. 287, note 73.</w:t>
      </w:r>
      <w:r w:rsidRPr="00022216">
        <w:fldChar w:fldCharType="end"/>
      </w:r>
    </w:p>
  </w:footnote>
  <w:footnote w:id="347">
    <w:p w14:paraId="27C14AE4" w14:textId="1686CACB" w:rsidR="000D6C77" w:rsidRPr="00022216" w:rsidRDefault="000D6C77" w:rsidP="00B308AC">
      <w:pPr>
        <w:pStyle w:val="Notedebasdepage"/>
      </w:pPr>
      <w:r w:rsidRPr="00022216">
        <w:rPr>
          <w:rStyle w:val="Appelnotedebasdep"/>
        </w:rPr>
        <w:footnoteRef/>
      </w:r>
      <w:r w:rsidRPr="00022216">
        <w:t xml:space="preserve"> En ce sens, </w:t>
      </w:r>
      <w:proofErr w:type="spellStart"/>
      <w:r w:rsidRPr="00022216">
        <w:t>voy</w:t>
      </w:r>
      <w:proofErr w:type="spellEnd"/>
      <w:r w:rsidRPr="00022216">
        <w:t xml:space="preserve">. </w:t>
      </w:r>
      <w:r>
        <w:t>t</w:t>
      </w:r>
      <w:r w:rsidRPr="00022216">
        <w:t xml:space="preserve">rib. trav. Bruxelles, 29 avril 2020, disponible sur </w:t>
      </w:r>
      <w:hyperlink r:id="rId16" w:history="1">
        <w:r w:rsidRPr="00022216">
          <w:rPr>
            <w:rStyle w:val="Lienhypertexte"/>
          </w:rPr>
          <w:t>www.unia.be</w:t>
        </w:r>
      </w:hyperlink>
      <w:r>
        <w:rPr>
          <w:rStyle w:val="Lienhypertexte"/>
        </w:rPr>
        <w:t>.</w:t>
      </w:r>
    </w:p>
  </w:footnote>
  <w:footnote w:id="348">
    <w:p w14:paraId="2F1611DE" w14:textId="4F87C59A" w:rsidR="000D6C77" w:rsidRPr="009271B1" w:rsidRDefault="000D6C77" w:rsidP="00B40ABF">
      <w:pPr>
        <w:pStyle w:val="Notedebasdepage"/>
      </w:pPr>
      <w:r>
        <w:rPr>
          <w:rStyle w:val="Appelnotedebasdep"/>
        </w:rPr>
        <w:footnoteRef/>
      </w:r>
      <w:r>
        <w:t xml:space="preserve"> Rappelons à cette occasion le rapprochement récemment opéré par la CJUE entre les « clients » d’une entreprise privée et les « usagers » d’un service public, s’agissant de l’application d’une politique de neutralité : dans son arrêt </w:t>
      </w:r>
      <w:r>
        <w:rPr>
          <w:i/>
          <w:iCs/>
        </w:rPr>
        <w:t>WABE-Müller</w:t>
      </w:r>
      <w:r>
        <w:t xml:space="preserve">, la Cour cite en effet, parmi les critères de justification de la restriction, la prise en compte des « droits et attentes légitimes des clients ou des usagers » (para. 65) : </w:t>
      </w:r>
      <w:proofErr w:type="spellStart"/>
      <w:r>
        <w:t>voy</w:t>
      </w:r>
      <w:proofErr w:type="spellEnd"/>
      <w:r>
        <w:t xml:space="preserve">., </w:t>
      </w:r>
      <w:r>
        <w:rPr>
          <w:i/>
          <w:iCs/>
        </w:rPr>
        <w:t>supra</w:t>
      </w:r>
      <w:r>
        <w:t xml:space="preserve">, para. </w:t>
      </w:r>
      <w:r>
        <w:fldChar w:fldCharType="begin"/>
      </w:r>
      <w:r>
        <w:instrText xml:space="preserve"> REF _Ref121690619 \r \h </w:instrText>
      </w:r>
      <w:r>
        <w:fldChar w:fldCharType="separate"/>
      </w:r>
      <w:r>
        <w:t>108</w:t>
      </w:r>
      <w:r>
        <w:fldChar w:fldCharType="end"/>
      </w:r>
      <w:r>
        <w:t>.</w:t>
      </w:r>
    </w:p>
  </w:footnote>
  <w:footnote w:id="349">
    <w:p w14:paraId="37BF0C51" w14:textId="2B44D9F8" w:rsidR="000D6C77" w:rsidRPr="00BD7CA6" w:rsidRDefault="000D6C77" w:rsidP="004B14A7">
      <w:pPr>
        <w:pStyle w:val="Notedebasdepage"/>
      </w:pPr>
      <w:r>
        <w:rPr>
          <w:rStyle w:val="Appelnotedebasdep"/>
        </w:rPr>
        <w:footnoteRef/>
      </w:r>
      <w:r>
        <w:t xml:space="preserve"> </w:t>
      </w:r>
      <w:proofErr w:type="spellStart"/>
      <w:r>
        <w:t>Voy</w:t>
      </w:r>
      <w:proofErr w:type="spellEnd"/>
      <w:r>
        <w:t xml:space="preserve">. </w:t>
      </w:r>
      <w:r>
        <w:fldChar w:fldCharType="begin"/>
      </w:r>
      <w:r>
        <w:instrText xml:space="preserve"> ADDIN ZOTERO_ITEM CSL_CITATION {"citationID":"FPOJM8Us","properties":{"formattedCitation":"D. {\\scaps Renders}, T. {\\scaps Bombois} et L. {\\scaps Vansnick}, \\uc0\\u171{}\\uc0\\u160{}La d\\uc0\\u233{}finition de la subvention et ses rapports avec la notion d\\uc0\\u8217{}aide d\\uc0\\u8217{}\\uc0\\u201{}tat\\uc0\\u160{}\\uc0\\u187{}, {\\i{}in} D. {\\scaps Renders} (\\uc0\\u233{}d.), {\\i{}Les subventions}, Bruxelles, Larcier, 2011, p. 199.","plainCitation":"D. Renders, T. Bombois et L. Vansnick, « La définition de la subvention et ses rapports avec la notion d’aide d’État », in D. Renders (éd.), Les subventions, Bruxelles, Larcier, 2011, p. 199.","noteIndex":425},"citationItems":[{"id":2908,"uris":["http://zotero.org/users/5133869/items/LP29EPD8"],"itemData":{"id":2908,"type":"chapter","container-title":"Les subventions","event-place":"Bruxelles","ISBN":"978-2-8044-4771-7","language":"French","note":"OCLC: 798383912","page":"11-158","publisher":"Larcier","publisher-place":"Bruxelles","source":"Open WorldCat","title":"La définition de la subvention et ses rapports avec la notion d’aide d’État","editor":[{"family":"Renders","given":"David"}],"author":[{"family":"Renders","given":"David"},{"family":"Bombois","given":"Th"},{"family":"Vansnick","given":"L"}],"issued":{"date-parts":[["2011"]]}},"locator":"199"}],"schema":"https://github.com/citation-style-language/schema/raw/master/csl-citation.json"} </w:instrText>
      </w:r>
      <w:r>
        <w:fldChar w:fldCharType="separate"/>
      </w:r>
      <w:r w:rsidRPr="00B36F66">
        <w:rPr>
          <w:rFonts w:cs="Times New Roman"/>
          <w:szCs w:val="24"/>
        </w:rPr>
        <w:t xml:space="preserve">D. </w:t>
      </w:r>
      <w:proofErr w:type="spellStart"/>
      <w:r w:rsidRPr="00B36F66">
        <w:rPr>
          <w:rFonts w:cs="Times New Roman"/>
          <w:smallCaps/>
          <w:szCs w:val="24"/>
        </w:rPr>
        <w:t>Renders</w:t>
      </w:r>
      <w:proofErr w:type="spellEnd"/>
      <w:r w:rsidRPr="00B36F66">
        <w:rPr>
          <w:rFonts w:cs="Times New Roman"/>
          <w:szCs w:val="24"/>
        </w:rPr>
        <w:t xml:space="preserve">, T. </w:t>
      </w:r>
      <w:proofErr w:type="spellStart"/>
      <w:r w:rsidRPr="00B36F66">
        <w:rPr>
          <w:rFonts w:cs="Times New Roman"/>
          <w:smallCaps/>
          <w:szCs w:val="24"/>
        </w:rPr>
        <w:t>Bombois</w:t>
      </w:r>
      <w:proofErr w:type="spellEnd"/>
      <w:r w:rsidRPr="00B36F66">
        <w:rPr>
          <w:rFonts w:cs="Times New Roman"/>
          <w:szCs w:val="24"/>
        </w:rPr>
        <w:t xml:space="preserve"> et L. </w:t>
      </w:r>
      <w:proofErr w:type="spellStart"/>
      <w:r w:rsidRPr="00B36F66">
        <w:rPr>
          <w:rFonts w:cs="Times New Roman"/>
          <w:smallCaps/>
          <w:szCs w:val="24"/>
        </w:rPr>
        <w:t>Vansnick</w:t>
      </w:r>
      <w:proofErr w:type="spellEnd"/>
      <w:r w:rsidRPr="00B36F66">
        <w:rPr>
          <w:rFonts w:cs="Times New Roman"/>
          <w:szCs w:val="24"/>
        </w:rPr>
        <w:t xml:space="preserve">, « La définition de la subvention et ses rapports avec la notion d’aide d’État », </w:t>
      </w:r>
      <w:r w:rsidRPr="00B36F66">
        <w:rPr>
          <w:rFonts w:cs="Times New Roman"/>
          <w:i/>
          <w:iCs/>
          <w:szCs w:val="24"/>
        </w:rPr>
        <w:t>in</w:t>
      </w:r>
      <w:r w:rsidRPr="00B36F66">
        <w:rPr>
          <w:rFonts w:cs="Times New Roman"/>
          <w:szCs w:val="24"/>
        </w:rPr>
        <w:t xml:space="preserve"> D. </w:t>
      </w:r>
      <w:proofErr w:type="spellStart"/>
      <w:r w:rsidRPr="00B36F66">
        <w:rPr>
          <w:rFonts w:cs="Times New Roman"/>
          <w:smallCaps/>
          <w:szCs w:val="24"/>
        </w:rPr>
        <w:t>Renders</w:t>
      </w:r>
      <w:proofErr w:type="spellEnd"/>
      <w:r w:rsidRPr="00B36F66">
        <w:rPr>
          <w:rFonts w:cs="Times New Roman"/>
          <w:szCs w:val="24"/>
        </w:rPr>
        <w:t xml:space="preserve"> (éd.), </w:t>
      </w:r>
      <w:r w:rsidRPr="00B36F66">
        <w:rPr>
          <w:rFonts w:cs="Times New Roman"/>
          <w:i/>
          <w:iCs/>
          <w:szCs w:val="24"/>
        </w:rPr>
        <w:t>Les subventions</w:t>
      </w:r>
      <w:r w:rsidRPr="00B36F66">
        <w:rPr>
          <w:rFonts w:cs="Times New Roman"/>
          <w:szCs w:val="24"/>
        </w:rPr>
        <w:t>, Bruxelles, Larcier, 2011, p. 199.</w:t>
      </w:r>
      <w:r>
        <w:fldChar w:fldCharType="end"/>
      </w:r>
    </w:p>
  </w:footnote>
  <w:footnote w:id="350">
    <w:p w14:paraId="4D988CC9" w14:textId="5938FCBB" w:rsidR="000D6C77" w:rsidRPr="00022216" w:rsidRDefault="000D6C77" w:rsidP="006654FF">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{"citationID":"tOxhxXbu","properties":{"formattedCitation":"S. {\\scaps van}\\uc0\\u160{}{\\scaps Drooghenbroeck}, \\uc0\\u171{}\\uc0\\u160{}La neutralit\\uc0\\u233{} des services publics\\uc0\\u8239{}: outil d\\uc0\\u8217{}\\uc0\\u233{}galit\\uc0\\u233{} ou loi \\uc0\\u224{} part enti\\uc0\\u232{}re\\uc0\\u8239{}? R\\uc0\\u233{}flexions inabouties en marge d\\uc0\\u8217{}une r\\uc0\\u233{}cente proposition de loi\\uc0\\u160{}\\uc0\\u187{}, in {\\i{}Le service public (vol. 2)}, Bruges, La Charte, 2009, p. 245.","plainCitation":"S. van Drooghenbroeck, « La neutralité des services publics : outil d’égalité ou loi à part entière ? Réflexions inabouties en marge d’une récente proposition de loi », in Le service public (vol. 2), Bruges, La Charte, 2009, p. 245.","noteIndex":422},"citationItems":[{"id":1270,"uris":["http://zotero.org/users/5133869/items/CLMT4NF5"],"itemData":{"id":1270,"type":"chapter","container-title":"Le service public (vol. 2)","event-place":"Bruges","page":"232-298","publisher":"La Charte","publisher-place":"Bruges","title":"La neutralité des services publics : outil d’égalité ou loi à part entière ? Réflexions inabouties en marge d’une récente proposition de loi","author":[{"family":"Drooghenbroeck","given":"Sébastien","non-dropping-particle":"van"}],"issued":{"date-parts":[["2009"]]}},"locator":"245"}],"schema":"https://github.com/citation-style-language/schema/raw/master/csl-citation.json"} </w:instrText>
      </w:r>
      <w:r w:rsidRPr="00022216">
        <w:fldChar w:fldCharType="separate"/>
      </w:r>
      <w:r w:rsidRPr="00D57414">
        <w:rPr>
          <w:rFonts w:cs="Times New Roman"/>
          <w:szCs w:val="24"/>
        </w:rPr>
        <w:t xml:space="preserve">S. </w:t>
      </w:r>
      <w:r w:rsidRPr="00D57414">
        <w:rPr>
          <w:rFonts w:cs="Times New Roman"/>
          <w:smallCaps/>
          <w:szCs w:val="24"/>
        </w:rPr>
        <w:t>van</w:t>
      </w:r>
      <w:r w:rsidRPr="00D57414">
        <w:rPr>
          <w:rFonts w:cs="Times New Roman"/>
          <w:szCs w:val="24"/>
        </w:rPr>
        <w:t> </w:t>
      </w:r>
      <w:proofErr w:type="spellStart"/>
      <w:r w:rsidRPr="00D57414">
        <w:rPr>
          <w:rFonts w:cs="Times New Roman"/>
          <w:smallCaps/>
          <w:szCs w:val="24"/>
        </w:rPr>
        <w:t>Drooghenbroeck</w:t>
      </w:r>
      <w:proofErr w:type="spellEnd"/>
      <w:r w:rsidRPr="00D57414">
        <w:rPr>
          <w:rFonts w:cs="Times New Roman"/>
          <w:szCs w:val="24"/>
        </w:rPr>
        <w:t xml:space="preserve">, « La neutralité des services publics : outil d’égalité ou loi à part entière ? Réflexions inabouties en marge d’une récente proposition de loi », in </w:t>
      </w:r>
      <w:r w:rsidRPr="00D57414">
        <w:rPr>
          <w:rFonts w:cs="Times New Roman"/>
          <w:i/>
          <w:iCs/>
          <w:szCs w:val="24"/>
        </w:rPr>
        <w:t>Le service public (vol. 2)</w:t>
      </w:r>
      <w:r w:rsidRPr="00D57414">
        <w:rPr>
          <w:rFonts w:cs="Times New Roman"/>
          <w:szCs w:val="24"/>
        </w:rPr>
        <w:t>, Bruges, La Charte, 2009, p. 245.</w:t>
      </w:r>
      <w:r w:rsidRPr="00022216">
        <w:fldChar w:fldCharType="end"/>
      </w:r>
    </w:p>
  </w:footnote>
  <w:footnote w:id="351">
    <w:p w14:paraId="705DDA07" w14:textId="5A48B5BC" w:rsidR="000D6C77" w:rsidRPr="00022216" w:rsidRDefault="000D6C77" w:rsidP="006654FF">
      <w:pPr>
        <w:pStyle w:val="Notedebasdepage"/>
      </w:pPr>
      <w:r w:rsidRPr="00022216">
        <w:rPr>
          <w:rStyle w:val="Appelnotedebasdep"/>
        </w:rPr>
        <w:footnoteRef/>
      </w:r>
      <w:r w:rsidRPr="00022216">
        <w:t xml:space="preserve"> </w:t>
      </w:r>
      <w:r w:rsidRPr="00022216">
        <w:fldChar w:fldCharType="begin"/>
      </w:r>
      <w:r>
        <w:instrText xml:space="preserve"> ADDIN ZOTERO_ITEM CSL_CITATION {"citationID":"8aNPR4qw","properties":{"formattedCitation":"J. {\\scaps Ringelheim}, \\uc0\\u171{}\\uc0\\u160{}Les interdictions de port du foulard visant des femmes adultes. Analyse de la Ligue des droits de l\\uc0\\u8217{}Homme\\uc0\\u160{}\\uc0\\u187{}, {\\i{}op. cit.}, p. 12.","plainCitation":"J. Ringelheim, « Les interdictions de port du foulard visant des femmes adultes. Analyse de la Ligue des droits de l’Homme », op. cit., p. 12.","noteIndex":423},"citationItems":[{"id":2576,"uris":["http://zotero.org/users/5133869/items/GG4Z9FYN"],"itemData":{"id":2576,"type":"document","publisher":"Ligue des droits de l'homme","title":"Les interdictions de port du foulard visant des femmes adultes. Analyse de la Ligue des droits de l’Homme","URL":"www.liguedh.be","author":[{"family":"Ringelheim","given":"Julie"}],"accessed":{"date-parts":[["2022",8,31]]},"issued":{"date-parts":[["2017",10]]}},"locator":"12"}],"schema":"https://github.com/citation-style-language/schema/raw/master/csl-citation.json"} </w:instrText>
      </w:r>
      <w:r w:rsidRPr="00022216">
        <w:fldChar w:fldCharType="separate"/>
      </w:r>
      <w:r w:rsidRPr="00022216">
        <w:rPr>
          <w:rFonts w:cs="Times New Roman"/>
          <w:szCs w:val="24"/>
        </w:rPr>
        <w:t xml:space="preserve">J. </w:t>
      </w:r>
      <w:r w:rsidRPr="00022216">
        <w:rPr>
          <w:rFonts w:cs="Times New Roman"/>
          <w:smallCaps/>
          <w:szCs w:val="24"/>
        </w:rPr>
        <w:t>Ringelheim</w:t>
      </w:r>
      <w:r w:rsidRPr="00022216">
        <w:rPr>
          <w:rFonts w:cs="Times New Roman"/>
          <w:szCs w:val="24"/>
        </w:rPr>
        <w:t xml:space="preserve">, « Les interdictions de port du foulard visant des femmes adultes. Analyse de la Ligue des droits de l’Homme », </w:t>
      </w:r>
      <w:r w:rsidRPr="00022216">
        <w:rPr>
          <w:rFonts w:cs="Times New Roman"/>
          <w:i/>
          <w:iCs/>
          <w:szCs w:val="24"/>
        </w:rPr>
        <w:t xml:space="preserve">op. </w:t>
      </w:r>
      <w:proofErr w:type="spellStart"/>
      <w:r w:rsidRPr="00022216">
        <w:rPr>
          <w:rFonts w:cs="Times New Roman"/>
          <w:i/>
          <w:iCs/>
          <w:szCs w:val="24"/>
        </w:rPr>
        <w:t>cit</w:t>
      </w:r>
      <w:proofErr w:type="spellEnd"/>
      <w:r w:rsidRPr="00022216">
        <w:rPr>
          <w:rFonts w:cs="Times New Roman"/>
          <w:i/>
          <w:iCs/>
          <w:szCs w:val="24"/>
        </w:rPr>
        <w:t>.</w:t>
      </w:r>
      <w:r w:rsidRPr="00022216">
        <w:rPr>
          <w:rFonts w:cs="Times New Roman"/>
          <w:szCs w:val="24"/>
        </w:rPr>
        <w:t>, p. 12.</w:t>
      </w:r>
      <w:r w:rsidRPr="00022216">
        <w:fldChar w:fldCharType="end"/>
      </w:r>
    </w:p>
  </w:footnote>
  <w:footnote w:id="352">
    <w:p w14:paraId="5B8224AB" w14:textId="217AAABF" w:rsidR="000D6C77" w:rsidRPr="00E74ED6" w:rsidRDefault="000D6C77" w:rsidP="006654FF">
      <w:pPr>
        <w:pStyle w:val="Notedebasdepage"/>
      </w:pPr>
      <w:bookmarkStart w:id="60" w:name="_Ref91754772"/>
      <w:r>
        <w:rPr>
          <w:rStyle w:val="Appelnotedebasdep"/>
        </w:rPr>
        <w:footnoteRef/>
      </w:r>
      <w:r w:rsidRPr="00E74ED6">
        <w:t xml:space="preserve"> </w:t>
      </w:r>
      <w:r>
        <w:t>Loi du 24 août 2021 « </w:t>
      </w:r>
      <w:r w:rsidRPr="002C5FD8">
        <w:t>confortant le respect des principes de la République</w:t>
      </w:r>
      <w:r>
        <w:t xml:space="preserve"> », </w:t>
      </w:r>
      <w:r>
        <w:rPr>
          <w:i/>
        </w:rPr>
        <w:t>J.O.R.F.</w:t>
      </w:r>
      <w:r>
        <w:t>, 25 août 2021, n° 0197.</w:t>
      </w:r>
      <w:bookmarkEnd w:id="60"/>
    </w:p>
  </w:footnote>
  <w:footnote w:id="353">
    <w:p w14:paraId="131CA5C0" w14:textId="0DA45E37" w:rsidR="000D6C77" w:rsidRPr="00016D32" w:rsidRDefault="000D6C77" w:rsidP="00BA3B64">
      <w:pPr>
        <w:pStyle w:val="Notedebasdepage"/>
        <w:rPr>
          <w:szCs w:val="17"/>
        </w:rPr>
      </w:pPr>
      <w:r w:rsidRPr="00016D32">
        <w:rPr>
          <w:rStyle w:val="Appelnotedebasdep"/>
          <w:szCs w:val="17"/>
        </w:rPr>
        <w:footnoteRef/>
      </w:r>
      <w:r w:rsidRPr="00016D32">
        <w:rPr>
          <w:szCs w:val="17"/>
        </w:rPr>
        <w:t xml:space="preserve"> Cass.</w:t>
      </w:r>
      <w:r>
        <w:rPr>
          <w:szCs w:val="17"/>
        </w:rPr>
        <w:t xml:space="preserve"> </w:t>
      </w:r>
      <w:proofErr w:type="spellStart"/>
      <w:r>
        <w:rPr>
          <w:szCs w:val="17"/>
        </w:rPr>
        <w:t>fr.</w:t>
      </w:r>
      <w:proofErr w:type="spellEnd"/>
      <w:r w:rsidRPr="00016D32">
        <w:rPr>
          <w:szCs w:val="17"/>
        </w:rPr>
        <w:t xml:space="preserve"> (ch. soc.), 19 mars 2013, </w:t>
      </w:r>
      <w:proofErr w:type="spellStart"/>
      <w:r w:rsidRPr="00016D32">
        <w:rPr>
          <w:szCs w:val="17"/>
        </w:rPr>
        <w:t>req</w:t>
      </w:r>
      <w:proofErr w:type="spellEnd"/>
      <w:r w:rsidRPr="00016D32">
        <w:rPr>
          <w:szCs w:val="17"/>
        </w:rPr>
        <w:t xml:space="preserve">. n°12-11.690. Pour une analyse critique de cet arrêt, </w:t>
      </w:r>
      <w:proofErr w:type="spellStart"/>
      <w:r w:rsidRPr="00016D32">
        <w:rPr>
          <w:szCs w:val="17"/>
        </w:rPr>
        <w:t>voy</w:t>
      </w:r>
      <w:proofErr w:type="spellEnd"/>
      <w:r w:rsidRPr="00016D32">
        <w:rPr>
          <w:szCs w:val="17"/>
        </w:rPr>
        <w:t xml:space="preserve">. </w:t>
      </w:r>
      <w:r w:rsidRPr="00016D32">
        <w:rPr>
          <w:szCs w:val="17"/>
        </w:rPr>
        <w:fldChar w:fldCharType="begin"/>
      </w:r>
      <w:r>
        <w:rPr>
          <w:szCs w:val="17"/>
        </w:rPr>
        <w:instrText xml:space="preserve"> ADDIN ZOTERO_ITEM CSL_CITATION {"citationID":"khgyEl1a","properties":{"formattedCitation":"S. {\\scaps Hennette-Vauchez} et V. {\\scaps Valentin}, {\\i{}L\\uc0\\u8217{}affaire Baby Loup ou la Nouvelle La\\uc0\\u239{}cit\\uc0\\u233{}}, {\\i{}op. cit.}, p. 32.","plainCitation":"S. Hennette-Vauchez et V. Valentin, L’affaire Baby Loup ou la Nouvelle Laïcité, op. cit., p. 32.","noteIndex":425},"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Laïcité","author":[{"family":"Hennette-Vauchez","given":"Stéphanie"},{"family":"Valentin","given":"Vincent"}],"issued":{"date-parts":[["2014"]]}},"locator":"32"}],"schema":"https://github.com/citation-style-language/schema/raw/master/csl-citation.json"} </w:instrText>
      </w:r>
      <w:r w:rsidRPr="00016D32">
        <w:rPr>
          <w:szCs w:val="17"/>
        </w:rPr>
        <w:fldChar w:fldCharType="separate"/>
      </w:r>
      <w:r w:rsidRPr="00016D32">
        <w:rPr>
          <w:szCs w:val="17"/>
        </w:rPr>
        <w:t xml:space="preserve">S. </w:t>
      </w:r>
      <w:r w:rsidRPr="00016D32">
        <w:rPr>
          <w:smallCaps/>
          <w:szCs w:val="17"/>
        </w:rPr>
        <w:t>Hennette-Vauchez</w:t>
      </w:r>
      <w:r w:rsidRPr="00016D32">
        <w:rPr>
          <w:szCs w:val="17"/>
        </w:rPr>
        <w:t xml:space="preserve"> et V. </w:t>
      </w:r>
      <w:r w:rsidRPr="00016D32">
        <w:rPr>
          <w:smallCaps/>
          <w:szCs w:val="17"/>
        </w:rPr>
        <w:t>Valentin</w:t>
      </w:r>
      <w:r w:rsidRPr="00016D32">
        <w:rPr>
          <w:szCs w:val="17"/>
        </w:rPr>
        <w:t xml:space="preserve">, </w:t>
      </w:r>
      <w:r w:rsidRPr="00016D32">
        <w:rPr>
          <w:i/>
          <w:iCs/>
          <w:szCs w:val="17"/>
        </w:rPr>
        <w:t>L’affaire Baby Loup ou la Nouvelle Laïcité</w:t>
      </w:r>
      <w:r w:rsidRPr="00016D32">
        <w:rPr>
          <w:szCs w:val="17"/>
        </w:rPr>
        <w:t xml:space="preserve">, </w:t>
      </w:r>
      <w:r w:rsidRPr="00016D32">
        <w:rPr>
          <w:i/>
          <w:iCs/>
          <w:szCs w:val="17"/>
        </w:rPr>
        <w:t xml:space="preserve">op. </w:t>
      </w:r>
      <w:proofErr w:type="spellStart"/>
      <w:r w:rsidRPr="00016D32">
        <w:rPr>
          <w:i/>
          <w:iCs/>
          <w:szCs w:val="17"/>
        </w:rPr>
        <w:t>cit</w:t>
      </w:r>
      <w:proofErr w:type="spellEnd"/>
      <w:r w:rsidRPr="00016D32">
        <w:rPr>
          <w:i/>
          <w:iCs/>
          <w:szCs w:val="17"/>
        </w:rPr>
        <w:t>.</w:t>
      </w:r>
      <w:r w:rsidRPr="00016D32">
        <w:rPr>
          <w:szCs w:val="17"/>
        </w:rPr>
        <w:t>, p. 32.</w:t>
      </w:r>
      <w:r w:rsidRPr="00016D32">
        <w:rPr>
          <w:szCs w:val="17"/>
        </w:rPr>
        <w:fldChar w:fldCharType="end"/>
      </w:r>
    </w:p>
  </w:footnote>
  <w:footnote w:id="354">
    <w:p w14:paraId="4D0F7C6F" w14:textId="4C1E90BB" w:rsidR="000D6C77" w:rsidRPr="00016D32" w:rsidRDefault="000D6C77" w:rsidP="00BA3B64">
      <w:pPr>
        <w:pStyle w:val="Notedebasdepage"/>
        <w:rPr>
          <w:szCs w:val="17"/>
        </w:rPr>
      </w:pPr>
      <w:r w:rsidRPr="00016D32">
        <w:rPr>
          <w:rStyle w:val="Appelnotedebasdep"/>
          <w:szCs w:val="17"/>
        </w:rPr>
        <w:footnoteRef/>
      </w:r>
      <w:r w:rsidRPr="00016D32">
        <w:rPr>
          <w:szCs w:val="17"/>
        </w:rPr>
        <w:t xml:space="preserve"> Trib. trav. Bruxelles (</w:t>
      </w:r>
      <w:proofErr w:type="spellStart"/>
      <w:r w:rsidRPr="00016D32">
        <w:rPr>
          <w:szCs w:val="17"/>
        </w:rPr>
        <w:t>cess</w:t>
      </w:r>
      <w:proofErr w:type="spellEnd"/>
      <w:r w:rsidRPr="00016D32">
        <w:rPr>
          <w:szCs w:val="17"/>
        </w:rPr>
        <w:t xml:space="preserve">.), 9 juin 2016, n° 15/7170/A, disponible sur </w:t>
      </w:r>
      <w:hyperlink r:id="rId17" w:history="1">
        <w:r w:rsidRPr="00016D32">
          <w:rPr>
            <w:rStyle w:val="Lienhypertexte"/>
            <w:szCs w:val="17"/>
          </w:rPr>
          <w:t>www.unia.be</w:t>
        </w:r>
      </w:hyperlink>
      <w:r>
        <w:rPr>
          <w:szCs w:val="17"/>
        </w:rPr>
        <w:t xml:space="preserve">, </w:t>
      </w:r>
      <w:r w:rsidRPr="00262A11">
        <w:rPr>
          <w:szCs w:val="17"/>
        </w:rPr>
        <w:t xml:space="preserve">et confirmé par C. trav. Bruxelles, 7 mai 2020, </w:t>
      </w:r>
      <w:r w:rsidRPr="007A46FF">
        <w:rPr>
          <w:i/>
        </w:rPr>
        <w:t>J.T.T.</w:t>
      </w:r>
      <w:r w:rsidRPr="007A46FF">
        <w:t>, 2021, n° 18, pp. 3</w:t>
      </w:r>
      <w:r>
        <w:t>05-310</w:t>
      </w:r>
      <w:r w:rsidRPr="00262A11">
        <w:rPr>
          <w:szCs w:val="17"/>
        </w:rPr>
        <w:t>.</w:t>
      </w:r>
      <w:r>
        <w:rPr>
          <w:szCs w:val="17"/>
        </w:rPr>
        <w:t xml:space="preserve"> </w:t>
      </w:r>
    </w:p>
  </w:footnote>
  <w:footnote w:id="355">
    <w:p w14:paraId="72F3E8E2" w14:textId="4A6F5C4E" w:rsidR="000D6C77" w:rsidRPr="00022216" w:rsidRDefault="000D6C77" w:rsidP="008E68E0">
      <w:pPr>
        <w:pStyle w:val="Notedebasdepage"/>
      </w:pPr>
      <w:r w:rsidRPr="00022216">
        <w:rPr>
          <w:rStyle w:val="Appelnotedebasdep"/>
        </w:rPr>
        <w:footnoteRef/>
      </w:r>
      <w:r w:rsidRPr="00022216">
        <w:t xml:space="preserve"> Le </w:t>
      </w:r>
      <w:r w:rsidR="0094723B">
        <w:t>t</w:t>
      </w:r>
      <w:r w:rsidRPr="00022216">
        <w:t xml:space="preserve">ribunal insiste à cet égard sur le fait que « les missions que [les infirmières] remplissent ne sont pas de simples missions d’exécution puisqu’à côté des visites médicales </w:t>
      </w:r>
      <w:r>
        <w:t>[…</w:t>
      </w:r>
      <w:r w:rsidRPr="00022216">
        <w:t>, elles sont amenées à mettre en place des programmes de promotion de la santé dans les écoles et animent à cette fin des réunions au sein des écoles ».</w:t>
      </w:r>
    </w:p>
  </w:footnote>
  <w:footnote w:id="356">
    <w:p w14:paraId="67A0DD72" w14:textId="6998BC81" w:rsidR="000D6C77" w:rsidRPr="008D517D" w:rsidRDefault="000D6C77">
      <w:pPr>
        <w:pStyle w:val="Notedebasdepage"/>
        <w:rPr>
          <w:lang w:val="nl-BE"/>
        </w:rPr>
      </w:pPr>
      <w:r>
        <w:rPr>
          <w:rStyle w:val="Appelnotedebasdep"/>
        </w:rPr>
        <w:footnoteRef/>
      </w:r>
      <w:r w:rsidRPr="008D517D">
        <w:rPr>
          <w:lang w:val="nl-BE"/>
        </w:rPr>
        <w:t xml:space="preserve"> </w:t>
      </w:r>
      <w:r w:rsidRPr="008D517D">
        <w:rPr>
          <w:szCs w:val="17"/>
          <w:lang w:val="nl-BE"/>
        </w:rPr>
        <w:t xml:space="preserve">À </w:t>
      </w:r>
      <w:proofErr w:type="spellStart"/>
      <w:r w:rsidRPr="008D517D">
        <w:rPr>
          <w:szCs w:val="17"/>
          <w:lang w:val="nl-BE"/>
        </w:rPr>
        <w:t>ce</w:t>
      </w:r>
      <w:proofErr w:type="spellEnd"/>
      <w:r w:rsidRPr="008D517D">
        <w:rPr>
          <w:szCs w:val="17"/>
          <w:lang w:val="nl-BE"/>
        </w:rPr>
        <w:t xml:space="preserve"> sujet, </w:t>
      </w:r>
      <w:proofErr w:type="spellStart"/>
      <w:r w:rsidRPr="008D517D">
        <w:rPr>
          <w:szCs w:val="17"/>
          <w:lang w:val="nl-BE"/>
        </w:rPr>
        <w:t>voy</w:t>
      </w:r>
      <w:proofErr w:type="spellEnd"/>
      <w:r w:rsidRPr="008D517D">
        <w:rPr>
          <w:szCs w:val="17"/>
          <w:lang w:val="nl-BE"/>
        </w:rPr>
        <w:t xml:space="preserve">. </w:t>
      </w:r>
      <w:r>
        <w:rPr>
          <w:szCs w:val="17"/>
        </w:rPr>
        <w:fldChar w:fldCharType="begin"/>
      </w:r>
      <w:r>
        <w:rPr>
          <w:szCs w:val="17"/>
          <w:lang w:val="nl-BE"/>
        </w:rPr>
        <w:instrText xml:space="preserve"> ADDIN ZOTERO_ITEM CSL_CITATION {"citationID":"p3CfQHfa","properties":{"formattedCitation":"F. {\\scaps Dorssemont}, \\uc0\\u171{}\\uc0\\u160{}Vrijheid van religie voor werknemers: Nog mogelijk in het post-Achbita-tijdperk?\\uc0\\u160{}\\uc0\\u187{}, {\\i{}op. cit.}, p. 759.","plainCitation":"F. Dorssemont, « Vrijheid van religie voor werknemers: Nog mogelijk in het post-Achbita-tijdperk? », op. cit., p. 759.","noteIndex":435},"citationItems":[{"id":3283,"uris":["http://zotero.org/users/5133869/items/DPKNYKN2"],"itemData":{"id":3283,"type":"article-journal","container-title":"Nieuw Juridische Weekblad","issue":"450","language":"nl","page":"750-765","source":"Zotero","title":"Vrijheid van religie voor werknemers: Nog mogelijk in het post-Achbita-tijdperk?","author":[{"family":"Dorssemont","given":"Filip"}],"issued":{"date-parts":[["2021"]]}},"locator":"759","label":"page"}],"schema":"https://github.com/citation-style-language/schema/raw/master/csl-citation.json"} </w:instrText>
      </w:r>
      <w:r>
        <w:rPr>
          <w:szCs w:val="17"/>
        </w:rPr>
        <w:fldChar w:fldCharType="separate"/>
      </w:r>
      <w:r w:rsidRPr="008D517D">
        <w:rPr>
          <w:rFonts w:cs="Times New Roman"/>
          <w:szCs w:val="24"/>
          <w:lang w:val="nl-BE"/>
        </w:rPr>
        <w:t xml:space="preserve">F. </w:t>
      </w:r>
      <w:r w:rsidRPr="008D517D">
        <w:rPr>
          <w:rFonts w:cs="Times New Roman"/>
          <w:smallCaps/>
          <w:szCs w:val="24"/>
          <w:lang w:val="nl-BE"/>
        </w:rPr>
        <w:t>Dorssemont</w:t>
      </w:r>
      <w:r w:rsidRPr="008D517D">
        <w:rPr>
          <w:rFonts w:cs="Times New Roman"/>
          <w:szCs w:val="24"/>
          <w:lang w:val="nl-BE"/>
        </w:rPr>
        <w:t>, « Vrijheid van religie voor werknemers: Nog mogelijk in het post-</w:t>
      </w:r>
      <w:proofErr w:type="spellStart"/>
      <w:r w:rsidRPr="008D517D">
        <w:rPr>
          <w:rFonts w:cs="Times New Roman"/>
          <w:szCs w:val="24"/>
          <w:lang w:val="nl-BE"/>
        </w:rPr>
        <w:t>Achbita</w:t>
      </w:r>
      <w:proofErr w:type="spellEnd"/>
      <w:r w:rsidRPr="008D517D">
        <w:rPr>
          <w:rFonts w:cs="Times New Roman"/>
          <w:szCs w:val="24"/>
          <w:lang w:val="nl-BE"/>
        </w:rPr>
        <w:t xml:space="preserve">-tijdperk? », </w:t>
      </w:r>
      <w:r w:rsidRPr="008D517D">
        <w:rPr>
          <w:rFonts w:cs="Times New Roman"/>
          <w:i/>
          <w:iCs/>
          <w:szCs w:val="24"/>
          <w:lang w:val="nl-BE"/>
        </w:rPr>
        <w:t xml:space="preserve">op. </w:t>
      </w:r>
      <w:proofErr w:type="spellStart"/>
      <w:r w:rsidRPr="008D517D">
        <w:rPr>
          <w:rFonts w:cs="Times New Roman"/>
          <w:i/>
          <w:iCs/>
          <w:szCs w:val="24"/>
          <w:lang w:val="nl-BE"/>
        </w:rPr>
        <w:t>cit</w:t>
      </w:r>
      <w:proofErr w:type="spellEnd"/>
      <w:r w:rsidRPr="008D517D">
        <w:rPr>
          <w:rFonts w:cs="Times New Roman"/>
          <w:i/>
          <w:iCs/>
          <w:szCs w:val="24"/>
          <w:lang w:val="nl-BE"/>
        </w:rPr>
        <w:t>.</w:t>
      </w:r>
      <w:r w:rsidRPr="008D517D">
        <w:rPr>
          <w:rFonts w:cs="Times New Roman"/>
          <w:szCs w:val="24"/>
          <w:lang w:val="nl-BE"/>
        </w:rPr>
        <w:t>, p. 759.</w:t>
      </w:r>
      <w:r>
        <w:rPr>
          <w:szCs w:val="17"/>
        </w:rPr>
        <w:fldChar w:fldCharType="end"/>
      </w:r>
    </w:p>
  </w:footnote>
  <w:footnote w:id="357">
    <w:p w14:paraId="2D33DF11" w14:textId="14ED8C69" w:rsidR="000D6C77" w:rsidRPr="006F7C59" w:rsidRDefault="000D6C77" w:rsidP="00CB4EE8">
      <w:pPr>
        <w:pStyle w:val="Notedebasdepage"/>
      </w:pPr>
      <w:r w:rsidRPr="00022216">
        <w:rPr>
          <w:rStyle w:val="Appelnotedebasdep"/>
        </w:rPr>
        <w:footnoteRef/>
      </w:r>
      <w:r w:rsidRPr="00022216">
        <w:t xml:space="preserve"> Pour un autre exemple – français – d’auto-intégration de l’exigence de neutralité de l’</w:t>
      </w:r>
      <w:r>
        <w:t>État</w:t>
      </w:r>
      <w:r w:rsidRPr="00022216">
        <w:t xml:space="preserve"> au sein de l’entreprise privée, </w:t>
      </w:r>
      <w:proofErr w:type="spellStart"/>
      <w:r w:rsidRPr="00022216">
        <w:t>voy</w:t>
      </w:r>
      <w:proofErr w:type="spellEnd"/>
      <w:r w:rsidRPr="00022216">
        <w:t>. C.A. Paris, 29 septembre 2016, n° 15/05315.</w:t>
      </w:r>
      <w:r>
        <w:t xml:space="preserve"> Citons également l’affaire </w:t>
      </w:r>
      <w:r>
        <w:rPr>
          <w:i/>
          <w:iCs/>
        </w:rPr>
        <w:t>LF c. SCRL</w:t>
      </w:r>
      <w:r>
        <w:t xml:space="preserve"> jugée en </w:t>
      </w:r>
      <w:proofErr w:type="gramStart"/>
      <w:r>
        <w:t>2022  par</w:t>
      </w:r>
      <w:proofErr w:type="gramEnd"/>
      <w:r>
        <w:t xml:space="preserve"> la CJUE, qui concernait une société immobilière privée chargée d’une mission de service public. Notons toutefois que les juges de Luxembourg n’apprécient à aucun moment l’admissibilité de la politique de neutralité à l’aune des liens qu’entretient la société avec l’État. Cette dernière remarque vaut du reste également pour l’arrêt </w:t>
      </w:r>
      <w:r>
        <w:rPr>
          <w:i/>
          <w:iCs/>
        </w:rPr>
        <w:t>WABE-Müller</w:t>
      </w:r>
      <w:r>
        <w:t xml:space="preserve"> rendu en 2021 par la CJUE, dont l’une des affaires concernait pourtant un groupe de crèches dont l’activité correspond, sinon à un service public, à tout le moins à une mission d’intérêt général.</w:t>
      </w:r>
    </w:p>
  </w:footnote>
  <w:footnote w:id="358">
    <w:p w14:paraId="0A8B55AF" w14:textId="1BD12A08" w:rsidR="000D6C77" w:rsidRPr="0019639D" w:rsidRDefault="000D6C77" w:rsidP="00CB4EE8">
      <w:pPr>
        <w:pStyle w:val="Notedebasdepage"/>
      </w:pPr>
      <w:r>
        <w:rPr>
          <w:rStyle w:val="Appelnotedebasdep"/>
        </w:rPr>
        <w:footnoteRef/>
      </w:r>
      <w:r w:rsidRPr="0019639D">
        <w:t xml:space="preserve"> Trib. trav. Bruxelles (</w:t>
      </w:r>
      <w:proofErr w:type="spellStart"/>
      <w:r w:rsidRPr="0019639D">
        <w:t>cess</w:t>
      </w:r>
      <w:proofErr w:type="spellEnd"/>
      <w:r w:rsidRPr="0019639D">
        <w:t xml:space="preserve">.), 9 juin 2016, n° 15/7170/A, disponible sur </w:t>
      </w:r>
      <w:hyperlink r:id="rId18" w:history="1">
        <w:r w:rsidRPr="0019639D">
          <w:rPr>
            <w:rStyle w:val="Lienhypertexte"/>
          </w:rPr>
          <w:t>www.unia.be</w:t>
        </w:r>
      </w:hyperlink>
      <w:r>
        <w:t xml:space="preserve"> (nous soulignons), </w:t>
      </w:r>
      <w:r>
        <w:rPr>
          <w:rFonts w:cs="Times New Roman"/>
        </w:rPr>
        <w:t xml:space="preserve">et confirmé par C. trav. Bruxelles, 7 mai 2020, </w:t>
      </w:r>
      <w:r w:rsidRPr="007A46FF">
        <w:rPr>
          <w:i/>
        </w:rPr>
        <w:t>J.T.T.</w:t>
      </w:r>
      <w:r w:rsidRPr="007A46FF">
        <w:t>, 2021, n° 18, pp. 3</w:t>
      </w:r>
      <w:r>
        <w:t>05-310</w:t>
      </w:r>
      <w:r>
        <w:rPr>
          <w:rFonts w:cs="Times New Roman"/>
        </w:rPr>
        <w:t>.</w:t>
      </w:r>
    </w:p>
  </w:footnote>
  <w:footnote w:id="359">
    <w:p w14:paraId="23AB5EE4" w14:textId="77777777" w:rsidR="000D6C77" w:rsidRPr="009C72A1" w:rsidRDefault="000D6C77" w:rsidP="00CB4EE8">
      <w:pPr>
        <w:pStyle w:val="Notedebasdepage"/>
      </w:pPr>
      <w:r>
        <w:rPr>
          <w:rStyle w:val="Appelnotedebasdep"/>
        </w:rPr>
        <w:footnoteRef/>
      </w:r>
      <w:r w:rsidRPr="003A4993">
        <w:t xml:space="preserve"> </w:t>
      </w:r>
      <w:proofErr w:type="spellStart"/>
      <w:r>
        <w:t>Voy</w:t>
      </w:r>
      <w:proofErr w:type="spellEnd"/>
      <w:r>
        <w:t xml:space="preserve"> la loi </w:t>
      </w:r>
      <w:r w:rsidRPr="00DE6235">
        <w:t>du 28 mai 2002 relative à l'euthanasie</w:t>
      </w:r>
      <w:r>
        <w:t xml:space="preserve"> (</w:t>
      </w:r>
      <w:r>
        <w:rPr>
          <w:i/>
          <w:iCs/>
        </w:rPr>
        <w:t>M.B.</w:t>
      </w:r>
      <w:r>
        <w:t>, 22 juin 2002), dont l’art.</w:t>
      </w:r>
      <w:r w:rsidRPr="003A4993">
        <w:t xml:space="preserve"> </w:t>
      </w:r>
      <w:r>
        <w:t xml:space="preserve">14 (modifié par l’art. 3 de la loi du </w:t>
      </w:r>
      <w:r w:rsidRPr="003A4993">
        <w:t xml:space="preserve">15 </w:t>
      </w:r>
      <w:r>
        <w:t>mars</w:t>
      </w:r>
      <w:r w:rsidRPr="003A4993">
        <w:t xml:space="preserve"> 2020 visant à modifier la législation relative à l'euthanasie</w:t>
      </w:r>
      <w:r>
        <w:t xml:space="preserve">, </w:t>
      </w:r>
      <w:r>
        <w:rPr>
          <w:i/>
          <w:iCs/>
        </w:rPr>
        <w:t>M.B.</w:t>
      </w:r>
      <w:r>
        <w:t>, 23 mars 2020) prévoit désormais l’interdiction des clauses empêchant « </w:t>
      </w:r>
      <w:r w:rsidRPr="003A4993">
        <w:t>un médecin de pratiquer une euthanasie dans les conditions légales</w:t>
      </w:r>
      <w:r>
        <w:t> » au sein d’une institution de soins.</w:t>
      </w:r>
    </w:p>
  </w:footnote>
  <w:footnote w:id="360">
    <w:p w14:paraId="00640FFF" w14:textId="77777777" w:rsidR="000D6C77" w:rsidRPr="00506F7F" w:rsidRDefault="000D6C77" w:rsidP="00CB4EE8">
      <w:pPr>
        <w:pStyle w:val="Notedebasdepage"/>
      </w:pPr>
      <w:r>
        <w:rPr>
          <w:rStyle w:val="Appelnotedebasdep"/>
        </w:rPr>
        <w:footnoteRef/>
      </w:r>
      <w:r w:rsidRPr="00506F7F">
        <w:t xml:space="preserve"> </w:t>
      </w:r>
      <w:proofErr w:type="spellStart"/>
      <w:r>
        <w:t>Voy</w:t>
      </w:r>
      <w:proofErr w:type="spellEnd"/>
      <w:r>
        <w:t>. à ce sujet CourEDH</w:t>
      </w:r>
      <w:r w:rsidRPr="00C1648E">
        <w:t xml:space="preserve">, déc. </w:t>
      </w:r>
      <w:proofErr w:type="spellStart"/>
      <w:r w:rsidRPr="00C1648E">
        <w:rPr>
          <w:i/>
          <w:iCs/>
        </w:rPr>
        <w:t>Grimmark</w:t>
      </w:r>
      <w:proofErr w:type="spellEnd"/>
      <w:r w:rsidRPr="00C1648E">
        <w:rPr>
          <w:i/>
          <w:iCs/>
        </w:rPr>
        <w:t xml:space="preserve"> c. Suède</w:t>
      </w:r>
      <w:r w:rsidRPr="00C1648E">
        <w:t xml:space="preserve">, 11 février 2020, </w:t>
      </w:r>
      <w:proofErr w:type="spellStart"/>
      <w:r w:rsidRPr="00C1648E">
        <w:t>req</w:t>
      </w:r>
      <w:proofErr w:type="spellEnd"/>
      <w:r w:rsidRPr="00C1648E">
        <w:t>. n° 43726/17</w:t>
      </w:r>
      <w:r>
        <w:t>.</w:t>
      </w:r>
    </w:p>
  </w:footnote>
  <w:footnote w:id="361">
    <w:p w14:paraId="19C661D6" w14:textId="7DFA3C33" w:rsidR="000D6C77" w:rsidRPr="00C1648E" w:rsidRDefault="000D6C77" w:rsidP="00CB4EE8">
      <w:pPr>
        <w:pStyle w:val="Notedebasdepage"/>
      </w:pPr>
      <w:r>
        <w:rPr>
          <w:rStyle w:val="Appelnotedebasdep"/>
        </w:rPr>
        <w:footnoteRef/>
      </w:r>
      <w:r w:rsidRPr="00C1648E">
        <w:t xml:space="preserve"> </w:t>
      </w:r>
      <w:proofErr w:type="spellStart"/>
      <w:r>
        <w:t>Voy</w:t>
      </w:r>
      <w:proofErr w:type="spellEnd"/>
      <w:r>
        <w:t xml:space="preserve">. à cet égard </w:t>
      </w:r>
      <w:r>
        <w:rPr>
          <w:iCs/>
        </w:rPr>
        <w:t>la résolution</w:t>
      </w:r>
      <w:r w:rsidRPr="00C1648E">
        <w:t xml:space="preserve"> </w:t>
      </w:r>
      <w:r>
        <w:t xml:space="preserve">n° </w:t>
      </w:r>
      <w:r w:rsidRPr="00C1648E">
        <w:t>1763</w:t>
      </w:r>
      <w:r>
        <w:t xml:space="preserve"> de l’Assemblée parlementaire du Conseil de l’Europe</w:t>
      </w:r>
      <w:r w:rsidRPr="00C1648E">
        <w:t xml:space="preserve">, </w:t>
      </w:r>
      <w:r w:rsidRPr="00C1648E">
        <w:rPr>
          <w:i/>
          <w:iCs/>
        </w:rPr>
        <w:t>Le droit à l’objection de conscience</w:t>
      </w:r>
      <w:r>
        <w:rPr>
          <w:i/>
          <w:iCs/>
        </w:rPr>
        <w:fldChar w:fldCharType="begin"/>
      </w:r>
      <w:r>
        <w:rPr>
          <w:i/>
          <w:iCs/>
        </w:rPr>
        <w:instrText xml:space="preserve"> XE "</w:instrText>
      </w:r>
      <w:r w:rsidRPr="005F6D4C">
        <w:rPr>
          <w:rFonts w:ascii="Cambria" w:eastAsia="Times New Roman" w:hAnsi="Cambria" w:cs="Calibri"/>
          <w:color w:val="000000"/>
          <w:lang w:eastAsia="fr-BE"/>
        </w:rPr>
        <w:instrText>Conscience:Objection de conscience"</w:instrText>
      </w:r>
      <w:r>
        <w:rPr>
          <w:i/>
          <w:iCs/>
        </w:rPr>
        <w:instrText xml:space="preserve"> </w:instrText>
      </w:r>
      <w:r>
        <w:rPr>
          <w:i/>
          <w:iCs/>
        </w:rPr>
        <w:fldChar w:fldCharType="end"/>
      </w:r>
      <w:r w:rsidRPr="00C1648E">
        <w:rPr>
          <w:i/>
          <w:iCs/>
        </w:rPr>
        <w:t xml:space="preserve"> dans le cadre des soins médicaux légaux</w:t>
      </w:r>
      <w:r w:rsidRPr="00C1648E">
        <w:t>,</w:t>
      </w:r>
      <w:r w:rsidRPr="00C1648E">
        <w:rPr>
          <w:i/>
          <w:iCs/>
        </w:rPr>
        <w:t xml:space="preserve"> </w:t>
      </w:r>
      <w:r w:rsidRPr="00C1648E">
        <w:t>adoptée le 7 octobre 2010</w:t>
      </w:r>
      <w:r>
        <w:t xml:space="preserve">, et prévoyant que « [nul] </w:t>
      </w:r>
      <w:r w:rsidRPr="00E757DF">
        <w:t>hôpital, établissement ou personne ne peut faire l’objet de pressions, être tenu responsable ou</w:t>
      </w:r>
      <w:r>
        <w:t xml:space="preserve"> </w:t>
      </w:r>
      <w:r w:rsidRPr="00E757DF">
        <w:t>subir des discriminations d’aucune sorte pour son refus de réaliser, d’accueillir ou d’assister un avortement,</w:t>
      </w:r>
      <w:r>
        <w:t xml:space="preserve"> </w:t>
      </w:r>
      <w:r w:rsidRPr="00E757DF">
        <w:t>une fausse couche provoquée ou une euthanasie, ou de s’y soumettre, ni pour son refus d’accomplir toute</w:t>
      </w:r>
      <w:r>
        <w:t xml:space="preserve"> </w:t>
      </w:r>
      <w:r w:rsidRPr="00E757DF">
        <w:t>intervention visant à provoquer la mort d’un fœtus ou d’un embryon humain, quelles qu’en soient les raisons</w:t>
      </w:r>
      <w: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52602"/>
    <w:multiLevelType w:val="hybridMultilevel"/>
    <w:tmpl w:val="58D458BE"/>
    <w:lvl w:ilvl="0" w:tplc="FCD05486">
      <w:start w:val="1"/>
      <w:numFmt w:val="decimal"/>
      <w:pStyle w:val="Titre3"/>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1A090F88"/>
    <w:multiLevelType w:val="hybridMultilevel"/>
    <w:tmpl w:val="296ED0BC"/>
    <w:lvl w:ilvl="0" w:tplc="675245D0">
      <w:start w:val="1"/>
      <w:numFmt w:val="decimal"/>
      <w:pStyle w:val="Paragraphedeliste"/>
      <w:lvlText w:val="%1."/>
      <w:lvlJc w:val="right"/>
      <w:pPr>
        <w:ind w:left="720" w:hanging="360"/>
      </w:pPr>
      <w:rPr>
        <w:rFonts w:hint="default"/>
        <w:b/>
        <w:bCs/>
        <w:i w:val="0"/>
        <w:i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2B356FC"/>
    <w:multiLevelType w:val="hybridMultilevel"/>
    <w:tmpl w:val="1C729454"/>
    <w:lvl w:ilvl="0" w:tplc="882474D0">
      <w:start w:val="1"/>
      <w:numFmt w:val="lowerLetter"/>
      <w:pStyle w:val="Titre4"/>
      <w:lvlText w:val="%1."/>
      <w:lvlJc w:val="left"/>
      <w:pPr>
        <w:ind w:left="1428" w:hanging="360"/>
      </w:pPr>
    </w:lvl>
    <w:lvl w:ilvl="1" w:tplc="C55A8D1E">
      <w:start w:val="1"/>
      <w:numFmt w:val="bullet"/>
      <w:pStyle w:val="Titre5"/>
      <w:lvlText w:val=""/>
      <w:lvlJc w:val="left"/>
      <w:pPr>
        <w:ind w:left="2148" w:hanging="360"/>
      </w:pPr>
      <w:rPr>
        <w:rFonts w:ascii="Symbol" w:hAnsi="Symbol" w:hint="default"/>
        <w:lang w:val="fr-BE"/>
      </w:r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3" w15:restartNumberingAfterBreak="0">
    <w:nsid w:val="30655180"/>
    <w:multiLevelType w:val="hybridMultilevel"/>
    <w:tmpl w:val="7414BAFE"/>
    <w:lvl w:ilvl="0" w:tplc="B1B4E7A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7516579"/>
    <w:multiLevelType w:val="hybridMultilevel"/>
    <w:tmpl w:val="47B68E8E"/>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CBA1B2A"/>
    <w:multiLevelType w:val="hybridMultilevel"/>
    <w:tmpl w:val="0F7E98CC"/>
    <w:lvl w:ilvl="0" w:tplc="3B0A59BA">
      <w:start w:val="1"/>
      <w:numFmt w:val="upperRoman"/>
      <w:pStyle w:val="Titre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7086AE4"/>
    <w:multiLevelType w:val="hybridMultilevel"/>
    <w:tmpl w:val="B1B4ECC6"/>
    <w:lvl w:ilvl="0" w:tplc="04A484A2">
      <w:start w:val="1"/>
      <w:numFmt w:val="upperLetter"/>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6"/>
    <w:lvlOverride w:ilvl="0">
      <w:startOverride w:val="1"/>
    </w:lvlOverride>
  </w:num>
  <w:num w:numId="5">
    <w:abstractNumId w:val="0"/>
    <w:lvlOverride w:ilvl="0">
      <w:startOverride w:val="1"/>
    </w:lvlOverride>
  </w:num>
  <w:num w:numId="6">
    <w:abstractNumId w:val="6"/>
    <w:lvlOverride w:ilvl="0">
      <w:startOverride w:val="1"/>
    </w:lvlOverride>
  </w:num>
  <w:num w:numId="7">
    <w:abstractNumId w:val="5"/>
    <w:lvlOverride w:ilvl="0">
      <w:startOverride w:val="1"/>
    </w:lvlOverride>
  </w:num>
  <w:num w:numId="8">
    <w:abstractNumId w:val="0"/>
    <w:lvlOverride w:ilvl="0">
      <w:startOverride w:val="1"/>
    </w:lvlOverride>
  </w:num>
  <w:num w:numId="9">
    <w:abstractNumId w:val="0"/>
  </w:num>
  <w:num w:numId="10">
    <w:abstractNumId w:val="0"/>
    <w:lvlOverride w:ilvl="0">
      <w:startOverride w:val="1"/>
    </w:lvlOverride>
  </w:num>
  <w:num w:numId="11">
    <w:abstractNumId w:val="0"/>
    <w:lvlOverride w:ilvl="0">
      <w:startOverride w:val="1"/>
    </w:lvlOverride>
  </w:num>
  <w:num w:numId="12">
    <w:abstractNumId w:val="2"/>
    <w:lvlOverride w:ilvl="0">
      <w:startOverride w:val="1"/>
    </w:lvlOverride>
  </w:num>
  <w:num w:numId="13">
    <w:abstractNumId w:val="0"/>
    <w:lvlOverride w:ilvl="0">
      <w:startOverride w:val="1"/>
    </w:lvlOverride>
  </w:num>
  <w:num w:numId="14">
    <w:abstractNumId w:val="2"/>
    <w:lvlOverride w:ilvl="0">
      <w:startOverride w:val="1"/>
    </w:lvlOverride>
  </w:num>
  <w:num w:numId="15">
    <w:abstractNumId w:val="4"/>
  </w:num>
  <w:num w:numId="16">
    <w:abstractNumId w:val="2"/>
    <w:lvlOverride w:ilvl="0">
      <w:startOverride w:val="1"/>
    </w:lvlOverride>
  </w:num>
  <w:num w:numId="17">
    <w:abstractNumId w:val="0"/>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3"/>
  </w:num>
  <w:num w:numId="23">
    <w:abstractNumId w:val="2"/>
    <w:lvlOverride w:ilvl="0">
      <w:startOverride w:val="1"/>
    </w:lvlOverride>
  </w:num>
  <w:num w:numId="24">
    <w:abstractNumId w:val="2"/>
    <w:lvlOverride w:ilvl="0">
      <w:startOverride w:val="1"/>
    </w:lvlOverride>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B4"/>
    <w:rsid w:val="000001BB"/>
    <w:rsid w:val="000028B0"/>
    <w:rsid w:val="00002ACF"/>
    <w:rsid w:val="00002C48"/>
    <w:rsid w:val="00002C8B"/>
    <w:rsid w:val="0000378A"/>
    <w:rsid w:val="00005FD3"/>
    <w:rsid w:val="000105F1"/>
    <w:rsid w:val="00010782"/>
    <w:rsid w:val="00012293"/>
    <w:rsid w:val="00012CF0"/>
    <w:rsid w:val="000134F9"/>
    <w:rsid w:val="000139EB"/>
    <w:rsid w:val="00013AB2"/>
    <w:rsid w:val="00013AE2"/>
    <w:rsid w:val="0001429E"/>
    <w:rsid w:val="000163A5"/>
    <w:rsid w:val="00016F50"/>
    <w:rsid w:val="0001739C"/>
    <w:rsid w:val="000200B9"/>
    <w:rsid w:val="00025466"/>
    <w:rsid w:val="000266BE"/>
    <w:rsid w:val="00026920"/>
    <w:rsid w:val="00027F16"/>
    <w:rsid w:val="0003380D"/>
    <w:rsid w:val="0003664B"/>
    <w:rsid w:val="0004077A"/>
    <w:rsid w:val="00041DA2"/>
    <w:rsid w:val="000421FA"/>
    <w:rsid w:val="00046CF2"/>
    <w:rsid w:val="00046FDA"/>
    <w:rsid w:val="00047FEE"/>
    <w:rsid w:val="000521DA"/>
    <w:rsid w:val="00053103"/>
    <w:rsid w:val="00057E6B"/>
    <w:rsid w:val="00061E58"/>
    <w:rsid w:val="00062529"/>
    <w:rsid w:val="00063124"/>
    <w:rsid w:val="000636BE"/>
    <w:rsid w:val="0006449B"/>
    <w:rsid w:val="00066FA9"/>
    <w:rsid w:val="00075AC3"/>
    <w:rsid w:val="00076F2A"/>
    <w:rsid w:val="00076F40"/>
    <w:rsid w:val="00077194"/>
    <w:rsid w:val="00081BF5"/>
    <w:rsid w:val="00083717"/>
    <w:rsid w:val="00084608"/>
    <w:rsid w:val="00085241"/>
    <w:rsid w:val="00085F60"/>
    <w:rsid w:val="00085FBD"/>
    <w:rsid w:val="00090737"/>
    <w:rsid w:val="000910FC"/>
    <w:rsid w:val="00092674"/>
    <w:rsid w:val="00092BC1"/>
    <w:rsid w:val="00093A8C"/>
    <w:rsid w:val="00093F02"/>
    <w:rsid w:val="00095E27"/>
    <w:rsid w:val="000971D7"/>
    <w:rsid w:val="000A0474"/>
    <w:rsid w:val="000A16F4"/>
    <w:rsid w:val="000A4779"/>
    <w:rsid w:val="000A693E"/>
    <w:rsid w:val="000A6F37"/>
    <w:rsid w:val="000B0C3A"/>
    <w:rsid w:val="000B3841"/>
    <w:rsid w:val="000B63D0"/>
    <w:rsid w:val="000B7040"/>
    <w:rsid w:val="000C1356"/>
    <w:rsid w:val="000C2247"/>
    <w:rsid w:val="000C225D"/>
    <w:rsid w:val="000C2632"/>
    <w:rsid w:val="000C2DD6"/>
    <w:rsid w:val="000C3895"/>
    <w:rsid w:val="000C4116"/>
    <w:rsid w:val="000C5C98"/>
    <w:rsid w:val="000C7250"/>
    <w:rsid w:val="000D0440"/>
    <w:rsid w:val="000D0F10"/>
    <w:rsid w:val="000D6C77"/>
    <w:rsid w:val="000D767B"/>
    <w:rsid w:val="000E108F"/>
    <w:rsid w:val="000E2C42"/>
    <w:rsid w:val="000E607D"/>
    <w:rsid w:val="000F041F"/>
    <w:rsid w:val="000F2FD2"/>
    <w:rsid w:val="000F5BB9"/>
    <w:rsid w:val="00100565"/>
    <w:rsid w:val="001008EF"/>
    <w:rsid w:val="00100B08"/>
    <w:rsid w:val="001016ED"/>
    <w:rsid w:val="001032B8"/>
    <w:rsid w:val="00106798"/>
    <w:rsid w:val="0011402F"/>
    <w:rsid w:val="00116C22"/>
    <w:rsid w:val="00121307"/>
    <w:rsid w:val="001229CF"/>
    <w:rsid w:val="00122D37"/>
    <w:rsid w:val="00122D98"/>
    <w:rsid w:val="001232B9"/>
    <w:rsid w:val="001245DD"/>
    <w:rsid w:val="00125597"/>
    <w:rsid w:val="00126B7B"/>
    <w:rsid w:val="0013043A"/>
    <w:rsid w:val="00130D0E"/>
    <w:rsid w:val="00131485"/>
    <w:rsid w:val="00132261"/>
    <w:rsid w:val="00133183"/>
    <w:rsid w:val="00134E73"/>
    <w:rsid w:val="00137CAD"/>
    <w:rsid w:val="00144740"/>
    <w:rsid w:val="00145918"/>
    <w:rsid w:val="00147634"/>
    <w:rsid w:val="00147DC4"/>
    <w:rsid w:val="00155972"/>
    <w:rsid w:val="0015691E"/>
    <w:rsid w:val="00156F7F"/>
    <w:rsid w:val="001617AF"/>
    <w:rsid w:val="00163350"/>
    <w:rsid w:val="00165EAC"/>
    <w:rsid w:val="00165F59"/>
    <w:rsid w:val="001660D0"/>
    <w:rsid w:val="001667A8"/>
    <w:rsid w:val="00167024"/>
    <w:rsid w:val="001726A0"/>
    <w:rsid w:val="00172BA1"/>
    <w:rsid w:val="00172EB8"/>
    <w:rsid w:val="0017368F"/>
    <w:rsid w:val="001765CA"/>
    <w:rsid w:val="00176AED"/>
    <w:rsid w:val="001804E5"/>
    <w:rsid w:val="00181822"/>
    <w:rsid w:val="00185089"/>
    <w:rsid w:val="001875B4"/>
    <w:rsid w:val="0019228D"/>
    <w:rsid w:val="001929D2"/>
    <w:rsid w:val="001932BD"/>
    <w:rsid w:val="00193AD3"/>
    <w:rsid w:val="00193B29"/>
    <w:rsid w:val="00193C74"/>
    <w:rsid w:val="00193DB5"/>
    <w:rsid w:val="00195926"/>
    <w:rsid w:val="001969D7"/>
    <w:rsid w:val="001A032B"/>
    <w:rsid w:val="001A57DA"/>
    <w:rsid w:val="001A6F81"/>
    <w:rsid w:val="001A79BD"/>
    <w:rsid w:val="001B0620"/>
    <w:rsid w:val="001B2FAD"/>
    <w:rsid w:val="001B5C60"/>
    <w:rsid w:val="001B7886"/>
    <w:rsid w:val="001B7F4C"/>
    <w:rsid w:val="001C0F49"/>
    <w:rsid w:val="001C1B28"/>
    <w:rsid w:val="001C50C0"/>
    <w:rsid w:val="001C578A"/>
    <w:rsid w:val="001C64AC"/>
    <w:rsid w:val="001C7D33"/>
    <w:rsid w:val="001D25AF"/>
    <w:rsid w:val="001D3C5C"/>
    <w:rsid w:val="001D410D"/>
    <w:rsid w:val="001D4EBF"/>
    <w:rsid w:val="001D57CE"/>
    <w:rsid w:val="001D7436"/>
    <w:rsid w:val="001D7FA4"/>
    <w:rsid w:val="001E0F2A"/>
    <w:rsid w:val="001E2F5D"/>
    <w:rsid w:val="001E4AF5"/>
    <w:rsid w:val="001E7B8E"/>
    <w:rsid w:val="001F0716"/>
    <w:rsid w:val="001F5331"/>
    <w:rsid w:val="001F546E"/>
    <w:rsid w:val="002030EC"/>
    <w:rsid w:val="0020474E"/>
    <w:rsid w:val="00205E0C"/>
    <w:rsid w:val="00210238"/>
    <w:rsid w:val="00210581"/>
    <w:rsid w:val="0021481C"/>
    <w:rsid w:val="0021496F"/>
    <w:rsid w:val="00215244"/>
    <w:rsid w:val="0021552C"/>
    <w:rsid w:val="00216C95"/>
    <w:rsid w:val="0022020C"/>
    <w:rsid w:val="00221679"/>
    <w:rsid w:val="00221D75"/>
    <w:rsid w:val="002236BD"/>
    <w:rsid w:val="00224F46"/>
    <w:rsid w:val="00224F89"/>
    <w:rsid w:val="002251A6"/>
    <w:rsid w:val="002253E9"/>
    <w:rsid w:val="0022566B"/>
    <w:rsid w:val="00225DAD"/>
    <w:rsid w:val="002279A7"/>
    <w:rsid w:val="0023103F"/>
    <w:rsid w:val="0023193E"/>
    <w:rsid w:val="002334E5"/>
    <w:rsid w:val="00233D39"/>
    <w:rsid w:val="00233F3D"/>
    <w:rsid w:val="00235FDB"/>
    <w:rsid w:val="002365A2"/>
    <w:rsid w:val="00242BC1"/>
    <w:rsid w:val="00242CFE"/>
    <w:rsid w:val="00243618"/>
    <w:rsid w:val="00243E89"/>
    <w:rsid w:val="00245B45"/>
    <w:rsid w:val="0024685A"/>
    <w:rsid w:val="00246BA9"/>
    <w:rsid w:val="00246D43"/>
    <w:rsid w:val="002472EC"/>
    <w:rsid w:val="00254124"/>
    <w:rsid w:val="0025428C"/>
    <w:rsid w:val="00254531"/>
    <w:rsid w:val="0025465C"/>
    <w:rsid w:val="002550C0"/>
    <w:rsid w:val="00255195"/>
    <w:rsid w:val="0025551D"/>
    <w:rsid w:val="00256D2F"/>
    <w:rsid w:val="00257124"/>
    <w:rsid w:val="00260D96"/>
    <w:rsid w:val="00260F44"/>
    <w:rsid w:val="0026112D"/>
    <w:rsid w:val="0026239C"/>
    <w:rsid w:val="00262547"/>
    <w:rsid w:val="00262A11"/>
    <w:rsid w:val="00263EFF"/>
    <w:rsid w:val="00264F6D"/>
    <w:rsid w:val="002661E9"/>
    <w:rsid w:val="00266B53"/>
    <w:rsid w:val="0026742E"/>
    <w:rsid w:val="00267EDA"/>
    <w:rsid w:val="002718B6"/>
    <w:rsid w:val="00271AA2"/>
    <w:rsid w:val="00271EC7"/>
    <w:rsid w:val="00273A41"/>
    <w:rsid w:val="00273C6F"/>
    <w:rsid w:val="00274745"/>
    <w:rsid w:val="002762C3"/>
    <w:rsid w:val="0027631B"/>
    <w:rsid w:val="00281364"/>
    <w:rsid w:val="002829E6"/>
    <w:rsid w:val="00284867"/>
    <w:rsid w:val="00286242"/>
    <w:rsid w:val="00286352"/>
    <w:rsid w:val="00286355"/>
    <w:rsid w:val="00286A39"/>
    <w:rsid w:val="00286BC0"/>
    <w:rsid w:val="00286D32"/>
    <w:rsid w:val="00287259"/>
    <w:rsid w:val="00287674"/>
    <w:rsid w:val="00287EAD"/>
    <w:rsid w:val="002902A0"/>
    <w:rsid w:val="00291153"/>
    <w:rsid w:val="002920C0"/>
    <w:rsid w:val="00292454"/>
    <w:rsid w:val="00293A12"/>
    <w:rsid w:val="00293B92"/>
    <w:rsid w:val="002956CA"/>
    <w:rsid w:val="002A0E30"/>
    <w:rsid w:val="002A2035"/>
    <w:rsid w:val="002A5595"/>
    <w:rsid w:val="002A55A1"/>
    <w:rsid w:val="002A5621"/>
    <w:rsid w:val="002A7803"/>
    <w:rsid w:val="002A7EFD"/>
    <w:rsid w:val="002B03AF"/>
    <w:rsid w:val="002B4317"/>
    <w:rsid w:val="002B46BC"/>
    <w:rsid w:val="002B4994"/>
    <w:rsid w:val="002B750E"/>
    <w:rsid w:val="002C0988"/>
    <w:rsid w:val="002C2E8F"/>
    <w:rsid w:val="002C3BCC"/>
    <w:rsid w:val="002C4D10"/>
    <w:rsid w:val="002C51C5"/>
    <w:rsid w:val="002C5521"/>
    <w:rsid w:val="002C5522"/>
    <w:rsid w:val="002C7214"/>
    <w:rsid w:val="002D0A7E"/>
    <w:rsid w:val="002D0B3C"/>
    <w:rsid w:val="002D24F6"/>
    <w:rsid w:val="002D40D0"/>
    <w:rsid w:val="002D4A3B"/>
    <w:rsid w:val="002D6A22"/>
    <w:rsid w:val="002D6B03"/>
    <w:rsid w:val="002D7210"/>
    <w:rsid w:val="002E03C4"/>
    <w:rsid w:val="002E07A0"/>
    <w:rsid w:val="002E24E2"/>
    <w:rsid w:val="002E2D66"/>
    <w:rsid w:val="002E2E8B"/>
    <w:rsid w:val="002E5A88"/>
    <w:rsid w:val="002E7AD5"/>
    <w:rsid w:val="002F1535"/>
    <w:rsid w:val="002F159A"/>
    <w:rsid w:val="002F18ED"/>
    <w:rsid w:val="002F4144"/>
    <w:rsid w:val="002F633F"/>
    <w:rsid w:val="002F6E32"/>
    <w:rsid w:val="00301075"/>
    <w:rsid w:val="00303178"/>
    <w:rsid w:val="003049AC"/>
    <w:rsid w:val="0030517F"/>
    <w:rsid w:val="003052F5"/>
    <w:rsid w:val="003070D6"/>
    <w:rsid w:val="003133D2"/>
    <w:rsid w:val="00315F19"/>
    <w:rsid w:val="00317C43"/>
    <w:rsid w:val="003205D5"/>
    <w:rsid w:val="00323310"/>
    <w:rsid w:val="003254DF"/>
    <w:rsid w:val="00325C0D"/>
    <w:rsid w:val="003260EF"/>
    <w:rsid w:val="003303CB"/>
    <w:rsid w:val="00331F79"/>
    <w:rsid w:val="00332403"/>
    <w:rsid w:val="0033311D"/>
    <w:rsid w:val="00333D20"/>
    <w:rsid w:val="0033477C"/>
    <w:rsid w:val="00340192"/>
    <w:rsid w:val="003414E2"/>
    <w:rsid w:val="003419ED"/>
    <w:rsid w:val="00344CB2"/>
    <w:rsid w:val="00346D26"/>
    <w:rsid w:val="00351B72"/>
    <w:rsid w:val="003531DB"/>
    <w:rsid w:val="00356B91"/>
    <w:rsid w:val="003615BC"/>
    <w:rsid w:val="003630EF"/>
    <w:rsid w:val="00365C3F"/>
    <w:rsid w:val="00366758"/>
    <w:rsid w:val="00366ECF"/>
    <w:rsid w:val="003676A2"/>
    <w:rsid w:val="00371650"/>
    <w:rsid w:val="00372BD8"/>
    <w:rsid w:val="00373F08"/>
    <w:rsid w:val="00377CED"/>
    <w:rsid w:val="0038549E"/>
    <w:rsid w:val="00385F6B"/>
    <w:rsid w:val="00386EBC"/>
    <w:rsid w:val="00387892"/>
    <w:rsid w:val="00387CE7"/>
    <w:rsid w:val="00387DD6"/>
    <w:rsid w:val="00391C09"/>
    <w:rsid w:val="00391C11"/>
    <w:rsid w:val="00394B67"/>
    <w:rsid w:val="00397377"/>
    <w:rsid w:val="00397A2C"/>
    <w:rsid w:val="003A1396"/>
    <w:rsid w:val="003A19C9"/>
    <w:rsid w:val="003A610A"/>
    <w:rsid w:val="003A66A4"/>
    <w:rsid w:val="003A78E0"/>
    <w:rsid w:val="003B07B8"/>
    <w:rsid w:val="003B08F5"/>
    <w:rsid w:val="003B092B"/>
    <w:rsid w:val="003B2AC5"/>
    <w:rsid w:val="003B41F6"/>
    <w:rsid w:val="003B4A9A"/>
    <w:rsid w:val="003B645C"/>
    <w:rsid w:val="003B6AC8"/>
    <w:rsid w:val="003B6B29"/>
    <w:rsid w:val="003C02B3"/>
    <w:rsid w:val="003C1297"/>
    <w:rsid w:val="003C1FA6"/>
    <w:rsid w:val="003C20B4"/>
    <w:rsid w:val="003D2623"/>
    <w:rsid w:val="003D3025"/>
    <w:rsid w:val="003D3A49"/>
    <w:rsid w:val="003D4AE1"/>
    <w:rsid w:val="003D4BA7"/>
    <w:rsid w:val="003D6546"/>
    <w:rsid w:val="003E1A83"/>
    <w:rsid w:val="003E2654"/>
    <w:rsid w:val="003E5652"/>
    <w:rsid w:val="003E5944"/>
    <w:rsid w:val="003E7811"/>
    <w:rsid w:val="003F0673"/>
    <w:rsid w:val="003F0836"/>
    <w:rsid w:val="003F0DD5"/>
    <w:rsid w:val="003F3BD1"/>
    <w:rsid w:val="003F4CFC"/>
    <w:rsid w:val="004003A3"/>
    <w:rsid w:val="00402DB6"/>
    <w:rsid w:val="00402E95"/>
    <w:rsid w:val="00403084"/>
    <w:rsid w:val="004038FC"/>
    <w:rsid w:val="00404E6D"/>
    <w:rsid w:val="00405B34"/>
    <w:rsid w:val="00405BEC"/>
    <w:rsid w:val="004105F6"/>
    <w:rsid w:val="00410794"/>
    <w:rsid w:val="0041154D"/>
    <w:rsid w:val="00413697"/>
    <w:rsid w:val="0041371C"/>
    <w:rsid w:val="004137F1"/>
    <w:rsid w:val="00414AC9"/>
    <w:rsid w:val="00416A6B"/>
    <w:rsid w:val="0041758F"/>
    <w:rsid w:val="004175D0"/>
    <w:rsid w:val="00421AE7"/>
    <w:rsid w:val="00421FA6"/>
    <w:rsid w:val="00423873"/>
    <w:rsid w:val="004261B4"/>
    <w:rsid w:val="004277D8"/>
    <w:rsid w:val="00431A54"/>
    <w:rsid w:val="0043274E"/>
    <w:rsid w:val="00433559"/>
    <w:rsid w:val="00434B8C"/>
    <w:rsid w:val="00434E06"/>
    <w:rsid w:val="0043615C"/>
    <w:rsid w:val="00436515"/>
    <w:rsid w:val="004365A1"/>
    <w:rsid w:val="00436706"/>
    <w:rsid w:val="00437617"/>
    <w:rsid w:val="00437668"/>
    <w:rsid w:val="00440AD0"/>
    <w:rsid w:val="00441470"/>
    <w:rsid w:val="004417A4"/>
    <w:rsid w:val="00443FEA"/>
    <w:rsid w:val="004442D9"/>
    <w:rsid w:val="0044490F"/>
    <w:rsid w:val="00446BE1"/>
    <w:rsid w:val="00447B75"/>
    <w:rsid w:val="00447EB1"/>
    <w:rsid w:val="00451343"/>
    <w:rsid w:val="004515D7"/>
    <w:rsid w:val="004532F7"/>
    <w:rsid w:val="004544B1"/>
    <w:rsid w:val="00455598"/>
    <w:rsid w:val="004557D2"/>
    <w:rsid w:val="00455C79"/>
    <w:rsid w:val="0045620A"/>
    <w:rsid w:val="00457877"/>
    <w:rsid w:val="00463D35"/>
    <w:rsid w:val="004671D2"/>
    <w:rsid w:val="0047163D"/>
    <w:rsid w:val="00472001"/>
    <w:rsid w:val="00472670"/>
    <w:rsid w:val="00473050"/>
    <w:rsid w:val="00473258"/>
    <w:rsid w:val="00473B12"/>
    <w:rsid w:val="00475003"/>
    <w:rsid w:val="0048300D"/>
    <w:rsid w:val="004901DA"/>
    <w:rsid w:val="00490FB7"/>
    <w:rsid w:val="004935CD"/>
    <w:rsid w:val="00493C5B"/>
    <w:rsid w:val="00496157"/>
    <w:rsid w:val="004963B6"/>
    <w:rsid w:val="0049675A"/>
    <w:rsid w:val="00496A18"/>
    <w:rsid w:val="00496E73"/>
    <w:rsid w:val="004A20D8"/>
    <w:rsid w:val="004A28D4"/>
    <w:rsid w:val="004A6258"/>
    <w:rsid w:val="004A6FC9"/>
    <w:rsid w:val="004B1140"/>
    <w:rsid w:val="004B1238"/>
    <w:rsid w:val="004B1456"/>
    <w:rsid w:val="004B14A7"/>
    <w:rsid w:val="004B1C48"/>
    <w:rsid w:val="004B1FA8"/>
    <w:rsid w:val="004B597E"/>
    <w:rsid w:val="004B674E"/>
    <w:rsid w:val="004B6D75"/>
    <w:rsid w:val="004B6F4D"/>
    <w:rsid w:val="004C0055"/>
    <w:rsid w:val="004C03E0"/>
    <w:rsid w:val="004C085F"/>
    <w:rsid w:val="004C3090"/>
    <w:rsid w:val="004C6FCA"/>
    <w:rsid w:val="004C7CB3"/>
    <w:rsid w:val="004D023C"/>
    <w:rsid w:val="004D13B3"/>
    <w:rsid w:val="004D162E"/>
    <w:rsid w:val="004D3A8B"/>
    <w:rsid w:val="004D466A"/>
    <w:rsid w:val="004D5244"/>
    <w:rsid w:val="004D677F"/>
    <w:rsid w:val="004E06E9"/>
    <w:rsid w:val="004E1078"/>
    <w:rsid w:val="004E1215"/>
    <w:rsid w:val="004E2807"/>
    <w:rsid w:val="004E548A"/>
    <w:rsid w:val="004E6D2C"/>
    <w:rsid w:val="004E6F8F"/>
    <w:rsid w:val="004F0465"/>
    <w:rsid w:val="004F0711"/>
    <w:rsid w:val="004F0E9A"/>
    <w:rsid w:val="004F13C2"/>
    <w:rsid w:val="004F571E"/>
    <w:rsid w:val="004F6200"/>
    <w:rsid w:val="004F6D52"/>
    <w:rsid w:val="00500878"/>
    <w:rsid w:val="005022C3"/>
    <w:rsid w:val="005042F6"/>
    <w:rsid w:val="005071B7"/>
    <w:rsid w:val="0051190A"/>
    <w:rsid w:val="0051220C"/>
    <w:rsid w:val="00512B97"/>
    <w:rsid w:val="00513CC2"/>
    <w:rsid w:val="005149CB"/>
    <w:rsid w:val="005154EC"/>
    <w:rsid w:val="00515675"/>
    <w:rsid w:val="00515881"/>
    <w:rsid w:val="005160CC"/>
    <w:rsid w:val="00516F0C"/>
    <w:rsid w:val="00520AD0"/>
    <w:rsid w:val="00520F28"/>
    <w:rsid w:val="00522F3D"/>
    <w:rsid w:val="00523870"/>
    <w:rsid w:val="00524E6D"/>
    <w:rsid w:val="00525766"/>
    <w:rsid w:val="00530103"/>
    <w:rsid w:val="005306D9"/>
    <w:rsid w:val="0053140F"/>
    <w:rsid w:val="005329E0"/>
    <w:rsid w:val="005338DA"/>
    <w:rsid w:val="00533A85"/>
    <w:rsid w:val="00534A54"/>
    <w:rsid w:val="00534EAE"/>
    <w:rsid w:val="005364A1"/>
    <w:rsid w:val="00540FEC"/>
    <w:rsid w:val="0054149A"/>
    <w:rsid w:val="00541984"/>
    <w:rsid w:val="00542AE5"/>
    <w:rsid w:val="0054479B"/>
    <w:rsid w:val="00544A9F"/>
    <w:rsid w:val="00547C20"/>
    <w:rsid w:val="005505AF"/>
    <w:rsid w:val="00554251"/>
    <w:rsid w:val="00554C12"/>
    <w:rsid w:val="00555323"/>
    <w:rsid w:val="00555809"/>
    <w:rsid w:val="005559D6"/>
    <w:rsid w:val="00560FCB"/>
    <w:rsid w:val="00562629"/>
    <w:rsid w:val="00563B96"/>
    <w:rsid w:val="005674FF"/>
    <w:rsid w:val="00570E0D"/>
    <w:rsid w:val="005744DD"/>
    <w:rsid w:val="00576D43"/>
    <w:rsid w:val="005803E0"/>
    <w:rsid w:val="005833FB"/>
    <w:rsid w:val="005838BF"/>
    <w:rsid w:val="00583958"/>
    <w:rsid w:val="00583FE9"/>
    <w:rsid w:val="0058408D"/>
    <w:rsid w:val="0058411E"/>
    <w:rsid w:val="005846EB"/>
    <w:rsid w:val="00585354"/>
    <w:rsid w:val="00590333"/>
    <w:rsid w:val="0059121A"/>
    <w:rsid w:val="00597FB6"/>
    <w:rsid w:val="005A0F3A"/>
    <w:rsid w:val="005A10C3"/>
    <w:rsid w:val="005A16F0"/>
    <w:rsid w:val="005A1DA6"/>
    <w:rsid w:val="005A2FC0"/>
    <w:rsid w:val="005A4FF3"/>
    <w:rsid w:val="005A64D1"/>
    <w:rsid w:val="005A65F0"/>
    <w:rsid w:val="005A76EF"/>
    <w:rsid w:val="005B09D6"/>
    <w:rsid w:val="005B0F1B"/>
    <w:rsid w:val="005B1F25"/>
    <w:rsid w:val="005B66D3"/>
    <w:rsid w:val="005B7A2C"/>
    <w:rsid w:val="005C01E5"/>
    <w:rsid w:val="005C0741"/>
    <w:rsid w:val="005C0806"/>
    <w:rsid w:val="005C11EE"/>
    <w:rsid w:val="005C3E85"/>
    <w:rsid w:val="005C5823"/>
    <w:rsid w:val="005C6B12"/>
    <w:rsid w:val="005D0F0D"/>
    <w:rsid w:val="005D19DD"/>
    <w:rsid w:val="005D3E1D"/>
    <w:rsid w:val="005D48D6"/>
    <w:rsid w:val="005D50F5"/>
    <w:rsid w:val="005E0721"/>
    <w:rsid w:val="005E0E9B"/>
    <w:rsid w:val="005E2229"/>
    <w:rsid w:val="005E2988"/>
    <w:rsid w:val="005E3C82"/>
    <w:rsid w:val="005E4A78"/>
    <w:rsid w:val="005E4C8C"/>
    <w:rsid w:val="005E7346"/>
    <w:rsid w:val="005E7E7B"/>
    <w:rsid w:val="005F0B79"/>
    <w:rsid w:val="005F1974"/>
    <w:rsid w:val="005F20BC"/>
    <w:rsid w:val="005F247C"/>
    <w:rsid w:val="005F5D50"/>
    <w:rsid w:val="005F62B6"/>
    <w:rsid w:val="005F6409"/>
    <w:rsid w:val="005F684C"/>
    <w:rsid w:val="005F6FDD"/>
    <w:rsid w:val="00600B07"/>
    <w:rsid w:val="00600BFB"/>
    <w:rsid w:val="00601581"/>
    <w:rsid w:val="006049EF"/>
    <w:rsid w:val="00605D18"/>
    <w:rsid w:val="00606280"/>
    <w:rsid w:val="00612002"/>
    <w:rsid w:val="0061276C"/>
    <w:rsid w:val="006141E4"/>
    <w:rsid w:val="00614505"/>
    <w:rsid w:val="00615483"/>
    <w:rsid w:val="00617343"/>
    <w:rsid w:val="0062187D"/>
    <w:rsid w:val="00622207"/>
    <w:rsid w:val="006239FC"/>
    <w:rsid w:val="00626F70"/>
    <w:rsid w:val="006301A2"/>
    <w:rsid w:val="00631B16"/>
    <w:rsid w:val="006356BF"/>
    <w:rsid w:val="00635F17"/>
    <w:rsid w:val="0063660B"/>
    <w:rsid w:val="00641081"/>
    <w:rsid w:val="0064252A"/>
    <w:rsid w:val="00644A79"/>
    <w:rsid w:val="00646824"/>
    <w:rsid w:val="006478AA"/>
    <w:rsid w:val="00652634"/>
    <w:rsid w:val="0065272E"/>
    <w:rsid w:val="00656A4F"/>
    <w:rsid w:val="006571A8"/>
    <w:rsid w:val="006572CF"/>
    <w:rsid w:val="00660086"/>
    <w:rsid w:val="00660A1A"/>
    <w:rsid w:val="00661DF0"/>
    <w:rsid w:val="006624DA"/>
    <w:rsid w:val="006635B1"/>
    <w:rsid w:val="00665302"/>
    <w:rsid w:val="006654FF"/>
    <w:rsid w:val="00667C22"/>
    <w:rsid w:val="00667DE0"/>
    <w:rsid w:val="0067109A"/>
    <w:rsid w:val="006710DF"/>
    <w:rsid w:val="00673C2E"/>
    <w:rsid w:val="00673F0E"/>
    <w:rsid w:val="00674159"/>
    <w:rsid w:val="006746EA"/>
    <w:rsid w:val="006754AC"/>
    <w:rsid w:val="00675CD6"/>
    <w:rsid w:val="006765A0"/>
    <w:rsid w:val="00682426"/>
    <w:rsid w:val="00682AE9"/>
    <w:rsid w:val="0068316E"/>
    <w:rsid w:val="00683195"/>
    <w:rsid w:val="00685B29"/>
    <w:rsid w:val="0069582C"/>
    <w:rsid w:val="006959A9"/>
    <w:rsid w:val="00696816"/>
    <w:rsid w:val="00697495"/>
    <w:rsid w:val="006A16EB"/>
    <w:rsid w:val="006A1BA6"/>
    <w:rsid w:val="006A2546"/>
    <w:rsid w:val="006A3AEF"/>
    <w:rsid w:val="006A4C81"/>
    <w:rsid w:val="006A5F45"/>
    <w:rsid w:val="006A671A"/>
    <w:rsid w:val="006B0FD0"/>
    <w:rsid w:val="006B16E2"/>
    <w:rsid w:val="006B1BEB"/>
    <w:rsid w:val="006B468D"/>
    <w:rsid w:val="006C0362"/>
    <w:rsid w:val="006C0FCB"/>
    <w:rsid w:val="006C6117"/>
    <w:rsid w:val="006C6DE5"/>
    <w:rsid w:val="006D01C5"/>
    <w:rsid w:val="006D07ED"/>
    <w:rsid w:val="006D0943"/>
    <w:rsid w:val="006D125C"/>
    <w:rsid w:val="006D1AA8"/>
    <w:rsid w:val="006D3522"/>
    <w:rsid w:val="006D5FEF"/>
    <w:rsid w:val="006D63CC"/>
    <w:rsid w:val="006D640B"/>
    <w:rsid w:val="006D6926"/>
    <w:rsid w:val="006D6D5B"/>
    <w:rsid w:val="006E4489"/>
    <w:rsid w:val="006E57A3"/>
    <w:rsid w:val="006E6E3C"/>
    <w:rsid w:val="006F1B19"/>
    <w:rsid w:val="006F3EB0"/>
    <w:rsid w:val="006F7C59"/>
    <w:rsid w:val="007005D8"/>
    <w:rsid w:val="00700E78"/>
    <w:rsid w:val="007015D4"/>
    <w:rsid w:val="007026A4"/>
    <w:rsid w:val="00702AC0"/>
    <w:rsid w:val="007057F3"/>
    <w:rsid w:val="0070613B"/>
    <w:rsid w:val="007073B4"/>
    <w:rsid w:val="00710780"/>
    <w:rsid w:val="00710B17"/>
    <w:rsid w:val="00710B23"/>
    <w:rsid w:val="00714B3E"/>
    <w:rsid w:val="00715CDC"/>
    <w:rsid w:val="00717690"/>
    <w:rsid w:val="00717824"/>
    <w:rsid w:val="00724025"/>
    <w:rsid w:val="007302A4"/>
    <w:rsid w:val="0073046F"/>
    <w:rsid w:val="0073135D"/>
    <w:rsid w:val="00732C07"/>
    <w:rsid w:val="00733E64"/>
    <w:rsid w:val="007343E3"/>
    <w:rsid w:val="00735552"/>
    <w:rsid w:val="00735A1D"/>
    <w:rsid w:val="00737288"/>
    <w:rsid w:val="00737465"/>
    <w:rsid w:val="00740013"/>
    <w:rsid w:val="0074362B"/>
    <w:rsid w:val="00745AD8"/>
    <w:rsid w:val="00746440"/>
    <w:rsid w:val="00751F8B"/>
    <w:rsid w:val="00753B38"/>
    <w:rsid w:val="00754A8F"/>
    <w:rsid w:val="007618E8"/>
    <w:rsid w:val="00761DA2"/>
    <w:rsid w:val="0076297D"/>
    <w:rsid w:val="00765308"/>
    <w:rsid w:val="00765EFD"/>
    <w:rsid w:val="00771543"/>
    <w:rsid w:val="00771935"/>
    <w:rsid w:val="00771A6B"/>
    <w:rsid w:val="00771CA6"/>
    <w:rsid w:val="0077531A"/>
    <w:rsid w:val="0077607B"/>
    <w:rsid w:val="00781475"/>
    <w:rsid w:val="00782908"/>
    <w:rsid w:val="0078419C"/>
    <w:rsid w:val="00785638"/>
    <w:rsid w:val="007874E3"/>
    <w:rsid w:val="00787CA5"/>
    <w:rsid w:val="00792906"/>
    <w:rsid w:val="00792E7D"/>
    <w:rsid w:val="00796AFE"/>
    <w:rsid w:val="0079718A"/>
    <w:rsid w:val="007A3A1F"/>
    <w:rsid w:val="007A40B1"/>
    <w:rsid w:val="007A46FF"/>
    <w:rsid w:val="007A55C2"/>
    <w:rsid w:val="007A7342"/>
    <w:rsid w:val="007B0EE8"/>
    <w:rsid w:val="007B13A7"/>
    <w:rsid w:val="007B6188"/>
    <w:rsid w:val="007B6E20"/>
    <w:rsid w:val="007B71C8"/>
    <w:rsid w:val="007C0698"/>
    <w:rsid w:val="007C3DDA"/>
    <w:rsid w:val="007C4659"/>
    <w:rsid w:val="007C498F"/>
    <w:rsid w:val="007C52C4"/>
    <w:rsid w:val="007C6F53"/>
    <w:rsid w:val="007C711C"/>
    <w:rsid w:val="007C7D4F"/>
    <w:rsid w:val="007D0539"/>
    <w:rsid w:val="007D0822"/>
    <w:rsid w:val="007D2D17"/>
    <w:rsid w:val="007D4B7A"/>
    <w:rsid w:val="007D4DAC"/>
    <w:rsid w:val="007D5438"/>
    <w:rsid w:val="007D5695"/>
    <w:rsid w:val="007D595C"/>
    <w:rsid w:val="007E2590"/>
    <w:rsid w:val="007E3660"/>
    <w:rsid w:val="007E3A13"/>
    <w:rsid w:val="007E4220"/>
    <w:rsid w:val="007E6E07"/>
    <w:rsid w:val="007F034E"/>
    <w:rsid w:val="007F0816"/>
    <w:rsid w:val="007F0ADE"/>
    <w:rsid w:val="007F1293"/>
    <w:rsid w:val="007F2816"/>
    <w:rsid w:val="007F3529"/>
    <w:rsid w:val="007F3B20"/>
    <w:rsid w:val="007F4A12"/>
    <w:rsid w:val="00800CCE"/>
    <w:rsid w:val="008044A5"/>
    <w:rsid w:val="008055A3"/>
    <w:rsid w:val="00807A03"/>
    <w:rsid w:val="00807FBE"/>
    <w:rsid w:val="008129EE"/>
    <w:rsid w:val="00812B49"/>
    <w:rsid w:val="00812F65"/>
    <w:rsid w:val="00814E8B"/>
    <w:rsid w:val="00815051"/>
    <w:rsid w:val="0081560B"/>
    <w:rsid w:val="008172E0"/>
    <w:rsid w:val="0081799F"/>
    <w:rsid w:val="0082211F"/>
    <w:rsid w:val="00822B6F"/>
    <w:rsid w:val="00822DD4"/>
    <w:rsid w:val="0082334A"/>
    <w:rsid w:val="008248BF"/>
    <w:rsid w:val="00825DD6"/>
    <w:rsid w:val="00833985"/>
    <w:rsid w:val="00833D13"/>
    <w:rsid w:val="00833DFB"/>
    <w:rsid w:val="00834424"/>
    <w:rsid w:val="008346D7"/>
    <w:rsid w:val="00835BA0"/>
    <w:rsid w:val="0084036D"/>
    <w:rsid w:val="00840385"/>
    <w:rsid w:val="008407E5"/>
    <w:rsid w:val="008430D0"/>
    <w:rsid w:val="008439D7"/>
    <w:rsid w:val="00845647"/>
    <w:rsid w:val="0085230A"/>
    <w:rsid w:val="00853AD4"/>
    <w:rsid w:val="00855376"/>
    <w:rsid w:val="008564B2"/>
    <w:rsid w:val="00856F6D"/>
    <w:rsid w:val="00857693"/>
    <w:rsid w:val="00863E14"/>
    <w:rsid w:val="0086429A"/>
    <w:rsid w:val="00864488"/>
    <w:rsid w:val="00866246"/>
    <w:rsid w:val="008668C9"/>
    <w:rsid w:val="00867F90"/>
    <w:rsid w:val="008731DD"/>
    <w:rsid w:val="00876259"/>
    <w:rsid w:val="0087715B"/>
    <w:rsid w:val="0088678C"/>
    <w:rsid w:val="00886A57"/>
    <w:rsid w:val="00890BB0"/>
    <w:rsid w:val="008921AE"/>
    <w:rsid w:val="00894396"/>
    <w:rsid w:val="0089441F"/>
    <w:rsid w:val="00894905"/>
    <w:rsid w:val="00894C12"/>
    <w:rsid w:val="00894FF3"/>
    <w:rsid w:val="00897AC1"/>
    <w:rsid w:val="008A04C5"/>
    <w:rsid w:val="008A20ED"/>
    <w:rsid w:val="008A6CAF"/>
    <w:rsid w:val="008A739B"/>
    <w:rsid w:val="008B065F"/>
    <w:rsid w:val="008B0E29"/>
    <w:rsid w:val="008B26E1"/>
    <w:rsid w:val="008B2B1F"/>
    <w:rsid w:val="008B4FD8"/>
    <w:rsid w:val="008B5577"/>
    <w:rsid w:val="008B7DA2"/>
    <w:rsid w:val="008C040A"/>
    <w:rsid w:val="008C2D35"/>
    <w:rsid w:val="008C3616"/>
    <w:rsid w:val="008C3674"/>
    <w:rsid w:val="008C3F27"/>
    <w:rsid w:val="008C4D58"/>
    <w:rsid w:val="008D05DF"/>
    <w:rsid w:val="008D0AA6"/>
    <w:rsid w:val="008D2C3F"/>
    <w:rsid w:val="008D517D"/>
    <w:rsid w:val="008D61B7"/>
    <w:rsid w:val="008D6905"/>
    <w:rsid w:val="008E0FC3"/>
    <w:rsid w:val="008E215D"/>
    <w:rsid w:val="008E2383"/>
    <w:rsid w:val="008E3C23"/>
    <w:rsid w:val="008E5563"/>
    <w:rsid w:val="008E68E0"/>
    <w:rsid w:val="008E6BF9"/>
    <w:rsid w:val="008E73DE"/>
    <w:rsid w:val="008F1B20"/>
    <w:rsid w:val="008F24EE"/>
    <w:rsid w:val="008F3428"/>
    <w:rsid w:val="008F46FF"/>
    <w:rsid w:val="008F6055"/>
    <w:rsid w:val="008F70AD"/>
    <w:rsid w:val="00903F8F"/>
    <w:rsid w:val="009066AA"/>
    <w:rsid w:val="009071FB"/>
    <w:rsid w:val="00907CE1"/>
    <w:rsid w:val="009108CC"/>
    <w:rsid w:val="009123A7"/>
    <w:rsid w:val="00914BAA"/>
    <w:rsid w:val="00915EAD"/>
    <w:rsid w:val="00916EAF"/>
    <w:rsid w:val="009207CC"/>
    <w:rsid w:val="00921514"/>
    <w:rsid w:val="009235F1"/>
    <w:rsid w:val="00923DAA"/>
    <w:rsid w:val="0092448C"/>
    <w:rsid w:val="00926893"/>
    <w:rsid w:val="009271B1"/>
    <w:rsid w:val="009327C8"/>
    <w:rsid w:val="009330A0"/>
    <w:rsid w:val="00933499"/>
    <w:rsid w:val="00934072"/>
    <w:rsid w:val="00935EB7"/>
    <w:rsid w:val="009364D0"/>
    <w:rsid w:val="00937F31"/>
    <w:rsid w:val="00941CB1"/>
    <w:rsid w:val="00943196"/>
    <w:rsid w:val="00943E5A"/>
    <w:rsid w:val="009458ED"/>
    <w:rsid w:val="00945A19"/>
    <w:rsid w:val="00946A30"/>
    <w:rsid w:val="0094723B"/>
    <w:rsid w:val="00947581"/>
    <w:rsid w:val="00950A95"/>
    <w:rsid w:val="00951F5E"/>
    <w:rsid w:val="00953F6F"/>
    <w:rsid w:val="00953F72"/>
    <w:rsid w:val="009542B4"/>
    <w:rsid w:val="00955C72"/>
    <w:rsid w:val="00957FC1"/>
    <w:rsid w:val="00960BD9"/>
    <w:rsid w:val="00961E26"/>
    <w:rsid w:val="009620F8"/>
    <w:rsid w:val="009622CD"/>
    <w:rsid w:val="00962635"/>
    <w:rsid w:val="00963039"/>
    <w:rsid w:val="009634F7"/>
    <w:rsid w:val="00965AEE"/>
    <w:rsid w:val="009665C1"/>
    <w:rsid w:val="009675C5"/>
    <w:rsid w:val="009716F1"/>
    <w:rsid w:val="00971EE2"/>
    <w:rsid w:val="00972B7E"/>
    <w:rsid w:val="00972F04"/>
    <w:rsid w:val="00974DDC"/>
    <w:rsid w:val="009800D6"/>
    <w:rsid w:val="009864C9"/>
    <w:rsid w:val="0098654F"/>
    <w:rsid w:val="0098717E"/>
    <w:rsid w:val="00991272"/>
    <w:rsid w:val="009916ED"/>
    <w:rsid w:val="00993A73"/>
    <w:rsid w:val="0099542D"/>
    <w:rsid w:val="009973A6"/>
    <w:rsid w:val="00997CF3"/>
    <w:rsid w:val="009A2601"/>
    <w:rsid w:val="009A317C"/>
    <w:rsid w:val="009A4DA9"/>
    <w:rsid w:val="009A680E"/>
    <w:rsid w:val="009A7205"/>
    <w:rsid w:val="009B1304"/>
    <w:rsid w:val="009B2FF1"/>
    <w:rsid w:val="009B3DC8"/>
    <w:rsid w:val="009B4956"/>
    <w:rsid w:val="009B5984"/>
    <w:rsid w:val="009B5ED5"/>
    <w:rsid w:val="009B5FA0"/>
    <w:rsid w:val="009B70B3"/>
    <w:rsid w:val="009B75AF"/>
    <w:rsid w:val="009B783E"/>
    <w:rsid w:val="009C02E3"/>
    <w:rsid w:val="009C1968"/>
    <w:rsid w:val="009C502A"/>
    <w:rsid w:val="009C5176"/>
    <w:rsid w:val="009C521F"/>
    <w:rsid w:val="009D1164"/>
    <w:rsid w:val="009D19B5"/>
    <w:rsid w:val="009D1A1E"/>
    <w:rsid w:val="009D3252"/>
    <w:rsid w:val="009D4C90"/>
    <w:rsid w:val="009D650F"/>
    <w:rsid w:val="009D6A29"/>
    <w:rsid w:val="009E1A26"/>
    <w:rsid w:val="009E20C5"/>
    <w:rsid w:val="009E7FFC"/>
    <w:rsid w:val="009F2EA0"/>
    <w:rsid w:val="009F40E3"/>
    <w:rsid w:val="009F4731"/>
    <w:rsid w:val="009F5904"/>
    <w:rsid w:val="009F62D7"/>
    <w:rsid w:val="00A01090"/>
    <w:rsid w:val="00A02664"/>
    <w:rsid w:val="00A031DE"/>
    <w:rsid w:val="00A0655D"/>
    <w:rsid w:val="00A07E08"/>
    <w:rsid w:val="00A128B6"/>
    <w:rsid w:val="00A13513"/>
    <w:rsid w:val="00A149AB"/>
    <w:rsid w:val="00A2382A"/>
    <w:rsid w:val="00A2737F"/>
    <w:rsid w:val="00A35B4F"/>
    <w:rsid w:val="00A3619B"/>
    <w:rsid w:val="00A4032C"/>
    <w:rsid w:val="00A436B2"/>
    <w:rsid w:val="00A4609F"/>
    <w:rsid w:val="00A51CBA"/>
    <w:rsid w:val="00A52784"/>
    <w:rsid w:val="00A547A8"/>
    <w:rsid w:val="00A550CB"/>
    <w:rsid w:val="00A55AE3"/>
    <w:rsid w:val="00A55CB2"/>
    <w:rsid w:val="00A569BF"/>
    <w:rsid w:val="00A638E3"/>
    <w:rsid w:val="00A72F68"/>
    <w:rsid w:val="00A73560"/>
    <w:rsid w:val="00A73CAC"/>
    <w:rsid w:val="00A73CEE"/>
    <w:rsid w:val="00A76FD1"/>
    <w:rsid w:val="00A80374"/>
    <w:rsid w:val="00A820DD"/>
    <w:rsid w:val="00A83062"/>
    <w:rsid w:val="00A83BF2"/>
    <w:rsid w:val="00A84D11"/>
    <w:rsid w:val="00A85FF9"/>
    <w:rsid w:val="00A907B1"/>
    <w:rsid w:val="00A91FE5"/>
    <w:rsid w:val="00A92603"/>
    <w:rsid w:val="00A927D0"/>
    <w:rsid w:val="00A92B3D"/>
    <w:rsid w:val="00A93193"/>
    <w:rsid w:val="00A93A38"/>
    <w:rsid w:val="00A97B4F"/>
    <w:rsid w:val="00AA0264"/>
    <w:rsid w:val="00AA5944"/>
    <w:rsid w:val="00AA6C17"/>
    <w:rsid w:val="00AA73AD"/>
    <w:rsid w:val="00AA7489"/>
    <w:rsid w:val="00AB0797"/>
    <w:rsid w:val="00AB15FD"/>
    <w:rsid w:val="00AB17B5"/>
    <w:rsid w:val="00AB403B"/>
    <w:rsid w:val="00AB5123"/>
    <w:rsid w:val="00AC06C3"/>
    <w:rsid w:val="00AC0A42"/>
    <w:rsid w:val="00AC18C7"/>
    <w:rsid w:val="00AC3B70"/>
    <w:rsid w:val="00AC3BBC"/>
    <w:rsid w:val="00AC4FCC"/>
    <w:rsid w:val="00AD1489"/>
    <w:rsid w:val="00AD20A2"/>
    <w:rsid w:val="00AD2CE9"/>
    <w:rsid w:val="00AD4716"/>
    <w:rsid w:val="00AD67B5"/>
    <w:rsid w:val="00AD7CC6"/>
    <w:rsid w:val="00AE00ED"/>
    <w:rsid w:val="00AE14D8"/>
    <w:rsid w:val="00AE2711"/>
    <w:rsid w:val="00AE278E"/>
    <w:rsid w:val="00AE4191"/>
    <w:rsid w:val="00AE58EC"/>
    <w:rsid w:val="00AF1172"/>
    <w:rsid w:val="00AF16F9"/>
    <w:rsid w:val="00AF50A7"/>
    <w:rsid w:val="00AF51B3"/>
    <w:rsid w:val="00AF69E3"/>
    <w:rsid w:val="00AF7383"/>
    <w:rsid w:val="00AF75A3"/>
    <w:rsid w:val="00B003D0"/>
    <w:rsid w:val="00B029DA"/>
    <w:rsid w:val="00B07403"/>
    <w:rsid w:val="00B0746E"/>
    <w:rsid w:val="00B1126E"/>
    <w:rsid w:val="00B12777"/>
    <w:rsid w:val="00B134F9"/>
    <w:rsid w:val="00B14E2D"/>
    <w:rsid w:val="00B17557"/>
    <w:rsid w:val="00B178A3"/>
    <w:rsid w:val="00B22DA3"/>
    <w:rsid w:val="00B23093"/>
    <w:rsid w:val="00B23676"/>
    <w:rsid w:val="00B25677"/>
    <w:rsid w:val="00B30202"/>
    <w:rsid w:val="00B308AC"/>
    <w:rsid w:val="00B331B7"/>
    <w:rsid w:val="00B33C8F"/>
    <w:rsid w:val="00B3465E"/>
    <w:rsid w:val="00B360AB"/>
    <w:rsid w:val="00B36F66"/>
    <w:rsid w:val="00B40ABF"/>
    <w:rsid w:val="00B411B9"/>
    <w:rsid w:val="00B422EB"/>
    <w:rsid w:val="00B43317"/>
    <w:rsid w:val="00B43BD1"/>
    <w:rsid w:val="00B43E67"/>
    <w:rsid w:val="00B458AE"/>
    <w:rsid w:val="00B45C59"/>
    <w:rsid w:val="00B4763E"/>
    <w:rsid w:val="00B479F0"/>
    <w:rsid w:val="00B513C8"/>
    <w:rsid w:val="00B53318"/>
    <w:rsid w:val="00B548A0"/>
    <w:rsid w:val="00B55CE0"/>
    <w:rsid w:val="00B56048"/>
    <w:rsid w:val="00B56753"/>
    <w:rsid w:val="00B57AD1"/>
    <w:rsid w:val="00B57DB0"/>
    <w:rsid w:val="00B6009F"/>
    <w:rsid w:val="00B601A0"/>
    <w:rsid w:val="00B6041E"/>
    <w:rsid w:val="00B60579"/>
    <w:rsid w:val="00B62EC0"/>
    <w:rsid w:val="00B645FF"/>
    <w:rsid w:val="00B64C31"/>
    <w:rsid w:val="00B675D1"/>
    <w:rsid w:val="00B67606"/>
    <w:rsid w:val="00B72227"/>
    <w:rsid w:val="00B75549"/>
    <w:rsid w:val="00B755BE"/>
    <w:rsid w:val="00B777C7"/>
    <w:rsid w:val="00B77B5A"/>
    <w:rsid w:val="00B81885"/>
    <w:rsid w:val="00B83AFC"/>
    <w:rsid w:val="00B85C10"/>
    <w:rsid w:val="00B8602B"/>
    <w:rsid w:val="00B864AA"/>
    <w:rsid w:val="00B87A1C"/>
    <w:rsid w:val="00B9164B"/>
    <w:rsid w:val="00B927EB"/>
    <w:rsid w:val="00B929CB"/>
    <w:rsid w:val="00B93D49"/>
    <w:rsid w:val="00B93DA0"/>
    <w:rsid w:val="00BA12E0"/>
    <w:rsid w:val="00BA3B64"/>
    <w:rsid w:val="00BA653B"/>
    <w:rsid w:val="00BB02E0"/>
    <w:rsid w:val="00BB041C"/>
    <w:rsid w:val="00BB0C05"/>
    <w:rsid w:val="00BB0E27"/>
    <w:rsid w:val="00BB15B6"/>
    <w:rsid w:val="00BB3C9E"/>
    <w:rsid w:val="00BB4D7D"/>
    <w:rsid w:val="00BB753D"/>
    <w:rsid w:val="00BB7CF3"/>
    <w:rsid w:val="00BC04CF"/>
    <w:rsid w:val="00BC1A49"/>
    <w:rsid w:val="00BC1EDE"/>
    <w:rsid w:val="00BC20B7"/>
    <w:rsid w:val="00BC213C"/>
    <w:rsid w:val="00BC36C3"/>
    <w:rsid w:val="00BC3CBE"/>
    <w:rsid w:val="00BC3DC7"/>
    <w:rsid w:val="00BC4464"/>
    <w:rsid w:val="00BC68A1"/>
    <w:rsid w:val="00BD1829"/>
    <w:rsid w:val="00BD303A"/>
    <w:rsid w:val="00BD3A9F"/>
    <w:rsid w:val="00BE19F5"/>
    <w:rsid w:val="00BE3884"/>
    <w:rsid w:val="00BF017B"/>
    <w:rsid w:val="00BF06AA"/>
    <w:rsid w:val="00BF18A7"/>
    <w:rsid w:val="00BF29DF"/>
    <w:rsid w:val="00BF2FB2"/>
    <w:rsid w:val="00BF666F"/>
    <w:rsid w:val="00C006F2"/>
    <w:rsid w:val="00C027C5"/>
    <w:rsid w:val="00C037D8"/>
    <w:rsid w:val="00C06331"/>
    <w:rsid w:val="00C07EC0"/>
    <w:rsid w:val="00C115AF"/>
    <w:rsid w:val="00C116C0"/>
    <w:rsid w:val="00C11E9E"/>
    <w:rsid w:val="00C14515"/>
    <w:rsid w:val="00C14614"/>
    <w:rsid w:val="00C1478B"/>
    <w:rsid w:val="00C17338"/>
    <w:rsid w:val="00C20E61"/>
    <w:rsid w:val="00C22228"/>
    <w:rsid w:val="00C229BA"/>
    <w:rsid w:val="00C2374A"/>
    <w:rsid w:val="00C24432"/>
    <w:rsid w:val="00C26096"/>
    <w:rsid w:val="00C26288"/>
    <w:rsid w:val="00C2677C"/>
    <w:rsid w:val="00C26988"/>
    <w:rsid w:val="00C31F68"/>
    <w:rsid w:val="00C31F7C"/>
    <w:rsid w:val="00C32A33"/>
    <w:rsid w:val="00C33296"/>
    <w:rsid w:val="00C3373F"/>
    <w:rsid w:val="00C337A7"/>
    <w:rsid w:val="00C33A49"/>
    <w:rsid w:val="00C3467E"/>
    <w:rsid w:val="00C35F4C"/>
    <w:rsid w:val="00C40AA3"/>
    <w:rsid w:val="00C4327D"/>
    <w:rsid w:val="00C43B32"/>
    <w:rsid w:val="00C44B35"/>
    <w:rsid w:val="00C47370"/>
    <w:rsid w:val="00C47C98"/>
    <w:rsid w:val="00C5272B"/>
    <w:rsid w:val="00C53B54"/>
    <w:rsid w:val="00C53CCE"/>
    <w:rsid w:val="00C54138"/>
    <w:rsid w:val="00C5436A"/>
    <w:rsid w:val="00C55250"/>
    <w:rsid w:val="00C60E75"/>
    <w:rsid w:val="00C63A37"/>
    <w:rsid w:val="00C652D6"/>
    <w:rsid w:val="00C654B6"/>
    <w:rsid w:val="00C655AA"/>
    <w:rsid w:val="00C71C92"/>
    <w:rsid w:val="00C720D5"/>
    <w:rsid w:val="00C73FFD"/>
    <w:rsid w:val="00C74F60"/>
    <w:rsid w:val="00C7546E"/>
    <w:rsid w:val="00C75668"/>
    <w:rsid w:val="00C75A2B"/>
    <w:rsid w:val="00C8060E"/>
    <w:rsid w:val="00C80635"/>
    <w:rsid w:val="00C81AB4"/>
    <w:rsid w:val="00C81E62"/>
    <w:rsid w:val="00C825D6"/>
    <w:rsid w:val="00C84F2D"/>
    <w:rsid w:val="00C85B36"/>
    <w:rsid w:val="00C90F13"/>
    <w:rsid w:val="00C9271F"/>
    <w:rsid w:val="00C96512"/>
    <w:rsid w:val="00C96C83"/>
    <w:rsid w:val="00CA0147"/>
    <w:rsid w:val="00CA3E7C"/>
    <w:rsid w:val="00CA7051"/>
    <w:rsid w:val="00CB019F"/>
    <w:rsid w:val="00CB22CF"/>
    <w:rsid w:val="00CB33CF"/>
    <w:rsid w:val="00CB33D4"/>
    <w:rsid w:val="00CB4EE8"/>
    <w:rsid w:val="00CB6A54"/>
    <w:rsid w:val="00CB6F4E"/>
    <w:rsid w:val="00CC25F6"/>
    <w:rsid w:val="00CC28C4"/>
    <w:rsid w:val="00CC3909"/>
    <w:rsid w:val="00CC53A2"/>
    <w:rsid w:val="00CC5754"/>
    <w:rsid w:val="00CC6172"/>
    <w:rsid w:val="00CD0984"/>
    <w:rsid w:val="00CE0B6D"/>
    <w:rsid w:val="00CE14E2"/>
    <w:rsid w:val="00CE36C6"/>
    <w:rsid w:val="00CE511B"/>
    <w:rsid w:val="00CF0C4B"/>
    <w:rsid w:val="00CF0F3C"/>
    <w:rsid w:val="00CF2273"/>
    <w:rsid w:val="00CF3FC5"/>
    <w:rsid w:val="00D0006D"/>
    <w:rsid w:val="00D00EF4"/>
    <w:rsid w:val="00D02B23"/>
    <w:rsid w:val="00D02F24"/>
    <w:rsid w:val="00D03130"/>
    <w:rsid w:val="00D038C8"/>
    <w:rsid w:val="00D046C6"/>
    <w:rsid w:val="00D05BBC"/>
    <w:rsid w:val="00D10092"/>
    <w:rsid w:val="00D10B6E"/>
    <w:rsid w:val="00D13E1E"/>
    <w:rsid w:val="00D14BD2"/>
    <w:rsid w:val="00D14C4A"/>
    <w:rsid w:val="00D16CDC"/>
    <w:rsid w:val="00D17C70"/>
    <w:rsid w:val="00D2031D"/>
    <w:rsid w:val="00D21F1A"/>
    <w:rsid w:val="00D222F7"/>
    <w:rsid w:val="00D23AF6"/>
    <w:rsid w:val="00D24FBF"/>
    <w:rsid w:val="00D253C2"/>
    <w:rsid w:val="00D27EEC"/>
    <w:rsid w:val="00D31ED5"/>
    <w:rsid w:val="00D327FB"/>
    <w:rsid w:val="00D34281"/>
    <w:rsid w:val="00D3491C"/>
    <w:rsid w:val="00D365B6"/>
    <w:rsid w:val="00D366CE"/>
    <w:rsid w:val="00D37775"/>
    <w:rsid w:val="00D40E74"/>
    <w:rsid w:val="00D42268"/>
    <w:rsid w:val="00D42FE8"/>
    <w:rsid w:val="00D442FA"/>
    <w:rsid w:val="00D44B23"/>
    <w:rsid w:val="00D44DF1"/>
    <w:rsid w:val="00D44DF3"/>
    <w:rsid w:val="00D463ED"/>
    <w:rsid w:val="00D47BC4"/>
    <w:rsid w:val="00D560F0"/>
    <w:rsid w:val="00D57414"/>
    <w:rsid w:val="00D6013A"/>
    <w:rsid w:val="00D60830"/>
    <w:rsid w:val="00D61B94"/>
    <w:rsid w:val="00D67904"/>
    <w:rsid w:val="00D733F3"/>
    <w:rsid w:val="00D74064"/>
    <w:rsid w:val="00D75454"/>
    <w:rsid w:val="00D75879"/>
    <w:rsid w:val="00D83E91"/>
    <w:rsid w:val="00D86A51"/>
    <w:rsid w:val="00D86F23"/>
    <w:rsid w:val="00D90963"/>
    <w:rsid w:val="00D913FD"/>
    <w:rsid w:val="00D914D5"/>
    <w:rsid w:val="00D934F0"/>
    <w:rsid w:val="00D95288"/>
    <w:rsid w:val="00D95A08"/>
    <w:rsid w:val="00D97E7E"/>
    <w:rsid w:val="00DA370C"/>
    <w:rsid w:val="00DB1D47"/>
    <w:rsid w:val="00DB1DBA"/>
    <w:rsid w:val="00DB2431"/>
    <w:rsid w:val="00DB5012"/>
    <w:rsid w:val="00DB6C9D"/>
    <w:rsid w:val="00DB6F19"/>
    <w:rsid w:val="00DB71DB"/>
    <w:rsid w:val="00DB7246"/>
    <w:rsid w:val="00DB7AA0"/>
    <w:rsid w:val="00DC23BA"/>
    <w:rsid w:val="00DC440E"/>
    <w:rsid w:val="00DC50B1"/>
    <w:rsid w:val="00DC621C"/>
    <w:rsid w:val="00DD44C2"/>
    <w:rsid w:val="00DD6272"/>
    <w:rsid w:val="00DD7B72"/>
    <w:rsid w:val="00DF04D8"/>
    <w:rsid w:val="00DF19E6"/>
    <w:rsid w:val="00DF2586"/>
    <w:rsid w:val="00DF53BD"/>
    <w:rsid w:val="00DF6259"/>
    <w:rsid w:val="00DF7E86"/>
    <w:rsid w:val="00E00332"/>
    <w:rsid w:val="00E01810"/>
    <w:rsid w:val="00E02535"/>
    <w:rsid w:val="00E0331E"/>
    <w:rsid w:val="00E05BF1"/>
    <w:rsid w:val="00E108B5"/>
    <w:rsid w:val="00E148D2"/>
    <w:rsid w:val="00E157BC"/>
    <w:rsid w:val="00E20628"/>
    <w:rsid w:val="00E20960"/>
    <w:rsid w:val="00E21334"/>
    <w:rsid w:val="00E25B0D"/>
    <w:rsid w:val="00E264E9"/>
    <w:rsid w:val="00E31118"/>
    <w:rsid w:val="00E32BF8"/>
    <w:rsid w:val="00E32DD8"/>
    <w:rsid w:val="00E32F8C"/>
    <w:rsid w:val="00E35B25"/>
    <w:rsid w:val="00E3741B"/>
    <w:rsid w:val="00E378EC"/>
    <w:rsid w:val="00E37C3B"/>
    <w:rsid w:val="00E401E9"/>
    <w:rsid w:val="00E41724"/>
    <w:rsid w:val="00E458B7"/>
    <w:rsid w:val="00E465B8"/>
    <w:rsid w:val="00E47299"/>
    <w:rsid w:val="00E52761"/>
    <w:rsid w:val="00E53BAA"/>
    <w:rsid w:val="00E551E5"/>
    <w:rsid w:val="00E55DD0"/>
    <w:rsid w:val="00E5646F"/>
    <w:rsid w:val="00E567A9"/>
    <w:rsid w:val="00E626AB"/>
    <w:rsid w:val="00E640DF"/>
    <w:rsid w:val="00E64195"/>
    <w:rsid w:val="00E641C6"/>
    <w:rsid w:val="00E64D5C"/>
    <w:rsid w:val="00E65411"/>
    <w:rsid w:val="00E65B19"/>
    <w:rsid w:val="00E71EC3"/>
    <w:rsid w:val="00E72499"/>
    <w:rsid w:val="00E72B5D"/>
    <w:rsid w:val="00E76165"/>
    <w:rsid w:val="00E777D1"/>
    <w:rsid w:val="00E81984"/>
    <w:rsid w:val="00E830AE"/>
    <w:rsid w:val="00E83A9F"/>
    <w:rsid w:val="00E84E07"/>
    <w:rsid w:val="00E85F64"/>
    <w:rsid w:val="00E875CF"/>
    <w:rsid w:val="00E87922"/>
    <w:rsid w:val="00E90AEA"/>
    <w:rsid w:val="00E92268"/>
    <w:rsid w:val="00E932A1"/>
    <w:rsid w:val="00E93E2E"/>
    <w:rsid w:val="00E95822"/>
    <w:rsid w:val="00E9593E"/>
    <w:rsid w:val="00E96021"/>
    <w:rsid w:val="00E96487"/>
    <w:rsid w:val="00E974DF"/>
    <w:rsid w:val="00E9765C"/>
    <w:rsid w:val="00EA171E"/>
    <w:rsid w:val="00EA444A"/>
    <w:rsid w:val="00EA628F"/>
    <w:rsid w:val="00EA7E48"/>
    <w:rsid w:val="00EB23E4"/>
    <w:rsid w:val="00EB3B29"/>
    <w:rsid w:val="00EB3CD1"/>
    <w:rsid w:val="00EB4AE0"/>
    <w:rsid w:val="00EB4CB0"/>
    <w:rsid w:val="00EC0634"/>
    <w:rsid w:val="00EC1B55"/>
    <w:rsid w:val="00EC2B4E"/>
    <w:rsid w:val="00EC3667"/>
    <w:rsid w:val="00EC728C"/>
    <w:rsid w:val="00ED304F"/>
    <w:rsid w:val="00ED3343"/>
    <w:rsid w:val="00ED3370"/>
    <w:rsid w:val="00ED3787"/>
    <w:rsid w:val="00ED42B3"/>
    <w:rsid w:val="00ED5A0E"/>
    <w:rsid w:val="00ED74D9"/>
    <w:rsid w:val="00EE08FE"/>
    <w:rsid w:val="00EE101A"/>
    <w:rsid w:val="00EE286F"/>
    <w:rsid w:val="00EE2889"/>
    <w:rsid w:val="00EE3F2D"/>
    <w:rsid w:val="00EE44B6"/>
    <w:rsid w:val="00EE528D"/>
    <w:rsid w:val="00EE5EC3"/>
    <w:rsid w:val="00EE628F"/>
    <w:rsid w:val="00EE6B46"/>
    <w:rsid w:val="00EE7ED4"/>
    <w:rsid w:val="00EF00D1"/>
    <w:rsid w:val="00EF0E0E"/>
    <w:rsid w:val="00EF38BD"/>
    <w:rsid w:val="00EF426C"/>
    <w:rsid w:val="00EF43B2"/>
    <w:rsid w:val="00EF7286"/>
    <w:rsid w:val="00EF794D"/>
    <w:rsid w:val="00F00857"/>
    <w:rsid w:val="00F01BBE"/>
    <w:rsid w:val="00F024F3"/>
    <w:rsid w:val="00F03CAD"/>
    <w:rsid w:val="00F03D5A"/>
    <w:rsid w:val="00F0755A"/>
    <w:rsid w:val="00F11D6E"/>
    <w:rsid w:val="00F134B4"/>
    <w:rsid w:val="00F13DC7"/>
    <w:rsid w:val="00F14A7E"/>
    <w:rsid w:val="00F1576D"/>
    <w:rsid w:val="00F15D9C"/>
    <w:rsid w:val="00F163D2"/>
    <w:rsid w:val="00F16DD7"/>
    <w:rsid w:val="00F17007"/>
    <w:rsid w:val="00F1718B"/>
    <w:rsid w:val="00F2064A"/>
    <w:rsid w:val="00F2185A"/>
    <w:rsid w:val="00F22F3E"/>
    <w:rsid w:val="00F234B3"/>
    <w:rsid w:val="00F23B33"/>
    <w:rsid w:val="00F2407C"/>
    <w:rsid w:val="00F24A4E"/>
    <w:rsid w:val="00F301B1"/>
    <w:rsid w:val="00F31CBC"/>
    <w:rsid w:val="00F31FCF"/>
    <w:rsid w:val="00F340BB"/>
    <w:rsid w:val="00F4040D"/>
    <w:rsid w:val="00F41F03"/>
    <w:rsid w:val="00F4323B"/>
    <w:rsid w:val="00F435DC"/>
    <w:rsid w:val="00F4459B"/>
    <w:rsid w:val="00F446CA"/>
    <w:rsid w:val="00F468B5"/>
    <w:rsid w:val="00F469AD"/>
    <w:rsid w:val="00F475A7"/>
    <w:rsid w:val="00F50117"/>
    <w:rsid w:val="00F5117A"/>
    <w:rsid w:val="00F51457"/>
    <w:rsid w:val="00F5200B"/>
    <w:rsid w:val="00F5613A"/>
    <w:rsid w:val="00F614FA"/>
    <w:rsid w:val="00F627D4"/>
    <w:rsid w:val="00F62C05"/>
    <w:rsid w:val="00F62F95"/>
    <w:rsid w:val="00F63543"/>
    <w:rsid w:val="00F644F4"/>
    <w:rsid w:val="00F645E8"/>
    <w:rsid w:val="00F64938"/>
    <w:rsid w:val="00F66789"/>
    <w:rsid w:val="00F70BAB"/>
    <w:rsid w:val="00F76118"/>
    <w:rsid w:val="00F7640D"/>
    <w:rsid w:val="00F77198"/>
    <w:rsid w:val="00F80074"/>
    <w:rsid w:val="00F802B4"/>
    <w:rsid w:val="00F80A7F"/>
    <w:rsid w:val="00F83DC4"/>
    <w:rsid w:val="00F83F7D"/>
    <w:rsid w:val="00F844E0"/>
    <w:rsid w:val="00F8664A"/>
    <w:rsid w:val="00F8784B"/>
    <w:rsid w:val="00F90886"/>
    <w:rsid w:val="00F93314"/>
    <w:rsid w:val="00F94513"/>
    <w:rsid w:val="00F951E1"/>
    <w:rsid w:val="00F9704F"/>
    <w:rsid w:val="00FA17F6"/>
    <w:rsid w:val="00FA1CBB"/>
    <w:rsid w:val="00FA2E18"/>
    <w:rsid w:val="00FA3DCB"/>
    <w:rsid w:val="00FA4AB1"/>
    <w:rsid w:val="00FA6180"/>
    <w:rsid w:val="00FA66BC"/>
    <w:rsid w:val="00FA66E6"/>
    <w:rsid w:val="00FA6ABC"/>
    <w:rsid w:val="00FB2C63"/>
    <w:rsid w:val="00FB3974"/>
    <w:rsid w:val="00FB3FD5"/>
    <w:rsid w:val="00FB40A2"/>
    <w:rsid w:val="00FB683A"/>
    <w:rsid w:val="00FC0011"/>
    <w:rsid w:val="00FC2AAB"/>
    <w:rsid w:val="00FC39A0"/>
    <w:rsid w:val="00FC40D8"/>
    <w:rsid w:val="00FC50CD"/>
    <w:rsid w:val="00FD11BB"/>
    <w:rsid w:val="00FD2825"/>
    <w:rsid w:val="00FD2C1B"/>
    <w:rsid w:val="00FD6AB1"/>
    <w:rsid w:val="00FE117D"/>
    <w:rsid w:val="00FE5CEC"/>
    <w:rsid w:val="00FE5F86"/>
    <w:rsid w:val="00FE79F5"/>
    <w:rsid w:val="00FF5D4A"/>
    <w:rsid w:val="00FF61EE"/>
    <w:rsid w:val="00FF65AB"/>
    <w:rsid w:val="00FF65CB"/>
    <w:rsid w:val="00FF731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09EF"/>
  <w15:chartTrackingRefBased/>
  <w15:docId w15:val="{2DE99BED-8C9F-4DE1-A5F2-A227EA97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61E9"/>
    <w:pPr>
      <w:jc w:val="both"/>
    </w:pPr>
    <w:rPr>
      <w:rFonts w:ascii="Times New Roman" w:hAnsi="Times New Roman"/>
      <w:sz w:val="24"/>
    </w:rPr>
  </w:style>
  <w:style w:type="paragraph" w:styleId="Titre1">
    <w:name w:val="heading 1"/>
    <w:basedOn w:val="Normal"/>
    <w:next w:val="Normal"/>
    <w:link w:val="Titre1Car"/>
    <w:uiPriority w:val="9"/>
    <w:qFormat/>
    <w:rsid w:val="009542B4"/>
    <w:pPr>
      <w:keepNext/>
      <w:keepLines/>
      <w:numPr>
        <w:numId w:val="1"/>
      </w:numPr>
      <w:spacing w:before="360"/>
      <w:ind w:hanging="357"/>
      <w:outlineLvl w:val="0"/>
    </w:pPr>
    <w:rPr>
      <w:rFonts w:eastAsiaTheme="majorEastAsia" w:cstheme="majorBidi"/>
      <w:b/>
      <w:smallCaps/>
      <w:szCs w:val="32"/>
      <w:lang w:val="fr-FR"/>
    </w:rPr>
  </w:style>
  <w:style w:type="paragraph" w:styleId="Titre2">
    <w:name w:val="heading 2"/>
    <w:basedOn w:val="Normal"/>
    <w:next w:val="Normal"/>
    <w:link w:val="Titre2Car"/>
    <w:uiPriority w:val="9"/>
    <w:unhideWhenUsed/>
    <w:qFormat/>
    <w:rsid w:val="009542B4"/>
    <w:pPr>
      <w:keepNext/>
      <w:keepLines/>
      <w:numPr>
        <w:numId w:val="2"/>
      </w:numPr>
      <w:spacing w:before="360"/>
      <w:ind w:hanging="357"/>
      <w:outlineLvl w:val="1"/>
    </w:pPr>
    <w:rPr>
      <w:rFonts w:eastAsiaTheme="majorEastAsia" w:cstheme="majorBidi"/>
      <w:b/>
      <w:i/>
      <w:sz w:val="26"/>
      <w:szCs w:val="26"/>
      <w:lang w:val="fr-FR"/>
    </w:rPr>
  </w:style>
  <w:style w:type="paragraph" w:styleId="Titre3">
    <w:name w:val="heading 3"/>
    <w:basedOn w:val="Normal"/>
    <w:next w:val="Normal"/>
    <w:link w:val="Titre3Car"/>
    <w:uiPriority w:val="9"/>
    <w:unhideWhenUsed/>
    <w:qFormat/>
    <w:rsid w:val="0058411E"/>
    <w:pPr>
      <w:keepNext/>
      <w:keepLines/>
      <w:numPr>
        <w:numId w:val="9"/>
      </w:numPr>
      <w:spacing w:before="360"/>
      <w:outlineLvl w:val="2"/>
    </w:pPr>
    <w:rPr>
      <w:rFonts w:eastAsiaTheme="minorEastAsia" w:cstheme="majorBidi"/>
      <w:sz w:val="26"/>
      <w:szCs w:val="24"/>
      <w:lang w:val="fr-FR"/>
    </w:rPr>
  </w:style>
  <w:style w:type="paragraph" w:styleId="Titre4">
    <w:name w:val="heading 4"/>
    <w:basedOn w:val="Normal"/>
    <w:next w:val="Normal"/>
    <w:link w:val="Titre4Car"/>
    <w:uiPriority w:val="9"/>
    <w:unhideWhenUsed/>
    <w:qFormat/>
    <w:rsid w:val="009542B4"/>
    <w:pPr>
      <w:keepNext/>
      <w:keepLines/>
      <w:numPr>
        <w:numId w:val="3"/>
      </w:numPr>
      <w:spacing w:before="360"/>
      <w:ind w:hanging="357"/>
      <w:outlineLvl w:val="3"/>
    </w:pPr>
    <w:rPr>
      <w:rFonts w:eastAsiaTheme="majorEastAsia" w:cstheme="majorBidi"/>
      <w:i/>
      <w:iCs/>
      <w:spacing w:val="-10"/>
      <w:kern w:val="28"/>
      <w:sz w:val="26"/>
      <w:szCs w:val="56"/>
      <w:lang w:val="fr-FR"/>
    </w:rPr>
  </w:style>
  <w:style w:type="paragraph" w:styleId="Titre5">
    <w:name w:val="heading 5"/>
    <w:basedOn w:val="Titre4"/>
    <w:next w:val="Normal"/>
    <w:link w:val="Titre5Car"/>
    <w:uiPriority w:val="9"/>
    <w:unhideWhenUsed/>
    <w:qFormat/>
    <w:rsid w:val="00FD2825"/>
    <w:pPr>
      <w:numPr>
        <w:ilvl w:val="1"/>
      </w:numPr>
      <w:outlineLvl w:val="4"/>
    </w:pPr>
    <w:rPr>
      <w:i w:val="0"/>
      <w:iCs w:val="0"/>
    </w:rPr>
  </w:style>
  <w:style w:type="paragraph" w:styleId="Titre6">
    <w:name w:val="heading 6"/>
    <w:aliases w:val="05 Sous-section"/>
    <w:basedOn w:val="Normal"/>
    <w:next w:val="Normal"/>
    <w:link w:val="Titre6Car"/>
    <w:uiPriority w:val="9"/>
    <w:unhideWhenUsed/>
    <w:qFormat/>
    <w:rsid w:val="00EC0634"/>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aliases w:val="06 Paragraphe"/>
    <w:basedOn w:val="Normal"/>
    <w:next w:val="Normal"/>
    <w:link w:val="Titre7Car"/>
    <w:uiPriority w:val="9"/>
    <w:unhideWhenUsed/>
    <w:qFormat/>
    <w:rsid w:val="000C725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unhideWhenUsed/>
    <w:qFormat/>
    <w:rsid w:val="009066A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33A85"/>
    <w:pPr>
      <w:spacing w:after="0" w:line="240" w:lineRule="auto"/>
    </w:pPr>
    <w:rPr>
      <w:sz w:val="20"/>
      <w:szCs w:val="20"/>
    </w:rPr>
  </w:style>
  <w:style w:type="character" w:customStyle="1" w:styleId="NotedebasdepageCar">
    <w:name w:val="Note de bas de page Car"/>
    <w:basedOn w:val="Policepardfaut"/>
    <w:link w:val="Notedebasdepage"/>
    <w:uiPriority w:val="99"/>
    <w:rsid w:val="00533A85"/>
    <w:rPr>
      <w:rFonts w:ascii="Times New Roman" w:hAnsi="Times New Roman"/>
      <w:sz w:val="20"/>
      <w:szCs w:val="20"/>
    </w:rPr>
  </w:style>
  <w:style w:type="character" w:styleId="Appelnotedebasdep">
    <w:name w:val="footnote reference"/>
    <w:basedOn w:val="Policepardfaut"/>
    <w:uiPriority w:val="99"/>
    <w:unhideWhenUsed/>
    <w:rsid w:val="009542B4"/>
    <w:rPr>
      <w:vertAlign w:val="superscript"/>
    </w:rPr>
  </w:style>
  <w:style w:type="character" w:customStyle="1" w:styleId="Titre1Car">
    <w:name w:val="Titre 1 Car"/>
    <w:basedOn w:val="Policepardfaut"/>
    <w:link w:val="Titre1"/>
    <w:uiPriority w:val="9"/>
    <w:rsid w:val="009542B4"/>
    <w:rPr>
      <w:rFonts w:ascii="Times New Roman" w:eastAsiaTheme="majorEastAsia" w:hAnsi="Times New Roman" w:cstheme="majorBidi"/>
      <w:b/>
      <w:smallCaps/>
      <w:sz w:val="24"/>
      <w:szCs w:val="32"/>
      <w:lang w:val="fr-FR"/>
    </w:rPr>
  </w:style>
  <w:style w:type="character" w:customStyle="1" w:styleId="Titre2Car">
    <w:name w:val="Titre 2 Car"/>
    <w:basedOn w:val="Policepardfaut"/>
    <w:link w:val="Titre2"/>
    <w:uiPriority w:val="9"/>
    <w:rsid w:val="009542B4"/>
    <w:rPr>
      <w:rFonts w:ascii="Times New Roman" w:eastAsiaTheme="majorEastAsia" w:hAnsi="Times New Roman" w:cstheme="majorBidi"/>
      <w:b/>
      <w:i/>
      <w:sz w:val="26"/>
      <w:szCs w:val="26"/>
      <w:lang w:val="fr-FR"/>
    </w:rPr>
  </w:style>
  <w:style w:type="paragraph" w:styleId="Sous-titre">
    <w:name w:val="Subtitle"/>
    <w:aliases w:val="Titre3"/>
    <w:basedOn w:val="Titre3"/>
    <w:next w:val="Normal"/>
    <w:link w:val="Sous-titreCar"/>
    <w:uiPriority w:val="11"/>
    <w:rsid w:val="009542B4"/>
    <w:rPr>
      <w:color w:val="5A5A5A" w:themeColor="text1" w:themeTint="A5"/>
      <w:spacing w:val="15"/>
    </w:rPr>
  </w:style>
  <w:style w:type="character" w:customStyle="1" w:styleId="Sous-titreCar">
    <w:name w:val="Sous-titre Car"/>
    <w:aliases w:val="Titre3 Car"/>
    <w:basedOn w:val="Policepardfaut"/>
    <w:link w:val="Sous-titre"/>
    <w:uiPriority w:val="11"/>
    <w:rsid w:val="009542B4"/>
    <w:rPr>
      <w:rFonts w:ascii="Times New Roman" w:eastAsiaTheme="minorEastAsia" w:hAnsi="Times New Roman" w:cstheme="majorBidi"/>
      <w:color w:val="5A5A5A" w:themeColor="text1" w:themeTint="A5"/>
      <w:spacing w:val="15"/>
      <w:sz w:val="26"/>
      <w:szCs w:val="24"/>
      <w:lang w:val="fr-FR"/>
    </w:rPr>
  </w:style>
  <w:style w:type="paragraph" w:styleId="Titre">
    <w:name w:val="Title"/>
    <w:aliases w:val="Titre4"/>
    <w:basedOn w:val="Titre4"/>
    <w:next w:val="Normal"/>
    <w:link w:val="TitreCar"/>
    <w:uiPriority w:val="10"/>
    <w:rsid w:val="009542B4"/>
    <w:pPr>
      <w:spacing w:before="0"/>
      <w:ind w:hanging="360"/>
      <w:contextualSpacing/>
    </w:pPr>
  </w:style>
  <w:style w:type="character" w:customStyle="1" w:styleId="Titre3Car">
    <w:name w:val="Titre 3 Car"/>
    <w:basedOn w:val="Policepardfaut"/>
    <w:link w:val="Titre3"/>
    <w:uiPriority w:val="9"/>
    <w:rsid w:val="0058411E"/>
    <w:rPr>
      <w:rFonts w:ascii="Times New Roman" w:eastAsiaTheme="minorEastAsia" w:hAnsi="Times New Roman" w:cstheme="majorBidi"/>
      <w:sz w:val="26"/>
      <w:szCs w:val="24"/>
      <w:lang w:val="fr-FR"/>
    </w:rPr>
  </w:style>
  <w:style w:type="character" w:customStyle="1" w:styleId="TitreCar">
    <w:name w:val="Titre Car"/>
    <w:aliases w:val="Titre4 Car"/>
    <w:basedOn w:val="Policepardfaut"/>
    <w:link w:val="Titre"/>
    <w:uiPriority w:val="10"/>
    <w:rsid w:val="009542B4"/>
    <w:rPr>
      <w:rFonts w:ascii="Times New Roman" w:eastAsiaTheme="majorEastAsia" w:hAnsi="Times New Roman" w:cstheme="majorBidi"/>
      <w:i/>
      <w:iCs/>
      <w:spacing w:val="-10"/>
      <w:kern w:val="28"/>
      <w:sz w:val="26"/>
      <w:szCs w:val="56"/>
      <w:lang w:val="fr-FR"/>
    </w:rPr>
  </w:style>
  <w:style w:type="character" w:customStyle="1" w:styleId="Titre4Car">
    <w:name w:val="Titre 4 Car"/>
    <w:basedOn w:val="Policepardfaut"/>
    <w:link w:val="Titre4"/>
    <w:uiPriority w:val="9"/>
    <w:rsid w:val="009542B4"/>
    <w:rPr>
      <w:rFonts w:ascii="Times New Roman" w:eastAsiaTheme="majorEastAsia" w:hAnsi="Times New Roman" w:cstheme="majorBidi"/>
      <w:i/>
      <w:iCs/>
      <w:spacing w:val="-10"/>
      <w:kern w:val="28"/>
      <w:sz w:val="26"/>
      <w:szCs w:val="56"/>
      <w:lang w:val="fr-FR"/>
    </w:rPr>
  </w:style>
  <w:style w:type="paragraph" w:customStyle="1" w:styleId="Default">
    <w:name w:val="Default"/>
    <w:rsid w:val="00B60579"/>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ED5A0E"/>
    <w:pPr>
      <w:tabs>
        <w:tab w:val="center" w:pos="4536"/>
        <w:tab w:val="right" w:pos="9072"/>
      </w:tabs>
      <w:spacing w:after="0" w:line="240" w:lineRule="auto"/>
    </w:pPr>
  </w:style>
  <w:style w:type="character" w:customStyle="1" w:styleId="En-tteCar">
    <w:name w:val="En-tête Car"/>
    <w:basedOn w:val="Policepardfaut"/>
    <w:link w:val="En-tte"/>
    <w:uiPriority w:val="99"/>
    <w:rsid w:val="00ED5A0E"/>
    <w:rPr>
      <w:rFonts w:ascii="Times New Roman" w:hAnsi="Times New Roman"/>
      <w:sz w:val="24"/>
    </w:rPr>
  </w:style>
  <w:style w:type="paragraph" w:styleId="Pieddepage">
    <w:name w:val="footer"/>
    <w:basedOn w:val="Normal"/>
    <w:link w:val="PieddepageCar"/>
    <w:uiPriority w:val="99"/>
    <w:unhideWhenUsed/>
    <w:rsid w:val="00ED5A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5A0E"/>
    <w:rPr>
      <w:rFonts w:ascii="Times New Roman" w:hAnsi="Times New Roman"/>
      <w:sz w:val="24"/>
    </w:rPr>
  </w:style>
  <w:style w:type="character" w:styleId="Marquedecommentaire">
    <w:name w:val="annotation reference"/>
    <w:basedOn w:val="Policepardfaut"/>
    <w:uiPriority w:val="99"/>
    <w:semiHidden/>
    <w:unhideWhenUsed/>
    <w:rsid w:val="00A031DE"/>
    <w:rPr>
      <w:sz w:val="16"/>
      <w:szCs w:val="16"/>
    </w:rPr>
  </w:style>
  <w:style w:type="paragraph" w:styleId="Commentaire">
    <w:name w:val="annotation text"/>
    <w:basedOn w:val="Normal"/>
    <w:link w:val="CommentaireCar"/>
    <w:uiPriority w:val="99"/>
    <w:unhideWhenUsed/>
    <w:rsid w:val="00A031DE"/>
    <w:pPr>
      <w:spacing w:line="240" w:lineRule="auto"/>
    </w:pPr>
    <w:rPr>
      <w:sz w:val="20"/>
      <w:szCs w:val="20"/>
    </w:rPr>
  </w:style>
  <w:style w:type="character" w:customStyle="1" w:styleId="CommentaireCar">
    <w:name w:val="Commentaire Car"/>
    <w:basedOn w:val="Policepardfaut"/>
    <w:link w:val="Commentaire"/>
    <w:uiPriority w:val="99"/>
    <w:rsid w:val="00A031DE"/>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A031DE"/>
    <w:rPr>
      <w:b/>
      <w:bCs/>
    </w:rPr>
  </w:style>
  <w:style w:type="character" w:customStyle="1" w:styleId="ObjetducommentaireCar">
    <w:name w:val="Objet du commentaire Car"/>
    <w:basedOn w:val="CommentaireCar"/>
    <w:link w:val="Objetducommentaire"/>
    <w:uiPriority w:val="99"/>
    <w:semiHidden/>
    <w:rsid w:val="00A031DE"/>
    <w:rPr>
      <w:rFonts w:ascii="Times New Roman" w:hAnsi="Times New Roman"/>
      <w:b/>
      <w:bCs/>
      <w:sz w:val="20"/>
      <w:szCs w:val="20"/>
    </w:rPr>
  </w:style>
  <w:style w:type="character" w:customStyle="1" w:styleId="Titre5Car">
    <w:name w:val="Titre 5 Car"/>
    <w:basedOn w:val="Policepardfaut"/>
    <w:link w:val="Titre5"/>
    <w:uiPriority w:val="9"/>
    <w:rsid w:val="00FD2825"/>
    <w:rPr>
      <w:rFonts w:ascii="Times New Roman" w:eastAsiaTheme="majorEastAsia" w:hAnsi="Times New Roman" w:cstheme="majorBidi"/>
      <w:spacing w:val="-10"/>
      <w:kern w:val="28"/>
      <w:sz w:val="26"/>
      <w:szCs w:val="56"/>
      <w:lang w:val="fr-FR"/>
    </w:rPr>
  </w:style>
  <w:style w:type="character" w:customStyle="1" w:styleId="Titre6Car">
    <w:name w:val="Titre 6 Car"/>
    <w:aliases w:val="05 Sous-section Car"/>
    <w:basedOn w:val="Policepardfaut"/>
    <w:link w:val="Titre6"/>
    <w:uiPriority w:val="9"/>
    <w:semiHidden/>
    <w:rsid w:val="00EC0634"/>
    <w:rPr>
      <w:rFonts w:asciiTheme="majorHAnsi" w:eastAsiaTheme="majorEastAsia" w:hAnsiTheme="majorHAnsi" w:cstheme="majorBidi"/>
      <w:color w:val="1F3763" w:themeColor="accent1" w:themeShade="7F"/>
      <w:sz w:val="24"/>
    </w:rPr>
  </w:style>
  <w:style w:type="paragraph" w:styleId="Textedebulles">
    <w:name w:val="Balloon Text"/>
    <w:basedOn w:val="Normal"/>
    <w:link w:val="TextedebullesCar"/>
    <w:uiPriority w:val="99"/>
    <w:semiHidden/>
    <w:unhideWhenUsed/>
    <w:rsid w:val="004F571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571E"/>
    <w:rPr>
      <w:rFonts w:ascii="Segoe UI" w:hAnsi="Segoe UI" w:cs="Segoe UI"/>
      <w:sz w:val="18"/>
      <w:szCs w:val="18"/>
    </w:rPr>
  </w:style>
  <w:style w:type="character" w:customStyle="1" w:styleId="Titre7Car">
    <w:name w:val="Titre 7 Car"/>
    <w:aliases w:val="06 Paragraphe Car"/>
    <w:basedOn w:val="Policepardfaut"/>
    <w:link w:val="Titre7"/>
    <w:uiPriority w:val="9"/>
    <w:semiHidden/>
    <w:rsid w:val="000C7250"/>
    <w:rPr>
      <w:rFonts w:asciiTheme="majorHAnsi" w:eastAsiaTheme="majorEastAsia" w:hAnsiTheme="majorHAnsi" w:cstheme="majorBidi"/>
      <w:i/>
      <w:iCs/>
      <w:color w:val="1F3763" w:themeColor="accent1" w:themeShade="7F"/>
      <w:sz w:val="24"/>
    </w:rPr>
  </w:style>
  <w:style w:type="paragraph" w:customStyle="1" w:styleId="Citation1">
    <w:name w:val="Citation1"/>
    <w:basedOn w:val="Normal"/>
    <w:next w:val="Normal"/>
    <w:link w:val="QuoteCar"/>
    <w:qFormat/>
    <w:rsid w:val="00E95822"/>
    <w:pPr>
      <w:tabs>
        <w:tab w:val="left" w:pos="1635"/>
      </w:tabs>
      <w:spacing w:after="240" w:line="240" w:lineRule="auto"/>
      <w:ind w:left="567"/>
    </w:pPr>
    <w:rPr>
      <w:rFonts w:ascii="Cambria" w:eastAsiaTheme="minorEastAsia" w:hAnsi="Cambria" w:cs="Times New Roman"/>
      <w:sz w:val="21"/>
      <w:szCs w:val="20"/>
    </w:rPr>
  </w:style>
  <w:style w:type="character" w:customStyle="1" w:styleId="QuoteCar">
    <w:name w:val="Quote Car"/>
    <w:basedOn w:val="Policepardfaut"/>
    <w:link w:val="Citation1"/>
    <w:rsid w:val="00E95822"/>
    <w:rPr>
      <w:rFonts w:ascii="Cambria" w:eastAsiaTheme="minorEastAsia" w:hAnsi="Cambria" w:cs="Times New Roman"/>
      <w:sz w:val="21"/>
      <w:szCs w:val="20"/>
    </w:rPr>
  </w:style>
  <w:style w:type="paragraph" w:styleId="Paragraphedeliste">
    <w:name w:val="List Paragraph"/>
    <w:basedOn w:val="Normal"/>
    <w:uiPriority w:val="34"/>
    <w:qFormat/>
    <w:rsid w:val="00960BD9"/>
    <w:pPr>
      <w:numPr>
        <w:numId w:val="25"/>
      </w:numPr>
      <w:ind w:left="0" w:firstLine="426"/>
    </w:pPr>
  </w:style>
  <w:style w:type="character" w:styleId="Lienhypertexte">
    <w:name w:val="Hyperlink"/>
    <w:basedOn w:val="Policepardfaut"/>
    <w:uiPriority w:val="99"/>
    <w:unhideWhenUsed/>
    <w:rsid w:val="009071FB"/>
    <w:rPr>
      <w:color w:val="0563C1" w:themeColor="hyperlink"/>
      <w:u w:val="single"/>
    </w:rPr>
  </w:style>
  <w:style w:type="character" w:styleId="Mentionnonrsolue">
    <w:name w:val="Unresolved Mention"/>
    <w:basedOn w:val="Policepardfaut"/>
    <w:uiPriority w:val="99"/>
    <w:semiHidden/>
    <w:unhideWhenUsed/>
    <w:rsid w:val="009071FB"/>
    <w:rPr>
      <w:color w:val="605E5C"/>
      <w:shd w:val="clear" w:color="auto" w:fill="E1DFDD"/>
    </w:rPr>
  </w:style>
  <w:style w:type="paragraph" w:styleId="Rvision">
    <w:name w:val="Revision"/>
    <w:hidden/>
    <w:uiPriority w:val="99"/>
    <w:semiHidden/>
    <w:rsid w:val="0077607B"/>
    <w:pPr>
      <w:spacing w:after="0" w:line="240" w:lineRule="auto"/>
    </w:pPr>
    <w:rPr>
      <w:rFonts w:ascii="Times New Roman" w:hAnsi="Times New Roman"/>
      <w:sz w:val="24"/>
    </w:rPr>
  </w:style>
  <w:style w:type="character" w:customStyle="1" w:styleId="Titre8Car">
    <w:name w:val="Titre 8 Car"/>
    <w:basedOn w:val="Policepardfaut"/>
    <w:link w:val="Titre8"/>
    <w:uiPriority w:val="9"/>
    <w:rsid w:val="009066A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19294">
      <w:bodyDiv w:val="1"/>
      <w:marLeft w:val="0"/>
      <w:marRight w:val="0"/>
      <w:marTop w:val="0"/>
      <w:marBottom w:val="0"/>
      <w:divBdr>
        <w:top w:val="none" w:sz="0" w:space="0" w:color="auto"/>
        <w:left w:val="none" w:sz="0" w:space="0" w:color="auto"/>
        <w:bottom w:val="none" w:sz="0" w:space="0" w:color="auto"/>
        <w:right w:val="none" w:sz="0" w:space="0" w:color="auto"/>
      </w:divBdr>
    </w:div>
    <w:div w:id="545916319">
      <w:bodyDiv w:val="1"/>
      <w:marLeft w:val="0"/>
      <w:marRight w:val="0"/>
      <w:marTop w:val="0"/>
      <w:marBottom w:val="0"/>
      <w:divBdr>
        <w:top w:val="none" w:sz="0" w:space="0" w:color="auto"/>
        <w:left w:val="none" w:sz="0" w:space="0" w:color="auto"/>
        <w:bottom w:val="none" w:sz="0" w:space="0" w:color="auto"/>
        <w:right w:val="none" w:sz="0" w:space="0" w:color="auto"/>
      </w:divBdr>
    </w:div>
    <w:div w:id="83973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unia.be" TargetMode="External"/><Relationship Id="rId13" Type="http://schemas.openxmlformats.org/officeDocument/2006/relationships/hyperlink" Target="http://www.unia.be" TargetMode="External"/><Relationship Id="rId18" Type="http://schemas.openxmlformats.org/officeDocument/2006/relationships/hyperlink" Target="http://www.unia.be" TargetMode="External"/><Relationship Id="rId3" Type="http://schemas.openxmlformats.org/officeDocument/2006/relationships/hyperlink" Target="http://www.unia.be" TargetMode="External"/><Relationship Id="rId7" Type="http://schemas.openxmlformats.org/officeDocument/2006/relationships/hyperlink" Target="http://www.unia.be" TargetMode="External"/><Relationship Id="rId12" Type="http://schemas.openxmlformats.org/officeDocument/2006/relationships/hyperlink" Target="http://www.unia.be" TargetMode="External"/><Relationship Id="rId17" Type="http://schemas.openxmlformats.org/officeDocument/2006/relationships/hyperlink" Target="http://www.unia.be" TargetMode="External"/><Relationship Id="rId2" Type="http://schemas.openxmlformats.org/officeDocument/2006/relationships/hyperlink" Target="http://www.unia.be" TargetMode="External"/><Relationship Id="rId16" Type="http://schemas.openxmlformats.org/officeDocument/2006/relationships/hyperlink" Target="http://www.unia.be" TargetMode="External"/><Relationship Id="rId1" Type="http://schemas.openxmlformats.org/officeDocument/2006/relationships/hyperlink" Target="http://www.juportal.be" TargetMode="External"/><Relationship Id="rId6" Type="http://schemas.openxmlformats.org/officeDocument/2006/relationships/hyperlink" Target="http://www.unia.be" TargetMode="External"/><Relationship Id="rId11" Type="http://schemas.openxmlformats.org/officeDocument/2006/relationships/hyperlink" Target="http://www.unia.be" TargetMode="External"/><Relationship Id="rId5" Type="http://schemas.openxmlformats.org/officeDocument/2006/relationships/hyperlink" Target="http://www.unia.be" TargetMode="External"/><Relationship Id="rId15" Type="http://schemas.openxmlformats.org/officeDocument/2006/relationships/hyperlink" Target="http://www.unia.be" TargetMode="External"/><Relationship Id="rId10" Type="http://schemas.openxmlformats.org/officeDocument/2006/relationships/hyperlink" Target="http://www.unia.be" TargetMode="External"/><Relationship Id="rId4" Type="http://schemas.openxmlformats.org/officeDocument/2006/relationships/hyperlink" Target="http://www.unia.be" TargetMode="External"/><Relationship Id="rId9" Type="http://schemas.openxmlformats.org/officeDocument/2006/relationships/hyperlink" Target="http://www.unia.be" TargetMode="External"/><Relationship Id="rId14" Type="http://schemas.openxmlformats.org/officeDocument/2006/relationships/hyperlink" Target="http://www.unia.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9E0888091330449F5EC2600B2C98D5" ma:contentTypeVersion="14" ma:contentTypeDescription="Crée un document." ma:contentTypeScope="" ma:versionID="cccc5b9d7385f02f0edbba89b6fe52c7">
  <xsd:schema xmlns:xsd="http://www.w3.org/2001/XMLSchema" xmlns:xs="http://www.w3.org/2001/XMLSchema" xmlns:p="http://schemas.microsoft.com/office/2006/metadata/properties" xmlns:ns3="039d926d-a992-4e9f-9ca6-7f1f6ab80cd2" xmlns:ns4="5fea5af9-9d3f-44a0-a8ea-330d5d84deba" targetNamespace="http://schemas.microsoft.com/office/2006/metadata/properties" ma:root="true" ma:fieldsID="3379a35418f1b25f07a4a80014d9d7fe" ns3:_="" ns4:_="">
    <xsd:import namespace="039d926d-a992-4e9f-9ca6-7f1f6ab80cd2"/>
    <xsd:import namespace="5fea5af9-9d3f-44a0-a8ea-330d5d84de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d926d-a992-4e9f-9ca6-7f1f6ab80cd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a5af9-9d3f-44a0-a8ea-330d5d84d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D1EDA-2153-435B-BF80-4626B2DA1751}">
  <ds:schemaRefs>
    <ds:schemaRef ds:uri="http://schemas.microsoft.com/sharepoint/v3/contenttype/forms"/>
  </ds:schemaRefs>
</ds:datastoreItem>
</file>

<file path=customXml/itemProps2.xml><?xml version="1.0" encoding="utf-8"?>
<ds:datastoreItem xmlns:ds="http://schemas.openxmlformats.org/officeDocument/2006/customXml" ds:itemID="{30D98A20-F37A-49B0-B5E2-40D4989DA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d926d-a992-4e9f-9ca6-7f1f6ab80cd2"/>
    <ds:schemaRef ds:uri="5fea5af9-9d3f-44a0-a8ea-330d5d84d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2D2D9-F037-4806-80AA-4F77F4918789}">
  <ds:schemaRefs>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039d926d-a992-4e9f-9ca6-7f1f6ab80cd2"/>
    <ds:schemaRef ds:uri="http://schemas.microsoft.com/office/infopath/2007/PartnerControls"/>
    <ds:schemaRef ds:uri="5fea5af9-9d3f-44a0-a8ea-330d5d84deba"/>
    <ds:schemaRef ds:uri="http://www.w3.org/XML/1998/namespace"/>
    <ds:schemaRef ds:uri="http://purl.org/dc/dcmitype/"/>
  </ds:schemaRefs>
</ds:datastoreItem>
</file>

<file path=customXml/itemProps4.xml><?xml version="1.0" encoding="utf-8"?>
<ds:datastoreItem xmlns:ds="http://schemas.openxmlformats.org/officeDocument/2006/customXml" ds:itemID="{E484C2BF-43F8-4DB5-A002-59AE632B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75</Pages>
  <Words>33766</Words>
  <Characters>185716</Characters>
  <Application>Microsoft Office Word</Application>
  <DocSecurity>0</DocSecurity>
  <Lines>1547</Lines>
  <Paragraphs>438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Léopold Vanbellingen</dc:creator>
  <cp:keywords/>
  <dc:description/>
  <cp:lastModifiedBy>Léopold Vanbellingen</cp:lastModifiedBy>
  <cp:revision>3</cp:revision>
  <dcterms:created xsi:type="dcterms:W3CDTF">2022-12-19T07:35:00Z</dcterms:created>
  <dcterms:modified xsi:type="dcterms:W3CDTF">2022-12-19T08:14:00Z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0x010100409E0888091330449F5EC2600B2C98D5</vt:lpwstr>
  </property>
  <property fmtid="{D5CDD505-2E9C-101B-9397-08002B2CF9AE}" pid="3" name="ZOTERO_PREF_1">
    <vt:lpwstr>&lt;data data-version="3" zotero-version="6.0.18"&gt;&lt;session id="WZOpigPp"/&gt;&lt;style id="http://www.zotero.org/styles/universite-de-liege-droit" hasBibliography="1" bibliographyStyleHasBeenSet="0"/&gt;&lt;prefs&gt;&lt;pref name="fieldType" value="Field"/&gt;&lt;pref name="noteTyp</vt:lpwstr>
  </property>
  <property fmtid="{D5CDD505-2E9C-101B-9397-08002B2CF9AE}" pid="4" name="ZOTERO_PREF_2">
    <vt:lpwstr>e" value="1"/&gt;&lt;pref name="dontAskDelayCitationUpdates" value="true"/&gt;&lt;/prefs&gt;&lt;/data&gt;</vt:lpwstr>
  </property>
</Properties>
</file>