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F970F" w14:textId="77777777" w:rsidR="005C0AC2" w:rsidRDefault="005C0AC2" w:rsidP="00AB1A86">
      <w:pPr>
        <w:pStyle w:val="Pa12"/>
        <w:spacing w:before="40"/>
        <w:jc w:val="center"/>
        <w:rPr>
          <w:rFonts w:ascii="Source Sans Pro" w:hAnsi="Source Sans Pro" w:cs="Source Sans Pro"/>
          <w:color w:val="000000"/>
          <w:sz w:val="40"/>
          <w:szCs w:val="32"/>
          <w:lang w:val="en-US"/>
        </w:rPr>
      </w:pPr>
      <w:r w:rsidRPr="005C0AC2">
        <w:rPr>
          <w:rFonts w:ascii="Source Sans Pro" w:hAnsi="Source Sans Pro" w:cs="Source Sans Pro"/>
          <w:color w:val="000000"/>
          <w:sz w:val="40"/>
          <w:szCs w:val="32"/>
          <w:lang w:val="en-US"/>
        </w:rPr>
        <w:t>Critical assessment of the defect tolerance of beta-metastable titanium alloys processed by additive manufacturing compared to cast alloys</w:t>
      </w:r>
    </w:p>
    <w:p w14:paraId="49F3C630" w14:textId="33FDA8C5" w:rsidR="005C0AC2" w:rsidRPr="005C0AC2" w:rsidRDefault="005C0AC2" w:rsidP="005C0AC2">
      <w:pPr>
        <w:pStyle w:val="Pa12"/>
        <w:spacing w:before="40"/>
        <w:jc w:val="center"/>
        <w:rPr>
          <w:rFonts w:ascii="Source Sans Pro" w:hAnsi="Source Sans Pro" w:cs="Source Sans Pro"/>
          <w:color w:val="000000"/>
          <w:vertAlign w:val="superscript"/>
          <w:lang w:val="fr-BE"/>
        </w:rPr>
      </w:pPr>
      <w:r w:rsidRPr="005C0AC2">
        <w:rPr>
          <w:rFonts w:ascii="Source Sans Pro" w:hAnsi="Source Sans Pro" w:cs="Source Sans Pro"/>
          <w:color w:val="000000"/>
          <w:lang w:val="fr-BE"/>
        </w:rPr>
        <w:t>Sarah</w:t>
      </w:r>
      <w:r w:rsidR="00762808" w:rsidRPr="005C0AC2">
        <w:rPr>
          <w:rFonts w:ascii="Source Sans Pro" w:hAnsi="Source Sans Pro" w:cs="Source Sans Pro"/>
          <w:color w:val="000000"/>
          <w:lang w:val="fr-BE"/>
        </w:rPr>
        <w:t xml:space="preserve"> </w:t>
      </w:r>
      <w:r w:rsidRPr="005C0AC2">
        <w:rPr>
          <w:rFonts w:ascii="Source Sans Pro" w:hAnsi="Source Sans Pro" w:cs="Source Sans Pro"/>
          <w:color w:val="000000"/>
          <w:lang w:val="fr-BE"/>
        </w:rPr>
        <w:t>Dethier</w:t>
      </w:r>
      <w:r w:rsidR="00361612" w:rsidRPr="005C0AC2">
        <w:rPr>
          <w:rStyle w:val="A11"/>
          <w:sz w:val="24"/>
          <w:szCs w:val="24"/>
          <w:vertAlign w:val="superscript"/>
          <w:lang w:val="fr-BE"/>
        </w:rPr>
        <w:t>1</w:t>
      </w:r>
      <w:r w:rsidR="00361612" w:rsidRPr="005C0AC2">
        <w:rPr>
          <w:rFonts w:ascii="Source Sans Pro" w:hAnsi="Source Sans Pro" w:cs="Source Sans Pro"/>
          <w:color w:val="000000"/>
          <w:lang w:val="fr-BE"/>
        </w:rPr>
        <w:t xml:space="preserve">, </w:t>
      </w:r>
      <w:r w:rsidRPr="005C0AC2">
        <w:rPr>
          <w:rFonts w:ascii="Source Sans Pro" w:hAnsi="Source Sans Pro" w:cs="Source Sans Pro"/>
          <w:color w:val="000000"/>
          <w:lang w:val="fr-BE"/>
        </w:rPr>
        <w:t>Marion</w:t>
      </w:r>
      <w:r w:rsidR="00762808" w:rsidRPr="005C0AC2">
        <w:rPr>
          <w:rFonts w:ascii="Source Sans Pro" w:hAnsi="Source Sans Pro" w:cs="Source Sans Variable"/>
          <w:color w:val="000000"/>
          <w:lang w:val="fr-BE"/>
        </w:rPr>
        <w:t xml:space="preserve"> </w:t>
      </w:r>
      <w:r w:rsidRPr="005C0AC2">
        <w:rPr>
          <w:rFonts w:ascii="Source Sans Pro" w:hAnsi="Source Sans Pro" w:cs="Source Sans Variable"/>
          <w:color w:val="000000"/>
          <w:lang w:val="fr-BE"/>
        </w:rPr>
        <w:t>Coffigniez</w:t>
      </w:r>
      <w:r>
        <w:rPr>
          <w:rStyle w:val="A11"/>
          <w:sz w:val="24"/>
          <w:szCs w:val="24"/>
          <w:vertAlign w:val="superscript"/>
          <w:lang w:val="fr-BE"/>
        </w:rPr>
        <w:t>1,2</w:t>
      </w:r>
      <w:r w:rsidR="00361612" w:rsidRPr="005C0AC2">
        <w:rPr>
          <w:rFonts w:ascii="Source Sans Pro" w:hAnsi="Source Sans Pro" w:cs="Source Sans Pro"/>
          <w:color w:val="000000"/>
          <w:lang w:val="fr-BE"/>
        </w:rPr>
        <w:t xml:space="preserve">, </w:t>
      </w:r>
      <w:r w:rsidRPr="005C0AC2">
        <w:rPr>
          <w:rFonts w:ascii="Source Sans Pro" w:hAnsi="Source Sans Pro" w:cs="Source Sans Pro"/>
          <w:color w:val="000000"/>
          <w:lang w:val="fr-BE"/>
        </w:rPr>
        <w:t>Amandine</w:t>
      </w:r>
      <w:r w:rsidR="00762808" w:rsidRPr="005C0AC2">
        <w:rPr>
          <w:rFonts w:ascii="Source Sans Pro" w:hAnsi="Source Sans Pro" w:cs="Source Sans Pro"/>
          <w:color w:val="000000"/>
          <w:lang w:val="fr-BE"/>
        </w:rPr>
        <w:t xml:space="preserve"> </w:t>
      </w:r>
      <w:r w:rsidRPr="005C0AC2">
        <w:rPr>
          <w:rFonts w:ascii="Source Sans Pro" w:hAnsi="Source Sans Pro" w:cs="Source Sans Pro"/>
          <w:color w:val="000000"/>
          <w:lang w:val="fr-BE"/>
        </w:rPr>
        <w:t>Duchausso</w:t>
      </w:r>
      <w:r>
        <w:rPr>
          <w:rFonts w:ascii="Source Sans Pro" w:hAnsi="Source Sans Pro" w:cs="Source Sans Pro"/>
          <w:color w:val="000000"/>
          <w:lang w:val="fr-BE"/>
        </w:rPr>
        <w:t>y</w:t>
      </w:r>
      <w:r>
        <w:rPr>
          <w:rStyle w:val="A11"/>
          <w:sz w:val="24"/>
          <w:szCs w:val="24"/>
          <w:vertAlign w:val="superscript"/>
          <w:lang w:val="fr-BE"/>
        </w:rPr>
        <w:t>1</w:t>
      </w:r>
      <w:r w:rsidRPr="005C0AC2">
        <w:rPr>
          <w:rFonts w:ascii="Source Sans Pro" w:hAnsi="Source Sans Pro" w:cs="Source Sans Pro"/>
          <w:color w:val="000000"/>
          <w:lang w:val="fr-BE"/>
        </w:rPr>
        <w:t xml:space="preserve">, </w:t>
      </w:r>
      <w:r>
        <w:rPr>
          <w:rFonts w:ascii="Source Sans Pro" w:hAnsi="Source Sans Pro" w:cs="Source Sans Pro"/>
          <w:color w:val="000000"/>
          <w:lang w:val="fr-BE"/>
        </w:rPr>
        <w:t>Pascal J.</w:t>
      </w:r>
      <w:r w:rsidRPr="005C0AC2">
        <w:rPr>
          <w:rFonts w:ascii="Source Sans Pro" w:hAnsi="Source Sans Pro" w:cs="Source Sans Pro"/>
          <w:color w:val="000000"/>
          <w:lang w:val="fr-BE"/>
        </w:rPr>
        <w:t xml:space="preserve"> </w:t>
      </w:r>
      <w:r>
        <w:rPr>
          <w:rFonts w:ascii="Source Sans Pro" w:hAnsi="Source Sans Pro" w:cs="Source Sans Pro"/>
          <w:color w:val="000000"/>
          <w:lang w:val="fr-BE"/>
        </w:rPr>
        <w:t>Jacques</w:t>
      </w:r>
      <w:r>
        <w:rPr>
          <w:rStyle w:val="A11"/>
          <w:sz w:val="24"/>
          <w:szCs w:val="24"/>
          <w:vertAlign w:val="superscript"/>
          <w:lang w:val="fr-BE"/>
        </w:rPr>
        <w:t>1</w:t>
      </w:r>
    </w:p>
    <w:p w14:paraId="047810BB" w14:textId="2FF1BB57" w:rsidR="002A09C5" w:rsidRPr="0095433D" w:rsidRDefault="007F6A01" w:rsidP="00AB1A86">
      <w:pPr>
        <w:jc w:val="center"/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</w:pPr>
      <w:r w:rsidRPr="007F6A01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vertAlign w:val="superscript"/>
          <w:lang w:val="en-US"/>
        </w:rPr>
        <w:t>1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IMAP,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</w:t>
      </w:r>
      <w:r w:rsidR="005C0AC2" w:rsidRP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Institute of Mechanics Materials and Civil Engineering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, UCLouvain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1348 Louvain-la-Neuve</w:t>
      </w:r>
      <w:r w:rsidR="0046199C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Belgium</w:t>
      </w:r>
      <w:r w:rsidR="00361612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| </w:t>
      </w:r>
      <w:r w:rsidRPr="007F6A01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vertAlign w:val="superscript"/>
          <w:lang w:val="en-US"/>
        </w:rPr>
        <w:t>2</w:t>
      </w:r>
      <w:r w:rsidR="006D51B0" w:rsidRP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 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Grenoble INP - Phelma</w:t>
      </w:r>
      <w:r w:rsidR="006D51B0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Université Grenoble-Alpes</w:t>
      </w:r>
      <w:r w:rsidR="006D51B0" w:rsidRPr="0095433D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38000 Grenoble</w:t>
      </w:r>
      <w:r w:rsidR="006D51B0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 xml:space="preserve">, </w:t>
      </w:r>
      <w:r w:rsidR="005C0AC2">
        <w:rPr>
          <w:rFonts w:ascii="Source Sans Variable" w:hAnsi="Source Sans Variable" w:cs="Source Sans Variable"/>
          <w:i/>
          <w:iCs/>
          <w:color w:val="595959" w:themeColor="text1" w:themeTint="A6"/>
          <w:sz w:val="20"/>
          <w:szCs w:val="16"/>
          <w:lang w:val="en-US"/>
        </w:rPr>
        <w:t>France</w:t>
      </w:r>
    </w:p>
    <w:p w14:paraId="0D2695A0" w14:textId="77777777" w:rsidR="00762808" w:rsidRDefault="00762808" w:rsidP="00112968">
      <w:pPr>
        <w:jc w:val="both"/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</w:pPr>
    </w:p>
    <w:p w14:paraId="1C46DDBD" w14:textId="77777777" w:rsidR="00762808" w:rsidRDefault="00762808" w:rsidP="00112968">
      <w:pPr>
        <w:jc w:val="both"/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</w:pPr>
    </w:p>
    <w:p w14:paraId="7A6A03B3" w14:textId="5683C829" w:rsidR="00762808" w:rsidRPr="003A791D" w:rsidRDefault="00AB1A86" w:rsidP="003A791D">
      <w:pPr>
        <w:rPr>
          <w:rFonts w:ascii="Source Sans Pro" w:hAnsi="Source Sans Pro" w:cs="Source Sans Pro"/>
          <w:color w:val="000000"/>
          <w:sz w:val="24"/>
          <w:szCs w:val="24"/>
          <w:lang w:val="en-US"/>
        </w:rPr>
      </w:pPr>
      <w:r>
        <w:rPr>
          <w:rFonts w:ascii="Source Sans Pro" w:hAnsi="Source Sans Pro" w:cs="Source Sans Pro"/>
          <w:b/>
          <w:color w:val="000000"/>
          <w:sz w:val="24"/>
          <w:szCs w:val="24"/>
          <w:lang w:val="en-US"/>
        </w:rPr>
        <w:t>Keywords</w:t>
      </w:r>
      <w:r w:rsidR="00762808">
        <w:rPr>
          <w:rFonts w:ascii="Source Sans Pro" w:hAnsi="Source Sans Pro" w:cs="Source Sans Pro"/>
          <w:b/>
          <w:color w:val="000000"/>
          <w:sz w:val="24"/>
          <w:szCs w:val="24"/>
          <w:lang w:val="en-US"/>
        </w:rPr>
        <w:t xml:space="preserve">: </w:t>
      </w:r>
      <w:r w:rsidR="00762808">
        <w:rPr>
          <w:rFonts w:ascii="Source Sans Pro" w:hAnsi="Source Sans Pro" w:cs="Source Sans Pro"/>
          <w:color w:val="000000"/>
          <w:sz w:val="24"/>
          <w:szCs w:val="24"/>
          <w:lang w:val="en-US"/>
        </w:rPr>
        <w:t xml:space="preserve">LPBF, </w:t>
      </w:r>
      <w:r w:rsidR="006A6A45">
        <w:rPr>
          <w:rFonts w:ascii="Source Sans Pro" w:hAnsi="Source Sans Pro" w:cs="Source Sans Pro"/>
          <w:color w:val="000000"/>
          <w:sz w:val="24"/>
          <w:szCs w:val="24"/>
          <w:lang w:val="en-US"/>
        </w:rPr>
        <w:t>Titanium</w:t>
      </w:r>
      <w:r w:rsidR="00762808">
        <w:rPr>
          <w:rFonts w:ascii="Source Sans Pro" w:hAnsi="Source Sans Pro" w:cs="Source Sans Pro"/>
          <w:color w:val="000000"/>
          <w:sz w:val="24"/>
          <w:szCs w:val="24"/>
          <w:lang w:val="en-US"/>
        </w:rPr>
        <w:t xml:space="preserve">, Mechanical Properties, </w:t>
      </w:r>
      <w:r>
        <w:rPr>
          <w:rFonts w:ascii="Source Sans Pro" w:hAnsi="Source Sans Pro" w:cs="Source Sans Pro"/>
          <w:color w:val="000000"/>
          <w:sz w:val="24"/>
          <w:szCs w:val="24"/>
          <w:lang w:val="en-US"/>
        </w:rPr>
        <w:t>Defects.</w:t>
      </w:r>
    </w:p>
    <w:p w14:paraId="501CDD91" w14:textId="77777777" w:rsidR="00762808" w:rsidRDefault="00762808" w:rsidP="00112968">
      <w:pPr>
        <w:jc w:val="both"/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</w:pPr>
    </w:p>
    <w:p w14:paraId="7E6CE11C" w14:textId="77777777" w:rsidR="00762808" w:rsidRPr="00E87CFE" w:rsidRDefault="00762808" w:rsidP="00E87CFE">
      <w:pPr>
        <w:jc w:val="center"/>
        <w:rPr>
          <w:rFonts w:ascii="Source Sans Pro" w:hAnsi="Source Sans Pro" w:cs="Source Sans Pro"/>
          <w:b/>
          <w:color w:val="000000"/>
          <w:sz w:val="32"/>
          <w:szCs w:val="32"/>
          <w:lang w:val="en-US"/>
        </w:rPr>
      </w:pPr>
      <w:r w:rsidRPr="00762808">
        <w:rPr>
          <w:rFonts w:ascii="Source Sans Pro" w:hAnsi="Source Sans Pro" w:cs="Source Sans Pro"/>
          <w:b/>
          <w:color w:val="000000"/>
          <w:sz w:val="32"/>
          <w:szCs w:val="32"/>
          <w:lang w:val="en-US"/>
        </w:rPr>
        <w:t>Abstract</w:t>
      </w:r>
    </w:p>
    <w:p w14:paraId="3204DC6B" w14:textId="77777777" w:rsidR="00762808" w:rsidRDefault="00762808" w:rsidP="00112968">
      <w:pPr>
        <w:jc w:val="both"/>
        <w:rPr>
          <w:rFonts w:ascii="Source Sans Pro" w:hAnsi="Source Sans Pro" w:cs="Source Sans Pro"/>
          <w:b/>
          <w:color w:val="000000"/>
          <w:sz w:val="24"/>
          <w:szCs w:val="18"/>
          <w:lang w:val="en-US"/>
        </w:rPr>
      </w:pPr>
    </w:p>
    <w:p w14:paraId="6E7C3F48" w14:textId="15613F53" w:rsidR="005C0AC2" w:rsidRPr="005C0AC2" w:rsidRDefault="005C0AC2" w:rsidP="005C0AC2">
      <w:pPr>
        <w:jc w:val="both"/>
        <w:rPr>
          <w:rFonts w:ascii="Source Sans Pro" w:hAnsi="Source Sans Pro" w:cs="Source Sans Pro"/>
          <w:color w:val="000000"/>
          <w:sz w:val="24"/>
          <w:szCs w:val="18"/>
          <w:lang w:val="en-US"/>
        </w:rPr>
      </w:pP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Titanium alloys constitute a very attractive choice for aerospace, aeronautics and biomedical applications mainly due to their excellent strength-to-weight ratio. Classical alloys, such as Ti-6Al-4V, exhibit a high strength but a low hardening capacity, ductility and fracture toughness. </w:t>
      </w:r>
      <w:r w:rsidR="00447B93"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>Many</w:t>
      </w: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efforts have been made to develop new beta-metastable titanium alloys, in which the simultaneous activation of Transformation-Induced Plasticity (TRIP) and Twinning-Induced Plasticity (TWIP</w:t>
      </w:r>
      <w:r w:rsidR="00447B93"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>)</w:t>
      </w:r>
      <w:r w:rsidR="003A791D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</w:t>
      </w:r>
      <w:r w:rsidR="00447B93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effects </w:t>
      </w: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increases significantly the hardening capacity and the resistance to plastic localization. </w:t>
      </w:r>
    </w:p>
    <w:p w14:paraId="751C1C21" w14:textId="01A13EA0" w:rsidR="005C0AC2" w:rsidRPr="005C0AC2" w:rsidRDefault="00ED1C5B" w:rsidP="005C0AC2">
      <w:pPr>
        <w:jc w:val="both"/>
        <w:rPr>
          <w:rFonts w:ascii="Source Sans Pro" w:hAnsi="Source Sans Pro" w:cs="Source Sans Pro"/>
          <w:color w:val="000000"/>
          <w:sz w:val="24"/>
          <w:szCs w:val="18"/>
          <w:lang w:val="en-US"/>
        </w:rPr>
      </w:pPr>
      <w:r>
        <w:rPr>
          <w:rFonts w:ascii="Source Sans Pro" w:hAnsi="Source Sans Pro" w:cs="Source Sans Pro"/>
          <w:color w:val="000000"/>
          <w:sz w:val="24"/>
          <w:szCs w:val="18"/>
          <w:lang w:val="en-US"/>
        </w:rPr>
        <w:t>Several studies have</w:t>
      </w:r>
      <w:r w:rsidR="005C0AC2"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demonstrated that Ti-12wt%Mo presents a uniform deformation 3 to 4 times larger than classical Ti-6Al-4V alloy and a true fracture strain twice higher than the </w:t>
      </w:r>
      <w:r w:rsidR="00447B93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one </w:t>
      </w:r>
      <w:r w:rsidR="005C0AC2"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of other classical titanium alloys. Moreover, </w:t>
      </w:r>
      <w:r w:rsidR="00A7518F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this alloy exhibits </w:t>
      </w:r>
      <w:r w:rsidR="005C0AC2"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>an extraordinary resistance to damage as well as a unique fracture mechanism through shear bands instead of the common ductile fracture, dictated by nucleation-growth-coalescence of cavities.</w:t>
      </w:r>
    </w:p>
    <w:p w14:paraId="31B635F6" w14:textId="1999D50D" w:rsidR="005C0AC2" w:rsidRPr="005C0AC2" w:rsidRDefault="005C0AC2" w:rsidP="005C0AC2">
      <w:pPr>
        <w:jc w:val="both"/>
        <w:rPr>
          <w:rFonts w:ascii="Source Sans Pro" w:hAnsi="Source Sans Pro" w:cs="Source Sans Pro"/>
          <w:color w:val="000000"/>
          <w:sz w:val="24"/>
          <w:szCs w:val="18"/>
          <w:lang w:val="en-US"/>
        </w:rPr>
      </w:pP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>On the other hand, additive manufacturing</w:t>
      </w:r>
      <w:r w:rsidR="00F82538" w:rsidRPr="00F82538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</w:t>
      </w:r>
      <w:r w:rsidR="00F82538"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>such as L-PBF</w:t>
      </w: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is commonly used to elaborate complex geometries to reduce even more the weight of the designed parts. However, defects such as porosity are almost inevitable during </w:t>
      </w:r>
      <w:r w:rsidR="00F82538">
        <w:rPr>
          <w:rFonts w:ascii="Source Sans Pro" w:hAnsi="Source Sans Pro" w:cs="Source Sans Pro"/>
          <w:color w:val="000000"/>
          <w:sz w:val="24"/>
          <w:szCs w:val="18"/>
          <w:lang w:val="en-US"/>
        </w:rPr>
        <w:t>these</w:t>
      </w: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</w:t>
      </w:r>
      <w:r w:rsidR="00447B93"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>processes</w:t>
      </w: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causing a considerable decrease in the mechanical properties. Recent work has demonstrated that 3D printed Ti-12wt%Mo maintains its improved mechanical properties even when defects are present from the beginning of straining due to a large resistance to coalescence.</w:t>
      </w:r>
    </w:p>
    <w:p w14:paraId="7F88C86A" w14:textId="68E311B3" w:rsidR="008621E6" w:rsidRPr="008621E6" w:rsidRDefault="005C0AC2" w:rsidP="005C0AC2">
      <w:pPr>
        <w:jc w:val="both"/>
        <w:rPr>
          <w:rFonts w:ascii="Source Sans Pro" w:hAnsi="Source Sans Pro" w:cs="Source Sans Pro"/>
          <w:color w:val="000000"/>
          <w:sz w:val="24"/>
          <w:szCs w:val="18"/>
          <w:lang w:val="en-US"/>
        </w:rPr>
      </w:pP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In this study, additively manufactured samples as well as cast-and-wrought samples were considered to assess the influence on the mechanical response of Ti-12wt%Mo. This study deals with the influence of the process and the resulting microstructure on the mechanism of localization of </w:t>
      </w: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>deformation</w:t>
      </w:r>
      <w:r w:rsidRPr="005C0AC2">
        <w:rPr>
          <w:rFonts w:ascii="Source Sans Pro" w:hAnsi="Source Sans Pro" w:cs="Source Sans Pro"/>
          <w:color w:val="000000"/>
          <w:sz w:val="24"/>
          <w:szCs w:val="18"/>
          <w:lang w:val="en-US"/>
        </w:rPr>
        <w:t xml:space="preserve"> and the subsequent fracture mechanisms. The L-PBF process parameters have been tuned to also assess the influence of density on the mechanical behavior, and determine the defect tolerance of Ti-12wt%Mo.</w:t>
      </w:r>
    </w:p>
    <w:sectPr w:rsidR="008621E6" w:rsidRPr="008621E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466D" w14:textId="77777777" w:rsidR="00655BFD" w:rsidRDefault="00655BFD" w:rsidP="00361612">
      <w:pPr>
        <w:spacing w:after="0" w:line="240" w:lineRule="auto"/>
      </w:pPr>
      <w:r>
        <w:separator/>
      </w:r>
    </w:p>
  </w:endnote>
  <w:endnote w:type="continuationSeparator" w:id="0">
    <w:p w14:paraId="74565F04" w14:textId="77777777" w:rsidR="00655BFD" w:rsidRDefault="00655BFD" w:rsidP="00361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ExtraLight">
    <w:altName w:val="Source Sans Pro ExtraLight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Source Sans Variab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E4980" w14:textId="77777777" w:rsidR="00655BFD" w:rsidRDefault="00655BFD" w:rsidP="00361612">
      <w:pPr>
        <w:spacing w:after="0" w:line="240" w:lineRule="auto"/>
      </w:pPr>
      <w:r>
        <w:separator/>
      </w:r>
    </w:p>
  </w:footnote>
  <w:footnote w:type="continuationSeparator" w:id="0">
    <w:p w14:paraId="58AF9D04" w14:textId="77777777" w:rsidR="00655BFD" w:rsidRDefault="00655BFD" w:rsidP="00361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4C83" w14:textId="77777777" w:rsidR="00361612" w:rsidRDefault="00361612">
    <w:pPr>
      <w:pStyle w:val="En-tte"/>
      <w:pBdr>
        <w:bottom w:val="single" w:sz="12" w:space="1" w:color="auto"/>
      </w:pBdr>
    </w:pPr>
  </w:p>
  <w:p w14:paraId="048609CC" w14:textId="77777777" w:rsidR="00361612" w:rsidRPr="00112968" w:rsidRDefault="00762808" w:rsidP="00361612">
    <w:pPr>
      <w:pStyle w:val="En-tte"/>
      <w:pBdr>
        <w:bottom w:val="single" w:sz="12" w:space="1" w:color="auto"/>
      </w:pBdr>
      <w:jc w:val="right"/>
      <w:rPr>
        <w:rFonts w:ascii="Source Sans Pro" w:hAnsi="Source Sans Pro"/>
        <w:lang w:val="en-US"/>
      </w:rPr>
    </w:pPr>
    <w:r>
      <w:rPr>
        <w:rFonts w:ascii="Source Sans Pro" w:hAnsi="Source Sans Pro"/>
        <w:lang w:val="en-US"/>
      </w:rPr>
      <w:t>AAMS</w:t>
    </w:r>
    <w:r w:rsidR="00361612" w:rsidRPr="00112968">
      <w:rPr>
        <w:rFonts w:ascii="Source Sans Pro" w:hAnsi="Source Sans Pro"/>
        <w:lang w:val="en-US"/>
      </w:rPr>
      <w:t xml:space="preserve"> 2025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19AD"/>
    <w:multiLevelType w:val="hybridMultilevel"/>
    <w:tmpl w:val="A3C09C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C1928"/>
    <w:multiLevelType w:val="hybridMultilevel"/>
    <w:tmpl w:val="5E0C6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210A1"/>
    <w:multiLevelType w:val="hybridMultilevel"/>
    <w:tmpl w:val="BD40EB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923133">
    <w:abstractNumId w:val="0"/>
  </w:num>
  <w:num w:numId="2" w16cid:durableId="122232065">
    <w:abstractNumId w:val="1"/>
  </w:num>
  <w:num w:numId="3" w16cid:durableId="921180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612"/>
    <w:rsid w:val="00046014"/>
    <w:rsid w:val="00112968"/>
    <w:rsid w:val="001424D9"/>
    <w:rsid w:val="001D3C1E"/>
    <w:rsid w:val="002A09C5"/>
    <w:rsid w:val="003416B1"/>
    <w:rsid w:val="00361612"/>
    <w:rsid w:val="003A14DC"/>
    <w:rsid w:val="003A791D"/>
    <w:rsid w:val="00447B93"/>
    <w:rsid w:val="0046199C"/>
    <w:rsid w:val="00535230"/>
    <w:rsid w:val="0054285E"/>
    <w:rsid w:val="00563A21"/>
    <w:rsid w:val="005C0AC2"/>
    <w:rsid w:val="005D61E4"/>
    <w:rsid w:val="00655BFD"/>
    <w:rsid w:val="006A6A45"/>
    <w:rsid w:val="006D51B0"/>
    <w:rsid w:val="00762808"/>
    <w:rsid w:val="007F6A01"/>
    <w:rsid w:val="008621E6"/>
    <w:rsid w:val="008D5EB9"/>
    <w:rsid w:val="008D5EBF"/>
    <w:rsid w:val="0095433D"/>
    <w:rsid w:val="00A1014B"/>
    <w:rsid w:val="00A7518F"/>
    <w:rsid w:val="00AB1A86"/>
    <w:rsid w:val="00B05A0F"/>
    <w:rsid w:val="00BF14CE"/>
    <w:rsid w:val="00E87CFE"/>
    <w:rsid w:val="00E92B19"/>
    <w:rsid w:val="00ED1C5B"/>
    <w:rsid w:val="00ED2DBD"/>
    <w:rsid w:val="00F41A28"/>
    <w:rsid w:val="00F8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19459"/>
  <w15:chartTrackingRefBased/>
  <w15:docId w15:val="{4546CFB6-7583-403D-8F12-E212A0F2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10">
    <w:name w:val="Pa10"/>
    <w:basedOn w:val="Normal"/>
    <w:next w:val="Normal"/>
    <w:uiPriority w:val="99"/>
    <w:rsid w:val="00361612"/>
    <w:pPr>
      <w:autoSpaceDE w:val="0"/>
      <w:autoSpaceDN w:val="0"/>
      <w:adjustRightInd w:val="0"/>
      <w:spacing w:after="0" w:line="161" w:lineRule="atLeast"/>
    </w:pPr>
    <w:rPr>
      <w:rFonts w:ascii="Source Sans Pro ExtraLight" w:hAnsi="Source Sans Pro ExtraLight"/>
      <w:sz w:val="24"/>
      <w:szCs w:val="24"/>
    </w:rPr>
  </w:style>
  <w:style w:type="paragraph" w:customStyle="1" w:styleId="Pa11">
    <w:name w:val="Pa11"/>
    <w:basedOn w:val="Normal"/>
    <w:next w:val="Normal"/>
    <w:uiPriority w:val="99"/>
    <w:rsid w:val="00361612"/>
    <w:pPr>
      <w:autoSpaceDE w:val="0"/>
      <w:autoSpaceDN w:val="0"/>
      <w:adjustRightInd w:val="0"/>
      <w:spacing w:after="0" w:line="321" w:lineRule="atLeast"/>
    </w:pPr>
    <w:rPr>
      <w:rFonts w:ascii="Source Sans Pro ExtraLight" w:hAnsi="Source Sans Pro ExtraLight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361612"/>
    <w:pPr>
      <w:autoSpaceDE w:val="0"/>
      <w:autoSpaceDN w:val="0"/>
      <w:adjustRightInd w:val="0"/>
      <w:spacing w:after="0" w:line="181" w:lineRule="atLeast"/>
    </w:pPr>
    <w:rPr>
      <w:rFonts w:ascii="Source Sans Pro ExtraLight" w:hAnsi="Source Sans Pro ExtraLight"/>
      <w:sz w:val="24"/>
      <w:szCs w:val="24"/>
    </w:rPr>
  </w:style>
  <w:style w:type="character" w:customStyle="1" w:styleId="A11">
    <w:name w:val="A11"/>
    <w:uiPriority w:val="99"/>
    <w:rsid w:val="00361612"/>
    <w:rPr>
      <w:rFonts w:ascii="Source Sans Pro" w:hAnsi="Source Sans Pro" w:cs="Source Sans Pro"/>
      <w:color w:val="000000"/>
      <w:sz w:val="10"/>
      <w:szCs w:val="10"/>
    </w:rPr>
  </w:style>
  <w:style w:type="paragraph" w:styleId="En-tte">
    <w:name w:val="header"/>
    <w:basedOn w:val="Normal"/>
    <w:link w:val="En-tteCar"/>
    <w:uiPriority w:val="99"/>
    <w:unhideWhenUsed/>
    <w:rsid w:val="00361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1612"/>
  </w:style>
  <w:style w:type="paragraph" w:styleId="Pieddepage">
    <w:name w:val="footer"/>
    <w:basedOn w:val="Normal"/>
    <w:link w:val="PieddepageCar"/>
    <w:uiPriority w:val="99"/>
    <w:unhideWhenUsed/>
    <w:rsid w:val="00361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1612"/>
  </w:style>
  <w:style w:type="paragraph" w:styleId="Paragraphedeliste">
    <w:name w:val="List Paragraph"/>
    <w:basedOn w:val="Normal"/>
    <w:uiPriority w:val="34"/>
    <w:qFormat/>
    <w:rsid w:val="00112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385</Words>
  <Characters>2118</Characters>
  <Application>Microsoft Office Word</Application>
  <DocSecurity>0</DocSecurity>
  <Lines>17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Cayron</dc:creator>
  <cp:keywords/>
  <dc:description/>
  <cp:lastModifiedBy>Sarah Dethier</cp:lastModifiedBy>
  <cp:revision>8</cp:revision>
  <dcterms:created xsi:type="dcterms:W3CDTF">2025-04-29T08:42:00Z</dcterms:created>
  <dcterms:modified xsi:type="dcterms:W3CDTF">2025-04-29T14:46:00Z</dcterms:modified>
</cp:coreProperties>
</file>