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565" w:rsidRPr="00B33565" w:rsidRDefault="00B33565" w:rsidP="00B33565">
      <w:pPr>
        <w:spacing w:after="0" w:line="240" w:lineRule="auto"/>
        <w:jc w:val="center"/>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b/>
          <w:bCs/>
          <w:color w:val="1A1A1A"/>
          <w:sz w:val="24"/>
          <w:szCs w:val="24"/>
          <w:lang w:val="fr-BE" w:eastAsia="fr-BE"/>
        </w:rPr>
        <w:t>Les compléments différés à l’oral</w:t>
      </w:r>
    </w:p>
    <w:p w:rsidR="00B33565" w:rsidRDefault="00B33565" w:rsidP="00B33565">
      <w:pPr>
        <w:spacing w:after="120" w:line="240" w:lineRule="auto"/>
        <w:jc w:val="center"/>
        <w:rPr>
          <w:rFonts w:ascii="Times New Roman" w:eastAsia="Times New Roman" w:hAnsi="Times New Roman" w:cs="Times New Roman"/>
          <w:b/>
          <w:bCs/>
          <w:color w:val="1A1A1A"/>
          <w:sz w:val="24"/>
          <w:szCs w:val="24"/>
          <w:lang w:val="fr-BE" w:eastAsia="fr-BE"/>
        </w:rPr>
      </w:pPr>
      <w:r w:rsidRPr="00B33565">
        <w:rPr>
          <w:rFonts w:ascii="Times New Roman" w:eastAsia="Times New Roman" w:hAnsi="Times New Roman" w:cs="Times New Roman"/>
          <w:b/>
          <w:bCs/>
          <w:color w:val="1A1A1A"/>
          <w:sz w:val="24"/>
          <w:szCs w:val="24"/>
          <w:lang w:val="fr-BE" w:eastAsia="fr-BE"/>
        </w:rPr>
        <w:t>Étude syntaxique, prosodique et discursive</w:t>
      </w:r>
    </w:p>
    <w:p w:rsidR="00B33565" w:rsidRPr="00B33565" w:rsidRDefault="00B33565" w:rsidP="00B33565">
      <w:pPr>
        <w:spacing w:after="120" w:line="240" w:lineRule="auto"/>
        <w:jc w:val="center"/>
        <w:rPr>
          <w:rFonts w:ascii="Times New Roman" w:eastAsia="Times New Roman" w:hAnsi="Times New Roman" w:cs="Times New Roman"/>
          <w:sz w:val="24"/>
          <w:szCs w:val="24"/>
          <w:lang w:val="fr-BE" w:eastAsia="fr-BE"/>
        </w:rPr>
      </w:pPr>
    </w:p>
    <w:p w:rsidR="00B33565" w:rsidRPr="00B33565" w:rsidRDefault="00B33565" w:rsidP="00B33565">
      <w:pPr>
        <w:spacing w:after="120" w:line="240" w:lineRule="auto"/>
        <w:jc w:val="both"/>
        <w:rPr>
          <w:rFonts w:ascii="Times New Roman" w:eastAsia="Times New Roman" w:hAnsi="Times New Roman" w:cs="Times New Roman"/>
          <w:sz w:val="24"/>
          <w:szCs w:val="24"/>
          <w:lang w:val="fr-BE" w:eastAsia="fr-BE"/>
        </w:rPr>
      </w:pPr>
      <w:bookmarkStart w:id="0" w:name="_GoBack"/>
      <w:r w:rsidRPr="00B33565">
        <w:rPr>
          <w:rFonts w:ascii="Times New Roman" w:eastAsia="Times New Roman" w:hAnsi="Times New Roman" w:cs="Times New Roman"/>
          <w:color w:val="000000"/>
          <w:sz w:val="24"/>
          <w:szCs w:val="24"/>
          <w:lang w:val="fr-BE" w:eastAsia="fr-BE"/>
        </w:rPr>
        <w:t xml:space="preserve">Notre approche s’inscrit dans le cadre de l’analyse des unités de base du discours (BDU), définies comme « the segments </w:t>
      </w:r>
      <w:proofErr w:type="spellStart"/>
      <w:r w:rsidRPr="00B33565">
        <w:rPr>
          <w:rFonts w:ascii="Times New Roman" w:eastAsia="Times New Roman" w:hAnsi="Times New Roman" w:cs="Times New Roman"/>
          <w:color w:val="000000"/>
          <w:sz w:val="24"/>
          <w:szCs w:val="24"/>
          <w:lang w:val="fr-BE" w:eastAsia="fr-BE"/>
        </w:rPr>
        <w:t>that</w:t>
      </w:r>
      <w:proofErr w:type="spellEnd"/>
      <w:r w:rsidRPr="00B33565">
        <w:rPr>
          <w:rFonts w:ascii="Times New Roman" w:eastAsia="Times New Roman" w:hAnsi="Times New Roman" w:cs="Times New Roman"/>
          <w:color w:val="000000"/>
          <w:sz w:val="24"/>
          <w:szCs w:val="24"/>
          <w:lang w:val="fr-BE" w:eastAsia="fr-BE"/>
        </w:rPr>
        <w:t xml:space="preserve"> speakers use to </w:t>
      </w:r>
      <w:proofErr w:type="spellStart"/>
      <w:r w:rsidRPr="00B33565">
        <w:rPr>
          <w:rFonts w:ascii="Times New Roman" w:eastAsia="Times New Roman" w:hAnsi="Times New Roman" w:cs="Times New Roman"/>
          <w:color w:val="000000"/>
          <w:sz w:val="24"/>
          <w:szCs w:val="24"/>
          <w:lang w:val="fr-BE" w:eastAsia="fr-BE"/>
        </w:rPr>
        <w:t>build</w:t>
      </w:r>
      <w:proofErr w:type="spellEnd"/>
      <w:r w:rsidRPr="00B33565">
        <w:rPr>
          <w:rFonts w:ascii="Times New Roman" w:eastAsia="Times New Roman" w:hAnsi="Times New Roman" w:cs="Times New Roman"/>
          <w:color w:val="000000"/>
          <w:sz w:val="24"/>
          <w:szCs w:val="24"/>
          <w:lang w:val="fr-BE" w:eastAsia="fr-BE"/>
        </w:rPr>
        <w:t xml:space="preserve"> a </w:t>
      </w:r>
      <w:proofErr w:type="spellStart"/>
      <w:r w:rsidRPr="00B33565">
        <w:rPr>
          <w:rFonts w:ascii="Times New Roman" w:eastAsia="Times New Roman" w:hAnsi="Times New Roman" w:cs="Times New Roman"/>
          <w:color w:val="000000"/>
          <w:sz w:val="24"/>
          <w:szCs w:val="24"/>
          <w:lang w:val="fr-BE" w:eastAsia="fr-BE"/>
        </w:rPr>
        <w:t>representation</w:t>
      </w:r>
      <w:proofErr w:type="spellEnd"/>
      <w:r w:rsidRPr="00B33565">
        <w:rPr>
          <w:rFonts w:ascii="Times New Roman" w:eastAsia="Times New Roman" w:hAnsi="Times New Roman" w:cs="Times New Roman"/>
          <w:color w:val="000000"/>
          <w:sz w:val="24"/>
          <w:szCs w:val="24"/>
          <w:lang w:val="fr-BE" w:eastAsia="fr-BE"/>
        </w:rPr>
        <w:t xml:space="preserve"> (</w:t>
      </w:r>
      <w:proofErr w:type="spellStart"/>
      <w:r w:rsidRPr="00B33565">
        <w:rPr>
          <w:rFonts w:ascii="Times New Roman" w:eastAsia="Times New Roman" w:hAnsi="Times New Roman" w:cs="Times New Roman"/>
          <w:color w:val="000000"/>
          <w:sz w:val="24"/>
          <w:szCs w:val="24"/>
          <w:lang w:val="fr-BE" w:eastAsia="fr-BE"/>
        </w:rPr>
        <w:t>interpretation</w:t>
      </w:r>
      <w:proofErr w:type="spellEnd"/>
      <w:r w:rsidRPr="00B33565">
        <w:rPr>
          <w:rFonts w:ascii="Times New Roman" w:eastAsia="Times New Roman" w:hAnsi="Times New Roman" w:cs="Times New Roman"/>
          <w:color w:val="000000"/>
          <w:sz w:val="24"/>
          <w:szCs w:val="24"/>
          <w:lang w:val="fr-BE" w:eastAsia="fr-BE"/>
        </w:rPr>
        <w:t xml:space="preserve">) of the </w:t>
      </w:r>
      <w:proofErr w:type="spellStart"/>
      <w:r w:rsidRPr="00B33565">
        <w:rPr>
          <w:rFonts w:ascii="Times New Roman" w:eastAsia="Times New Roman" w:hAnsi="Times New Roman" w:cs="Times New Roman"/>
          <w:color w:val="000000"/>
          <w:sz w:val="24"/>
          <w:szCs w:val="24"/>
          <w:lang w:val="fr-BE" w:eastAsia="fr-BE"/>
        </w:rPr>
        <w:t>discourse</w:t>
      </w:r>
      <w:proofErr w:type="spellEnd"/>
      <w:r w:rsidRPr="00B33565">
        <w:rPr>
          <w:rFonts w:ascii="Times New Roman" w:eastAsia="Times New Roman" w:hAnsi="Times New Roman" w:cs="Times New Roman"/>
          <w:color w:val="000000"/>
          <w:sz w:val="24"/>
          <w:szCs w:val="24"/>
          <w:lang w:val="fr-BE" w:eastAsia="fr-BE"/>
        </w:rPr>
        <w:t xml:space="preserve">, i.e. </w:t>
      </w:r>
      <w:proofErr w:type="spellStart"/>
      <w:r w:rsidRPr="00B33565">
        <w:rPr>
          <w:rFonts w:ascii="Times New Roman" w:eastAsia="Times New Roman" w:hAnsi="Times New Roman" w:cs="Times New Roman"/>
          <w:color w:val="000000"/>
          <w:sz w:val="24"/>
          <w:szCs w:val="24"/>
          <w:lang w:val="fr-BE" w:eastAsia="fr-BE"/>
        </w:rPr>
        <w:t>a</w:t>
      </w:r>
      <w:proofErr w:type="spellEnd"/>
      <w:r w:rsidRPr="00B33565">
        <w:rPr>
          <w:rFonts w:ascii="Times New Roman" w:eastAsia="Times New Roman" w:hAnsi="Times New Roman" w:cs="Times New Roman"/>
          <w:color w:val="000000"/>
          <w:sz w:val="24"/>
          <w:szCs w:val="24"/>
          <w:lang w:val="fr-BE" w:eastAsia="fr-BE"/>
        </w:rPr>
        <w:t xml:space="preserve"> </w:t>
      </w:r>
      <w:proofErr w:type="spellStart"/>
      <w:r w:rsidRPr="00B33565">
        <w:rPr>
          <w:rFonts w:ascii="Times New Roman" w:eastAsia="Times New Roman" w:hAnsi="Times New Roman" w:cs="Times New Roman"/>
          <w:color w:val="000000"/>
          <w:sz w:val="24"/>
          <w:szCs w:val="24"/>
          <w:lang w:val="fr-BE" w:eastAsia="fr-BE"/>
        </w:rPr>
        <w:t>kind</w:t>
      </w:r>
      <w:proofErr w:type="spellEnd"/>
      <w:r w:rsidRPr="00B33565">
        <w:rPr>
          <w:rFonts w:ascii="Times New Roman" w:eastAsia="Times New Roman" w:hAnsi="Times New Roman" w:cs="Times New Roman"/>
          <w:color w:val="000000"/>
          <w:sz w:val="24"/>
          <w:szCs w:val="24"/>
          <w:lang w:val="fr-BE" w:eastAsia="fr-BE"/>
        </w:rPr>
        <w:t xml:space="preserve"> of “minimal </w:t>
      </w:r>
      <w:proofErr w:type="spellStart"/>
      <w:r w:rsidRPr="00B33565">
        <w:rPr>
          <w:rFonts w:ascii="Times New Roman" w:eastAsia="Times New Roman" w:hAnsi="Times New Roman" w:cs="Times New Roman"/>
          <w:color w:val="000000"/>
          <w:sz w:val="24"/>
          <w:szCs w:val="24"/>
          <w:lang w:val="fr-BE" w:eastAsia="fr-BE"/>
        </w:rPr>
        <w:t>discourse</w:t>
      </w:r>
      <w:proofErr w:type="spellEnd"/>
      <w:r w:rsidRPr="00B33565">
        <w:rPr>
          <w:rFonts w:ascii="Times New Roman" w:eastAsia="Times New Roman" w:hAnsi="Times New Roman" w:cs="Times New Roman"/>
          <w:color w:val="000000"/>
          <w:sz w:val="24"/>
          <w:szCs w:val="24"/>
          <w:lang w:val="fr-BE" w:eastAsia="fr-BE"/>
        </w:rPr>
        <w:t xml:space="preserve"> </w:t>
      </w:r>
      <w:proofErr w:type="spellStart"/>
      <w:r w:rsidRPr="00B33565">
        <w:rPr>
          <w:rFonts w:ascii="Times New Roman" w:eastAsia="Times New Roman" w:hAnsi="Times New Roman" w:cs="Times New Roman"/>
          <w:color w:val="000000"/>
          <w:sz w:val="24"/>
          <w:szCs w:val="24"/>
          <w:lang w:val="fr-BE" w:eastAsia="fr-BE"/>
        </w:rPr>
        <w:t>interpretation</w:t>
      </w:r>
      <w:proofErr w:type="spellEnd"/>
      <w:r w:rsidRPr="00B33565">
        <w:rPr>
          <w:rFonts w:ascii="Times New Roman" w:eastAsia="Times New Roman" w:hAnsi="Times New Roman" w:cs="Times New Roman"/>
          <w:color w:val="000000"/>
          <w:sz w:val="24"/>
          <w:szCs w:val="24"/>
          <w:lang w:val="fr-BE" w:eastAsia="fr-BE"/>
        </w:rPr>
        <w:t xml:space="preserve"> segments” » (</w:t>
      </w:r>
      <w:proofErr w:type="spellStart"/>
      <w:r w:rsidRPr="00B33565">
        <w:rPr>
          <w:rFonts w:ascii="Times New Roman" w:eastAsia="Times New Roman" w:hAnsi="Times New Roman" w:cs="Times New Roman"/>
          <w:color w:val="000000"/>
          <w:sz w:val="24"/>
          <w:szCs w:val="24"/>
          <w:lang w:val="fr-BE" w:eastAsia="fr-BE"/>
        </w:rPr>
        <w:t>Degand</w:t>
      </w:r>
      <w:proofErr w:type="spellEnd"/>
      <w:r w:rsidRPr="00B33565">
        <w:rPr>
          <w:rFonts w:ascii="Times New Roman" w:eastAsia="Times New Roman" w:hAnsi="Times New Roman" w:cs="Times New Roman"/>
          <w:color w:val="000000"/>
          <w:sz w:val="24"/>
          <w:szCs w:val="24"/>
          <w:lang w:val="fr-BE" w:eastAsia="fr-BE"/>
        </w:rPr>
        <w:t xml:space="preserve"> &amp; Simon 2009). Ces unités sont définies sur la base de critères syntaxiques (délimitation en unités de rection ; Blanche-Benveniste et al. 1990) et de critères prosodiques (segmentation du discours en unités intonatives majeures ; Simon &amp; Mertens 2009). Les unités de base du discours se répartissent de la manière suivante : (i) Les BDU sont définies comme congruentes, ou non marquées, lorsqu’une unité de rection correspond à une unité prosodique majeure ; (ii) les BDU groupées par la syntaxe correspondent à une unité de rection découpée en plusieurs unités prosodiques majeures, tandis que (iii) les BDU groupées par l’intonation correspondent à plusieurs unités de rection regroupées dans une seule unité prosodique. Un cas particulier, (iv) les BDU </w:t>
      </w:r>
      <w:proofErr w:type="spellStart"/>
      <w:r w:rsidRPr="00B33565">
        <w:rPr>
          <w:rFonts w:ascii="Times New Roman" w:eastAsia="Times New Roman" w:hAnsi="Times New Roman" w:cs="Times New Roman"/>
          <w:color w:val="000000"/>
          <w:sz w:val="24"/>
          <w:szCs w:val="24"/>
          <w:lang w:val="fr-BE" w:eastAsia="fr-BE"/>
        </w:rPr>
        <w:t>régulatives</w:t>
      </w:r>
      <w:proofErr w:type="spellEnd"/>
      <w:r w:rsidRPr="00B33565">
        <w:rPr>
          <w:rFonts w:ascii="Times New Roman" w:eastAsia="Times New Roman" w:hAnsi="Times New Roman" w:cs="Times New Roman"/>
          <w:color w:val="000000"/>
          <w:sz w:val="24"/>
          <w:szCs w:val="24"/>
          <w:lang w:val="fr-BE" w:eastAsia="fr-BE"/>
        </w:rPr>
        <w:t>, concerne les unités contenant un élément syntaxiquement non régi (par ex. adverbe de phrase, marqueur de discours) et isolé par une frontière prosodique.</w:t>
      </w:r>
    </w:p>
    <w:p w:rsidR="00B33565" w:rsidRPr="00B33565" w:rsidRDefault="00B33565" w:rsidP="00B33565">
      <w:pPr>
        <w:spacing w:after="120" w:line="240" w:lineRule="auto"/>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Dans cette contribution, nous nous intéresserons au deuxième cas décrit ci-dessus, à savoir les BDU groupées par la syntaxe et correspondant à une unité de rection divisée en plusieurs unités prosodiques, et plus particulièrement les cas pour lesquels la prosodie isole des compléments périphériques finaux :</w:t>
      </w:r>
    </w:p>
    <w:p w:rsidR="00B33565" w:rsidRPr="00B33565" w:rsidRDefault="00B33565" w:rsidP="00B33565">
      <w:pPr>
        <w:spacing w:after="120" w:line="240" w:lineRule="auto"/>
        <w:ind w:left="1080" w:hanging="36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 xml:space="preserve">(1)  ah </w:t>
      </w:r>
      <w:proofErr w:type="gramStart"/>
      <w:r w:rsidRPr="00B33565">
        <w:rPr>
          <w:rFonts w:ascii="Times New Roman" w:eastAsia="Times New Roman" w:hAnsi="Times New Roman" w:cs="Times New Roman"/>
          <w:color w:val="000000"/>
          <w:sz w:val="24"/>
          <w:szCs w:val="24"/>
          <w:lang w:val="fr-BE" w:eastAsia="fr-BE"/>
        </w:rPr>
        <w:t>c’est</w:t>
      </w:r>
      <w:proofErr w:type="gramEnd"/>
      <w:r w:rsidRPr="00B33565">
        <w:rPr>
          <w:rFonts w:ascii="Times New Roman" w:eastAsia="Times New Roman" w:hAnsi="Times New Roman" w:cs="Times New Roman"/>
          <w:color w:val="000000"/>
          <w:sz w:val="24"/>
          <w:szCs w:val="24"/>
          <w:lang w:val="fr-BE" w:eastAsia="fr-BE"/>
        </w:rPr>
        <w:t xml:space="preserve"> pas loin d’ici hein c’est à dix minutes // </w:t>
      </w:r>
      <w:r w:rsidRPr="00B33565">
        <w:rPr>
          <w:rFonts w:ascii="Times New Roman" w:eastAsia="Times New Roman" w:hAnsi="Times New Roman" w:cs="Times New Roman"/>
          <w:color w:val="000000"/>
          <w:sz w:val="24"/>
          <w:szCs w:val="24"/>
          <w:u w:val="single"/>
          <w:lang w:val="fr-BE" w:eastAsia="fr-BE"/>
        </w:rPr>
        <w:t>à pied</w:t>
      </w:r>
    </w:p>
    <w:p w:rsidR="00B33565" w:rsidRPr="00B33565" w:rsidRDefault="00B33565" w:rsidP="00B33565">
      <w:pPr>
        <w:spacing w:after="120" w:line="240" w:lineRule="auto"/>
        <w:ind w:left="1080" w:hanging="36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 xml:space="preserve">(2)  on veut bien parler avec vous // </w:t>
      </w:r>
      <w:r w:rsidRPr="00B33565">
        <w:rPr>
          <w:rFonts w:ascii="Times New Roman" w:eastAsia="Times New Roman" w:hAnsi="Times New Roman" w:cs="Times New Roman"/>
          <w:color w:val="000000"/>
          <w:sz w:val="24"/>
          <w:szCs w:val="24"/>
          <w:u w:val="single"/>
          <w:lang w:val="fr-BE" w:eastAsia="fr-BE"/>
        </w:rPr>
        <w:t>mais après le déménagement</w:t>
      </w:r>
    </w:p>
    <w:p w:rsidR="00B33565" w:rsidRPr="00B33565" w:rsidRDefault="00B33565" w:rsidP="00B33565">
      <w:pPr>
        <w:spacing w:after="120" w:line="240" w:lineRule="auto"/>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 xml:space="preserve">Ces compléments, dits « différés », se définissent comme des constituants périphériques situés en fin d’énoncé, portant sur ce qui précède mais marquant une rupture de linéarité dans le discours. Cette rupture se réalise par la prosodie (1) et / ou par la présence de certains marqueurs discursifs comme l’adverbe </w:t>
      </w:r>
      <w:r w:rsidRPr="00B33565">
        <w:rPr>
          <w:rFonts w:ascii="Times New Roman" w:eastAsia="Times New Roman" w:hAnsi="Times New Roman" w:cs="Times New Roman"/>
          <w:i/>
          <w:iCs/>
          <w:color w:val="000000"/>
          <w:sz w:val="24"/>
          <w:szCs w:val="24"/>
          <w:lang w:val="fr-BE" w:eastAsia="fr-BE"/>
        </w:rPr>
        <w:t>mais</w:t>
      </w:r>
      <w:r w:rsidRPr="00B33565">
        <w:rPr>
          <w:rFonts w:ascii="Times New Roman" w:eastAsia="Times New Roman" w:hAnsi="Times New Roman" w:cs="Times New Roman"/>
          <w:color w:val="000000"/>
          <w:sz w:val="24"/>
          <w:szCs w:val="24"/>
          <w:lang w:val="fr-BE" w:eastAsia="fr-BE"/>
        </w:rPr>
        <w:t xml:space="preserve"> en (2).</w:t>
      </w:r>
    </w:p>
    <w:p w:rsidR="00B33565" w:rsidRPr="00B33565" w:rsidRDefault="00B33565" w:rsidP="00B33565">
      <w:pPr>
        <w:spacing w:after="120" w:line="240" w:lineRule="auto"/>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Pour l’étude de ce phénomène, nous défendons l’idée qu’une segmentation syntaxique ne peut se passer d’une prise en compte de la prosodie. En effet, selon l’intonation qui les accompagne, ces constituants sont susceptibles de connaître différentes interprétations : (i) comme élément intégré à la structure qui précède, (ii) comme élément détaché, ou (iii) comme un élément autonome.</w:t>
      </w:r>
    </w:p>
    <w:p w:rsidR="00B33565" w:rsidRPr="00B33565" w:rsidRDefault="00B33565" w:rsidP="00B33565">
      <w:pPr>
        <w:spacing w:after="120" w:line="240" w:lineRule="auto"/>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 xml:space="preserve">À partir d’un corpus oral de 45 000 mots représentant des contextes énonciatifs variés (44 échantillons pour une durée totale de 3h20), nous vérifierons l’hypothèse selon laquelle ces réalisations oscillent entre trois pôles (intégration / détachement / autonomie) définis par les critères suivants </w:t>
      </w:r>
      <w:r w:rsidR="00BD5E43">
        <w:rPr>
          <w:rFonts w:ascii="Times New Roman" w:eastAsia="Times New Roman" w:hAnsi="Times New Roman" w:cs="Times New Roman"/>
          <w:color w:val="000000"/>
          <w:sz w:val="24"/>
          <w:szCs w:val="24"/>
          <w:lang w:val="fr-BE" w:eastAsia="fr-BE"/>
        </w:rPr>
        <w:t xml:space="preserve">(Tanguy 2010) </w:t>
      </w:r>
      <w:r w:rsidRPr="00B33565">
        <w:rPr>
          <w:rFonts w:ascii="Times New Roman" w:eastAsia="Times New Roman" w:hAnsi="Times New Roman" w:cs="Times New Roman"/>
          <w:color w:val="000000"/>
          <w:sz w:val="24"/>
          <w:szCs w:val="24"/>
          <w:lang w:val="fr-BE" w:eastAsia="fr-B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12"/>
        <w:gridCol w:w="1764"/>
        <w:gridCol w:w="1842"/>
        <w:gridCol w:w="2030"/>
      </w:tblGrid>
      <w:tr w:rsidR="00B33565" w:rsidRPr="00B33565" w:rsidTr="00B80E70">
        <w:tc>
          <w:tcPr>
            <w:tcW w:w="0" w:type="auto"/>
            <w:tcMar>
              <w:top w:w="105" w:type="dxa"/>
              <w:left w:w="105" w:type="dxa"/>
              <w:bottom w:w="105" w:type="dxa"/>
              <w:right w:w="105" w:type="dxa"/>
            </w:tcMar>
            <w:hideMark/>
          </w:tcPr>
          <w:p w:rsidR="00B33565" w:rsidRPr="00B33565" w:rsidRDefault="00B33565" w:rsidP="00B33565">
            <w:pPr>
              <w:spacing w:after="0" w:line="240" w:lineRule="auto"/>
              <w:rPr>
                <w:rFonts w:ascii="Times New Roman" w:eastAsia="Times New Roman" w:hAnsi="Times New Roman" w:cs="Times New Roman"/>
                <w:sz w:val="24"/>
                <w:szCs w:val="24"/>
                <w:lang w:val="fr-BE" w:eastAsia="fr-BE"/>
              </w:rPr>
            </w:pPr>
          </w:p>
        </w:tc>
        <w:tc>
          <w:tcPr>
            <w:tcW w:w="0" w:type="auto"/>
            <w:tcMar>
              <w:top w:w="105" w:type="dxa"/>
              <w:left w:w="105" w:type="dxa"/>
              <w:bottom w:w="105" w:type="dxa"/>
              <w:right w:w="105" w:type="dxa"/>
            </w:tcMar>
            <w:hideMark/>
          </w:tcPr>
          <w:p w:rsidR="00B33565" w:rsidRPr="00B33565" w:rsidRDefault="00B33565" w:rsidP="00B33565">
            <w:pPr>
              <w:spacing w:after="0" w:line="0" w:lineRule="atLeast"/>
              <w:ind w:left="10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Élément intégré</w:t>
            </w:r>
          </w:p>
        </w:tc>
        <w:tc>
          <w:tcPr>
            <w:tcW w:w="0" w:type="auto"/>
            <w:tcMar>
              <w:top w:w="105" w:type="dxa"/>
              <w:left w:w="105" w:type="dxa"/>
              <w:bottom w:w="105" w:type="dxa"/>
              <w:right w:w="105" w:type="dxa"/>
            </w:tcMar>
            <w:hideMark/>
          </w:tcPr>
          <w:p w:rsidR="00B33565" w:rsidRPr="00B33565" w:rsidRDefault="00B33565" w:rsidP="00B33565">
            <w:pPr>
              <w:spacing w:after="0" w:line="240" w:lineRule="auto"/>
              <w:ind w:left="100"/>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Élément détaché</w:t>
            </w:r>
          </w:p>
          <w:p w:rsidR="00B33565" w:rsidRPr="00B33565" w:rsidRDefault="00B33565" w:rsidP="00B33565">
            <w:pPr>
              <w:spacing w:after="0" w:line="0" w:lineRule="atLeast"/>
              <w:ind w:left="10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 xml:space="preserve">= </w:t>
            </w:r>
            <w:proofErr w:type="spellStart"/>
            <w:r w:rsidRPr="00B33565">
              <w:rPr>
                <w:rFonts w:ascii="Times New Roman" w:eastAsia="Times New Roman" w:hAnsi="Times New Roman" w:cs="Times New Roman"/>
                <w:color w:val="000000"/>
                <w:sz w:val="24"/>
                <w:szCs w:val="24"/>
                <w:lang w:val="fr-BE" w:eastAsia="fr-BE"/>
              </w:rPr>
              <w:t>postnoyau</w:t>
            </w:r>
            <w:proofErr w:type="spellEnd"/>
          </w:p>
        </w:tc>
        <w:tc>
          <w:tcPr>
            <w:tcW w:w="0" w:type="auto"/>
            <w:tcMar>
              <w:top w:w="105" w:type="dxa"/>
              <w:left w:w="105" w:type="dxa"/>
              <w:bottom w:w="105" w:type="dxa"/>
              <w:right w:w="105" w:type="dxa"/>
            </w:tcMar>
            <w:hideMark/>
          </w:tcPr>
          <w:p w:rsidR="00B33565" w:rsidRPr="00B33565" w:rsidRDefault="00B33565" w:rsidP="00B33565">
            <w:pPr>
              <w:spacing w:after="0" w:line="240" w:lineRule="auto"/>
              <w:ind w:left="100"/>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Élément autonome</w:t>
            </w:r>
          </w:p>
          <w:p w:rsidR="00B33565" w:rsidRPr="00B33565" w:rsidRDefault="00B33565" w:rsidP="00B33565">
            <w:pPr>
              <w:spacing w:after="0" w:line="0" w:lineRule="atLeast"/>
              <w:ind w:left="10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 noyau</w:t>
            </w:r>
          </w:p>
        </w:tc>
      </w:tr>
      <w:tr w:rsidR="00B33565" w:rsidRPr="00B33565" w:rsidTr="00B80E70">
        <w:tc>
          <w:tcPr>
            <w:tcW w:w="0" w:type="auto"/>
            <w:tcMar>
              <w:top w:w="105" w:type="dxa"/>
              <w:left w:w="105" w:type="dxa"/>
              <w:bottom w:w="105" w:type="dxa"/>
              <w:right w:w="105" w:type="dxa"/>
            </w:tcMar>
            <w:hideMark/>
          </w:tcPr>
          <w:p w:rsidR="00B33565" w:rsidRPr="00B33565" w:rsidRDefault="00B33565" w:rsidP="00B33565">
            <w:pPr>
              <w:spacing w:after="0" w:line="0" w:lineRule="atLeast"/>
              <w:ind w:left="10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Rupture prosodique</w:t>
            </w:r>
          </w:p>
        </w:tc>
        <w:tc>
          <w:tcPr>
            <w:tcW w:w="0" w:type="auto"/>
            <w:tcMar>
              <w:top w:w="105" w:type="dxa"/>
              <w:left w:w="105" w:type="dxa"/>
              <w:bottom w:w="105" w:type="dxa"/>
              <w:right w:w="105" w:type="dxa"/>
            </w:tcMar>
            <w:hideMark/>
          </w:tcPr>
          <w:p w:rsidR="00B33565" w:rsidRPr="00B33565" w:rsidRDefault="00B33565" w:rsidP="00B33565">
            <w:pPr>
              <w:spacing w:after="0" w:line="0" w:lineRule="atLeast"/>
              <w:ind w:left="10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w:t>
            </w:r>
          </w:p>
        </w:tc>
        <w:tc>
          <w:tcPr>
            <w:tcW w:w="0" w:type="auto"/>
            <w:tcMar>
              <w:top w:w="105" w:type="dxa"/>
              <w:left w:w="105" w:type="dxa"/>
              <w:bottom w:w="105" w:type="dxa"/>
              <w:right w:w="105" w:type="dxa"/>
            </w:tcMar>
            <w:hideMark/>
          </w:tcPr>
          <w:p w:rsidR="00B33565" w:rsidRPr="00B33565" w:rsidRDefault="00B33565" w:rsidP="00B33565">
            <w:pPr>
              <w:spacing w:after="0" w:line="0" w:lineRule="atLeast"/>
              <w:ind w:left="10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w:t>
            </w:r>
          </w:p>
        </w:tc>
        <w:tc>
          <w:tcPr>
            <w:tcW w:w="0" w:type="auto"/>
            <w:tcMar>
              <w:top w:w="105" w:type="dxa"/>
              <w:left w:w="105" w:type="dxa"/>
              <w:bottom w:w="105" w:type="dxa"/>
              <w:right w:w="105" w:type="dxa"/>
            </w:tcMar>
            <w:hideMark/>
          </w:tcPr>
          <w:p w:rsidR="00B33565" w:rsidRPr="00B33565" w:rsidRDefault="00B33565" w:rsidP="00B33565">
            <w:pPr>
              <w:spacing w:after="0" w:line="0" w:lineRule="atLeast"/>
              <w:ind w:left="10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w:t>
            </w:r>
          </w:p>
        </w:tc>
      </w:tr>
      <w:tr w:rsidR="00B33565" w:rsidRPr="00B33565" w:rsidTr="00B80E70">
        <w:tc>
          <w:tcPr>
            <w:tcW w:w="0" w:type="auto"/>
            <w:tcMar>
              <w:top w:w="105" w:type="dxa"/>
              <w:left w:w="105" w:type="dxa"/>
              <w:bottom w:w="105" w:type="dxa"/>
              <w:right w:w="105" w:type="dxa"/>
            </w:tcMar>
            <w:hideMark/>
          </w:tcPr>
          <w:p w:rsidR="00B33565" w:rsidRPr="00B33565" w:rsidRDefault="00B33565" w:rsidP="00B33565">
            <w:pPr>
              <w:spacing w:after="0" w:line="0" w:lineRule="atLeast"/>
              <w:ind w:left="10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Contour conclusif sur l’élément qui précède</w:t>
            </w:r>
          </w:p>
        </w:tc>
        <w:tc>
          <w:tcPr>
            <w:tcW w:w="0" w:type="auto"/>
            <w:tcMar>
              <w:top w:w="105" w:type="dxa"/>
              <w:left w:w="105" w:type="dxa"/>
              <w:bottom w:w="105" w:type="dxa"/>
              <w:right w:w="105" w:type="dxa"/>
            </w:tcMar>
            <w:hideMark/>
          </w:tcPr>
          <w:p w:rsidR="00B33565" w:rsidRPr="00B33565" w:rsidRDefault="00B33565" w:rsidP="00B33565">
            <w:pPr>
              <w:spacing w:after="0" w:line="0" w:lineRule="atLeast"/>
              <w:ind w:left="10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w:t>
            </w:r>
          </w:p>
        </w:tc>
        <w:tc>
          <w:tcPr>
            <w:tcW w:w="0" w:type="auto"/>
            <w:tcMar>
              <w:top w:w="105" w:type="dxa"/>
              <w:left w:w="105" w:type="dxa"/>
              <w:bottom w:w="105" w:type="dxa"/>
              <w:right w:w="105" w:type="dxa"/>
            </w:tcMar>
            <w:hideMark/>
          </w:tcPr>
          <w:p w:rsidR="00B33565" w:rsidRPr="00B33565" w:rsidRDefault="00B33565" w:rsidP="00B33565">
            <w:pPr>
              <w:spacing w:after="0" w:line="0" w:lineRule="atLeast"/>
              <w:ind w:left="10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w:t>
            </w:r>
          </w:p>
        </w:tc>
        <w:tc>
          <w:tcPr>
            <w:tcW w:w="0" w:type="auto"/>
            <w:tcMar>
              <w:top w:w="105" w:type="dxa"/>
              <w:left w:w="105" w:type="dxa"/>
              <w:bottom w:w="105" w:type="dxa"/>
              <w:right w:w="105" w:type="dxa"/>
            </w:tcMar>
            <w:hideMark/>
          </w:tcPr>
          <w:p w:rsidR="00B33565" w:rsidRPr="00B33565" w:rsidRDefault="00B33565" w:rsidP="00B33565">
            <w:pPr>
              <w:spacing w:after="0" w:line="0" w:lineRule="atLeast"/>
              <w:ind w:left="10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w:t>
            </w:r>
          </w:p>
        </w:tc>
      </w:tr>
    </w:tbl>
    <w:p w:rsidR="00B33565" w:rsidRPr="00B33565" w:rsidRDefault="00B33565" w:rsidP="00B33565">
      <w:pPr>
        <w:spacing w:after="120" w:line="240" w:lineRule="auto"/>
        <w:rPr>
          <w:rFonts w:ascii="Times New Roman" w:eastAsia="Times New Roman" w:hAnsi="Times New Roman" w:cs="Times New Roman"/>
          <w:sz w:val="24"/>
          <w:szCs w:val="24"/>
          <w:lang w:val="fr-BE" w:eastAsia="fr-BE"/>
        </w:rPr>
      </w:pPr>
    </w:p>
    <w:p w:rsidR="00B33565" w:rsidRPr="00B33565" w:rsidRDefault="00B33565" w:rsidP="00B33565">
      <w:pPr>
        <w:spacing w:after="120" w:line="240" w:lineRule="auto"/>
        <w:jc w:val="both"/>
        <w:rPr>
          <w:rFonts w:ascii="Times New Roman" w:eastAsia="Times New Roman" w:hAnsi="Times New Roman" w:cs="Times New Roman"/>
          <w:sz w:val="24"/>
          <w:szCs w:val="24"/>
          <w:lang w:val="fr-BE" w:eastAsia="fr-BE"/>
        </w:rPr>
      </w:pPr>
      <w:proofErr w:type="gramStart"/>
      <w:r w:rsidRPr="00B33565">
        <w:rPr>
          <w:rFonts w:ascii="Times New Roman" w:eastAsia="Times New Roman" w:hAnsi="Times New Roman" w:cs="Times New Roman"/>
          <w:color w:val="000000"/>
          <w:sz w:val="24"/>
          <w:szCs w:val="24"/>
          <w:lang w:val="fr-BE" w:eastAsia="fr-BE"/>
        </w:rPr>
        <w:t>en</w:t>
      </w:r>
      <w:proofErr w:type="gramEnd"/>
      <w:r w:rsidRPr="00B33565">
        <w:rPr>
          <w:rFonts w:ascii="Times New Roman" w:eastAsia="Times New Roman" w:hAnsi="Times New Roman" w:cs="Times New Roman"/>
          <w:color w:val="000000"/>
          <w:sz w:val="24"/>
          <w:szCs w:val="24"/>
          <w:lang w:val="fr-BE" w:eastAsia="fr-BE"/>
        </w:rPr>
        <w:t xml:space="preserve"> faisant l’hypothèse que les effets sémantiques diffèrent selon les emplois.</w:t>
      </w:r>
    </w:p>
    <w:p w:rsidR="00B33565" w:rsidRPr="00B33565" w:rsidRDefault="00B33565" w:rsidP="00B33565">
      <w:pPr>
        <w:spacing w:after="120" w:line="240" w:lineRule="auto"/>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 xml:space="preserve">Les compléments différés à l’oral constituent un phénomène intéressant de </w:t>
      </w:r>
      <w:proofErr w:type="spellStart"/>
      <w:r w:rsidRPr="00B33565">
        <w:rPr>
          <w:rFonts w:ascii="Times New Roman" w:eastAsia="Times New Roman" w:hAnsi="Times New Roman" w:cs="Times New Roman"/>
          <w:color w:val="000000"/>
          <w:sz w:val="24"/>
          <w:szCs w:val="24"/>
          <w:lang w:val="fr-BE" w:eastAsia="fr-BE"/>
        </w:rPr>
        <w:t>réanalyse</w:t>
      </w:r>
      <w:proofErr w:type="spellEnd"/>
      <w:r w:rsidRPr="00B33565">
        <w:rPr>
          <w:rFonts w:ascii="Times New Roman" w:eastAsia="Times New Roman" w:hAnsi="Times New Roman" w:cs="Times New Roman"/>
          <w:color w:val="000000"/>
          <w:sz w:val="24"/>
          <w:szCs w:val="24"/>
          <w:lang w:val="fr-BE" w:eastAsia="fr-BE"/>
        </w:rPr>
        <w:t xml:space="preserve"> puisqu’ils mettent en lumière le caractère instantané de l’oral qui se façonne en direct. Les compléments différés doivent ainsi être analysés en interaction, i. e. en tenant compte de leurs conditions de </w:t>
      </w:r>
      <w:r w:rsidRPr="00B33565">
        <w:rPr>
          <w:rFonts w:ascii="Times New Roman" w:eastAsia="Times New Roman" w:hAnsi="Times New Roman" w:cs="Times New Roman"/>
          <w:color w:val="000000"/>
          <w:sz w:val="24"/>
          <w:szCs w:val="24"/>
          <w:lang w:val="fr-BE" w:eastAsia="fr-BE"/>
        </w:rPr>
        <w:lastRenderedPageBreak/>
        <w:t>production et de réception, et présentent des fonctionnements différents du phénomène de l’ajout dans la langue écrite. Pour (1), en temps réel, i. e. en énonciation, c’est l’ensemble « c’est à dix minutes » qui est dans un premier temps produit (par l’énonciateur) et traité (par le récepteur) comme une unité syntaxique complète. L’ajout « à pied » complète ce qui vient d’être énoncé, mais ne peut en aucun cas annuler l’interprétation de la première unité. En effet, à l’oral, toute unité syntaxique n’a qu’une existence temporaire dans le flux de l’activité productive et interprétative. Ce point de vue permet une analyse syntaxique de l’oral plus affinée, dynamique, en lien avec la prosodie et la structure informationnelle. Les unités syntaxiques doivent être considérées comme des unités en construction dans l'acte de parole et non comme des éléments figés, pris hors contexte</w:t>
      </w:r>
      <w:r>
        <w:rPr>
          <w:rFonts w:ascii="Times New Roman" w:eastAsia="Times New Roman" w:hAnsi="Times New Roman" w:cs="Times New Roman"/>
          <w:color w:val="000000"/>
          <w:sz w:val="24"/>
          <w:szCs w:val="24"/>
          <w:lang w:val="fr-BE" w:eastAsia="fr-BE"/>
        </w:rPr>
        <w:t xml:space="preserve"> : </w:t>
      </w:r>
      <w:r w:rsidRPr="00B33565">
        <w:rPr>
          <w:rFonts w:ascii="Times New Roman" w:eastAsia="Times New Roman" w:hAnsi="Times New Roman" w:cs="Times New Roman"/>
          <w:color w:val="000000"/>
          <w:sz w:val="24"/>
          <w:szCs w:val="24"/>
          <w:lang w:val="fr-BE" w:eastAsia="fr-BE"/>
        </w:rPr>
        <w:t>elles peuvent être achevées et reprises immédiatement pour y adjoindre un complément.</w:t>
      </w:r>
    </w:p>
    <w:p w:rsidR="00B33565" w:rsidRPr="00B33565" w:rsidRDefault="00B33565" w:rsidP="00B33565">
      <w:pPr>
        <w:spacing w:after="120" w:line="240" w:lineRule="auto"/>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Pour ce travail, nous centrerons notre étude du phénomène aux unités pour lesquelles l’ajout entraîne une réinterprétation, après-coup de la première unité. Ce phénomène concerne les verbes comptant plusieurs schémas de valence. Ainsi pour (3) :</w:t>
      </w:r>
    </w:p>
    <w:p w:rsidR="00B33565" w:rsidRPr="00B33565" w:rsidRDefault="00B33565" w:rsidP="00B33565">
      <w:pPr>
        <w:spacing w:after="120" w:line="240" w:lineRule="auto"/>
        <w:ind w:left="1080" w:hanging="36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 xml:space="preserve">(3)  c’est là que j’ai commencé à conduire - </w:t>
      </w:r>
      <w:r w:rsidRPr="00B33565">
        <w:rPr>
          <w:rFonts w:ascii="Times New Roman" w:eastAsia="Times New Roman" w:hAnsi="Times New Roman" w:cs="Times New Roman"/>
          <w:color w:val="000000"/>
          <w:sz w:val="24"/>
          <w:szCs w:val="24"/>
          <w:u w:val="single"/>
          <w:lang w:val="fr-BE" w:eastAsia="fr-BE"/>
        </w:rPr>
        <w:t>un camion</w:t>
      </w:r>
      <w:r w:rsidRPr="00B33565">
        <w:rPr>
          <w:rFonts w:ascii="Times New Roman" w:eastAsia="Times New Roman" w:hAnsi="Times New Roman" w:cs="Times New Roman"/>
          <w:color w:val="000000"/>
          <w:sz w:val="24"/>
          <w:szCs w:val="24"/>
          <w:lang w:val="fr-BE" w:eastAsia="fr-BE"/>
        </w:rPr>
        <w:t xml:space="preserve"> - </w:t>
      </w:r>
      <w:r w:rsidRPr="00B33565">
        <w:rPr>
          <w:rFonts w:ascii="Times New Roman" w:eastAsia="Times New Roman" w:hAnsi="Times New Roman" w:cs="Times New Roman"/>
          <w:color w:val="000000"/>
          <w:sz w:val="24"/>
          <w:szCs w:val="24"/>
          <w:u w:val="single"/>
          <w:lang w:val="fr-BE" w:eastAsia="fr-BE"/>
        </w:rPr>
        <w:t>sans permis</w:t>
      </w:r>
      <w:r w:rsidRPr="00B33565">
        <w:rPr>
          <w:rFonts w:ascii="Times New Roman" w:eastAsia="Times New Roman" w:hAnsi="Times New Roman" w:cs="Times New Roman"/>
          <w:color w:val="000000"/>
          <w:sz w:val="24"/>
          <w:szCs w:val="24"/>
          <w:lang w:val="fr-BE" w:eastAsia="fr-BE"/>
        </w:rPr>
        <w:t xml:space="preserve"> mais là - c’était l’exode on s’en foutait </w:t>
      </w:r>
    </w:p>
    <w:p w:rsidR="00B33565" w:rsidRPr="00B33565" w:rsidRDefault="00B33565" w:rsidP="00B33565">
      <w:pPr>
        <w:spacing w:after="120" w:line="240" w:lineRule="auto"/>
        <w:jc w:val="both"/>
        <w:rPr>
          <w:rFonts w:ascii="Times New Roman" w:eastAsia="Times New Roman" w:hAnsi="Times New Roman" w:cs="Times New Roman"/>
          <w:sz w:val="24"/>
          <w:szCs w:val="24"/>
          <w:lang w:val="fr-BE" w:eastAsia="fr-BE"/>
        </w:rPr>
      </w:pPr>
      <w:proofErr w:type="gramStart"/>
      <w:r w:rsidRPr="00B33565">
        <w:rPr>
          <w:rFonts w:ascii="Times New Roman" w:eastAsia="Times New Roman" w:hAnsi="Times New Roman" w:cs="Times New Roman"/>
          <w:color w:val="000000"/>
          <w:sz w:val="24"/>
          <w:szCs w:val="24"/>
          <w:lang w:val="fr-BE" w:eastAsia="fr-BE"/>
        </w:rPr>
        <w:t>la</w:t>
      </w:r>
      <w:proofErr w:type="gramEnd"/>
      <w:r w:rsidRPr="00B33565">
        <w:rPr>
          <w:rFonts w:ascii="Times New Roman" w:eastAsia="Times New Roman" w:hAnsi="Times New Roman" w:cs="Times New Roman"/>
          <w:color w:val="000000"/>
          <w:sz w:val="24"/>
          <w:szCs w:val="24"/>
          <w:lang w:val="fr-BE" w:eastAsia="fr-BE"/>
        </w:rPr>
        <w:t xml:space="preserve"> première structure est une construction en apparence achevée, complète à la fois syntaxiquement et sémantiquement. La valence du verbe « conduire » semble dans un premier temps saturée : il est perçu comme un verbe intransitif et monovalent. L’ajout différé d’un nouvel actant – ici, le constituant nominal « un camion » en fonction de complément direct – contraint l’interlocuteur à réinterpréter le verbe « conduire » comme un verbe transitif en emploi bivalent direct, même si le sens du verbe n’est certes pas radicalement modifié. En (4) et (5) :</w:t>
      </w:r>
    </w:p>
    <w:p w:rsidR="00B33565" w:rsidRPr="00B33565" w:rsidRDefault="00B33565" w:rsidP="00B33565">
      <w:pPr>
        <w:spacing w:after="120" w:line="240" w:lineRule="auto"/>
        <w:ind w:left="1080" w:hanging="36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 xml:space="preserve">(4)  ma mère boit // </w:t>
      </w:r>
      <w:r w:rsidRPr="00B33565">
        <w:rPr>
          <w:rFonts w:ascii="Times New Roman" w:eastAsia="Times New Roman" w:hAnsi="Times New Roman" w:cs="Times New Roman"/>
          <w:bCs/>
          <w:color w:val="000000"/>
          <w:sz w:val="24"/>
          <w:szCs w:val="24"/>
          <w:u w:val="single"/>
          <w:lang w:val="fr-BE" w:eastAsia="fr-BE"/>
        </w:rPr>
        <w:t>modérément</w:t>
      </w:r>
      <w:r w:rsidRPr="00B33565">
        <w:rPr>
          <w:rFonts w:ascii="Times New Roman" w:eastAsia="Times New Roman" w:hAnsi="Times New Roman" w:cs="Times New Roman"/>
          <w:bCs/>
          <w:color w:val="000000"/>
          <w:sz w:val="24"/>
          <w:szCs w:val="24"/>
          <w:lang w:val="fr-BE" w:eastAsia="fr-BE"/>
        </w:rPr>
        <w:t xml:space="preserve"> </w:t>
      </w:r>
      <w:r w:rsidRPr="00B33565">
        <w:rPr>
          <w:rFonts w:ascii="Times New Roman" w:eastAsia="Times New Roman" w:hAnsi="Times New Roman" w:cs="Times New Roman"/>
          <w:color w:val="000000"/>
          <w:sz w:val="24"/>
          <w:szCs w:val="24"/>
          <w:lang w:val="fr-BE" w:eastAsia="fr-BE"/>
        </w:rPr>
        <w:t xml:space="preserve">// </w:t>
      </w:r>
      <w:r w:rsidRPr="00B33565">
        <w:rPr>
          <w:rFonts w:ascii="Times New Roman" w:eastAsia="Times New Roman" w:hAnsi="Times New Roman" w:cs="Times New Roman"/>
          <w:bCs/>
          <w:color w:val="000000"/>
          <w:sz w:val="24"/>
          <w:szCs w:val="24"/>
          <w:u w:val="single"/>
          <w:lang w:val="fr-BE" w:eastAsia="fr-BE"/>
        </w:rPr>
        <w:t>de la camomille</w:t>
      </w:r>
      <w:r w:rsidRPr="00B33565">
        <w:rPr>
          <w:rFonts w:ascii="Times New Roman" w:eastAsia="Times New Roman" w:hAnsi="Times New Roman" w:cs="Times New Roman"/>
          <w:color w:val="000000"/>
          <w:sz w:val="24"/>
          <w:szCs w:val="24"/>
          <w:lang w:val="fr-BE" w:eastAsia="fr-BE"/>
        </w:rPr>
        <w:t xml:space="preserve"> // (</w:t>
      </w:r>
      <w:proofErr w:type="spellStart"/>
      <w:r w:rsidRPr="00B33565">
        <w:rPr>
          <w:rFonts w:ascii="Times New Roman" w:eastAsia="Times New Roman" w:hAnsi="Times New Roman" w:cs="Times New Roman"/>
          <w:color w:val="000000"/>
          <w:sz w:val="24"/>
          <w:szCs w:val="24"/>
          <w:lang w:val="fr-BE" w:eastAsia="fr-BE"/>
        </w:rPr>
        <w:t>Avanzi</w:t>
      </w:r>
      <w:proofErr w:type="spellEnd"/>
      <w:r w:rsidR="00B80E70">
        <w:rPr>
          <w:rFonts w:ascii="Times New Roman" w:eastAsia="Times New Roman" w:hAnsi="Times New Roman" w:cs="Times New Roman"/>
          <w:color w:val="000000"/>
          <w:sz w:val="24"/>
          <w:szCs w:val="24"/>
          <w:lang w:val="fr-BE" w:eastAsia="fr-BE"/>
        </w:rPr>
        <w:t xml:space="preserve"> 2010</w:t>
      </w:r>
      <w:r w:rsidRPr="00B33565">
        <w:rPr>
          <w:rFonts w:ascii="Times New Roman" w:eastAsia="Times New Roman" w:hAnsi="Times New Roman" w:cs="Times New Roman"/>
          <w:color w:val="000000"/>
          <w:sz w:val="24"/>
          <w:szCs w:val="24"/>
          <w:lang w:val="fr-BE" w:eastAsia="fr-BE"/>
        </w:rPr>
        <w:t>)</w:t>
      </w:r>
    </w:p>
    <w:p w:rsidR="00B33565" w:rsidRPr="00B33565" w:rsidRDefault="00B33565" w:rsidP="00B33565">
      <w:pPr>
        <w:spacing w:after="120" w:line="240" w:lineRule="auto"/>
        <w:ind w:left="1080" w:hanging="360"/>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 xml:space="preserve">(5)  Clara elle a fait du droit pour faire plaisir à papa + et moi j’ai fait médecine + </w:t>
      </w:r>
      <w:r w:rsidRPr="00B33565">
        <w:rPr>
          <w:rFonts w:ascii="Times New Roman" w:eastAsia="Times New Roman" w:hAnsi="Times New Roman" w:cs="Times New Roman"/>
          <w:bCs/>
          <w:color w:val="000000"/>
          <w:sz w:val="24"/>
          <w:szCs w:val="24"/>
          <w:u w:val="single"/>
          <w:lang w:val="fr-BE" w:eastAsia="fr-BE"/>
        </w:rPr>
        <w:t>et du côté des malades</w:t>
      </w:r>
      <w:r w:rsidR="00B80E70">
        <w:rPr>
          <w:rFonts w:ascii="Times New Roman" w:eastAsia="Times New Roman" w:hAnsi="Times New Roman" w:cs="Times New Roman"/>
          <w:color w:val="000000"/>
          <w:sz w:val="24"/>
          <w:szCs w:val="24"/>
          <w:lang w:val="fr-BE" w:eastAsia="fr-BE"/>
        </w:rPr>
        <w:t xml:space="preserve"> (Film « Pieds nus sur les limaces »</w:t>
      </w:r>
      <w:r w:rsidRPr="00B33565">
        <w:rPr>
          <w:rFonts w:ascii="Times New Roman" w:eastAsia="Times New Roman" w:hAnsi="Times New Roman" w:cs="Times New Roman"/>
          <w:color w:val="000000"/>
          <w:sz w:val="24"/>
          <w:szCs w:val="24"/>
          <w:lang w:val="fr-BE" w:eastAsia="fr-BE"/>
        </w:rPr>
        <w:t xml:space="preserve"> de </w:t>
      </w:r>
      <w:proofErr w:type="spellStart"/>
      <w:r w:rsidRPr="00B33565">
        <w:rPr>
          <w:rFonts w:ascii="Times New Roman" w:eastAsia="Times New Roman" w:hAnsi="Times New Roman" w:cs="Times New Roman"/>
          <w:color w:val="000000"/>
          <w:sz w:val="24"/>
          <w:szCs w:val="24"/>
          <w:lang w:val="fr-BE" w:eastAsia="fr-BE"/>
        </w:rPr>
        <w:t>Fabienn</w:t>
      </w:r>
      <w:proofErr w:type="spellEnd"/>
      <w:r w:rsidRPr="00B33565">
        <w:rPr>
          <w:rFonts w:ascii="Times New Roman" w:eastAsia="Times New Roman" w:hAnsi="Times New Roman" w:cs="Times New Roman"/>
          <w:color w:val="000000"/>
          <w:sz w:val="24"/>
          <w:szCs w:val="24"/>
          <w:lang w:val="fr-BE" w:eastAsia="fr-BE"/>
        </w:rPr>
        <w:t xml:space="preserve"> </w:t>
      </w:r>
      <w:proofErr w:type="spellStart"/>
      <w:r w:rsidRPr="00B33565">
        <w:rPr>
          <w:rFonts w:ascii="Times New Roman" w:eastAsia="Times New Roman" w:hAnsi="Times New Roman" w:cs="Times New Roman"/>
          <w:color w:val="000000"/>
          <w:sz w:val="24"/>
          <w:szCs w:val="24"/>
          <w:lang w:val="fr-BE" w:eastAsia="fr-BE"/>
        </w:rPr>
        <w:t>Berthaud</w:t>
      </w:r>
      <w:proofErr w:type="spellEnd"/>
      <w:r w:rsidRPr="00B33565">
        <w:rPr>
          <w:rFonts w:ascii="Times New Roman" w:eastAsia="Times New Roman" w:hAnsi="Times New Roman" w:cs="Times New Roman"/>
          <w:color w:val="000000"/>
          <w:sz w:val="24"/>
          <w:szCs w:val="24"/>
          <w:lang w:val="fr-BE" w:eastAsia="fr-BE"/>
        </w:rPr>
        <w:t xml:space="preserve"> – 2009)</w:t>
      </w:r>
    </w:p>
    <w:p w:rsidR="00B33565" w:rsidRDefault="00B33565" w:rsidP="00B33565">
      <w:pPr>
        <w:spacing w:after="120" w:line="240" w:lineRule="auto"/>
        <w:jc w:val="both"/>
        <w:rPr>
          <w:rFonts w:ascii="Times New Roman" w:eastAsia="Times New Roman" w:hAnsi="Times New Roman" w:cs="Times New Roman"/>
          <w:color w:val="000000"/>
          <w:sz w:val="24"/>
          <w:szCs w:val="24"/>
          <w:lang w:val="fr-BE" w:eastAsia="fr-BE"/>
        </w:rPr>
      </w:pPr>
      <w:r w:rsidRPr="00B33565">
        <w:rPr>
          <w:rFonts w:ascii="Times New Roman" w:eastAsia="Times New Roman" w:hAnsi="Times New Roman" w:cs="Times New Roman"/>
          <w:color w:val="000000"/>
          <w:sz w:val="24"/>
          <w:szCs w:val="24"/>
          <w:lang w:val="fr-BE" w:eastAsia="fr-BE"/>
        </w:rPr>
        <w:t>Les compléments différés amènent le récepteur à totalement réviser sa première interprétation : le sens du verbe « boire » (« consommer de l’alcool » vs « avaler un liquide ») en (4) et l’ironie présente en (5) et révélée par l’ajout.</w:t>
      </w:r>
    </w:p>
    <w:p w:rsidR="00B33565" w:rsidRPr="00B33565" w:rsidRDefault="00B33565" w:rsidP="00B33565">
      <w:pPr>
        <w:spacing w:after="120" w:line="240" w:lineRule="auto"/>
        <w:jc w:val="both"/>
        <w:rPr>
          <w:rFonts w:ascii="Times New Roman" w:eastAsia="Times New Roman" w:hAnsi="Times New Roman" w:cs="Times New Roman"/>
          <w:sz w:val="24"/>
          <w:szCs w:val="24"/>
          <w:lang w:val="fr-BE" w:eastAsia="fr-BE"/>
        </w:rPr>
      </w:pPr>
    </w:p>
    <w:p w:rsidR="00B33565" w:rsidRPr="00B33565" w:rsidRDefault="00B33565" w:rsidP="00B33565">
      <w:pPr>
        <w:spacing w:after="120" w:line="240" w:lineRule="auto"/>
        <w:ind w:left="580" w:hanging="560"/>
        <w:jc w:val="both"/>
        <w:rPr>
          <w:rFonts w:ascii="Times New Roman" w:eastAsia="Times New Roman" w:hAnsi="Times New Roman" w:cs="Times New Roman"/>
          <w:b/>
          <w:sz w:val="24"/>
          <w:szCs w:val="24"/>
          <w:lang w:val="fr-BE" w:eastAsia="fr-BE"/>
        </w:rPr>
      </w:pPr>
      <w:r w:rsidRPr="00B33565">
        <w:rPr>
          <w:rFonts w:ascii="Times New Roman" w:eastAsia="Times New Roman" w:hAnsi="Times New Roman" w:cs="Times New Roman"/>
          <w:b/>
          <w:color w:val="000000"/>
          <w:sz w:val="24"/>
          <w:szCs w:val="24"/>
          <w:lang w:val="fr-BE" w:eastAsia="fr-BE"/>
        </w:rPr>
        <w:t>Références bibliographiques</w:t>
      </w:r>
    </w:p>
    <w:p w:rsidR="00B33565" w:rsidRPr="00B33565" w:rsidRDefault="00B80E70" w:rsidP="00B80E70">
      <w:pPr>
        <w:spacing w:after="120" w:line="240" w:lineRule="auto"/>
        <w:ind w:left="567" w:hanging="567"/>
        <w:jc w:val="both"/>
        <w:rPr>
          <w:rFonts w:ascii="Times New Roman" w:eastAsia="Times New Roman" w:hAnsi="Times New Roman" w:cs="Times New Roman"/>
          <w:sz w:val="24"/>
          <w:szCs w:val="24"/>
          <w:lang w:val="fr-BE" w:eastAsia="fr-BE"/>
        </w:rPr>
      </w:pPr>
      <w:proofErr w:type="spellStart"/>
      <w:r w:rsidRPr="00B80E70">
        <w:rPr>
          <w:rStyle w:val="lev"/>
          <w:rFonts w:ascii="Times New Roman" w:hAnsi="Times New Roman" w:cs="Times New Roman"/>
          <w:b w:val="0"/>
          <w:bCs w:val="0"/>
          <w:sz w:val="24"/>
          <w:szCs w:val="24"/>
        </w:rPr>
        <w:t>Avanzi</w:t>
      </w:r>
      <w:proofErr w:type="spellEnd"/>
      <w:r w:rsidRPr="00B80E70">
        <w:rPr>
          <w:rStyle w:val="lev"/>
          <w:rFonts w:ascii="Times New Roman" w:hAnsi="Times New Roman" w:cs="Times New Roman"/>
          <w:b w:val="0"/>
          <w:bCs w:val="0"/>
          <w:sz w:val="24"/>
          <w:szCs w:val="24"/>
        </w:rPr>
        <w:t xml:space="preserve">, M. </w:t>
      </w:r>
      <w:r>
        <w:rPr>
          <w:rStyle w:val="lev"/>
          <w:rFonts w:ascii="Times New Roman" w:hAnsi="Times New Roman" w:cs="Times New Roman"/>
          <w:b w:val="0"/>
          <w:bCs w:val="0"/>
          <w:sz w:val="24"/>
          <w:szCs w:val="24"/>
        </w:rPr>
        <w:t xml:space="preserve">(2010). </w:t>
      </w:r>
      <w:r w:rsidRPr="00B80E70">
        <w:rPr>
          <w:rStyle w:val="lev"/>
          <w:rFonts w:ascii="Times New Roman" w:hAnsi="Times New Roman" w:cs="Times New Roman"/>
          <w:b w:val="0"/>
          <w:bCs w:val="0"/>
          <w:sz w:val="24"/>
          <w:szCs w:val="24"/>
        </w:rPr>
        <w:t>« Rattachement et fragmentation de la syntaxe par la prosodie ». </w:t>
      </w:r>
      <w:r w:rsidRPr="00B80E70">
        <w:rPr>
          <w:rStyle w:val="Accentuation"/>
          <w:rFonts w:ascii="Times New Roman" w:hAnsi="Times New Roman" w:cs="Times New Roman"/>
          <w:sz w:val="24"/>
          <w:szCs w:val="24"/>
        </w:rPr>
        <w:t>Travaux de Linguistique, 60</w:t>
      </w:r>
      <w:r w:rsidRPr="00B80E70">
        <w:rPr>
          <w:rStyle w:val="lev"/>
          <w:rFonts w:ascii="Times New Roman" w:hAnsi="Times New Roman" w:cs="Times New Roman"/>
          <w:b w:val="0"/>
          <w:bCs w:val="0"/>
          <w:sz w:val="24"/>
          <w:szCs w:val="24"/>
        </w:rPr>
        <w:t>, 145-166.</w:t>
      </w:r>
    </w:p>
    <w:p w:rsidR="00B33565" w:rsidRPr="00B33565" w:rsidRDefault="00B33565" w:rsidP="00B80E70">
      <w:pPr>
        <w:spacing w:after="120" w:line="240" w:lineRule="auto"/>
        <w:ind w:left="567" w:hanging="567"/>
        <w:jc w:val="both"/>
        <w:rPr>
          <w:rFonts w:ascii="Times New Roman" w:eastAsia="Times New Roman" w:hAnsi="Times New Roman" w:cs="Times New Roman"/>
          <w:sz w:val="24"/>
          <w:szCs w:val="24"/>
          <w:lang w:val="fr-BE" w:eastAsia="fr-BE"/>
        </w:rPr>
      </w:pPr>
      <w:r w:rsidRPr="00B33565">
        <w:rPr>
          <w:rFonts w:ascii="Times New Roman" w:eastAsia="Times New Roman" w:hAnsi="Times New Roman" w:cs="Times New Roman"/>
          <w:color w:val="000000"/>
          <w:sz w:val="24"/>
          <w:szCs w:val="24"/>
          <w:lang w:val="fr-BE" w:eastAsia="fr-BE"/>
        </w:rPr>
        <w:t xml:space="preserve">Blanche-Benveniste, C., M. </w:t>
      </w:r>
      <w:proofErr w:type="spellStart"/>
      <w:r w:rsidRPr="00B33565">
        <w:rPr>
          <w:rFonts w:ascii="Times New Roman" w:eastAsia="Times New Roman" w:hAnsi="Times New Roman" w:cs="Times New Roman"/>
          <w:color w:val="000000"/>
          <w:sz w:val="24"/>
          <w:szCs w:val="24"/>
          <w:lang w:val="fr-BE" w:eastAsia="fr-BE"/>
        </w:rPr>
        <w:t>Bilger</w:t>
      </w:r>
      <w:proofErr w:type="spellEnd"/>
      <w:r w:rsidRPr="00B33565">
        <w:rPr>
          <w:rFonts w:ascii="Times New Roman" w:eastAsia="Times New Roman" w:hAnsi="Times New Roman" w:cs="Times New Roman"/>
          <w:color w:val="000000"/>
          <w:sz w:val="24"/>
          <w:szCs w:val="24"/>
          <w:lang w:val="fr-BE" w:eastAsia="fr-BE"/>
        </w:rPr>
        <w:t>, Ch. Rouget, K. van den Eynde &amp; P. Mertens. (1990). Le français parlé: études grammaticales. Paris: Éditions du CNRS</w:t>
      </w:r>
    </w:p>
    <w:p w:rsidR="00B33565" w:rsidRPr="00B33565" w:rsidRDefault="00B33565" w:rsidP="00B80E70">
      <w:pPr>
        <w:spacing w:after="120" w:line="240" w:lineRule="auto"/>
        <w:ind w:left="567" w:hanging="567"/>
        <w:jc w:val="both"/>
        <w:rPr>
          <w:rFonts w:ascii="Times New Roman" w:eastAsia="Times New Roman" w:hAnsi="Times New Roman" w:cs="Times New Roman"/>
          <w:sz w:val="24"/>
          <w:szCs w:val="24"/>
          <w:lang w:val="fr-BE" w:eastAsia="fr-BE"/>
        </w:rPr>
      </w:pPr>
      <w:proofErr w:type="spellStart"/>
      <w:r w:rsidRPr="00B33565">
        <w:rPr>
          <w:rFonts w:ascii="Times New Roman" w:eastAsia="Times New Roman" w:hAnsi="Times New Roman" w:cs="Times New Roman"/>
          <w:color w:val="000000"/>
          <w:sz w:val="24"/>
          <w:szCs w:val="24"/>
          <w:lang w:val="fr-BE" w:eastAsia="fr-BE"/>
        </w:rPr>
        <w:t>Degand</w:t>
      </w:r>
      <w:proofErr w:type="spellEnd"/>
      <w:r w:rsidRPr="00B33565">
        <w:rPr>
          <w:rFonts w:ascii="Times New Roman" w:eastAsia="Times New Roman" w:hAnsi="Times New Roman" w:cs="Times New Roman"/>
          <w:color w:val="000000"/>
          <w:sz w:val="24"/>
          <w:szCs w:val="24"/>
          <w:lang w:val="fr-BE" w:eastAsia="fr-BE"/>
        </w:rPr>
        <w:t xml:space="preserve">, L. &amp; A.C. Simon. </w:t>
      </w:r>
      <w:r w:rsidRPr="00B33565">
        <w:rPr>
          <w:rFonts w:ascii="Times New Roman" w:eastAsia="Times New Roman" w:hAnsi="Times New Roman" w:cs="Times New Roman"/>
          <w:color w:val="000000"/>
          <w:sz w:val="24"/>
          <w:szCs w:val="24"/>
          <w:lang w:val="en-US" w:eastAsia="fr-BE"/>
        </w:rPr>
        <w:t xml:space="preserve">(2009). Minimal discourse units in spoken French: On the role of syntactic and prosodic units in discourse segmentation. </w:t>
      </w:r>
      <w:r w:rsidRPr="00B33565">
        <w:rPr>
          <w:rFonts w:ascii="Times New Roman" w:eastAsia="Times New Roman" w:hAnsi="Times New Roman" w:cs="Times New Roman"/>
          <w:color w:val="000000"/>
          <w:sz w:val="24"/>
          <w:szCs w:val="24"/>
          <w:lang w:val="fr-BE" w:eastAsia="fr-BE"/>
        </w:rPr>
        <w:t xml:space="preserve">Discours 4. </w:t>
      </w:r>
      <w:r w:rsidRPr="00D97971">
        <w:rPr>
          <w:rFonts w:ascii="Times New Roman" w:eastAsia="Times New Roman" w:hAnsi="Times New Roman" w:cs="Times New Roman"/>
          <w:sz w:val="24"/>
          <w:szCs w:val="24"/>
          <w:lang w:val="fr-BE" w:eastAsia="fr-BE"/>
        </w:rPr>
        <w:t>http://discours.revues.org/index.html</w:t>
      </w:r>
    </w:p>
    <w:p w:rsidR="00B33565" w:rsidRPr="00B33565" w:rsidRDefault="00B33565" w:rsidP="00B80E70">
      <w:pPr>
        <w:spacing w:after="120" w:line="240" w:lineRule="auto"/>
        <w:ind w:left="567" w:hanging="567"/>
        <w:jc w:val="both"/>
        <w:rPr>
          <w:rFonts w:ascii="Times New Roman" w:eastAsia="Times New Roman" w:hAnsi="Times New Roman" w:cs="Times New Roman"/>
          <w:sz w:val="24"/>
          <w:szCs w:val="24"/>
          <w:lang w:val="en-US" w:eastAsia="fr-BE"/>
        </w:rPr>
      </w:pPr>
      <w:r w:rsidRPr="00B33565">
        <w:rPr>
          <w:rFonts w:ascii="Times New Roman" w:eastAsia="Times New Roman" w:hAnsi="Times New Roman" w:cs="Times New Roman"/>
          <w:color w:val="000000"/>
          <w:sz w:val="24"/>
          <w:szCs w:val="24"/>
          <w:lang w:val="fr-BE" w:eastAsia="fr-BE"/>
        </w:rPr>
        <w:t xml:space="preserve">Simon, A.C. &amp; P. Mertens. </w:t>
      </w:r>
      <w:proofErr w:type="gramStart"/>
      <w:r w:rsidRPr="00B33565">
        <w:rPr>
          <w:rFonts w:ascii="Times New Roman" w:eastAsia="Times New Roman" w:hAnsi="Times New Roman" w:cs="Times New Roman"/>
          <w:color w:val="000000"/>
          <w:sz w:val="24"/>
          <w:szCs w:val="24"/>
          <w:lang w:val="en-US" w:eastAsia="fr-BE"/>
        </w:rPr>
        <w:t>(2009). Automatic detection of prosodic boundaries in spoken French.</w:t>
      </w:r>
      <w:proofErr w:type="gramEnd"/>
      <w:r w:rsidRPr="00B33565">
        <w:rPr>
          <w:rFonts w:ascii="Times New Roman" w:eastAsia="Times New Roman" w:hAnsi="Times New Roman" w:cs="Times New Roman"/>
          <w:color w:val="000000"/>
          <w:sz w:val="24"/>
          <w:szCs w:val="24"/>
          <w:lang w:val="en-US" w:eastAsia="fr-BE"/>
        </w:rPr>
        <w:t xml:space="preserve"> </w:t>
      </w:r>
      <w:proofErr w:type="gramStart"/>
      <w:r w:rsidRPr="00B33565">
        <w:rPr>
          <w:rFonts w:ascii="Times New Roman" w:eastAsia="Times New Roman" w:hAnsi="Times New Roman" w:cs="Times New Roman"/>
          <w:color w:val="000000"/>
          <w:sz w:val="24"/>
          <w:szCs w:val="24"/>
          <w:lang w:val="en-US" w:eastAsia="fr-BE"/>
        </w:rPr>
        <w:t>A step towards the identification of basic discourse units.</w:t>
      </w:r>
      <w:proofErr w:type="gramEnd"/>
      <w:r w:rsidRPr="00B33565">
        <w:rPr>
          <w:rFonts w:ascii="Times New Roman" w:eastAsia="Times New Roman" w:hAnsi="Times New Roman" w:cs="Times New Roman"/>
          <w:color w:val="000000"/>
          <w:sz w:val="24"/>
          <w:szCs w:val="24"/>
          <w:lang w:val="en-US" w:eastAsia="fr-BE"/>
        </w:rPr>
        <w:t xml:space="preserve"> Unpublished </w:t>
      </w:r>
      <w:proofErr w:type="spellStart"/>
      <w:r w:rsidRPr="00B33565">
        <w:rPr>
          <w:rFonts w:ascii="Times New Roman" w:eastAsia="Times New Roman" w:hAnsi="Times New Roman" w:cs="Times New Roman"/>
          <w:color w:val="000000"/>
          <w:sz w:val="24"/>
          <w:szCs w:val="24"/>
          <w:lang w:val="en-US" w:eastAsia="fr-BE"/>
        </w:rPr>
        <w:t>Ms</w:t>
      </w:r>
      <w:proofErr w:type="spellEnd"/>
      <w:r w:rsidRPr="00B33565">
        <w:rPr>
          <w:rFonts w:ascii="Times New Roman" w:eastAsia="Times New Roman" w:hAnsi="Times New Roman" w:cs="Times New Roman"/>
          <w:color w:val="000000"/>
          <w:sz w:val="24"/>
          <w:szCs w:val="24"/>
          <w:lang w:val="en-US" w:eastAsia="fr-BE"/>
        </w:rPr>
        <w:t>, 16 p</w:t>
      </w:r>
    </w:p>
    <w:p w:rsidR="00032116" w:rsidRPr="00B80E70" w:rsidRDefault="00B33565" w:rsidP="00B80E70">
      <w:pPr>
        <w:spacing w:after="120" w:line="240" w:lineRule="auto"/>
        <w:ind w:left="567" w:hanging="567"/>
        <w:jc w:val="both"/>
        <w:rPr>
          <w:rFonts w:ascii="Times New Roman" w:eastAsia="Times New Roman" w:hAnsi="Times New Roman" w:cs="Times New Roman"/>
          <w:color w:val="000000"/>
          <w:sz w:val="24"/>
          <w:szCs w:val="24"/>
          <w:lang w:val="fr-BE" w:eastAsia="fr-BE"/>
        </w:rPr>
      </w:pPr>
      <w:r w:rsidRPr="00B33565">
        <w:rPr>
          <w:rFonts w:ascii="Times New Roman" w:eastAsia="Times New Roman" w:hAnsi="Times New Roman" w:cs="Times New Roman"/>
          <w:color w:val="000000"/>
          <w:sz w:val="24"/>
          <w:szCs w:val="24"/>
          <w:lang w:val="fr-BE" w:eastAsia="fr-BE"/>
        </w:rPr>
        <w:t>Tanguy</w:t>
      </w:r>
      <w:r w:rsidR="000A756B">
        <w:rPr>
          <w:rFonts w:ascii="Times New Roman" w:eastAsia="Times New Roman" w:hAnsi="Times New Roman" w:cs="Times New Roman"/>
          <w:color w:val="000000"/>
          <w:sz w:val="24"/>
          <w:szCs w:val="24"/>
          <w:lang w:val="fr-BE" w:eastAsia="fr-BE"/>
        </w:rPr>
        <w:t xml:space="preserve">, N. (2010). </w:t>
      </w:r>
      <w:r w:rsidR="000A756B" w:rsidRPr="000A756B">
        <w:rPr>
          <w:rFonts w:ascii="Times New Roman" w:eastAsia="Times New Roman" w:hAnsi="Times New Roman" w:cs="Times New Roman"/>
          <w:color w:val="000000"/>
          <w:sz w:val="24"/>
          <w:szCs w:val="24"/>
          <w:lang w:val="fr-BE" w:eastAsia="fr-BE"/>
        </w:rPr>
        <w:t xml:space="preserve">Etude des compléments différés à l'oral à l'interface syntaxe </w:t>
      </w:r>
      <w:r w:rsidR="000A756B">
        <w:rPr>
          <w:rFonts w:ascii="Times New Roman" w:eastAsia="Times New Roman" w:hAnsi="Times New Roman" w:cs="Times New Roman"/>
          <w:color w:val="000000"/>
          <w:sz w:val="24"/>
          <w:szCs w:val="24"/>
          <w:lang w:val="fr-BE" w:eastAsia="fr-BE"/>
        </w:rPr>
        <w:t>–</w:t>
      </w:r>
      <w:r w:rsidR="000A756B" w:rsidRPr="000A756B">
        <w:rPr>
          <w:rFonts w:ascii="Times New Roman" w:eastAsia="Times New Roman" w:hAnsi="Times New Roman" w:cs="Times New Roman"/>
          <w:color w:val="000000"/>
          <w:sz w:val="24"/>
          <w:szCs w:val="24"/>
          <w:lang w:val="fr-BE" w:eastAsia="fr-BE"/>
        </w:rPr>
        <w:t xml:space="preserve"> prosodie</w:t>
      </w:r>
      <w:r w:rsidR="000A756B">
        <w:rPr>
          <w:rFonts w:ascii="Times New Roman" w:eastAsia="Times New Roman" w:hAnsi="Times New Roman" w:cs="Times New Roman"/>
          <w:color w:val="000000"/>
          <w:sz w:val="24"/>
          <w:szCs w:val="24"/>
          <w:lang w:val="fr-BE" w:eastAsia="fr-BE"/>
        </w:rPr>
        <w:t xml:space="preserve">. </w:t>
      </w:r>
      <w:r w:rsidR="000A756B" w:rsidRPr="000A756B">
        <w:rPr>
          <w:rFonts w:ascii="Times New Roman" w:eastAsia="Times New Roman" w:hAnsi="Times New Roman" w:cs="Times New Roman"/>
          <w:color w:val="000000"/>
          <w:sz w:val="24"/>
          <w:szCs w:val="24"/>
          <w:lang w:val="fr-BE" w:eastAsia="fr-BE"/>
        </w:rPr>
        <w:t>2ème Congrès Mondial de Linguistique Française 095 (2010)</w:t>
      </w:r>
      <w:r w:rsidR="000A756B">
        <w:rPr>
          <w:rFonts w:ascii="Times New Roman" w:eastAsia="Times New Roman" w:hAnsi="Times New Roman" w:cs="Times New Roman"/>
          <w:color w:val="000000"/>
          <w:sz w:val="24"/>
          <w:szCs w:val="24"/>
          <w:lang w:val="fr-BE" w:eastAsia="fr-BE"/>
        </w:rPr>
        <w:t xml:space="preserve">. </w:t>
      </w:r>
      <w:r w:rsidR="000A756B" w:rsidRPr="000A756B">
        <w:rPr>
          <w:rFonts w:ascii="Times New Roman" w:eastAsia="Times New Roman" w:hAnsi="Times New Roman" w:cs="Times New Roman"/>
          <w:color w:val="000000"/>
          <w:sz w:val="24"/>
          <w:szCs w:val="24"/>
          <w:lang w:val="fr-BE" w:eastAsia="fr-BE"/>
        </w:rPr>
        <w:t xml:space="preserve">DOI: </w:t>
      </w:r>
      <w:hyperlink r:id="rId6" w:history="1">
        <w:r w:rsidR="000A756B" w:rsidRPr="000A756B">
          <w:rPr>
            <w:rFonts w:ascii="Times New Roman" w:eastAsia="Times New Roman" w:hAnsi="Times New Roman" w:cs="Times New Roman"/>
            <w:color w:val="000000"/>
            <w:sz w:val="24"/>
            <w:szCs w:val="24"/>
            <w:lang w:val="fr-BE" w:eastAsia="fr-BE"/>
          </w:rPr>
          <w:t>http://dx.doi.org/10.1051/cmlf/2010190</w:t>
        </w:r>
      </w:hyperlink>
      <w:bookmarkEnd w:id="0"/>
    </w:p>
    <w:sectPr w:rsidR="00032116" w:rsidRPr="00B80E70" w:rsidSect="00B3356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565"/>
    <w:rsid w:val="000A756B"/>
    <w:rsid w:val="00321420"/>
    <w:rsid w:val="003D226B"/>
    <w:rsid w:val="00466D41"/>
    <w:rsid w:val="00B33565"/>
    <w:rsid w:val="00B53CAA"/>
    <w:rsid w:val="00B80E70"/>
    <w:rsid w:val="00BD5E43"/>
    <w:rsid w:val="00D97971"/>
    <w:rsid w:val="00F40C4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33565"/>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character" w:styleId="Lienhypertexte">
    <w:name w:val="Hyperlink"/>
    <w:basedOn w:val="Policepardfaut"/>
    <w:uiPriority w:val="99"/>
    <w:semiHidden/>
    <w:unhideWhenUsed/>
    <w:rsid w:val="00B33565"/>
    <w:rPr>
      <w:color w:val="0000FF"/>
      <w:u w:val="single"/>
    </w:rPr>
  </w:style>
  <w:style w:type="character" w:styleId="lev">
    <w:name w:val="Strong"/>
    <w:basedOn w:val="Policepardfaut"/>
    <w:uiPriority w:val="22"/>
    <w:qFormat/>
    <w:rsid w:val="00B80E70"/>
    <w:rPr>
      <w:b/>
      <w:bCs/>
    </w:rPr>
  </w:style>
  <w:style w:type="character" w:styleId="Accentuation">
    <w:name w:val="Emphasis"/>
    <w:basedOn w:val="Policepardfaut"/>
    <w:uiPriority w:val="20"/>
    <w:qFormat/>
    <w:rsid w:val="00B80E7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33565"/>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character" w:styleId="Lienhypertexte">
    <w:name w:val="Hyperlink"/>
    <w:basedOn w:val="Policepardfaut"/>
    <w:uiPriority w:val="99"/>
    <w:semiHidden/>
    <w:unhideWhenUsed/>
    <w:rsid w:val="00B33565"/>
    <w:rPr>
      <w:color w:val="0000FF"/>
      <w:u w:val="single"/>
    </w:rPr>
  </w:style>
  <w:style w:type="character" w:styleId="lev">
    <w:name w:val="Strong"/>
    <w:basedOn w:val="Policepardfaut"/>
    <w:uiPriority w:val="22"/>
    <w:qFormat/>
    <w:rsid w:val="00B80E70"/>
    <w:rPr>
      <w:b/>
      <w:bCs/>
    </w:rPr>
  </w:style>
  <w:style w:type="character" w:styleId="Accentuation">
    <w:name w:val="Emphasis"/>
    <w:basedOn w:val="Policepardfaut"/>
    <w:uiPriority w:val="20"/>
    <w:qFormat/>
    <w:rsid w:val="00B80E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416823">
      <w:bodyDiv w:val="1"/>
      <w:marLeft w:val="0"/>
      <w:marRight w:val="0"/>
      <w:marTop w:val="100"/>
      <w:marBottom w:val="100"/>
      <w:divBdr>
        <w:top w:val="none" w:sz="0" w:space="0" w:color="auto"/>
        <w:left w:val="none" w:sz="0" w:space="0" w:color="auto"/>
        <w:bottom w:val="none" w:sz="0" w:space="0" w:color="auto"/>
        <w:right w:val="none" w:sz="0" w:space="0" w:color="auto"/>
      </w:divBdr>
      <w:divsChild>
        <w:div w:id="1941791526">
          <w:marLeft w:val="0"/>
          <w:marRight w:val="0"/>
          <w:marTop w:val="0"/>
          <w:marBottom w:val="0"/>
          <w:divBdr>
            <w:top w:val="none" w:sz="0" w:space="0" w:color="auto"/>
            <w:left w:val="none" w:sz="0" w:space="0" w:color="auto"/>
            <w:bottom w:val="none" w:sz="0" w:space="0" w:color="auto"/>
            <w:right w:val="none" w:sz="0" w:space="0" w:color="auto"/>
          </w:divBdr>
          <w:divsChild>
            <w:div w:id="636421710">
              <w:marLeft w:val="0"/>
              <w:marRight w:val="0"/>
              <w:marTop w:val="240"/>
              <w:marBottom w:val="240"/>
              <w:divBdr>
                <w:top w:val="none" w:sz="0" w:space="0" w:color="auto"/>
                <w:left w:val="none" w:sz="0" w:space="0" w:color="auto"/>
                <w:bottom w:val="none" w:sz="0" w:space="0" w:color="auto"/>
                <w:right w:val="none" w:sz="0" w:space="0" w:color="auto"/>
              </w:divBdr>
              <w:divsChild>
                <w:div w:id="367218495">
                  <w:marLeft w:val="0"/>
                  <w:marRight w:val="0"/>
                  <w:marTop w:val="0"/>
                  <w:marBottom w:val="0"/>
                  <w:divBdr>
                    <w:top w:val="none" w:sz="0" w:space="0" w:color="auto"/>
                    <w:left w:val="none" w:sz="0" w:space="0" w:color="auto"/>
                    <w:bottom w:val="none" w:sz="0" w:space="0" w:color="auto"/>
                    <w:right w:val="none" w:sz="0" w:space="0" w:color="auto"/>
                  </w:divBdr>
                </w:div>
                <w:div w:id="1238712554">
                  <w:marLeft w:val="0"/>
                  <w:marRight w:val="0"/>
                  <w:marTop w:val="0"/>
                  <w:marBottom w:val="0"/>
                  <w:divBdr>
                    <w:top w:val="none" w:sz="0" w:space="0" w:color="auto"/>
                    <w:left w:val="none" w:sz="0" w:space="0" w:color="auto"/>
                    <w:bottom w:val="none" w:sz="0" w:space="0" w:color="auto"/>
                    <w:right w:val="none" w:sz="0" w:space="0" w:color="auto"/>
                  </w:divBdr>
                </w:div>
                <w:div w:id="1832595754">
                  <w:marLeft w:val="0"/>
                  <w:marRight w:val="0"/>
                  <w:marTop w:val="0"/>
                  <w:marBottom w:val="0"/>
                  <w:divBdr>
                    <w:top w:val="none" w:sz="0" w:space="0" w:color="auto"/>
                    <w:left w:val="none" w:sz="0" w:space="0" w:color="auto"/>
                    <w:bottom w:val="none" w:sz="0" w:space="0" w:color="auto"/>
                    <w:right w:val="none" w:sz="0" w:space="0" w:color="auto"/>
                  </w:divBdr>
                </w:div>
                <w:div w:id="5351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655772">
      <w:bodyDiv w:val="1"/>
      <w:marLeft w:val="0"/>
      <w:marRight w:val="0"/>
      <w:marTop w:val="0"/>
      <w:marBottom w:val="0"/>
      <w:divBdr>
        <w:top w:val="none" w:sz="0" w:space="0" w:color="auto"/>
        <w:left w:val="none" w:sz="0" w:space="0" w:color="auto"/>
        <w:bottom w:val="none" w:sz="0" w:space="0" w:color="auto"/>
        <w:right w:val="none" w:sz="0" w:space="0" w:color="auto"/>
      </w:divBdr>
      <w:divsChild>
        <w:div w:id="1609895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dx.doi.org/10.1051/cmlf/201019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4BB60-FD83-4D03-B81E-F038B419B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1006</Words>
  <Characters>5537</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SIWS</dc:creator>
  <cp:lastModifiedBy>SIWS</cp:lastModifiedBy>
  <cp:revision>2</cp:revision>
  <dcterms:created xsi:type="dcterms:W3CDTF">2012-09-27T13:08:00Z</dcterms:created>
  <dcterms:modified xsi:type="dcterms:W3CDTF">2012-09-27T13:08:00Z</dcterms:modified>
</cp:coreProperties>
</file>